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mc:Ignorable="w14 w15 w16se w16cid w16 w16cex w16sdtdh wp14">
  <w:body>
    <w:p w:rsidR="006E6D7A" w:rsidRDefault="006E6D7A" w14:paraId="67156CB8" w14:textId="77777777"/>
    <w:p w:rsidR="006E6D7A" w:rsidRDefault="006E6D7A" w14:paraId="67156CB9" w14:textId="77777777"/>
    <w:p w:rsidR="006E6D7A" w:rsidRDefault="006E6D7A" w14:paraId="67156CBA" w14:textId="77777777"/>
    <w:p w:rsidR="006E6D7A" w:rsidRDefault="006E6D7A" w14:paraId="67156CBB" w14:textId="77777777"/>
    <w:p w:rsidR="006E6D7A" w:rsidRDefault="006E6D7A" w14:paraId="67156CBC" w14:textId="77777777"/>
    <w:p w:rsidR="006E6D7A" w:rsidRDefault="006E6D7A" w14:paraId="67156CBD" w14:textId="77777777"/>
    <w:p w:rsidR="006E6D7A" w:rsidRDefault="006E6D7A" w14:paraId="67156CBE" w14:textId="77777777"/>
    <w:p w:rsidR="006E6D7A" w:rsidRDefault="00B16C64" w14:paraId="67156CBF" w14:textId="77777777">
      <w:pPr>
        <w:pStyle w:val="Lgende"/>
        <w:tabs>
          <w:tab w:val="left" w:pos="9000"/>
        </w:tabs>
        <w:ind w:right="70"/>
        <w:jc w:val="center"/>
        <w:rPr>
          <w:rFonts w:asciiTheme="minorHAnsi" w:hAnsiTheme="minorHAnsi" w:cstheme="minorHAnsi"/>
          <w:b/>
          <w:bCs/>
          <w:color w:val="999999"/>
          <w:sz w:val="22"/>
        </w:rPr>
      </w:pPr>
      <w:r>
        <w:rPr>
          <w:noProof/>
        </w:rPr>
        <mc:AlternateContent>
          <mc:Choice Requires="wpg">
            <w:drawing>
              <wp:inline distT="0" distB="0" distL="0" distR="0" wp14:anchorId="67157BF7" wp14:editId="67157BF8">
                <wp:extent cx="2944495" cy="744855"/>
                <wp:effectExtent l="0" t="0" r="0" b="0"/>
                <wp:docPr id="2" name="Graphiqu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que 6"/>
                        <pic:cNvPicPr>
                          <a:picLocks noChangeAspect="1"/>
                        </pic:cNvPicPr>
                      </pic:nvPicPr>
                      <pic:blipFill rotWithShape="1">
                        <a:blip r:embed="rId12"/>
                        <a:stretch/>
                      </pic:blipFill>
                      <pic:spPr bwMode="auto">
                        <a:xfrm>
                          <a:off x="0" y="0"/>
                          <a:ext cx="2944495" cy="744855"/>
                        </a:xfrm>
                        <a:prstGeom prst="rect">
                          <a:avLst/>
                        </a:prstGeom>
                        <a:noFill/>
                      </pic:spPr>
                    </pic:pic>
                  </a:graphicData>
                </a:graphic>
              </wp:inline>
            </w:drawing>
          </mc:Choice>
          <mc:Fallback xmlns:a="http://schemas.openxmlformats.org/drawingml/2006/main">
            <w:pict w14:anchorId="02BD0E2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 style="width:231.85pt;height:58.65pt;mso-wrap-distance-left:0.00pt;mso-wrap-distance-top:0.00pt;mso-wrap-distance-right:0.00pt;mso-wrap-distance-bottom:0.00pt;z-index:1;" o:spid="_x0000_s1" stroked="false" type="#_x0000_t75">
                <v:imagedata o:title="" r:id="rId18"/>
                <o:lock v:ext="edit" rotation="t"/>
              </v:shape>
            </w:pict>
          </mc:Fallback>
        </mc:AlternateContent>
      </w:r>
    </w:p>
    <w:p w:rsidR="006E6D7A" w:rsidRDefault="006E6D7A" w14:paraId="67156CC0" w14:textId="77777777">
      <w:pPr>
        <w:jc w:val="center"/>
      </w:pPr>
    </w:p>
    <w:p w:rsidR="006E6D7A" w:rsidRDefault="00B16C64" w14:paraId="67156CC1" w14:textId="77777777">
      <w:pPr>
        <w:tabs>
          <w:tab w:val="left" w:pos="9000"/>
        </w:tabs>
        <w:ind w:right="70"/>
        <w:jc w:val="center"/>
        <w:rPr>
          <w:b/>
          <w:bCs/>
          <w:i/>
          <w:sz w:val="16"/>
          <w:szCs w:val="16"/>
        </w:rPr>
      </w:pPr>
      <w:r>
        <w:rPr>
          <w:b/>
          <w:bCs/>
          <w:i/>
          <w:sz w:val="16"/>
          <w:szCs w:val="16"/>
        </w:rPr>
        <w:t>Institut national de recherche pour l'agriculture, l'alimentation et l'environnement</w:t>
      </w:r>
    </w:p>
    <w:p w:rsidR="006E6D7A" w:rsidRDefault="00B16C64" w14:paraId="67156CC2" w14:textId="77777777">
      <w:pPr>
        <w:tabs>
          <w:tab w:val="left" w:pos="9000"/>
        </w:tabs>
        <w:ind w:right="70"/>
        <w:jc w:val="center"/>
        <w:rPr>
          <w:sz w:val="18"/>
          <w:szCs w:val="18"/>
        </w:rPr>
      </w:pPr>
      <w:r>
        <w:rPr>
          <w:sz w:val="18"/>
          <w:szCs w:val="18"/>
        </w:rPr>
        <w:t>147 rue de l’Université</w:t>
      </w:r>
    </w:p>
    <w:p w:rsidR="006E6D7A" w:rsidRDefault="00B16C64" w14:paraId="67156CC3" w14:textId="77777777">
      <w:pPr>
        <w:tabs>
          <w:tab w:val="left" w:pos="9000"/>
        </w:tabs>
        <w:ind w:right="70"/>
        <w:jc w:val="center"/>
        <w:rPr>
          <w:sz w:val="18"/>
          <w:szCs w:val="18"/>
        </w:rPr>
      </w:pPr>
      <w:r>
        <w:rPr>
          <w:sz w:val="18"/>
          <w:szCs w:val="18"/>
        </w:rPr>
        <w:t>75338 PARIS CEDEX 07</w:t>
      </w:r>
    </w:p>
    <w:p w:rsidR="006E6D7A" w:rsidRDefault="006E6D7A" w14:paraId="67156CC4" w14:textId="77777777">
      <w:pPr>
        <w:jc w:val="center"/>
      </w:pPr>
    </w:p>
    <w:p w:rsidR="006E6D7A" w:rsidRDefault="006E6D7A" w14:paraId="67156CC5" w14:textId="77777777"/>
    <w:p w:rsidR="006E6D7A" w:rsidRDefault="006E6D7A" w14:paraId="67156CC6" w14:textId="77777777"/>
    <w:p w:rsidR="0031145B" w:rsidRDefault="0031145B" w14:paraId="2016BC7A" w14:textId="77777777"/>
    <w:tbl>
      <w:tblPr>
        <w:tblStyle w:val="TableGrid0"/>
        <w:tblW w:w="9356" w:type="dxa"/>
        <w:tblInd w:w="137" w:type="dxa"/>
        <w:tblLook w:val="04A0" w:firstRow="1" w:lastRow="0" w:firstColumn="1" w:lastColumn="0" w:noHBand="0" w:noVBand="1"/>
      </w:tblPr>
      <w:tblGrid>
        <w:gridCol w:w="9356"/>
      </w:tblGrid>
      <w:tr w:rsidRPr="00A560F6" w:rsidR="0031145B" w:rsidTr="00B01BC8" w14:paraId="5D4CF2B2" w14:textId="77777777">
        <w:tc>
          <w:tcPr>
            <w:tcW w:w="9356" w:type="dxa"/>
          </w:tcPr>
          <w:p w:rsidRPr="00A560F6" w:rsidR="0031145B" w:rsidP="00B01BC8" w:rsidRDefault="0031145B" w14:paraId="46357F1E" w14:textId="77777777">
            <w:pPr>
              <w:spacing w:after="0" w:line="259" w:lineRule="auto"/>
              <w:ind w:right="-1098"/>
              <w:jc w:val="center"/>
              <w:rPr>
                <w:rFonts w:cstheme="minorHAnsi"/>
              </w:rPr>
            </w:pPr>
          </w:p>
          <w:p w:rsidRPr="00A560F6" w:rsidR="0031145B" w:rsidP="00B01BC8" w:rsidRDefault="0031145B" w14:paraId="0D5A6BA2" w14:textId="6D911112">
            <w:pPr>
              <w:spacing w:after="0" w:line="259" w:lineRule="auto"/>
              <w:ind w:right="-109"/>
              <w:jc w:val="center"/>
              <w:rPr>
                <w:rFonts w:cstheme="minorHAnsi"/>
                <w:sz w:val="32"/>
                <w:szCs w:val="32"/>
              </w:rPr>
            </w:pPr>
            <w:bookmarkStart w:name="_Hlk221092507" w:id="0"/>
            <w:r w:rsidRPr="00A560F6">
              <w:rPr>
                <w:rFonts w:cstheme="minorHAnsi"/>
                <w:sz w:val="32"/>
                <w:szCs w:val="32"/>
              </w:rPr>
              <w:t xml:space="preserve">CAHIER DES CLAUSES </w:t>
            </w:r>
            <w:r>
              <w:rPr>
                <w:rFonts w:cstheme="minorHAnsi"/>
                <w:sz w:val="32"/>
                <w:szCs w:val="32"/>
              </w:rPr>
              <w:t>TECHNIQUES</w:t>
            </w:r>
            <w:r w:rsidRPr="00A560F6">
              <w:rPr>
                <w:rFonts w:cstheme="minorHAnsi"/>
                <w:sz w:val="32"/>
                <w:szCs w:val="32"/>
              </w:rPr>
              <w:t xml:space="preserve"> PARTICULIÈRES</w:t>
            </w:r>
          </w:p>
          <w:p w:rsidRPr="00A560F6" w:rsidR="0031145B" w:rsidP="00B01BC8" w:rsidRDefault="0031145B" w14:paraId="60DFCF23" w14:textId="10AB9128">
            <w:pPr>
              <w:spacing w:after="0" w:line="259" w:lineRule="auto"/>
              <w:ind w:right="-314"/>
              <w:jc w:val="center"/>
              <w:rPr>
                <w:rFonts w:cstheme="minorHAnsi"/>
                <w:sz w:val="32"/>
                <w:szCs w:val="32"/>
              </w:rPr>
            </w:pPr>
            <w:r w:rsidRPr="00A560F6">
              <w:rPr>
                <w:rFonts w:cstheme="minorHAnsi"/>
                <w:sz w:val="32"/>
                <w:szCs w:val="32"/>
              </w:rPr>
              <w:t>(CC</w:t>
            </w:r>
            <w:r>
              <w:rPr>
                <w:rFonts w:cstheme="minorHAnsi"/>
                <w:sz w:val="32"/>
                <w:szCs w:val="32"/>
              </w:rPr>
              <w:t>T</w:t>
            </w:r>
            <w:r w:rsidRPr="00A560F6">
              <w:rPr>
                <w:rFonts w:cstheme="minorHAnsi"/>
                <w:sz w:val="32"/>
                <w:szCs w:val="32"/>
              </w:rPr>
              <w:t>P)</w:t>
            </w:r>
          </w:p>
          <w:bookmarkEnd w:id="0"/>
          <w:p w:rsidRPr="00A560F6" w:rsidR="0031145B" w:rsidP="00B01BC8" w:rsidRDefault="0031145B" w14:paraId="051A4EC8" w14:textId="77777777">
            <w:pPr>
              <w:spacing w:after="0" w:line="259" w:lineRule="auto"/>
              <w:ind w:right="-314"/>
              <w:jc w:val="center"/>
              <w:rPr>
                <w:rFonts w:cstheme="minorHAnsi"/>
              </w:rPr>
            </w:pPr>
          </w:p>
        </w:tc>
      </w:tr>
    </w:tbl>
    <w:p w:rsidR="006E6D7A" w:rsidRDefault="006E6D7A" w14:paraId="67156CC7" w14:textId="77777777"/>
    <w:p w:rsidR="0031145B" w:rsidRDefault="0031145B" w14:paraId="252E369C" w14:textId="77777777"/>
    <w:p w:rsidR="0031145B" w:rsidRDefault="0031145B" w14:paraId="6EC74562" w14:textId="77777777"/>
    <w:p w:rsidR="0031145B" w:rsidP="28CCD868" w:rsidRDefault="0031145B" w14:paraId="3DBD4E54" w14:textId="656AA138">
      <w:pPr>
        <w:spacing w:after="0" w:line="259" w:lineRule="auto"/>
        <w:jc w:val="center"/>
        <w:rPr>
          <w:sz w:val="32"/>
          <w:szCs w:val="32"/>
        </w:rPr>
      </w:pPr>
      <w:proofErr w:type="spellStart"/>
      <w:r w:rsidRPr="28CCD868" w:rsidR="28CCD868">
        <w:rPr>
          <w:sz w:val="32"/>
          <w:szCs w:val="32"/>
        </w:rPr>
        <w:t>DevSecOps</w:t>
      </w:r>
      <w:proofErr w:type="spellEnd"/>
      <w:r w:rsidRPr="28CCD868" w:rsidR="28CCD868">
        <w:rPr>
          <w:sz w:val="32"/>
          <w:szCs w:val="32"/>
        </w:rPr>
        <w:t xml:space="preserve">, SRE et </w:t>
      </w:r>
      <w:r w:rsidRPr="28CCD868" w:rsidR="28CCD868">
        <w:rPr>
          <w:sz w:val="32"/>
          <w:szCs w:val="32"/>
        </w:rPr>
        <w:t xml:space="preserve">Usine </w:t>
      </w:r>
      <w:r w:rsidRPr="28CCD868" w:rsidR="28CCD868">
        <w:rPr>
          <w:sz w:val="32"/>
          <w:szCs w:val="32"/>
        </w:rPr>
        <w:t>K8s</w:t>
      </w:r>
    </w:p>
    <w:p w:rsidR="0031145B" w:rsidRDefault="0031145B" w14:paraId="21CE8547" w14:textId="77777777"/>
    <w:sdt>
      <w:sdtPr>
        <w:rPr>
          <w:rFonts w:eastAsia="Times New Roman" w:asciiTheme="minorHAnsi" w:hAnsiTheme="minorHAnsi" w:cstheme="minorHAnsi"/>
          <w:b/>
          <w:bCs/>
          <w:i/>
          <w:iCs/>
          <w:color w:val="auto"/>
          <w:sz w:val="22"/>
          <w:szCs w:val="22"/>
        </w:rPr>
        <w:id w:val="1371259875"/>
        <w:docPartObj>
          <w:docPartGallery w:val="Table of Contents"/>
          <w:docPartUnique/>
        </w:docPartObj>
      </w:sdtPr>
      <w:sdtContent>
        <w:p w:rsidR="006E6D7A" w:rsidRDefault="00B16C64" w14:paraId="67156CD2" w14:textId="77777777">
          <w:pPr>
            <w:pStyle w:val="En-ttedetabledesmatires"/>
            <w:spacing w:before="0"/>
            <w:rPr>
              <w:rStyle w:val="Sommaire"/>
              <w:rFonts w:eastAsiaTheme="majorEastAsia"/>
            </w:rPr>
          </w:pPr>
          <w:r>
            <w:br w:type="page" w:clear="all"/>
          </w:r>
          <w:r>
            <w:rPr>
              <w:rStyle w:val="Sommaire"/>
              <w:rFonts w:eastAsiaTheme="majorEastAsia"/>
            </w:rPr>
            <w:lastRenderedPageBreak/>
            <w:t>SOMMAIRE</w:t>
          </w:r>
        </w:p>
        <w:p w:rsidR="00A65D8D" w:rsidRDefault="00B16C64" w14:paraId="5F5D6AFE" w14:textId="33B466F2">
          <w:pPr>
            <w:pStyle w:val="TM1"/>
            <w:rPr>
              <w:rFonts w:asciiTheme="minorHAnsi" w:hAnsiTheme="minorHAnsi" w:eastAsiaTheme="minorEastAsia" w:cstheme="minorBidi"/>
              <w:b w:val="0"/>
              <w:bCs w:val="0"/>
              <w:i w:val="0"/>
              <w:iCs w:val="0"/>
              <w:noProof/>
              <w:kern w:val="2"/>
              <w14:ligatures w14:val="standardContextual"/>
            </w:rPr>
          </w:pPr>
          <w:r>
            <w:fldChar w:fldCharType="begin"/>
          </w:r>
          <w:r>
            <w:rPr>
              <w:rStyle w:val="IndexLink"/>
            </w:rPr>
            <w:instrText xml:space="preserve"> TOC \z \o "1-3" \u \h</w:instrText>
          </w:r>
          <w:r>
            <w:rPr>
              <w:rStyle w:val="IndexLink"/>
            </w:rPr>
            <w:fldChar w:fldCharType="separate"/>
          </w:r>
          <w:hyperlink w:history="1" w:anchor="_Toc221095429">
            <w:r w:rsidRPr="00F42375" w:rsidR="00A65D8D">
              <w:rPr>
                <w:rStyle w:val="Lienhypertexte"/>
                <w:noProof/>
              </w:rPr>
              <w:t>1.</w:t>
            </w:r>
            <w:r w:rsidR="00A65D8D">
              <w:rPr>
                <w:rFonts w:asciiTheme="minorHAnsi" w:hAnsiTheme="minorHAnsi" w:eastAsiaTheme="minorEastAsia" w:cstheme="minorBidi"/>
                <w:b w:val="0"/>
                <w:bCs w:val="0"/>
                <w:i w:val="0"/>
                <w:iCs w:val="0"/>
                <w:noProof/>
                <w:kern w:val="2"/>
                <w14:ligatures w14:val="standardContextual"/>
              </w:rPr>
              <w:tab/>
            </w:r>
            <w:r w:rsidRPr="00F42375" w:rsidR="00A65D8D">
              <w:rPr>
                <w:rStyle w:val="Lienhypertexte"/>
                <w:noProof/>
              </w:rPr>
              <w:t>PREAMBULE</w:t>
            </w:r>
            <w:r w:rsidR="00A65D8D">
              <w:rPr>
                <w:noProof/>
                <w:webHidden/>
              </w:rPr>
              <w:tab/>
            </w:r>
            <w:r w:rsidR="00A65D8D">
              <w:rPr>
                <w:noProof/>
                <w:webHidden/>
              </w:rPr>
              <w:fldChar w:fldCharType="begin"/>
            </w:r>
            <w:r w:rsidR="00A65D8D">
              <w:rPr>
                <w:noProof/>
                <w:webHidden/>
              </w:rPr>
              <w:instrText xml:space="preserve"> PAGEREF _Toc221095429 \h </w:instrText>
            </w:r>
            <w:r w:rsidR="00A65D8D">
              <w:rPr>
                <w:noProof/>
                <w:webHidden/>
              </w:rPr>
            </w:r>
            <w:r w:rsidR="00A65D8D">
              <w:rPr>
                <w:noProof/>
                <w:webHidden/>
              </w:rPr>
              <w:fldChar w:fldCharType="separate"/>
            </w:r>
            <w:r w:rsidR="00A65D8D">
              <w:rPr>
                <w:noProof/>
                <w:webHidden/>
              </w:rPr>
              <w:t>6</w:t>
            </w:r>
            <w:r w:rsidR="00A65D8D">
              <w:rPr>
                <w:noProof/>
                <w:webHidden/>
              </w:rPr>
              <w:fldChar w:fldCharType="end"/>
            </w:r>
          </w:hyperlink>
        </w:p>
        <w:p w:rsidR="00A65D8D" w:rsidRDefault="00000000" w14:paraId="1DDE8B5C" w14:textId="50D2E462">
          <w:pPr>
            <w:pStyle w:val="TM1"/>
            <w:rPr>
              <w:rFonts w:asciiTheme="minorHAnsi" w:hAnsiTheme="minorHAnsi" w:eastAsiaTheme="minorEastAsia" w:cstheme="minorBidi"/>
              <w:b w:val="0"/>
              <w:bCs w:val="0"/>
              <w:i w:val="0"/>
              <w:iCs w:val="0"/>
              <w:noProof/>
              <w:kern w:val="2"/>
              <w14:ligatures w14:val="standardContextual"/>
            </w:rPr>
          </w:pPr>
          <w:hyperlink w:history="1" w:anchor="_Toc221095430">
            <w:r w:rsidRPr="00F42375" w:rsidR="00A65D8D">
              <w:rPr>
                <w:rStyle w:val="Lienhypertexte"/>
                <w:noProof/>
              </w:rPr>
              <w:t>2.</w:t>
            </w:r>
            <w:r w:rsidR="00A65D8D">
              <w:rPr>
                <w:rFonts w:asciiTheme="minorHAnsi" w:hAnsiTheme="minorHAnsi" w:eastAsiaTheme="minorEastAsia" w:cstheme="minorBidi"/>
                <w:b w:val="0"/>
                <w:bCs w:val="0"/>
                <w:i w:val="0"/>
                <w:iCs w:val="0"/>
                <w:noProof/>
                <w:kern w:val="2"/>
                <w14:ligatures w14:val="standardContextual"/>
              </w:rPr>
              <w:tab/>
            </w:r>
            <w:r w:rsidRPr="00F42375" w:rsidR="00A65D8D">
              <w:rPr>
                <w:rStyle w:val="Lienhypertexte"/>
                <w:noProof/>
              </w:rPr>
              <w:t>Présentation et contexte de l’accord-cadre</w:t>
            </w:r>
            <w:r w:rsidR="00A65D8D">
              <w:rPr>
                <w:noProof/>
                <w:webHidden/>
              </w:rPr>
              <w:tab/>
            </w:r>
            <w:r w:rsidR="00A65D8D">
              <w:rPr>
                <w:noProof/>
                <w:webHidden/>
              </w:rPr>
              <w:fldChar w:fldCharType="begin"/>
            </w:r>
            <w:r w:rsidR="00A65D8D">
              <w:rPr>
                <w:noProof/>
                <w:webHidden/>
              </w:rPr>
              <w:instrText xml:space="preserve"> PAGEREF _Toc221095430 \h </w:instrText>
            </w:r>
            <w:r w:rsidR="00A65D8D">
              <w:rPr>
                <w:noProof/>
                <w:webHidden/>
              </w:rPr>
            </w:r>
            <w:r w:rsidR="00A65D8D">
              <w:rPr>
                <w:noProof/>
                <w:webHidden/>
              </w:rPr>
              <w:fldChar w:fldCharType="separate"/>
            </w:r>
            <w:r w:rsidR="00A65D8D">
              <w:rPr>
                <w:noProof/>
                <w:webHidden/>
              </w:rPr>
              <w:t>7</w:t>
            </w:r>
            <w:r w:rsidR="00A65D8D">
              <w:rPr>
                <w:noProof/>
                <w:webHidden/>
              </w:rPr>
              <w:fldChar w:fldCharType="end"/>
            </w:r>
          </w:hyperlink>
        </w:p>
        <w:p w:rsidR="00A65D8D" w:rsidRDefault="00000000" w14:paraId="7D951046" w14:textId="0F4AF264">
          <w:pPr>
            <w:pStyle w:val="TM2"/>
            <w:rPr>
              <w:rFonts w:asciiTheme="minorHAnsi" w:hAnsiTheme="minorHAnsi" w:eastAsiaTheme="minorEastAsia" w:cstheme="minorBidi"/>
              <w:bCs w:val="0"/>
              <w:noProof/>
              <w:kern w:val="2"/>
              <w:sz w:val="24"/>
              <w:szCs w:val="24"/>
              <w14:ligatures w14:val="standardContextual"/>
            </w:rPr>
          </w:pPr>
          <w:hyperlink w:history="1" w:anchor="_Toc221095431">
            <w:r w:rsidRPr="00F42375" w:rsidR="00A65D8D">
              <w:rPr>
                <w:rStyle w:val="Lienhypertexte"/>
                <w:rFonts w:ascii="Calibri" w:hAnsi="Calibri"/>
                <w:noProof/>
              </w:rPr>
              <w:t>2.1.</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Objet</w:t>
            </w:r>
            <w:r w:rsidR="00A65D8D">
              <w:rPr>
                <w:noProof/>
                <w:webHidden/>
              </w:rPr>
              <w:tab/>
            </w:r>
            <w:r w:rsidR="00A65D8D">
              <w:rPr>
                <w:noProof/>
                <w:webHidden/>
              </w:rPr>
              <w:fldChar w:fldCharType="begin"/>
            </w:r>
            <w:r w:rsidR="00A65D8D">
              <w:rPr>
                <w:noProof/>
                <w:webHidden/>
              </w:rPr>
              <w:instrText xml:space="preserve"> PAGEREF _Toc221095431 \h </w:instrText>
            </w:r>
            <w:r w:rsidR="00A65D8D">
              <w:rPr>
                <w:noProof/>
                <w:webHidden/>
              </w:rPr>
            </w:r>
            <w:r w:rsidR="00A65D8D">
              <w:rPr>
                <w:noProof/>
                <w:webHidden/>
              </w:rPr>
              <w:fldChar w:fldCharType="separate"/>
            </w:r>
            <w:r w:rsidR="00A65D8D">
              <w:rPr>
                <w:noProof/>
                <w:webHidden/>
              </w:rPr>
              <w:t>7</w:t>
            </w:r>
            <w:r w:rsidR="00A65D8D">
              <w:rPr>
                <w:noProof/>
                <w:webHidden/>
              </w:rPr>
              <w:fldChar w:fldCharType="end"/>
            </w:r>
          </w:hyperlink>
        </w:p>
        <w:p w:rsidR="00A65D8D" w:rsidRDefault="00000000" w14:paraId="5A9E550C" w14:textId="65B2DE90">
          <w:pPr>
            <w:pStyle w:val="TM2"/>
            <w:rPr>
              <w:rFonts w:asciiTheme="minorHAnsi" w:hAnsiTheme="minorHAnsi" w:eastAsiaTheme="minorEastAsia" w:cstheme="minorBidi"/>
              <w:bCs w:val="0"/>
              <w:noProof/>
              <w:kern w:val="2"/>
              <w:sz w:val="24"/>
              <w:szCs w:val="24"/>
              <w14:ligatures w14:val="standardContextual"/>
            </w:rPr>
          </w:pPr>
          <w:hyperlink w:history="1" w:anchor="_Toc221095432">
            <w:r w:rsidRPr="00F42375" w:rsidR="00A65D8D">
              <w:rPr>
                <w:rStyle w:val="Lienhypertexte"/>
                <w:rFonts w:ascii="Calibri" w:hAnsi="Calibri"/>
                <w:noProof/>
              </w:rPr>
              <w:t>2.2.</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Présentation d’INRAE</w:t>
            </w:r>
            <w:r w:rsidR="00A65D8D">
              <w:rPr>
                <w:noProof/>
                <w:webHidden/>
              </w:rPr>
              <w:tab/>
            </w:r>
            <w:r w:rsidR="00A65D8D">
              <w:rPr>
                <w:noProof/>
                <w:webHidden/>
              </w:rPr>
              <w:fldChar w:fldCharType="begin"/>
            </w:r>
            <w:r w:rsidR="00A65D8D">
              <w:rPr>
                <w:noProof/>
                <w:webHidden/>
              </w:rPr>
              <w:instrText xml:space="preserve"> PAGEREF _Toc221095432 \h </w:instrText>
            </w:r>
            <w:r w:rsidR="00A65D8D">
              <w:rPr>
                <w:noProof/>
                <w:webHidden/>
              </w:rPr>
            </w:r>
            <w:r w:rsidR="00A65D8D">
              <w:rPr>
                <w:noProof/>
                <w:webHidden/>
              </w:rPr>
              <w:fldChar w:fldCharType="separate"/>
            </w:r>
            <w:r w:rsidR="00A65D8D">
              <w:rPr>
                <w:noProof/>
                <w:webHidden/>
              </w:rPr>
              <w:t>7</w:t>
            </w:r>
            <w:r w:rsidR="00A65D8D">
              <w:rPr>
                <w:noProof/>
                <w:webHidden/>
              </w:rPr>
              <w:fldChar w:fldCharType="end"/>
            </w:r>
          </w:hyperlink>
        </w:p>
        <w:p w:rsidR="00A65D8D" w:rsidRDefault="00000000" w14:paraId="0731A4E0" w14:textId="73C74408">
          <w:pPr>
            <w:pStyle w:val="TM3"/>
            <w:rPr>
              <w:rFonts w:asciiTheme="minorHAnsi" w:hAnsiTheme="minorHAnsi" w:eastAsiaTheme="minorEastAsia" w:cstheme="minorBidi"/>
              <w:i w:val="0"/>
              <w:noProof/>
              <w:kern w:val="2"/>
              <w:sz w:val="24"/>
              <w:szCs w:val="24"/>
              <w14:ligatures w14:val="standardContextual"/>
            </w:rPr>
          </w:pPr>
          <w:hyperlink w:history="1" w:anchor="_Toc221095433">
            <w:r w:rsidRPr="00F42375" w:rsidR="00A65D8D">
              <w:rPr>
                <w:rStyle w:val="Lienhypertexte"/>
                <w:rFonts w:ascii="Calibri" w:hAnsi="Calibri"/>
                <w:noProof/>
              </w:rPr>
              <w:t>2.2.1.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Les Départements de recherche INRAE</w:t>
            </w:r>
            <w:r w:rsidR="00A65D8D">
              <w:rPr>
                <w:noProof/>
                <w:webHidden/>
              </w:rPr>
              <w:tab/>
            </w:r>
            <w:r w:rsidR="00A65D8D">
              <w:rPr>
                <w:noProof/>
                <w:webHidden/>
              </w:rPr>
              <w:fldChar w:fldCharType="begin"/>
            </w:r>
            <w:r w:rsidR="00A65D8D">
              <w:rPr>
                <w:noProof/>
                <w:webHidden/>
              </w:rPr>
              <w:instrText xml:space="preserve"> PAGEREF _Toc221095433 \h </w:instrText>
            </w:r>
            <w:r w:rsidR="00A65D8D">
              <w:rPr>
                <w:noProof/>
                <w:webHidden/>
              </w:rPr>
            </w:r>
            <w:r w:rsidR="00A65D8D">
              <w:rPr>
                <w:noProof/>
                <w:webHidden/>
              </w:rPr>
              <w:fldChar w:fldCharType="separate"/>
            </w:r>
            <w:r w:rsidR="00A65D8D">
              <w:rPr>
                <w:noProof/>
                <w:webHidden/>
              </w:rPr>
              <w:t>8</w:t>
            </w:r>
            <w:r w:rsidR="00A65D8D">
              <w:rPr>
                <w:noProof/>
                <w:webHidden/>
              </w:rPr>
              <w:fldChar w:fldCharType="end"/>
            </w:r>
          </w:hyperlink>
        </w:p>
        <w:p w:rsidR="00A65D8D" w:rsidRDefault="00000000" w14:paraId="168ECDFD" w14:textId="142B4037">
          <w:pPr>
            <w:pStyle w:val="TM3"/>
            <w:rPr>
              <w:rFonts w:asciiTheme="minorHAnsi" w:hAnsiTheme="minorHAnsi" w:eastAsiaTheme="minorEastAsia" w:cstheme="minorBidi"/>
              <w:i w:val="0"/>
              <w:noProof/>
              <w:kern w:val="2"/>
              <w:sz w:val="24"/>
              <w:szCs w:val="24"/>
              <w14:ligatures w14:val="standardContextual"/>
            </w:rPr>
          </w:pPr>
          <w:hyperlink w:history="1" w:anchor="_Toc221095434">
            <w:r w:rsidRPr="00F42375" w:rsidR="00A65D8D">
              <w:rPr>
                <w:rStyle w:val="Lienhypertexte"/>
                <w:rFonts w:ascii="Calibri" w:hAnsi="Calibri"/>
                <w:noProof/>
              </w:rPr>
              <w:t>2.2.2.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Les unités</w:t>
            </w:r>
            <w:r w:rsidR="00A65D8D">
              <w:rPr>
                <w:noProof/>
                <w:webHidden/>
              </w:rPr>
              <w:tab/>
            </w:r>
            <w:r w:rsidR="00A65D8D">
              <w:rPr>
                <w:noProof/>
                <w:webHidden/>
              </w:rPr>
              <w:fldChar w:fldCharType="begin"/>
            </w:r>
            <w:r w:rsidR="00A65D8D">
              <w:rPr>
                <w:noProof/>
                <w:webHidden/>
              </w:rPr>
              <w:instrText xml:space="preserve"> PAGEREF _Toc221095434 \h </w:instrText>
            </w:r>
            <w:r w:rsidR="00A65D8D">
              <w:rPr>
                <w:noProof/>
                <w:webHidden/>
              </w:rPr>
            </w:r>
            <w:r w:rsidR="00A65D8D">
              <w:rPr>
                <w:noProof/>
                <w:webHidden/>
              </w:rPr>
              <w:fldChar w:fldCharType="separate"/>
            </w:r>
            <w:r w:rsidR="00A65D8D">
              <w:rPr>
                <w:noProof/>
                <w:webHidden/>
              </w:rPr>
              <w:t>9</w:t>
            </w:r>
            <w:r w:rsidR="00A65D8D">
              <w:rPr>
                <w:noProof/>
                <w:webHidden/>
              </w:rPr>
              <w:fldChar w:fldCharType="end"/>
            </w:r>
          </w:hyperlink>
        </w:p>
        <w:p w:rsidR="00A65D8D" w:rsidRDefault="00000000" w14:paraId="7F81279E" w14:textId="0B6B42C5">
          <w:pPr>
            <w:pStyle w:val="TM3"/>
            <w:rPr>
              <w:rFonts w:asciiTheme="minorHAnsi" w:hAnsiTheme="minorHAnsi" w:eastAsiaTheme="minorEastAsia" w:cstheme="minorBidi"/>
              <w:i w:val="0"/>
              <w:noProof/>
              <w:kern w:val="2"/>
              <w:sz w:val="24"/>
              <w:szCs w:val="24"/>
              <w14:ligatures w14:val="standardContextual"/>
            </w:rPr>
          </w:pPr>
          <w:hyperlink w:history="1" w:anchor="_Toc221095435">
            <w:r w:rsidRPr="00F42375" w:rsidR="00A65D8D">
              <w:rPr>
                <w:rStyle w:val="Lienhypertexte"/>
                <w:rFonts w:ascii="Calibri" w:hAnsi="Calibri"/>
                <w:noProof/>
              </w:rPr>
              <w:t>2.2.3.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Le siège</w:t>
            </w:r>
            <w:r w:rsidR="00A65D8D">
              <w:rPr>
                <w:noProof/>
                <w:webHidden/>
              </w:rPr>
              <w:tab/>
            </w:r>
            <w:r w:rsidR="00A65D8D">
              <w:rPr>
                <w:noProof/>
                <w:webHidden/>
              </w:rPr>
              <w:fldChar w:fldCharType="begin"/>
            </w:r>
            <w:r w:rsidR="00A65D8D">
              <w:rPr>
                <w:noProof/>
                <w:webHidden/>
              </w:rPr>
              <w:instrText xml:space="preserve"> PAGEREF _Toc221095435 \h </w:instrText>
            </w:r>
            <w:r w:rsidR="00A65D8D">
              <w:rPr>
                <w:noProof/>
                <w:webHidden/>
              </w:rPr>
            </w:r>
            <w:r w:rsidR="00A65D8D">
              <w:rPr>
                <w:noProof/>
                <w:webHidden/>
              </w:rPr>
              <w:fldChar w:fldCharType="separate"/>
            </w:r>
            <w:r w:rsidR="00A65D8D">
              <w:rPr>
                <w:noProof/>
                <w:webHidden/>
              </w:rPr>
              <w:t>9</w:t>
            </w:r>
            <w:r w:rsidR="00A65D8D">
              <w:rPr>
                <w:noProof/>
                <w:webHidden/>
              </w:rPr>
              <w:fldChar w:fldCharType="end"/>
            </w:r>
          </w:hyperlink>
        </w:p>
        <w:p w:rsidR="00A65D8D" w:rsidRDefault="00000000" w14:paraId="18D9C7E5" w14:textId="63DFEA9C">
          <w:pPr>
            <w:pStyle w:val="TM3"/>
            <w:rPr>
              <w:rFonts w:asciiTheme="minorHAnsi" w:hAnsiTheme="minorHAnsi" w:eastAsiaTheme="minorEastAsia" w:cstheme="minorBidi"/>
              <w:i w:val="0"/>
              <w:noProof/>
              <w:kern w:val="2"/>
              <w:sz w:val="24"/>
              <w:szCs w:val="24"/>
              <w14:ligatures w14:val="standardContextual"/>
            </w:rPr>
          </w:pPr>
          <w:hyperlink w:history="1" w:anchor="_Toc221095436">
            <w:r w:rsidRPr="00F42375" w:rsidR="00A65D8D">
              <w:rPr>
                <w:rStyle w:val="Lienhypertexte"/>
                <w:rFonts w:ascii="Calibri" w:hAnsi="Calibri"/>
                <w:noProof/>
              </w:rPr>
              <w:t>2.2.4.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Les centres</w:t>
            </w:r>
            <w:r w:rsidR="00A65D8D">
              <w:rPr>
                <w:noProof/>
                <w:webHidden/>
              </w:rPr>
              <w:tab/>
            </w:r>
            <w:r w:rsidR="00A65D8D">
              <w:rPr>
                <w:noProof/>
                <w:webHidden/>
              </w:rPr>
              <w:fldChar w:fldCharType="begin"/>
            </w:r>
            <w:r w:rsidR="00A65D8D">
              <w:rPr>
                <w:noProof/>
                <w:webHidden/>
              </w:rPr>
              <w:instrText xml:space="preserve"> PAGEREF _Toc221095436 \h </w:instrText>
            </w:r>
            <w:r w:rsidR="00A65D8D">
              <w:rPr>
                <w:noProof/>
                <w:webHidden/>
              </w:rPr>
            </w:r>
            <w:r w:rsidR="00A65D8D">
              <w:rPr>
                <w:noProof/>
                <w:webHidden/>
              </w:rPr>
              <w:fldChar w:fldCharType="separate"/>
            </w:r>
            <w:r w:rsidR="00A65D8D">
              <w:rPr>
                <w:noProof/>
                <w:webHidden/>
              </w:rPr>
              <w:t>9</w:t>
            </w:r>
            <w:r w:rsidR="00A65D8D">
              <w:rPr>
                <w:noProof/>
                <w:webHidden/>
              </w:rPr>
              <w:fldChar w:fldCharType="end"/>
            </w:r>
          </w:hyperlink>
        </w:p>
        <w:p w:rsidR="00A65D8D" w:rsidRDefault="00000000" w14:paraId="75D65A74" w14:textId="0DD1D940">
          <w:pPr>
            <w:pStyle w:val="TM3"/>
            <w:rPr>
              <w:rFonts w:asciiTheme="minorHAnsi" w:hAnsiTheme="minorHAnsi" w:eastAsiaTheme="minorEastAsia" w:cstheme="minorBidi"/>
              <w:i w:val="0"/>
              <w:noProof/>
              <w:kern w:val="2"/>
              <w:sz w:val="24"/>
              <w:szCs w:val="24"/>
              <w14:ligatures w14:val="standardContextual"/>
            </w:rPr>
          </w:pPr>
          <w:hyperlink w:history="1" w:anchor="_Toc221095437">
            <w:r w:rsidRPr="00F42375" w:rsidR="00A65D8D">
              <w:rPr>
                <w:rStyle w:val="Lienhypertexte"/>
                <w:rFonts w:ascii="Calibri" w:hAnsi="Calibri"/>
                <w:noProof/>
              </w:rPr>
              <w:t>2.2.5.</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Éléments contextuels de l’accord-cadre</w:t>
            </w:r>
            <w:r w:rsidR="00A65D8D">
              <w:rPr>
                <w:noProof/>
                <w:webHidden/>
              </w:rPr>
              <w:tab/>
            </w:r>
            <w:r w:rsidR="00A65D8D">
              <w:rPr>
                <w:noProof/>
                <w:webHidden/>
              </w:rPr>
              <w:fldChar w:fldCharType="begin"/>
            </w:r>
            <w:r w:rsidR="00A65D8D">
              <w:rPr>
                <w:noProof/>
                <w:webHidden/>
              </w:rPr>
              <w:instrText xml:space="preserve"> PAGEREF _Toc221095437 \h </w:instrText>
            </w:r>
            <w:r w:rsidR="00A65D8D">
              <w:rPr>
                <w:noProof/>
                <w:webHidden/>
              </w:rPr>
            </w:r>
            <w:r w:rsidR="00A65D8D">
              <w:rPr>
                <w:noProof/>
                <w:webHidden/>
              </w:rPr>
              <w:fldChar w:fldCharType="separate"/>
            </w:r>
            <w:r w:rsidR="00A65D8D">
              <w:rPr>
                <w:noProof/>
                <w:webHidden/>
              </w:rPr>
              <w:t>10</w:t>
            </w:r>
            <w:r w:rsidR="00A65D8D">
              <w:rPr>
                <w:noProof/>
                <w:webHidden/>
              </w:rPr>
              <w:fldChar w:fldCharType="end"/>
            </w:r>
          </w:hyperlink>
        </w:p>
        <w:p w:rsidR="00A65D8D" w:rsidRDefault="00000000" w14:paraId="3B59122C" w14:textId="0812E75D">
          <w:pPr>
            <w:pStyle w:val="TM2"/>
            <w:rPr>
              <w:rFonts w:asciiTheme="minorHAnsi" w:hAnsiTheme="minorHAnsi" w:eastAsiaTheme="minorEastAsia" w:cstheme="minorBidi"/>
              <w:bCs w:val="0"/>
              <w:noProof/>
              <w:kern w:val="2"/>
              <w:sz w:val="24"/>
              <w:szCs w:val="24"/>
              <w14:ligatures w14:val="standardContextual"/>
            </w:rPr>
          </w:pPr>
          <w:hyperlink w:history="1" w:anchor="_Toc221095438">
            <w:r w:rsidRPr="00F42375" w:rsidR="00A65D8D">
              <w:rPr>
                <w:rStyle w:val="Lienhypertexte"/>
                <w:rFonts w:ascii="Calibri" w:hAnsi="Calibri"/>
                <w:noProof/>
              </w:rPr>
              <w:t>2.3.</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_Toc221095438 \h </w:instrText>
            </w:r>
            <w:r w:rsidR="00A65D8D">
              <w:rPr>
                <w:noProof/>
                <w:webHidden/>
              </w:rPr>
            </w:r>
            <w:r w:rsidR="00A65D8D">
              <w:rPr>
                <w:noProof/>
                <w:webHidden/>
              </w:rPr>
              <w:fldChar w:fldCharType="separate"/>
            </w:r>
            <w:r w:rsidR="00A65D8D">
              <w:rPr>
                <w:noProof/>
                <w:webHidden/>
              </w:rPr>
              <w:t>15</w:t>
            </w:r>
            <w:r w:rsidR="00A65D8D">
              <w:rPr>
                <w:noProof/>
                <w:webHidden/>
              </w:rPr>
              <w:fldChar w:fldCharType="end"/>
            </w:r>
          </w:hyperlink>
        </w:p>
        <w:p w:rsidR="00A65D8D" w:rsidRDefault="00000000" w14:paraId="631AE98A" w14:textId="7E849A7C">
          <w:pPr>
            <w:pStyle w:val="TM3"/>
            <w:rPr>
              <w:rFonts w:asciiTheme="minorHAnsi" w:hAnsiTheme="minorHAnsi" w:eastAsiaTheme="minorEastAsia" w:cstheme="minorBidi"/>
              <w:i w:val="0"/>
              <w:noProof/>
              <w:kern w:val="2"/>
              <w:sz w:val="24"/>
              <w:szCs w:val="24"/>
              <w14:ligatures w14:val="standardContextual"/>
            </w:rPr>
          </w:pPr>
          <w:hyperlink w:history="1" w:anchor="_Toc221095439">
            <w:r w:rsidRPr="00F42375" w:rsidR="00A65D8D">
              <w:rPr>
                <w:rStyle w:val="Lienhypertexte"/>
                <w:rFonts w:ascii="Calibri" w:hAnsi="Calibri"/>
                <w:noProof/>
              </w:rPr>
              <w:t>2.3.1.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Consolider la capacité en développement de socles techniques</w:t>
            </w:r>
            <w:r w:rsidR="00A65D8D">
              <w:rPr>
                <w:noProof/>
                <w:webHidden/>
              </w:rPr>
              <w:tab/>
            </w:r>
            <w:r w:rsidR="00A65D8D">
              <w:rPr>
                <w:noProof/>
                <w:webHidden/>
              </w:rPr>
              <w:fldChar w:fldCharType="begin"/>
            </w:r>
            <w:r w:rsidR="00A65D8D">
              <w:rPr>
                <w:noProof/>
                <w:webHidden/>
              </w:rPr>
              <w:instrText xml:space="preserve"> PAGEREF _Toc221095439 \h </w:instrText>
            </w:r>
            <w:r w:rsidR="00A65D8D">
              <w:rPr>
                <w:noProof/>
                <w:webHidden/>
              </w:rPr>
            </w:r>
            <w:r w:rsidR="00A65D8D">
              <w:rPr>
                <w:noProof/>
                <w:webHidden/>
              </w:rPr>
              <w:fldChar w:fldCharType="separate"/>
            </w:r>
            <w:r w:rsidR="00A65D8D">
              <w:rPr>
                <w:noProof/>
                <w:webHidden/>
              </w:rPr>
              <w:t>15</w:t>
            </w:r>
            <w:r w:rsidR="00A65D8D">
              <w:rPr>
                <w:noProof/>
                <w:webHidden/>
              </w:rPr>
              <w:fldChar w:fldCharType="end"/>
            </w:r>
          </w:hyperlink>
        </w:p>
        <w:p w:rsidR="00A65D8D" w:rsidRDefault="00000000" w14:paraId="1A7E3EE2" w14:textId="0E3FC516">
          <w:pPr>
            <w:pStyle w:val="TM3"/>
            <w:rPr>
              <w:rFonts w:asciiTheme="minorHAnsi" w:hAnsiTheme="minorHAnsi" w:eastAsiaTheme="minorEastAsia" w:cstheme="minorBidi"/>
              <w:i w:val="0"/>
              <w:noProof/>
              <w:kern w:val="2"/>
              <w:sz w:val="24"/>
              <w:szCs w:val="24"/>
              <w14:ligatures w14:val="standardContextual"/>
            </w:rPr>
          </w:pPr>
          <w:hyperlink w:history="1" w:anchor="_Toc221095440">
            <w:r w:rsidRPr="00F42375" w:rsidR="00A65D8D">
              <w:rPr>
                <w:rStyle w:val="Lienhypertexte"/>
                <w:rFonts w:ascii="Calibri" w:hAnsi="Calibri"/>
                <w:noProof/>
              </w:rPr>
              <w:t>2.3.2.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Développer l’offre de service portée par les plateformes dans un contexte multiple</w:t>
            </w:r>
            <w:r w:rsidR="00A65D8D">
              <w:rPr>
                <w:noProof/>
                <w:webHidden/>
              </w:rPr>
              <w:tab/>
            </w:r>
            <w:r w:rsidR="00A65D8D">
              <w:rPr>
                <w:noProof/>
                <w:webHidden/>
              </w:rPr>
              <w:fldChar w:fldCharType="begin"/>
            </w:r>
            <w:r w:rsidR="00A65D8D">
              <w:rPr>
                <w:noProof/>
                <w:webHidden/>
              </w:rPr>
              <w:instrText xml:space="preserve"> PAGEREF _Toc221095440 \h </w:instrText>
            </w:r>
            <w:r w:rsidR="00A65D8D">
              <w:rPr>
                <w:noProof/>
                <w:webHidden/>
              </w:rPr>
            </w:r>
            <w:r w:rsidR="00A65D8D">
              <w:rPr>
                <w:noProof/>
                <w:webHidden/>
              </w:rPr>
              <w:fldChar w:fldCharType="separate"/>
            </w:r>
            <w:r w:rsidR="00A65D8D">
              <w:rPr>
                <w:noProof/>
                <w:webHidden/>
              </w:rPr>
              <w:t>15</w:t>
            </w:r>
            <w:r w:rsidR="00A65D8D">
              <w:rPr>
                <w:noProof/>
                <w:webHidden/>
              </w:rPr>
              <w:fldChar w:fldCharType="end"/>
            </w:r>
          </w:hyperlink>
        </w:p>
        <w:p w:rsidR="00A65D8D" w:rsidRDefault="00000000" w14:paraId="783F1F38" w14:textId="071F90CF">
          <w:pPr>
            <w:pStyle w:val="TM3"/>
            <w:rPr>
              <w:rFonts w:asciiTheme="minorHAnsi" w:hAnsiTheme="minorHAnsi" w:eastAsiaTheme="minorEastAsia" w:cstheme="minorBidi"/>
              <w:i w:val="0"/>
              <w:noProof/>
              <w:kern w:val="2"/>
              <w:sz w:val="24"/>
              <w:szCs w:val="24"/>
              <w14:ligatures w14:val="standardContextual"/>
            </w:rPr>
          </w:pPr>
          <w:hyperlink w:history="1" w:anchor="_Toc221095441">
            <w:r w:rsidRPr="00F42375" w:rsidR="00A65D8D">
              <w:rPr>
                <w:rStyle w:val="Lienhypertexte"/>
                <w:rFonts w:ascii="Calibri" w:hAnsi="Calibri"/>
                <w:noProof/>
              </w:rPr>
              <w:t>2.3.3.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Administration/gestion des outils</w:t>
            </w:r>
            <w:r w:rsidR="00A65D8D">
              <w:rPr>
                <w:noProof/>
                <w:webHidden/>
              </w:rPr>
              <w:tab/>
            </w:r>
            <w:r w:rsidR="00A65D8D">
              <w:rPr>
                <w:noProof/>
                <w:webHidden/>
              </w:rPr>
              <w:fldChar w:fldCharType="begin"/>
            </w:r>
            <w:r w:rsidR="00A65D8D">
              <w:rPr>
                <w:noProof/>
                <w:webHidden/>
              </w:rPr>
              <w:instrText xml:space="preserve"> PAGEREF _Toc221095441 \h </w:instrText>
            </w:r>
            <w:r w:rsidR="00A65D8D">
              <w:rPr>
                <w:noProof/>
                <w:webHidden/>
              </w:rPr>
            </w:r>
            <w:r w:rsidR="00A65D8D">
              <w:rPr>
                <w:noProof/>
                <w:webHidden/>
              </w:rPr>
              <w:fldChar w:fldCharType="separate"/>
            </w:r>
            <w:r w:rsidR="00A65D8D">
              <w:rPr>
                <w:noProof/>
                <w:webHidden/>
              </w:rPr>
              <w:t>16</w:t>
            </w:r>
            <w:r w:rsidR="00A65D8D">
              <w:rPr>
                <w:noProof/>
                <w:webHidden/>
              </w:rPr>
              <w:fldChar w:fldCharType="end"/>
            </w:r>
          </w:hyperlink>
        </w:p>
        <w:p w:rsidR="00A65D8D" w:rsidRDefault="00000000" w14:paraId="289D8D3F" w14:textId="02EB7D42">
          <w:pPr>
            <w:pStyle w:val="TM3"/>
            <w:rPr>
              <w:rFonts w:asciiTheme="minorHAnsi" w:hAnsiTheme="minorHAnsi" w:eastAsiaTheme="minorEastAsia" w:cstheme="minorBidi"/>
              <w:i w:val="0"/>
              <w:noProof/>
              <w:kern w:val="2"/>
              <w:sz w:val="24"/>
              <w:szCs w:val="24"/>
              <w14:ligatures w14:val="standardContextual"/>
            </w:rPr>
          </w:pPr>
          <w:hyperlink w:history="1" w:anchor="_Toc221095442">
            <w:r w:rsidRPr="00F42375" w:rsidR="00A65D8D">
              <w:rPr>
                <w:rStyle w:val="Lienhypertexte"/>
                <w:rFonts w:ascii="Calibri" w:hAnsi="Calibri"/>
                <w:noProof/>
              </w:rPr>
              <w:t>2.3.4.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Gestion de la qualité/conformité et sécurité des développements</w:t>
            </w:r>
            <w:r w:rsidR="00A65D8D">
              <w:rPr>
                <w:noProof/>
                <w:webHidden/>
              </w:rPr>
              <w:tab/>
            </w:r>
            <w:r w:rsidR="00A65D8D">
              <w:rPr>
                <w:noProof/>
                <w:webHidden/>
              </w:rPr>
              <w:fldChar w:fldCharType="begin"/>
            </w:r>
            <w:r w:rsidR="00A65D8D">
              <w:rPr>
                <w:noProof/>
                <w:webHidden/>
              </w:rPr>
              <w:instrText xml:space="preserve"> PAGEREF _Toc221095442 \h </w:instrText>
            </w:r>
            <w:r w:rsidR="00A65D8D">
              <w:rPr>
                <w:noProof/>
                <w:webHidden/>
              </w:rPr>
            </w:r>
            <w:r w:rsidR="00A65D8D">
              <w:rPr>
                <w:noProof/>
                <w:webHidden/>
              </w:rPr>
              <w:fldChar w:fldCharType="separate"/>
            </w:r>
            <w:r w:rsidR="00A65D8D">
              <w:rPr>
                <w:noProof/>
                <w:webHidden/>
              </w:rPr>
              <w:t>16</w:t>
            </w:r>
            <w:r w:rsidR="00A65D8D">
              <w:rPr>
                <w:noProof/>
                <w:webHidden/>
              </w:rPr>
              <w:fldChar w:fldCharType="end"/>
            </w:r>
          </w:hyperlink>
        </w:p>
        <w:p w:rsidR="00A65D8D" w:rsidRDefault="00000000" w14:paraId="3F4084ED" w14:textId="69B18BA5">
          <w:pPr>
            <w:pStyle w:val="TM3"/>
            <w:rPr>
              <w:rFonts w:asciiTheme="minorHAnsi" w:hAnsiTheme="minorHAnsi" w:eastAsiaTheme="minorEastAsia" w:cstheme="minorBidi"/>
              <w:i w:val="0"/>
              <w:noProof/>
              <w:kern w:val="2"/>
              <w:sz w:val="24"/>
              <w:szCs w:val="24"/>
              <w14:ligatures w14:val="standardContextual"/>
            </w:rPr>
          </w:pPr>
          <w:hyperlink w:history="1" w:anchor="_Toc221095443">
            <w:r w:rsidRPr="00F42375" w:rsidR="00A65D8D">
              <w:rPr>
                <w:rStyle w:val="Lienhypertexte"/>
                <w:rFonts w:ascii="Calibri" w:hAnsi="Calibri"/>
                <w:noProof/>
              </w:rPr>
              <w:t>2.3.5.</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Autres éléments explicatifs</w:t>
            </w:r>
            <w:r w:rsidR="00A65D8D">
              <w:rPr>
                <w:noProof/>
                <w:webHidden/>
              </w:rPr>
              <w:tab/>
            </w:r>
            <w:r w:rsidR="00A65D8D">
              <w:rPr>
                <w:noProof/>
                <w:webHidden/>
              </w:rPr>
              <w:fldChar w:fldCharType="begin"/>
            </w:r>
            <w:r w:rsidR="00A65D8D">
              <w:rPr>
                <w:noProof/>
                <w:webHidden/>
              </w:rPr>
              <w:instrText xml:space="preserve"> PAGEREF _Toc221095443 \h </w:instrText>
            </w:r>
            <w:r w:rsidR="00A65D8D">
              <w:rPr>
                <w:noProof/>
                <w:webHidden/>
              </w:rPr>
            </w:r>
            <w:r w:rsidR="00A65D8D">
              <w:rPr>
                <w:noProof/>
                <w:webHidden/>
              </w:rPr>
              <w:fldChar w:fldCharType="separate"/>
            </w:r>
            <w:r w:rsidR="00A65D8D">
              <w:rPr>
                <w:noProof/>
                <w:webHidden/>
              </w:rPr>
              <w:t>16</w:t>
            </w:r>
            <w:r w:rsidR="00A65D8D">
              <w:rPr>
                <w:noProof/>
                <w:webHidden/>
              </w:rPr>
              <w:fldChar w:fldCharType="end"/>
            </w:r>
          </w:hyperlink>
        </w:p>
        <w:p w:rsidR="00A65D8D" w:rsidRDefault="00000000" w14:paraId="2938462D" w14:textId="0957558D">
          <w:pPr>
            <w:pStyle w:val="TM1"/>
            <w:rPr>
              <w:rFonts w:asciiTheme="minorHAnsi" w:hAnsiTheme="minorHAnsi" w:eastAsiaTheme="minorEastAsia" w:cstheme="minorBidi"/>
              <w:b w:val="0"/>
              <w:bCs w:val="0"/>
              <w:i w:val="0"/>
              <w:iCs w:val="0"/>
              <w:noProof/>
              <w:kern w:val="2"/>
              <w14:ligatures w14:val="standardContextual"/>
            </w:rPr>
          </w:pPr>
          <w:hyperlink w:history="1" w:anchor="_Toc221095444">
            <w:r w:rsidRPr="00F42375" w:rsidR="00A65D8D">
              <w:rPr>
                <w:rStyle w:val="Lienhypertexte"/>
                <w:noProof/>
              </w:rPr>
              <w:t>3.</w:t>
            </w:r>
            <w:r w:rsidR="00A65D8D">
              <w:rPr>
                <w:rFonts w:asciiTheme="minorHAnsi" w:hAnsiTheme="minorHAnsi" w:eastAsiaTheme="minorEastAsia" w:cstheme="minorBidi"/>
                <w:b w:val="0"/>
                <w:bCs w:val="0"/>
                <w:i w:val="0"/>
                <w:iCs w:val="0"/>
                <w:noProof/>
                <w:kern w:val="2"/>
                <w14:ligatures w14:val="standardContextual"/>
              </w:rPr>
              <w:tab/>
            </w:r>
            <w:r w:rsidRPr="00F42375" w:rsidR="00A65D8D">
              <w:rPr>
                <w:rStyle w:val="Lienhypertexte"/>
                <w:noProof/>
              </w:rPr>
              <w:t>Démarche DevSECOPS contextualisée au sein de la DSI INRAE</w:t>
            </w:r>
            <w:r w:rsidR="00A65D8D">
              <w:rPr>
                <w:noProof/>
                <w:webHidden/>
              </w:rPr>
              <w:tab/>
            </w:r>
            <w:r w:rsidR="00A65D8D">
              <w:rPr>
                <w:noProof/>
                <w:webHidden/>
              </w:rPr>
              <w:fldChar w:fldCharType="begin"/>
            </w:r>
            <w:r w:rsidR="00A65D8D">
              <w:rPr>
                <w:noProof/>
                <w:webHidden/>
              </w:rPr>
              <w:instrText xml:space="preserve"> PAGEREF _Toc221095444 \h </w:instrText>
            </w:r>
            <w:r w:rsidR="00A65D8D">
              <w:rPr>
                <w:noProof/>
                <w:webHidden/>
              </w:rPr>
            </w:r>
            <w:r w:rsidR="00A65D8D">
              <w:rPr>
                <w:noProof/>
                <w:webHidden/>
              </w:rPr>
              <w:fldChar w:fldCharType="separate"/>
            </w:r>
            <w:r w:rsidR="00A65D8D">
              <w:rPr>
                <w:noProof/>
                <w:webHidden/>
              </w:rPr>
              <w:t>17</w:t>
            </w:r>
            <w:r w:rsidR="00A65D8D">
              <w:rPr>
                <w:noProof/>
                <w:webHidden/>
              </w:rPr>
              <w:fldChar w:fldCharType="end"/>
            </w:r>
          </w:hyperlink>
        </w:p>
        <w:p w:rsidR="00A65D8D" w:rsidRDefault="00000000" w14:paraId="6EE8EA29" w14:textId="05420892">
          <w:pPr>
            <w:pStyle w:val="TM2"/>
            <w:rPr>
              <w:rFonts w:asciiTheme="minorHAnsi" w:hAnsiTheme="minorHAnsi" w:eastAsiaTheme="minorEastAsia" w:cstheme="minorBidi"/>
              <w:bCs w:val="0"/>
              <w:noProof/>
              <w:kern w:val="2"/>
              <w:sz w:val="24"/>
              <w:szCs w:val="24"/>
              <w14:ligatures w14:val="standardContextual"/>
            </w:rPr>
          </w:pPr>
          <w:hyperlink w:history="1" w:anchor="_Toc221095445">
            <w:r w:rsidRPr="00F42375" w:rsidR="00A65D8D">
              <w:rPr>
                <w:rStyle w:val="Lienhypertexte"/>
                <w:rFonts w:ascii="Calibri" w:hAnsi="Calibri"/>
                <w:noProof/>
              </w:rPr>
              <w:t>3.1.</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Démarche DEVSECOPS</w:t>
            </w:r>
            <w:r w:rsidR="00A65D8D">
              <w:rPr>
                <w:noProof/>
                <w:webHidden/>
              </w:rPr>
              <w:tab/>
            </w:r>
            <w:r w:rsidR="00A65D8D">
              <w:rPr>
                <w:noProof/>
                <w:webHidden/>
              </w:rPr>
              <w:fldChar w:fldCharType="begin"/>
            </w:r>
            <w:r w:rsidR="00A65D8D">
              <w:rPr>
                <w:noProof/>
                <w:webHidden/>
              </w:rPr>
              <w:instrText xml:space="preserve"> PAGEREF _Toc221095445 \h </w:instrText>
            </w:r>
            <w:r w:rsidR="00A65D8D">
              <w:rPr>
                <w:noProof/>
                <w:webHidden/>
              </w:rPr>
            </w:r>
            <w:r w:rsidR="00A65D8D">
              <w:rPr>
                <w:noProof/>
                <w:webHidden/>
              </w:rPr>
              <w:fldChar w:fldCharType="separate"/>
            </w:r>
            <w:r w:rsidR="00A65D8D">
              <w:rPr>
                <w:noProof/>
                <w:webHidden/>
              </w:rPr>
              <w:t>17</w:t>
            </w:r>
            <w:r w:rsidR="00A65D8D">
              <w:rPr>
                <w:noProof/>
                <w:webHidden/>
              </w:rPr>
              <w:fldChar w:fldCharType="end"/>
            </w:r>
          </w:hyperlink>
        </w:p>
        <w:p w:rsidR="00A65D8D" w:rsidRDefault="00000000" w14:paraId="786C2179" w14:textId="6A473EAF">
          <w:pPr>
            <w:pStyle w:val="TM3"/>
            <w:rPr>
              <w:rFonts w:asciiTheme="minorHAnsi" w:hAnsiTheme="minorHAnsi" w:eastAsiaTheme="minorEastAsia" w:cstheme="minorBidi"/>
              <w:i w:val="0"/>
              <w:noProof/>
              <w:kern w:val="2"/>
              <w:sz w:val="24"/>
              <w:szCs w:val="24"/>
              <w14:ligatures w14:val="standardContextual"/>
            </w:rPr>
          </w:pPr>
          <w:hyperlink w:history="1" w:anchor="_Toc221095446">
            <w:r w:rsidRPr="00F42375" w:rsidR="00A65D8D">
              <w:rPr>
                <w:rStyle w:val="Lienhypertexte"/>
                <w:rFonts w:ascii="Calibri" w:hAnsi="Calibri"/>
                <w:noProof/>
              </w:rPr>
              <w:t>3.1.1.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Le contexte</w:t>
            </w:r>
            <w:r w:rsidR="00A65D8D">
              <w:rPr>
                <w:noProof/>
                <w:webHidden/>
              </w:rPr>
              <w:tab/>
            </w:r>
            <w:r w:rsidR="00A65D8D">
              <w:rPr>
                <w:noProof/>
                <w:webHidden/>
              </w:rPr>
              <w:fldChar w:fldCharType="begin"/>
            </w:r>
            <w:r w:rsidR="00A65D8D">
              <w:rPr>
                <w:noProof/>
                <w:webHidden/>
              </w:rPr>
              <w:instrText xml:space="preserve"> PAGEREF _Toc221095446 \h </w:instrText>
            </w:r>
            <w:r w:rsidR="00A65D8D">
              <w:rPr>
                <w:noProof/>
                <w:webHidden/>
              </w:rPr>
            </w:r>
            <w:r w:rsidR="00A65D8D">
              <w:rPr>
                <w:noProof/>
                <w:webHidden/>
              </w:rPr>
              <w:fldChar w:fldCharType="separate"/>
            </w:r>
            <w:r w:rsidR="00A65D8D">
              <w:rPr>
                <w:noProof/>
                <w:webHidden/>
              </w:rPr>
              <w:t>17</w:t>
            </w:r>
            <w:r w:rsidR="00A65D8D">
              <w:rPr>
                <w:noProof/>
                <w:webHidden/>
              </w:rPr>
              <w:fldChar w:fldCharType="end"/>
            </w:r>
          </w:hyperlink>
        </w:p>
        <w:p w:rsidR="00A65D8D" w:rsidRDefault="00000000" w14:paraId="674D2574" w14:textId="0F1650F0">
          <w:pPr>
            <w:pStyle w:val="TM3"/>
            <w:rPr>
              <w:rFonts w:asciiTheme="minorHAnsi" w:hAnsiTheme="minorHAnsi" w:eastAsiaTheme="minorEastAsia" w:cstheme="minorBidi"/>
              <w:i w:val="0"/>
              <w:noProof/>
              <w:kern w:val="2"/>
              <w:sz w:val="24"/>
              <w:szCs w:val="24"/>
              <w14:ligatures w14:val="standardContextual"/>
            </w:rPr>
          </w:pPr>
          <w:hyperlink w:history="1" w:anchor="_Toc221095447">
            <w:r w:rsidRPr="00F42375" w:rsidR="00A65D8D">
              <w:rPr>
                <w:rStyle w:val="Lienhypertexte"/>
                <w:rFonts w:ascii="Calibri" w:hAnsi="Calibri"/>
                <w:noProof/>
              </w:rPr>
              <w:t>3.1.2.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L'objectif</w:t>
            </w:r>
            <w:r w:rsidR="00A65D8D">
              <w:rPr>
                <w:noProof/>
                <w:webHidden/>
              </w:rPr>
              <w:tab/>
            </w:r>
            <w:r w:rsidR="00A65D8D">
              <w:rPr>
                <w:noProof/>
                <w:webHidden/>
              </w:rPr>
              <w:fldChar w:fldCharType="begin"/>
            </w:r>
            <w:r w:rsidR="00A65D8D">
              <w:rPr>
                <w:noProof/>
                <w:webHidden/>
              </w:rPr>
              <w:instrText xml:space="preserve"> PAGEREF _Toc221095447 \h </w:instrText>
            </w:r>
            <w:r w:rsidR="00A65D8D">
              <w:rPr>
                <w:noProof/>
                <w:webHidden/>
              </w:rPr>
            </w:r>
            <w:r w:rsidR="00A65D8D">
              <w:rPr>
                <w:noProof/>
                <w:webHidden/>
              </w:rPr>
              <w:fldChar w:fldCharType="separate"/>
            </w:r>
            <w:r w:rsidR="00A65D8D">
              <w:rPr>
                <w:noProof/>
                <w:webHidden/>
              </w:rPr>
              <w:t>17</w:t>
            </w:r>
            <w:r w:rsidR="00A65D8D">
              <w:rPr>
                <w:noProof/>
                <w:webHidden/>
              </w:rPr>
              <w:fldChar w:fldCharType="end"/>
            </w:r>
          </w:hyperlink>
        </w:p>
        <w:p w:rsidR="00A65D8D" w:rsidRDefault="00000000" w14:paraId="15A2AEC8" w14:textId="3CAEDE5D">
          <w:pPr>
            <w:pStyle w:val="TM3"/>
            <w:rPr>
              <w:rFonts w:asciiTheme="minorHAnsi" w:hAnsiTheme="minorHAnsi" w:eastAsiaTheme="minorEastAsia" w:cstheme="minorBidi"/>
              <w:i w:val="0"/>
              <w:noProof/>
              <w:kern w:val="2"/>
              <w:sz w:val="24"/>
              <w:szCs w:val="24"/>
              <w14:ligatures w14:val="standardContextual"/>
            </w:rPr>
          </w:pPr>
          <w:hyperlink w:history="1" w:anchor="_Toc221095448">
            <w:r w:rsidRPr="00F42375" w:rsidR="00A65D8D">
              <w:rPr>
                <w:rStyle w:val="Lienhypertexte"/>
                <w:rFonts w:ascii="Calibri" w:hAnsi="Calibri"/>
                <w:noProof/>
              </w:rPr>
              <w:t>3.1.3.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Radar DevSecOps</w:t>
            </w:r>
            <w:r w:rsidR="00A65D8D">
              <w:rPr>
                <w:noProof/>
                <w:webHidden/>
              </w:rPr>
              <w:tab/>
            </w:r>
            <w:r w:rsidR="00A65D8D">
              <w:rPr>
                <w:noProof/>
                <w:webHidden/>
              </w:rPr>
              <w:fldChar w:fldCharType="begin"/>
            </w:r>
            <w:r w:rsidR="00A65D8D">
              <w:rPr>
                <w:noProof/>
                <w:webHidden/>
              </w:rPr>
              <w:instrText xml:space="preserve"> PAGEREF _Toc221095448 \h </w:instrText>
            </w:r>
            <w:r w:rsidR="00A65D8D">
              <w:rPr>
                <w:noProof/>
                <w:webHidden/>
              </w:rPr>
            </w:r>
            <w:r w:rsidR="00A65D8D">
              <w:rPr>
                <w:noProof/>
                <w:webHidden/>
              </w:rPr>
              <w:fldChar w:fldCharType="separate"/>
            </w:r>
            <w:r w:rsidR="00A65D8D">
              <w:rPr>
                <w:noProof/>
                <w:webHidden/>
              </w:rPr>
              <w:t>18</w:t>
            </w:r>
            <w:r w:rsidR="00A65D8D">
              <w:rPr>
                <w:noProof/>
                <w:webHidden/>
              </w:rPr>
              <w:fldChar w:fldCharType="end"/>
            </w:r>
          </w:hyperlink>
        </w:p>
        <w:p w:rsidR="00A65D8D" w:rsidRDefault="00000000" w14:paraId="1D17E7C1" w14:textId="0C803C89">
          <w:pPr>
            <w:pStyle w:val="TM3"/>
            <w:rPr>
              <w:rFonts w:asciiTheme="minorHAnsi" w:hAnsiTheme="minorHAnsi" w:eastAsiaTheme="minorEastAsia" w:cstheme="minorBidi"/>
              <w:i w:val="0"/>
              <w:noProof/>
              <w:kern w:val="2"/>
              <w:sz w:val="24"/>
              <w:szCs w:val="24"/>
              <w14:ligatures w14:val="standardContextual"/>
            </w:rPr>
          </w:pPr>
          <w:hyperlink w:history="1" w:anchor="_Toc221095449">
            <w:r w:rsidRPr="00F42375" w:rsidR="00A65D8D">
              <w:rPr>
                <w:rStyle w:val="Lienhypertexte"/>
                <w:rFonts w:ascii="Calibri" w:hAnsi="Calibri"/>
                <w:noProof/>
              </w:rPr>
              <w:t>3.1.4.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Radar Développement</w:t>
            </w:r>
            <w:r w:rsidR="00A65D8D">
              <w:rPr>
                <w:noProof/>
                <w:webHidden/>
              </w:rPr>
              <w:tab/>
            </w:r>
            <w:r w:rsidR="00A65D8D">
              <w:rPr>
                <w:noProof/>
                <w:webHidden/>
              </w:rPr>
              <w:fldChar w:fldCharType="begin"/>
            </w:r>
            <w:r w:rsidR="00A65D8D">
              <w:rPr>
                <w:noProof/>
                <w:webHidden/>
              </w:rPr>
              <w:instrText xml:space="preserve"> PAGEREF _Toc221095449 \h </w:instrText>
            </w:r>
            <w:r w:rsidR="00A65D8D">
              <w:rPr>
                <w:noProof/>
                <w:webHidden/>
              </w:rPr>
            </w:r>
            <w:r w:rsidR="00A65D8D">
              <w:rPr>
                <w:noProof/>
                <w:webHidden/>
              </w:rPr>
              <w:fldChar w:fldCharType="separate"/>
            </w:r>
            <w:r w:rsidR="00A65D8D">
              <w:rPr>
                <w:noProof/>
                <w:webHidden/>
              </w:rPr>
              <w:t>18</w:t>
            </w:r>
            <w:r w:rsidR="00A65D8D">
              <w:rPr>
                <w:noProof/>
                <w:webHidden/>
              </w:rPr>
              <w:fldChar w:fldCharType="end"/>
            </w:r>
          </w:hyperlink>
        </w:p>
        <w:p w:rsidR="00A65D8D" w:rsidRDefault="00000000" w14:paraId="39229A53" w14:textId="542F3A75">
          <w:pPr>
            <w:pStyle w:val="TM3"/>
            <w:rPr>
              <w:rFonts w:asciiTheme="minorHAnsi" w:hAnsiTheme="minorHAnsi" w:eastAsiaTheme="minorEastAsia" w:cstheme="minorBidi"/>
              <w:i w:val="0"/>
              <w:noProof/>
              <w:kern w:val="2"/>
              <w:sz w:val="24"/>
              <w:szCs w:val="24"/>
              <w14:ligatures w14:val="standardContextual"/>
            </w:rPr>
          </w:pPr>
          <w:hyperlink w:history="1" w:anchor="_Toc221095450">
            <w:r w:rsidRPr="00F42375" w:rsidR="00A65D8D">
              <w:rPr>
                <w:rStyle w:val="Lienhypertexte"/>
                <w:rFonts w:ascii="Calibri" w:hAnsi="Calibri"/>
                <w:noProof/>
              </w:rPr>
              <w:t>3.1.5.</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Grandes lignes de la roadmap DevSecOps 2026</w:t>
            </w:r>
            <w:r w:rsidR="00A65D8D">
              <w:rPr>
                <w:noProof/>
                <w:webHidden/>
              </w:rPr>
              <w:tab/>
            </w:r>
            <w:r w:rsidR="00A65D8D">
              <w:rPr>
                <w:noProof/>
                <w:webHidden/>
              </w:rPr>
              <w:fldChar w:fldCharType="begin"/>
            </w:r>
            <w:r w:rsidR="00A65D8D">
              <w:rPr>
                <w:noProof/>
                <w:webHidden/>
              </w:rPr>
              <w:instrText xml:space="preserve"> PAGEREF _Toc221095450 \h </w:instrText>
            </w:r>
            <w:r w:rsidR="00A65D8D">
              <w:rPr>
                <w:noProof/>
                <w:webHidden/>
              </w:rPr>
            </w:r>
            <w:r w:rsidR="00A65D8D">
              <w:rPr>
                <w:noProof/>
                <w:webHidden/>
              </w:rPr>
              <w:fldChar w:fldCharType="separate"/>
            </w:r>
            <w:r w:rsidR="00A65D8D">
              <w:rPr>
                <w:noProof/>
                <w:webHidden/>
              </w:rPr>
              <w:t>19</w:t>
            </w:r>
            <w:r w:rsidR="00A65D8D">
              <w:rPr>
                <w:noProof/>
                <w:webHidden/>
              </w:rPr>
              <w:fldChar w:fldCharType="end"/>
            </w:r>
          </w:hyperlink>
        </w:p>
        <w:p w:rsidR="00A65D8D" w:rsidRDefault="00000000" w14:paraId="7F87395E" w14:textId="59969378">
          <w:pPr>
            <w:pStyle w:val="TM1"/>
            <w:rPr>
              <w:rFonts w:asciiTheme="minorHAnsi" w:hAnsiTheme="minorHAnsi" w:eastAsiaTheme="minorEastAsia" w:cstheme="minorBidi"/>
              <w:b w:val="0"/>
              <w:bCs w:val="0"/>
              <w:i w:val="0"/>
              <w:iCs w:val="0"/>
              <w:noProof/>
              <w:kern w:val="2"/>
              <w14:ligatures w14:val="standardContextual"/>
            </w:rPr>
          </w:pPr>
          <w:hyperlink w:history="1" w:anchor="_Toc221095451">
            <w:r w:rsidRPr="00F42375" w:rsidR="00A65D8D">
              <w:rPr>
                <w:rStyle w:val="Lienhypertexte"/>
                <w:noProof/>
              </w:rPr>
              <w:t>4.</w:t>
            </w:r>
            <w:r w:rsidR="00A65D8D">
              <w:rPr>
                <w:rFonts w:asciiTheme="minorHAnsi" w:hAnsiTheme="minorHAnsi" w:eastAsiaTheme="minorEastAsia" w:cstheme="minorBidi"/>
                <w:b w:val="0"/>
                <w:bCs w:val="0"/>
                <w:i w:val="0"/>
                <w:iCs w:val="0"/>
                <w:noProof/>
                <w:kern w:val="2"/>
                <w14:ligatures w14:val="standardContextual"/>
              </w:rPr>
              <w:tab/>
            </w:r>
            <w:r w:rsidRPr="00F42375" w:rsidR="00A65D8D">
              <w:rPr>
                <w:rStyle w:val="Lienhypertexte"/>
                <w:noProof/>
              </w:rPr>
              <w:t>Description d’exemple de plateformes et de produits</w:t>
            </w:r>
            <w:r w:rsidR="00A65D8D">
              <w:rPr>
                <w:noProof/>
                <w:webHidden/>
              </w:rPr>
              <w:tab/>
            </w:r>
            <w:r w:rsidR="00A65D8D">
              <w:rPr>
                <w:noProof/>
                <w:webHidden/>
              </w:rPr>
              <w:fldChar w:fldCharType="begin"/>
            </w:r>
            <w:r w:rsidR="00A65D8D">
              <w:rPr>
                <w:noProof/>
                <w:webHidden/>
              </w:rPr>
              <w:instrText xml:space="preserve"> PAGEREF _Toc221095451 \h </w:instrText>
            </w:r>
            <w:r w:rsidR="00A65D8D">
              <w:rPr>
                <w:noProof/>
                <w:webHidden/>
              </w:rPr>
            </w:r>
            <w:r w:rsidR="00A65D8D">
              <w:rPr>
                <w:noProof/>
                <w:webHidden/>
              </w:rPr>
              <w:fldChar w:fldCharType="separate"/>
            </w:r>
            <w:r w:rsidR="00A65D8D">
              <w:rPr>
                <w:noProof/>
                <w:webHidden/>
              </w:rPr>
              <w:t>20</w:t>
            </w:r>
            <w:r w:rsidR="00A65D8D">
              <w:rPr>
                <w:noProof/>
                <w:webHidden/>
              </w:rPr>
              <w:fldChar w:fldCharType="end"/>
            </w:r>
          </w:hyperlink>
        </w:p>
        <w:p w:rsidR="00A65D8D" w:rsidRDefault="00000000" w14:paraId="01B0B57A" w14:textId="589B617E">
          <w:pPr>
            <w:pStyle w:val="TM2"/>
            <w:rPr>
              <w:rFonts w:asciiTheme="minorHAnsi" w:hAnsiTheme="minorHAnsi" w:eastAsiaTheme="minorEastAsia" w:cstheme="minorBidi"/>
              <w:bCs w:val="0"/>
              <w:noProof/>
              <w:kern w:val="2"/>
              <w:sz w:val="24"/>
              <w:szCs w:val="24"/>
              <w14:ligatures w14:val="standardContextual"/>
            </w:rPr>
          </w:pPr>
          <w:hyperlink w:history="1" w:anchor="_Toc221095452">
            <w:r w:rsidRPr="00F42375" w:rsidR="00A65D8D">
              <w:rPr>
                <w:rStyle w:val="Lienhypertexte"/>
                <w:rFonts w:ascii="Calibri" w:hAnsi="Calibri"/>
                <w:noProof/>
              </w:rPr>
              <w:t>4.1.</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Usine logicielle</w:t>
            </w:r>
            <w:r w:rsidR="00A65D8D">
              <w:rPr>
                <w:noProof/>
                <w:webHidden/>
              </w:rPr>
              <w:tab/>
            </w:r>
            <w:r w:rsidR="00A65D8D">
              <w:rPr>
                <w:noProof/>
                <w:webHidden/>
              </w:rPr>
              <w:fldChar w:fldCharType="begin"/>
            </w:r>
            <w:r w:rsidR="00A65D8D">
              <w:rPr>
                <w:noProof/>
                <w:webHidden/>
              </w:rPr>
              <w:instrText xml:space="preserve"> PAGEREF _Toc221095452 \h </w:instrText>
            </w:r>
            <w:r w:rsidR="00A65D8D">
              <w:rPr>
                <w:noProof/>
                <w:webHidden/>
              </w:rPr>
            </w:r>
            <w:r w:rsidR="00A65D8D">
              <w:rPr>
                <w:noProof/>
                <w:webHidden/>
              </w:rPr>
              <w:fldChar w:fldCharType="separate"/>
            </w:r>
            <w:r w:rsidR="00A65D8D">
              <w:rPr>
                <w:noProof/>
                <w:webHidden/>
              </w:rPr>
              <w:t>20</w:t>
            </w:r>
            <w:r w:rsidR="00A65D8D">
              <w:rPr>
                <w:noProof/>
                <w:webHidden/>
              </w:rPr>
              <w:fldChar w:fldCharType="end"/>
            </w:r>
          </w:hyperlink>
        </w:p>
        <w:p w:rsidR="00A65D8D" w:rsidRDefault="00000000" w14:paraId="732EB334" w14:textId="2623A5A2">
          <w:pPr>
            <w:pStyle w:val="TM3"/>
            <w:rPr>
              <w:rFonts w:asciiTheme="minorHAnsi" w:hAnsiTheme="minorHAnsi" w:eastAsiaTheme="minorEastAsia" w:cstheme="minorBidi"/>
              <w:i w:val="0"/>
              <w:noProof/>
              <w:kern w:val="2"/>
              <w:sz w:val="24"/>
              <w:szCs w:val="24"/>
              <w14:ligatures w14:val="standardContextual"/>
            </w:rPr>
          </w:pPr>
          <w:hyperlink w:history="1" w:anchor="_Toc221095453">
            <w:r w:rsidRPr="00F42375" w:rsidR="00A65D8D">
              <w:rPr>
                <w:rStyle w:val="Lienhypertexte"/>
                <w:rFonts w:ascii="Calibri" w:hAnsi="Calibri"/>
                <w:noProof/>
              </w:rPr>
              <w:t>4.1.1.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_Toc221095453 \h </w:instrText>
            </w:r>
            <w:r w:rsidR="00A65D8D">
              <w:rPr>
                <w:noProof/>
                <w:webHidden/>
              </w:rPr>
            </w:r>
            <w:r w:rsidR="00A65D8D">
              <w:rPr>
                <w:noProof/>
                <w:webHidden/>
              </w:rPr>
              <w:fldChar w:fldCharType="separate"/>
            </w:r>
            <w:r w:rsidR="00A65D8D">
              <w:rPr>
                <w:noProof/>
                <w:webHidden/>
              </w:rPr>
              <w:t>20</w:t>
            </w:r>
            <w:r w:rsidR="00A65D8D">
              <w:rPr>
                <w:noProof/>
                <w:webHidden/>
              </w:rPr>
              <w:fldChar w:fldCharType="end"/>
            </w:r>
          </w:hyperlink>
        </w:p>
        <w:p w:rsidR="00A65D8D" w:rsidRDefault="00000000" w14:paraId="619DC056" w14:textId="0EF72737">
          <w:pPr>
            <w:pStyle w:val="TM3"/>
            <w:rPr>
              <w:rFonts w:asciiTheme="minorHAnsi" w:hAnsiTheme="minorHAnsi" w:eastAsiaTheme="minorEastAsia" w:cstheme="minorBidi"/>
              <w:i w:val="0"/>
              <w:noProof/>
              <w:kern w:val="2"/>
              <w:sz w:val="24"/>
              <w:szCs w:val="24"/>
              <w14:ligatures w14:val="standardContextual"/>
            </w:rPr>
          </w:pPr>
          <w:hyperlink w:history="1" w:anchor="_Toc221095454">
            <w:r w:rsidRPr="00F42375" w:rsidR="00A65D8D">
              <w:rPr>
                <w:rStyle w:val="Lienhypertexte"/>
                <w:rFonts w:ascii="Calibri" w:hAnsi="Calibri"/>
                <w:noProof/>
              </w:rPr>
              <w:t>4.1.2.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_Toc221095454 \h </w:instrText>
            </w:r>
            <w:r w:rsidR="00A65D8D">
              <w:rPr>
                <w:noProof/>
                <w:webHidden/>
              </w:rPr>
            </w:r>
            <w:r w:rsidR="00A65D8D">
              <w:rPr>
                <w:noProof/>
                <w:webHidden/>
              </w:rPr>
              <w:fldChar w:fldCharType="separate"/>
            </w:r>
            <w:r w:rsidR="00A65D8D">
              <w:rPr>
                <w:noProof/>
                <w:webHidden/>
              </w:rPr>
              <w:t>21</w:t>
            </w:r>
            <w:r w:rsidR="00A65D8D">
              <w:rPr>
                <w:noProof/>
                <w:webHidden/>
              </w:rPr>
              <w:fldChar w:fldCharType="end"/>
            </w:r>
          </w:hyperlink>
        </w:p>
        <w:p w:rsidR="00A65D8D" w:rsidRDefault="00000000" w14:paraId="7BE88A1E" w14:textId="37E9AF93">
          <w:pPr>
            <w:pStyle w:val="TM3"/>
            <w:rPr>
              <w:rFonts w:asciiTheme="minorHAnsi" w:hAnsiTheme="minorHAnsi" w:eastAsiaTheme="minorEastAsia" w:cstheme="minorBidi"/>
              <w:i w:val="0"/>
              <w:noProof/>
              <w:kern w:val="2"/>
              <w:sz w:val="24"/>
              <w:szCs w:val="24"/>
              <w14:ligatures w14:val="standardContextual"/>
            </w:rPr>
          </w:pPr>
          <w:hyperlink w:history="1" w:anchor="_Toc221095455">
            <w:r w:rsidRPr="00F42375" w:rsidR="00A65D8D">
              <w:rPr>
                <w:rStyle w:val="Lienhypertexte"/>
                <w:rFonts w:ascii="Calibri" w:hAnsi="Calibri"/>
                <w:noProof/>
              </w:rPr>
              <w:t>4.1.3.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w:t>
            </w:r>
            <w:r w:rsidR="00A65D8D">
              <w:rPr>
                <w:noProof/>
                <w:webHidden/>
              </w:rPr>
              <w:tab/>
            </w:r>
            <w:r w:rsidR="00A65D8D">
              <w:rPr>
                <w:noProof/>
                <w:webHidden/>
              </w:rPr>
              <w:fldChar w:fldCharType="begin"/>
            </w:r>
            <w:r w:rsidR="00A65D8D">
              <w:rPr>
                <w:noProof/>
                <w:webHidden/>
              </w:rPr>
              <w:instrText xml:space="preserve"> PAGEREF _Toc221095455 \h </w:instrText>
            </w:r>
            <w:r w:rsidR="00A65D8D">
              <w:rPr>
                <w:noProof/>
                <w:webHidden/>
              </w:rPr>
            </w:r>
            <w:r w:rsidR="00A65D8D">
              <w:rPr>
                <w:noProof/>
                <w:webHidden/>
              </w:rPr>
              <w:fldChar w:fldCharType="separate"/>
            </w:r>
            <w:r w:rsidR="00A65D8D">
              <w:rPr>
                <w:noProof/>
                <w:webHidden/>
              </w:rPr>
              <w:t>23</w:t>
            </w:r>
            <w:r w:rsidR="00A65D8D">
              <w:rPr>
                <w:noProof/>
                <w:webHidden/>
              </w:rPr>
              <w:fldChar w:fldCharType="end"/>
            </w:r>
          </w:hyperlink>
        </w:p>
        <w:p w:rsidR="00A65D8D" w:rsidRDefault="00000000" w14:paraId="230789CD" w14:textId="2CB1FBA5">
          <w:pPr>
            <w:pStyle w:val="TM2"/>
            <w:rPr>
              <w:rFonts w:asciiTheme="minorHAnsi" w:hAnsiTheme="minorHAnsi" w:eastAsiaTheme="minorEastAsia" w:cstheme="minorBidi"/>
              <w:bCs w:val="0"/>
              <w:noProof/>
              <w:kern w:val="2"/>
              <w:sz w:val="24"/>
              <w:szCs w:val="24"/>
              <w14:ligatures w14:val="standardContextual"/>
            </w:rPr>
          </w:pPr>
          <w:hyperlink w:history="1" w:anchor="_Toc221095456">
            <w:r w:rsidRPr="00F42375" w:rsidR="00A65D8D">
              <w:rPr>
                <w:rStyle w:val="Lienhypertexte"/>
                <w:rFonts w:ascii="Calibri" w:hAnsi="Calibri"/>
                <w:noProof/>
              </w:rPr>
              <w:t>4.2.</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Plateforme des référentiels d’établissement (SINAPS)</w:t>
            </w:r>
            <w:r w:rsidR="00A65D8D">
              <w:rPr>
                <w:noProof/>
                <w:webHidden/>
              </w:rPr>
              <w:tab/>
            </w:r>
            <w:r w:rsidR="00A65D8D">
              <w:rPr>
                <w:noProof/>
                <w:webHidden/>
              </w:rPr>
              <w:fldChar w:fldCharType="begin"/>
            </w:r>
            <w:r w:rsidR="00A65D8D">
              <w:rPr>
                <w:noProof/>
                <w:webHidden/>
              </w:rPr>
              <w:instrText xml:space="preserve"> PAGEREF _Toc221095456 \h </w:instrText>
            </w:r>
            <w:r w:rsidR="00A65D8D">
              <w:rPr>
                <w:noProof/>
                <w:webHidden/>
              </w:rPr>
            </w:r>
            <w:r w:rsidR="00A65D8D">
              <w:rPr>
                <w:noProof/>
                <w:webHidden/>
              </w:rPr>
              <w:fldChar w:fldCharType="separate"/>
            </w:r>
            <w:r w:rsidR="00A65D8D">
              <w:rPr>
                <w:noProof/>
                <w:webHidden/>
              </w:rPr>
              <w:t>24</w:t>
            </w:r>
            <w:r w:rsidR="00A65D8D">
              <w:rPr>
                <w:noProof/>
                <w:webHidden/>
              </w:rPr>
              <w:fldChar w:fldCharType="end"/>
            </w:r>
          </w:hyperlink>
        </w:p>
        <w:p w:rsidR="00A65D8D" w:rsidRDefault="00000000" w14:paraId="733E3C56" w14:textId="41A6C354">
          <w:pPr>
            <w:pStyle w:val="TM3"/>
            <w:rPr>
              <w:rFonts w:asciiTheme="minorHAnsi" w:hAnsiTheme="minorHAnsi" w:eastAsiaTheme="minorEastAsia" w:cstheme="minorBidi"/>
              <w:i w:val="0"/>
              <w:noProof/>
              <w:kern w:val="2"/>
              <w:sz w:val="24"/>
              <w:szCs w:val="24"/>
              <w14:ligatures w14:val="standardContextual"/>
            </w:rPr>
          </w:pPr>
          <w:hyperlink w:history="1" w:anchor="_Toc221095457">
            <w:r w:rsidRPr="00F42375" w:rsidR="00A65D8D">
              <w:rPr>
                <w:rStyle w:val="Lienhypertexte"/>
                <w:rFonts w:ascii="Calibri" w:hAnsi="Calibri"/>
                <w:noProof/>
              </w:rPr>
              <w:t>4.2.1.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_Toc221095457 \h </w:instrText>
            </w:r>
            <w:r w:rsidR="00A65D8D">
              <w:rPr>
                <w:noProof/>
                <w:webHidden/>
              </w:rPr>
            </w:r>
            <w:r w:rsidR="00A65D8D">
              <w:rPr>
                <w:noProof/>
                <w:webHidden/>
              </w:rPr>
              <w:fldChar w:fldCharType="separate"/>
            </w:r>
            <w:r w:rsidR="00A65D8D">
              <w:rPr>
                <w:noProof/>
                <w:webHidden/>
              </w:rPr>
              <w:t>24</w:t>
            </w:r>
            <w:r w:rsidR="00A65D8D">
              <w:rPr>
                <w:noProof/>
                <w:webHidden/>
              </w:rPr>
              <w:fldChar w:fldCharType="end"/>
            </w:r>
          </w:hyperlink>
        </w:p>
        <w:p w:rsidR="00A65D8D" w:rsidRDefault="00000000" w14:paraId="359D984B" w14:textId="04BCC262">
          <w:pPr>
            <w:pStyle w:val="TM3"/>
            <w:rPr>
              <w:rFonts w:asciiTheme="minorHAnsi" w:hAnsiTheme="minorHAnsi" w:eastAsiaTheme="minorEastAsia" w:cstheme="minorBidi"/>
              <w:i w:val="0"/>
              <w:noProof/>
              <w:kern w:val="2"/>
              <w:sz w:val="24"/>
              <w:szCs w:val="24"/>
              <w14:ligatures w14:val="standardContextual"/>
            </w:rPr>
          </w:pPr>
          <w:hyperlink w:history="1" w:anchor="_Toc221095458">
            <w:r w:rsidRPr="00F42375" w:rsidR="00A65D8D">
              <w:rPr>
                <w:rStyle w:val="Lienhypertexte"/>
                <w:rFonts w:ascii="Calibri" w:hAnsi="Calibri"/>
                <w:noProof/>
              </w:rPr>
              <w:t>4.2.2.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_Toc221095458 \h </w:instrText>
            </w:r>
            <w:r w:rsidR="00A65D8D">
              <w:rPr>
                <w:noProof/>
                <w:webHidden/>
              </w:rPr>
            </w:r>
            <w:r w:rsidR="00A65D8D">
              <w:rPr>
                <w:noProof/>
                <w:webHidden/>
              </w:rPr>
              <w:fldChar w:fldCharType="separate"/>
            </w:r>
            <w:r w:rsidR="00A65D8D">
              <w:rPr>
                <w:noProof/>
                <w:webHidden/>
              </w:rPr>
              <w:t>25</w:t>
            </w:r>
            <w:r w:rsidR="00A65D8D">
              <w:rPr>
                <w:noProof/>
                <w:webHidden/>
              </w:rPr>
              <w:fldChar w:fldCharType="end"/>
            </w:r>
          </w:hyperlink>
        </w:p>
        <w:p w:rsidR="00A65D8D" w:rsidRDefault="00000000" w14:paraId="79E84232" w14:textId="1A1D58D6">
          <w:pPr>
            <w:pStyle w:val="TM3"/>
            <w:rPr>
              <w:rFonts w:asciiTheme="minorHAnsi" w:hAnsiTheme="minorHAnsi" w:eastAsiaTheme="minorEastAsia" w:cstheme="minorBidi"/>
              <w:i w:val="0"/>
              <w:noProof/>
              <w:kern w:val="2"/>
              <w:sz w:val="24"/>
              <w:szCs w:val="24"/>
              <w14:ligatures w14:val="standardContextual"/>
            </w:rPr>
          </w:pPr>
          <w:hyperlink w:history="1" w:anchor="_Toc221095459">
            <w:r w:rsidRPr="00F42375" w:rsidR="00A65D8D">
              <w:rPr>
                <w:rStyle w:val="Lienhypertexte"/>
                <w:rFonts w:ascii="Calibri" w:hAnsi="Calibri"/>
                <w:noProof/>
              </w:rPr>
              <w:t>4.2.3.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w:t>
            </w:r>
            <w:r w:rsidR="00A65D8D">
              <w:rPr>
                <w:noProof/>
                <w:webHidden/>
              </w:rPr>
              <w:tab/>
            </w:r>
            <w:r w:rsidR="00A65D8D">
              <w:rPr>
                <w:noProof/>
                <w:webHidden/>
              </w:rPr>
              <w:fldChar w:fldCharType="begin"/>
            </w:r>
            <w:r w:rsidR="00A65D8D">
              <w:rPr>
                <w:noProof/>
                <w:webHidden/>
              </w:rPr>
              <w:instrText xml:space="preserve"> PAGEREF _Toc221095459 \h </w:instrText>
            </w:r>
            <w:r w:rsidR="00A65D8D">
              <w:rPr>
                <w:noProof/>
                <w:webHidden/>
              </w:rPr>
            </w:r>
            <w:r w:rsidR="00A65D8D">
              <w:rPr>
                <w:noProof/>
                <w:webHidden/>
              </w:rPr>
              <w:fldChar w:fldCharType="separate"/>
            </w:r>
            <w:r w:rsidR="00A65D8D">
              <w:rPr>
                <w:noProof/>
                <w:webHidden/>
              </w:rPr>
              <w:t>25</w:t>
            </w:r>
            <w:r w:rsidR="00A65D8D">
              <w:rPr>
                <w:noProof/>
                <w:webHidden/>
              </w:rPr>
              <w:fldChar w:fldCharType="end"/>
            </w:r>
          </w:hyperlink>
        </w:p>
        <w:p w:rsidR="00A65D8D" w:rsidRDefault="00000000" w14:paraId="5E4066E8" w14:textId="47D9F122">
          <w:pPr>
            <w:pStyle w:val="TM2"/>
            <w:rPr>
              <w:rFonts w:asciiTheme="minorHAnsi" w:hAnsiTheme="minorHAnsi" w:eastAsiaTheme="minorEastAsia" w:cstheme="minorBidi"/>
              <w:bCs w:val="0"/>
              <w:noProof/>
              <w:kern w:val="2"/>
              <w:sz w:val="24"/>
              <w:szCs w:val="24"/>
              <w14:ligatures w14:val="standardContextual"/>
            </w:rPr>
          </w:pPr>
          <w:hyperlink w:history="1" w:anchor="_Toc221095460">
            <w:r w:rsidRPr="00F42375" w:rsidR="00A65D8D">
              <w:rPr>
                <w:rStyle w:val="Lienhypertexte"/>
                <w:rFonts w:ascii="Calibri" w:hAnsi="Calibri"/>
                <w:noProof/>
              </w:rPr>
              <w:t>4.3.</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Plateforme d’intégration des données (PID)</w:t>
            </w:r>
            <w:r w:rsidR="00A65D8D">
              <w:rPr>
                <w:noProof/>
                <w:webHidden/>
              </w:rPr>
              <w:tab/>
            </w:r>
            <w:r w:rsidR="00A65D8D">
              <w:rPr>
                <w:noProof/>
                <w:webHidden/>
              </w:rPr>
              <w:fldChar w:fldCharType="begin"/>
            </w:r>
            <w:r w:rsidR="00A65D8D">
              <w:rPr>
                <w:noProof/>
                <w:webHidden/>
              </w:rPr>
              <w:instrText xml:space="preserve"> PAGEREF _Toc221095460 \h </w:instrText>
            </w:r>
            <w:r w:rsidR="00A65D8D">
              <w:rPr>
                <w:noProof/>
                <w:webHidden/>
              </w:rPr>
            </w:r>
            <w:r w:rsidR="00A65D8D">
              <w:rPr>
                <w:noProof/>
                <w:webHidden/>
              </w:rPr>
              <w:fldChar w:fldCharType="separate"/>
            </w:r>
            <w:r w:rsidR="00A65D8D">
              <w:rPr>
                <w:noProof/>
                <w:webHidden/>
              </w:rPr>
              <w:t>25</w:t>
            </w:r>
            <w:r w:rsidR="00A65D8D">
              <w:rPr>
                <w:noProof/>
                <w:webHidden/>
              </w:rPr>
              <w:fldChar w:fldCharType="end"/>
            </w:r>
          </w:hyperlink>
        </w:p>
        <w:p w:rsidR="00A65D8D" w:rsidRDefault="00000000" w14:paraId="67B8BE1A" w14:textId="1F9EBC99">
          <w:pPr>
            <w:pStyle w:val="TM3"/>
            <w:rPr>
              <w:rFonts w:asciiTheme="minorHAnsi" w:hAnsiTheme="minorHAnsi" w:eastAsiaTheme="minorEastAsia" w:cstheme="minorBidi"/>
              <w:i w:val="0"/>
              <w:noProof/>
              <w:kern w:val="2"/>
              <w:sz w:val="24"/>
              <w:szCs w:val="24"/>
              <w14:ligatures w14:val="standardContextual"/>
            </w:rPr>
          </w:pPr>
          <w:hyperlink w:history="1" w:anchor="_Toc221095461">
            <w:r w:rsidRPr="00F42375" w:rsidR="00A65D8D">
              <w:rPr>
                <w:rStyle w:val="Lienhypertexte"/>
                <w:rFonts w:ascii="Calibri" w:hAnsi="Calibri"/>
                <w:noProof/>
              </w:rPr>
              <w:t>4.3.1.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_Toc221095461 \h </w:instrText>
            </w:r>
            <w:r w:rsidR="00A65D8D">
              <w:rPr>
                <w:noProof/>
                <w:webHidden/>
              </w:rPr>
            </w:r>
            <w:r w:rsidR="00A65D8D">
              <w:rPr>
                <w:noProof/>
                <w:webHidden/>
              </w:rPr>
              <w:fldChar w:fldCharType="separate"/>
            </w:r>
            <w:r w:rsidR="00A65D8D">
              <w:rPr>
                <w:noProof/>
                <w:webHidden/>
              </w:rPr>
              <w:t>25</w:t>
            </w:r>
            <w:r w:rsidR="00A65D8D">
              <w:rPr>
                <w:noProof/>
                <w:webHidden/>
              </w:rPr>
              <w:fldChar w:fldCharType="end"/>
            </w:r>
          </w:hyperlink>
        </w:p>
        <w:p w:rsidR="00A65D8D" w:rsidRDefault="00000000" w14:paraId="3561D3E5" w14:textId="630F25DB">
          <w:pPr>
            <w:pStyle w:val="TM3"/>
            <w:rPr>
              <w:rFonts w:asciiTheme="minorHAnsi" w:hAnsiTheme="minorHAnsi" w:eastAsiaTheme="minorEastAsia" w:cstheme="minorBidi"/>
              <w:i w:val="0"/>
              <w:noProof/>
              <w:kern w:val="2"/>
              <w:sz w:val="24"/>
              <w:szCs w:val="24"/>
              <w14:ligatures w14:val="standardContextual"/>
            </w:rPr>
          </w:pPr>
          <w:hyperlink w:history="1" w:anchor="_Toc221095462">
            <w:r w:rsidRPr="00F42375" w:rsidR="00A65D8D">
              <w:rPr>
                <w:rStyle w:val="Lienhypertexte"/>
                <w:rFonts w:ascii="Calibri" w:hAnsi="Calibri"/>
                <w:noProof/>
              </w:rPr>
              <w:t>4.3.1.1.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rFonts w:ascii="Calibri" w:hAnsi="Calibri" w:eastAsia="Calibri" w:cs="Calibri"/>
                <w:noProof/>
              </w:rPr>
              <w:t>Usagers de la plateforme PID</w:t>
            </w:r>
            <w:r w:rsidR="00A65D8D">
              <w:rPr>
                <w:noProof/>
                <w:webHidden/>
              </w:rPr>
              <w:tab/>
            </w:r>
            <w:r w:rsidR="00A65D8D">
              <w:rPr>
                <w:noProof/>
                <w:webHidden/>
              </w:rPr>
              <w:fldChar w:fldCharType="begin"/>
            </w:r>
            <w:r w:rsidR="00A65D8D">
              <w:rPr>
                <w:noProof/>
                <w:webHidden/>
              </w:rPr>
              <w:instrText xml:space="preserve"> PAGEREF _Toc221095462 \h </w:instrText>
            </w:r>
            <w:r w:rsidR="00A65D8D">
              <w:rPr>
                <w:noProof/>
                <w:webHidden/>
              </w:rPr>
            </w:r>
            <w:r w:rsidR="00A65D8D">
              <w:rPr>
                <w:noProof/>
                <w:webHidden/>
              </w:rPr>
              <w:fldChar w:fldCharType="separate"/>
            </w:r>
            <w:r w:rsidR="00A65D8D">
              <w:rPr>
                <w:noProof/>
                <w:webHidden/>
              </w:rPr>
              <w:t>26</w:t>
            </w:r>
            <w:r w:rsidR="00A65D8D">
              <w:rPr>
                <w:noProof/>
                <w:webHidden/>
              </w:rPr>
              <w:fldChar w:fldCharType="end"/>
            </w:r>
          </w:hyperlink>
        </w:p>
        <w:p w:rsidR="00A65D8D" w:rsidRDefault="00000000" w14:paraId="050AD9FA" w14:textId="40CE03F2">
          <w:pPr>
            <w:pStyle w:val="TM3"/>
            <w:rPr>
              <w:rFonts w:asciiTheme="minorHAnsi" w:hAnsiTheme="minorHAnsi" w:eastAsiaTheme="minorEastAsia" w:cstheme="minorBidi"/>
              <w:i w:val="0"/>
              <w:noProof/>
              <w:kern w:val="2"/>
              <w:sz w:val="24"/>
              <w:szCs w:val="24"/>
              <w14:ligatures w14:val="standardContextual"/>
            </w:rPr>
          </w:pPr>
          <w:hyperlink w:history="1" w:anchor="_Toc221095463">
            <w:r w:rsidRPr="00F42375" w:rsidR="00A65D8D">
              <w:rPr>
                <w:rStyle w:val="Lienhypertexte"/>
                <w:rFonts w:ascii="Calibri" w:hAnsi="Calibri" w:eastAsia="Calibri" w:cs="Calibri"/>
                <w:noProof/>
              </w:rPr>
              <w:t>4.3.1.2.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rFonts w:ascii="Calibri" w:hAnsi="Calibri" w:eastAsia="Calibri" w:cs="Calibri"/>
                <w:noProof/>
              </w:rPr>
              <w:t>Les composants de la plateforme PID</w:t>
            </w:r>
            <w:r w:rsidR="00A65D8D">
              <w:rPr>
                <w:noProof/>
                <w:webHidden/>
              </w:rPr>
              <w:tab/>
            </w:r>
            <w:r w:rsidR="00A65D8D">
              <w:rPr>
                <w:noProof/>
                <w:webHidden/>
              </w:rPr>
              <w:fldChar w:fldCharType="begin"/>
            </w:r>
            <w:r w:rsidR="00A65D8D">
              <w:rPr>
                <w:noProof/>
                <w:webHidden/>
              </w:rPr>
              <w:instrText xml:space="preserve"> PAGEREF _Toc221095463 \h </w:instrText>
            </w:r>
            <w:r w:rsidR="00A65D8D">
              <w:rPr>
                <w:noProof/>
                <w:webHidden/>
              </w:rPr>
            </w:r>
            <w:r w:rsidR="00A65D8D">
              <w:rPr>
                <w:noProof/>
                <w:webHidden/>
              </w:rPr>
              <w:fldChar w:fldCharType="separate"/>
            </w:r>
            <w:r w:rsidR="00A65D8D">
              <w:rPr>
                <w:noProof/>
                <w:webHidden/>
              </w:rPr>
              <w:t>26</w:t>
            </w:r>
            <w:r w:rsidR="00A65D8D">
              <w:rPr>
                <w:noProof/>
                <w:webHidden/>
              </w:rPr>
              <w:fldChar w:fldCharType="end"/>
            </w:r>
          </w:hyperlink>
        </w:p>
        <w:p w:rsidR="00A65D8D" w:rsidRDefault="00000000" w14:paraId="0C5900DF" w14:textId="45258934">
          <w:pPr>
            <w:pStyle w:val="TM3"/>
            <w:rPr>
              <w:rFonts w:asciiTheme="minorHAnsi" w:hAnsiTheme="minorHAnsi" w:eastAsiaTheme="minorEastAsia" w:cstheme="minorBidi"/>
              <w:i w:val="0"/>
              <w:noProof/>
              <w:kern w:val="2"/>
              <w:sz w:val="24"/>
              <w:szCs w:val="24"/>
              <w14:ligatures w14:val="standardContextual"/>
            </w:rPr>
          </w:pPr>
          <w:hyperlink w:history="1" w:anchor="_Toc221095464">
            <w:r w:rsidRPr="00F42375" w:rsidR="00A65D8D">
              <w:rPr>
                <w:rStyle w:val="Lienhypertexte"/>
                <w:rFonts w:ascii="Calibri" w:hAnsi="Calibri"/>
                <w:noProof/>
              </w:rPr>
              <w:t>4.3.2.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_Toc221095464 \h </w:instrText>
            </w:r>
            <w:r w:rsidR="00A65D8D">
              <w:rPr>
                <w:noProof/>
                <w:webHidden/>
              </w:rPr>
            </w:r>
            <w:r w:rsidR="00A65D8D">
              <w:rPr>
                <w:noProof/>
                <w:webHidden/>
              </w:rPr>
              <w:fldChar w:fldCharType="separate"/>
            </w:r>
            <w:r w:rsidR="00A65D8D">
              <w:rPr>
                <w:noProof/>
                <w:webHidden/>
              </w:rPr>
              <w:t>27</w:t>
            </w:r>
            <w:r w:rsidR="00A65D8D">
              <w:rPr>
                <w:noProof/>
                <w:webHidden/>
              </w:rPr>
              <w:fldChar w:fldCharType="end"/>
            </w:r>
          </w:hyperlink>
        </w:p>
        <w:p w:rsidR="00A65D8D" w:rsidRDefault="00000000" w14:paraId="4D833591" w14:textId="1E3EADA4">
          <w:pPr>
            <w:pStyle w:val="TM3"/>
            <w:rPr>
              <w:rFonts w:asciiTheme="minorHAnsi" w:hAnsiTheme="minorHAnsi" w:eastAsiaTheme="minorEastAsia" w:cstheme="minorBidi"/>
              <w:i w:val="0"/>
              <w:noProof/>
              <w:kern w:val="2"/>
              <w:sz w:val="24"/>
              <w:szCs w:val="24"/>
              <w14:ligatures w14:val="standardContextual"/>
            </w:rPr>
          </w:pPr>
          <w:hyperlink w:history="1" w:anchor="_Toc221095465">
            <w:r w:rsidRPr="00F42375" w:rsidR="00A65D8D">
              <w:rPr>
                <w:rStyle w:val="Lienhypertexte"/>
                <w:rFonts w:ascii="Calibri" w:hAnsi="Calibri"/>
                <w:noProof/>
              </w:rPr>
              <w:t>4.3.3.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w:t>
            </w:r>
            <w:r w:rsidR="00A65D8D">
              <w:rPr>
                <w:noProof/>
                <w:webHidden/>
              </w:rPr>
              <w:tab/>
            </w:r>
            <w:r w:rsidR="00A65D8D">
              <w:rPr>
                <w:noProof/>
                <w:webHidden/>
              </w:rPr>
              <w:fldChar w:fldCharType="begin"/>
            </w:r>
            <w:r w:rsidR="00A65D8D">
              <w:rPr>
                <w:noProof/>
                <w:webHidden/>
              </w:rPr>
              <w:instrText xml:space="preserve"> PAGEREF _Toc221095465 \h </w:instrText>
            </w:r>
            <w:r w:rsidR="00A65D8D">
              <w:rPr>
                <w:noProof/>
                <w:webHidden/>
              </w:rPr>
            </w:r>
            <w:r w:rsidR="00A65D8D">
              <w:rPr>
                <w:noProof/>
                <w:webHidden/>
              </w:rPr>
              <w:fldChar w:fldCharType="separate"/>
            </w:r>
            <w:r w:rsidR="00A65D8D">
              <w:rPr>
                <w:noProof/>
                <w:webHidden/>
              </w:rPr>
              <w:t>27</w:t>
            </w:r>
            <w:r w:rsidR="00A65D8D">
              <w:rPr>
                <w:noProof/>
                <w:webHidden/>
              </w:rPr>
              <w:fldChar w:fldCharType="end"/>
            </w:r>
          </w:hyperlink>
        </w:p>
        <w:p w:rsidR="00A65D8D" w:rsidRDefault="00000000" w14:paraId="3DAACB40" w14:textId="7C463684">
          <w:pPr>
            <w:pStyle w:val="TM3"/>
            <w:rPr>
              <w:rFonts w:asciiTheme="minorHAnsi" w:hAnsiTheme="minorHAnsi" w:eastAsiaTheme="minorEastAsia" w:cstheme="minorBidi"/>
              <w:i w:val="0"/>
              <w:noProof/>
              <w:kern w:val="2"/>
              <w:sz w:val="24"/>
              <w:szCs w:val="24"/>
              <w14:ligatures w14:val="standardContextual"/>
            </w:rPr>
          </w:pPr>
          <w:hyperlink w:history="1" w:anchor="_Toc221095466">
            <w:r w:rsidRPr="00F42375" w:rsidR="00A65D8D">
              <w:rPr>
                <w:rStyle w:val="Lienhypertexte"/>
                <w:rFonts w:ascii="Calibri" w:hAnsi="Calibri"/>
                <w:noProof/>
              </w:rPr>
              <w:t>4.3.4.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rFonts w:ascii="Calibri" w:hAnsi="Calibri" w:eastAsia="Calibri" w:cs="Calibri"/>
                <w:noProof/>
              </w:rPr>
              <w:t>Les produits de la plateforme PID</w:t>
            </w:r>
            <w:r w:rsidR="00A65D8D">
              <w:rPr>
                <w:noProof/>
                <w:webHidden/>
              </w:rPr>
              <w:tab/>
            </w:r>
            <w:r w:rsidR="00A65D8D">
              <w:rPr>
                <w:noProof/>
                <w:webHidden/>
              </w:rPr>
              <w:fldChar w:fldCharType="begin"/>
            </w:r>
            <w:r w:rsidR="00A65D8D">
              <w:rPr>
                <w:noProof/>
                <w:webHidden/>
              </w:rPr>
              <w:instrText xml:space="preserve"> PAGEREF _Toc221095466 \h </w:instrText>
            </w:r>
            <w:r w:rsidR="00A65D8D">
              <w:rPr>
                <w:noProof/>
                <w:webHidden/>
              </w:rPr>
            </w:r>
            <w:r w:rsidR="00A65D8D">
              <w:rPr>
                <w:noProof/>
                <w:webHidden/>
              </w:rPr>
              <w:fldChar w:fldCharType="separate"/>
            </w:r>
            <w:r w:rsidR="00A65D8D">
              <w:rPr>
                <w:noProof/>
                <w:webHidden/>
              </w:rPr>
              <w:t>28</w:t>
            </w:r>
            <w:r w:rsidR="00A65D8D">
              <w:rPr>
                <w:noProof/>
                <w:webHidden/>
              </w:rPr>
              <w:fldChar w:fldCharType="end"/>
            </w:r>
          </w:hyperlink>
        </w:p>
        <w:p w:rsidR="00A65D8D" w:rsidRDefault="00000000" w14:paraId="5C442C57" w14:textId="3C18804D">
          <w:pPr>
            <w:pStyle w:val="TM2"/>
            <w:rPr>
              <w:rFonts w:asciiTheme="minorHAnsi" w:hAnsiTheme="minorHAnsi" w:eastAsiaTheme="minorEastAsia" w:cstheme="minorBidi"/>
              <w:bCs w:val="0"/>
              <w:noProof/>
              <w:kern w:val="2"/>
              <w:sz w:val="24"/>
              <w:szCs w:val="24"/>
              <w14:ligatures w14:val="standardContextual"/>
            </w:rPr>
          </w:pPr>
          <w:hyperlink w:history="1" w:anchor="_Toc221095467">
            <w:r w:rsidRPr="00F42375" w:rsidR="00A65D8D">
              <w:rPr>
                <w:rStyle w:val="Lienhypertexte"/>
                <w:rFonts w:ascii="Calibri" w:hAnsi="Calibri"/>
                <w:noProof/>
              </w:rPr>
              <w:t>4.4.</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Plateforme du référentiel des utilisateurs (IAM)</w:t>
            </w:r>
            <w:r w:rsidR="00A65D8D">
              <w:rPr>
                <w:noProof/>
                <w:webHidden/>
              </w:rPr>
              <w:tab/>
            </w:r>
            <w:r w:rsidR="00A65D8D">
              <w:rPr>
                <w:noProof/>
                <w:webHidden/>
              </w:rPr>
              <w:fldChar w:fldCharType="begin"/>
            </w:r>
            <w:r w:rsidR="00A65D8D">
              <w:rPr>
                <w:noProof/>
                <w:webHidden/>
              </w:rPr>
              <w:instrText xml:space="preserve"> PAGEREF _Toc221095467 \h </w:instrText>
            </w:r>
            <w:r w:rsidR="00A65D8D">
              <w:rPr>
                <w:noProof/>
                <w:webHidden/>
              </w:rPr>
            </w:r>
            <w:r w:rsidR="00A65D8D">
              <w:rPr>
                <w:noProof/>
                <w:webHidden/>
              </w:rPr>
              <w:fldChar w:fldCharType="separate"/>
            </w:r>
            <w:r w:rsidR="00A65D8D">
              <w:rPr>
                <w:noProof/>
                <w:webHidden/>
              </w:rPr>
              <w:t>29</w:t>
            </w:r>
            <w:r w:rsidR="00A65D8D">
              <w:rPr>
                <w:noProof/>
                <w:webHidden/>
              </w:rPr>
              <w:fldChar w:fldCharType="end"/>
            </w:r>
          </w:hyperlink>
        </w:p>
        <w:p w:rsidR="00A65D8D" w:rsidRDefault="00000000" w14:paraId="3E65FA7E" w14:textId="11EF5CF0">
          <w:pPr>
            <w:pStyle w:val="TM3"/>
            <w:rPr>
              <w:rFonts w:asciiTheme="minorHAnsi" w:hAnsiTheme="minorHAnsi" w:eastAsiaTheme="minorEastAsia" w:cstheme="minorBidi"/>
              <w:i w:val="0"/>
              <w:noProof/>
              <w:kern w:val="2"/>
              <w:sz w:val="24"/>
              <w:szCs w:val="24"/>
              <w14:ligatures w14:val="standardContextual"/>
            </w:rPr>
          </w:pPr>
          <w:hyperlink w:history="1" w:anchor="_Toc221095468">
            <w:r w:rsidRPr="00F42375" w:rsidR="00A65D8D">
              <w:rPr>
                <w:rStyle w:val="Lienhypertexte"/>
                <w:rFonts w:ascii="Calibri" w:hAnsi="Calibri"/>
                <w:noProof/>
              </w:rPr>
              <w:t>4.4.1.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_Toc221095468 \h </w:instrText>
            </w:r>
            <w:r w:rsidR="00A65D8D">
              <w:rPr>
                <w:noProof/>
                <w:webHidden/>
              </w:rPr>
            </w:r>
            <w:r w:rsidR="00A65D8D">
              <w:rPr>
                <w:noProof/>
                <w:webHidden/>
              </w:rPr>
              <w:fldChar w:fldCharType="separate"/>
            </w:r>
            <w:r w:rsidR="00A65D8D">
              <w:rPr>
                <w:noProof/>
                <w:webHidden/>
              </w:rPr>
              <w:t>29</w:t>
            </w:r>
            <w:r w:rsidR="00A65D8D">
              <w:rPr>
                <w:noProof/>
                <w:webHidden/>
              </w:rPr>
              <w:fldChar w:fldCharType="end"/>
            </w:r>
          </w:hyperlink>
        </w:p>
        <w:p w:rsidR="00A65D8D" w:rsidRDefault="00000000" w14:paraId="69479B66" w14:textId="439D6E10">
          <w:pPr>
            <w:pStyle w:val="TM3"/>
            <w:rPr>
              <w:rFonts w:asciiTheme="minorHAnsi" w:hAnsiTheme="minorHAnsi" w:eastAsiaTheme="minorEastAsia" w:cstheme="minorBidi"/>
              <w:i w:val="0"/>
              <w:noProof/>
              <w:kern w:val="2"/>
              <w:sz w:val="24"/>
              <w:szCs w:val="24"/>
              <w14:ligatures w14:val="standardContextual"/>
            </w:rPr>
          </w:pPr>
          <w:hyperlink w:history="1" w:anchor="_Toc221095469">
            <w:r w:rsidRPr="00F42375" w:rsidR="00A65D8D">
              <w:rPr>
                <w:rStyle w:val="Lienhypertexte"/>
                <w:rFonts w:ascii="Calibri" w:hAnsi="Calibri"/>
                <w:noProof/>
              </w:rPr>
              <w:t>4.4.1.1.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Composant technique</w:t>
            </w:r>
            <w:r w:rsidR="00A65D8D">
              <w:rPr>
                <w:noProof/>
                <w:webHidden/>
              </w:rPr>
              <w:tab/>
            </w:r>
            <w:r w:rsidR="00A65D8D">
              <w:rPr>
                <w:noProof/>
                <w:webHidden/>
              </w:rPr>
              <w:fldChar w:fldCharType="begin"/>
            </w:r>
            <w:r w:rsidR="00A65D8D">
              <w:rPr>
                <w:noProof/>
                <w:webHidden/>
              </w:rPr>
              <w:instrText xml:space="preserve"> PAGEREF _Toc221095469 \h </w:instrText>
            </w:r>
            <w:r w:rsidR="00A65D8D">
              <w:rPr>
                <w:noProof/>
                <w:webHidden/>
              </w:rPr>
            </w:r>
            <w:r w:rsidR="00A65D8D">
              <w:rPr>
                <w:noProof/>
                <w:webHidden/>
              </w:rPr>
              <w:fldChar w:fldCharType="separate"/>
            </w:r>
            <w:r w:rsidR="00A65D8D">
              <w:rPr>
                <w:noProof/>
                <w:webHidden/>
              </w:rPr>
              <w:t>30</w:t>
            </w:r>
            <w:r w:rsidR="00A65D8D">
              <w:rPr>
                <w:noProof/>
                <w:webHidden/>
              </w:rPr>
              <w:fldChar w:fldCharType="end"/>
            </w:r>
          </w:hyperlink>
        </w:p>
        <w:p w:rsidR="00A65D8D" w:rsidRDefault="00000000" w14:paraId="7B2179E8" w14:textId="4E112D79">
          <w:pPr>
            <w:pStyle w:val="TM3"/>
            <w:rPr>
              <w:rFonts w:asciiTheme="minorHAnsi" w:hAnsiTheme="minorHAnsi" w:eastAsiaTheme="minorEastAsia" w:cstheme="minorBidi"/>
              <w:i w:val="0"/>
              <w:noProof/>
              <w:kern w:val="2"/>
              <w:sz w:val="24"/>
              <w:szCs w:val="24"/>
              <w14:ligatures w14:val="standardContextual"/>
            </w:rPr>
          </w:pPr>
          <w:hyperlink w:history="1" w:anchor="_Toc221095470">
            <w:r w:rsidRPr="00F42375" w:rsidR="00A65D8D">
              <w:rPr>
                <w:rStyle w:val="Lienhypertexte"/>
                <w:rFonts w:ascii="Calibri" w:hAnsi="Calibri"/>
                <w:noProof/>
              </w:rPr>
              <w:t>4.4.1.2.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Protocole/ interfaces</w:t>
            </w:r>
            <w:r w:rsidR="00A65D8D">
              <w:rPr>
                <w:noProof/>
                <w:webHidden/>
              </w:rPr>
              <w:tab/>
            </w:r>
            <w:r w:rsidR="00A65D8D">
              <w:rPr>
                <w:noProof/>
                <w:webHidden/>
              </w:rPr>
              <w:fldChar w:fldCharType="begin"/>
            </w:r>
            <w:r w:rsidR="00A65D8D">
              <w:rPr>
                <w:noProof/>
                <w:webHidden/>
              </w:rPr>
              <w:instrText xml:space="preserve"> PAGEREF _Toc221095470 \h </w:instrText>
            </w:r>
            <w:r w:rsidR="00A65D8D">
              <w:rPr>
                <w:noProof/>
                <w:webHidden/>
              </w:rPr>
            </w:r>
            <w:r w:rsidR="00A65D8D">
              <w:rPr>
                <w:noProof/>
                <w:webHidden/>
              </w:rPr>
              <w:fldChar w:fldCharType="separate"/>
            </w:r>
            <w:r w:rsidR="00A65D8D">
              <w:rPr>
                <w:noProof/>
                <w:webHidden/>
              </w:rPr>
              <w:t>30</w:t>
            </w:r>
            <w:r w:rsidR="00A65D8D">
              <w:rPr>
                <w:noProof/>
                <w:webHidden/>
              </w:rPr>
              <w:fldChar w:fldCharType="end"/>
            </w:r>
          </w:hyperlink>
        </w:p>
        <w:p w:rsidR="00A65D8D" w:rsidRDefault="00000000" w14:paraId="4E4EC206" w14:textId="33C41B57">
          <w:pPr>
            <w:pStyle w:val="TM3"/>
            <w:rPr>
              <w:rFonts w:asciiTheme="minorHAnsi" w:hAnsiTheme="minorHAnsi" w:eastAsiaTheme="minorEastAsia" w:cstheme="minorBidi"/>
              <w:i w:val="0"/>
              <w:noProof/>
              <w:kern w:val="2"/>
              <w:sz w:val="24"/>
              <w:szCs w:val="24"/>
              <w14:ligatures w14:val="standardContextual"/>
            </w:rPr>
          </w:pPr>
          <w:hyperlink w:history="1" w:anchor="_Toc221095471">
            <w:r w:rsidRPr="00F42375" w:rsidR="00A65D8D">
              <w:rPr>
                <w:rStyle w:val="Lienhypertexte"/>
                <w:rFonts w:ascii="Calibri" w:hAnsi="Calibri"/>
                <w:noProof/>
              </w:rPr>
              <w:t>4.4.2.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Plateforme IDM</w:t>
            </w:r>
            <w:r w:rsidR="00A65D8D">
              <w:rPr>
                <w:noProof/>
                <w:webHidden/>
              </w:rPr>
              <w:tab/>
            </w:r>
            <w:r w:rsidR="00A65D8D">
              <w:rPr>
                <w:noProof/>
                <w:webHidden/>
              </w:rPr>
              <w:fldChar w:fldCharType="begin"/>
            </w:r>
            <w:r w:rsidR="00A65D8D">
              <w:rPr>
                <w:noProof/>
                <w:webHidden/>
              </w:rPr>
              <w:instrText xml:space="preserve"> PAGEREF _Toc221095471 \h </w:instrText>
            </w:r>
            <w:r w:rsidR="00A65D8D">
              <w:rPr>
                <w:noProof/>
                <w:webHidden/>
              </w:rPr>
            </w:r>
            <w:r w:rsidR="00A65D8D">
              <w:rPr>
                <w:noProof/>
                <w:webHidden/>
              </w:rPr>
              <w:fldChar w:fldCharType="separate"/>
            </w:r>
            <w:r w:rsidR="00A65D8D">
              <w:rPr>
                <w:noProof/>
                <w:webHidden/>
              </w:rPr>
              <w:t>30</w:t>
            </w:r>
            <w:r w:rsidR="00A65D8D">
              <w:rPr>
                <w:noProof/>
                <w:webHidden/>
              </w:rPr>
              <w:fldChar w:fldCharType="end"/>
            </w:r>
          </w:hyperlink>
        </w:p>
        <w:p w:rsidR="00A65D8D" w:rsidRDefault="00000000" w14:paraId="3E764D0D" w14:textId="7C5554CD">
          <w:pPr>
            <w:pStyle w:val="TM3"/>
            <w:rPr>
              <w:rFonts w:asciiTheme="minorHAnsi" w:hAnsiTheme="minorHAnsi" w:eastAsiaTheme="minorEastAsia" w:cstheme="minorBidi"/>
              <w:i w:val="0"/>
              <w:noProof/>
              <w:kern w:val="2"/>
              <w:sz w:val="24"/>
              <w:szCs w:val="24"/>
              <w14:ligatures w14:val="standardContextual"/>
            </w:rPr>
          </w:pPr>
          <w:hyperlink w:history="1" w:anchor="_Toc221095472">
            <w:r w:rsidRPr="00F42375" w:rsidR="00A65D8D">
              <w:rPr>
                <w:rStyle w:val="Lienhypertexte"/>
                <w:rFonts w:ascii="Calibri" w:hAnsi="Calibri"/>
                <w:noProof/>
              </w:rPr>
              <w:t>4.4.2.1.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Composants techniques communs</w:t>
            </w:r>
            <w:r w:rsidR="00A65D8D">
              <w:rPr>
                <w:noProof/>
                <w:webHidden/>
              </w:rPr>
              <w:tab/>
            </w:r>
            <w:r w:rsidR="00A65D8D">
              <w:rPr>
                <w:noProof/>
                <w:webHidden/>
              </w:rPr>
              <w:fldChar w:fldCharType="begin"/>
            </w:r>
            <w:r w:rsidR="00A65D8D">
              <w:rPr>
                <w:noProof/>
                <w:webHidden/>
              </w:rPr>
              <w:instrText xml:space="preserve"> PAGEREF _Toc221095472 \h </w:instrText>
            </w:r>
            <w:r w:rsidR="00A65D8D">
              <w:rPr>
                <w:noProof/>
                <w:webHidden/>
              </w:rPr>
            </w:r>
            <w:r w:rsidR="00A65D8D">
              <w:rPr>
                <w:noProof/>
                <w:webHidden/>
              </w:rPr>
              <w:fldChar w:fldCharType="separate"/>
            </w:r>
            <w:r w:rsidR="00A65D8D">
              <w:rPr>
                <w:noProof/>
                <w:webHidden/>
              </w:rPr>
              <w:t>30</w:t>
            </w:r>
            <w:r w:rsidR="00A65D8D">
              <w:rPr>
                <w:noProof/>
                <w:webHidden/>
              </w:rPr>
              <w:fldChar w:fldCharType="end"/>
            </w:r>
          </w:hyperlink>
        </w:p>
        <w:p w:rsidR="00A65D8D" w:rsidRDefault="00000000" w14:paraId="5B76C2A3" w14:textId="30F078EC">
          <w:pPr>
            <w:pStyle w:val="TM3"/>
            <w:rPr>
              <w:rFonts w:asciiTheme="minorHAnsi" w:hAnsiTheme="minorHAnsi" w:eastAsiaTheme="minorEastAsia" w:cstheme="minorBidi"/>
              <w:i w:val="0"/>
              <w:noProof/>
              <w:kern w:val="2"/>
              <w:sz w:val="24"/>
              <w:szCs w:val="24"/>
              <w14:ligatures w14:val="standardContextual"/>
            </w:rPr>
          </w:pPr>
          <w:hyperlink w:history="1" w:anchor="_Toc221095473">
            <w:r w:rsidRPr="00F42375" w:rsidR="00A65D8D">
              <w:rPr>
                <w:rStyle w:val="Lienhypertexte"/>
                <w:rFonts w:ascii="Calibri" w:hAnsi="Calibri"/>
                <w:noProof/>
              </w:rPr>
              <w:t>4.4.2.2.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PingIDM</w:t>
            </w:r>
            <w:r w:rsidR="00A65D8D">
              <w:rPr>
                <w:noProof/>
                <w:webHidden/>
              </w:rPr>
              <w:tab/>
            </w:r>
            <w:r w:rsidR="00A65D8D">
              <w:rPr>
                <w:noProof/>
                <w:webHidden/>
              </w:rPr>
              <w:fldChar w:fldCharType="begin"/>
            </w:r>
            <w:r w:rsidR="00A65D8D">
              <w:rPr>
                <w:noProof/>
                <w:webHidden/>
              </w:rPr>
              <w:instrText xml:space="preserve"> PAGEREF _Toc221095473 \h </w:instrText>
            </w:r>
            <w:r w:rsidR="00A65D8D">
              <w:rPr>
                <w:noProof/>
                <w:webHidden/>
              </w:rPr>
            </w:r>
            <w:r w:rsidR="00A65D8D">
              <w:rPr>
                <w:noProof/>
                <w:webHidden/>
              </w:rPr>
              <w:fldChar w:fldCharType="separate"/>
            </w:r>
            <w:r w:rsidR="00A65D8D">
              <w:rPr>
                <w:noProof/>
                <w:webHidden/>
              </w:rPr>
              <w:t>31</w:t>
            </w:r>
            <w:r w:rsidR="00A65D8D">
              <w:rPr>
                <w:noProof/>
                <w:webHidden/>
              </w:rPr>
              <w:fldChar w:fldCharType="end"/>
            </w:r>
          </w:hyperlink>
        </w:p>
        <w:p w:rsidR="00A65D8D" w:rsidRDefault="00000000" w14:paraId="7615DC06" w14:textId="682634C3">
          <w:pPr>
            <w:pStyle w:val="TM3"/>
            <w:rPr>
              <w:rFonts w:asciiTheme="minorHAnsi" w:hAnsiTheme="minorHAnsi" w:eastAsiaTheme="minorEastAsia" w:cstheme="minorBidi"/>
              <w:i w:val="0"/>
              <w:noProof/>
              <w:kern w:val="2"/>
              <w:sz w:val="24"/>
              <w:szCs w:val="24"/>
              <w14:ligatures w14:val="standardContextual"/>
            </w:rPr>
          </w:pPr>
          <w:hyperlink w:history="1" w:anchor="_Toc221095474">
            <w:r w:rsidRPr="00F42375" w:rsidR="00A65D8D">
              <w:rPr>
                <w:rStyle w:val="Lienhypertexte"/>
                <w:rFonts w:ascii="Calibri" w:hAnsi="Calibri"/>
                <w:noProof/>
              </w:rPr>
              <w:t>4.4.2.3.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IDM-WS</w:t>
            </w:r>
            <w:r w:rsidR="00A65D8D">
              <w:rPr>
                <w:noProof/>
                <w:webHidden/>
              </w:rPr>
              <w:tab/>
            </w:r>
            <w:r w:rsidR="00A65D8D">
              <w:rPr>
                <w:noProof/>
                <w:webHidden/>
              </w:rPr>
              <w:fldChar w:fldCharType="begin"/>
            </w:r>
            <w:r w:rsidR="00A65D8D">
              <w:rPr>
                <w:noProof/>
                <w:webHidden/>
              </w:rPr>
              <w:instrText xml:space="preserve"> PAGEREF _Toc221095474 \h </w:instrText>
            </w:r>
            <w:r w:rsidR="00A65D8D">
              <w:rPr>
                <w:noProof/>
                <w:webHidden/>
              </w:rPr>
            </w:r>
            <w:r w:rsidR="00A65D8D">
              <w:rPr>
                <w:noProof/>
                <w:webHidden/>
              </w:rPr>
              <w:fldChar w:fldCharType="separate"/>
            </w:r>
            <w:r w:rsidR="00A65D8D">
              <w:rPr>
                <w:noProof/>
                <w:webHidden/>
              </w:rPr>
              <w:t>31</w:t>
            </w:r>
            <w:r w:rsidR="00A65D8D">
              <w:rPr>
                <w:noProof/>
                <w:webHidden/>
              </w:rPr>
              <w:fldChar w:fldCharType="end"/>
            </w:r>
          </w:hyperlink>
        </w:p>
        <w:p w:rsidR="00A65D8D" w:rsidRDefault="00000000" w14:paraId="3FA6D933" w14:textId="0D1174E3">
          <w:pPr>
            <w:pStyle w:val="TM3"/>
            <w:rPr>
              <w:rFonts w:asciiTheme="minorHAnsi" w:hAnsiTheme="minorHAnsi" w:eastAsiaTheme="minorEastAsia" w:cstheme="minorBidi"/>
              <w:i w:val="0"/>
              <w:noProof/>
              <w:kern w:val="2"/>
              <w:sz w:val="24"/>
              <w:szCs w:val="24"/>
              <w14:ligatures w14:val="standardContextual"/>
            </w:rPr>
          </w:pPr>
          <w:hyperlink w:history="1" w:anchor="_Toc221095475">
            <w:r w:rsidRPr="00F42375" w:rsidR="00A65D8D">
              <w:rPr>
                <w:rStyle w:val="Lienhypertexte"/>
                <w:rFonts w:ascii="Calibri" w:hAnsi="Calibri"/>
                <w:noProof/>
              </w:rPr>
              <w:t>4.4.2.4.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Clavis</w:t>
            </w:r>
            <w:r w:rsidR="00A65D8D">
              <w:rPr>
                <w:noProof/>
                <w:webHidden/>
              </w:rPr>
              <w:tab/>
            </w:r>
            <w:r w:rsidR="00A65D8D">
              <w:rPr>
                <w:noProof/>
                <w:webHidden/>
              </w:rPr>
              <w:fldChar w:fldCharType="begin"/>
            </w:r>
            <w:r w:rsidR="00A65D8D">
              <w:rPr>
                <w:noProof/>
                <w:webHidden/>
              </w:rPr>
              <w:instrText xml:space="preserve"> PAGEREF _Toc221095475 \h </w:instrText>
            </w:r>
            <w:r w:rsidR="00A65D8D">
              <w:rPr>
                <w:noProof/>
                <w:webHidden/>
              </w:rPr>
            </w:r>
            <w:r w:rsidR="00A65D8D">
              <w:rPr>
                <w:noProof/>
                <w:webHidden/>
              </w:rPr>
              <w:fldChar w:fldCharType="separate"/>
            </w:r>
            <w:r w:rsidR="00A65D8D">
              <w:rPr>
                <w:noProof/>
                <w:webHidden/>
              </w:rPr>
              <w:t>32</w:t>
            </w:r>
            <w:r w:rsidR="00A65D8D">
              <w:rPr>
                <w:noProof/>
                <w:webHidden/>
              </w:rPr>
              <w:fldChar w:fldCharType="end"/>
            </w:r>
          </w:hyperlink>
        </w:p>
        <w:p w:rsidR="00A65D8D" w:rsidRDefault="00000000" w14:paraId="7EE75FA7" w14:textId="69B2DA5A">
          <w:pPr>
            <w:pStyle w:val="TM3"/>
            <w:rPr>
              <w:rFonts w:asciiTheme="minorHAnsi" w:hAnsiTheme="minorHAnsi" w:eastAsiaTheme="minorEastAsia" w:cstheme="minorBidi"/>
              <w:i w:val="0"/>
              <w:noProof/>
              <w:kern w:val="2"/>
              <w:sz w:val="24"/>
              <w:szCs w:val="24"/>
              <w14:ligatures w14:val="standardContextual"/>
            </w:rPr>
          </w:pPr>
          <w:hyperlink w:history="1" w:anchor="_Toc221095476">
            <w:r w:rsidRPr="00F42375" w:rsidR="00A65D8D">
              <w:rPr>
                <w:rStyle w:val="Lienhypertexte"/>
                <w:rFonts w:ascii="Calibri" w:hAnsi="Calibri"/>
                <w:noProof/>
              </w:rPr>
              <w:t>4.4.2.5.</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Proxy IDM Notilus</w:t>
            </w:r>
            <w:r w:rsidR="00A65D8D">
              <w:rPr>
                <w:noProof/>
                <w:webHidden/>
              </w:rPr>
              <w:tab/>
            </w:r>
            <w:r w:rsidR="00A65D8D">
              <w:rPr>
                <w:noProof/>
                <w:webHidden/>
              </w:rPr>
              <w:fldChar w:fldCharType="begin"/>
            </w:r>
            <w:r w:rsidR="00A65D8D">
              <w:rPr>
                <w:noProof/>
                <w:webHidden/>
              </w:rPr>
              <w:instrText xml:space="preserve"> PAGEREF _Toc221095476 \h </w:instrText>
            </w:r>
            <w:r w:rsidR="00A65D8D">
              <w:rPr>
                <w:noProof/>
                <w:webHidden/>
              </w:rPr>
            </w:r>
            <w:r w:rsidR="00A65D8D">
              <w:rPr>
                <w:noProof/>
                <w:webHidden/>
              </w:rPr>
              <w:fldChar w:fldCharType="separate"/>
            </w:r>
            <w:r w:rsidR="00A65D8D">
              <w:rPr>
                <w:noProof/>
                <w:webHidden/>
              </w:rPr>
              <w:t>32</w:t>
            </w:r>
            <w:r w:rsidR="00A65D8D">
              <w:rPr>
                <w:noProof/>
                <w:webHidden/>
              </w:rPr>
              <w:fldChar w:fldCharType="end"/>
            </w:r>
          </w:hyperlink>
        </w:p>
        <w:p w:rsidR="00A65D8D" w:rsidRDefault="00000000" w14:paraId="0D4D799D" w14:textId="54C1230F">
          <w:pPr>
            <w:pStyle w:val="TM3"/>
            <w:rPr>
              <w:rFonts w:asciiTheme="minorHAnsi" w:hAnsiTheme="minorHAnsi" w:eastAsiaTheme="minorEastAsia" w:cstheme="minorBidi"/>
              <w:i w:val="0"/>
              <w:noProof/>
              <w:kern w:val="2"/>
              <w:sz w:val="24"/>
              <w:szCs w:val="24"/>
              <w14:ligatures w14:val="standardContextual"/>
            </w:rPr>
          </w:pPr>
          <w:hyperlink w:history="1" w:anchor="_Toc221095477">
            <w:r w:rsidRPr="00F42375" w:rsidR="00A65D8D">
              <w:rPr>
                <w:rStyle w:val="Lienhypertexte"/>
                <w:rFonts w:ascii="Calibri" w:hAnsi="Calibri"/>
                <w:noProof/>
              </w:rPr>
              <w:t>4.4.2.6.</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API LDAP Externe</w:t>
            </w:r>
            <w:r w:rsidR="00A65D8D">
              <w:rPr>
                <w:noProof/>
                <w:webHidden/>
              </w:rPr>
              <w:tab/>
            </w:r>
            <w:r w:rsidR="00A65D8D">
              <w:rPr>
                <w:noProof/>
                <w:webHidden/>
              </w:rPr>
              <w:fldChar w:fldCharType="begin"/>
            </w:r>
            <w:r w:rsidR="00A65D8D">
              <w:rPr>
                <w:noProof/>
                <w:webHidden/>
              </w:rPr>
              <w:instrText xml:space="preserve"> PAGEREF _Toc221095477 \h </w:instrText>
            </w:r>
            <w:r w:rsidR="00A65D8D">
              <w:rPr>
                <w:noProof/>
                <w:webHidden/>
              </w:rPr>
            </w:r>
            <w:r w:rsidR="00A65D8D">
              <w:rPr>
                <w:noProof/>
                <w:webHidden/>
              </w:rPr>
              <w:fldChar w:fldCharType="separate"/>
            </w:r>
            <w:r w:rsidR="00A65D8D">
              <w:rPr>
                <w:noProof/>
                <w:webHidden/>
              </w:rPr>
              <w:t>33</w:t>
            </w:r>
            <w:r w:rsidR="00A65D8D">
              <w:rPr>
                <w:noProof/>
                <w:webHidden/>
              </w:rPr>
              <w:fldChar w:fldCharType="end"/>
            </w:r>
          </w:hyperlink>
        </w:p>
        <w:p w:rsidR="00A65D8D" w:rsidRDefault="00000000" w14:paraId="703F3DE5" w14:textId="5D143FF9">
          <w:pPr>
            <w:pStyle w:val="TM3"/>
            <w:rPr>
              <w:rFonts w:asciiTheme="minorHAnsi" w:hAnsiTheme="minorHAnsi" w:eastAsiaTheme="minorEastAsia" w:cstheme="minorBidi"/>
              <w:i w:val="0"/>
              <w:noProof/>
              <w:kern w:val="2"/>
              <w:sz w:val="24"/>
              <w:szCs w:val="24"/>
              <w14:ligatures w14:val="standardContextual"/>
            </w:rPr>
          </w:pPr>
          <w:hyperlink w:history="1" w:anchor="_Toc221095478">
            <w:r w:rsidRPr="00F42375" w:rsidR="00A65D8D">
              <w:rPr>
                <w:rStyle w:val="Lienhypertexte"/>
                <w:rFonts w:ascii="Calibri" w:hAnsi="Calibri"/>
                <w:noProof/>
              </w:rPr>
              <w:t>4.4.3.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Plateforme AM</w:t>
            </w:r>
            <w:r w:rsidR="00A65D8D">
              <w:rPr>
                <w:noProof/>
                <w:webHidden/>
              </w:rPr>
              <w:tab/>
            </w:r>
            <w:r w:rsidR="00A65D8D">
              <w:rPr>
                <w:noProof/>
                <w:webHidden/>
              </w:rPr>
              <w:fldChar w:fldCharType="begin"/>
            </w:r>
            <w:r w:rsidR="00A65D8D">
              <w:rPr>
                <w:noProof/>
                <w:webHidden/>
              </w:rPr>
              <w:instrText xml:space="preserve"> PAGEREF _Toc221095478 \h </w:instrText>
            </w:r>
            <w:r w:rsidR="00A65D8D">
              <w:rPr>
                <w:noProof/>
                <w:webHidden/>
              </w:rPr>
            </w:r>
            <w:r w:rsidR="00A65D8D">
              <w:rPr>
                <w:noProof/>
                <w:webHidden/>
              </w:rPr>
              <w:fldChar w:fldCharType="separate"/>
            </w:r>
            <w:r w:rsidR="00A65D8D">
              <w:rPr>
                <w:noProof/>
                <w:webHidden/>
              </w:rPr>
              <w:t>33</w:t>
            </w:r>
            <w:r w:rsidR="00A65D8D">
              <w:rPr>
                <w:noProof/>
                <w:webHidden/>
              </w:rPr>
              <w:fldChar w:fldCharType="end"/>
            </w:r>
          </w:hyperlink>
        </w:p>
        <w:p w:rsidR="00A65D8D" w:rsidRDefault="00000000" w14:paraId="45366D6E" w14:textId="3236D164">
          <w:pPr>
            <w:pStyle w:val="TM3"/>
            <w:rPr>
              <w:rFonts w:asciiTheme="minorHAnsi" w:hAnsiTheme="minorHAnsi" w:eastAsiaTheme="minorEastAsia" w:cstheme="minorBidi"/>
              <w:i w:val="0"/>
              <w:noProof/>
              <w:kern w:val="2"/>
              <w:sz w:val="24"/>
              <w:szCs w:val="24"/>
              <w14:ligatures w14:val="standardContextual"/>
            </w:rPr>
          </w:pPr>
          <w:hyperlink w:history="1" w:anchor="_Toc221095479">
            <w:r w:rsidRPr="00F42375" w:rsidR="00A65D8D">
              <w:rPr>
                <w:rStyle w:val="Lienhypertexte"/>
                <w:rFonts w:ascii="Calibri" w:hAnsi="Calibri"/>
                <w:noProof/>
              </w:rPr>
              <w:t>4.4.3.1.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Composants techniques</w:t>
            </w:r>
            <w:r w:rsidR="00A65D8D">
              <w:rPr>
                <w:noProof/>
                <w:webHidden/>
              </w:rPr>
              <w:tab/>
            </w:r>
            <w:r w:rsidR="00A65D8D">
              <w:rPr>
                <w:noProof/>
                <w:webHidden/>
              </w:rPr>
              <w:fldChar w:fldCharType="begin"/>
            </w:r>
            <w:r w:rsidR="00A65D8D">
              <w:rPr>
                <w:noProof/>
                <w:webHidden/>
              </w:rPr>
              <w:instrText xml:space="preserve"> PAGEREF _Toc221095479 \h </w:instrText>
            </w:r>
            <w:r w:rsidR="00A65D8D">
              <w:rPr>
                <w:noProof/>
                <w:webHidden/>
              </w:rPr>
            </w:r>
            <w:r w:rsidR="00A65D8D">
              <w:rPr>
                <w:noProof/>
                <w:webHidden/>
              </w:rPr>
              <w:fldChar w:fldCharType="separate"/>
            </w:r>
            <w:r w:rsidR="00A65D8D">
              <w:rPr>
                <w:noProof/>
                <w:webHidden/>
              </w:rPr>
              <w:t>33</w:t>
            </w:r>
            <w:r w:rsidR="00A65D8D">
              <w:rPr>
                <w:noProof/>
                <w:webHidden/>
              </w:rPr>
              <w:fldChar w:fldCharType="end"/>
            </w:r>
          </w:hyperlink>
        </w:p>
        <w:p w:rsidR="00A65D8D" w:rsidRDefault="00000000" w14:paraId="5410FCE3" w14:textId="60236CD9">
          <w:pPr>
            <w:pStyle w:val="TM3"/>
            <w:rPr>
              <w:rFonts w:asciiTheme="minorHAnsi" w:hAnsiTheme="minorHAnsi" w:eastAsiaTheme="minorEastAsia" w:cstheme="minorBidi"/>
              <w:i w:val="0"/>
              <w:noProof/>
              <w:kern w:val="2"/>
              <w:sz w:val="24"/>
              <w:szCs w:val="24"/>
              <w14:ligatures w14:val="standardContextual"/>
            </w:rPr>
          </w:pPr>
          <w:hyperlink w:history="1" w:anchor="_Toc221095480">
            <w:r w:rsidRPr="00F42375" w:rsidR="00A65D8D">
              <w:rPr>
                <w:rStyle w:val="Lienhypertexte"/>
                <w:rFonts w:ascii="Calibri" w:hAnsi="Calibri"/>
                <w:noProof/>
              </w:rPr>
              <w:t>4.4.3.2.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Protocoles / Language</w:t>
            </w:r>
            <w:r w:rsidR="00A65D8D">
              <w:rPr>
                <w:noProof/>
                <w:webHidden/>
              </w:rPr>
              <w:tab/>
            </w:r>
            <w:r w:rsidR="00A65D8D">
              <w:rPr>
                <w:noProof/>
                <w:webHidden/>
              </w:rPr>
              <w:fldChar w:fldCharType="begin"/>
            </w:r>
            <w:r w:rsidR="00A65D8D">
              <w:rPr>
                <w:noProof/>
                <w:webHidden/>
              </w:rPr>
              <w:instrText xml:space="preserve"> PAGEREF _Toc221095480 \h </w:instrText>
            </w:r>
            <w:r w:rsidR="00A65D8D">
              <w:rPr>
                <w:noProof/>
                <w:webHidden/>
              </w:rPr>
            </w:r>
            <w:r w:rsidR="00A65D8D">
              <w:rPr>
                <w:noProof/>
                <w:webHidden/>
              </w:rPr>
              <w:fldChar w:fldCharType="separate"/>
            </w:r>
            <w:r w:rsidR="00A65D8D">
              <w:rPr>
                <w:noProof/>
                <w:webHidden/>
              </w:rPr>
              <w:t>34</w:t>
            </w:r>
            <w:r w:rsidR="00A65D8D">
              <w:rPr>
                <w:noProof/>
                <w:webHidden/>
              </w:rPr>
              <w:fldChar w:fldCharType="end"/>
            </w:r>
          </w:hyperlink>
        </w:p>
        <w:p w:rsidR="00A65D8D" w:rsidRDefault="00000000" w14:paraId="2AC267D5" w14:textId="1EC740DA">
          <w:pPr>
            <w:pStyle w:val="TM3"/>
            <w:rPr>
              <w:rFonts w:asciiTheme="minorHAnsi" w:hAnsiTheme="minorHAnsi" w:eastAsiaTheme="minorEastAsia" w:cstheme="minorBidi"/>
              <w:i w:val="0"/>
              <w:noProof/>
              <w:kern w:val="2"/>
              <w:sz w:val="24"/>
              <w:szCs w:val="24"/>
              <w14:ligatures w14:val="standardContextual"/>
            </w:rPr>
          </w:pPr>
          <w:hyperlink w:history="1" w:anchor="_Toc221095481">
            <w:r w:rsidRPr="00F42375" w:rsidR="00A65D8D">
              <w:rPr>
                <w:rStyle w:val="Lienhypertexte"/>
                <w:rFonts w:ascii="Calibri" w:hAnsi="Calibri"/>
                <w:noProof/>
              </w:rPr>
              <w:t>4.4.4.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_Toc221095481 \h </w:instrText>
            </w:r>
            <w:r w:rsidR="00A65D8D">
              <w:rPr>
                <w:noProof/>
                <w:webHidden/>
              </w:rPr>
            </w:r>
            <w:r w:rsidR="00A65D8D">
              <w:rPr>
                <w:noProof/>
                <w:webHidden/>
              </w:rPr>
              <w:fldChar w:fldCharType="separate"/>
            </w:r>
            <w:r w:rsidR="00A65D8D">
              <w:rPr>
                <w:noProof/>
                <w:webHidden/>
              </w:rPr>
              <w:t>36</w:t>
            </w:r>
            <w:r w:rsidR="00A65D8D">
              <w:rPr>
                <w:noProof/>
                <w:webHidden/>
              </w:rPr>
              <w:fldChar w:fldCharType="end"/>
            </w:r>
          </w:hyperlink>
        </w:p>
        <w:p w:rsidR="00A65D8D" w:rsidRDefault="00000000" w14:paraId="7F162846" w14:textId="50499B7F">
          <w:pPr>
            <w:pStyle w:val="TM3"/>
            <w:rPr>
              <w:rFonts w:asciiTheme="minorHAnsi" w:hAnsiTheme="minorHAnsi" w:eastAsiaTheme="minorEastAsia" w:cstheme="minorBidi"/>
              <w:i w:val="0"/>
              <w:noProof/>
              <w:kern w:val="2"/>
              <w:sz w:val="24"/>
              <w:szCs w:val="24"/>
              <w14:ligatures w14:val="standardContextual"/>
            </w:rPr>
          </w:pPr>
          <w:hyperlink w:history="1" w:anchor="_Toc221095482">
            <w:r w:rsidRPr="00F42375" w:rsidR="00A65D8D">
              <w:rPr>
                <w:rStyle w:val="Lienhypertexte"/>
                <w:rFonts w:ascii="Calibri" w:hAnsi="Calibri"/>
                <w:noProof/>
              </w:rPr>
              <w:t>4.4.5.</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w:t>
            </w:r>
            <w:r w:rsidR="00A65D8D">
              <w:rPr>
                <w:noProof/>
                <w:webHidden/>
              </w:rPr>
              <w:tab/>
            </w:r>
            <w:r w:rsidR="00A65D8D">
              <w:rPr>
                <w:noProof/>
                <w:webHidden/>
              </w:rPr>
              <w:fldChar w:fldCharType="begin"/>
            </w:r>
            <w:r w:rsidR="00A65D8D">
              <w:rPr>
                <w:noProof/>
                <w:webHidden/>
              </w:rPr>
              <w:instrText xml:space="preserve"> PAGEREF _Toc221095482 \h </w:instrText>
            </w:r>
            <w:r w:rsidR="00A65D8D">
              <w:rPr>
                <w:noProof/>
                <w:webHidden/>
              </w:rPr>
            </w:r>
            <w:r w:rsidR="00A65D8D">
              <w:rPr>
                <w:noProof/>
                <w:webHidden/>
              </w:rPr>
              <w:fldChar w:fldCharType="separate"/>
            </w:r>
            <w:r w:rsidR="00A65D8D">
              <w:rPr>
                <w:noProof/>
                <w:webHidden/>
              </w:rPr>
              <w:t>36</w:t>
            </w:r>
            <w:r w:rsidR="00A65D8D">
              <w:rPr>
                <w:noProof/>
                <w:webHidden/>
              </w:rPr>
              <w:fldChar w:fldCharType="end"/>
            </w:r>
          </w:hyperlink>
        </w:p>
        <w:p w:rsidR="00A65D8D" w:rsidRDefault="00000000" w14:paraId="1013F3BA" w14:textId="3D3D91F0">
          <w:pPr>
            <w:pStyle w:val="TM2"/>
            <w:rPr>
              <w:rFonts w:asciiTheme="minorHAnsi" w:hAnsiTheme="minorHAnsi" w:eastAsiaTheme="minorEastAsia" w:cstheme="minorBidi"/>
              <w:bCs w:val="0"/>
              <w:noProof/>
              <w:kern w:val="2"/>
              <w:sz w:val="24"/>
              <w:szCs w:val="24"/>
              <w14:ligatures w14:val="standardContextual"/>
            </w:rPr>
          </w:pPr>
          <w:hyperlink w:history="1" w:anchor="_Toc221095483">
            <w:r w:rsidRPr="00F42375" w:rsidR="00A65D8D">
              <w:rPr>
                <w:rStyle w:val="Lienhypertexte"/>
                <w:rFonts w:ascii="Calibri" w:hAnsi="Calibri"/>
                <w:noProof/>
              </w:rPr>
              <w:t>4.5.</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journaux (gestion des logs)</w:t>
            </w:r>
            <w:r w:rsidR="00A65D8D">
              <w:rPr>
                <w:noProof/>
                <w:webHidden/>
              </w:rPr>
              <w:tab/>
            </w:r>
            <w:r w:rsidR="00A65D8D">
              <w:rPr>
                <w:noProof/>
                <w:webHidden/>
              </w:rPr>
              <w:fldChar w:fldCharType="begin"/>
            </w:r>
            <w:r w:rsidR="00A65D8D">
              <w:rPr>
                <w:noProof/>
                <w:webHidden/>
              </w:rPr>
              <w:instrText xml:space="preserve"> PAGEREF _Toc221095483 \h </w:instrText>
            </w:r>
            <w:r w:rsidR="00A65D8D">
              <w:rPr>
                <w:noProof/>
                <w:webHidden/>
              </w:rPr>
            </w:r>
            <w:r w:rsidR="00A65D8D">
              <w:rPr>
                <w:noProof/>
                <w:webHidden/>
              </w:rPr>
              <w:fldChar w:fldCharType="separate"/>
            </w:r>
            <w:r w:rsidR="00A65D8D">
              <w:rPr>
                <w:noProof/>
                <w:webHidden/>
              </w:rPr>
              <w:t>36</w:t>
            </w:r>
            <w:r w:rsidR="00A65D8D">
              <w:rPr>
                <w:noProof/>
                <w:webHidden/>
              </w:rPr>
              <w:fldChar w:fldCharType="end"/>
            </w:r>
          </w:hyperlink>
        </w:p>
        <w:p w:rsidR="00A65D8D" w:rsidRDefault="00000000" w14:paraId="6879E86E" w14:textId="0D56F828">
          <w:pPr>
            <w:pStyle w:val="TM3"/>
            <w:rPr>
              <w:rFonts w:asciiTheme="minorHAnsi" w:hAnsiTheme="minorHAnsi" w:eastAsiaTheme="minorEastAsia" w:cstheme="minorBidi"/>
              <w:i w:val="0"/>
              <w:noProof/>
              <w:kern w:val="2"/>
              <w:sz w:val="24"/>
              <w:szCs w:val="24"/>
              <w14:ligatures w14:val="standardContextual"/>
            </w:rPr>
          </w:pPr>
          <w:hyperlink w:history="1" w:anchor="_Toc221095484">
            <w:r w:rsidRPr="00F42375" w:rsidR="00A65D8D">
              <w:rPr>
                <w:rStyle w:val="Lienhypertexte"/>
                <w:rFonts w:ascii="Calibri" w:hAnsi="Calibri"/>
                <w:noProof/>
              </w:rPr>
              <w:t>4.5.1.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 des logs</w:t>
            </w:r>
            <w:r w:rsidR="00A65D8D">
              <w:rPr>
                <w:noProof/>
                <w:webHidden/>
              </w:rPr>
              <w:tab/>
            </w:r>
            <w:r w:rsidR="00A65D8D">
              <w:rPr>
                <w:noProof/>
                <w:webHidden/>
              </w:rPr>
              <w:fldChar w:fldCharType="begin"/>
            </w:r>
            <w:r w:rsidR="00A65D8D">
              <w:rPr>
                <w:noProof/>
                <w:webHidden/>
              </w:rPr>
              <w:instrText xml:space="preserve"> PAGEREF _Toc221095484 \h </w:instrText>
            </w:r>
            <w:r w:rsidR="00A65D8D">
              <w:rPr>
                <w:noProof/>
                <w:webHidden/>
              </w:rPr>
            </w:r>
            <w:r w:rsidR="00A65D8D">
              <w:rPr>
                <w:noProof/>
                <w:webHidden/>
              </w:rPr>
              <w:fldChar w:fldCharType="separate"/>
            </w:r>
            <w:r w:rsidR="00A65D8D">
              <w:rPr>
                <w:noProof/>
                <w:webHidden/>
              </w:rPr>
              <w:t>36</w:t>
            </w:r>
            <w:r w:rsidR="00A65D8D">
              <w:rPr>
                <w:noProof/>
                <w:webHidden/>
              </w:rPr>
              <w:fldChar w:fldCharType="end"/>
            </w:r>
          </w:hyperlink>
        </w:p>
        <w:p w:rsidR="00A65D8D" w:rsidRDefault="00000000" w14:paraId="27D6B734" w14:textId="2B476F34">
          <w:pPr>
            <w:pStyle w:val="TM3"/>
            <w:rPr>
              <w:rFonts w:asciiTheme="minorHAnsi" w:hAnsiTheme="minorHAnsi" w:eastAsiaTheme="minorEastAsia" w:cstheme="minorBidi"/>
              <w:i w:val="0"/>
              <w:noProof/>
              <w:kern w:val="2"/>
              <w:sz w:val="24"/>
              <w:szCs w:val="24"/>
              <w14:ligatures w14:val="standardContextual"/>
            </w:rPr>
          </w:pPr>
          <w:hyperlink w:history="1" w:anchor="_Toc221095485">
            <w:r w:rsidRPr="00F42375" w:rsidR="00A65D8D">
              <w:rPr>
                <w:rStyle w:val="Lienhypertexte"/>
                <w:rFonts w:ascii="Calibri" w:hAnsi="Calibri"/>
                <w:noProof/>
              </w:rPr>
              <w:t>4.5.2.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_Toc221095485 \h </w:instrText>
            </w:r>
            <w:r w:rsidR="00A65D8D">
              <w:rPr>
                <w:noProof/>
                <w:webHidden/>
              </w:rPr>
            </w:r>
            <w:r w:rsidR="00A65D8D">
              <w:rPr>
                <w:noProof/>
                <w:webHidden/>
              </w:rPr>
              <w:fldChar w:fldCharType="separate"/>
            </w:r>
            <w:r w:rsidR="00A65D8D">
              <w:rPr>
                <w:noProof/>
                <w:webHidden/>
              </w:rPr>
              <w:t>37</w:t>
            </w:r>
            <w:r w:rsidR="00A65D8D">
              <w:rPr>
                <w:noProof/>
                <w:webHidden/>
              </w:rPr>
              <w:fldChar w:fldCharType="end"/>
            </w:r>
          </w:hyperlink>
        </w:p>
        <w:p w:rsidR="00A65D8D" w:rsidRDefault="00000000" w14:paraId="733F074D" w14:textId="2B52DA48">
          <w:pPr>
            <w:pStyle w:val="TM3"/>
            <w:rPr>
              <w:rFonts w:asciiTheme="minorHAnsi" w:hAnsiTheme="minorHAnsi" w:eastAsiaTheme="minorEastAsia" w:cstheme="minorBidi"/>
              <w:i w:val="0"/>
              <w:noProof/>
              <w:kern w:val="2"/>
              <w:sz w:val="24"/>
              <w:szCs w:val="24"/>
              <w14:ligatures w14:val="standardContextual"/>
            </w:rPr>
          </w:pPr>
          <w:hyperlink w:history="1" w:anchor="_Toc221095486">
            <w:r w:rsidRPr="00F42375" w:rsidR="00A65D8D">
              <w:rPr>
                <w:rStyle w:val="Lienhypertexte"/>
                <w:rFonts w:ascii="Calibri" w:hAnsi="Calibri"/>
                <w:noProof/>
              </w:rPr>
              <w:t>4.5.3.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w:t>
            </w:r>
            <w:r w:rsidR="00A65D8D">
              <w:rPr>
                <w:noProof/>
                <w:webHidden/>
              </w:rPr>
              <w:tab/>
            </w:r>
            <w:r w:rsidR="00A65D8D">
              <w:rPr>
                <w:noProof/>
                <w:webHidden/>
              </w:rPr>
              <w:fldChar w:fldCharType="begin"/>
            </w:r>
            <w:r w:rsidR="00A65D8D">
              <w:rPr>
                <w:noProof/>
                <w:webHidden/>
              </w:rPr>
              <w:instrText xml:space="preserve"> PAGEREF _Toc221095486 \h </w:instrText>
            </w:r>
            <w:r w:rsidR="00A65D8D">
              <w:rPr>
                <w:noProof/>
                <w:webHidden/>
              </w:rPr>
            </w:r>
            <w:r w:rsidR="00A65D8D">
              <w:rPr>
                <w:noProof/>
                <w:webHidden/>
              </w:rPr>
              <w:fldChar w:fldCharType="separate"/>
            </w:r>
            <w:r w:rsidR="00A65D8D">
              <w:rPr>
                <w:noProof/>
                <w:webHidden/>
              </w:rPr>
              <w:t>37</w:t>
            </w:r>
            <w:r w:rsidR="00A65D8D">
              <w:rPr>
                <w:noProof/>
                <w:webHidden/>
              </w:rPr>
              <w:fldChar w:fldCharType="end"/>
            </w:r>
          </w:hyperlink>
        </w:p>
        <w:p w:rsidR="00A65D8D" w:rsidRDefault="00000000" w14:paraId="540804C4" w14:textId="32ABBF02">
          <w:pPr>
            <w:pStyle w:val="TM2"/>
            <w:rPr>
              <w:rFonts w:asciiTheme="minorHAnsi" w:hAnsiTheme="minorHAnsi" w:eastAsiaTheme="minorEastAsia" w:cstheme="minorBidi"/>
              <w:bCs w:val="0"/>
              <w:noProof/>
              <w:kern w:val="2"/>
              <w:sz w:val="24"/>
              <w:szCs w:val="24"/>
              <w14:ligatures w14:val="standardContextual"/>
            </w:rPr>
          </w:pPr>
          <w:hyperlink w:history="1" w:anchor="_Toc221095487">
            <w:r w:rsidRPr="00F42375" w:rsidR="00A65D8D">
              <w:rPr>
                <w:rStyle w:val="Lienhypertexte"/>
                <w:rFonts w:ascii="Calibri" w:hAnsi="Calibri"/>
                <w:noProof/>
              </w:rPr>
              <w:t>4.6.</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Ceph</w:t>
            </w:r>
            <w:r w:rsidR="00A65D8D">
              <w:rPr>
                <w:noProof/>
                <w:webHidden/>
              </w:rPr>
              <w:tab/>
            </w:r>
            <w:r w:rsidR="00A65D8D">
              <w:rPr>
                <w:noProof/>
                <w:webHidden/>
              </w:rPr>
              <w:fldChar w:fldCharType="begin"/>
            </w:r>
            <w:r w:rsidR="00A65D8D">
              <w:rPr>
                <w:noProof/>
                <w:webHidden/>
              </w:rPr>
              <w:instrText xml:space="preserve"> PAGEREF _Toc221095487 \h </w:instrText>
            </w:r>
            <w:r w:rsidR="00A65D8D">
              <w:rPr>
                <w:noProof/>
                <w:webHidden/>
              </w:rPr>
            </w:r>
            <w:r w:rsidR="00A65D8D">
              <w:rPr>
                <w:noProof/>
                <w:webHidden/>
              </w:rPr>
              <w:fldChar w:fldCharType="separate"/>
            </w:r>
            <w:r w:rsidR="00A65D8D">
              <w:rPr>
                <w:noProof/>
                <w:webHidden/>
              </w:rPr>
              <w:t>38</w:t>
            </w:r>
            <w:r w:rsidR="00A65D8D">
              <w:rPr>
                <w:noProof/>
                <w:webHidden/>
              </w:rPr>
              <w:fldChar w:fldCharType="end"/>
            </w:r>
          </w:hyperlink>
        </w:p>
        <w:p w:rsidR="00A65D8D" w:rsidRDefault="00000000" w14:paraId="52ABAD57" w14:textId="7FACD947">
          <w:pPr>
            <w:pStyle w:val="TM3"/>
            <w:rPr>
              <w:rFonts w:asciiTheme="minorHAnsi" w:hAnsiTheme="minorHAnsi" w:eastAsiaTheme="minorEastAsia" w:cstheme="minorBidi"/>
              <w:i w:val="0"/>
              <w:noProof/>
              <w:kern w:val="2"/>
              <w:sz w:val="24"/>
              <w:szCs w:val="24"/>
              <w14:ligatures w14:val="standardContextual"/>
            </w:rPr>
          </w:pPr>
          <w:hyperlink w:history="1" w:anchor="_Toc221095488">
            <w:r w:rsidRPr="00F42375" w:rsidR="00A65D8D">
              <w:rPr>
                <w:rStyle w:val="Lienhypertexte"/>
                <w:rFonts w:ascii="Calibri" w:hAnsi="Calibri"/>
                <w:noProof/>
              </w:rPr>
              <w:t>4.6.1.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_Toc221095488 \h </w:instrText>
            </w:r>
            <w:r w:rsidR="00A65D8D">
              <w:rPr>
                <w:noProof/>
                <w:webHidden/>
              </w:rPr>
            </w:r>
            <w:r w:rsidR="00A65D8D">
              <w:rPr>
                <w:noProof/>
                <w:webHidden/>
              </w:rPr>
              <w:fldChar w:fldCharType="separate"/>
            </w:r>
            <w:r w:rsidR="00A65D8D">
              <w:rPr>
                <w:noProof/>
                <w:webHidden/>
              </w:rPr>
              <w:t>38</w:t>
            </w:r>
            <w:r w:rsidR="00A65D8D">
              <w:rPr>
                <w:noProof/>
                <w:webHidden/>
              </w:rPr>
              <w:fldChar w:fldCharType="end"/>
            </w:r>
          </w:hyperlink>
        </w:p>
        <w:p w:rsidR="00A65D8D" w:rsidRDefault="00000000" w14:paraId="1F25D027" w14:textId="64B98622">
          <w:pPr>
            <w:pStyle w:val="TM3"/>
            <w:rPr>
              <w:rFonts w:asciiTheme="minorHAnsi" w:hAnsiTheme="minorHAnsi" w:eastAsiaTheme="minorEastAsia" w:cstheme="minorBidi"/>
              <w:i w:val="0"/>
              <w:noProof/>
              <w:kern w:val="2"/>
              <w:sz w:val="24"/>
              <w:szCs w:val="24"/>
              <w14:ligatures w14:val="standardContextual"/>
            </w:rPr>
          </w:pPr>
          <w:hyperlink w:history="1" w:anchor="_Toc221095489">
            <w:r w:rsidRPr="00F42375" w:rsidR="00A65D8D">
              <w:rPr>
                <w:rStyle w:val="Lienhypertexte"/>
                <w:rFonts w:ascii="Calibri" w:hAnsi="Calibri"/>
                <w:noProof/>
              </w:rPr>
              <w:t>4.6.2.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_Toc221095489 \h </w:instrText>
            </w:r>
            <w:r w:rsidR="00A65D8D">
              <w:rPr>
                <w:noProof/>
                <w:webHidden/>
              </w:rPr>
            </w:r>
            <w:r w:rsidR="00A65D8D">
              <w:rPr>
                <w:noProof/>
                <w:webHidden/>
              </w:rPr>
              <w:fldChar w:fldCharType="separate"/>
            </w:r>
            <w:r w:rsidR="00A65D8D">
              <w:rPr>
                <w:noProof/>
                <w:webHidden/>
              </w:rPr>
              <w:t>39</w:t>
            </w:r>
            <w:r w:rsidR="00A65D8D">
              <w:rPr>
                <w:noProof/>
                <w:webHidden/>
              </w:rPr>
              <w:fldChar w:fldCharType="end"/>
            </w:r>
          </w:hyperlink>
        </w:p>
        <w:p w:rsidR="00A65D8D" w:rsidRDefault="00000000" w14:paraId="08AF3114" w14:textId="2291F246">
          <w:pPr>
            <w:pStyle w:val="TM3"/>
            <w:rPr>
              <w:rFonts w:asciiTheme="minorHAnsi" w:hAnsiTheme="minorHAnsi" w:eastAsiaTheme="minorEastAsia" w:cstheme="minorBidi"/>
              <w:i w:val="0"/>
              <w:noProof/>
              <w:kern w:val="2"/>
              <w:sz w:val="24"/>
              <w:szCs w:val="24"/>
              <w14:ligatures w14:val="standardContextual"/>
            </w:rPr>
          </w:pPr>
          <w:hyperlink w:history="1" w:anchor="_Toc221095490">
            <w:r w:rsidRPr="00F42375" w:rsidR="00A65D8D">
              <w:rPr>
                <w:rStyle w:val="Lienhypertexte"/>
                <w:rFonts w:ascii="Calibri" w:hAnsi="Calibri"/>
                <w:noProof/>
              </w:rPr>
              <w:t>4.6.3.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 de la plateforme ceph</w:t>
            </w:r>
            <w:r w:rsidR="00A65D8D">
              <w:rPr>
                <w:noProof/>
                <w:webHidden/>
              </w:rPr>
              <w:tab/>
            </w:r>
            <w:r w:rsidR="00A65D8D">
              <w:rPr>
                <w:noProof/>
                <w:webHidden/>
              </w:rPr>
              <w:fldChar w:fldCharType="begin"/>
            </w:r>
            <w:r w:rsidR="00A65D8D">
              <w:rPr>
                <w:noProof/>
                <w:webHidden/>
              </w:rPr>
              <w:instrText xml:space="preserve"> PAGEREF _Toc221095490 \h </w:instrText>
            </w:r>
            <w:r w:rsidR="00A65D8D">
              <w:rPr>
                <w:noProof/>
                <w:webHidden/>
              </w:rPr>
            </w:r>
            <w:r w:rsidR="00A65D8D">
              <w:rPr>
                <w:noProof/>
                <w:webHidden/>
              </w:rPr>
              <w:fldChar w:fldCharType="separate"/>
            </w:r>
            <w:r w:rsidR="00A65D8D">
              <w:rPr>
                <w:noProof/>
                <w:webHidden/>
              </w:rPr>
              <w:t>39</w:t>
            </w:r>
            <w:r w:rsidR="00A65D8D">
              <w:rPr>
                <w:noProof/>
                <w:webHidden/>
              </w:rPr>
              <w:fldChar w:fldCharType="end"/>
            </w:r>
          </w:hyperlink>
        </w:p>
        <w:p w:rsidR="00A65D8D" w:rsidRDefault="00000000" w14:paraId="43FA75A0" w14:textId="6114F184">
          <w:pPr>
            <w:pStyle w:val="TM2"/>
            <w:rPr>
              <w:rFonts w:asciiTheme="minorHAnsi" w:hAnsiTheme="minorHAnsi" w:eastAsiaTheme="minorEastAsia" w:cstheme="minorBidi"/>
              <w:bCs w:val="0"/>
              <w:noProof/>
              <w:kern w:val="2"/>
              <w:sz w:val="24"/>
              <w:szCs w:val="24"/>
              <w14:ligatures w14:val="standardContextual"/>
            </w:rPr>
          </w:pPr>
          <w:hyperlink w:history="1" w:anchor="_Toc221095491">
            <w:r w:rsidRPr="00F42375" w:rsidR="00A65D8D">
              <w:rPr>
                <w:rStyle w:val="Lienhypertexte"/>
                <w:rFonts w:ascii="Calibri" w:hAnsi="Calibri"/>
                <w:noProof/>
              </w:rPr>
              <w:t>4.7.</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Nextcloud</w:t>
            </w:r>
            <w:r w:rsidR="00A65D8D">
              <w:rPr>
                <w:noProof/>
                <w:webHidden/>
              </w:rPr>
              <w:tab/>
            </w:r>
            <w:r w:rsidR="00A65D8D">
              <w:rPr>
                <w:noProof/>
                <w:webHidden/>
              </w:rPr>
              <w:fldChar w:fldCharType="begin"/>
            </w:r>
            <w:r w:rsidR="00A65D8D">
              <w:rPr>
                <w:noProof/>
                <w:webHidden/>
              </w:rPr>
              <w:instrText xml:space="preserve"> PAGEREF _Toc221095491 \h </w:instrText>
            </w:r>
            <w:r w:rsidR="00A65D8D">
              <w:rPr>
                <w:noProof/>
                <w:webHidden/>
              </w:rPr>
            </w:r>
            <w:r w:rsidR="00A65D8D">
              <w:rPr>
                <w:noProof/>
                <w:webHidden/>
              </w:rPr>
              <w:fldChar w:fldCharType="separate"/>
            </w:r>
            <w:r w:rsidR="00A65D8D">
              <w:rPr>
                <w:noProof/>
                <w:webHidden/>
              </w:rPr>
              <w:t>40</w:t>
            </w:r>
            <w:r w:rsidR="00A65D8D">
              <w:rPr>
                <w:noProof/>
                <w:webHidden/>
              </w:rPr>
              <w:fldChar w:fldCharType="end"/>
            </w:r>
          </w:hyperlink>
        </w:p>
        <w:p w:rsidR="00A65D8D" w:rsidRDefault="00000000" w14:paraId="7A7F5F27" w14:textId="690FFACB">
          <w:pPr>
            <w:pStyle w:val="TM2"/>
            <w:tabs>
              <w:tab w:val="left" w:pos="1000"/>
            </w:tabs>
            <w:rPr>
              <w:rFonts w:asciiTheme="minorHAnsi" w:hAnsiTheme="minorHAnsi" w:eastAsiaTheme="minorEastAsia" w:cstheme="minorBidi"/>
              <w:bCs w:val="0"/>
              <w:noProof/>
              <w:kern w:val="2"/>
              <w:sz w:val="24"/>
              <w:szCs w:val="24"/>
              <w14:ligatures w14:val="standardContextual"/>
            </w:rPr>
          </w:pPr>
          <w:hyperlink w:history="1" w:anchor="_Toc221095492">
            <w:r w:rsidRPr="00F42375" w:rsidR="00A65D8D">
              <w:rPr>
                <w:rStyle w:val="Lienhypertexte"/>
                <w:rFonts w:ascii="Calibri" w:hAnsi="Calibri"/>
                <w:noProof/>
              </w:rPr>
              <w:t>4.7.2.</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Enjeu de la plateforme nextcloud</w:t>
            </w:r>
            <w:r w:rsidR="00A65D8D">
              <w:rPr>
                <w:noProof/>
                <w:webHidden/>
              </w:rPr>
              <w:tab/>
            </w:r>
            <w:r w:rsidR="00A65D8D">
              <w:rPr>
                <w:noProof/>
                <w:webHidden/>
              </w:rPr>
              <w:fldChar w:fldCharType="begin"/>
            </w:r>
            <w:r w:rsidR="00A65D8D">
              <w:rPr>
                <w:noProof/>
                <w:webHidden/>
              </w:rPr>
              <w:instrText xml:space="preserve"> PAGEREF _Toc221095492 \h </w:instrText>
            </w:r>
            <w:r w:rsidR="00A65D8D">
              <w:rPr>
                <w:noProof/>
                <w:webHidden/>
              </w:rPr>
            </w:r>
            <w:r w:rsidR="00A65D8D">
              <w:rPr>
                <w:noProof/>
                <w:webHidden/>
              </w:rPr>
              <w:fldChar w:fldCharType="separate"/>
            </w:r>
            <w:r w:rsidR="00A65D8D">
              <w:rPr>
                <w:noProof/>
                <w:webHidden/>
              </w:rPr>
              <w:t>41</w:t>
            </w:r>
            <w:r w:rsidR="00A65D8D">
              <w:rPr>
                <w:noProof/>
                <w:webHidden/>
              </w:rPr>
              <w:fldChar w:fldCharType="end"/>
            </w:r>
          </w:hyperlink>
        </w:p>
        <w:p w:rsidR="00A65D8D" w:rsidRDefault="00000000" w14:paraId="037247D1" w14:textId="5EAA2925">
          <w:pPr>
            <w:pStyle w:val="TM2"/>
            <w:rPr>
              <w:rFonts w:asciiTheme="minorHAnsi" w:hAnsiTheme="minorHAnsi" w:eastAsiaTheme="minorEastAsia" w:cstheme="minorBidi"/>
              <w:bCs w:val="0"/>
              <w:noProof/>
              <w:kern w:val="2"/>
              <w:sz w:val="24"/>
              <w:szCs w:val="24"/>
              <w14:ligatures w14:val="standardContextual"/>
            </w:rPr>
          </w:pPr>
          <w:hyperlink w:history="1" w:anchor="_Toc221095493">
            <w:r w:rsidRPr="00F42375" w:rsidR="00A65D8D">
              <w:rPr>
                <w:rStyle w:val="Lienhypertexte"/>
                <w:rFonts w:ascii="Calibri" w:hAnsi="Calibri"/>
                <w:noProof/>
              </w:rPr>
              <w:t>4.8.</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RDG</w:t>
            </w:r>
            <w:r w:rsidR="00A65D8D">
              <w:rPr>
                <w:noProof/>
                <w:webHidden/>
              </w:rPr>
              <w:tab/>
            </w:r>
            <w:r w:rsidR="00A65D8D">
              <w:rPr>
                <w:noProof/>
                <w:webHidden/>
              </w:rPr>
              <w:fldChar w:fldCharType="begin"/>
            </w:r>
            <w:r w:rsidR="00A65D8D">
              <w:rPr>
                <w:noProof/>
                <w:webHidden/>
              </w:rPr>
              <w:instrText xml:space="preserve"> PAGEREF _Toc221095493 \h </w:instrText>
            </w:r>
            <w:r w:rsidR="00A65D8D">
              <w:rPr>
                <w:noProof/>
                <w:webHidden/>
              </w:rPr>
            </w:r>
            <w:r w:rsidR="00A65D8D">
              <w:rPr>
                <w:noProof/>
                <w:webHidden/>
              </w:rPr>
              <w:fldChar w:fldCharType="separate"/>
            </w:r>
            <w:r w:rsidR="00A65D8D">
              <w:rPr>
                <w:noProof/>
                <w:webHidden/>
              </w:rPr>
              <w:t>43</w:t>
            </w:r>
            <w:r w:rsidR="00A65D8D">
              <w:rPr>
                <w:noProof/>
                <w:webHidden/>
              </w:rPr>
              <w:fldChar w:fldCharType="end"/>
            </w:r>
          </w:hyperlink>
        </w:p>
        <w:p w:rsidR="00A65D8D" w:rsidRDefault="00000000" w14:paraId="5239DF16" w14:textId="67BD51CB">
          <w:pPr>
            <w:pStyle w:val="TM3"/>
            <w:rPr>
              <w:rFonts w:asciiTheme="minorHAnsi" w:hAnsiTheme="minorHAnsi" w:eastAsiaTheme="minorEastAsia" w:cstheme="minorBidi"/>
              <w:i w:val="0"/>
              <w:noProof/>
              <w:kern w:val="2"/>
              <w:sz w:val="24"/>
              <w:szCs w:val="24"/>
              <w14:ligatures w14:val="standardContextual"/>
            </w:rPr>
          </w:pPr>
          <w:hyperlink w:history="1" w:anchor="_Toc221095494">
            <w:r w:rsidRPr="00F42375" w:rsidR="00A65D8D">
              <w:rPr>
                <w:rStyle w:val="Lienhypertexte"/>
                <w:rFonts w:ascii="Calibri" w:hAnsi="Calibri"/>
                <w:noProof/>
              </w:rPr>
              <w:t>4.8.1.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 de RDG</w:t>
            </w:r>
            <w:r w:rsidR="00A65D8D">
              <w:rPr>
                <w:noProof/>
                <w:webHidden/>
              </w:rPr>
              <w:tab/>
            </w:r>
            <w:r w:rsidR="00A65D8D">
              <w:rPr>
                <w:noProof/>
                <w:webHidden/>
              </w:rPr>
              <w:fldChar w:fldCharType="begin"/>
            </w:r>
            <w:r w:rsidR="00A65D8D">
              <w:rPr>
                <w:noProof/>
                <w:webHidden/>
              </w:rPr>
              <w:instrText xml:space="preserve"> PAGEREF _Toc221095494 \h </w:instrText>
            </w:r>
            <w:r w:rsidR="00A65D8D">
              <w:rPr>
                <w:noProof/>
                <w:webHidden/>
              </w:rPr>
            </w:r>
            <w:r w:rsidR="00A65D8D">
              <w:rPr>
                <w:noProof/>
                <w:webHidden/>
              </w:rPr>
              <w:fldChar w:fldCharType="separate"/>
            </w:r>
            <w:r w:rsidR="00A65D8D">
              <w:rPr>
                <w:noProof/>
                <w:webHidden/>
              </w:rPr>
              <w:t>43</w:t>
            </w:r>
            <w:r w:rsidR="00A65D8D">
              <w:rPr>
                <w:noProof/>
                <w:webHidden/>
              </w:rPr>
              <w:fldChar w:fldCharType="end"/>
            </w:r>
          </w:hyperlink>
        </w:p>
        <w:p w:rsidR="00A65D8D" w:rsidRDefault="00000000" w14:paraId="113037BF" w14:textId="250C817A">
          <w:pPr>
            <w:pStyle w:val="TM3"/>
            <w:rPr>
              <w:rFonts w:asciiTheme="minorHAnsi" w:hAnsiTheme="minorHAnsi" w:eastAsiaTheme="minorEastAsia" w:cstheme="minorBidi"/>
              <w:i w:val="0"/>
              <w:noProof/>
              <w:kern w:val="2"/>
              <w:sz w:val="24"/>
              <w:szCs w:val="24"/>
              <w14:ligatures w14:val="standardContextual"/>
            </w:rPr>
          </w:pPr>
          <w:hyperlink w:history="1" w:anchor="_Toc221095495">
            <w:r w:rsidRPr="00F42375" w:rsidR="00A65D8D">
              <w:rPr>
                <w:rStyle w:val="Lienhypertexte"/>
                <w:rFonts w:ascii="Calibri" w:hAnsi="Calibri"/>
                <w:noProof/>
              </w:rPr>
              <w:t>4.8.2.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 de RDG</w:t>
            </w:r>
            <w:r w:rsidR="00A65D8D">
              <w:rPr>
                <w:noProof/>
                <w:webHidden/>
              </w:rPr>
              <w:tab/>
            </w:r>
            <w:r w:rsidR="00A65D8D">
              <w:rPr>
                <w:noProof/>
                <w:webHidden/>
              </w:rPr>
              <w:fldChar w:fldCharType="begin"/>
            </w:r>
            <w:r w:rsidR="00A65D8D">
              <w:rPr>
                <w:noProof/>
                <w:webHidden/>
              </w:rPr>
              <w:instrText xml:space="preserve"> PAGEREF _Toc221095495 \h </w:instrText>
            </w:r>
            <w:r w:rsidR="00A65D8D">
              <w:rPr>
                <w:noProof/>
                <w:webHidden/>
              </w:rPr>
            </w:r>
            <w:r w:rsidR="00A65D8D">
              <w:rPr>
                <w:noProof/>
                <w:webHidden/>
              </w:rPr>
              <w:fldChar w:fldCharType="separate"/>
            </w:r>
            <w:r w:rsidR="00A65D8D">
              <w:rPr>
                <w:noProof/>
                <w:webHidden/>
              </w:rPr>
              <w:t>43</w:t>
            </w:r>
            <w:r w:rsidR="00A65D8D">
              <w:rPr>
                <w:noProof/>
                <w:webHidden/>
              </w:rPr>
              <w:fldChar w:fldCharType="end"/>
            </w:r>
          </w:hyperlink>
        </w:p>
        <w:p w:rsidR="00A65D8D" w:rsidRDefault="00000000" w14:paraId="01D74B52" w14:textId="695C0628">
          <w:pPr>
            <w:pStyle w:val="TM3"/>
            <w:rPr>
              <w:rFonts w:asciiTheme="minorHAnsi" w:hAnsiTheme="minorHAnsi" w:eastAsiaTheme="minorEastAsia" w:cstheme="minorBidi"/>
              <w:i w:val="0"/>
              <w:noProof/>
              <w:kern w:val="2"/>
              <w:sz w:val="24"/>
              <w:szCs w:val="24"/>
              <w14:ligatures w14:val="standardContextual"/>
            </w:rPr>
          </w:pPr>
          <w:hyperlink w:history="1" w:anchor="_Toc221095496">
            <w:r w:rsidRPr="00F42375" w:rsidR="00A65D8D">
              <w:rPr>
                <w:rStyle w:val="Lienhypertexte"/>
                <w:rFonts w:ascii="Calibri" w:hAnsi="Calibri"/>
                <w:noProof/>
              </w:rPr>
              <w:t>4.8.3.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 RDG (pour la DSI)</w:t>
            </w:r>
            <w:r w:rsidR="00A65D8D">
              <w:rPr>
                <w:noProof/>
                <w:webHidden/>
              </w:rPr>
              <w:tab/>
            </w:r>
            <w:r w:rsidR="00A65D8D">
              <w:rPr>
                <w:noProof/>
                <w:webHidden/>
              </w:rPr>
              <w:fldChar w:fldCharType="begin"/>
            </w:r>
            <w:r w:rsidR="00A65D8D">
              <w:rPr>
                <w:noProof/>
                <w:webHidden/>
              </w:rPr>
              <w:instrText xml:space="preserve"> PAGEREF _Toc221095496 \h </w:instrText>
            </w:r>
            <w:r w:rsidR="00A65D8D">
              <w:rPr>
                <w:noProof/>
                <w:webHidden/>
              </w:rPr>
            </w:r>
            <w:r w:rsidR="00A65D8D">
              <w:rPr>
                <w:noProof/>
                <w:webHidden/>
              </w:rPr>
              <w:fldChar w:fldCharType="separate"/>
            </w:r>
            <w:r w:rsidR="00A65D8D">
              <w:rPr>
                <w:noProof/>
                <w:webHidden/>
              </w:rPr>
              <w:t>44</w:t>
            </w:r>
            <w:r w:rsidR="00A65D8D">
              <w:rPr>
                <w:noProof/>
                <w:webHidden/>
              </w:rPr>
              <w:fldChar w:fldCharType="end"/>
            </w:r>
          </w:hyperlink>
        </w:p>
        <w:p w:rsidR="00A65D8D" w:rsidRDefault="00000000" w14:paraId="3B712D5B" w14:textId="6F2CACE5">
          <w:pPr>
            <w:pStyle w:val="TM2"/>
            <w:rPr>
              <w:rFonts w:asciiTheme="minorHAnsi" w:hAnsiTheme="minorHAnsi" w:eastAsiaTheme="minorEastAsia" w:cstheme="minorBidi"/>
              <w:bCs w:val="0"/>
              <w:noProof/>
              <w:kern w:val="2"/>
              <w:sz w:val="24"/>
              <w:szCs w:val="24"/>
              <w14:ligatures w14:val="standardContextual"/>
            </w:rPr>
          </w:pPr>
          <w:hyperlink w:history="1" w:anchor="_Toc221095497">
            <w:r w:rsidRPr="00F42375" w:rsidR="00A65D8D">
              <w:rPr>
                <w:rStyle w:val="Lienhypertexte"/>
                <w:rFonts w:ascii="Calibri" w:hAnsi="Calibri"/>
                <w:noProof/>
              </w:rPr>
              <w:t>4.9.</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Socle Virtualisation</w:t>
            </w:r>
            <w:r w:rsidR="00A65D8D">
              <w:rPr>
                <w:noProof/>
                <w:webHidden/>
              </w:rPr>
              <w:tab/>
            </w:r>
            <w:r w:rsidR="00A65D8D">
              <w:rPr>
                <w:noProof/>
                <w:webHidden/>
              </w:rPr>
              <w:fldChar w:fldCharType="begin"/>
            </w:r>
            <w:r w:rsidR="00A65D8D">
              <w:rPr>
                <w:noProof/>
                <w:webHidden/>
              </w:rPr>
              <w:instrText xml:space="preserve"> PAGEREF _Toc221095497 \h </w:instrText>
            </w:r>
            <w:r w:rsidR="00A65D8D">
              <w:rPr>
                <w:noProof/>
                <w:webHidden/>
              </w:rPr>
            </w:r>
            <w:r w:rsidR="00A65D8D">
              <w:rPr>
                <w:noProof/>
                <w:webHidden/>
              </w:rPr>
              <w:fldChar w:fldCharType="separate"/>
            </w:r>
            <w:r w:rsidR="00A65D8D">
              <w:rPr>
                <w:noProof/>
                <w:webHidden/>
              </w:rPr>
              <w:t>44</w:t>
            </w:r>
            <w:r w:rsidR="00A65D8D">
              <w:rPr>
                <w:noProof/>
                <w:webHidden/>
              </w:rPr>
              <w:fldChar w:fldCharType="end"/>
            </w:r>
          </w:hyperlink>
        </w:p>
        <w:p w:rsidR="00A65D8D" w:rsidRDefault="00000000" w14:paraId="7FE5C81C" w14:textId="73C7BB19">
          <w:pPr>
            <w:pStyle w:val="TM3"/>
            <w:rPr>
              <w:rFonts w:asciiTheme="minorHAnsi" w:hAnsiTheme="minorHAnsi" w:eastAsiaTheme="minorEastAsia" w:cstheme="minorBidi"/>
              <w:i w:val="0"/>
              <w:noProof/>
              <w:kern w:val="2"/>
              <w:sz w:val="24"/>
              <w:szCs w:val="24"/>
              <w14:ligatures w14:val="standardContextual"/>
            </w:rPr>
          </w:pPr>
          <w:hyperlink w:history="1" w:anchor="_Toc221095498">
            <w:r w:rsidRPr="00F42375" w:rsidR="00A65D8D">
              <w:rPr>
                <w:rStyle w:val="Lienhypertexte"/>
                <w:rFonts w:ascii="Calibri" w:hAnsi="Calibri"/>
                <w:noProof/>
              </w:rPr>
              <w:t>4.9.1.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_Toc221095498 \h </w:instrText>
            </w:r>
            <w:r w:rsidR="00A65D8D">
              <w:rPr>
                <w:noProof/>
                <w:webHidden/>
              </w:rPr>
            </w:r>
            <w:r w:rsidR="00A65D8D">
              <w:rPr>
                <w:noProof/>
                <w:webHidden/>
              </w:rPr>
              <w:fldChar w:fldCharType="separate"/>
            </w:r>
            <w:r w:rsidR="00A65D8D">
              <w:rPr>
                <w:noProof/>
                <w:webHidden/>
              </w:rPr>
              <w:t>44</w:t>
            </w:r>
            <w:r w:rsidR="00A65D8D">
              <w:rPr>
                <w:noProof/>
                <w:webHidden/>
              </w:rPr>
              <w:fldChar w:fldCharType="end"/>
            </w:r>
          </w:hyperlink>
        </w:p>
        <w:p w:rsidR="00A65D8D" w:rsidRDefault="00000000" w14:paraId="2D3AD907" w14:textId="2B063958">
          <w:pPr>
            <w:pStyle w:val="TM3"/>
            <w:rPr>
              <w:rFonts w:asciiTheme="minorHAnsi" w:hAnsiTheme="minorHAnsi" w:eastAsiaTheme="minorEastAsia" w:cstheme="minorBidi"/>
              <w:i w:val="0"/>
              <w:noProof/>
              <w:kern w:val="2"/>
              <w:sz w:val="24"/>
              <w:szCs w:val="24"/>
              <w14:ligatures w14:val="standardContextual"/>
            </w:rPr>
          </w:pPr>
          <w:hyperlink w:history="1" w:anchor="_Toc221095499">
            <w:r w:rsidRPr="00F42375" w:rsidR="00A65D8D">
              <w:rPr>
                <w:rStyle w:val="Lienhypertexte"/>
                <w:rFonts w:ascii="Calibri" w:hAnsi="Calibri"/>
                <w:noProof/>
              </w:rPr>
              <w:t>4.9.1.1.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Composants et architecture de la plateforme de virtu</w:t>
            </w:r>
            <w:r w:rsidR="00A65D8D">
              <w:rPr>
                <w:noProof/>
                <w:webHidden/>
              </w:rPr>
              <w:tab/>
            </w:r>
            <w:r w:rsidR="00A65D8D">
              <w:rPr>
                <w:noProof/>
                <w:webHidden/>
              </w:rPr>
              <w:fldChar w:fldCharType="begin"/>
            </w:r>
            <w:r w:rsidR="00A65D8D">
              <w:rPr>
                <w:noProof/>
                <w:webHidden/>
              </w:rPr>
              <w:instrText xml:space="preserve"> PAGEREF _Toc221095499 \h </w:instrText>
            </w:r>
            <w:r w:rsidR="00A65D8D">
              <w:rPr>
                <w:noProof/>
                <w:webHidden/>
              </w:rPr>
            </w:r>
            <w:r w:rsidR="00A65D8D">
              <w:rPr>
                <w:noProof/>
                <w:webHidden/>
              </w:rPr>
              <w:fldChar w:fldCharType="separate"/>
            </w:r>
            <w:r w:rsidR="00A65D8D">
              <w:rPr>
                <w:noProof/>
                <w:webHidden/>
              </w:rPr>
              <w:t>44</w:t>
            </w:r>
            <w:r w:rsidR="00A65D8D">
              <w:rPr>
                <w:noProof/>
                <w:webHidden/>
              </w:rPr>
              <w:fldChar w:fldCharType="end"/>
            </w:r>
          </w:hyperlink>
        </w:p>
        <w:p w:rsidR="00A65D8D" w:rsidRDefault="00000000" w14:paraId="45A4A8F3" w14:textId="269BA4C7">
          <w:pPr>
            <w:pStyle w:val="TM3"/>
            <w:rPr>
              <w:rFonts w:asciiTheme="minorHAnsi" w:hAnsiTheme="minorHAnsi" w:eastAsiaTheme="minorEastAsia" w:cstheme="minorBidi"/>
              <w:i w:val="0"/>
              <w:noProof/>
              <w:kern w:val="2"/>
              <w:sz w:val="24"/>
              <w:szCs w:val="24"/>
              <w14:ligatures w14:val="standardContextual"/>
            </w:rPr>
          </w:pPr>
          <w:hyperlink w:history="1" w:anchor="_Toc221095500">
            <w:r w:rsidRPr="00F42375" w:rsidR="00A65D8D">
              <w:rPr>
                <w:rStyle w:val="Lienhypertexte"/>
                <w:rFonts w:ascii="Calibri" w:hAnsi="Calibri"/>
                <w:noProof/>
              </w:rPr>
              <w:t>4.9.2.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_Toc221095500 \h </w:instrText>
            </w:r>
            <w:r w:rsidR="00A65D8D">
              <w:rPr>
                <w:noProof/>
                <w:webHidden/>
              </w:rPr>
            </w:r>
            <w:r w:rsidR="00A65D8D">
              <w:rPr>
                <w:noProof/>
                <w:webHidden/>
              </w:rPr>
              <w:fldChar w:fldCharType="separate"/>
            </w:r>
            <w:r w:rsidR="00A65D8D">
              <w:rPr>
                <w:noProof/>
                <w:webHidden/>
              </w:rPr>
              <w:t>45</w:t>
            </w:r>
            <w:r w:rsidR="00A65D8D">
              <w:rPr>
                <w:noProof/>
                <w:webHidden/>
              </w:rPr>
              <w:fldChar w:fldCharType="end"/>
            </w:r>
          </w:hyperlink>
        </w:p>
        <w:p w:rsidR="00A65D8D" w:rsidRDefault="00000000" w14:paraId="58F25016" w14:textId="5C4E2A62">
          <w:pPr>
            <w:pStyle w:val="TM3"/>
            <w:rPr>
              <w:rFonts w:asciiTheme="minorHAnsi" w:hAnsiTheme="minorHAnsi" w:eastAsiaTheme="minorEastAsia" w:cstheme="minorBidi"/>
              <w:i w:val="0"/>
              <w:noProof/>
              <w:kern w:val="2"/>
              <w:sz w:val="24"/>
              <w:szCs w:val="24"/>
              <w14:ligatures w14:val="standardContextual"/>
            </w:rPr>
          </w:pPr>
          <w:hyperlink w:history="1" w:anchor="_Toc221095501">
            <w:r w:rsidRPr="00F42375" w:rsidR="00A65D8D">
              <w:rPr>
                <w:rStyle w:val="Lienhypertexte"/>
                <w:rFonts w:ascii="Calibri" w:hAnsi="Calibri"/>
                <w:noProof/>
              </w:rPr>
              <w:t>4.9.3.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w:t>
            </w:r>
            <w:r w:rsidR="00A65D8D">
              <w:rPr>
                <w:noProof/>
                <w:webHidden/>
              </w:rPr>
              <w:tab/>
            </w:r>
            <w:r w:rsidR="00A65D8D">
              <w:rPr>
                <w:noProof/>
                <w:webHidden/>
              </w:rPr>
              <w:fldChar w:fldCharType="begin"/>
            </w:r>
            <w:r w:rsidR="00A65D8D">
              <w:rPr>
                <w:noProof/>
                <w:webHidden/>
              </w:rPr>
              <w:instrText xml:space="preserve"> PAGEREF _Toc221095501 \h </w:instrText>
            </w:r>
            <w:r w:rsidR="00A65D8D">
              <w:rPr>
                <w:noProof/>
                <w:webHidden/>
              </w:rPr>
            </w:r>
            <w:r w:rsidR="00A65D8D">
              <w:rPr>
                <w:noProof/>
                <w:webHidden/>
              </w:rPr>
              <w:fldChar w:fldCharType="separate"/>
            </w:r>
            <w:r w:rsidR="00A65D8D">
              <w:rPr>
                <w:noProof/>
                <w:webHidden/>
              </w:rPr>
              <w:t>46</w:t>
            </w:r>
            <w:r w:rsidR="00A65D8D">
              <w:rPr>
                <w:noProof/>
                <w:webHidden/>
              </w:rPr>
              <w:fldChar w:fldCharType="end"/>
            </w:r>
          </w:hyperlink>
        </w:p>
        <w:p w:rsidR="00A65D8D" w:rsidRDefault="00000000" w14:paraId="62F745B7" w14:textId="040684B3">
          <w:pPr>
            <w:pStyle w:val="TM2"/>
            <w:tabs>
              <w:tab w:val="left" w:pos="709"/>
            </w:tabs>
            <w:rPr>
              <w:rFonts w:asciiTheme="minorHAnsi" w:hAnsiTheme="minorHAnsi" w:eastAsiaTheme="minorEastAsia" w:cstheme="minorBidi"/>
              <w:bCs w:val="0"/>
              <w:noProof/>
              <w:kern w:val="2"/>
              <w:sz w:val="24"/>
              <w:szCs w:val="24"/>
              <w14:ligatures w14:val="standardContextual"/>
            </w:rPr>
          </w:pPr>
          <w:hyperlink w:history="1" w:anchor="_Toc221095502">
            <w:r w:rsidRPr="00F42375" w:rsidR="00A65D8D">
              <w:rPr>
                <w:rStyle w:val="Lienhypertexte"/>
                <w:rFonts w:ascii="Calibri" w:hAnsi="Calibri"/>
                <w:noProof/>
              </w:rPr>
              <w:t>4.10.</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IAG</w:t>
            </w:r>
            <w:r w:rsidR="00A65D8D">
              <w:rPr>
                <w:noProof/>
                <w:webHidden/>
              </w:rPr>
              <w:tab/>
            </w:r>
            <w:r w:rsidR="00A65D8D">
              <w:rPr>
                <w:noProof/>
                <w:webHidden/>
              </w:rPr>
              <w:fldChar w:fldCharType="begin"/>
            </w:r>
            <w:r w:rsidR="00A65D8D">
              <w:rPr>
                <w:noProof/>
                <w:webHidden/>
              </w:rPr>
              <w:instrText xml:space="preserve"> PAGEREF _Toc221095502 \h </w:instrText>
            </w:r>
            <w:r w:rsidR="00A65D8D">
              <w:rPr>
                <w:noProof/>
                <w:webHidden/>
              </w:rPr>
            </w:r>
            <w:r w:rsidR="00A65D8D">
              <w:rPr>
                <w:noProof/>
                <w:webHidden/>
              </w:rPr>
              <w:fldChar w:fldCharType="separate"/>
            </w:r>
            <w:r w:rsidR="00A65D8D">
              <w:rPr>
                <w:noProof/>
                <w:webHidden/>
              </w:rPr>
              <w:t>46</w:t>
            </w:r>
            <w:r w:rsidR="00A65D8D">
              <w:rPr>
                <w:noProof/>
                <w:webHidden/>
              </w:rPr>
              <w:fldChar w:fldCharType="end"/>
            </w:r>
          </w:hyperlink>
        </w:p>
        <w:p w:rsidR="00A65D8D" w:rsidRDefault="00000000" w14:paraId="433A62A2" w14:textId="017C1F95">
          <w:pPr>
            <w:pStyle w:val="TM3"/>
            <w:rPr>
              <w:rFonts w:asciiTheme="minorHAnsi" w:hAnsiTheme="minorHAnsi" w:eastAsiaTheme="minorEastAsia" w:cstheme="minorBidi"/>
              <w:i w:val="0"/>
              <w:noProof/>
              <w:kern w:val="2"/>
              <w:sz w:val="24"/>
              <w:szCs w:val="24"/>
              <w14:ligatures w14:val="standardContextual"/>
            </w:rPr>
          </w:pPr>
          <w:hyperlink w:history="1" w:anchor="_Toc221095503">
            <w:r w:rsidRPr="00F42375" w:rsidR="00A65D8D">
              <w:rPr>
                <w:rStyle w:val="Lienhypertexte"/>
                <w:rFonts w:ascii="Calibri" w:hAnsi="Calibri"/>
                <w:noProof/>
              </w:rPr>
              <w:t>4.10.1.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_Toc221095503 \h </w:instrText>
            </w:r>
            <w:r w:rsidR="00A65D8D">
              <w:rPr>
                <w:noProof/>
                <w:webHidden/>
              </w:rPr>
            </w:r>
            <w:r w:rsidR="00A65D8D">
              <w:rPr>
                <w:noProof/>
                <w:webHidden/>
              </w:rPr>
              <w:fldChar w:fldCharType="separate"/>
            </w:r>
            <w:r w:rsidR="00A65D8D">
              <w:rPr>
                <w:noProof/>
                <w:webHidden/>
              </w:rPr>
              <w:t>46</w:t>
            </w:r>
            <w:r w:rsidR="00A65D8D">
              <w:rPr>
                <w:noProof/>
                <w:webHidden/>
              </w:rPr>
              <w:fldChar w:fldCharType="end"/>
            </w:r>
          </w:hyperlink>
        </w:p>
        <w:p w:rsidR="00A65D8D" w:rsidRDefault="00000000" w14:paraId="31E6C2EF" w14:textId="31890623">
          <w:pPr>
            <w:pStyle w:val="TM2"/>
            <w:tabs>
              <w:tab w:val="left" w:pos="709"/>
            </w:tabs>
            <w:rPr>
              <w:rFonts w:asciiTheme="minorHAnsi" w:hAnsiTheme="minorHAnsi" w:eastAsiaTheme="minorEastAsia" w:cstheme="minorBidi"/>
              <w:bCs w:val="0"/>
              <w:noProof/>
              <w:kern w:val="2"/>
              <w:sz w:val="24"/>
              <w:szCs w:val="24"/>
              <w14:ligatures w14:val="standardContextual"/>
            </w:rPr>
          </w:pPr>
          <w:hyperlink w:history="1" w:anchor="_Toc221095504">
            <w:r w:rsidRPr="00F42375" w:rsidR="00A65D8D">
              <w:rPr>
                <w:rStyle w:val="Lienhypertexte"/>
                <w:rFonts w:ascii="Calibri" w:hAnsi="Calibri"/>
                <w:noProof/>
              </w:rPr>
              <w:t>4.11.</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Usine à sites</w:t>
            </w:r>
            <w:r w:rsidR="00A65D8D">
              <w:rPr>
                <w:noProof/>
                <w:webHidden/>
              </w:rPr>
              <w:tab/>
            </w:r>
            <w:r w:rsidR="00A65D8D">
              <w:rPr>
                <w:noProof/>
                <w:webHidden/>
              </w:rPr>
              <w:fldChar w:fldCharType="begin"/>
            </w:r>
            <w:r w:rsidR="00A65D8D">
              <w:rPr>
                <w:noProof/>
                <w:webHidden/>
              </w:rPr>
              <w:instrText xml:space="preserve"> PAGEREF _Toc221095504 \h </w:instrText>
            </w:r>
            <w:r w:rsidR="00A65D8D">
              <w:rPr>
                <w:noProof/>
                <w:webHidden/>
              </w:rPr>
            </w:r>
            <w:r w:rsidR="00A65D8D">
              <w:rPr>
                <w:noProof/>
                <w:webHidden/>
              </w:rPr>
              <w:fldChar w:fldCharType="separate"/>
            </w:r>
            <w:r w:rsidR="00A65D8D">
              <w:rPr>
                <w:noProof/>
                <w:webHidden/>
              </w:rPr>
              <w:t>47</w:t>
            </w:r>
            <w:r w:rsidR="00A65D8D">
              <w:rPr>
                <w:noProof/>
                <w:webHidden/>
              </w:rPr>
              <w:fldChar w:fldCharType="end"/>
            </w:r>
          </w:hyperlink>
        </w:p>
        <w:p w:rsidR="00A65D8D" w:rsidRDefault="00000000" w14:paraId="7CD11BBE" w14:textId="251BA05C">
          <w:pPr>
            <w:pStyle w:val="TM3"/>
            <w:rPr>
              <w:rFonts w:asciiTheme="minorHAnsi" w:hAnsiTheme="minorHAnsi" w:eastAsiaTheme="minorEastAsia" w:cstheme="minorBidi"/>
              <w:i w:val="0"/>
              <w:noProof/>
              <w:kern w:val="2"/>
              <w:sz w:val="24"/>
              <w:szCs w:val="24"/>
              <w14:ligatures w14:val="standardContextual"/>
            </w:rPr>
          </w:pPr>
          <w:hyperlink w:history="1" w:anchor="_Toc221095505">
            <w:r w:rsidRPr="00F42375" w:rsidR="00A65D8D">
              <w:rPr>
                <w:rStyle w:val="Lienhypertexte"/>
                <w:rFonts w:ascii="Calibri" w:hAnsi="Calibri"/>
                <w:noProof/>
              </w:rPr>
              <w:t>4.11.1.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_Toc221095505 \h </w:instrText>
            </w:r>
            <w:r w:rsidR="00A65D8D">
              <w:rPr>
                <w:noProof/>
                <w:webHidden/>
              </w:rPr>
            </w:r>
            <w:r w:rsidR="00A65D8D">
              <w:rPr>
                <w:noProof/>
                <w:webHidden/>
              </w:rPr>
              <w:fldChar w:fldCharType="separate"/>
            </w:r>
            <w:r w:rsidR="00A65D8D">
              <w:rPr>
                <w:noProof/>
                <w:webHidden/>
              </w:rPr>
              <w:t>47</w:t>
            </w:r>
            <w:r w:rsidR="00A65D8D">
              <w:rPr>
                <w:noProof/>
                <w:webHidden/>
              </w:rPr>
              <w:fldChar w:fldCharType="end"/>
            </w:r>
          </w:hyperlink>
        </w:p>
        <w:p w:rsidR="00A65D8D" w:rsidRDefault="00000000" w14:paraId="7D224ED1" w14:textId="601E0594">
          <w:pPr>
            <w:pStyle w:val="TM3"/>
            <w:rPr>
              <w:rFonts w:asciiTheme="minorHAnsi" w:hAnsiTheme="minorHAnsi" w:eastAsiaTheme="minorEastAsia" w:cstheme="minorBidi"/>
              <w:i w:val="0"/>
              <w:noProof/>
              <w:kern w:val="2"/>
              <w:sz w:val="24"/>
              <w:szCs w:val="24"/>
              <w14:ligatures w14:val="standardContextual"/>
            </w:rPr>
          </w:pPr>
          <w:hyperlink w:history="1" w:anchor="_Toc221095506">
            <w:r w:rsidRPr="00F42375" w:rsidR="00A65D8D">
              <w:rPr>
                <w:rStyle w:val="Lienhypertexte"/>
                <w:rFonts w:ascii="Calibri" w:hAnsi="Calibri"/>
                <w:noProof/>
              </w:rPr>
              <w:t>4.11.1.1.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 Fonctionnelle :</w:t>
            </w:r>
            <w:r w:rsidR="00A65D8D">
              <w:rPr>
                <w:noProof/>
                <w:webHidden/>
              </w:rPr>
              <w:tab/>
            </w:r>
            <w:r w:rsidR="00A65D8D">
              <w:rPr>
                <w:noProof/>
                <w:webHidden/>
              </w:rPr>
              <w:fldChar w:fldCharType="begin"/>
            </w:r>
            <w:r w:rsidR="00A65D8D">
              <w:rPr>
                <w:noProof/>
                <w:webHidden/>
              </w:rPr>
              <w:instrText xml:space="preserve"> PAGEREF _Toc221095506 \h </w:instrText>
            </w:r>
            <w:r w:rsidR="00A65D8D">
              <w:rPr>
                <w:noProof/>
                <w:webHidden/>
              </w:rPr>
            </w:r>
            <w:r w:rsidR="00A65D8D">
              <w:rPr>
                <w:noProof/>
                <w:webHidden/>
              </w:rPr>
              <w:fldChar w:fldCharType="separate"/>
            </w:r>
            <w:r w:rsidR="00A65D8D">
              <w:rPr>
                <w:noProof/>
                <w:webHidden/>
              </w:rPr>
              <w:t>47</w:t>
            </w:r>
            <w:r w:rsidR="00A65D8D">
              <w:rPr>
                <w:noProof/>
                <w:webHidden/>
              </w:rPr>
              <w:fldChar w:fldCharType="end"/>
            </w:r>
          </w:hyperlink>
        </w:p>
        <w:p w:rsidR="00A65D8D" w:rsidRDefault="00000000" w14:paraId="28369F70" w14:textId="027DC33B">
          <w:pPr>
            <w:pStyle w:val="TM3"/>
            <w:rPr>
              <w:rFonts w:asciiTheme="minorHAnsi" w:hAnsiTheme="minorHAnsi" w:eastAsiaTheme="minorEastAsia" w:cstheme="minorBidi"/>
              <w:i w:val="0"/>
              <w:noProof/>
              <w:kern w:val="2"/>
              <w:sz w:val="24"/>
              <w:szCs w:val="24"/>
              <w14:ligatures w14:val="standardContextual"/>
            </w:rPr>
          </w:pPr>
          <w:hyperlink w:history="1" w:anchor="_Toc221095507">
            <w:r w:rsidRPr="00F42375" w:rsidR="00A65D8D">
              <w:rPr>
                <w:rStyle w:val="Lienhypertexte"/>
                <w:rFonts w:ascii="Calibri" w:hAnsi="Calibri"/>
                <w:noProof/>
              </w:rPr>
              <w:t>4.11.1.2.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 Technique</w:t>
            </w:r>
            <w:r w:rsidR="00A65D8D">
              <w:rPr>
                <w:noProof/>
                <w:webHidden/>
              </w:rPr>
              <w:tab/>
            </w:r>
            <w:r w:rsidR="00A65D8D">
              <w:rPr>
                <w:noProof/>
                <w:webHidden/>
              </w:rPr>
              <w:fldChar w:fldCharType="begin"/>
            </w:r>
            <w:r w:rsidR="00A65D8D">
              <w:rPr>
                <w:noProof/>
                <w:webHidden/>
              </w:rPr>
              <w:instrText xml:space="preserve"> PAGEREF _Toc221095507 \h </w:instrText>
            </w:r>
            <w:r w:rsidR="00A65D8D">
              <w:rPr>
                <w:noProof/>
                <w:webHidden/>
              </w:rPr>
            </w:r>
            <w:r w:rsidR="00A65D8D">
              <w:rPr>
                <w:noProof/>
                <w:webHidden/>
              </w:rPr>
              <w:fldChar w:fldCharType="separate"/>
            </w:r>
            <w:r w:rsidR="00A65D8D">
              <w:rPr>
                <w:noProof/>
                <w:webHidden/>
              </w:rPr>
              <w:t>47</w:t>
            </w:r>
            <w:r w:rsidR="00A65D8D">
              <w:rPr>
                <w:noProof/>
                <w:webHidden/>
              </w:rPr>
              <w:fldChar w:fldCharType="end"/>
            </w:r>
          </w:hyperlink>
        </w:p>
        <w:p w:rsidR="00A65D8D" w:rsidRDefault="00000000" w14:paraId="528F5ABC" w14:textId="49AA1EED">
          <w:pPr>
            <w:pStyle w:val="TM2"/>
            <w:tabs>
              <w:tab w:val="left" w:pos="709"/>
            </w:tabs>
            <w:rPr>
              <w:rFonts w:asciiTheme="minorHAnsi" w:hAnsiTheme="minorHAnsi" w:eastAsiaTheme="minorEastAsia" w:cstheme="minorBidi"/>
              <w:bCs w:val="0"/>
              <w:noProof/>
              <w:kern w:val="2"/>
              <w:sz w:val="24"/>
              <w:szCs w:val="24"/>
              <w14:ligatures w14:val="standardContextual"/>
            </w:rPr>
          </w:pPr>
          <w:hyperlink w:history="1" w:anchor="_Toc221095508">
            <w:r w:rsidRPr="00F42375" w:rsidR="00A65D8D">
              <w:rPr>
                <w:rStyle w:val="Lienhypertexte"/>
                <w:rFonts w:ascii="Calibri" w:hAnsi="Calibri"/>
                <w:noProof/>
              </w:rPr>
              <w:t>4.12.</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MyDrive</w:t>
            </w:r>
            <w:r w:rsidR="00A65D8D">
              <w:rPr>
                <w:noProof/>
                <w:webHidden/>
              </w:rPr>
              <w:tab/>
            </w:r>
            <w:r w:rsidR="00A65D8D">
              <w:rPr>
                <w:noProof/>
                <w:webHidden/>
              </w:rPr>
              <w:fldChar w:fldCharType="begin"/>
            </w:r>
            <w:r w:rsidR="00A65D8D">
              <w:rPr>
                <w:noProof/>
                <w:webHidden/>
              </w:rPr>
              <w:instrText xml:space="preserve"> PAGEREF _Toc221095508 \h </w:instrText>
            </w:r>
            <w:r w:rsidR="00A65D8D">
              <w:rPr>
                <w:noProof/>
                <w:webHidden/>
              </w:rPr>
            </w:r>
            <w:r w:rsidR="00A65D8D">
              <w:rPr>
                <w:noProof/>
                <w:webHidden/>
              </w:rPr>
              <w:fldChar w:fldCharType="separate"/>
            </w:r>
            <w:r w:rsidR="00A65D8D">
              <w:rPr>
                <w:noProof/>
                <w:webHidden/>
              </w:rPr>
              <w:t>48</w:t>
            </w:r>
            <w:r w:rsidR="00A65D8D">
              <w:rPr>
                <w:noProof/>
                <w:webHidden/>
              </w:rPr>
              <w:fldChar w:fldCharType="end"/>
            </w:r>
          </w:hyperlink>
        </w:p>
        <w:p w:rsidR="00A65D8D" w:rsidRDefault="00000000" w14:paraId="6098D056" w14:textId="2BCB0AF2">
          <w:pPr>
            <w:pStyle w:val="TM3"/>
            <w:rPr>
              <w:rFonts w:asciiTheme="minorHAnsi" w:hAnsiTheme="minorHAnsi" w:eastAsiaTheme="minorEastAsia" w:cstheme="minorBidi"/>
              <w:i w:val="0"/>
              <w:noProof/>
              <w:kern w:val="2"/>
              <w:sz w:val="24"/>
              <w:szCs w:val="24"/>
              <w14:ligatures w14:val="standardContextual"/>
            </w:rPr>
          </w:pPr>
          <w:hyperlink w:history="1" w:anchor="_Toc221095509">
            <w:r w:rsidRPr="00F42375" w:rsidR="00A65D8D">
              <w:rPr>
                <w:rStyle w:val="Lienhypertexte"/>
                <w:rFonts w:ascii="Calibri" w:hAnsi="Calibri"/>
                <w:noProof/>
              </w:rPr>
              <w:t>4.12.1.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_Toc221095509 \h </w:instrText>
            </w:r>
            <w:r w:rsidR="00A65D8D">
              <w:rPr>
                <w:noProof/>
                <w:webHidden/>
              </w:rPr>
            </w:r>
            <w:r w:rsidR="00A65D8D">
              <w:rPr>
                <w:noProof/>
                <w:webHidden/>
              </w:rPr>
              <w:fldChar w:fldCharType="separate"/>
            </w:r>
            <w:r w:rsidR="00A65D8D">
              <w:rPr>
                <w:noProof/>
                <w:webHidden/>
              </w:rPr>
              <w:t>48</w:t>
            </w:r>
            <w:r w:rsidR="00A65D8D">
              <w:rPr>
                <w:noProof/>
                <w:webHidden/>
              </w:rPr>
              <w:fldChar w:fldCharType="end"/>
            </w:r>
          </w:hyperlink>
        </w:p>
        <w:p w:rsidR="00A65D8D" w:rsidRDefault="00000000" w14:paraId="617D5E9D" w14:textId="622F2660">
          <w:pPr>
            <w:pStyle w:val="TM3"/>
            <w:rPr>
              <w:rFonts w:asciiTheme="minorHAnsi" w:hAnsiTheme="minorHAnsi" w:eastAsiaTheme="minorEastAsia" w:cstheme="minorBidi"/>
              <w:i w:val="0"/>
              <w:noProof/>
              <w:kern w:val="2"/>
              <w:sz w:val="24"/>
              <w:szCs w:val="24"/>
              <w14:ligatures w14:val="standardContextual"/>
            </w:rPr>
          </w:pPr>
          <w:hyperlink w:history="1" w:anchor="_Toc221095510">
            <w:r w:rsidRPr="00F42375" w:rsidR="00A65D8D">
              <w:rPr>
                <w:rStyle w:val="Lienhypertexte"/>
                <w:rFonts w:ascii="Calibri" w:hAnsi="Calibri"/>
                <w:noProof/>
              </w:rPr>
              <w:t>4.12.1.1.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 Fonctionnelle</w:t>
            </w:r>
            <w:r w:rsidR="00A65D8D">
              <w:rPr>
                <w:noProof/>
                <w:webHidden/>
              </w:rPr>
              <w:tab/>
            </w:r>
            <w:r w:rsidR="00A65D8D">
              <w:rPr>
                <w:noProof/>
                <w:webHidden/>
              </w:rPr>
              <w:fldChar w:fldCharType="begin"/>
            </w:r>
            <w:r w:rsidR="00A65D8D">
              <w:rPr>
                <w:noProof/>
                <w:webHidden/>
              </w:rPr>
              <w:instrText xml:space="preserve"> PAGEREF _Toc221095510 \h </w:instrText>
            </w:r>
            <w:r w:rsidR="00A65D8D">
              <w:rPr>
                <w:noProof/>
                <w:webHidden/>
              </w:rPr>
            </w:r>
            <w:r w:rsidR="00A65D8D">
              <w:rPr>
                <w:noProof/>
                <w:webHidden/>
              </w:rPr>
              <w:fldChar w:fldCharType="separate"/>
            </w:r>
            <w:r w:rsidR="00A65D8D">
              <w:rPr>
                <w:noProof/>
                <w:webHidden/>
              </w:rPr>
              <w:t>48</w:t>
            </w:r>
            <w:r w:rsidR="00A65D8D">
              <w:rPr>
                <w:noProof/>
                <w:webHidden/>
              </w:rPr>
              <w:fldChar w:fldCharType="end"/>
            </w:r>
          </w:hyperlink>
        </w:p>
        <w:p w:rsidR="00A65D8D" w:rsidRDefault="00000000" w14:paraId="21A3920A" w14:textId="2F9F825E">
          <w:pPr>
            <w:pStyle w:val="TM3"/>
            <w:rPr>
              <w:rFonts w:asciiTheme="minorHAnsi" w:hAnsiTheme="minorHAnsi" w:eastAsiaTheme="minorEastAsia" w:cstheme="minorBidi"/>
              <w:i w:val="0"/>
              <w:noProof/>
              <w:kern w:val="2"/>
              <w:sz w:val="24"/>
              <w:szCs w:val="24"/>
              <w14:ligatures w14:val="standardContextual"/>
            </w:rPr>
          </w:pPr>
          <w:hyperlink w:history="1" w:anchor="_Toc221095511">
            <w:r w:rsidRPr="00F42375" w:rsidR="00A65D8D">
              <w:rPr>
                <w:rStyle w:val="Lienhypertexte"/>
                <w:rFonts w:ascii="Calibri" w:hAnsi="Calibri"/>
                <w:noProof/>
              </w:rPr>
              <w:t>4.12.1.2.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 Technique</w:t>
            </w:r>
            <w:r w:rsidR="00A65D8D">
              <w:rPr>
                <w:noProof/>
                <w:webHidden/>
              </w:rPr>
              <w:tab/>
            </w:r>
            <w:r w:rsidR="00A65D8D">
              <w:rPr>
                <w:noProof/>
                <w:webHidden/>
              </w:rPr>
              <w:fldChar w:fldCharType="begin"/>
            </w:r>
            <w:r w:rsidR="00A65D8D">
              <w:rPr>
                <w:noProof/>
                <w:webHidden/>
              </w:rPr>
              <w:instrText xml:space="preserve"> PAGEREF _Toc221095511 \h </w:instrText>
            </w:r>
            <w:r w:rsidR="00A65D8D">
              <w:rPr>
                <w:noProof/>
                <w:webHidden/>
              </w:rPr>
            </w:r>
            <w:r w:rsidR="00A65D8D">
              <w:rPr>
                <w:noProof/>
                <w:webHidden/>
              </w:rPr>
              <w:fldChar w:fldCharType="separate"/>
            </w:r>
            <w:r w:rsidR="00A65D8D">
              <w:rPr>
                <w:noProof/>
                <w:webHidden/>
              </w:rPr>
              <w:t>48</w:t>
            </w:r>
            <w:r w:rsidR="00A65D8D">
              <w:rPr>
                <w:noProof/>
                <w:webHidden/>
              </w:rPr>
              <w:fldChar w:fldCharType="end"/>
            </w:r>
          </w:hyperlink>
        </w:p>
        <w:p w:rsidR="00A65D8D" w:rsidRDefault="00000000" w14:paraId="1B265DC8" w14:textId="7FB923A0">
          <w:pPr>
            <w:pStyle w:val="TM2"/>
            <w:tabs>
              <w:tab w:val="left" w:pos="709"/>
            </w:tabs>
            <w:rPr>
              <w:rFonts w:asciiTheme="minorHAnsi" w:hAnsiTheme="minorHAnsi" w:eastAsiaTheme="minorEastAsia" w:cstheme="minorBidi"/>
              <w:bCs w:val="0"/>
              <w:noProof/>
              <w:kern w:val="2"/>
              <w:sz w:val="24"/>
              <w:szCs w:val="24"/>
              <w14:ligatures w14:val="standardContextual"/>
            </w:rPr>
          </w:pPr>
          <w:hyperlink w:history="1" w:anchor="_Toc221095512">
            <w:r w:rsidRPr="00F42375" w:rsidR="00A65D8D">
              <w:rPr>
                <w:rStyle w:val="Lienhypertexte"/>
                <w:rFonts w:ascii="Calibri" w:hAnsi="Calibri"/>
                <w:noProof/>
              </w:rPr>
              <w:t>4.13.</w:t>
            </w:r>
            <w:r w:rsidR="00A65D8D">
              <w:rPr>
                <w:rFonts w:asciiTheme="minorHAnsi" w:hAnsiTheme="minorHAnsi" w:eastAsiaTheme="minorEastAsia" w:cstheme="minorBidi"/>
                <w:bCs w:val="0"/>
                <w:noProof/>
                <w:kern w:val="2"/>
                <w:sz w:val="24"/>
                <w:szCs w:val="24"/>
                <w14:ligatures w14:val="standardContextual"/>
              </w:rPr>
              <w:tab/>
            </w:r>
            <w:r w:rsidR="00F60C30">
              <w:rPr>
                <w:rStyle w:val="Lienhypertexte"/>
                <w:noProof/>
              </w:rPr>
              <w:t>K8</w:t>
            </w:r>
            <w:r w:rsidRPr="00F42375" w:rsidR="00A65D8D">
              <w:rPr>
                <w:rStyle w:val="Lienhypertexte"/>
                <w:noProof/>
              </w:rPr>
              <w:t>S</w:t>
            </w:r>
            <w:r w:rsidR="00A65D8D">
              <w:rPr>
                <w:noProof/>
                <w:webHidden/>
              </w:rPr>
              <w:tab/>
            </w:r>
            <w:r w:rsidR="00A65D8D">
              <w:rPr>
                <w:noProof/>
                <w:webHidden/>
              </w:rPr>
              <w:fldChar w:fldCharType="begin"/>
            </w:r>
            <w:r w:rsidR="00A65D8D">
              <w:rPr>
                <w:noProof/>
                <w:webHidden/>
              </w:rPr>
              <w:instrText xml:space="preserve"> PAGEREF _Toc221095512 \h </w:instrText>
            </w:r>
            <w:r w:rsidR="00A65D8D">
              <w:rPr>
                <w:noProof/>
                <w:webHidden/>
              </w:rPr>
            </w:r>
            <w:r w:rsidR="00A65D8D">
              <w:rPr>
                <w:noProof/>
                <w:webHidden/>
              </w:rPr>
              <w:fldChar w:fldCharType="separate"/>
            </w:r>
            <w:r w:rsidR="00A65D8D">
              <w:rPr>
                <w:noProof/>
                <w:webHidden/>
              </w:rPr>
              <w:t>49</w:t>
            </w:r>
            <w:r w:rsidR="00A65D8D">
              <w:rPr>
                <w:noProof/>
                <w:webHidden/>
              </w:rPr>
              <w:fldChar w:fldCharType="end"/>
            </w:r>
          </w:hyperlink>
        </w:p>
        <w:p w:rsidR="00A65D8D" w:rsidRDefault="00000000" w14:paraId="29E87476" w14:textId="347E9589">
          <w:pPr>
            <w:pStyle w:val="TM3"/>
            <w:rPr>
              <w:rFonts w:asciiTheme="minorHAnsi" w:hAnsiTheme="minorHAnsi" w:eastAsiaTheme="minorEastAsia" w:cstheme="minorBidi"/>
              <w:i w:val="0"/>
              <w:noProof/>
              <w:kern w:val="2"/>
              <w:sz w:val="24"/>
              <w:szCs w:val="24"/>
              <w14:ligatures w14:val="standardContextual"/>
            </w:rPr>
          </w:pPr>
          <w:hyperlink w:history="1" w:anchor="_Toc221095513">
            <w:r w:rsidRPr="00F42375" w:rsidR="00A65D8D">
              <w:rPr>
                <w:rStyle w:val="Lienhypertexte"/>
                <w:rFonts w:ascii="Calibri" w:hAnsi="Calibri"/>
                <w:noProof/>
              </w:rPr>
              <w:t>4.13.1.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_Toc221095513 \h </w:instrText>
            </w:r>
            <w:r w:rsidR="00A65D8D">
              <w:rPr>
                <w:noProof/>
                <w:webHidden/>
              </w:rPr>
            </w:r>
            <w:r w:rsidR="00A65D8D">
              <w:rPr>
                <w:noProof/>
                <w:webHidden/>
              </w:rPr>
              <w:fldChar w:fldCharType="separate"/>
            </w:r>
            <w:r w:rsidR="00A65D8D">
              <w:rPr>
                <w:noProof/>
                <w:webHidden/>
              </w:rPr>
              <w:t>49</w:t>
            </w:r>
            <w:r w:rsidR="00A65D8D">
              <w:rPr>
                <w:noProof/>
                <w:webHidden/>
              </w:rPr>
              <w:fldChar w:fldCharType="end"/>
            </w:r>
          </w:hyperlink>
        </w:p>
        <w:p w:rsidR="00A65D8D" w:rsidRDefault="00000000" w14:paraId="55C88C30" w14:textId="0AF13D28">
          <w:pPr>
            <w:pStyle w:val="TM3"/>
            <w:rPr>
              <w:rFonts w:asciiTheme="minorHAnsi" w:hAnsiTheme="minorHAnsi" w:eastAsiaTheme="minorEastAsia" w:cstheme="minorBidi"/>
              <w:i w:val="0"/>
              <w:noProof/>
              <w:kern w:val="2"/>
              <w:sz w:val="24"/>
              <w:szCs w:val="24"/>
              <w14:ligatures w14:val="standardContextual"/>
            </w:rPr>
          </w:pPr>
          <w:hyperlink w:history="1" w:anchor="_Toc221095514">
            <w:r w:rsidRPr="00F42375" w:rsidR="00A65D8D">
              <w:rPr>
                <w:rStyle w:val="Lienhypertexte"/>
                <w:rFonts w:ascii="Calibri" w:hAnsi="Calibri"/>
                <w:noProof/>
              </w:rPr>
              <w:t>4.13.1.1.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 xml:space="preserve">Schéma de la plateforme </w:t>
            </w:r>
            <w:r w:rsidR="00F60C30">
              <w:rPr>
                <w:rStyle w:val="Lienhypertexte"/>
                <w:noProof/>
              </w:rPr>
              <w:t>K8</w:t>
            </w:r>
            <w:r w:rsidRPr="00F42375" w:rsidR="00A65D8D">
              <w:rPr>
                <w:rStyle w:val="Lienhypertexte"/>
                <w:noProof/>
              </w:rPr>
              <w:t>S Openshift</w:t>
            </w:r>
            <w:r w:rsidR="00A65D8D">
              <w:rPr>
                <w:noProof/>
                <w:webHidden/>
              </w:rPr>
              <w:tab/>
            </w:r>
            <w:r w:rsidR="00A65D8D">
              <w:rPr>
                <w:noProof/>
                <w:webHidden/>
              </w:rPr>
              <w:fldChar w:fldCharType="begin"/>
            </w:r>
            <w:r w:rsidR="00A65D8D">
              <w:rPr>
                <w:noProof/>
                <w:webHidden/>
              </w:rPr>
              <w:instrText xml:space="preserve"> PAGEREF _Toc221095514 \h </w:instrText>
            </w:r>
            <w:r w:rsidR="00A65D8D">
              <w:rPr>
                <w:noProof/>
                <w:webHidden/>
              </w:rPr>
            </w:r>
            <w:r w:rsidR="00A65D8D">
              <w:rPr>
                <w:noProof/>
                <w:webHidden/>
              </w:rPr>
              <w:fldChar w:fldCharType="separate"/>
            </w:r>
            <w:r w:rsidR="00A65D8D">
              <w:rPr>
                <w:noProof/>
                <w:webHidden/>
              </w:rPr>
              <w:t>50</w:t>
            </w:r>
            <w:r w:rsidR="00A65D8D">
              <w:rPr>
                <w:noProof/>
                <w:webHidden/>
              </w:rPr>
              <w:fldChar w:fldCharType="end"/>
            </w:r>
          </w:hyperlink>
        </w:p>
        <w:p w:rsidR="00A65D8D" w:rsidRDefault="00000000" w14:paraId="09B6E58F" w14:textId="6D3C9BCF">
          <w:pPr>
            <w:pStyle w:val="TM3"/>
            <w:rPr>
              <w:rFonts w:asciiTheme="minorHAnsi" w:hAnsiTheme="minorHAnsi" w:eastAsiaTheme="minorEastAsia" w:cstheme="minorBidi"/>
              <w:i w:val="0"/>
              <w:noProof/>
              <w:kern w:val="2"/>
              <w:sz w:val="24"/>
              <w:szCs w:val="24"/>
              <w14:ligatures w14:val="standardContextual"/>
            </w:rPr>
          </w:pPr>
          <w:hyperlink w:history="1" w:anchor="_Toc221095515">
            <w:r w:rsidRPr="00F42375" w:rsidR="00A65D8D">
              <w:rPr>
                <w:rStyle w:val="Lienhypertexte"/>
                <w:rFonts w:ascii="Calibri" w:hAnsi="Calibri"/>
                <w:noProof/>
              </w:rPr>
              <w:t>4.13.1.2.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 xml:space="preserve">Schéma de la plateforme </w:t>
            </w:r>
            <w:r w:rsidR="00F60C30">
              <w:rPr>
                <w:rStyle w:val="Lienhypertexte"/>
                <w:noProof/>
              </w:rPr>
              <w:t>K8</w:t>
            </w:r>
            <w:r w:rsidRPr="00F42375" w:rsidR="00A65D8D">
              <w:rPr>
                <w:rStyle w:val="Lienhypertexte"/>
                <w:noProof/>
              </w:rPr>
              <w:t>S Rancher</w:t>
            </w:r>
            <w:r w:rsidR="00A65D8D">
              <w:rPr>
                <w:noProof/>
                <w:webHidden/>
              </w:rPr>
              <w:tab/>
            </w:r>
            <w:r w:rsidR="00A65D8D">
              <w:rPr>
                <w:noProof/>
                <w:webHidden/>
              </w:rPr>
              <w:fldChar w:fldCharType="begin"/>
            </w:r>
            <w:r w:rsidR="00A65D8D">
              <w:rPr>
                <w:noProof/>
                <w:webHidden/>
              </w:rPr>
              <w:instrText xml:space="preserve"> PAGEREF _Toc221095515 \h </w:instrText>
            </w:r>
            <w:r w:rsidR="00A65D8D">
              <w:rPr>
                <w:noProof/>
                <w:webHidden/>
              </w:rPr>
            </w:r>
            <w:r w:rsidR="00A65D8D">
              <w:rPr>
                <w:noProof/>
                <w:webHidden/>
              </w:rPr>
              <w:fldChar w:fldCharType="separate"/>
            </w:r>
            <w:r w:rsidR="00A65D8D">
              <w:rPr>
                <w:noProof/>
                <w:webHidden/>
              </w:rPr>
              <w:t>51</w:t>
            </w:r>
            <w:r w:rsidR="00A65D8D">
              <w:rPr>
                <w:noProof/>
                <w:webHidden/>
              </w:rPr>
              <w:fldChar w:fldCharType="end"/>
            </w:r>
          </w:hyperlink>
        </w:p>
        <w:p w:rsidR="00A65D8D" w:rsidRDefault="00000000" w14:paraId="48914370" w14:textId="452887C4">
          <w:pPr>
            <w:pStyle w:val="TM3"/>
            <w:rPr>
              <w:rFonts w:asciiTheme="minorHAnsi" w:hAnsiTheme="minorHAnsi" w:eastAsiaTheme="minorEastAsia" w:cstheme="minorBidi"/>
              <w:i w:val="0"/>
              <w:noProof/>
              <w:kern w:val="2"/>
              <w:sz w:val="24"/>
              <w:szCs w:val="24"/>
              <w14:ligatures w14:val="standardContextual"/>
            </w:rPr>
          </w:pPr>
          <w:hyperlink w:history="1" w:anchor="_Toc221095516">
            <w:r w:rsidRPr="00F42375" w:rsidR="00A65D8D">
              <w:rPr>
                <w:rStyle w:val="Lienhypertexte"/>
                <w:rFonts w:ascii="Calibri" w:hAnsi="Calibri"/>
                <w:noProof/>
              </w:rPr>
              <w:t>4.13.2.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_Toc221095516 \h </w:instrText>
            </w:r>
            <w:r w:rsidR="00A65D8D">
              <w:rPr>
                <w:noProof/>
                <w:webHidden/>
              </w:rPr>
            </w:r>
            <w:r w:rsidR="00A65D8D">
              <w:rPr>
                <w:noProof/>
                <w:webHidden/>
              </w:rPr>
              <w:fldChar w:fldCharType="separate"/>
            </w:r>
            <w:r w:rsidR="00A65D8D">
              <w:rPr>
                <w:noProof/>
                <w:webHidden/>
              </w:rPr>
              <w:t>51</w:t>
            </w:r>
            <w:r w:rsidR="00A65D8D">
              <w:rPr>
                <w:noProof/>
                <w:webHidden/>
              </w:rPr>
              <w:fldChar w:fldCharType="end"/>
            </w:r>
          </w:hyperlink>
        </w:p>
        <w:p w:rsidR="00A65D8D" w:rsidRDefault="00000000" w14:paraId="07D50B23" w14:textId="028CD2C1">
          <w:pPr>
            <w:pStyle w:val="TM3"/>
            <w:rPr>
              <w:rFonts w:asciiTheme="minorHAnsi" w:hAnsiTheme="minorHAnsi" w:eastAsiaTheme="minorEastAsia" w:cstheme="minorBidi"/>
              <w:i w:val="0"/>
              <w:noProof/>
              <w:kern w:val="2"/>
              <w:sz w:val="24"/>
              <w:szCs w:val="24"/>
              <w14:ligatures w14:val="standardContextual"/>
            </w:rPr>
          </w:pPr>
          <w:hyperlink w:history="1" w:anchor="_Toc221095517">
            <w:r w:rsidRPr="00F42375" w:rsidR="00A65D8D">
              <w:rPr>
                <w:rStyle w:val="Lienhypertexte"/>
                <w:rFonts w:ascii="Calibri" w:hAnsi="Calibri"/>
                <w:noProof/>
              </w:rPr>
              <w:t>4.13.3.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w:t>
            </w:r>
            <w:r w:rsidR="00A65D8D">
              <w:rPr>
                <w:noProof/>
                <w:webHidden/>
              </w:rPr>
              <w:tab/>
            </w:r>
            <w:r w:rsidR="00A65D8D">
              <w:rPr>
                <w:noProof/>
                <w:webHidden/>
              </w:rPr>
              <w:fldChar w:fldCharType="begin"/>
            </w:r>
            <w:r w:rsidR="00A65D8D">
              <w:rPr>
                <w:noProof/>
                <w:webHidden/>
              </w:rPr>
              <w:instrText xml:space="preserve"> PAGEREF _Toc221095517 \h </w:instrText>
            </w:r>
            <w:r w:rsidR="00A65D8D">
              <w:rPr>
                <w:noProof/>
                <w:webHidden/>
              </w:rPr>
            </w:r>
            <w:r w:rsidR="00A65D8D">
              <w:rPr>
                <w:noProof/>
                <w:webHidden/>
              </w:rPr>
              <w:fldChar w:fldCharType="separate"/>
            </w:r>
            <w:r w:rsidR="00A65D8D">
              <w:rPr>
                <w:noProof/>
                <w:webHidden/>
              </w:rPr>
              <w:t>51</w:t>
            </w:r>
            <w:r w:rsidR="00A65D8D">
              <w:rPr>
                <w:noProof/>
                <w:webHidden/>
              </w:rPr>
              <w:fldChar w:fldCharType="end"/>
            </w:r>
          </w:hyperlink>
        </w:p>
        <w:p w:rsidR="00A65D8D" w:rsidRDefault="00000000" w14:paraId="13190354" w14:textId="079764A6">
          <w:pPr>
            <w:pStyle w:val="TM2"/>
            <w:tabs>
              <w:tab w:val="left" w:pos="709"/>
            </w:tabs>
            <w:rPr>
              <w:rFonts w:asciiTheme="minorHAnsi" w:hAnsiTheme="minorHAnsi" w:eastAsiaTheme="minorEastAsia" w:cstheme="minorBidi"/>
              <w:bCs w:val="0"/>
              <w:noProof/>
              <w:kern w:val="2"/>
              <w:sz w:val="24"/>
              <w:szCs w:val="24"/>
              <w14:ligatures w14:val="standardContextual"/>
            </w:rPr>
          </w:pPr>
          <w:hyperlink w:history="1" w:anchor="_Toc221095518">
            <w:r w:rsidRPr="00F42375" w:rsidR="00A65D8D">
              <w:rPr>
                <w:rStyle w:val="Lienhypertexte"/>
                <w:rFonts w:ascii="Calibri" w:hAnsi="Calibri"/>
                <w:noProof/>
              </w:rPr>
              <w:t>4.14.</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Cloud Orion</w:t>
            </w:r>
            <w:r w:rsidR="00A65D8D">
              <w:rPr>
                <w:noProof/>
                <w:webHidden/>
              </w:rPr>
              <w:tab/>
            </w:r>
            <w:r w:rsidR="00A65D8D">
              <w:rPr>
                <w:noProof/>
                <w:webHidden/>
              </w:rPr>
              <w:fldChar w:fldCharType="begin"/>
            </w:r>
            <w:r w:rsidR="00A65D8D">
              <w:rPr>
                <w:noProof/>
                <w:webHidden/>
              </w:rPr>
              <w:instrText xml:space="preserve"> PAGEREF _Toc221095518 \h </w:instrText>
            </w:r>
            <w:r w:rsidR="00A65D8D">
              <w:rPr>
                <w:noProof/>
                <w:webHidden/>
              </w:rPr>
            </w:r>
            <w:r w:rsidR="00A65D8D">
              <w:rPr>
                <w:noProof/>
                <w:webHidden/>
              </w:rPr>
              <w:fldChar w:fldCharType="separate"/>
            </w:r>
            <w:r w:rsidR="00A65D8D">
              <w:rPr>
                <w:noProof/>
                <w:webHidden/>
              </w:rPr>
              <w:t>52</w:t>
            </w:r>
            <w:r w:rsidR="00A65D8D">
              <w:rPr>
                <w:noProof/>
                <w:webHidden/>
              </w:rPr>
              <w:fldChar w:fldCharType="end"/>
            </w:r>
          </w:hyperlink>
        </w:p>
        <w:p w:rsidR="00A65D8D" w:rsidRDefault="00000000" w14:paraId="41A1572D" w14:textId="4CEB961D">
          <w:pPr>
            <w:pStyle w:val="TM3"/>
            <w:rPr>
              <w:rFonts w:asciiTheme="minorHAnsi" w:hAnsiTheme="minorHAnsi" w:eastAsiaTheme="minorEastAsia" w:cstheme="minorBidi"/>
              <w:i w:val="0"/>
              <w:noProof/>
              <w:kern w:val="2"/>
              <w:sz w:val="24"/>
              <w:szCs w:val="24"/>
              <w14:ligatures w14:val="standardContextual"/>
            </w:rPr>
          </w:pPr>
          <w:hyperlink w:history="1" w:anchor="_Toc221095519">
            <w:r w:rsidRPr="00F42375" w:rsidR="00A65D8D">
              <w:rPr>
                <w:rStyle w:val="Lienhypertexte"/>
                <w:rFonts w:ascii="Calibri" w:hAnsi="Calibri"/>
                <w:noProof/>
              </w:rPr>
              <w:t>4.14.1.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Description</w:t>
            </w:r>
            <w:r w:rsidR="00A65D8D">
              <w:rPr>
                <w:noProof/>
                <w:webHidden/>
              </w:rPr>
              <w:tab/>
            </w:r>
            <w:r w:rsidR="00A65D8D">
              <w:rPr>
                <w:noProof/>
                <w:webHidden/>
              </w:rPr>
              <w:fldChar w:fldCharType="begin"/>
            </w:r>
            <w:r w:rsidR="00A65D8D">
              <w:rPr>
                <w:noProof/>
                <w:webHidden/>
              </w:rPr>
              <w:instrText xml:space="preserve"> PAGEREF _Toc221095519 \h </w:instrText>
            </w:r>
            <w:r w:rsidR="00A65D8D">
              <w:rPr>
                <w:noProof/>
                <w:webHidden/>
              </w:rPr>
            </w:r>
            <w:r w:rsidR="00A65D8D">
              <w:rPr>
                <w:noProof/>
                <w:webHidden/>
              </w:rPr>
              <w:fldChar w:fldCharType="separate"/>
            </w:r>
            <w:r w:rsidR="00A65D8D">
              <w:rPr>
                <w:noProof/>
                <w:webHidden/>
              </w:rPr>
              <w:t>52</w:t>
            </w:r>
            <w:r w:rsidR="00A65D8D">
              <w:rPr>
                <w:noProof/>
                <w:webHidden/>
              </w:rPr>
              <w:fldChar w:fldCharType="end"/>
            </w:r>
          </w:hyperlink>
        </w:p>
        <w:p w:rsidR="00A65D8D" w:rsidRDefault="00000000" w14:paraId="659A32E3" w14:textId="1B61FD38">
          <w:pPr>
            <w:pStyle w:val="TM3"/>
            <w:rPr>
              <w:rFonts w:asciiTheme="minorHAnsi" w:hAnsiTheme="minorHAnsi" w:eastAsiaTheme="minorEastAsia" w:cstheme="minorBidi"/>
              <w:i w:val="0"/>
              <w:noProof/>
              <w:kern w:val="2"/>
              <w:sz w:val="24"/>
              <w:szCs w:val="24"/>
              <w14:ligatures w14:val="standardContextual"/>
            </w:rPr>
          </w:pPr>
          <w:hyperlink w:history="1" w:anchor="_Toc221095520">
            <w:r w:rsidRPr="00F42375" w:rsidR="00A65D8D">
              <w:rPr>
                <w:rStyle w:val="Lienhypertexte"/>
                <w:rFonts w:ascii="Calibri" w:hAnsi="Calibri"/>
                <w:noProof/>
              </w:rPr>
              <w:t>4.14.2.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Enjeux</w:t>
            </w:r>
            <w:r w:rsidR="00A65D8D">
              <w:rPr>
                <w:noProof/>
                <w:webHidden/>
              </w:rPr>
              <w:tab/>
            </w:r>
            <w:r w:rsidR="00A65D8D">
              <w:rPr>
                <w:noProof/>
                <w:webHidden/>
              </w:rPr>
              <w:fldChar w:fldCharType="begin"/>
            </w:r>
            <w:r w:rsidR="00A65D8D">
              <w:rPr>
                <w:noProof/>
                <w:webHidden/>
              </w:rPr>
              <w:instrText xml:space="preserve"> PAGEREF _Toc221095520 \h </w:instrText>
            </w:r>
            <w:r w:rsidR="00A65D8D">
              <w:rPr>
                <w:noProof/>
                <w:webHidden/>
              </w:rPr>
            </w:r>
            <w:r w:rsidR="00A65D8D">
              <w:rPr>
                <w:noProof/>
                <w:webHidden/>
              </w:rPr>
              <w:fldChar w:fldCharType="separate"/>
            </w:r>
            <w:r w:rsidR="00A65D8D">
              <w:rPr>
                <w:noProof/>
                <w:webHidden/>
              </w:rPr>
              <w:t>52</w:t>
            </w:r>
            <w:r w:rsidR="00A65D8D">
              <w:rPr>
                <w:noProof/>
                <w:webHidden/>
              </w:rPr>
              <w:fldChar w:fldCharType="end"/>
            </w:r>
          </w:hyperlink>
        </w:p>
        <w:p w:rsidR="00A65D8D" w:rsidRDefault="00000000" w14:paraId="679F0AA0" w14:textId="54A64F8D">
          <w:pPr>
            <w:pStyle w:val="TM3"/>
            <w:rPr>
              <w:rFonts w:asciiTheme="minorHAnsi" w:hAnsiTheme="minorHAnsi" w:eastAsiaTheme="minorEastAsia" w:cstheme="minorBidi"/>
              <w:i w:val="0"/>
              <w:noProof/>
              <w:kern w:val="2"/>
              <w:sz w:val="24"/>
              <w:szCs w:val="24"/>
              <w14:ligatures w14:val="standardContextual"/>
            </w:rPr>
          </w:pPr>
          <w:hyperlink w:history="1" w:anchor="_Toc221095521">
            <w:r w:rsidRPr="00F42375" w:rsidR="00A65D8D">
              <w:rPr>
                <w:rStyle w:val="Lienhypertexte"/>
                <w:rFonts w:ascii="Calibri" w:hAnsi="Calibri"/>
                <w:noProof/>
              </w:rPr>
              <w:t>4.14.3.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Roadmap</w:t>
            </w:r>
            <w:r w:rsidR="00A65D8D">
              <w:rPr>
                <w:noProof/>
                <w:webHidden/>
              </w:rPr>
              <w:tab/>
            </w:r>
            <w:r w:rsidR="00A65D8D">
              <w:rPr>
                <w:noProof/>
                <w:webHidden/>
              </w:rPr>
              <w:fldChar w:fldCharType="begin"/>
            </w:r>
            <w:r w:rsidR="00A65D8D">
              <w:rPr>
                <w:noProof/>
                <w:webHidden/>
              </w:rPr>
              <w:instrText xml:space="preserve"> PAGEREF _Toc221095521 \h </w:instrText>
            </w:r>
            <w:r w:rsidR="00A65D8D">
              <w:rPr>
                <w:noProof/>
                <w:webHidden/>
              </w:rPr>
            </w:r>
            <w:r w:rsidR="00A65D8D">
              <w:rPr>
                <w:noProof/>
                <w:webHidden/>
              </w:rPr>
              <w:fldChar w:fldCharType="separate"/>
            </w:r>
            <w:r w:rsidR="00A65D8D">
              <w:rPr>
                <w:noProof/>
                <w:webHidden/>
              </w:rPr>
              <w:t>53</w:t>
            </w:r>
            <w:r w:rsidR="00A65D8D">
              <w:rPr>
                <w:noProof/>
                <w:webHidden/>
              </w:rPr>
              <w:fldChar w:fldCharType="end"/>
            </w:r>
          </w:hyperlink>
        </w:p>
        <w:p w:rsidR="00A65D8D" w:rsidRDefault="00000000" w14:paraId="5B6785FF" w14:textId="2E131561">
          <w:pPr>
            <w:pStyle w:val="TM2"/>
            <w:tabs>
              <w:tab w:val="left" w:pos="709"/>
            </w:tabs>
            <w:rPr>
              <w:rFonts w:asciiTheme="minorHAnsi" w:hAnsiTheme="minorHAnsi" w:eastAsiaTheme="minorEastAsia" w:cstheme="minorBidi"/>
              <w:bCs w:val="0"/>
              <w:noProof/>
              <w:kern w:val="2"/>
              <w:sz w:val="24"/>
              <w:szCs w:val="24"/>
              <w14:ligatures w14:val="standardContextual"/>
            </w:rPr>
          </w:pPr>
          <w:hyperlink w:history="1" w:anchor="_Toc221095522">
            <w:r w:rsidRPr="00F42375" w:rsidR="00A65D8D">
              <w:rPr>
                <w:rStyle w:val="Lienhypertexte"/>
                <w:rFonts w:ascii="Calibri" w:hAnsi="Calibri"/>
                <w:noProof/>
              </w:rPr>
              <w:t>4.15.</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Schéma principal des applications de référence du SI institutionnel INRAE</w:t>
            </w:r>
            <w:r w:rsidR="00A65D8D">
              <w:rPr>
                <w:noProof/>
                <w:webHidden/>
              </w:rPr>
              <w:tab/>
            </w:r>
            <w:r w:rsidR="00A65D8D">
              <w:rPr>
                <w:noProof/>
                <w:webHidden/>
              </w:rPr>
              <w:fldChar w:fldCharType="begin"/>
            </w:r>
            <w:r w:rsidR="00A65D8D">
              <w:rPr>
                <w:noProof/>
                <w:webHidden/>
              </w:rPr>
              <w:instrText xml:space="preserve"> PAGEREF _Toc221095522 \h </w:instrText>
            </w:r>
            <w:r w:rsidR="00A65D8D">
              <w:rPr>
                <w:noProof/>
                <w:webHidden/>
              </w:rPr>
            </w:r>
            <w:r w:rsidR="00A65D8D">
              <w:rPr>
                <w:noProof/>
                <w:webHidden/>
              </w:rPr>
              <w:fldChar w:fldCharType="separate"/>
            </w:r>
            <w:r w:rsidR="00A65D8D">
              <w:rPr>
                <w:noProof/>
                <w:webHidden/>
              </w:rPr>
              <w:t>53</w:t>
            </w:r>
            <w:r w:rsidR="00A65D8D">
              <w:rPr>
                <w:noProof/>
                <w:webHidden/>
              </w:rPr>
              <w:fldChar w:fldCharType="end"/>
            </w:r>
          </w:hyperlink>
        </w:p>
        <w:p w:rsidR="00A65D8D" w:rsidRDefault="00000000" w14:paraId="2D8C7ABA" w14:textId="193EE536">
          <w:pPr>
            <w:pStyle w:val="TM1"/>
            <w:rPr>
              <w:rFonts w:asciiTheme="minorHAnsi" w:hAnsiTheme="minorHAnsi" w:eastAsiaTheme="minorEastAsia" w:cstheme="minorBidi"/>
              <w:b w:val="0"/>
              <w:bCs w:val="0"/>
              <w:i w:val="0"/>
              <w:iCs w:val="0"/>
              <w:noProof/>
              <w:kern w:val="2"/>
              <w14:ligatures w14:val="standardContextual"/>
            </w:rPr>
          </w:pPr>
          <w:hyperlink w:history="1" w:anchor="_Toc221095523">
            <w:r w:rsidRPr="00F42375" w:rsidR="00A65D8D">
              <w:rPr>
                <w:rStyle w:val="Lienhypertexte"/>
                <w:noProof/>
              </w:rPr>
              <w:t>5.</w:t>
            </w:r>
            <w:r w:rsidR="00A65D8D">
              <w:rPr>
                <w:rFonts w:asciiTheme="minorHAnsi" w:hAnsiTheme="minorHAnsi" w:eastAsiaTheme="minorEastAsia" w:cstheme="minorBidi"/>
                <w:b w:val="0"/>
                <w:bCs w:val="0"/>
                <w:i w:val="0"/>
                <w:iCs w:val="0"/>
                <w:noProof/>
                <w:kern w:val="2"/>
                <w14:ligatures w14:val="standardContextual"/>
              </w:rPr>
              <w:tab/>
            </w:r>
            <w:r w:rsidRPr="00F42375" w:rsidR="00A65D8D">
              <w:rPr>
                <w:rStyle w:val="Lienhypertexte"/>
                <w:noProof/>
              </w:rPr>
              <w:t>Exigences transverses, Dispositions communes à l'ensemble des prestations</w:t>
            </w:r>
            <w:r w:rsidR="00A65D8D">
              <w:rPr>
                <w:noProof/>
                <w:webHidden/>
              </w:rPr>
              <w:tab/>
            </w:r>
            <w:r w:rsidR="00A65D8D">
              <w:rPr>
                <w:noProof/>
                <w:webHidden/>
              </w:rPr>
              <w:fldChar w:fldCharType="begin"/>
            </w:r>
            <w:r w:rsidR="00A65D8D">
              <w:rPr>
                <w:noProof/>
                <w:webHidden/>
              </w:rPr>
              <w:instrText xml:space="preserve"> PAGEREF _Toc221095523 \h </w:instrText>
            </w:r>
            <w:r w:rsidR="00A65D8D">
              <w:rPr>
                <w:noProof/>
                <w:webHidden/>
              </w:rPr>
            </w:r>
            <w:r w:rsidR="00A65D8D">
              <w:rPr>
                <w:noProof/>
                <w:webHidden/>
              </w:rPr>
              <w:fldChar w:fldCharType="separate"/>
            </w:r>
            <w:r w:rsidR="00A65D8D">
              <w:rPr>
                <w:noProof/>
                <w:webHidden/>
              </w:rPr>
              <w:t>55</w:t>
            </w:r>
            <w:r w:rsidR="00A65D8D">
              <w:rPr>
                <w:noProof/>
                <w:webHidden/>
              </w:rPr>
              <w:fldChar w:fldCharType="end"/>
            </w:r>
          </w:hyperlink>
        </w:p>
        <w:p w:rsidR="00A65D8D" w:rsidRDefault="00000000" w14:paraId="014D0B6A" w14:textId="39DB25AB">
          <w:pPr>
            <w:pStyle w:val="TM2"/>
            <w:rPr>
              <w:rFonts w:asciiTheme="minorHAnsi" w:hAnsiTheme="minorHAnsi" w:eastAsiaTheme="minorEastAsia" w:cstheme="minorBidi"/>
              <w:bCs w:val="0"/>
              <w:noProof/>
              <w:kern w:val="2"/>
              <w:sz w:val="24"/>
              <w:szCs w:val="24"/>
              <w14:ligatures w14:val="standardContextual"/>
            </w:rPr>
          </w:pPr>
          <w:hyperlink w:history="1" w:anchor="_Toc221095524">
            <w:r w:rsidRPr="00F42375" w:rsidR="00A65D8D">
              <w:rPr>
                <w:rStyle w:val="Lienhypertexte"/>
                <w:rFonts w:ascii="Calibri" w:hAnsi="Calibri"/>
                <w:noProof/>
              </w:rPr>
              <w:t>5.1.</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Principes d’exécution des prestations et cadre qualité</w:t>
            </w:r>
            <w:r w:rsidR="00A65D8D">
              <w:rPr>
                <w:noProof/>
                <w:webHidden/>
              </w:rPr>
              <w:tab/>
            </w:r>
            <w:r w:rsidR="00A65D8D">
              <w:rPr>
                <w:noProof/>
                <w:webHidden/>
              </w:rPr>
              <w:fldChar w:fldCharType="begin"/>
            </w:r>
            <w:r w:rsidR="00A65D8D">
              <w:rPr>
                <w:noProof/>
                <w:webHidden/>
              </w:rPr>
              <w:instrText xml:space="preserve"> PAGEREF _Toc221095524 \h </w:instrText>
            </w:r>
            <w:r w:rsidR="00A65D8D">
              <w:rPr>
                <w:noProof/>
                <w:webHidden/>
              </w:rPr>
            </w:r>
            <w:r w:rsidR="00A65D8D">
              <w:rPr>
                <w:noProof/>
                <w:webHidden/>
              </w:rPr>
              <w:fldChar w:fldCharType="separate"/>
            </w:r>
            <w:r w:rsidR="00A65D8D">
              <w:rPr>
                <w:noProof/>
                <w:webHidden/>
              </w:rPr>
              <w:t>55</w:t>
            </w:r>
            <w:r w:rsidR="00A65D8D">
              <w:rPr>
                <w:noProof/>
                <w:webHidden/>
              </w:rPr>
              <w:fldChar w:fldCharType="end"/>
            </w:r>
          </w:hyperlink>
        </w:p>
        <w:p w:rsidR="00A65D8D" w:rsidRDefault="00000000" w14:paraId="03BB8CD2" w14:textId="4C48EAAA">
          <w:pPr>
            <w:pStyle w:val="TM3"/>
            <w:rPr>
              <w:rFonts w:asciiTheme="minorHAnsi" w:hAnsiTheme="minorHAnsi" w:eastAsiaTheme="minorEastAsia" w:cstheme="minorBidi"/>
              <w:i w:val="0"/>
              <w:noProof/>
              <w:kern w:val="2"/>
              <w:sz w:val="24"/>
              <w:szCs w:val="24"/>
              <w14:ligatures w14:val="standardContextual"/>
            </w:rPr>
          </w:pPr>
          <w:hyperlink w:history="1" w:anchor="_Toc221095525">
            <w:r w:rsidRPr="00F42375" w:rsidR="00A65D8D">
              <w:rPr>
                <w:rStyle w:val="Lienhypertexte"/>
                <w:rFonts w:ascii="Calibri" w:hAnsi="Calibri"/>
                <w:noProof/>
              </w:rPr>
              <w:t>5.1.1.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Obligations et responsabilités respectives</w:t>
            </w:r>
            <w:r w:rsidR="00A65D8D">
              <w:rPr>
                <w:noProof/>
                <w:webHidden/>
              </w:rPr>
              <w:tab/>
            </w:r>
            <w:r w:rsidR="00A65D8D">
              <w:rPr>
                <w:noProof/>
                <w:webHidden/>
              </w:rPr>
              <w:fldChar w:fldCharType="begin"/>
            </w:r>
            <w:r w:rsidR="00A65D8D">
              <w:rPr>
                <w:noProof/>
                <w:webHidden/>
              </w:rPr>
              <w:instrText xml:space="preserve"> PAGEREF _Toc221095525 \h </w:instrText>
            </w:r>
            <w:r w:rsidR="00A65D8D">
              <w:rPr>
                <w:noProof/>
                <w:webHidden/>
              </w:rPr>
            </w:r>
            <w:r w:rsidR="00A65D8D">
              <w:rPr>
                <w:noProof/>
                <w:webHidden/>
              </w:rPr>
              <w:fldChar w:fldCharType="separate"/>
            </w:r>
            <w:r w:rsidR="00A65D8D">
              <w:rPr>
                <w:noProof/>
                <w:webHidden/>
              </w:rPr>
              <w:t>55</w:t>
            </w:r>
            <w:r w:rsidR="00A65D8D">
              <w:rPr>
                <w:noProof/>
                <w:webHidden/>
              </w:rPr>
              <w:fldChar w:fldCharType="end"/>
            </w:r>
          </w:hyperlink>
        </w:p>
        <w:p w:rsidR="00A65D8D" w:rsidRDefault="00000000" w14:paraId="4D160751" w14:textId="6780BD60">
          <w:pPr>
            <w:pStyle w:val="TM3"/>
            <w:rPr>
              <w:rFonts w:asciiTheme="minorHAnsi" w:hAnsiTheme="minorHAnsi" w:eastAsiaTheme="minorEastAsia" w:cstheme="minorBidi"/>
              <w:i w:val="0"/>
              <w:noProof/>
              <w:kern w:val="2"/>
              <w:sz w:val="24"/>
              <w:szCs w:val="24"/>
              <w14:ligatures w14:val="standardContextual"/>
            </w:rPr>
          </w:pPr>
          <w:hyperlink w:history="1" w:anchor="_Toc221095526">
            <w:r w:rsidRPr="00F42375" w:rsidR="00A65D8D">
              <w:rPr>
                <w:rStyle w:val="Lienhypertexte"/>
                <w:rFonts w:ascii="Calibri" w:hAnsi="Calibri"/>
                <w:noProof/>
              </w:rPr>
              <w:t>5.1.2.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Principes d’exécution des prestations</w:t>
            </w:r>
            <w:r w:rsidR="00A65D8D">
              <w:rPr>
                <w:noProof/>
                <w:webHidden/>
              </w:rPr>
              <w:tab/>
            </w:r>
            <w:r w:rsidR="00A65D8D">
              <w:rPr>
                <w:noProof/>
                <w:webHidden/>
              </w:rPr>
              <w:fldChar w:fldCharType="begin"/>
            </w:r>
            <w:r w:rsidR="00A65D8D">
              <w:rPr>
                <w:noProof/>
                <w:webHidden/>
              </w:rPr>
              <w:instrText xml:space="preserve"> PAGEREF _Toc221095526 \h </w:instrText>
            </w:r>
            <w:r w:rsidR="00A65D8D">
              <w:rPr>
                <w:noProof/>
                <w:webHidden/>
              </w:rPr>
            </w:r>
            <w:r w:rsidR="00A65D8D">
              <w:rPr>
                <w:noProof/>
                <w:webHidden/>
              </w:rPr>
              <w:fldChar w:fldCharType="separate"/>
            </w:r>
            <w:r w:rsidR="00A65D8D">
              <w:rPr>
                <w:noProof/>
                <w:webHidden/>
              </w:rPr>
              <w:t>56</w:t>
            </w:r>
            <w:r w:rsidR="00A65D8D">
              <w:rPr>
                <w:noProof/>
                <w:webHidden/>
              </w:rPr>
              <w:fldChar w:fldCharType="end"/>
            </w:r>
          </w:hyperlink>
        </w:p>
        <w:p w:rsidR="00A65D8D" w:rsidRDefault="00000000" w14:paraId="61238825" w14:textId="7D8CCCAF">
          <w:pPr>
            <w:pStyle w:val="TM3"/>
            <w:rPr>
              <w:rFonts w:asciiTheme="minorHAnsi" w:hAnsiTheme="minorHAnsi" w:eastAsiaTheme="minorEastAsia" w:cstheme="minorBidi"/>
              <w:i w:val="0"/>
              <w:noProof/>
              <w:kern w:val="2"/>
              <w:sz w:val="24"/>
              <w:szCs w:val="24"/>
              <w14:ligatures w14:val="standardContextual"/>
            </w:rPr>
          </w:pPr>
          <w:hyperlink w:history="1" w:anchor="_Toc221095527">
            <w:r w:rsidRPr="00F42375" w:rsidR="00A65D8D">
              <w:rPr>
                <w:rStyle w:val="Lienhypertexte"/>
                <w:rFonts w:ascii="Calibri" w:hAnsi="Calibri"/>
                <w:noProof/>
              </w:rPr>
              <w:t>5.1.3.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Exigences règlementaire de confidentialité et sécurisation des données applicables au titulaire et ses sous-traitants</w:t>
            </w:r>
            <w:r w:rsidR="00A65D8D">
              <w:rPr>
                <w:noProof/>
                <w:webHidden/>
              </w:rPr>
              <w:tab/>
            </w:r>
            <w:r w:rsidR="00A65D8D">
              <w:rPr>
                <w:noProof/>
                <w:webHidden/>
              </w:rPr>
              <w:fldChar w:fldCharType="begin"/>
            </w:r>
            <w:r w:rsidR="00A65D8D">
              <w:rPr>
                <w:noProof/>
                <w:webHidden/>
              </w:rPr>
              <w:instrText xml:space="preserve"> PAGEREF _Toc221095527 \h </w:instrText>
            </w:r>
            <w:r w:rsidR="00A65D8D">
              <w:rPr>
                <w:noProof/>
                <w:webHidden/>
              </w:rPr>
            </w:r>
            <w:r w:rsidR="00A65D8D">
              <w:rPr>
                <w:noProof/>
                <w:webHidden/>
              </w:rPr>
              <w:fldChar w:fldCharType="separate"/>
            </w:r>
            <w:r w:rsidR="00A65D8D">
              <w:rPr>
                <w:noProof/>
                <w:webHidden/>
              </w:rPr>
              <w:t>57</w:t>
            </w:r>
            <w:r w:rsidR="00A65D8D">
              <w:rPr>
                <w:noProof/>
                <w:webHidden/>
              </w:rPr>
              <w:fldChar w:fldCharType="end"/>
            </w:r>
          </w:hyperlink>
        </w:p>
        <w:p w:rsidR="00A65D8D" w:rsidRDefault="00000000" w14:paraId="2B2AEC9A" w14:textId="7470D4AF">
          <w:pPr>
            <w:pStyle w:val="TM3"/>
            <w:rPr>
              <w:rFonts w:asciiTheme="minorHAnsi" w:hAnsiTheme="minorHAnsi" w:eastAsiaTheme="minorEastAsia" w:cstheme="minorBidi"/>
              <w:i w:val="0"/>
              <w:noProof/>
              <w:kern w:val="2"/>
              <w:sz w:val="24"/>
              <w:szCs w:val="24"/>
              <w14:ligatures w14:val="standardContextual"/>
            </w:rPr>
          </w:pPr>
          <w:hyperlink w:history="1" w:anchor="_Toc221095528">
            <w:r w:rsidRPr="00F42375" w:rsidR="00A65D8D">
              <w:rPr>
                <w:rStyle w:val="Lienhypertexte"/>
                <w:rFonts w:ascii="Calibri" w:hAnsi="Calibri"/>
                <w:noProof/>
              </w:rPr>
              <w:t>5.1.4.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Exigences RSE</w:t>
            </w:r>
            <w:r w:rsidR="00A65D8D">
              <w:rPr>
                <w:noProof/>
                <w:webHidden/>
              </w:rPr>
              <w:tab/>
            </w:r>
            <w:r w:rsidR="00A65D8D">
              <w:rPr>
                <w:noProof/>
                <w:webHidden/>
              </w:rPr>
              <w:fldChar w:fldCharType="begin"/>
            </w:r>
            <w:r w:rsidR="00A65D8D">
              <w:rPr>
                <w:noProof/>
                <w:webHidden/>
              </w:rPr>
              <w:instrText xml:space="preserve"> PAGEREF _Toc221095528 \h </w:instrText>
            </w:r>
            <w:r w:rsidR="00A65D8D">
              <w:rPr>
                <w:noProof/>
                <w:webHidden/>
              </w:rPr>
            </w:r>
            <w:r w:rsidR="00A65D8D">
              <w:rPr>
                <w:noProof/>
                <w:webHidden/>
              </w:rPr>
              <w:fldChar w:fldCharType="separate"/>
            </w:r>
            <w:r w:rsidR="00A65D8D">
              <w:rPr>
                <w:noProof/>
                <w:webHidden/>
              </w:rPr>
              <w:t>60</w:t>
            </w:r>
            <w:r w:rsidR="00A65D8D">
              <w:rPr>
                <w:noProof/>
                <w:webHidden/>
              </w:rPr>
              <w:fldChar w:fldCharType="end"/>
            </w:r>
          </w:hyperlink>
        </w:p>
        <w:p w:rsidR="00A65D8D" w:rsidRDefault="00000000" w14:paraId="28C39EC6" w14:textId="6EF7D1E9">
          <w:pPr>
            <w:pStyle w:val="TM2"/>
            <w:rPr>
              <w:rFonts w:asciiTheme="minorHAnsi" w:hAnsiTheme="minorHAnsi" w:eastAsiaTheme="minorEastAsia" w:cstheme="minorBidi"/>
              <w:bCs w:val="0"/>
              <w:noProof/>
              <w:kern w:val="2"/>
              <w:sz w:val="24"/>
              <w:szCs w:val="24"/>
              <w14:ligatures w14:val="standardContextual"/>
            </w:rPr>
          </w:pPr>
          <w:hyperlink w:history="1" w:anchor="_Toc221095529">
            <w:r w:rsidRPr="00F42375" w:rsidR="00A65D8D">
              <w:rPr>
                <w:rStyle w:val="Lienhypertexte"/>
                <w:rFonts w:ascii="Calibri" w:hAnsi="Calibri"/>
                <w:noProof/>
              </w:rPr>
              <w:t>5.2.</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Pilotage et coordination</w:t>
            </w:r>
            <w:r w:rsidR="00A65D8D">
              <w:rPr>
                <w:noProof/>
                <w:webHidden/>
              </w:rPr>
              <w:tab/>
            </w:r>
            <w:r w:rsidR="00A65D8D">
              <w:rPr>
                <w:noProof/>
                <w:webHidden/>
              </w:rPr>
              <w:fldChar w:fldCharType="begin"/>
            </w:r>
            <w:r w:rsidR="00A65D8D">
              <w:rPr>
                <w:noProof/>
                <w:webHidden/>
              </w:rPr>
              <w:instrText xml:space="preserve"> PAGEREF _Toc221095529 \h </w:instrText>
            </w:r>
            <w:r w:rsidR="00A65D8D">
              <w:rPr>
                <w:noProof/>
                <w:webHidden/>
              </w:rPr>
            </w:r>
            <w:r w:rsidR="00A65D8D">
              <w:rPr>
                <w:noProof/>
                <w:webHidden/>
              </w:rPr>
              <w:fldChar w:fldCharType="separate"/>
            </w:r>
            <w:r w:rsidR="00A65D8D">
              <w:rPr>
                <w:noProof/>
                <w:webHidden/>
              </w:rPr>
              <w:t>61</w:t>
            </w:r>
            <w:r w:rsidR="00A65D8D">
              <w:rPr>
                <w:noProof/>
                <w:webHidden/>
              </w:rPr>
              <w:fldChar w:fldCharType="end"/>
            </w:r>
          </w:hyperlink>
        </w:p>
        <w:p w:rsidR="00A65D8D" w:rsidRDefault="00000000" w14:paraId="73AEC8B3" w14:textId="408250B5">
          <w:pPr>
            <w:pStyle w:val="TM3"/>
            <w:rPr>
              <w:rFonts w:asciiTheme="minorHAnsi" w:hAnsiTheme="minorHAnsi" w:eastAsiaTheme="minorEastAsia" w:cstheme="minorBidi"/>
              <w:i w:val="0"/>
              <w:noProof/>
              <w:kern w:val="2"/>
              <w:sz w:val="24"/>
              <w:szCs w:val="24"/>
              <w14:ligatures w14:val="standardContextual"/>
            </w:rPr>
          </w:pPr>
          <w:hyperlink w:history="1" w:anchor="_Toc221095530">
            <w:r w:rsidRPr="00F42375" w:rsidR="00A65D8D">
              <w:rPr>
                <w:rStyle w:val="Lienhypertexte"/>
                <w:rFonts w:ascii="Calibri" w:hAnsi="Calibri"/>
                <w:noProof/>
              </w:rPr>
              <w:t>5.2.1.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La gestion des intervenants et des compétences</w:t>
            </w:r>
            <w:r w:rsidR="00A65D8D">
              <w:rPr>
                <w:noProof/>
                <w:webHidden/>
              </w:rPr>
              <w:tab/>
            </w:r>
            <w:r w:rsidR="00A65D8D">
              <w:rPr>
                <w:noProof/>
                <w:webHidden/>
              </w:rPr>
              <w:fldChar w:fldCharType="begin"/>
            </w:r>
            <w:r w:rsidR="00A65D8D">
              <w:rPr>
                <w:noProof/>
                <w:webHidden/>
              </w:rPr>
              <w:instrText xml:space="preserve"> PAGEREF _Toc221095530 \h </w:instrText>
            </w:r>
            <w:r w:rsidR="00A65D8D">
              <w:rPr>
                <w:noProof/>
                <w:webHidden/>
              </w:rPr>
            </w:r>
            <w:r w:rsidR="00A65D8D">
              <w:rPr>
                <w:noProof/>
                <w:webHidden/>
              </w:rPr>
              <w:fldChar w:fldCharType="separate"/>
            </w:r>
            <w:r w:rsidR="00A65D8D">
              <w:rPr>
                <w:noProof/>
                <w:webHidden/>
              </w:rPr>
              <w:t>62</w:t>
            </w:r>
            <w:r w:rsidR="00A65D8D">
              <w:rPr>
                <w:noProof/>
                <w:webHidden/>
              </w:rPr>
              <w:fldChar w:fldCharType="end"/>
            </w:r>
          </w:hyperlink>
        </w:p>
        <w:p w:rsidR="00A65D8D" w:rsidRDefault="00000000" w14:paraId="135672C4" w14:textId="0FD8D42A">
          <w:pPr>
            <w:pStyle w:val="TM3"/>
            <w:rPr>
              <w:rFonts w:asciiTheme="minorHAnsi" w:hAnsiTheme="minorHAnsi" w:eastAsiaTheme="minorEastAsia" w:cstheme="minorBidi"/>
              <w:i w:val="0"/>
              <w:noProof/>
              <w:kern w:val="2"/>
              <w:sz w:val="24"/>
              <w:szCs w:val="24"/>
              <w14:ligatures w14:val="standardContextual"/>
            </w:rPr>
          </w:pPr>
          <w:hyperlink w:history="1" w:anchor="_Toc221095531">
            <w:r w:rsidRPr="00F42375" w:rsidR="00A65D8D">
              <w:rPr>
                <w:rStyle w:val="Lienhypertexte"/>
                <w:rFonts w:ascii="Calibri" w:hAnsi="Calibri"/>
                <w:noProof/>
              </w:rPr>
              <w:t>5.2.2.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Pilotage opérationnel par sprint</w:t>
            </w:r>
            <w:r w:rsidR="00A65D8D">
              <w:rPr>
                <w:noProof/>
                <w:webHidden/>
              </w:rPr>
              <w:tab/>
            </w:r>
            <w:r w:rsidR="00A65D8D">
              <w:rPr>
                <w:noProof/>
                <w:webHidden/>
              </w:rPr>
              <w:fldChar w:fldCharType="begin"/>
            </w:r>
            <w:r w:rsidR="00A65D8D">
              <w:rPr>
                <w:noProof/>
                <w:webHidden/>
              </w:rPr>
              <w:instrText xml:space="preserve"> PAGEREF _Toc221095531 \h </w:instrText>
            </w:r>
            <w:r w:rsidR="00A65D8D">
              <w:rPr>
                <w:noProof/>
                <w:webHidden/>
              </w:rPr>
            </w:r>
            <w:r w:rsidR="00A65D8D">
              <w:rPr>
                <w:noProof/>
                <w:webHidden/>
              </w:rPr>
              <w:fldChar w:fldCharType="separate"/>
            </w:r>
            <w:r w:rsidR="00A65D8D">
              <w:rPr>
                <w:noProof/>
                <w:webHidden/>
              </w:rPr>
              <w:t>63</w:t>
            </w:r>
            <w:r w:rsidR="00A65D8D">
              <w:rPr>
                <w:noProof/>
                <w:webHidden/>
              </w:rPr>
              <w:fldChar w:fldCharType="end"/>
            </w:r>
          </w:hyperlink>
        </w:p>
        <w:p w:rsidR="00A65D8D" w:rsidRDefault="00000000" w14:paraId="767D86DE" w14:textId="644AA604">
          <w:pPr>
            <w:pStyle w:val="TM3"/>
            <w:rPr>
              <w:rFonts w:asciiTheme="minorHAnsi" w:hAnsiTheme="minorHAnsi" w:eastAsiaTheme="minorEastAsia" w:cstheme="minorBidi"/>
              <w:i w:val="0"/>
              <w:noProof/>
              <w:kern w:val="2"/>
              <w:sz w:val="24"/>
              <w:szCs w:val="24"/>
              <w14:ligatures w14:val="standardContextual"/>
            </w:rPr>
          </w:pPr>
          <w:hyperlink w:history="1" w:anchor="_Toc221095532">
            <w:r w:rsidRPr="00F42375" w:rsidR="00A65D8D">
              <w:rPr>
                <w:rStyle w:val="Lienhypertexte"/>
                <w:rFonts w:ascii="Calibri" w:hAnsi="Calibri"/>
                <w:noProof/>
              </w:rPr>
              <w:t>5.2.3.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Le pilotage, la coordination et le suivi contractuel avec les responsables d’enjeux ou responsables de pôle</w:t>
            </w:r>
            <w:r w:rsidR="00A65D8D">
              <w:rPr>
                <w:noProof/>
                <w:webHidden/>
              </w:rPr>
              <w:tab/>
            </w:r>
            <w:r w:rsidR="00A65D8D">
              <w:rPr>
                <w:noProof/>
                <w:webHidden/>
              </w:rPr>
              <w:fldChar w:fldCharType="begin"/>
            </w:r>
            <w:r w:rsidR="00A65D8D">
              <w:rPr>
                <w:noProof/>
                <w:webHidden/>
              </w:rPr>
              <w:instrText xml:space="preserve"> PAGEREF _Toc221095532 \h </w:instrText>
            </w:r>
            <w:r w:rsidR="00A65D8D">
              <w:rPr>
                <w:noProof/>
                <w:webHidden/>
              </w:rPr>
            </w:r>
            <w:r w:rsidR="00A65D8D">
              <w:rPr>
                <w:noProof/>
                <w:webHidden/>
              </w:rPr>
              <w:fldChar w:fldCharType="separate"/>
            </w:r>
            <w:r w:rsidR="00A65D8D">
              <w:rPr>
                <w:noProof/>
                <w:webHidden/>
              </w:rPr>
              <w:t>66</w:t>
            </w:r>
            <w:r w:rsidR="00A65D8D">
              <w:rPr>
                <w:noProof/>
                <w:webHidden/>
              </w:rPr>
              <w:fldChar w:fldCharType="end"/>
            </w:r>
          </w:hyperlink>
        </w:p>
        <w:p w:rsidR="00A65D8D" w:rsidRDefault="00000000" w14:paraId="48ABDF4B" w14:textId="4908C247">
          <w:pPr>
            <w:pStyle w:val="TM2"/>
            <w:rPr>
              <w:rFonts w:asciiTheme="minorHAnsi" w:hAnsiTheme="minorHAnsi" w:eastAsiaTheme="minorEastAsia" w:cstheme="minorBidi"/>
              <w:bCs w:val="0"/>
              <w:noProof/>
              <w:kern w:val="2"/>
              <w:sz w:val="24"/>
              <w:szCs w:val="24"/>
              <w14:ligatures w14:val="standardContextual"/>
            </w:rPr>
          </w:pPr>
          <w:hyperlink w:history="1" w:anchor="_Toc221095533">
            <w:r w:rsidRPr="00F42375" w:rsidR="00A65D8D">
              <w:rPr>
                <w:rStyle w:val="Lienhypertexte"/>
                <w:rFonts w:ascii="Calibri" w:hAnsi="Calibri"/>
                <w:noProof/>
              </w:rPr>
              <w:t>5.3.</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Localisation des intervenants / fournitures attendues</w:t>
            </w:r>
            <w:r w:rsidR="00A65D8D">
              <w:rPr>
                <w:noProof/>
                <w:webHidden/>
              </w:rPr>
              <w:tab/>
            </w:r>
            <w:r w:rsidR="00A65D8D">
              <w:rPr>
                <w:noProof/>
                <w:webHidden/>
              </w:rPr>
              <w:fldChar w:fldCharType="begin"/>
            </w:r>
            <w:r w:rsidR="00A65D8D">
              <w:rPr>
                <w:noProof/>
                <w:webHidden/>
              </w:rPr>
              <w:instrText xml:space="preserve"> PAGEREF _Toc221095533 \h </w:instrText>
            </w:r>
            <w:r w:rsidR="00A65D8D">
              <w:rPr>
                <w:noProof/>
                <w:webHidden/>
              </w:rPr>
            </w:r>
            <w:r w:rsidR="00A65D8D">
              <w:rPr>
                <w:noProof/>
                <w:webHidden/>
              </w:rPr>
              <w:fldChar w:fldCharType="separate"/>
            </w:r>
            <w:r w:rsidR="00A65D8D">
              <w:rPr>
                <w:noProof/>
                <w:webHidden/>
              </w:rPr>
              <w:t>67</w:t>
            </w:r>
            <w:r w:rsidR="00A65D8D">
              <w:rPr>
                <w:noProof/>
                <w:webHidden/>
              </w:rPr>
              <w:fldChar w:fldCharType="end"/>
            </w:r>
          </w:hyperlink>
        </w:p>
        <w:p w:rsidR="00A65D8D" w:rsidRDefault="00000000" w14:paraId="04A228C6" w14:textId="07CBB499">
          <w:pPr>
            <w:pStyle w:val="TM3"/>
            <w:rPr>
              <w:rFonts w:asciiTheme="minorHAnsi" w:hAnsiTheme="minorHAnsi" w:eastAsiaTheme="minorEastAsia" w:cstheme="minorBidi"/>
              <w:i w:val="0"/>
              <w:noProof/>
              <w:kern w:val="2"/>
              <w:sz w:val="24"/>
              <w:szCs w:val="24"/>
              <w14:ligatures w14:val="standardContextual"/>
            </w:rPr>
          </w:pPr>
          <w:hyperlink w:history="1" w:anchor="_Toc221095534">
            <w:r w:rsidRPr="00F42375" w:rsidR="00A65D8D">
              <w:rPr>
                <w:rStyle w:val="Lienhypertexte"/>
                <w:rFonts w:ascii="Calibri" w:hAnsi="Calibri"/>
                <w:noProof/>
              </w:rPr>
              <w:t>5.3.1.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Activités de développement, d’exploitation, d’intégration et mises en production</w:t>
            </w:r>
            <w:r w:rsidR="00A65D8D">
              <w:rPr>
                <w:noProof/>
                <w:webHidden/>
              </w:rPr>
              <w:tab/>
            </w:r>
            <w:r w:rsidR="00A65D8D">
              <w:rPr>
                <w:noProof/>
                <w:webHidden/>
              </w:rPr>
              <w:fldChar w:fldCharType="begin"/>
            </w:r>
            <w:r w:rsidR="00A65D8D">
              <w:rPr>
                <w:noProof/>
                <w:webHidden/>
              </w:rPr>
              <w:instrText xml:space="preserve"> PAGEREF _Toc221095534 \h </w:instrText>
            </w:r>
            <w:r w:rsidR="00A65D8D">
              <w:rPr>
                <w:noProof/>
                <w:webHidden/>
              </w:rPr>
            </w:r>
            <w:r w:rsidR="00A65D8D">
              <w:rPr>
                <w:noProof/>
                <w:webHidden/>
              </w:rPr>
              <w:fldChar w:fldCharType="separate"/>
            </w:r>
            <w:r w:rsidR="00A65D8D">
              <w:rPr>
                <w:noProof/>
                <w:webHidden/>
              </w:rPr>
              <w:t>67</w:t>
            </w:r>
            <w:r w:rsidR="00A65D8D">
              <w:rPr>
                <w:noProof/>
                <w:webHidden/>
              </w:rPr>
              <w:fldChar w:fldCharType="end"/>
            </w:r>
          </w:hyperlink>
        </w:p>
        <w:p w:rsidR="00A65D8D" w:rsidRDefault="00000000" w14:paraId="5C02F651" w14:textId="6A65C295">
          <w:pPr>
            <w:pStyle w:val="TM3"/>
            <w:rPr>
              <w:rFonts w:asciiTheme="minorHAnsi" w:hAnsiTheme="minorHAnsi" w:eastAsiaTheme="minorEastAsia" w:cstheme="minorBidi"/>
              <w:i w:val="0"/>
              <w:noProof/>
              <w:kern w:val="2"/>
              <w:sz w:val="24"/>
              <w:szCs w:val="24"/>
              <w14:ligatures w14:val="standardContextual"/>
            </w:rPr>
          </w:pPr>
          <w:hyperlink w:history="1" w:anchor="_Toc221095535">
            <w:r w:rsidRPr="00F42375" w:rsidR="00A65D8D">
              <w:rPr>
                <w:rStyle w:val="Lienhypertexte"/>
                <w:rFonts w:ascii="Calibri" w:hAnsi="Calibri"/>
                <w:noProof/>
              </w:rPr>
              <w:t>5.3.2.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Montée en compétences et réversibilité</w:t>
            </w:r>
            <w:r w:rsidR="00A65D8D">
              <w:rPr>
                <w:noProof/>
                <w:webHidden/>
              </w:rPr>
              <w:tab/>
            </w:r>
            <w:r w:rsidR="00A65D8D">
              <w:rPr>
                <w:noProof/>
                <w:webHidden/>
              </w:rPr>
              <w:fldChar w:fldCharType="begin"/>
            </w:r>
            <w:r w:rsidR="00A65D8D">
              <w:rPr>
                <w:noProof/>
                <w:webHidden/>
              </w:rPr>
              <w:instrText xml:space="preserve"> PAGEREF _Toc221095535 \h </w:instrText>
            </w:r>
            <w:r w:rsidR="00A65D8D">
              <w:rPr>
                <w:noProof/>
                <w:webHidden/>
              </w:rPr>
            </w:r>
            <w:r w:rsidR="00A65D8D">
              <w:rPr>
                <w:noProof/>
                <w:webHidden/>
              </w:rPr>
              <w:fldChar w:fldCharType="separate"/>
            </w:r>
            <w:r w:rsidR="00A65D8D">
              <w:rPr>
                <w:noProof/>
                <w:webHidden/>
              </w:rPr>
              <w:t>67</w:t>
            </w:r>
            <w:r w:rsidR="00A65D8D">
              <w:rPr>
                <w:noProof/>
                <w:webHidden/>
              </w:rPr>
              <w:fldChar w:fldCharType="end"/>
            </w:r>
          </w:hyperlink>
        </w:p>
        <w:p w:rsidR="00A65D8D" w:rsidRDefault="00000000" w14:paraId="78B058B7" w14:textId="5672CB3C">
          <w:pPr>
            <w:pStyle w:val="TM3"/>
            <w:rPr>
              <w:rFonts w:asciiTheme="minorHAnsi" w:hAnsiTheme="minorHAnsi" w:eastAsiaTheme="minorEastAsia" w:cstheme="minorBidi"/>
              <w:i w:val="0"/>
              <w:noProof/>
              <w:kern w:val="2"/>
              <w:sz w:val="24"/>
              <w:szCs w:val="24"/>
              <w14:ligatures w14:val="standardContextual"/>
            </w:rPr>
          </w:pPr>
          <w:hyperlink w:history="1" w:anchor="_Toc221095536">
            <w:r w:rsidRPr="00F42375" w:rsidR="00A65D8D">
              <w:rPr>
                <w:rStyle w:val="Lienhypertexte"/>
                <w:rFonts w:ascii="Calibri" w:hAnsi="Calibri"/>
                <w:noProof/>
              </w:rPr>
              <w:t>5.3.3.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Lancement de release</w:t>
            </w:r>
            <w:r w:rsidR="00A65D8D">
              <w:rPr>
                <w:noProof/>
                <w:webHidden/>
              </w:rPr>
              <w:tab/>
            </w:r>
            <w:r w:rsidR="00A65D8D">
              <w:rPr>
                <w:noProof/>
                <w:webHidden/>
              </w:rPr>
              <w:fldChar w:fldCharType="begin"/>
            </w:r>
            <w:r w:rsidR="00A65D8D">
              <w:rPr>
                <w:noProof/>
                <w:webHidden/>
              </w:rPr>
              <w:instrText xml:space="preserve"> PAGEREF _Toc221095536 \h </w:instrText>
            </w:r>
            <w:r w:rsidR="00A65D8D">
              <w:rPr>
                <w:noProof/>
                <w:webHidden/>
              </w:rPr>
            </w:r>
            <w:r w:rsidR="00A65D8D">
              <w:rPr>
                <w:noProof/>
                <w:webHidden/>
              </w:rPr>
              <w:fldChar w:fldCharType="separate"/>
            </w:r>
            <w:r w:rsidR="00A65D8D">
              <w:rPr>
                <w:noProof/>
                <w:webHidden/>
              </w:rPr>
              <w:t>68</w:t>
            </w:r>
            <w:r w:rsidR="00A65D8D">
              <w:rPr>
                <w:noProof/>
                <w:webHidden/>
              </w:rPr>
              <w:fldChar w:fldCharType="end"/>
            </w:r>
          </w:hyperlink>
        </w:p>
        <w:p w:rsidR="00A65D8D" w:rsidRDefault="00000000" w14:paraId="204855C6" w14:textId="40626404">
          <w:pPr>
            <w:pStyle w:val="TM3"/>
            <w:rPr>
              <w:rFonts w:asciiTheme="minorHAnsi" w:hAnsiTheme="minorHAnsi" w:eastAsiaTheme="minorEastAsia" w:cstheme="minorBidi"/>
              <w:i w:val="0"/>
              <w:noProof/>
              <w:kern w:val="2"/>
              <w:sz w:val="24"/>
              <w:szCs w:val="24"/>
              <w14:ligatures w14:val="standardContextual"/>
            </w:rPr>
          </w:pPr>
          <w:hyperlink w:history="1" w:anchor="_Toc221095537">
            <w:r w:rsidRPr="00F42375" w:rsidR="00A65D8D">
              <w:rPr>
                <w:rStyle w:val="Lienhypertexte"/>
                <w:rFonts w:ascii="Calibri" w:hAnsi="Calibri"/>
                <w:noProof/>
              </w:rPr>
              <w:t>5.3.4.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Séminaire DES POLES OU PROJETS DSI</w:t>
            </w:r>
            <w:r w:rsidR="00A65D8D">
              <w:rPr>
                <w:noProof/>
                <w:webHidden/>
              </w:rPr>
              <w:tab/>
            </w:r>
            <w:r w:rsidR="00A65D8D">
              <w:rPr>
                <w:noProof/>
                <w:webHidden/>
              </w:rPr>
              <w:fldChar w:fldCharType="begin"/>
            </w:r>
            <w:r w:rsidR="00A65D8D">
              <w:rPr>
                <w:noProof/>
                <w:webHidden/>
              </w:rPr>
              <w:instrText xml:space="preserve"> PAGEREF _Toc221095537 \h </w:instrText>
            </w:r>
            <w:r w:rsidR="00A65D8D">
              <w:rPr>
                <w:noProof/>
                <w:webHidden/>
              </w:rPr>
            </w:r>
            <w:r w:rsidR="00A65D8D">
              <w:rPr>
                <w:noProof/>
                <w:webHidden/>
              </w:rPr>
              <w:fldChar w:fldCharType="separate"/>
            </w:r>
            <w:r w:rsidR="00A65D8D">
              <w:rPr>
                <w:noProof/>
                <w:webHidden/>
              </w:rPr>
              <w:t>68</w:t>
            </w:r>
            <w:r w:rsidR="00A65D8D">
              <w:rPr>
                <w:noProof/>
                <w:webHidden/>
              </w:rPr>
              <w:fldChar w:fldCharType="end"/>
            </w:r>
          </w:hyperlink>
        </w:p>
        <w:p w:rsidR="00A65D8D" w:rsidRDefault="00000000" w14:paraId="120F58FC" w14:textId="0FD3A37D">
          <w:pPr>
            <w:pStyle w:val="TM3"/>
            <w:rPr>
              <w:rFonts w:asciiTheme="minorHAnsi" w:hAnsiTheme="minorHAnsi" w:eastAsiaTheme="minorEastAsia" w:cstheme="minorBidi"/>
              <w:i w:val="0"/>
              <w:noProof/>
              <w:kern w:val="2"/>
              <w:sz w:val="24"/>
              <w:szCs w:val="24"/>
              <w14:ligatures w14:val="standardContextual"/>
            </w:rPr>
          </w:pPr>
          <w:hyperlink w:history="1" w:anchor="_Toc221095538">
            <w:r w:rsidRPr="00F42375" w:rsidR="00A65D8D">
              <w:rPr>
                <w:rStyle w:val="Lienhypertexte"/>
                <w:rFonts w:ascii="Calibri" w:hAnsi="Calibri"/>
                <w:noProof/>
              </w:rPr>
              <w:t>5.3.5.</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Autres prestations</w:t>
            </w:r>
            <w:r w:rsidR="00A65D8D">
              <w:rPr>
                <w:noProof/>
                <w:webHidden/>
              </w:rPr>
              <w:tab/>
            </w:r>
            <w:r w:rsidR="00A65D8D">
              <w:rPr>
                <w:noProof/>
                <w:webHidden/>
              </w:rPr>
              <w:fldChar w:fldCharType="begin"/>
            </w:r>
            <w:r w:rsidR="00A65D8D">
              <w:rPr>
                <w:noProof/>
                <w:webHidden/>
              </w:rPr>
              <w:instrText xml:space="preserve"> PAGEREF _Toc221095538 \h </w:instrText>
            </w:r>
            <w:r w:rsidR="00A65D8D">
              <w:rPr>
                <w:noProof/>
                <w:webHidden/>
              </w:rPr>
            </w:r>
            <w:r w:rsidR="00A65D8D">
              <w:rPr>
                <w:noProof/>
                <w:webHidden/>
              </w:rPr>
              <w:fldChar w:fldCharType="separate"/>
            </w:r>
            <w:r w:rsidR="00A65D8D">
              <w:rPr>
                <w:noProof/>
                <w:webHidden/>
              </w:rPr>
              <w:t>68</w:t>
            </w:r>
            <w:r w:rsidR="00A65D8D">
              <w:rPr>
                <w:noProof/>
                <w:webHidden/>
              </w:rPr>
              <w:fldChar w:fldCharType="end"/>
            </w:r>
          </w:hyperlink>
        </w:p>
        <w:p w:rsidR="00A65D8D" w:rsidRDefault="00000000" w14:paraId="71D57D08" w14:textId="01A1D2BF">
          <w:pPr>
            <w:pStyle w:val="TM2"/>
            <w:rPr>
              <w:rFonts w:asciiTheme="minorHAnsi" w:hAnsiTheme="minorHAnsi" w:eastAsiaTheme="minorEastAsia" w:cstheme="minorBidi"/>
              <w:bCs w:val="0"/>
              <w:noProof/>
              <w:kern w:val="2"/>
              <w:sz w:val="24"/>
              <w:szCs w:val="24"/>
              <w14:ligatures w14:val="standardContextual"/>
            </w:rPr>
          </w:pPr>
          <w:hyperlink w:history="1" w:anchor="_Toc221095539">
            <w:r w:rsidRPr="00F42375" w:rsidR="00A65D8D">
              <w:rPr>
                <w:rStyle w:val="Lienhypertexte"/>
                <w:rFonts w:ascii="Calibri" w:hAnsi="Calibri"/>
                <w:noProof/>
              </w:rPr>
              <w:t>5.4.</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Communautés et autres collectifs</w:t>
            </w:r>
            <w:r w:rsidR="00A65D8D">
              <w:rPr>
                <w:noProof/>
                <w:webHidden/>
              </w:rPr>
              <w:tab/>
            </w:r>
            <w:r w:rsidR="00A65D8D">
              <w:rPr>
                <w:noProof/>
                <w:webHidden/>
              </w:rPr>
              <w:fldChar w:fldCharType="begin"/>
            </w:r>
            <w:r w:rsidR="00A65D8D">
              <w:rPr>
                <w:noProof/>
                <w:webHidden/>
              </w:rPr>
              <w:instrText xml:space="preserve"> PAGEREF _Toc221095539 \h </w:instrText>
            </w:r>
            <w:r w:rsidR="00A65D8D">
              <w:rPr>
                <w:noProof/>
                <w:webHidden/>
              </w:rPr>
            </w:r>
            <w:r w:rsidR="00A65D8D">
              <w:rPr>
                <w:noProof/>
                <w:webHidden/>
              </w:rPr>
              <w:fldChar w:fldCharType="separate"/>
            </w:r>
            <w:r w:rsidR="00A65D8D">
              <w:rPr>
                <w:noProof/>
                <w:webHidden/>
              </w:rPr>
              <w:t>68</w:t>
            </w:r>
            <w:r w:rsidR="00A65D8D">
              <w:rPr>
                <w:noProof/>
                <w:webHidden/>
              </w:rPr>
              <w:fldChar w:fldCharType="end"/>
            </w:r>
          </w:hyperlink>
        </w:p>
        <w:p w:rsidR="00A65D8D" w:rsidRDefault="00000000" w14:paraId="262A92AB" w14:textId="63CD0DD1">
          <w:pPr>
            <w:pStyle w:val="TM2"/>
            <w:rPr>
              <w:rFonts w:asciiTheme="minorHAnsi" w:hAnsiTheme="minorHAnsi" w:eastAsiaTheme="minorEastAsia" w:cstheme="minorBidi"/>
              <w:bCs w:val="0"/>
              <w:noProof/>
              <w:kern w:val="2"/>
              <w:sz w:val="24"/>
              <w:szCs w:val="24"/>
              <w14:ligatures w14:val="standardContextual"/>
            </w:rPr>
          </w:pPr>
          <w:hyperlink w:history="1" w:anchor="_Toc221095540">
            <w:r w:rsidRPr="00F42375" w:rsidR="00A65D8D">
              <w:rPr>
                <w:rStyle w:val="Lienhypertexte"/>
                <w:rFonts w:ascii="Calibri" w:hAnsi="Calibri"/>
                <w:noProof/>
              </w:rPr>
              <w:t>5.5.</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Développements en mode PaaS – SaaS</w:t>
            </w:r>
            <w:r w:rsidR="00A65D8D">
              <w:rPr>
                <w:noProof/>
                <w:webHidden/>
              </w:rPr>
              <w:tab/>
            </w:r>
            <w:r w:rsidR="00A65D8D">
              <w:rPr>
                <w:noProof/>
                <w:webHidden/>
              </w:rPr>
              <w:fldChar w:fldCharType="begin"/>
            </w:r>
            <w:r w:rsidR="00A65D8D">
              <w:rPr>
                <w:noProof/>
                <w:webHidden/>
              </w:rPr>
              <w:instrText xml:space="preserve"> PAGEREF _Toc221095540 \h </w:instrText>
            </w:r>
            <w:r w:rsidR="00A65D8D">
              <w:rPr>
                <w:noProof/>
                <w:webHidden/>
              </w:rPr>
            </w:r>
            <w:r w:rsidR="00A65D8D">
              <w:rPr>
                <w:noProof/>
                <w:webHidden/>
              </w:rPr>
              <w:fldChar w:fldCharType="separate"/>
            </w:r>
            <w:r w:rsidR="00A65D8D">
              <w:rPr>
                <w:noProof/>
                <w:webHidden/>
              </w:rPr>
              <w:t>69</w:t>
            </w:r>
            <w:r w:rsidR="00A65D8D">
              <w:rPr>
                <w:noProof/>
                <w:webHidden/>
              </w:rPr>
              <w:fldChar w:fldCharType="end"/>
            </w:r>
          </w:hyperlink>
        </w:p>
        <w:p w:rsidR="00A65D8D" w:rsidRDefault="00000000" w14:paraId="4A498037" w14:textId="1CD48647">
          <w:pPr>
            <w:pStyle w:val="TM2"/>
            <w:rPr>
              <w:rFonts w:asciiTheme="minorHAnsi" w:hAnsiTheme="minorHAnsi" w:eastAsiaTheme="minorEastAsia" w:cstheme="minorBidi"/>
              <w:bCs w:val="0"/>
              <w:noProof/>
              <w:kern w:val="2"/>
              <w:sz w:val="24"/>
              <w:szCs w:val="24"/>
              <w14:ligatures w14:val="standardContextual"/>
            </w:rPr>
          </w:pPr>
          <w:hyperlink w:history="1" w:anchor="_Toc221095541">
            <w:r w:rsidRPr="00F42375" w:rsidR="00A65D8D">
              <w:rPr>
                <w:rStyle w:val="Lienhypertexte"/>
                <w:rFonts w:ascii="Calibri" w:hAnsi="Calibri"/>
                <w:noProof/>
              </w:rPr>
              <w:t>5.6.</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Sécurité</w:t>
            </w:r>
            <w:r w:rsidR="00A65D8D">
              <w:rPr>
                <w:noProof/>
                <w:webHidden/>
              </w:rPr>
              <w:tab/>
            </w:r>
            <w:r w:rsidR="00A65D8D">
              <w:rPr>
                <w:noProof/>
                <w:webHidden/>
              </w:rPr>
              <w:fldChar w:fldCharType="begin"/>
            </w:r>
            <w:r w:rsidR="00A65D8D">
              <w:rPr>
                <w:noProof/>
                <w:webHidden/>
              </w:rPr>
              <w:instrText xml:space="preserve"> PAGEREF _Toc221095541 \h </w:instrText>
            </w:r>
            <w:r w:rsidR="00A65D8D">
              <w:rPr>
                <w:noProof/>
                <w:webHidden/>
              </w:rPr>
            </w:r>
            <w:r w:rsidR="00A65D8D">
              <w:rPr>
                <w:noProof/>
                <w:webHidden/>
              </w:rPr>
              <w:fldChar w:fldCharType="separate"/>
            </w:r>
            <w:r w:rsidR="00A65D8D">
              <w:rPr>
                <w:noProof/>
                <w:webHidden/>
              </w:rPr>
              <w:t>69</w:t>
            </w:r>
            <w:r w:rsidR="00A65D8D">
              <w:rPr>
                <w:noProof/>
                <w:webHidden/>
              </w:rPr>
              <w:fldChar w:fldCharType="end"/>
            </w:r>
          </w:hyperlink>
        </w:p>
        <w:p w:rsidR="00A65D8D" w:rsidRDefault="00000000" w14:paraId="00C88C82" w14:textId="5AF3A364">
          <w:pPr>
            <w:pStyle w:val="TM3"/>
            <w:rPr>
              <w:rFonts w:asciiTheme="minorHAnsi" w:hAnsiTheme="minorHAnsi" w:eastAsiaTheme="minorEastAsia" w:cstheme="minorBidi"/>
              <w:i w:val="0"/>
              <w:noProof/>
              <w:kern w:val="2"/>
              <w:sz w:val="24"/>
              <w:szCs w:val="24"/>
              <w14:ligatures w14:val="standardContextual"/>
            </w:rPr>
          </w:pPr>
          <w:hyperlink w:history="1" w:anchor="_Toc221095542">
            <w:r w:rsidRPr="00F42375" w:rsidR="00A65D8D">
              <w:rPr>
                <w:rStyle w:val="Lienhypertexte"/>
                <w:rFonts w:ascii="Calibri" w:hAnsi="Calibri"/>
                <w:noProof/>
              </w:rPr>
              <w:t>5.6.1.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Identification et authentification</w:t>
            </w:r>
            <w:r w:rsidR="00A65D8D">
              <w:rPr>
                <w:noProof/>
                <w:webHidden/>
              </w:rPr>
              <w:tab/>
            </w:r>
            <w:r w:rsidR="00A65D8D">
              <w:rPr>
                <w:noProof/>
                <w:webHidden/>
              </w:rPr>
              <w:fldChar w:fldCharType="begin"/>
            </w:r>
            <w:r w:rsidR="00A65D8D">
              <w:rPr>
                <w:noProof/>
                <w:webHidden/>
              </w:rPr>
              <w:instrText xml:space="preserve"> PAGEREF _Toc221095542 \h </w:instrText>
            </w:r>
            <w:r w:rsidR="00A65D8D">
              <w:rPr>
                <w:noProof/>
                <w:webHidden/>
              </w:rPr>
            </w:r>
            <w:r w:rsidR="00A65D8D">
              <w:rPr>
                <w:noProof/>
                <w:webHidden/>
              </w:rPr>
              <w:fldChar w:fldCharType="separate"/>
            </w:r>
            <w:r w:rsidR="00A65D8D">
              <w:rPr>
                <w:noProof/>
                <w:webHidden/>
              </w:rPr>
              <w:t>69</w:t>
            </w:r>
            <w:r w:rsidR="00A65D8D">
              <w:rPr>
                <w:noProof/>
                <w:webHidden/>
              </w:rPr>
              <w:fldChar w:fldCharType="end"/>
            </w:r>
          </w:hyperlink>
        </w:p>
        <w:p w:rsidR="00A65D8D" w:rsidRDefault="00000000" w14:paraId="28C3187E" w14:textId="0EB0C334">
          <w:pPr>
            <w:pStyle w:val="TM3"/>
            <w:rPr>
              <w:rFonts w:asciiTheme="minorHAnsi" w:hAnsiTheme="minorHAnsi" w:eastAsiaTheme="minorEastAsia" w:cstheme="minorBidi"/>
              <w:i w:val="0"/>
              <w:noProof/>
              <w:kern w:val="2"/>
              <w:sz w:val="24"/>
              <w:szCs w:val="24"/>
              <w14:ligatures w14:val="standardContextual"/>
            </w:rPr>
          </w:pPr>
          <w:hyperlink w:history="1" w:anchor="_Toc221095543">
            <w:r w:rsidRPr="00F42375" w:rsidR="00A65D8D">
              <w:rPr>
                <w:rStyle w:val="Lienhypertexte"/>
                <w:rFonts w:ascii="Calibri" w:hAnsi="Calibri"/>
                <w:noProof/>
              </w:rPr>
              <w:t>5.6.2.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Sécurité dans le développement d’applications</w:t>
            </w:r>
            <w:r w:rsidR="00A65D8D">
              <w:rPr>
                <w:noProof/>
                <w:webHidden/>
              </w:rPr>
              <w:tab/>
            </w:r>
            <w:r w:rsidR="00A65D8D">
              <w:rPr>
                <w:noProof/>
                <w:webHidden/>
              </w:rPr>
              <w:fldChar w:fldCharType="begin"/>
            </w:r>
            <w:r w:rsidR="00A65D8D">
              <w:rPr>
                <w:noProof/>
                <w:webHidden/>
              </w:rPr>
              <w:instrText xml:space="preserve"> PAGEREF _Toc221095543 \h </w:instrText>
            </w:r>
            <w:r w:rsidR="00A65D8D">
              <w:rPr>
                <w:noProof/>
                <w:webHidden/>
              </w:rPr>
            </w:r>
            <w:r w:rsidR="00A65D8D">
              <w:rPr>
                <w:noProof/>
                <w:webHidden/>
              </w:rPr>
              <w:fldChar w:fldCharType="separate"/>
            </w:r>
            <w:r w:rsidR="00A65D8D">
              <w:rPr>
                <w:noProof/>
                <w:webHidden/>
              </w:rPr>
              <w:t>69</w:t>
            </w:r>
            <w:r w:rsidR="00A65D8D">
              <w:rPr>
                <w:noProof/>
                <w:webHidden/>
              </w:rPr>
              <w:fldChar w:fldCharType="end"/>
            </w:r>
          </w:hyperlink>
        </w:p>
        <w:p w:rsidR="00A65D8D" w:rsidRDefault="00000000" w14:paraId="5F8F5544" w14:textId="124DE958">
          <w:pPr>
            <w:pStyle w:val="TM2"/>
            <w:rPr>
              <w:rFonts w:asciiTheme="minorHAnsi" w:hAnsiTheme="minorHAnsi" w:eastAsiaTheme="minorEastAsia" w:cstheme="minorBidi"/>
              <w:bCs w:val="0"/>
              <w:noProof/>
              <w:kern w:val="2"/>
              <w:sz w:val="24"/>
              <w:szCs w:val="24"/>
              <w14:ligatures w14:val="standardContextual"/>
            </w:rPr>
          </w:pPr>
          <w:hyperlink w:history="1" w:anchor="_Toc221095544">
            <w:r w:rsidRPr="00F42375" w:rsidR="00A65D8D">
              <w:rPr>
                <w:rStyle w:val="Lienhypertexte"/>
                <w:rFonts w:ascii="Calibri" w:hAnsi="Calibri"/>
                <w:noProof/>
              </w:rPr>
              <w:t>5.7.</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Hébergement</w:t>
            </w:r>
            <w:r w:rsidR="00A65D8D">
              <w:rPr>
                <w:noProof/>
                <w:webHidden/>
              </w:rPr>
              <w:tab/>
            </w:r>
            <w:r w:rsidR="00A65D8D">
              <w:rPr>
                <w:noProof/>
                <w:webHidden/>
              </w:rPr>
              <w:fldChar w:fldCharType="begin"/>
            </w:r>
            <w:r w:rsidR="00A65D8D">
              <w:rPr>
                <w:noProof/>
                <w:webHidden/>
              </w:rPr>
              <w:instrText xml:space="preserve"> PAGEREF _Toc221095544 \h </w:instrText>
            </w:r>
            <w:r w:rsidR="00A65D8D">
              <w:rPr>
                <w:noProof/>
                <w:webHidden/>
              </w:rPr>
            </w:r>
            <w:r w:rsidR="00A65D8D">
              <w:rPr>
                <w:noProof/>
                <w:webHidden/>
              </w:rPr>
              <w:fldChar w:fldCharType="separate"/>
            </w:r>
            <w:r w:rsidR="00A65D8D">
              <w:rPr>
                <w:noProof/>
                <w:webHidden/>
              </w:rPr>
              <w:t>70</w:t>
            </w:r>
            <w:r w:rsidR="00A65D8D">
              <w:rPr>
                <w:noProof/>
                <w:webHidden/>
              </w:rPr>
              <w:fldChar w:fldCharType="end"/>
            </w:r>
          </w:hyperlink>
        </w:p>
        <w:p w:rsidR="00A65D8D" w:rsidRDefault="00000000" w14:paraId="18C6FF97" w14:textId="3505A1A1">
          <w:pPr>
            <w:pStyle w:val="TM2"/>
            <w:rPr>
              <w:rFonts w:asciiTheme="minorHAnsi" w:hAnsiTheme="minorHAnsi" w:eastAsiaTheme="minorEastAsia" w:cstheme="minorBidi"/>
              <w:bCs w:val="0"/>
              <w:noProof/>
              <w:kern w:val="2"/>
              <w:sz w:val="24"/>
              <w:szCs w:val="24"/>
              <w14:ligatures w14:val="standardContextual"/>
            </w:rPr>
          </w:pPr>
          <w:hyperlink w:history="1" w:anchor="_Toc221095545">
            <w:r w:rsidRPr="00F42375" w:rsidR="00A65D8D">
              <w:rPr>
                <w:rStyle w:val="Lienhypertexte"/>
                <w:rFonts w:ascii="Calibri" w:hAnsi="Calibri"/>
                <w:noProof/>
              </w:rPr>
              <w:t>5.8.</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Exigences non fonctionnelles (ENF)</w:t>
            </w:r>
            <w:r w:rsidR="00A65D8D">
              <w:rPr>
                <w:noProof/>
                <w:webHidden/>
              </w:rPr>
              <w:tab/>
            </w:r>
            <w:r w:rsidR="00A65D8D">
              <w:rPr>
                <w:noProof/>
                <w:webHidden/>
              </w:rPr>
              <w:fldChar w:fldCharType="begin"/>
            </w:r>
            <w:r w:rsidR="00A65D8D">
              <w:rPr>
                <w:noProof/>
                <w:webHidden/>
              </w:rPr>
              <w:instrText xml:space="preserve"> PAGEREF _Toc221095545 \h </w:instrText>
            </w:r>
            <w:r w:rsidR="00A65D8D">
              <w:rPr>
                <w:noProof/>
                <w:webHidden/>
              </w:rPr>
            </w:r>
            <w:r w:rsidR="00A65D8D">
              <w:rPr>
                <w:noProof/>
                <w:webHidden/>
              </w:rPr>
              <w:fldChar w:fldCharType="separate"/>
            </w:r>
            <w:r w:rsidR="00A65D8D">
              <w:rPr>
                <w:noProof/>
                <w:webHidden/>
              </w:rPr>
              <w:t>70</w:t>
            </w:r>
            <w:r w:rsidR="00A65D8D">
              <w:rPr>
                <w:noProof/>
                <w:webHidden/>
              </w:rPr>
              <w:fldChar w:fldCharType="end"/>
            </w:r>
          </w:hyperlink>
        </w:p>
        <w:p w:rsidR="00A65D8D" w:rsidRDefault="00000000" w14:paraId="2547F29D" w14:textId="05D1BAF1">
          <w:pPr>
            <w:pStyle w:val="TM2"/>
            <w:rPr>
              <w:rFonts w:asciiTheme="minorHAnsi" w:hAnsiTheme="minorHAnsi" w:eastAsiaTheme="minorEastAsia" w:cstheme="minorBidi"/>
              <w:bCs w:val="0"/>
              <w:noProof/>
              <w:kern w:val="2"/>
              <w:sz w:val="24"/>
              <w:szCs w:val="24"/>
              <w14:ligatures w14:val="standardContextual"/>
            </w:rPr>
          </w:pPr>
          <w:hyperlink w:history="1" w:anchor="_Toc221095546">
            <w:r w:rsidRPr="00F42375" w:rsidR="00A65D8D">
              <w:rPr>
                <w:rStyle w:val="Lienhypertexte"/>
                <w:rFonts w:ascii="Calibri" w:hAnsi="Calibri"/>
                <w:noProof/>
              </w:rPr>
              <w:t>5.9.</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Plan de qualité de service (PQS)</w:t>
            </w:r>
            <w:r w:rsidR="00A65D8D">
              <w:rPr>
                <w:noProof/>
                <w:webHidden/>
              </w:rPr>
              <w:tab/>
            </w:r>
            <w:r w:rsidR="00A65D8D">
              <w:rPr>
                <w:noProof/>
                <w:webHidden/>
              </w:rPr>
              <w:fldChar w:fldCharType="begin"/>
            </w:r>
            <w:r w:rsidR="00A65D8D">
              <w:rPr>
                <w:noProof/>
                <w:webHidden/>
              </w:rPr>
              <w:instrText xml:space="preserve"> PAGEREF _Toc221095546 \h </w:instrText>
            </w:r>
            <w:r w:rsidR="00A65D8D">
              <w:rPr>
                <w:noProof/>
                <w:webHidden/>
              </w:rPr>
            </w:r>
            <w:r w:rsidR="00A65D8D">
              <w:rPr>
                <w:noProof/>
                <w:webHidden/>
              </w:rPr>
              <w:fldChar w:fldCharType="separate"/>
            </w:r>
            <w:r w:rsidR="00A65D8D">
              <w:rPr>
                <w:noProof/>
                <w:webHidden/>
              </w:rPr>
              <w:t>70</w:t>
            </w:r>
            <w:r w:rsidR="00A65D8D">
              <w:rPr>
                <w:noProof/>
                <w:webHidden/>
              </w:rPr>
              <w:fldChar w:fldCharType="end"/>
            </w:r>
          </w:hyperlink>
        </w:p>
        <w:p w:rsidR="00A65D8D" w:rsidRDefault="00000000" w14:paraId="543331B3" w14:textId="2EAFD8F3">
          <w:pPr>
            <w:pStyle w:val="TM3"/>
            <w:rPr>
              <w:rFonts w:asciiTheme="minorHAnsi" w:hAnsiTheme="minorHAnsi" w:eastAsiaTheme="minorEastAsia" w:cstheme="minorBidi"/>
              <w:i w:val="0"/>
              <w:noProof/>
              <w:kern w:val="2"/>
              <w:sz w:val="24"/>
              <w:szCs w:val="24"/>
              <w14:ligatures w14:val="standardContextual"/>
            </w:rPr>
          </w:pPr>
          <w:hyperlink w:history="1" w:anchor="_Toc221095547">
            <w:r w:rsidRPr="00F42375" w:rsidR="00A65D8D">
              <w:rPr>
                <w:rStyle w:val="Lienhypertexte"/>
                <w:rFonts w:ascii="Calibri" w:hAnsi="Calibri"/>
                <w:noProof/>
              </w:rPr>
              <w:t>5.9.1.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Notion de Ready</w:t>
            </w:r>
            <w:r w:rsidR="00A65D8D">
              <w:rPr>
                <w:noProof/>
                <w:webHidden/>
              </w:rPr>
              <w:tab/>
            </w:r>
            <w:r w:rsidR="00A65D8D">
              <w:rPr>
                <w:noProof/>
                <w:webHidden/>
              </w:rPr>
              <w:fldChar w:fldCharType="begin"/>
            </w:r>
            <w:r w:rsidR="00A65D8D">
              <w:rPr>
                <w:noProof/>
                <w:webHidden/>
              </w:rPr>
              <w:instrText xml:space="preserve"> PAGEREF _Toc221095547 \h </w:instrText>
            </w:r>
            <w:r w:rsidR="00A65D8D">
              <w:rPr>
                <w:noProof/>
                <w:webHidden/>
              </w:rPr>
            </w:r>
            <w:r w:rsidR="00A65D8D">
              <w:rPr>
                <w:noProof/>
                <w:webHidden/>
              </w:rPr>
              <w:fldChar w:fldCharType="separate"/>
            </w:r>
            <w:r w:rsidR="00A65D8D">
              <w:rPr>
                <w:noProof/>
                <w:webHidden/>
              </w:rPr>
              <w:t>70</w:t>
            </w:r>
            <w:r w:rsidR="00A65D8D">
              <w:rPr>
                <w:noProof/>
                <w:webHidden/>
              </w:rPr>
              <w:fldChar w:fldCharType="end"/>
            </w:r>
          </w:hyperlink>
        </w:p>
        <w:p w:rsidR="00A65D8D" w:rsidRDefault="00000000" w14:paraId="4B067080" w14:textId="049D2C46">
          <w:pPr>
            <w:pStyle w:val="TM3"/>
            <w:rPr>
              <w:rFonts w:asciiTheme="minorHAnsi" w:hAnsiTheme="minorHAnsi" w:eastAsiaTheme="minorEastAsia" w:cstheme="minorBidi"/>
              <w:i w:val="0"/>
              <w:noProof/>
              <w:kern w:val="2"/>
              <w:sz w:val="24"/>
              <w:szCs w:val="24"/>
              <w14:ligatures w14:val="standardContextual"/>
            </w:rPr>
          </w:pPr>
          <w:hyperlink w:history="1" w:anchor="_Toc221095548">
            <w:r w:rsidRPr="00F42375" w:rsidR="00A65D8D">
              <w:rPr>
                <w:rStyle w:val="Lienhypertexte"/>
                <w:rFonts w:ascii="Calibri" w:hAnsi="Calibri"/>
                <w:noProof/>
              </w:rPr>
              <w:t>5.9.2.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Notion de Done</w:t>
            </w:r>
            <w:r w:rsidR="00A65D8D">
              <w:rPr>
                <w:noProof/>
                <w:webHidden/>
              </w:rPr>
              <w:tab/>
            </w:r>
            <w:r w:rsidR="00A65D8D">
              <w:rPr>
                <w:noProof/>
                <w:webHidden/>
              </w:rPr>
              <w:fldChar w:fldCharType="begin"/>
            </w:r>
            <w:r w:rsidR="00A65D8D">
              <w:rPr>
                <w:noProof/>
                <w:webHidden/>
              </w:rPr>
              <w:instrText xml:space="preserve"> PAGEREF _Toc221095548 \h </w:instrText>
            </w:r>
            <w:r w:rsidR="00A65D8D">
              <w:rPr>
                <w:noProof/>
                <w:webHidden/>
              </w:rPr>
            </w:r>
            <w:r w:rsidR="00A65D8D">
              <w:rPr>
                <w:noProof/>
                <w:webHidden/>
              </w:rPr>
              <w:fldChar w:fldCharType="separate"/>
            </w:r>
            <w:r w:rsidR="00A65D8D">
              <w:rPr>
                <w:noProof/>
                <w:webHidden/>
              </w:rPr>
              <w:t>70</w:t>
            </w:r>
            <w:r w:rsidR="00A65D8D">
              <w:rPr>
                <w:noProof/>
                <w:webHidden/>
              </w:rPr>
              <w:fldChar w:fldCharType="end"/>
            </w:r>
          </w:hyperlink>
        </w:p>
        <w:p w:rsidR="00A65D8D" w:rsidRDefault="00000000" w14:paraId="5116BB7C" w14:textId="43610917">
          <w:pPr>
            <w:pStyle w:val="TM3"/>
            <w:rPr>
              <w:rFonts w:asciiTheme="minorHAnsi" w:hAnsiTheme="minorHAnsi" w:eastAsiaTheme="minorEastAsia" w:cstheme="minorBidi"/>
              <w:i w:val="0"/>
              <w:noProof/>
              <w:kern w:val="2"/>
              <w:sz w:val="24"/>
              <w:szCs w:val="24"/>
              <w14:ligatures w14:val="standardContextual"/>
            </w:rPr>
          </w:pPr>
          <w:hyperlink w:history="1" w:anchor="_Toc221095549">
            <w:r w:rsidRPr="00F42375" w:rsidR="00A65D8D">
              <w:rPr>
                <w:rStyle w:val="Lienhypertexte"/>
                <w:rFonts w:ascii="Calibri" w:hAnsi="Calibri"/>
                <w:noProof/>
              </w:rPr>
              <w:t>5.9.3.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Indicateurs de sprint</w:t>
            </w:r>
            <w:r w:rsidR="00A65D8D">
              <w:rPr>
                <w:noProof/>
                <w:webHidden/>
              </w:rPr>
              <w:tab/>
            </w:r>
            <w:r w:rsidR="00A65D8D">
              <w:rPr>
                <w:noProof/>
                <w:webHidden/>
              </w:rPr>
              <w:fldChar w:fldCharType="begin"/>
            </w:r>
            <w:r w:rsidR="00A65D8D">
              <w:rPr>
                <w:noProof/>
                <w:webHidden/>
              </w:rPr>
              <w:instrText xml:space="preserve"> PAGEREF _Toc221095549 \h </w:instrText>
            </w:r>
            <w:r w:rsidR="00A65D8D">
              <w:rPr>
                <w:noProof/>
                <w:webHidden/>
              </w:rPr>
            </w:r>
            <w:r w:rsidR="00A65D8D">
              <w:rPr>
                <w:noProof/>
                <w:webHidden/>
              </w:rPr>
              <w:fldChar w:fldCharType="separate"/>
            </w:r>
            <w:r w:rsidR="00A65D8D">
              <w:rPr>
                <w:noProof/>
                <w:webHidden/>
              </w:rPr>
              <w:t>72</w:t>
            </w:r>
            <w:r w:rsidR="00A65D8D">
              <w:rPr>
                <w:noProof/>
                <w:webHidden/>
              </w:rPr>
              <w:fldChar w:fldCharType="end"/>
            </w:r>
          </w:hyperlink>
        </w:p>
        <w:p w:rsidR="00A65D8D" w:rsidRDefault="00000000" w14:paraId="70236DD8" w14:textId="1DC7DC78">
          <w:pPr>
            <w:pStyle w:val="TM3"/>
            <w:rPr>
              <w:rFonts w:asciiTheme="minorHAnsi" w:hAnsiTheme="minorHAnsi" w:eastAsiaTheme="minorEastAsia" w:cstheme="minorBidi"/>
              <w:i w:val="0"/>
              <w:noProof/>
              <w:kern w:val="2"/>
              <w:sz w:val="24"/>
              <w:szCs w:val="24"/>
              <w14:ligatures w14:val="standardContextual"/>
            </w:rPr>
          </w:pPr>
          <w:hyperlink w:history="1" w:anchor="_Toc221095550">
            <w:r w:rsidRPr="00F42375" w:rsidR="00A65D8D">
              <w:rPr>
                <w:rStyle w:val="Lienhypertexte"/>
                <w:rFonts w:ascii="Calibri" w:hAnsi="Calibri"/>
                <w:noProof/>
              </w:rPr>
              <w:t>5.9.4.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Indicateurs de pilotage</w:t>
            </w:r>
            <w:r w:rsidR="00A65D8D">
              <w:rPr>
                <w:noProof/>
                <w:webHidden/>
              </w:rPr>
              <w:tab/>
            </w:r>
            <w:r w:rsidR="00A65D8D">
              <w:rPr>
                <w:noProof/>
                <w:webHidden/>
              </w:rPr>
              <w:fldChar w:fldCharType="begin"/>
            </w:r>
            <w:r w:rsidR="00A65D8D">
              <w:rPr>
                <w:noProof/>
                <w:webHidden/>
              </w:rPr>
              <w:instrText xml:space="preserve"> PAGEREF _Toc221095550 \h </w:instrText>
            </w:r>
            <w:r w:rsidR="00A65D8D">
              <w:rPr>
                <w:noProof/>
                <w:webHidden/>
              </w:rPr>
            </w:r>
            <w:r w:rsidR="00A65D8D">
              <w:rPr>
                <w:noProof/>
                <w:webHidden/>
              </w:rPr>
              <w:fldChar w:fldCharType="separate"/>
            </w:r>
            <w:r w:rsidR="00A65D8D">
              <w:rPr>
                <w:noProof/>
                <w:webHidden/>
              </w:rPr>
              <w:t>72</w:t>
            </w:r>
            <w:r w:rsidR="00A65D8D">
              <w:rPr>
                <w:noProof/>
                <w:webHidden/>
              </w:rPr>
              <w:fldChar w:fldCharType="end"/>
            </w:r>
          </w:hyperlink>
        </w:p>
        <w:p w:rsidR="00A65D8D" w:rsidRDefault="00000000" w14:paraId="1A39E398" w14:textId="5A547D22">
          <w:pPr>
            <w:pStyle w:val="TM1"/>
            <w:rPr>
              <w:rFonts w:asciiTheme="minorHAnsi" w:hAnsiTheme="minorHAnsi" w:eastAsiaTheme="minorEastAsia" w:cstheme="minorBidi"/>
              <w:b w:val="0"/>
              <w:bCs w:val="0"/>
              <w:i w:val="0"/>
              <w:iCs w:val="0"/>
              <w:noProof/>
              <w:kern w:val="2"/>
              <w14:ligatures w14:val="standardContextual"/>
            </w:rPr>
          </w:pPr>
          <w:hyperlink w:history="1" w:anchor="_Toc221095551">
            <w:r w:rsidRPr="00F42375" w:rsidR="00A65D8D">
              <w:rPr>
                <w:rStyle w:val="Lienhypertexte"/>
                <w:noProof/>
              </w:rPr>
              <w:t>6.</w:t>
            </w:r>
            <w:r w:rsidR="00A65D8D">
              <w:rPr>
                <w:rFonts w:asciiTheme="minorHAnsi" w:hAnsiTheme="minorHAnsi" w:eastAsiaTheme="minorEastAsia" w:cstheme="minorBidi"/>
                <w:b w:val="0"/>
                <w:bCs w:val="0"/>
                <w:i w:val="0"/>
                <w:iCs w:val="0"/>
                <w:noProof/>
                <w:kern w:val="2"/>
                <w14:ligatures w14:val="standardContextual"/>
              </w:rPr>
              <w:tab/>
            </w:r>
            <w:r w:rsidRPr="00F42375" w:rsidR="00A65D8D">
              <w:rPr>
                <w:rStyle w:val="Lienhypertexte"/>
                <w:noProof/>
              </w:rPr>
              <w:t>Description des prestations / services</w:t>
            </w:r>
            <w:r w:rsidR="00A65D8D">
              <w:rPr>
                <w:noProof/>
                <w:webHidden/>
              </w:rPr>
              <w:tab/>
            </w:r>
            <w:r w:rsidR="00A65D8D">
              <w:rPr>
                <w:noProof/>
                <w:webHidden/>
              </w:rPr>
              <w:fldChar w:fldCharType="begin"/>
            </w:r>
            <w:r w:rsidR="00A65D8D">
              <w:rPr>
                <w:noProof/>
                <w:webHidden/>
              </w:rPr>
              <w:instrText xml:space="preserve"> PAGEREF _Toc221095551 \h </w:instrText>
            </w:r>
            <w:r w:rsidR="00A65D8D">
              <w:rPr>
                <w:noProof/>
                <w:webHidden/>
              </w:rPr>
            </w:r>
            <w:r w:rsidR="00A65D8D">
              <w:rPr>
                <w:noProof/>
                <w:webHidden/>
              </w:rPr>
              <w:fldChar w:fldCharType="separate"/>
            </w:r>
            <w:r w:rsidR="00A65D8D">
              <w:rPr>
                <w:noProof/>
                <w:webHidden/>
              </w:rPr>
              <w:t>74</w:t>
            </w:r>
            <w:r w:rsidR="00A65D8D">
              <w:rPr>
                <w:noProof/>
                <w:webHidden/>
              </w:rPr>
              <w:fldChar w:fldCharType="end"/>
            </w:r>
          </w:hyperlink>
        </w:p>
        <w:p w:rsidR="00A65D8D" w:rsidRDefault="00000000" w14:paraId="39DCF5E4" w14:textId="13649000">
          <w:pPr>
            <w:pStyle w:val="TM2"/>
            <w:rPr>
              <w:rFonts w:asciiTheme="minorHAnsi" w:hAnsiTheme="minorHAnsi" w:eastAsiaTheme="minorEastAsia" w:cstheme="minorBidi"/>
              <w:bCs w:val="0"/>
              <w:noProof/>
              <w:kern w:val="2"/>
              <w:sz w:val="24"/>
              <w:szCs w:val="24"/>
              <w14:ligatures w14:val="standardContextual"/>
            </w:rPr>
          </w:pPr>
          <w:hyperlink w:history="1" w:anchor="_Toc221095552">
            <w:r w:rsidRPr="00F42375" w:rsidR="00A65D8D">
              <w:rPr>
                <w:rStyle w:val="Lienhypertexte"/>
                <w:rFonts w:ascii="Calibri" w:hAnsi="Calibri"/>
                <w:noProof/>
              </w:rPr>
              <w:t>6.1.</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Description générale des prestations</w:t>
            </w:r>
            <w:r w:rsidR="00A65D8D">
              <w:rPr>
                <w:noProof/>
                <w:webHidden/>
              </w:rPr>
              <w:tab/>
            </w:r>
            <w:r w:rsidR="00A65D8D">
              <w:rPr>
                <w:noProof/>
                <w:webHidden/>
              </w:rPr>
              <w:fldChar w:fldCharType="begin"/>
            </w:r>
            <w:r w:rsidR="00A65D8D">
              <w:rPr>
                <w:noProof/>
                <w:webHidden/>
              </w:rPr>
              <w:instrText xml:space="preserve"> PAGEREF _Toc221095552 \h </w:instrText>
            </w:r>
            <w:r w:rsidR="00A65D8D">
              <w:rPr>
                <w:noProof/>
                <w:webHidden/>
              </w:rPr>
            </w:r>
            <w:r w:rsidR="00A65D8D">
              <w:rPr>
                <w:noProof/>
                <w:webHidden/>
              </w:rPr>
              <w:fldChar w:fldCharType="separate"/>
            </w:r>
            <w:r w:rsidR="00A65D8D">
              <w:rPr>
                <w:noProof/>
                <w:webHidden/>
              </w:rPr>
              <w:t>74</w:t>
            </w:r>
            <w:r w:rsidR="00A65D8D">
              <w:rPr>
                <w:noProof/>
                <w:webHidden/>
              </w:rPr>
              <w:fldChar w:fldCharType="end"/>
            </w:r>
          </w:hyperlink>
        </w:p>
        <w:p w:rsidR="00A65D8D" w:rsidRDefault="00000000" w14:paraId="6CD20417" w14:textId="25545AC8">
          <w:pPr>
            <w:pStyle w:val="TM3"/>
            <w:rPr>
              <w:rFonts w:asciiTheme="minorHAnsi" w:hAnsiTheme="minorHAnsi" w:eastAsiaTheme="minorEastAsia" w:cstheme="minorBidi"/>
              <w:i w:val="0"/>
              <w:noProof/>
              <w:kern w:val="2"/>
              <w:sz w:val="24"/>
              <w:szCs w:val="24"/>
              <w14:ligatures w14:val="standardContextual"/>
            </w:rPr>
          </w:pPr>
          <w:hyperlink w:history="1" w:anchor="_Toc221095553">
            <w:r w:rsidRPr="00F42375" w:rsidR="00A65D8D">
              <w:rPr>
                <w:rStyle w:val="Lienhypertexte"/>
                <w:rFonts w:ascii="Calibri" w:hAnsi="Calibri"/>
                <w:noProof/>
              </w:rPr>
              <w:t>6.1.1.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Les Unités d’Œuvre</w:t>
            </w:r>
            <w:r w:rsidR="00A65D8D">
              <w:rPr>
                <w:noProof/>
                <w:webHidden/>
              </w:rPr>
              <w:tab/>
            </w:r>
            <w:r w:rsidR="00A65D8D">
              <w:rPr>
                <w:noProof/>
                <w:webHidden/>
              </w:rPr>
              <w:fldChar w:fldCharType="begin"/>
            </w:r>
            <w:r w:rsidR="00A65D8D">
              <w:rPr>
                <w:noProof/>
                <w:webHidden/>
              </w:rPr>
              <w:instrText xml:space="preserve"> PAGEREF _Toc221095553 \h </w:instrText>
            </w:r>
            <w:r w:rsidR="00A65D8D">
              <w:rPr>
                <w:noProof/>
                <w:webHidden/>
              </w:rPr>
            </w:r>
            <w:r w:rsidR="00A65D8D">
              <w:rPr>
                <w:noProof/>
                <w:webHidden/>
              </w:rPr>
              <w:fldChar w:fldCharType="separate"/>
            </w:r>
            <w:r w:rsidR="00A65D8D">
              <w:rPr>
                <w:noProof/>
                <w:webHidden/>
              </w:rPr>
              <w:t>74</w:t>
            </w:r>
            <w:r w:rsidR="00A65D8D">
              <w:rPr>
                <w:noProof/>
                <w:webHidden/>
              </w:rPr>
              <w:fldChar w:fldCharType="end"/>
            </w:r>
          </w:hyperlink>
        </w:p>
        <w:p w:rsidR="00A65D8D" w:rsidRDefault="00000000" w14:paraId="4FF3E582" w14:textId="20F5B015">
          <w:pPr>
            <w:pStyle w:val="TM3"/>
            <w:rPr>
              <w:rFonts w:asciiTheme="minorHAnsi" w:hAnsiTheme="minorHAnsi" w:eastAsiaTheme="minorEastAsia" w:cstheme="minorBidi"/>
              <w:i w:val="0"/>
              <w:noProof/>
              <w:kern w:val="2"/>
              <w:sz w:val="24"/>
              <w:szCs w:val="24"/>
              <w14:ligatures w14:val="standardContextual"/>
            </w:rPr>
          </w:pPr>
          <w:hyperlink w:history="1" w:anchor="_Toc221095554">
            <w:r w:rsidRPr="00F42375" w:rsidR="00A65D8D">
              <w:rPr>
                <w:rStyle w:val="Lienhypertexte"/>
                <w:rFonts w:ascii="Calibri" w:hAnsi="Calibri"/>
                <w:noProof/>
              </w:rPr>
              <w:t>6.1.2.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Éléments communs  des prestations</w:t>
            </w:r>
            <w:r w:rsidR="00A65D8D">
              <w:rPr>
                <w:noProof/>
                <w:webHidden/>
              </w:rPr>
              <w:tab/>
            </w:r>
            <w:r w:rsidR="00A65D8D">
              <w:rPr>
                <w:noProof/>
                <w:webHidden/>
              </w:rPr>
              <w:fldChar w:fldCharType="begin"/>
            </w:r>
            <w:r w:rsidR="00A65D8D">
              <w:rPr>
                <w:noProof/>
                <w:webHidden/>
              </w:rPr>
              <w:instrText xml:space="preserve"> PAGEREF _Toc221095554 \h </w:instrText>
            </w:r>
            <w:r w:rsidR="00A65D8D">
              <w:rPr>
                <w:noProof/>
                <w:webHidden/>
              </w:rPr>
            </w:r>
            <w:r w:rsidR="00A65D8D">
              <w:rPr>
                <w:noProof/>
                <w:webHidden/>
              </w:rPr>
              <w:fldChar w:fldCharType="separate"/>
            </w:r>
            <w:r w:rsidR="00A65D8D">
              <w:rPr>
                <w:noProof/>
                <w:webHidden/>
              </w:rPr>
              <w:t>76</w:t>
            </w:r>
            <w:r w:rsidR="00A65D8D">
              <w:rPr>
                <w:noProof/>
                <w:webHidden/>
              </w:rPr>
              <w:fldChar w:fldCharType="end"/>
            </w:r>
          </w:hyperlink>
        </w:p>
        <w:p w:rsidR="00A65D8D" w:rsidRDefault="00000000" w14:paraId="5AB88F81" w14:textId="5ECA5789">
          <w:pPr>
            <w:pStyle w:val="TM3"/>
            <w:rPr>
              <w:rFonts w:asciiTheme="minorHAnsi" w:hAnsiTheme="minorHAnsi" w:eastAsiaTheme="minorEastAsia" w:cstheme="minorBidi"/>
              <w:i w:val="0"/>
              <w:noProof/>
              <w:kern w:val="2"/>
              <w:sz w:val="24"/>
              <w:szCs w:val="24"/>
              <w14:ligatures w14:val="standardContextual"/>
            </w:rPr>
          </w:pPr>
          <w:hyperlink w:history="1" w:anchor="_Toc221095555">
            <w:r w:rsidRPr="00F42375" w:rsidR="00A65D8D">
              <w:rPr>
                <w:rStyle w:val="Lienhypertexte"/>
                <w:rFonts w:ascii="Calibri" w:hAnsi="Calibri"/>
                <w:noProof/>
              </w:rPr>
              <w:t>6.1.2.1.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Explicitation de certains libellés</w:t>
            </w:r>
            <w:r w:rsidR="00A65D8D">
              <w:rPr>
                <w:noProof/>
                <w:webHidden/>
              </w:rPr>
              <w:tab/>
            </w:r>
            <w:r w:rsidR="00A65D8D">
              <w:rPr>
                <w:noProof/>
                <w:webHidden/>
              </w:rPr>
              <w:fldChar w:fldCharType="begin"/>
            </w:r>
            <w:r w:rsidR="00A65D8D">
              <w:rPr>
                <w:noProof/>
                <w:webHidden/>
              </w:rPr>
              <w:instrText xml:space="preserve"> PAGEREF _Toc221095555 \h </w:instrText>
            </w:r>
            <w:r w:rsidR="00A65D8D">
              <w:rPr>
                <w:noProof/>
                <w:webHidden/>
              </w:rPr>
            </w:r>
            <w:r w:rsidR="00A65D8D">
              <w:rPr>
                <w:noProof/>
                <w:webHidden/>
              </w:rPr>
              <w:fldChar w:fldCharType="separate"/>
            </w:r>
            <w:r w:rsidR="00A65D8D">
              <w:rPr>
                <w:noProof/>
                <w:webHidden/>
              </w:rPr>
              <w:t>76</w:t>
            </w:r>
            <w:r w:rsidR="00A65D8D">
              <w:rPr>
                <w:noProof/>
                <w:webHidden/>
              </w:rPr>
              <w:fldChar w:fldCharType="end"/>
            </w:r>
          </w:hyperlink>
        </w:p>
        <w:p w:rsidR="00A65D8D" w:rsidRDefault="00000000" w14:paraId="75663B8D" w14:textId="11122D96">
          <w:pPr>
            <w:pStyle w:val="TM3"/>
            <w:rPr>
              <w:rFonts w:asciiTheme="minorHAnsi" w:hAnsiTheme="minorHAnsi" w:eastAsiaTheme="minorEastAsia" w:cstheme="minorBidi"/>
              <w:i w:val="0"/>
              <w:noProof/>
              <w:kern w:val="2"/>
              <w:sz w:val="24"/>
              <w:szCs w:val="24"/>
              <w14:ligatures w14:val="standardContextual"/>
            </w:rPr>
          </w:pPr>
          <w:hyperlink w:history="1" w:anchor="_Toc221095556">
            <w:r w:rsidRPr="00F42375" w:rsidR="00A65D8D">
              <w:rPr>
                <w:rStyle w:val="Lienhypertexte"/>
                <w:rFonts w:ascii="Calibri" w:hAnsi="Calibri"/>
                <w:noProof/>
              </w:rPr>
              <w:t>6.1.2.2.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Remarques</w:t>
            </w:r>
            <w:r w:rsidR="00A65D8D">
              <w:rPr>
                <w:noProof/>
                <w:webHidden/>
              </w:rPr>
              <w:tab/>
            </w:r>
            <w:r w:rsidR="00A65D8D">
              <w:rPr>
                <w:noProof/>
                <w:webHidden/>
              </w:rPr>
              <w:fldChar w:fldCharType="begin"/>
            </w:r>
            <w:r w:rsidR="00A65D8D">
              <w:rPr>
                <w:noProof/>
                <w:webHidden/>
              </w:rPr>
              <w:instrText xml:space="preserve"> PAGEREF _Toc221095556 \h </w:instrText>
            </w:r>
            <w:r w:rsidR="00A65D8D">
              <w:rPr>
                <w:noProof/>
                <w:webHidden/>
              </w:rPr>
            </w:r>
            <w:r w:rsidR="00A65D8D">
              <w:rPr>
                <w:noProof/>
                <w:webHidden/>
              </w:rPr>
              <w:fldChar w:fldCharType="separate"/>
            </w:r>
            <w:r w:rsidR="00A65D8D">
              <w:rPr>
                <w:noProof/>
                <w:webHidden/>
              </w:rPr>
              <w:t>76</w:t>
            </w:r>
            <w:r w:rsidR="00A65D8D">
              <w:rPr>
                <w:noProof/>
                <w:webHidden/>
              </w:rPr>
              <w:fldChar w:fldCharType="end"/>
            </w:r>
          </w:hyperlink>
        </w:p>
        <w:p w:rsidR="00A65D8D" w:rsidRDefault="00000000" w14:paraId="6E077B71" w14:textId="70C14FA3">
          <w:pPr>
            <w:pStyle w:val="TM3"/>
            <w:rPr>
              <w:rFonts w:asciiTheme="minorHAnsi" w:hAnsiTheme="minorHAnsi" w:eastAsiaTheme="minorEastAsia" w:cstheme="minorBidi"/>
              <w:i w:val="0"/>
              <w:noProof/>
              <w:kern w:val="2"/>
              <w:sz w:val="24"/>
              <w:szCs w:val="24"/>
              <w14:ligatures w14:val="standardContextual"/>
            </w:rPr>
          </w:pPr>
          <w:hyperlink w:history="1" w:anchor="_Toc221095557">
            <w:r w:rsidRPr="00F42375" w:rsidR="00A65D8D">
              <w:rPr>
                <w:rStyle w:val="Lienhypertexte"/>
                <w:rFonts w:ascii="Calibri" w:hAnsi="Calibri"/>
                <w:noProof/>
              </w:rPr>
              <w:t>6.1.2.3.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Création de comptes</w:t>
            </w:r>
            <w:r w:rsidR="00A65D8D">
              <w:rPr>
                <w:noProof/>
                <w:webHidden/>
              </w:rPr>
              <w:tab/>
            </w:r>
            <w:r w:rsidR="00A65D8D">
              <w:rPr>
                <w:noProof/>
                <w:webHidden/>
              </w:rPr>
              <w:fldChar w:fldCharType="begin"/>
            </w:r>
            <w:r w:rsidR="00A65D8D">
              <w:rPr>
                <w:noProof/>
                <w:webHidden/>
              </w:rPr>
              <w:instrText xml:space="preserve"> PAGEREF _Toc221095557 \h </w:instrText>
            </w:r>
            <w:r w:rsidR="00A65D8D">
              <w:rPr>
                <w:noProof/>
                <w:webHidden/>
              </w:rPr>
            </w:r>
            <w:r w:rsidR="00A65D8D">
              <w:rPr>
                <w:noProof/>
                <w:webHidden/>
              </w:rPr>
              <w:fldChar w:fldCharType="separate"/>
            </w:r>
            <w:r w:rsidR="00A65D8D">
              <w:rPr>
                <w:noProof/>
                <w:webHidden/>
              </w:rPr>
              <w:t>76</w:t>
            </w:r>
            <w:r w:rsidR="00A65D8D">
              <w:rPr>
                <w:noProof/>
                <w:webHidden/>
              </w:rPr>
              <w:fldChar w:fldCharType="end"/>
            </w:r>
          </w:hyperlink>
        </w:p>
        <w:p w:rsidR="00A65D8D" w:rsidRDefault="00000000" w14:paraId="30179B8F" w14:textId="020B2B16">
          <w:pPr>
            <w:pStyle w:val="TM3"/>
            <w:rPr>
              <w:rFonts w:asciiTheme="minorHAnsi" w:hAnsiTheme="minorHAnsi" w:eastAsiaTheme="minorEastAsia" w:cstheme="minorBidi"/>
              <w:i w:val="0"/>
              <w:noProof/>
              <w:kern w:val="2"/>
              <w:sz w:val="24"/>
              <w:szCs w:val="24"/>
              <w14:ligatures w14:val="standardContextual"/>
            </w:rPr>
          </w:pPr>
          <w:hyperlink w:history="1" w:anchor="_Toc221095558">
            <w:r w:rsidRPr="00F42375" w:rsidR="00A65D8D">
              <w:rPr>
                <w:rStyle w:val="Lienhypertexte"/>
                <w:rFonts w:ascii="Calibri" w:hAnsi="Calibri"/>
                <w:noProof/>
              </w:rPr>
              <w:t>6.1.3.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Estimation potentielle des équivalents temps plein annuel pour les lots 1 et 2</w:t>
            </w:r>
            <w:r w:rsidR="00A65D8D">
              <w:rPr>
                <w:noProof/>
                <w:webHidden/>
              </w:rPr>
              <w:tab/>
            </w:r>
            <w:r w:rsidR="00A65D8D">
              <w:rPr>
                <w:noProof/>
                <w:webHidden/>
              </w:rPr>
              <w:fldChar w:fldCharType="begin"/>
            </w:r>
            <w:r w:rsidR="00A65D8D">
              <w:rPr>
                <w:noProof/>
                <w:webHidden/>
              </w:rPr>
              <w:instrText xml:space="preserve"> PAGEREF _Toc221095558 \h </w:instrText>
            </w:r>
            <w:r w:rsidR="00A65D8D">
              <w:rPr>
                <w:noProof/>
                <w:webHidden/>
              </w:rPr>
            </w:r>
            <w:r w:rsidR="00A65D8D">
              <w:rPr>
                <w:noProof/>
                <w:webHidden/>
              </w:rPr>
              <w:fldChar w:fldCharType="separate"/>
            </w:r>
            <w:r w:rsidR="00A65D8D">
              <w:rPr>
                <w:noProof/>
                <w:webHidden/>
              </w:rPr>
              <w:t>76</w:t>
            </w:r>
            <w:r w:rsidR="00A65D8D">
              <w:rPr>
                <w:noProof/>
                <w:webHidden/>
              </w:rPr>
              <w:fldChar w:fldCharType="end"/>
            </w:r>
          </w:hyperlink>
        </w:p>
        <w:p w:rsidR="00A65D8D" w:rsidRDefault="00000000" w14:paraId="14B77A05" w14:textId="6E99280F">
          <w:pPr>
            <w:pStyle w:val="TM2"/>
            <w:rPr>
              <w:rFonts w:asciiTheme="minorHAnsi" w:hAnsiTheme="minorHAnsi" w:eastAsiaTheme="minorEastAsia" w:cstheme="minorBidi"/>
              <w:bCs w:val="0"/>
              <w:noProof/>
              <w:kern w:val="2"/>
              <w:sz w:val="24"/>
              <w:szCs w:val="24"/>
              <w14:ligatures w14:val="standardContextual"/>
            </w:rPr>
          </w:pPr>
          <w:hyperlink w:history="1" w:anchor="_Toc221095559">
            <w:r w:rsidRPr="00F42375" w:rsidR="00A65D8D">
              <w:rPr>
                <w:rStyle w:val="Lienhypertexte"/>
                <w:rFonts w:ascii="Calibri" w:hAnsi="Calibri"/>
                <w:noProof/>
              </w:rPr>
              <w:t>6.2.</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Les prestations attendues par Lot</w:t>
            </w:r>
            <w:r w:rsidR="00A65D8D">
              <w:rPr>
                <w:noProof/>
                <w:webHidden/>
              </w:rPr>
              <w:tab/>
            </w:r>
            <w:r w:rsidR="00A65D8D">
              <w:rPr>
                <w:noProof/>
                <w:webHidden/>
              </w:rPr>
              <w:fldChar w:fldCharType="begin"/>
            </w:r>
            <w:r w:rsidR="00A65D8D">
              <w:rPr>
                <w:noProof/>
                <w:webHidden/>
              </w:rPr>
              <w:instrText xml:space="preserve"> PAGEREF _Toc221095559 \h </w:instrText>
            </w:r>
            <w:r w:rsidR="00A65D8D">
              <w:rPr>
                <w:noProof/>
                <w:webHidden/>
              </w:rPr>
            </w:r>
            <w:r w:rsidR="00A65D8D">
              <w:rPr>
                <w:noProof/>
                <w:webHidden/>
              </w:rPr>
              <w:fldChar w:fldCharType="separate"/>
            </w:r>
            <w:r w:rsidR="00A65D8D">
              <w:rPr>
                <w:noProof/>
                <w:webHidden/>
              </w:rPr>
              <w:t>77</w:t>
            </w:r>
            <w:r w:rsidR="00A65D8D">
              <w:rPr>
                <w:noProof/>
                <w:webHidden/>
              </w:rPr>
              <w:fldChar w:fldCharType="end"/>
            </w:r>
          </w:hyperlink>
        </w:p>
        <w:p w:rsidR="00A65D8D" w:rsidRDefault="00000000" w14:paraId="5DD0C6B7" w14:textId="0EE235AA">
          <w:pPr>
            <w:pStyle w:val="TM3"/>
            <w:rPr>
              <w:rFonts w:asciiTheme="minorHAnsi" w:hAnsiTheme="minorHAnsi" w:eastAsiaTheme="minorEastAsia" w:cstheme="minorBidi"/>
              <w:i w:val="0"/>
              <w:noProof/>
              <w:kern w:val="2"/>
              <w:sz w:val="24"/>
              <w:szCs w:val="24"/>
              <w14:ligatures w14:val="standardContextual"/>
            </w:rPr>
          </w:pPr>
          <w:hyperlink w:history="1" w:anchor="_Toc221095560">
            <w:r w:rsidRPr="00F42375" w:rsidR="00A65D8D">
              <w:rPr>
                <w:rStyle w:val="Lienhypertexte"/>
                <w:rFonts w:ascii="Calibri" w:hAnsi="Calibri"/>
                <w:noProof/>
              </w:rPr>
              <w:t>6.2.1.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Lot 1 - DevSecOps</w:t>
            </w:r>
            <w:r w:rsidR="00A65D8D">
              <w:rPr>
                <w:noProof/>
                <w:webHidden/>
              </w:rPr>
              <w:tab/>
            </w:r>
            <w:r w:rsidR="00A65D8D">
              <w:rPr>
                <w:noProof/>
                <w:webHidden/>
              </w:rPr>
              <w:fldChar w:fldCharType="begin"/>
            </w:r>
            <w:r w:rsidR="00A65D8D">
              <w:rPr>
                <w:noProof/>
                <w:webHidden/>
              </w:rPr>
              <w:instrText xml:space="preserve"> PAGEREF _Toc221095560 \h </w:instrText>
            </w:r>
            <w:r w:rsidR="00A65D8D">
              <w:rPr>
                <w:noProof/>
                <w:webHidden/>
              </w:rPr>
            </w:r>
            <w:r w:rsidR="00A65D8D">
              <w:rPr>
                <w:noProof/>
                <w:webHidden/>
              </w:rPr>
              <w:fldChar w:fldCharType="separate"/>
            </w:r>
            <w:r w:rsidR="00A65D8D">
              <w:rPr>
                <w:noProof/>
                <w:webHidden/>
              </w:rPr>
              <w:t>77</w:t>
            </w:r>
            <w:r w:rsidR="00A65D8D">
              <w:rPr>
                <w:noProof/>
                <w:webHidden/>
              </w:rPr>
              <w:fldChar w:fldCharType="end"/>
            </w:r>
          </w:hyperlink>
        </w:p>
        <w:p w:rsidR="00A65D8D" w:rsidRDefault="00000000" w14:paraId="2D643D76" w14:textId="1694E85B">
          <w:pPr>
            <w:pStyle w:val="TM3"/>
            <w:rPr>
              <w:rFonts w:asciiTheme="minorHAnsi" w:hAnsiTheme="minorHAnsi" w:eastAsiaTheme="minorEastAsia" w:cstheme="minorBidi"/>
              <w:i w:val="0"/>
              <w:noProof/>
              <w:kern w:val="2"/>
              <w:sz w:val="24"/>
              <w:szCs w:val="24"/>
              <w14:ligatures w14:val="standardContextual"/>
            </w:rPr>
          </w:pPr>
          <w:hyperlink w:history="1" w:anchor="_Toc221095561">
            <w:r w:rsidRPr="00F42375" w:rsidR="00A65D8D">
              <w:rPr>
                <w:rStyle w:val="Lienhypertexte"/>
                <w:rFonts w:ascii="Calibri" w:hAnsi="Calibri"/>
                <w:noProof/>
              </w:rPr>
              <w:t>6.2.2.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Lot 2 - Exploitation</w:t>
            </w:r>
            <w:r w:rsidR="00A65D8D">
              <w:rPr>
                <w:noProof/>
                <w:webHidden/>
              </w:rPr>
              <w:tab/>
            </w:r>
            <w:r w:rsidR="00A65D8D">
              <w:rPr>
                <w:noProof/>
                <w:webHidden/>
              </w:rPr>
              <w:fldChar w:fldCharType="begin"/>
            </w:r>
            <w:r w:rsidR="00A65D8D">
              <w:rPr>
                <w:noProof/>
                <w:webHidden/>
              </w:rPr>
              <w:instrText xml:space="preserve"> PAGEREF _Toc221095561 \h </w:instrText>
            </w:r>
            <w:r w:rsidR="00A65D8D">
              <w:rPr>
                <w:noProof/>
                <w:webHidden/>
              </w:rPr>
            </w:r>
            <w:r w:rsidR="00A65D8D">
              <w:rPr>
                <w:noProof/>
                <w:webHidden/>
              </w:rPr>
              <w:fldChar w:fldCharType="separate"/>
            </w:r>
            <w:r w:rsidR="00A65D8D">
              <w:rPr>
                <w:noProof/>
                <w:webHidden/>
              </w:rPr>
              <w:t>88</w:t>
            </w:r>
            <w:r w:rsidR="00A65D8D">
              <w:rPr>
                <w:noProof/>
                <w:webHidden/>
              </w:rPr>
              <w:fldChar w:fldCharType="end"/>
            </w:r>
          </w:hyperlink>
        </w:p>
        <w:p w:rsidR="00A65D8D" w:rsidRDefault="00000000" w14:paraId="7996AFAE" w14:textId="48BF2A45">
          <w:pPr>
            <w:pStyle w:val="TM3"/>
            <w:rPr>
              <w:rFonts w:asciiTheme="minorHAnsi" w:hAnsiTheme="minorHAnsi" w:eastAsiaTheme="minorEastAsia" w:cstheme="minorBidi"/>
              <w:i w:val="0"/>
              <w:noProof/>
              <w:kern w:val="2"/>
              <w:sz w:val="24"/>
              <w:szCs w:val="24"/>
              <w14:ligatures w14:val="standardContextual"/>
            </w:rPr>
          </w:pPr>
          <w:hyperlink w:history="1" w:anchor="_Toc221095562">
            <w:r w:rsidRPr="00F42375" w:rsidR="00A65D8D">
              <w:rPr>
                <w:rStyle w:val="Lienhypertexte"/>
                <w:rFonts w:ascii="Calibri" w:hAnsi="Calibri"/>
                <w:noProof/>
              </w:rPr>
              <w:t>6.2.2.1.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Objectifs et contexte de la prestation</w:t>
            </w:r>
            <w:r w:rsidR="00A65D8D">
              <w:rPr>
                <w:noProof/>
                <w:webHidden/>
              </w:rPr>
              <w:tab/>
            </w:r>
            <w:r w:rsidR="00A65D8D">
              <w:rPr>
                <w:noProof/>
                <w:webHidden/>
              </w:rPr>
              <w:fldChar w:fldCharType="begin"/>
            </w:r>
            <w:r w:rsidR="00A65D8D">
              <w:rPr>
                <w:noProof/>
                <w:webHidden/>
              </w:rPr>
              <w:instrText xml:space="preserve"> PAGEREF _Toc221095562 \h </w:instrText>
            </w:r>
            <w:r w:rsidR="00A65D8D">
              <w:rPr>
                <w:noProof/>
                <w:webHidden/>
              </w:rPr>
            </w:r>
            <w:r w:rsidR="00A65D8D">
              <w:rPr>
                <w:noProof/>
                <w:webHidden/>
              </w:rPr>
              <w:fldChar w:fldCharType="separate"/>
            </w:r>
            <w:r w:rsidR="00A65D8D">
              <w:rPr>
                <w:noProof/>
                <w:webHidden/>
              </w:rPr>
              <w:t>89</w:t>
            </w:r>
            <w:r w:rsidR="00A65D8D">
              <w:rPr>
                <w:noProof/>
                <w:webHidden/>
              </w:rPr>
              <w:fldChar w:fldCharType="end"/>
            </w:r>
          </w:hyperlink>
        </w:p>
        <w:p w:rsidR="00A65D8D" w:rsidRDefault="00000000" w14:paraId="24DEA1EB" w14:textId="5308EA1F">
          <w:pPr>
            <w:pStyle w:val="TM3"/>
            <w:rPr>
              <w:rFonts w:asciiTheme="minorHAnsi" w:hAnsiTheme="minorHAnsi" w:eastAsiaTheme="minorEastAsia" w:cstheme="minorBidi"/>
              <w:i w:val="0"/>
              <w:noProof/>
              <w:kern w:val="2"/>
              <w:sz w:val="24"/>
              <w:szCs w:val="24"/>
              <w14:ligatures w14:val="standardContextual"/>
            </w:rPr>
          </w:pPr>
          <w:hyperlink w:history="1" w:anchor="_Toc221095563">
            <w:r w:rsidRPr="00F42375" w:rsidR="00A65D8D">
              <w:rPr>
                <w:rStyle w:val="Lienhypertexte"/>
                <w:noProof/>
              </w:rPr>
              <w:t>a) Descriptif de la prestation</w:t>
            </w:r>
            <w:r w:rsidR="00A65D8D">
              <w:rPr>
                <w:noProof/>
                <w:webHidden/>
              </w:rPr>
              <w:tab/>
            </w:r>
            <w:r w:rsidR="00A65D8D">
              <w:rPr>
                <w:noProof/>
                <w:webHidden/>
              </w:rPr>
              <w:fldChar w:fldCharType="begin"/>
            </w:r>
            <w:r w:rsidR="00A65D8D">
              <w:rPr>
                <w:noProof/>
                <w:webHidden/>
              </w:rPr>
              <w:instrText xml:space="preserve"> PAGEREF _Toc221095563 \h </w:instrText>
            </w:r>
            <w:r w:rsidR="00A65D8D">
              <w:rPr>
                <w:noProof/>
                <w:webHidden/>
              </w:rPr>
            </w:r>
            <w:r w:rsidR="00A65D8D">
              <w:rPr>
                <w:noProof/>
                <w:webHidden/>
              </w:rPr>
              <w:fldChar w:fldCharType="separate"/>
            </w:r>
            <w:r w:rsidR="00A65D8D">
              <w:rPr>
                <w:noProof/>
                <w:webHidden/>
              </w:rPr>
              <w:t>90</w:t>
            </w:r>
            <w:r w:rsidR="00A65D8D">
              <w:rPr>
                <w:noProof/>
                <w:webHidden/>
              </w:rPr>
              <w:fldChar w:fldCharType="end"/>
            </w:r>
          </w:hyperlink>
        </w:p>
        <w:p w:rsidR="00A65D8D" w:rsidRDefault="00000000" w14:paraId="0BF68A05" w14:textId="7881829C">
          <w:pPr>
            <w:pStyle w:val="TM3"/>
            <w:rPr>
              <w:rFonts w:asciiTheme="minorHAnsi" w:hAnsiTheme="minorHAnsi" w:eastAsiaTheme="minorEastAsia" w:cstheme="minorBidi"/>
              <w:i w:val="0"/>
              <w:noProof/>
              <w:kern w:val="2"/>
              <w:sz w:val="24"/>
              <w:szCs w:val="24"/>
              <w14:ligatures w14:val="standardContextual"/>
            </w:rPr>
          </w:pPr>
          <w:hyperlink w:history="1" w:anchor="_Toc221095564">
            <w:r w:rsidRPr="00F42375" w:rsidR="00A65D8D">
              <w:rPr>
                <w:rStyle w:val="Lienhypertexte"/>
                <w:noProof/>
              </w:rPr>
              <w:t>b) Livrables</w:t>
            </w:r>
            <w:r w:rsidR="00A65D8D">
              <w:rPr>
                <w:noProof/>
                <w:webHidden/>
              </w:rPr>
              <w:tab/>
            </w:r>
            <w:r w:rsidR="00A65D8D">
              <w:rPr>
                <w:noProof/>
                <w:webHidden/>
              </w:rPr>
              <w:fldChar w:fldCharType="begin"/>
            </w:r>
            <w:r w:rsidR="00A65D8D">
              <w:rPr>
                <w:noProof/>
                <w:webHidden/>
              </w:rPr>
              <w:instrText xml:space="preserve"> PAGEREF _Toc221095564 \h </w:instrText>
            </w:r>
            <w:r w:rsidR="00A65D8D">
              <w:rPr>
                <w:noProof/>
                <w:webHidden/>
              </w:rPr>
            </w:r>
            <w:r w:rsidR="00A65D8D">
              <w:rPr>
                <w:noProof/>
                <w:webHidden/>
              </w:rPr>
              <w:fldChar w:fldCharType="separate"/>
            </w:r>
            <w:r w:rsidR="00A65D8D">
              <w:rPr>
                <w:noProof/>
                <w:webHidden/>
              </w:rPr>
              <w:t>91</w:t>
            </w:r>
            <w:r w:rsidR="00A65D8D">
              <w:rPr>
                <w:noProof/>
                <w:webHidden/>
              </w:rPr>
              <w:fldChar w:fldCharType="end"/>
            </w:r>
          </w:hyperlink>
        </w:p>
        <w:p w:rsidR="00A65D8D" w:rsidRDefault="00000000" w14:paraId="0C198689" w14:textId="4A991142">
          <w:pPr>
            <w:pStyle w:val="TM3"/>
            <w:rPr>
              <w:rFonts w:asciiTheme="minorHAnsi" w:hAnsiTheme="minorHAnsi" w:eastAsiaTheme="minorEastAsia" w:cstheme="minorBidi"/>
              <w:i w:val="0"/>
              <w:noProof/>
              <w:kern w:val="2"/>
              <w:sz w:val="24"/>
              <w:szCs w:val="24"/>
              <w14:ligatures w14:val="standardContextual"/>
            </w:rPr>
          </w:pPr>
          <w:hyperlink w:history="1" w:anchor="_Toc221095565">
            <w:r w:rsidRPr="00F42375" w:rsidR="00A65D8D">
              <w:rPr>
                <w:rStyle w:val="Lienhypertexte"/>
                <w:noProof/>
              </w:rPr>
              <w:t>c) Modalités de commande</w:t>
            </w:r>
            <w:r w:rsidR="00A65D8D">
              <w:rPr>
                <w:noProof/>
                <w:webHidden/>
              </w:rPr>
              <w:tab/>
            </w:r>
            <w:r w:rsidR="00A65D8D">
              <w:rPr>
                <w:noProof/>
                <w:webHidden/>
              </w:rPr>
              <w:fldChar w:fldCharType="begin"/>
            </w:r>
            <w:r w:rsidR="00A65D8D">
              <w:rPr>
                <w:noProof/>
                <w:webHidden/>
              </w:rPr>
              <w:instrText xml:space="preserve"> PAGEREF _Toc221095565 \h </w:instrText>
            </w:r>
            <w:r w:rsidR="00A65D8D">
              <w:rPr>
                <w:noProof/>
                <w:webHidden/>
              </w:rPr>
            </w:r>
            <w:r w:rsidR="00A65D8D">
              <w:rPr>
                <w:noProof/>
                <w:webHidden/>
              </w:rPr>
              <w:fldChar w:fldCharType="separate"/>
            </w:r>
            <w:r w:rsidR="00A65D8D">
              <w:rPr>
                <w:noProof/>
                <w:webHidden/>
              </w:rPr>
              <w:t>92</w:t>
            </w:r>
            <w:r w:rsidR="00A65D8D">
              <w:rPr>
                <w:noProof/>
                <w:webHidden/>
              </w:rPr>
              <w:fldChar w:fldCharType="end"/>
            </w:r>
          </w:hyperlink>
        </w:p>
        <w:p w:rsidR="00A65D8D" w:rsidRDefault="00000000" w14:paraId="4A4AE965" w14:textId="41625F82">
          <w:pPr>
            <w:pStyle w:val="TM3"/>
            <w:rPr>
              <w:rFonts w:asciiTheme="minorHAnsi" w:hAnsiTheme="minorHAnsi" w:eastAsiaTheme="minorEastAsia" w:cstheme="minorBidi"/>
              <w:i w:val="0"/>
              <w:noProof/>
              <w:kern w:val="2"/>
              <w:sz w:val="24"/>
              <w:szCs w:val="24"/>
              <w14:ligatures w14:val="standardContextual"/>
            </w:rPr>
          </w:pPr>
          <w:hyperlink w:history="1" w:anchor="_Toc221095566">
            <w:r w:rsidRPr="00F42375" w:rsidR="00A65D8D">
              <w:rPr>
                <w:rStyle w:val="Lienhypertexte"/>
                <w:rFonts w:ascii="Calibri" w:hAnsi="Calibri"/>
                <w:noProof/>
              </w:rPr>
              <w:t>6.2.2.2.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RÉALISATION OU CONTRIBUTION À LA MAINTENANCE ET DES ÉVOLUTIONS MINEURES</w:t>
            </w:r>
            <w:r w:rsidR="00A65D8D">
              <w:rPr>
                <w:noProof/>
                <w:webHidden/>
              </w:rPr>
              <w:tab/>
            </w:r>
            <w:r w:rsidR="00A65D8D">
              <w:rPr>
                <w:noProof/>
                <w:webHidden/>
              </w:rPr>
              <w:fldChar w:fldCharType="begin"/>
            </w:r>
            <w:r w:rsidR="00A65D8D">
              <w:rPr>
                <w:noProof/>
                <w:webHidden/>
              </w:rPr>
              <w:instrText xml:space="preserve"> PAGEREF _Toc221095566 \h </w:instrText>
            </w:r>
            <w:r w:rsidR="00A65D8D">
              <w:rPr>
                <w:noProof/>
                <w:webHidden/>
              </w:rPr>
            </w:r>
            <w:r w:rsidR="00A65D8D">
              <w:rPr>
                <w:noProof/>
                <w:webHidden/>
              </w:rPr>
              <w:fldChar w:fldCharType="separate"/>
            </w:r>
            <w:r w:rsidR="00A65D8D">
              <w:rPr>
                <w:noProof/>
                <w:webHidden/>
              </w:rPr>
              <w:t>92</w:t>
            </w:r>
            <w:r w:rsidR="00A65D8D">
              <w:rPr>
                <w:noProof/>
                <w:webHidden/>
              </w:rPr>
              <w:fldChar w:fldCharType="end"/>
            </w:r>
          </w:hyperlink>
        </w:p>
        <w:p w:rsidR="00A65D8D" w:rsidRDefault="00000000" w14:paraId="36E8A74D" w14:textId="73299FE6">
          <w:pPr>
            <w:pStyle w:val="TM3"/>
            <w:rPr>
              <w:rFonts w:asciiTheme="minorHAnsi" w:hAnsiTheme="minorHAnsi" w:eastAsiaTheme="minorEastAsia" w:cstheme="minorBidi"/>
              <w:i w:val="0"/>
              <w:noProof/>
              <w:kern w:val="2"/>
              <w:sz w:val="24"/>
              <w:szCs w:val="24"/>
              <w14:ligatures w14:val="standardContextual"/>
            </w:rPr>
          </w:pPr>
          <w:hyperlink w:history="1" w:anchor="_Toc221095567">
            <w:r w:rsidRPr="00F42375" w:rsidR="00A65D8D">
              <w:rPr>
                <w:rStyle w:val="Lienhypertexte"/>
                <w:noProof/>
              </w:rPr>
              <w:t>a) Objectif et contexte de la prestation</w:t>
            </w:r>
            <w:r w:rsidR="00A65D8D">
              <w:rPr>
                <w:noProof/>
                <w:webHidden/>
              </w:rPr>
              <w:tab/>
            </w:r>
            <w:r w:rsidR="00A65D8D">
              <w:rPr>
                <w:noProof/>
                <w:webHidden/>
              </w:rPr>
              <w:fldChar w:fldCharType="begin"/>
            </w:r>
            <w:r w:rsidR="00A65D8D">
              <w:rPr>
                <w:noProof/>
                <w:webHidden/>
              </w:rPr>
              <w:instrText xml:space="preserve"> PAGEREF _Toc221095567 \h </w:instrText>
            </w:r>
            <w:r w:rsidR="00A65D8D">
              <w:rPr>
                <w:noProof/>
                <w:webHidden/>
              </w:rPr>
            </w:r>
            <w:r w:rsidR="00A65D8D">
              <w:rPr>
                <w:noProof/>
                <w:webHidden/>
              </w:rPr>
              <w:fldChar w:fldCharType="separate"/>
            </w:r>
            <w:r w:rsidR="00A65D8D">
              <w:rPr>
                <w:noProof/>
                <w:webHidden/>
              </w:rPr>
              <w:t>92</w:t>
            </w:r>
            <w:r w:rsidR="00A65D8D">
              <w:rPr>
                <w:noProof/>
                <w:webHidden/>
              </w:rPr>
              <w:fldChar w:fldCharType="end"/>
            </w:r>
          </w:hyperlink>
        </w:p>
        <w:p w:rsidR="00A65D8D" w:rsidRDefault="00000000" w14:paraId="1667061F" w14:textId="1AA96F06">
          <w:pPr>
            <w:pStyle w:val="TM3"/>
            <w:rPr>
              <w:rFonts w:asciiTheme="minorHAnsi" w:hAnsiTheme="minorHAnsi" w:eastAsiaTheme="minorEastAsia" w:cstheme="minorBidi"/>
              <w:i w:val="0"/>
              <w:noProof/>
              <w:kern w:val="2"/>
              <w:sz w:val="24"/>
              <w:szCs w:val="24"/>
              <w14:ligatures w14:val="standardContextual"/>
            </w:rPr>
          </w:pPr>
          <w:hyperlink w:history="1" w:anchor="_Toc221095568">
            <w:r w:rsidRPr="00F42375" w:rsidR="00A65D8D">
              <w:rPr>
                <w:rStyle w:val="Lienhypertexte"/>
                <w:noProof/>
              </w:rPr>
              <w:t>b) Descriptif de la prestation</w:t>
            </w:r>
            <w:r w:rsidR="00A65D8D">
              <w:rPr>
                <w:noProof/>
                <w:webHidden/>
              </w:rPr>
              <w:tab/>
            </w:r>
            <w:r w:rsidR="00A65D8D">
              <w:rPr>
                <w:noProof/>
                <w:webHidden/>
              </w:rPr>
              <w:fldChar w:fldCharType="begin"/>
            </w:r>
            <w:r w:rsidR="00A65D8D">
              <w:rPr>
                <w:noProof/>
                <w:webHidden/>
              </w:rPr>
              <w:instrText xml:space="preserve"> PAGEREF _Toc221095568 \h </w:instrText>
            </w:r>
            <w:r w:rsidR="00A65D8D">
              <w:rPr>
                <w:noProof/>
                <w:webHidden/>
              </w:rPr>
            </w:r>
            <w:r w:rsidR="00A65D8D">
              <w:rPr>
                <w:noProof/>
                <w:webHidden/>
              </w:rPr>
              <w:fldChar w:fldCharType="separate"/>
            </w:r>
            <w:r w:rsidR="00A65D8D">
              <w:rPr>
                <w:noProof/>
                <w:webHidden/>
              </w:rPr>
              <w:t>93</w:t>
            </w:r>
            <w:r w:rsidR="00A65D8D">
              <w:rPr>
                <w:noProof/>
                <w:webHidden/>
              </w:rPr>
              <w:fldChar w:fldCharType="end"/>
            </w:r>
          </w:hyperlink>
        </w:p>
        <w:p w:rsidR="00A65D8D" w:rsidRDefault="00000000" w14:paraId="0962A23D" w14:textId="5161ACE1">
          <w:pPr>
            <w:pStyle w:val="TM3"/>
            <w:rPr>
              <w:rFonts w:asciiTheme="minorHAnsi" w:hAnsiTheme="minorHAnsi" w:eastAsiaTheme="minorEastAsia" w:cstheme="minorBidi"/>
              <w:i w:val="0"/>
              <w:noProof/>
              <w:kern w:val="2"/>
              <w:sz w:val="24"/>
              <w:szCs w:val="24"/>
              <w14:ligatures w14:val="standardContextual"/>
            </w:rPr>
          </w:pPr>
          <w:hyperlink w:history="1" w:anchor="_Toc221095569">
            <w:r w:rsidRPr="00F42375" w:rsidR="00A65D8D">
              <w:rPr>
                <w:rStyle w:val="Lienhypertexte"/>
                <w:noProof/>
              </w:rPr>
              <w:t>c) Livrables</w:t>
            </w:r>
            <w:r w:rsidR="00A65D8D">
              <w:rPr>
                <w:noProof/>
                <w:webHidden/>
              </w:rPr>
              <w:tab/>
            </w:r>
            <w:r w:rsidR="00A65D8D">
              <w:rPr>
                <w:noProof/>
                <w:webHidden/>
              </w:rPr>
              <w:fldChar w:fldCharType="begin"/>
            </w:r>
            <w:r w:rsidR="00A65D8D">
              <w:rPr>
                <w:noProof/>
                <w:webHidden/>
              </w:rPr>
              <w:instrText xml:space="preserve"> PAGEREF _Toc221095569 \h </w:instrText>
            </w:r>
            <w:r w:rsidR="00A65D8D">
              <w:rPr>
                <w:noProof/>
                <w:webHidden/>
              </w:rPr>
            </w:r>
            <w:r w:rsidR="00A65D8D">
              <w:rPr>
                <w:noProof/>
                <w:webHidden/>
              </w:rPr>
              <w:fldChar w:fldCharType="separate"/>
            </w:r>
            <w:r w:rsidR="00A65D8D">
              <w:rPr>
                <w:noProof/>
                <w:webHidden/>
              </w:rPr>
              <w:t>93</w:t>
            </w:r>
            <w:r w:rsidR="00A65D8D">
              <w:rPr>
                <w:noProof/>
                <w:webHidden/>
              </w:rPr>
              <w:fldChar w:fldCharType="end"/>
            </w:r>
          </w:hyperlink>
        </w:p>
        <w:p w:rsidR="00A65D8D" w:rsidRDefault="00000000" w14:paraId="27F6C2DF" w14:textId="6669FD82">
          <w:pPr>
            <w:pStyle w:val="TM3"/>
            <w:rPr>
              <w:rFonts w:asciiTheme="minorHAnsi" w:hAnsiTheme="minorHAnsi" w:eastAsiaTheme="minorEastAsia" w:cstheme="minorBidi"/>
              <w:i w:val="0"/>
              <w:noProof/>
              <w:kern w:val="2"/>
              <w:sz w:val="24"/>
              <w:szCs w:val="24"/>
              <w14:ligatures w14:val="standardContextual"/>
            </w:rPr>
          </w:pPr>
          <w:hyperlink w:history="1" w:anchor="_Toc221095570">
            <w:r w:rsidRPr="00F42375" w:rsidR="00A65D8D">
              <w:rPr>
                <w:rStyle w:val="Lienhypertexte"/>
                <w:noProof/>
              </w:rPr>
              <w:t>d) Délais d’exécution</w:t>
            </w:r>
            <w:r w:rsidR="00A65D8D">
              <w:rPr>
                <w:noProof/>
                <w:webHidden/>
              </w:rPr>
              <w:tab/>
            </w:r>
            <w:r w:rsidR="00A65D8D">
              <w:rPr>
                <w:noProof/>
                <w:webHidden/>
              </w:rPr>
              <w:fldChar w:fldCharType="begin"/>
            </w:r>
            <w:r w:rsidR="00A65D8D">
              <w:rPr>
                <w:noProof/>
                <w:webHidden/>
              </w:rPr>
              <w:instrText xml:space="preserve"> PAGEREF _Toc221095570 \h </w:instrText>
            </w:r>
            <w:r w:rsidR="00A65D8D">
              <w:rPr>
                <w:noProof/>
                <w:webHidden/>
              </w:rPr>
            </w:r>
            <w:r w:rsidR="00A65D8D">
              <w:rPr>
                <w:noProof/>
                <w:webHidden/>
              </w:rPr>
              <w:fldChar w:fldCharType="separate"/>
            </w:r>
            <w:r w:rsidR="00A65D8D">
              <w:rPr>
                <w:noProof/>
                <w:webHidden/>
              </w:rPr>
              <w:t>93</w:t>
            </w:r>
            <w:r w:rsidR="00A65D8D">
              <w:rPr>
                <w:noProof/>
                <w:webHidden/>
              </w:rPr>
              <w:fldChar w:fldCharType="end"/>
            </w:r>
          </w:hyperlink>
        </w:p>
        <w:p w:rsidR="00A65D8D" w:rsidRDefault="00000000" w14:paraId="409EAE24" w14:textId="2454B94A">
          <w:pPr>
            <w:pStyle w:val="TM3"/>
            <w:rPr>
              <w:rFonts w:asciiTheme="minorHAnsi" w:hAnsiTheme="minorHAnsi" w:eastAsiaTheme="minorEastAsia" w:cstheme="minorBidi"/>
              <w:i w:val="0"/>
              <w:noProof/>
              <w:kern w:val="2"/>
              <w:sz w:val="24"/>
              <w:szCs w:val="24"/>
              <w14:ligatures w14:val="standardContextual"/>
            </w:rPr>
          </w:pPr>
          <w:hyperlink w:history="1" w:anchor="_Toc221095571">
            <w:r w:rsidRPr="00F42375" w:rsidR="00A65D8D">
              <w:rPr>
                <w:rStyle w:val="Lienhypertexte"/>
                <w:rFonts w:ascii="Calibri" w:hAnsi="Calibri"/>
                <w:noProof/>
              </w:rPr>
              <w:t>6.2.2.3.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SPRINT 0 DES EVOLUTIONS MAJEURES ET DES NOUVEAUX PRODUITS</w:t>
            </w:r>
            <w:r w:rsidR="00A65D8D">
              <w:rPr>
                <w:noProof/>
                <w:webHidden/>
              </w:rPr>
              <w:tab/>
            </w:r>
            <w:r w:rsidR="00A65D8D">
              <w:rPr>
                <w:noProof/>
                <w:webHidden/>
              </w:rPr>
              <w:fldChar w:fldCharType="begin"/>
            </w:r>
            <w:r w:rsidR="00A65D8D">
              <w:rPr>
                <w:noProof/>
                <w:webHidden/>
              </w:rPr>
              <w:instrText xml:space="preserve"> PAGEREF _Toc221095571 \h </w:instrText>
            </w:r>
            <w:r w:rsidR="00A65D8D">
              <w:rPr>
                <w:noProof/>
                <w:webHidden/>
              </w:rPr>
            </w:r>
            <w:r w:rsidR="00A65D8D">
              <w:rPr>
                <w:noProof/>
                <w:webHidden/>
              </w:rPr>
              <w:fldChar w:fldCharType="separate"/>
            </w:r>
            <w:r w:rsidR="00A65D8D">
              <w:rPr>
                <w:noProof/>
                <w:webHidden/>
              </w:rPr>
              <w:t>94</w:t>
            </w:r>
            <w:r w:rsidR="00A65D8D">
              <w:rPr>
                <w:noProof/>
                <w:webHidden/>
              </w:rPr>
              <w:fldChar w:fldCharType="end"/>
            </w:r>
          </w:hyperlink>
        </w:p>
        <w:p w:rsidR="00A65D8D" w:rsidRDefault="00000000" w14:paraId="228B7FB5" w14:textId="189C4F61">
          <w:pPr>
            <w:pStyle w:val="TM3"/>
            <w:rPr>
              <w:rFonts w:asciiTheme="minorHAnsi" w:hAnsiTheme="minorHAnsi" w:eastAsiaTheme="minorEastAsia" w:cstheme="minorBidi"/>
              <w:i w:val="0"/>
              <w:noProof/>
              <w:kern w:val="2"/>
              <w:sz w:val="24"/>
              <w:szCs w:val="24"/>
              <w14:ligatures w14:val="standardContextual"/>
            </w:rPr>
          </w:pPr>
          <w:hyperlink w:history="1" w:anchor="_Toc221095572">
            <w:r w:rsidRPr="00F42375" w:rsidR="00A65D8D">
              <w:rPr>
                <w:rStyle w:val="Lienhypertexte"/>
                <w:noProof/>
              </w:rPr>
              <w:t>a) Objectifs et contexte de la prestation</w:t>
            </w:r>
            <w:r w:rsidR="00A65D8D">
              <w:rPr>
                <w:noProof/>
                <w:webHidden/>
              </w:rPr>
              <w:tab/>
            </w:r>
            <w:r w:rsidR="00A65D8D">
              <w:rPr>
                <w:noProof/>
                <w:webHidden/>
              </w:rPr>
              <w:fldChar w:fldCharType="begin"/>
            </w:r>
            <w:r w:rsidR="00A65D8D">
              <w:rPr>
                <w:noProof/>
                <w:webHidden/>
              </w:rPr>
              <w:instrText xml:space="preserve"> PAGEREF _Toc221095572 \h </w:instrText>
            </w:r>
            <w:r w:rsidR="00A65D8D">
              <w:rPr>
                <w:noProof/>
                <w:webHidden/>
              </w:rPr>
            </w:r>
            <w:r w:rsidR="00A65D8D">
              <w:rPr>
                <w:noProof/>
                <w:webHidden/>
              </w:rPr>
              <w:fldChar w:fldCharType="separate"/>
            </w:r>
            <w:r w:rsidR="00A65D8D">
              <w:rPr>
                <w:noProof/>
                <w:webHidden/>
              </w:rPr>
              <w:t>94</w:t>
            </w:r>
            <w:r w:rsidR="00A65D8D">
              <w:rPr>
                <w:noProof/>
                <w:webHidden/>
              </w:rPr>
              <w:fldChar w:fldCharType="end"/>
            </w:r>
          </w:hyperlink>
        </w:p>
        <w:p w:rsidR="00A65D8D" w:rsidRDefault="00000000" w14:paraId="5CAF1A6B" w14:textId="631875D6">
          <w:pPr>
            <w:pStyle w:val="TM3"/>
            <w:rPr>
              <w:rFonts w:asciiTheme="minorHAnsi" w:hAnsiTheme="minorHAnsi" w:eastAsiaTheme="minorEastAsia" w:cstheme="minorBidi"/>
              <w:i w:val="0"/>
              <w:noProof/>
              <w:kern w:val="2"/>
              <w:sz w:val="24"/>
              <w:szCs w:val="24"/>
              <w14:ligatures w14:val="standardContextual"/>
            </w:rPr>
          </w:pPr>
          <w:hyperlink w:history="1" w:anchor="_Toc221095573">
            <w:r w:rsidRPr="00F42375" w:rsidR="00A65D8D">
              <w:rPr>
                <w:rStyle w:val="Lienhypertexte"/>
                <w:noProof/>
              </w:rPr>
              <w:t>b) Périmètre technique</w:t>
            </w:r>
            <w:r w:rsidR="00A65D8D">
              <w:rPr>
                <w:noProof/>
                <w:webHidden/>
              </w:rPr>
              <w:tab/>
            </w:r>
            <w:r w:rsidR="00A65D8D">
              <w:rPr>
                <w:noProof/>
                <w:webHidden/>
              </w:rPr>
              <w:fldChar w:fldCharType="begin"/>
            </w:r>
            <w:r w:rsidR="00A65D8D">
              <w:rPr>
                <w:noProof/>
                <w:webHidden/>
              </w:rPr>
              <w:instrText xml:space="preserve"> PAGEREF _Toc221095573 \h </w:instrText>
            </w:r>
            <w:r w:rsidR="00A65D8D">
              <w:rPr>
                <w:noProof/>
                <w:webHidden/>
              </w:rPr>
            </w:r>
            <w:r w:rsidR="00A65D8D">
              <w:rPr>
                <w:noProof/>
                <w:webHidden/>
              </w:rPr>
              <w:fldChar w:fldCharType="separate"/>
            </w:r>
            <w:r w:rsidR="00A65D8D">
              <w:rPr>
                <w:noProof/>
                <w:webHidden/>
              </w:rPr>
              <w:t>94</w:t>
            </w:r>
            <w:r w:rsidR="00A65D8D">
              <w:rPr>
                <w:noProof/>
                <w:webHidden/>
              </w:rPr>
              <w:fldChar w:fldCharType="end"/>
            </w:r>
          </w:hyperlink>
        </w:p>
        <w:p w:rsidR="00A65D8D" w:rsidRDefault="00000000" w14:paraId="449568A4" w14:textId="28036E3B">
          <w:pPr>
            <w:pStyle w:val="TM3"/>
            <w:rPr>
              <w:rFonts w:asciiTheme="minorHAnsi" w:hAnsiTheme="minorHAnsi" w:eastAsiaTheme="minorEastAsia" w:cstheme="minorBidi"/>
              <w:i w:val="0"/>
              <w:noProof/>
              <w:kern w:val="2"/>
              <w:sz w:val="24"/>
              <w:szCs w:val="24"/>
              <w14:ligatures w14:val="standardContextual"/>
            </w:rPr>
          </w:pPr>
          <w:hyperlink w:history="1" w:anchor="_Toc221095574">
            <w:r w:rsidRPr="00F42375" w:rsidR="00A65D8D">
              <w:rPr>
                <w:rStyle w:val="Lienhypertexte"/>
                <w:noProof/>
              </w:rPr>
              <w:t>c) Descriptif de la prestation</w:t>
            </w:r>
            <w:r w:rsidR="00A65D8D">
              <w:rPr>
                <w:noProof/>
                <w:webHidden/>
              </w:rPr>
              <w:tab/>
            </w:r>
            <w:r w:rsidR="00A65D8D">
              <w:rPr>
                <w:noProof/>
                <w:webHidden/>
              </w:rPr>
              <w:fldChar w:fldCharType="begin"/>
            </w:r>
            <w:r w:rsidR="00A65D8D">
              <w:rPr>
                <w:noProof/>
                <w:webHidden/>
              </w:rPr>
              <w:instrText xml:space="preserve"> PAGEREF _Toc221095574 \h </w:instrText>
            </w:r>
            <w:r w:rsidR="00A65D8D">
              <w:rPr>
                <w:noProof/>
                <w:webHidden/>
              </w:rPr>
            </w:r>
            <w:r w:rsidR="00A65D8D">
              <w:rPr>
                <w:noProof/>
                <w:webHidden/>
              </w:rPr>
              <w:fldChar w:fldCharType="separate"/>
            </w:r>
            <w:r w:rsidR="00A65D8D">
              <w:rPr>
                <w:noProof/>
                <w:webHidden/>
              </w:rPr>
              <w:t>94</w:t>
            </w:r>
            <w:r w:rsidR="00A65D8D">
              <w:rPr>
                <w:noProof/>
                <w:webHidden/>
              </w:rPr>
              <w:fldChar w:fldCharType="end"/>
            </w:r>
          </w:hyperlink>
        </w:p>
        <w:p w:rsidR="00A65D8D" w:rsidRDefault="00000000" w14:paraId="32DC3964" w14:textId="575D0094">
          <w:pPr>
            <w:pStyle w:val="TM3"/>
            <w:rPr>
              <w:rFonts w:asciiTheme="minorHAnsi" w:hAnsiTheme="minorHAnsi" w:eastAsiaTheme="minorEastAsia" w:cstheme="minorBidi"/>
              <w:i w:val="0"/>
              <w:noProof/>
              <w:kern w:val="2"/>
              <w:sz w:val="24"/>
              <w:szCs w:val="24"/>
              <w14:ligatures w14:val="standardContextual"/>
            </w:rPr>
          </w:pPr>
          <w:hyperlink w:history="1" w:anchor="_Toc221095575">
            <w:r w:rsidRPr="00F42375" w:rsidR="00A65D8D">
              <w:rPr>
                <w:rStyle w:val="Lienhypertexte"/>
                <w:noProof/>
              </w:rPr>
              <w:t>d) Livrables</w:t>
            </w:r>
            <w:r w:rsidR="00A65D8D">
              <w:rPr>
                <w:noProof/>
                <w:webHidden/>
              </w:rPr>
              <w:tab/>
            </w:r>
            <w:r w:rsidR="00A65D8D">
              <w:rPr>
                <w:noProof/>
                <w:webHidden/>
              </w:rPr>
              <w:fldChar w:fldCharType="begin"/>
            </w:r>
            <w:r w:rsidR="00A65D8D">
              <w:rPr>
                <w:noProof/>
                <w:webHidden/>
              </w:rPr>
              <w:instrText xml:space="preserve"> PAGEREF _Toc221095575 \h </w:instrText>
            </w:r>
            <w:r w:rsidR="00A65D8D">
              <w:rPr>
                <w:noProof/>
                <w:webHidden/>
              </w:rPr>
            </w:r>
            <w:r w:rsidR="00A65D8D">
              <w:rPr>
                <w:noProof/>
                <w:webHidden/>
              </w:rPr>
              <w:fldChar w:fldCharType="separate"/>
            </w:r>
            <w:r w:rsidR="00A65D8D">
              <w:rPr>
                <w:noProof/>
                <w:webHidden/>
              </w:rPr>
              <w:t>95</w:t>
            </w:r>
            <w:r w:rsidR="00A65D8D">
              <w:rPr>
                <w:noProof/>
                <w:webHidden/>
              </w:rPr>
              <w:fldChar w:fldCharType="end"/>
            </w:r>
          </w:hyperlink>
        </w:p>
        <w:p w:rsidR="00A65D8D" w:rsidRDefault="00000000" w14:paraId="459274B0" w14:textId="40649648">
          <w:pPr>
            <w:pStyle w:val="TM3"/>
            <w:rPr>
              <w:rFonts w:asciiTheme="minorHAnsi" w:hAnsiTheme="minorHAnsi" w:eastAsiaTheme="minorEastAsia" w:cstheme="minorBidi"/>
              <w:i w:val="0"/>
              <w:noProof/>
              <w:kern w:val="2"/>
              <w:sz w:val="24"/>
              <w:szCs w:val="24"/>
              <w14:ligatures w14:val="standardContextual"/>
            </w:rPr>
          </w:pPr>
          <w:hyperlink w:history="1" w:anchor="_Toc221095576">
            <w:r w:rsidRPr="00F42375" w:rsidR="00A65D8D">
              <w:rPr>
                <w:rStyle w:val="Lienhypertexte"/>
                <w:noProof/>
              </w:rPr>
              <w:t>e) Exigences</w:t>
            </w:r>
            <w:r w:rsidR="00A65D8D">
              <w:rPr>
                <w:noProof/>
                <w:webHidden/>
              </w:rPr>
              <w:tab/>
            </w:r>
            <w:r w:rsidR="00A65D8D">
              <w:rPr>
                <w:noProof/>
                <w:webHidden/>
              </w:rPr>
              <w:fldChar w:fldCharType="begin"/>
            </w:r>
            <w:r w:rsidR="00A65D8D">
              <w:rPr>
                <w:noProof/>
                <w:webHidden/>
              </w:rPr>
              <w:instrText xml:space="preserve"> PAGEREF _Toc221095576 \h </w:instrText>
            </w:r>
            <w:r w:rsidR="00A65D8D">
              <w:rPr>
                <w:noProof/>
                <w:webHidden/>
              </w:rPr>
            </w:r>
            <w:r w:rsidR="00A65D8D">
              <w:rPr>
                <w:noProof/>
                <w:webHidden/>
              </w:rPr>
              <w:fldChar w:fldCharType="separate"/>
            </w:r>
            <w:r w:rsidR="00A65D8D">
              <w:rPr>
                <w:noProof/>
                <w:webHidden/>
              </w:rPr>
              <w:t>95</w:t>
            </w:r>
            <w:r w:rsidR="00A65D8D">
              <w:rPr>
                <w:noProof/>
                <w:webHidden/>
              </w:rPr>
              <w:fldChar w:fldCharType="end"/>
            </w:r>
          </w:hyperlink>
        </w:p>
        <w:p w:rsidR="00A65D8D" w:rsidRDefault="00000000" w14:paraId="1E936918" w14:textId="54E0987E">
          <w:pPr>
            <w:pStyle w:val="TM3"/>
            <w:rPr>
              <w:rFonts w:asciiTheme="minorHAnsi" w:hAnsiTheme="minorHAnsi" w:eastAsiaTheme="minorEastAsia" w:cstheme="minorBidi"/>
              <w:i w:val="0"/>
              <w:noProof/>
              <w:kern w:val="2"/>
              <w:sz w:val="24"/>
              <w:szCs w:val="24"/>
              <w14:ligatures w14:val="standardContextual"/>
            </w:rPr>
          </w:pPr>
          <w:hyperlink w:history="1" w:anchor="_Toc221095577">
            <w:r w:rsidRPr="00F42375" w:rsidR="00A65D8D">
              <w:rPr>
                <w:rStyle w:val="Lienhypertexte"/>
                <w:rFonts w:ascii="Calibri" w:hAnsi="Calibri"/>
                <w:noProof/>
              </w:rPr>
              <w:t>6.2.2.4.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SERVICE À VALEUR AJOUTÉE AUTOUR DES MÉTHODES ET TECHNIQUES D’EXPLOITATION (AUTOMATISATION,  DEPLOIEMENT, INTÉGRATION, TESTS, SUPERVISION)</w:t>
            </w:r>
            <w:r w:rsidR="00A65D8D">
              <w:rPr>
                <w:noProof/>
                <w:webHidden/>
              </w:rPr>
              <w:tab/>
            </w:r>
            <w:r w:rsidR="00A65D8D">
              <w:rPr>
                <w:noProof/>
                <w:webHidden/>
              </w:rPr>
              <w:fldChar w:fldCharType="begin"/>
            </w:r>
            <w:r w:rsidR="00A65D8D">
              <w:rPr>
                <w:noProof/>
                <w:webHidden/>
              </w:rPr>
              <w:instrText xml:space="preserve"> PAGEREF _Toc221095577 \h </w:instrText>
            </w:r>
            <w:r w:rsidR="00A65D8D">
              <w:rPr>
                <w:noProof/>
                <w:webHidden/>
              </w:rPr>
            </w:r>
            <w:r w:rsidR="00A65D8D">
              <w:rPr>
                <w:noProof/>
                <w:webHidden/>
              </w:rPr>
              <w:fldChar w:fldCharType="separate"/>
            </w:r>
            <w:r w:rsidR="00A65D8D">
              <w:rPr>
                <w:noProof/>
                <w:webHidden/>
              </w:rPr>
              <w:t>96</w:t>
            </w:r>
            <w:r w:rsidR="00A65D8D">
              <w:rPr>
                <w:noProof/>
                <w:webHidden/>
              </w:rPr>
              <w:fldChar w:fldCharType="end"/>
            </w:r>
          </w:hyperlink>
        </w:p>
        <w:p w:rsidR="00A65D8D" w:rsidRDefault="00000000" w14:paraId="18337970" w14:textId="1D403B01">
          <w:pPr>
            <w:pStyle w:val="TM3"/>
            <w:rPr>
              <w:rFonts w:asciiTheme="minorHAnsi" w:hAnsiTheme="minorHAnsi" w:eastAsiaTheme="minorEastAsia" w:cstheme="minorBidi"/>
              <w:i w:val="0"/>
              <w:noProof/>
              <w:kern w:val="2"/>
              <w:sz w:val="24"/>
              <w:szCs w:val="24"/>
              <w14:ligatures w14:val="standardContextual"/>
            </w:rPr>
          </w:pPr>
          <w:hyperlink w:history="1" w:anchor="_Toc221095578">
            <w:r w:rsidRPr="00F42375" w:rsidR="00A65D8D">
              <w:rPr>
                <w:rStyle w:val="Lienhypertexte"/>
                <w:noProof/>
              </w:rPr>
              <w:t>a) Objectifs et contexte de la prestation</w:t>
            </w:r>
            <w:r w:rsidR="00A65D8D">
              <w:rPr>
                <w:noProof/>
                <w:webHidden/>
              </w:rPr>
              <w:tab/>
            </w:r>
            <w:r w:rsidR="00A65D8D">
              <w:rPr>
                <w:noProof/>
                <w:webHidden/>
              </w:rPr>
              <w:fldChar w:fldCharType="begin"/>
            </w:r>
            <w:r w:rsidR="00A65D8D">
              <w:rPr>
                <w:noProof/>
                <w:webHidden/>
              </w:rPr>
              <w:instrText xml:space="preserve"> PAGEREF _Toc221095578 \h </w:instrText>
            </w:r>
            <w:r w:rsidR="00A65D8D">
              <w:rPr>
                <w:noProof/>
                <w:webHidden/>
              </w:rPr>
            </w:r>
            <w:r w:rsidR="00A65D8D">
              <w:rPr>
                <w:noProof/>
                <w:webHidden/>
              </w:rPr>
              <w:fldChar w:fldCharType="separate"/>
            </w:r>
            <w:r w:rsidR="00A65D8D">
              <w:rPr>
                <w:noProof/>
                <w:webHidden/>
              </w:rPr>
              <w:t>96</w:t>
            </w:r>
            <w:r w:rsidR="00A65D8D">
              <w:rPr>
                <w:noProof/>
                <w:webHidden/>
              </w:rPr>
              <w:fldChar w:fldCharType="end"/>
            </w:r>
          </w:hyperlink>
        </w:p>
        <w:p w:rsidR="00A65D8D" w:rsidRDefault="00000000" w14:paraId="09C68E9D" w14:textId="7E4D9DED">
          <w:pPr>
            <w:pStyle w:val="TM3"/>
            <w:rPr>
              <w:rFonts w:asciiTheme="minorHAnsi" w:hAnsiTheme="minorHAnsi" w:eastAsiaTheme="minorEastAsia" w:cstheme="minorBidi"/>
              <w:i w:val="0"/>
              <w:noProof/>
              <w:kern w:val="2"/>
              <w:sz w:val="24"/>
              <w:szCs w:val="24"/>
              <w14:ligatures w14:val="standardContextual"/>
            </w:rPr>
          </w:pPr>
          <w:hyperlink w:history="1" w:anchor="_Toc221095579">
            <w:r w:rsidRPr="00F42375" w:rsidR="00A65D8D">
              <w:rPr>
                <w:rStyle w:val="Lienhypertexte"/>
                <w:noProof/>
              </w:rPr>
              <w:t>b) Descriptif de la prestation</w:t>
            </w:r>
            <w:r w:rsidR="00A65D8D">
              <w:rPr>
                <w:noProof/>
                <w:webHidden/>
              </w:rPr>
              <w:tab/>
            </w:r>
            <w:r w:rsidR="00A65D8D">
              <w:rPr>
                <w:noProof/>
                <w:webHidden/>
              </w:rPr>
              <w:fldChar w:fldCharType="begin"/>
            </w:r>
            <w:r w:rsidR="00A65D8D">
              <w:rPr>
                <w:noProof/>
                <w:webHidden/>
              </w:rPr>
              <w:instrText xml:space="preserve"> PAGEREF _Toc221095579 \h </w:instrText>
            </w:r>
            <w:r w:rsidR="00A65D8D">
              <w:rPr>
                <w:noProof/>
                <w:webHidden/>
              </w:rPr>
            </w:r>
            <w:r w:rsidR="00A65D8D">
              <w:rPr>
                <w:noProof/>
                <w:webHidden/>
              </w:rPr>
              <w:fldChar w:fldCharType="separate"/>
            </w:r>
            <w:r w:rsidR="00A65D8D">
              <w:rPr>
                <w:noProof/>
                <w:webHidden/>
              </w:rPr>
              <w:t>96</w:t>
            </w:r>
            <w:r w:rsidR="00A65D8D">
              <w:rPr>
                <w:noProof/>
                <w:webHidden/>
              </w:rPr>
              <w:fldChar w:fldCharType="end"/>
            </w:r>
          </w:hyperlink>
        </w:p>
        <w:p w:rsidR="00A65D8D" w:rsidRDefault="00000000" w14:paraId="2159D71B" w14:textId="1E66BC8B">
          <w:pPr>
            <w:pStyle w:val="TM3"/>
            <w:rPr>
              <w:rFonts w:asciiTheme="minorHAnsi" w:hAnsiTheme="minorHAnsi" w:eastAsiaTheme="minorEastAsia" w:cstheme="minorBidi"/>
              <w:i w:val="0"/>
              <w:noProof/>
              <w:kern w:val="2"/>
              <w:sz w:val="24"/>
              <w:szCs w:val="24"/>
              <w14:ligatures w14:val="standardContextual"/>
            </w:rPr>
          </w:pPr>
          <w:hyperlink w:history="1" w:anchor="_Toc221095580">
            <w:r w:rsidRPr="00F42375" w:rsidR="00A65D8D">
              <w:rPr>
                <w:rStyle w:val="Lienhypertexte"/>
                <w:noProof/>
              </w:rPr>
              <w:t>c) Livrables</w:t>
            </w:r>
            <w:r w:rsidR="00A65D8D">
              <w:rPr>
                <w:noProof/>
                <w:webHidden/>
              </w:rPr>
              <w:tab/>
            </w:r>
            <w:r w:rsidR="00A65D8D">
              <w:rPr>
                <w:noProof/>
                <w:webHidden/>
              </w:rPr>
              <w:fldChar w:fldCharType="begin"/>
            </w:r>
            <w:r w:rsidR="00A65D8D">
              <w:rPr>
                <w:noProof/>
                <w:webHidden/>
              </w:rPr>
              <w:instrText xml:space="preserve"> PAGEREF _Toc221095580 \h </w:instrText>
            </w:r>
            <w:r w:rsidR="00A65D8D">
              <w:rPr>
                <w:noProof/>
                <w:webHidden/>
              </w:rPr>
            </w:r>
            <w:r w:rsidR="00A65D8D">
              <w:rPr>
                <w:noProof/>
                <w:webHidden/>
              </w:rPr>
              <w:fldChar w:fldCharType="separate"/>
            </w:r>
            <w:r w:rsidR="00A65D8D">
              <w:rPr>
                <w:noProof/>
                <w:webHidden/>
              </w:rPr>
              <w:t>97</w:t>
            </w:r>
            <w:r w:rsidR="00A65D8D">
              <w:rPr>
                <w:noProof/>
                <w:webHidden/>
              </w:rPr>
              <w:fldChar w:fldCharType="end"/>
            </w:r>
          </w:hyperlink>
        </w:p>
        <w:p w:rsidR="00A65D8D" w:rsidRDefault="00000000" w14:paraId="0E9DF7E2" w14:textId="6F16E1C6">
          <w:pPr>
            <w:pStyle w:val="TM3"/>
            <w:rPr>
              <w:rFonts w:asciiTheme="minorHAnsi" w:hAnsiTheme="minorHAnsi" w:eastAsiaTheme="minorEastAsia" w:cstheme="minorBidi"/>
              <w:i w:val="0"/>
              <w:noProof/>
              <w:kern w:val="2"/>
              <w:sz w:val="24"/>
              <w:szCs w:val="24"/>
              <w14:ligatures w14:val="standardContextual"/>
            </w:rPr>
          </w:pPr>
          <w:hyperlink w:history="1" w:anchor="_Toc221095581">
            <w:r w:rsidRPr="00F42375" w:rsidR="00A65D8D">
              <w:rPr>
                <w:rStyle w:val="Lienhypertexte"/>
                <w:noProof/>
              </w:rPr>
              <w:t>d) Exigences</w:t>
            </w:r>
            <w:r w:rsidR="00A65D8D">
              <w:rPr>
                <w:noProof/>
                <w:webHidden/>
              </w:rPr>
              <w:tab/>
            </w:r>
            <w:r w:rsidR="00A65D8D">
              <w:rPr>
                <w:noProof/>
                <w:webHidden/>
              </w:rPr>
              <w:fldChar w:fldCharType="begin"/>
            </w:r>
            <w:r w:rsidR="00A65D8D">
              <w:rPr>
                <w:noProof/>
                <w:webHidden/>
              </w:rPr>
              <w:instrText xml:space="preserve"> PAGEREF _Toc221095581 \h </w:instrText>
            </w:r>
            <w:r w:rsidR="00A65D8D">
              <w:rPr>
                <w:noProof/>
                <w:webHidden/>
              </w:rPr>
            </w:r>
            <w:r w:rsidR="00A65D8D">
              <w:rPr>
                <w:noProof/>
                <w:webHidden/>
              </w:rPr>
              <w:fldChar w:fldCharType="separate"/>
            </w:r>
            <w:r w:rsidR="00A65D8D">
              <w:rPr>
                <w:noProof/>
                <w:webHidden/>
              </w:rPr>
              <w:t>97</w:t>
            </w:r>
            <w:r w:rsidR="00A65D8D">
              <w:rPr>
                <w:noProof/>
                <w:webHidden/>
              </w:rPr>
              <w:fldChar w:fldCharType="end"/>
            </w:r>
          </w:hyperlink>
        </w:p>
        <w:p w:rsidR="00A65D8D" w:rsidRDefault="00000000" w14:paraId="5D3B611B" w14:textId="5AB89020">
          <w:pPr>
            <w:pStyle w:val="TM3"/>
            <w:rPr>
              <w:rFonts w:asciiTheme="minorHAnsi" w:hAnsiTheme="minorHAnsi" w:eastAsiaTheme="minorEastAsia" w:cstheme="minorBidi"/>
              <w:i w:val="0"/>
              <w:noProof/>
              <w:kern w:val="2"/>
              <w:sz w:val="24"/>
              <w:szCs w:val="24"/>
              <w14:ligatures w14:val="standardContextual"/>
            </w:rPr>
          </w:pPr>
          <w:hyperlink w:history="1" w:anchor="_Toc221095582">
            <w:r w:rsidRPr="00F42375" w:rsidR="00A65D8D">
              <w:rPr>
                <w:rStyle w:val="Lienhypertexte"/>
                <w:rFonts w:ascii="Calibri" w:hAnsi="Calibri"/>
                <w:noProof/>
              </w:rPr>
              <w:t>6.2.2.5.</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EXPERTISE (EXPLOITATION APPLICATIVE, TECHNIQUE ET TROUBLESHOOTING)</w:t>
            </w:r>
            <w:r w:rsidR="00A65D8D">
              <w:rPr>
                <w:noProof/>
                <w:webHidden/>
              </w:rPr>
              <w:tab/>
            </w:r>
            <w:r w:rsidR="00A65D8D">
              <w:rPr>
                <w:noProof/>
                <w:webHidden/>
              </w:rPr>
              <w:fldChar w:fldCharType="begin"/>
            </w:r>
            <w:r w:rsidR="00A65D8D">
              <w:rPr>
                <w:noProof/>
                <w:webHidden/>
              </w:rPr>
              <w:instrText xml:space="preserve"> PAGEREF _Toc221095582 \h </w:instrText>
            </w:r>
            <w:r w:rsidR="00A65D8D">
              <w:rPr>
                <w:noProof/>
                <w:webHidden/>
              </w:rPr>
            </w:r>
            <w:r w:rsidR="00A65D8D">
              <w:rPr>
                <w:noProof/>
                <w:webHidden/>
              </w:rPr>
              <w:fldChar w:fldCharType="separate"/>
            </w:r>
            <w:r w:rsidR="00A65D8D">
              <w:rPr>
                <w:noProof/>
                <w:webHidden/>
              </w:rPr>
              <w:t>98</w:t>
            </w:r>
            <w:r w:rsidR="00A65D8D">
              <w:rPr>
                <w:noProof/>
                <w:webHidden/>
              </w:rPr>
              <w:fldChar w:fldCharType="end"/>
            </w:r>
          </w:hyperlink>
        </w:p>
        <w:p w:rsidR="00A65D8D" w:rsidRDefault="00000000" w14:paraId="4A093800" w14:textId="224981B8">
          <w:pPr>
            <w:pStyle w:val="TM3"/>
            <w:rPr>
              <w:rFonts w:asciiTheme="minorHAnsi" w:hAnsiTheme="minorHAnsi" w:eastAsiaTheme="minorEastAsia" w:cstheme="minorBidi"/>
              <w:i w:val="0"/>
              <w:noProof/>
              <w:kern w:val="2"/>
              <w:sz w:val="24"/>
              <w:szCs w:val="24"/>
              <w14:ligatures w14:val="standardContextual"/>
            </w:rPr>
          </w:pPr>
          <w:hyperlink w:history="1" w:anchor="_Toc221095583">
            <w:r w:rsidRPr="00F42375" w:rsidR="00A65D8D">
              <w:rPr>
                <w:rStyle w:val="Lienhypertexte"/>
                <w:noProof/>
              </w:rPr>
              <w:t>a) Objectifs et contexte de la prestation</w:t>
            </w:r>
            <w:r w:rsidR="00A65D8D">
              <w:rPr>
                <w:noProof/>
                <w:webHidden/>
              </w:rPr>
              <w:tab/>
            </w:r>
            <w:r w:rsidR="00A65D8D">
              <w:rPr>
                <w:noProof/>
                <w:webHidden/>
              </w:rPr>
              <w:fldChar w:fldCharType="begin"/>
            </w:r>
            <w:r w:rsidR="00A65D8D">
              <w:rPr>
                <w:noProof/>
                <w:webHidden/>
              </w:rPr>
              <w:instrText xml:space="preserve"> PAGEREF _Toc221095583 \h </w:instrText>
            </w:r>
            <w:r w:rsidR="00A65D8D">
              <w:rPr>
                <w:noProof/>
                <w:webHidden/>
              </w:rPr>
            </w:r>
            <w:r w:rsidR="00A65D8D">
              <w:rPr>
                <w:noProof/>
                <w:webHidden/>
              </w:rPr>
              <w:fldChar w:fldCharType="separate"/>
            </w:r>
            <w:r w:rsidR="00A65D8D">
              <w:rPr>
                <w:noProof/>
                <w:webHidden/>
              </w:rPr>
              <w:t>98</w:t>
            </w:r>
            <w:r w:rsidR="00A65D8D">
              <w:rPr>
                <w:noProof/>
                <w:webHidden/>
              </w:rPr>
              <w:fldChar w:fldCharType="end"/>
            </w:r>
          </w:hyperlink>
        </w:p>
        <w:p w:rsidR="00A65D8D" w:rsidRDefault="00000000" w14:paraId="5EB6471E" w14:textId="002AFC4A">
          <w:pPr>
            <w:pStyle w:val="TM3"/>
            <w:rPr>
              <w:rFonts w:asciiTheme="minorHAnsi" w:hAnsiTheme="minorHAnsi" w:eastAsiaTheme="minorEastAsia" w:cstheme="minorBidi"/>
              <w:i w:val="0"/>
              <w:noProof/>
              <w:kern w:val="2"/>
              <w:sz w:val="24"/>
              <w:szCs w:val="24"/>
              <w14:ligatures w14:val="standardContextual"/>
            </w:rPr>
          </w:pPr>
          <w:hyperlink w:history="1" w:anchor="_Toc221095584">
            <w:r w:rsidRPr="00F42375" w:rsidR="00A65D8D">
              <w:rPr>
                <w:rStyle w:val="Lienhypertexte"/>
                <w:noProof/>
              </w:rPr>
              <w:t>b) Descriptif de la prestation</w:t>
            </w:r>
            <w:r w:rsidR="00A65D8D">
              <w:rPr>
                <w:noProof/>
                <w:webHidden/>
              </w:rPr>
              <w:tab/>
            </w:r>
            <w:r w:rsidR="00A65D8D">
              <w:rPr>
                <w:noProof/>
                <w:webHidden/>
              </w:rPr>
              <w:fldChar w:fldCharType="begin"/>
            </w:r>
            <w:r w:rsidR="00A65D8D">
              <w:rPr>
                <w:noProof/>
                <w:webHidden/>
              </w:rPr>
              <w:instrText xml:space="preserve"> PAGEREF _Toc221095584 \h </w:instrText>
            </w:r>
            <w:r w:rsidR="00A65D8D">
              <w:rPr>
                <w:noProof/>
                <w:webHidden/>
              </w:rPr>
            </w:r>
            <w:r w:rsidR="00A65D8D">
              <w:rPr>
                <w:noProof/>
                <w:webHidden/>
              </w:rPr>
              <w:fldChar w:fldCharType="separate"/>
            </w:r>
            <w:r w:rsidR="00A65D8D">
              <w:rPr>
                <w:noProof/>
                <w:webHidden/>
              </w:rPr>
              <w:t>98</w:t>
            </w:r>
            <w:r w:rsidR="00A65D8D">
              <w:rPr>
                <w:noProof/>
                <w:webHidden/>
              </w:rPr>
              <w:fldChar w:fldCharType="end"/>
            </w:r>
          </w:hyperlink>
        </w:p>
        <w:p w:rsidR="00A65D8D" w:rsidRDefault="00000000" w14:paraId="11D3320D" w14:textId="26FA3177">
          <w:pPr>
            <w:pStyle w:val="TM3"/>
            <w:rPr>
              <w:rFonts w:asciiTheme="minorHAnsi" w:hAnsiTheme="minorHAnsi" w:eastAsiaTheme="minorEastAsia" w:cstheme="minorBidi"/>
              <w:i w:val="0"/>
              <w:noProof/>
              <w:kern w:val="2"/>
              <w:sz w:val="24"/>
              <w:szCs w:val="24"/>
              <w14:ligatures w14:val="standardContextual"/>
            </w:rPr>
          </w:pPr>
          <w:hyperlink w:history="1" w:anchor="_Toc221095585">
            <w:r w:rsidRPr="00F42375" w:rsidR="00A65D8D">
              <w:rPr>
                <w:rStyle w:val="Lienhypertexte"/>
                <w:noProof/>
              </w:rPr>
              <w:t>c) Livrables de la prestation</w:t>
            </w:r>
            <w:r w:rsidR="00A65D8D">
              <w:rPr>
                <w:noProof/>
                <w:webHidden/>
              </w:rPr>
              <w:tab/>
            </w:r>
            <w:r w:rsidR="00A65D8D">
              <w:rPr>
                <w:noProof/>
                <w:webHidden/>
              </w:rPr>
              <w:fldChar w:fldCharType="begin"/>
            </w:r>
            <w:r w:rsidR="00A65D8D">
              <w:rPr>
                <w:noProof/>
                <w:webHidden/>
              </w:rPr>
              <w:instrText xml:space="preserve"> PAGEREF _Toc221095585 \h </w:instrText>
            </w:r>
            <w:r w:rsidR="00A65D8D">
              <w:rPr>
                <w:noProof/>
                <w:webHidden/>
              </w:rPr>
            </w:r>
            <w:r w:rsidR="00A65D8D">
              <w:rPr>
                <w:noProof/>
                <w:webHidden/>
              </w:rPr>
              <w:fldChar w:fldCharType="separate"/>
            </w:r>
            <w:r w:rsidR="00A65D8D">
              <w:rPr>
                <w:noProof/>
                <w:webHidden/>
              </w:rPr>
              <w:t>98</w:t>
            </w:r>
            <w:r w:rsidR="00A65D8D">
              <w:rPr>
                <w:noProof/>
                <w:webHidden/>
              </w:rPr>
              <w:fldChar w:fldCharType="end"/>
            </w:r>
          </w:hyperlink>
        </w:p>
        <w:p w:rsidR="00A65D8D" w:rsidRDefault="00000000" w14:paraId="6E33E2A1" w14:textId="55A6252D">
          <w:pPr>
            <w:pStyle w:val="TM3"/>
            <w:rPr>
              <w:rFonts w:asciiTheme="minorHAnsi" w:hAnsiTheme="minorHAnsi" w:eastAsiaTheme="minorEastAsia" w:cstheme="minorBidi"/>
              <w:i w:val="0"/>
              <w:noProof/>
              <w:kern w:val="2"/>
              <w:sz w:val="24"/>
              <w:szCs w:val="24"/>
              <w14:ligatures w14:val="standardContextual"/>
            </w:rPr>
          </w:pPr>
          <w:hyperlink w:history="1" w:anchor="_Toc221095586">
            <w:r w:rsidRPr="00F42375" w:rsidR="00A65D8D">
              <w:rPr>
                <w:rStyle w:val="Lienhypertexte"/>
                <w:rFonts w:ascii="Calibri" w:hAnsi="Calibri"/>
                <w:noProof/>
              </w:rPr>
              <w:t>6.2.2.6.</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REALISATION DES EVOLUTIONS MAJEURES ET DES NOUVELLES PLATEFORMES ET DES NOUVEAUX PRODUITS</w:t>
            </w:r>
            <w:r w:rsidR="00A65D8D">
              <w:rPr>
                <w:noProof/>
                <w:webHidden/>
              </w:rPr>
              <w:tab/>
            </w:r>
            <w:r w:rsidR="00A65D8D">
              <w:rPr>
                <w:noProof/>
                <w:webHidden/>
              </w:rPr>
              <w:fldChar w:fldCharType="begin"/>
            </w:r>
            <w:r w:rsidR="00A65D8D">
              <w:rPr>
                <w:noProof/>
                <w:webHidden/>
              </w:rPr>
              <w:instrText xml:space="preserve"> PAGEREF _Toc221095586 \h </w:instrText>
            </w:r>
            <w:r w:rsidR="00A65D8D">
              <w:rPr>
                <w:noProof/>
                <w:webHidden/>
              </w:rPr>
            </w:r>
            <w:r w:rsidR="00A65D8D">
              <w:rPr>
                <w:noProof/>
                <w:webHidden/>
              </w:rPr>
              <w:fldChar w:fldCharType="separate"/>
            </w:r>
            <w:r w:rsidR="00A65D8D">
              <w:rPr>
                <w:noProof/>
                <w:webHidden/>
              </w:rPr>
              <w:t>100</w:t>
            </w:r>
            <w:r w:rsidR="00A65D8D">
              <w:rPr>
                <w:noProof/>
                <w:webHidden/>
              </w:rPr>
              <w:fldChar w:fldCharType="end"/>
            </w:r>
          </w:hyperlink>
        </w:p>
        <w:p w:rsidR="00A65D8D" w:rsidRDefault="00000000" w14:paraId="578A2662" w14:textId="5B6E7377">
          <w:pPr>
            <w:pStyle w:val="TM3"/>
            <w:rPr>
              <w:rFonts w:asciiTheme="minorHAnsi" w:hAnsiTheme="minorHAnsi" w:eastAsiaTheme="minorEastAsia" w:cstheme="minorBidi"/>
              <w:i w:val="0"/>
              <w:noProof/>
              <w:kern w:val="2"/>
              <w:sz w:val="24"/>
              <w:szCs w:val="24"/>
              <w14:ligatures w14:val="standardContextual"/>
            </w:rPr>
          </w:pPr>
          <w:hyperlink w:history="1" w:anchor="_Toc221095587">
            <w:r w:rsidRPr="00F42375" w:rsidR="00A65D8D">
              <w:rPr>
                <w:rStyle w:val="Lienhypertexte"/>
                <w:noProof/>
              </w:rPr>
              <w:t>a) Objectifs et contexte de la prestation</w:t>
            </w:r>
            <w:r w:rsidR="00A65D8D">
              <w:rPr>
                <w:noProof/>
                <w:webHidden/>
              </w:rPr>
              <w:tab/>
            </w:r>
            <w:r w:rsidR="00A65D8D">
              <w:rPr>
                <w:noProof/>
                <w:webHidden/>
              </w:rPr>
              <w:fldChar w:fldCharType="begin"/>
            </w:r>
            <w:r w:rsidR="00A65D8D">
              <w:rPr>
                <w:noProof/>
                <w:webHidden/>
              </w:rPr>
              <w:instrText xml:space="preserve"> PAGEREF _Toc221095587 \h </w:instrText>
            </w:r>
            <w:r w:rsidR="00A65D8D">
              <w:rPr>
                <w:noProof/>
                <w:webHidden/>
              </w:rPr>
            </w:r>
            <w:r w:rsidR="00A65D8D">
              <w:rPr>
                <w:noProof/>
                <w:webHidden/>
              </w:rPr>
              <w:fldChar w:fldCharType="separate"/>
            </w:r>
            <w:r w:rsidR="00A65D8D">
              <w:rPr>
                <w:noProof/>
                <w:webHidden/>
              </w:rPr>
              <w:t>100</w:t>
            </w:r>
            <w:r w:rsidR="00A65D8D">
              <w:rPr>
                <w:noProof/>
                <w:webHidden/>
              </w:rPr>
              <w:fldChar w:fldCharType="end"/>
            </w:r>
          </w:hyperlink>
        </w:p>
        <w:p w:rsidR="00A65D8D" w:rsidRDefault="00000000" w14:paraId="69EF6D05" w14:textId="68F7556B">
          <w:pPr>
            <w:pStyle w:val="TM3"/>
            <w:rPr>
              <w:rFonts w:asciiTheme="minorHAnsi" w:hAnsiTheme="minorHAnsi" w:eastAsiaTheme="minorEastAsia" w:cstheme="minorBidi"/>
              <w:i w:val="0"/>
              <w:noProof/>
              <w:kern w:val="2"/>
              <w:sz w:val="24"/>
              <w:szCs w:val="24"/>
              <w14:ligatures w14:val="standardContextual"/>
            </w:rPr>
          </w:pPr>
          <w:hyperlink w:history="1" w:anchor="_Toc221095588">
            <w:r w:rsidRPr="00F42375" w:rsidR="00A65D8D">
              <w:rPr>
                <w:rStyle w:val="Lienhypertexte"/>
                <w:noProof/>
              </w:rPr>
              <w:t>b) Descriptif de la prestation</w:t>
            </w:r>
            <w:r w:rsidR="00A65D8D">
              <w:rPr>
                <w:noProof/>
                <w:webHidden/>
              </w:rPr>
              <w:tab/>
            </w:r>
            <w:r w:rsidR="00A65D8D">
              <w:rPr>
                <w:noProof/>
                <w:webHidden/>
              </w:rPr>
              <w:fldChar w:fldCharType="begin"/>
            </w:r>
            <w:r w:rsidR="00A65D8D">
              <w:rPr>
                <w:noProof/>
                <w:webHidden/>
              </w:rPr>
              <w:instrText xml:space="preserve"> PAGEREF _Toc221095588 \h </w:instrText>
            </w:r>
            <w:r w:rsidR="00A65D8D">
              <w:rPr>
                <w:noProof/>
                <w:webHidden/>
              </w:rPr>
            </w:r>
            <w:r w:rsidR="00A65D8D">
              <w:rPr>
                <w:noProof/>
                <w:webHidden/>
              </w:rPr>
              <w:fldChar w:fldCharType="separate"/>
            </w:r>
            <w:r w:rsidR="00A65D8D">
              <w:rPr>
                <w:noProof/>
                <w:webHidden/>
              </w:rPr>
              <w:t>100</w:t>
            </w:r>
            <w:r w:rsidR="00A65D8D">
              <w:rPr>
                <w:noProof/>
                <w:webHidden/>
              </w:rPr>
              <w:fldChar w:fldCharType="end"/>
            </w:r>
          </w:hyperlink>
        </w:p>
        <w:p w:rsidR="00A65D8D" w:rsidRDefault="00000000" w14:paraId="2136367B" w14:textId="2943A3DA">
          <w:pPr>
            <w:pStyle w:val="TM3"/>
            <w:rPr>
              <w:rFonts w:asciiTheme="minorHAnsi" w:hAnsiTheme="minorHAnsi" w:eastAsiaTheme="minorEastAsia" w:cstheme="minorBidi"/>
              <w:i w:val="0"/>
              <w:noProof/>
              <w:kern w:val="2"/>
              <w:sz w:val="24"/>
              <w:szCs w:val="24"/>
              <w14:ligatures w14:val="standardContextual"/>
            </w:rPr>
          </w:pPr>
          <w:hyperlink w:history="1" w:anchor="_Toc221095589">
            <w:r w:rsidRPr="00F42375" w:rsidR="00A65D8D">
              <w:rPr>
                <w:rStyle w:val="Lienhypertexte"/>
                <w:noProof/>
              </w:rPr>
              <w:t>c) Livrables</w:t>
            </w:r>
            <w:r w:rsidR="00A65D8D">
              <w:rPr>
                <w:noProof/>
                <w:webHidden/>
              </w:rPr>
              <w:tab/>
            </w:r>
            <w:r w:rsidR="00A65D8D">
              <w:rPr>
                <w:noProof/>
                <w:webHidden/>
              </w:rPr>
              <w:fldChar w:fldCharType="begin"/>
            </w:r>
            <w:r w:rsidR="00A65D8D">
              <w:rPr>
                <w:noProof/>
                <w:webHidden/>
              </w:rPr>
              <w:instrText xml:space="preserve"> PAGEREF _Toc221095589 \h </w:instrText>
            </w:r>
            <w:r w:rsidR="00A65D8D">
              <w:rPr>
                <w:noProof/>
                <w:webHidden/>
              </w:rPr>
            </w:r>
            <w:r w:rsidR="00A65D8D">
              <w:rPr>
                <w:noProof/>
                <w:webHidden/>
              </w:rPr>
              <w:fldChar w:fldCharType="separate"/>
            </w:r>
            <w:r w:rsidR="00A65D8D">
              <w:rPr>
                <w:noProof/>
                <w:webHidden/>
              </w:rPr>
              <w:t>101</w:t>
            </w:r>
            <w:r w:rsidR="00A65D8D">
              <w:rPr>
                <w:noProof/>
                <w:webHidden/>
              </w:rPr>
              <w:fldChar w:fldCharType="end"/>
            </w:r>
          </w:hyperlink>
        </w:p>
        <w:p w:rsidR="00A65D8D" w:rsidRDefault="00000000" w14:paraId="37D4C21C" w14:textId="1DBC92A4">
          <w:pPr>
            <w:pStyle w:val="TM3"/>
            <w:rPr>
              <w:rFonts w:asciiTheme="minorHAnsi" w:hAnsiTheme="minorHAnsi" w:eastAsiaTheme="minorEastAsia" w:cstheme="minorBidi"/>
              <w:i w:val="0"/>
              <w:noProof/>
              <w:kern w:val="2"/>
              <w:sz w:val="24"/>
              <w:szCs w:val="24"/>
              <w14:ligatures w14:val="standardContextual"/>
            </w:rPr>
          </w:pPr>
          <w:hyperlink w:history="1" w:anchor="_Toc221095590">
            <w:r w:rsidRPr="00F42375" w:rsidR="00A65D8D">
              <w:rPr>
                <w:rStyle w:val="Lienhypertexte"/>
                <w:rFonts w:ascii="Calibri" w:hAnsi="Calibri"/>
                <w:noProof/>
              </w:rPr>
              <w:t>6.2.2.7.</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EXPLOITATION, ADMINISTRATION ET SUPPORTS DEMARCHE DEVSECOPS</w:t>
            </w:r>
            <w:r w:rsidR="00A65D8D">
              <w:rPr>
                <w:noProof/>
                <w:webHidden/>
              </w:rPr>
              <w:tab/>
            </w:r>
            <w:r w:rsidR="00A65D8D">
              <w:rPr>
                <w:noProof/>
                <w:webHidden/>
              </w:rPr>
              <w:fldChar w:fldCharType="begin"/>
            </w:r>
            <w:r w:rsidR="00A65D8D">
              <w:rPr>
                <w:noProof/>
                <w:webHidden/>
              </w:rPr>
              <w:instrText xml:space="preserve"> PAGEREF _Toc221095590 \h </w:instrText>
            </w:r>
            <w:r w:rsidR="00A65D8D">
              <w:rPr>
                <w:noProof/>
                <w:webHidden/>
              </w:rPr>
            </w:r>
            <w:r w:rsidR="00A65D8D">
              <w:rPr>
                <w:noProof/>
                <w:webHidden/>
              </w:rPr>
              <w:fldChar w:fldCharType="separate"/>
            </w:r>
            <w:r w:rsidR="00A65D8D">
              <w:rPr>
                <w:noProof/>
                <w:webHidden/>
              </w:rPr>
              <w:t>101</w:t>
            </w:r>
            <w:r w:rsidR="00A65D8D">
              <w:rPr>
                <w:noProof/>
                <w:webHidden/>
              </w:rPr>
              <w:fldChar w:fldCharType="end"/>
            </w:r>
          </w:hyperlink>
        </w:p>
        <w:p w:rsidR="00A65D8D" w:rsidRDefault="00000000" w14:paraId="78277333" w14:textId="119DAE5A">
          <w:pPr>
            <w:pStyle w:val="TM3"/>
            <w:rPr>
              <w:rFonts w:asciiTheme="minorHAnsi" w:hAnsiTheme="minorHAnsi" w:eastAsiaTheme="minorEastAsia" w:cstheme="minorBidi"/>
              <w:i w:val="0"/>
              <w:noProof/>
              <w:kern w:val="2"/>
              <w:sz w:val="24"/>
              <w:szCs w:val="24"/>
              <w14:ligatures w14:val="standardContextual"/>
            </w:rPr>
          </w:pPr>
          <w:hyperlink w:history="1" w:anchor="_Toc221095591">
            <w:r w:rsidRPr="00F42375" w:rsidR="00A65D8D">
              <w:rPr>
                <w:rStyle w:val="Lienhypertexte"/>
                <w:noProof/>
              </w:rPr>
              <w:t>a) Objectifs et contexte de la prestation</w:t>
            </w:r>
            <w:r w:rsidR="00A65D8D">
              <w:rPr>
                <w:noProof/>
                <w:webHidden/>
              </w:rPr>
              <w:tab/>
            </w:r>
            <w:r w:rsidR="00A65D8D">
              <w:rPr>
                <w:noProof/>
                <w:webHidden/>
              </w:rPr>
              <w:fldChar w:fldCharType="begin"/>
            </w:r>
            <w:r w:rsidR="00A65D8D">
              <w:rPr>
                <w:noProof/>
                <w:webHidden/>
              </w:rPr>
              <w:instrText xml:space="preserve"> PAGEREF _Toc221095591 \h </w:instrText>
            </w:r>
            <w:r w:rsidR="00A65D8D">
              <w:rPr>
                <w:noProof/>
                <w:webHidden/>
              </w:rPr>
            </w:r>
            <w:r w:rsidR="00A65D8D">
              <w:rPr>
                <w:noProof/>
                <w:webHidden/>
              </w:rPr>
              <w:fldChar w:fldCharType="separate"/>
            </w:r>
            <w:r w:rsidR="00A65D8D">
              <w:rPr>
                <w:noProof/>
                <w:webHidden/>
              </w:rPr>
              <w:t>101</w:t>
            </w:r>
            <w:r w:rsidR="00A65D8D">
              <w:rPr>
                <w:noProof/>
                <w:webHidden/>
              </w:rPr>
              <w:fldChar w:fldCharType="end"/>
            </w:r>
          </w:hyperlink>
        </w:p>
        <w:p w:rsidR="00A65D8D" w:rsidRDefault="00000000" w14:paraId="1C7B733A" w14:textId="29790A04">
          <w:pPr>
            <w:pStyle w:val="TM3"/>
            <w:rPr>
              <w:rFonts w:asciiTheme="minorHAnsi" w:hAnsiTheme="minorHAnsi" w:eastAsiaTheme="minorEastAsia" w:cstheme="minorBidi"/>
              <w:i w:val="0"/>
              <w:noProof/>
              <w:kern w:val="2"/>
              <w:sz w:val="24"/>
              <w:szCs w:val="24"/>
              <w14:ligatures w14:val="standardContextual"/>
            </w:rPr>
          </w:pPr>
          <w:hyperlink w:history="1" w:anchor="_Toc221095592">
            <w:r w:rsidRPr="00F42375" w:rsidR="00A65D8D">
              <w:rPr>
                <w:rStyle w:val="Lienhypertexte"/>
                <w:noProof/>
              </w:rPr>
              <w:t>b) Périmètre technique</w:t>
            </w:r>
            <w:r w:rsidR="00A65D8D">
              <w:rPr>
                <w:noProof/>
                <w:webHidden/>
              </w:rPr>
              <w:tab/>
            </w:r>
            <w:r w:rsidR="00A65D8D">
              <w:rPr>
                <w:noProof/>
                <w:webHidden/>
              </w:rPr>
              <w:fldChar w:fldCharType="begin"/>
            </w:r>
            <w:r w:rsidR="00A65D8D">
              <w:rPr>
                <w:noProof/>
                <w:webHidden/>
              </w:rPr>
              <w:instrText xml:space="preserve"> PAGEREF _Toc221095592 \h </w:instrText>
            </w:r>
            <w:r w:rsidR="00A65D8D">
              <w:rPr>
                <w:noProof/>
                <w:webHidden/>
              </w:rPr>
            </w:r>
            <w:r w:rsidR="00A65D8D">
              <w:rPr>
                <w:noProof/>
                <w:webHidden/>
              </w:rPr>
              <w:fldChar w:fldCharType="separate"/>
            </w:r>
            <w:r w:rsidR="00A65D8D">
              <w:rPr>
                <w:noProof/>
                <w:webHidden/>
              </w:rPr>
              <w:t>102</w:t>
            </w:r>
            <w:r w:rsidR="00A65D8D">
              <w:rPr>
                <w:noProof/>
                <w:webHidden/>
              </w:rPr>
              <w:fldChar w:fldCharType="end"/>
            </w:r>
          </w:hyperlink>
        </w:p>
        <w:p w:rsidR="00A65D8D" w:rsidRDefault="00000000" w14:paraId="470029BF" w14:textId="5827A4FC">
          <w:pPr>
            <w:pStyle w:val="TM3"/>
            <w:rPr>
              <w:rFonts w:asciiTheme="minorHAnsi" w:hAnsiTheme="minorHAnsi" w:eastAsiaTheme="minorEastAsia" w:cstheme="minorBidi"/>
              <w:i w:val="0"/>
              <w:noProof/>
              <w:kern w:val="2"/>
              <w:sz w:val="24"/>
              <w:szCs w:val="24"/>
              <w14:ligatures w14:val="standardContextual"/>
            </w:rPr>
          </w:pPr>
          <w:hyperlink w:history="1" w:anchor="_Toc221095593">
            <w:r w:rsidRPr="00F42375" w:rsidR="00A65D8D">
              <w:rPr>
                <w:rStyle w:val="Lienhypertexte"/>
                <w:noProof/>
              </w:rPr>
              <w:t>c) Descriptif de la prestation</w:t>
            </w:r>
            <w:r w:rsidR="00A65D8D">
              <w:rPr>
                <w:noProof/>
                <w:webHidden/>
              </w:rPr>
              <w:tab/>
            </w:r>
            <w:r w:rsidR="00A65D8D">
              <w:rPr>
                <w:noProof/>
                <w:webHidden/>
              </w:rPr>
              <w:fldChar w:fldCharType="begin"/>
            </w:r>
            <w:r w:rsidR="00A65D8D">
              <w:rPr>
                <w:noProof/>
                <w:webHidden/>
              </w:rPr>
              <w:instrText xml:space="preserve"> PAGEREF _Toc221095593 \h </w:instrText>
            </w:r>
            <w:r w:rsidR="00A65D8D">
              <w:rPr>
                <w:noProof/>
                <w:webHidden/>
              </w:rPr>
            </w:r>
            <w:r w:rsidR="00A65D8D">
              <w:rPr>
                <w:noProof/>
                <w:webHidden/>
              </w:rPr>
              <w:fldChar w:fldCharType="separate"/>
            </w:r>
            <w:r w:rsidR="00A65D8D">
              <w:rPr>
                <w:noProof/>
                <w:webHidden/>
              </w:rPr>
              <w:t>102</w:t>
            </w:r>
            <w:r w:rsidR="00A65D8D">
              <w:rPr>
                <w:noProof/>
                <w:webHidden/>
              </w:rPr>
              <w:fldChar w:fldCharType="end"/>
            </w:r>
          </w:hyperlink>
        </w:p>
        <w:p w:rsidR="00A65D8D" w:rsidRDefault="00000000" w14:paraId="6C4E6EA2" w14:textId="5CEFABBC">
          <w:pPr>
            <w:pStyle w:val="TM3"/>
            <w:rPr>
              <w:rFonts w:asciiTheme="minorHAnsi" w:hAnsiTheme="minorHAnsi" w:eastAsiaTheme="minorEastAsia" w:cstheme="minorBidi"/>
              <w:i w:val="0"/>
              <w:noProof/>
              <w:kern w:val="2"/>
              <w:sz w:val="24"/>
              <w:szCs w:val="24"/>
              <w14:ligatures w14:val="standardContextual"/>
            </w:rPr>
          </w:pPr>
          <w:hyperlink w:history="1" w:anchor="_Toc221095594">
            <w:r w:rsidRPr="00F42375" w:rsidR="00A65D8D">
              <w:rPr>
                <w:rStyle w:val="Lienhypertexte"/>
                <w:rFonts w:ascii="Calibri" w:hAnsi="Calibri"/>
                <w:noProof/>
              </w:rPr>
              <w:t>6.2.2.8.</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ASTREINTES ET INTERVENTIONS ASSOCIÉES</w:t>
            </w:r>
            <w:r w:rsidR="00A65D8D">
              <w:rPr>
                <w:noProof/>
                <w:webHidden/>
              </w:rPr>
              <w:tab/>
            </w:r>
            <w:r w:rsidR="00A65D8D">
              <w:rPr>
                <w:noProof/>
                <w:webHidden/>
              </w:rPr>
              <w:fldChar w:fldCharType="begin"/>
            </w:r>
            <w:r w:rsidR="00A65D8D">
              <w:rPr>
                <w:noProof/>
                <w:webHidden/>
              </w:rPr>
              <w:instrText xml:space="preserve"> PAGEREF _Toc221095594 \h </w:instrText>
            </w:r>
            <w:r w:rsidR="00A65D8D">
              <w:rPr>
                <w:noProof/>
                <w:webHidden/>
              </w:rPr>
            </w:r>
            <w:r w:rsidR="00A65D8D">
              <w:rPr>
                <w:noProof/>
                <w:webHidden/>
              </w:rPr>
              <w:fldChar w:fldCharType="separate"/>
            </w:r>
            <w:r w:rsidR="00A65D8D">
              <w:rPr>
                <w:noProof/>
                <w:webHidden/>
              </w:rPr>
              <w:t>105</w:t>
            </w:r>
            <w:r w:rsidR="00A65D8D">
              <w:rPr>
                <w:noProof/>
                <w:webHidden/>
              </w:rPr>
              <w:fldChar w:fldCharType="end"/>
            </w:r>
          </w:hyperlink>
        </w:p>
        <w:p w:rsidR="00A65D8D" w:rsidRDefault="00000000" w14:paraId="17F72C6C" w14:textId="4E88ED02">
          <w:pPr>
            <w:pStyle w:val="TM3"/>
            <w:rPr>
              <w:rFonts w:asciiTheme="minorHAnsi" w:hAnsiTheme="minorHAnsi" w:eastAsiaTheme="minorEastAsia" w:cstheme="minorBidi"/>
              <w:i w:val="0"/>
              <w:noProof/>
              <w:kern w:val="2"/>
              <w:sz w:val="24"/>
              <w:szCs w:val="24"/>
              <w14:ligatures w14:val="standardContextual"/>
            </w:rPr>
          </w:pPr>
          <w:hyperlink w:history="1" w:anchor="_Toc221095595">
            <w:r w:rsidRPr="00F42375" w:rsidR="00A65D8D">
              <w:rPr>
                <w:rStyle w:val="Lienhypertexte"/>
                <w:noProof/>
              </w:rPr>
              <w:t>a) Objectifs et contexte de la prestation</w:t>
            </w:r>
            <w:r w:rsidR="00A65D8D">
              <w:rPr>
                <w:noProof/>
                <w:webHidden/>
              </w:rPr>
              <w:tab/>
            </w:r>
            <w:r w:rsidR="00A65D8D">
              <w:rPr>
                <w:noProof/>
                <w:webHidden/>
              </w:rPr>
              <w:fldChar w:fldCharType="begin"/>
            </w:r>
            <w:r w:rsidR="00A65D8D">
              <w:rPr>
                <w:noProof/>
                <w:webHidden/>
              </w:rPr>
              <w:instrText xml:space="preserve"> PAGEREF _Toc221095595 \h </w:instrText>
            </w:r>
            <w:r w:rsidR="00A65D8D">
              <w:rPr>
                <w:noProof/>
                <w:webHidden/>
              </w:rPr>
            </w:r>
            <w:r w:rsidR="00A65D8D">
              <w:rPr>
                <w:noProof/>
                <w:webHidden/>
              </w:rPr>
              <w:fldChar w:fldCharType="separate"/>
            </w:r>
            <w:r w:rsidR="00A65D8D">
              <w:rPr>
                <w:noProof/>
                <w:webHidden/>
              </w:rPr>
              <w:t>105</w:t>
            </w:r>
            <w:r w:rsidR="00A65D8D">
              <w:rPr>
                <w:noProof/>
                <w:webHidden/>
              </w:rPr>
              <w:fldChar w:fldCharType="end"/>
            </w:r>
          </w:hyperlink>
        </w:p>
        <w:p w:rsidR="00A65D8D" w:rsidRDefault="00000000" w14:paraId="006FF08C" w14:textId="0777C079">
          <w:pPr>
            <w:pStyle w:val="TM3"/>
            <w:rPr>
              <w:rFonts w:asciiTheme="minorHAnsi" w:hAnsiTheme="minorHAnsi" w:eastAsiaTheme="minorEastAsia" w:cstheme="minorBidi"/>
              <w:i w:val="0"/>
              <w:noProof/>
              <w:kern w:val="2"/>
              <w:sz w:val="24"/>
              <w:szCs w:val="24"/>
              <w14:ligatures w14:val="standardContextual"/>
            </w:rPr>
          </w:pPr>
          <w:hyperlink w:history="1" w:anchor="_Toc221095596">
            <w:r w:rsidRPr="00F42375" w:rsidR="00A65D8D">
              <w:rPr>
                <w:rStyle w:val="Lienhypertexte"/>
                <w:noProof/>
              </w:rPr>
              <w:t>b) Périmètre technique</w:t>
            </w:r>
            <w:r w:rsidR="00A65D8D">
              <w:rPr>
                <w:noProof/>
                <w:webHidden/>
              </w:rPr>
              <w:tab/>
            </w:r>
            <w:r w:rsidR="00A65D8D">
              <w:rPr>
                <w:noProof/>
                <w:webHidden/>
              </w:rPr>
              <w:fldChar w:fldCharType="begin"/>
            </w:r>
            <w:r w:rsidR="00A65D8D">
              <w:rPr>
                <w:noProof/>
                <w:webHidden/>
              </w:rPr>
              <w:instrText xml:space="preserve"> PAGEREF _Toc221095596 \h </w:instrText>
            </w:r>
            <w:r w:rsidR="00A65D8D">
              <w:rPr>
                <w:noProof/>
                <w:webHidden/>
              </w:rPr>
            </w:r>
            <w:r w:rsidR="00A65D8D">
              <w:rPr>
                <w:noProof/>
                <w:webHidden/>
              </w:rPr>
              <w:fldChar w:fldCharType="separate"/>
            </w:r>
            <w:r w:rsidR="00A65D8D">
              <w:rPr>
                <w:noProof/>
                <w:webHidden/>
              </w:rPr>
              <w:t>105</w:t>
            </w:r>
            <w:r w:rsidR="00A65D8D">
              <w:rPr>
                <w:noProof/>
                <w:webHidden/>
              </w:rPr>
              <w:fldChar w:fldCharType="end"/>
            </w:r>
          </w:hyperlink>
        </w:p>
        <w:p w:rsidR="00A65D8D" w:rsidRDefault="00000000" w14:paraId="616BDF02" w14:textId="701DCD0E">
          <w:pPr>
            <w:pStyle w:val="TM3"/>
            <w:rPr>
              <w:rFonts w:asciiTheme="minorHAnsi" w:hAnsiTheme="minorHAnsi" w:eastAsiaTheme="minorEastAsia" w:cstheme="minorBidi"/>
              <w:i w:val="0"/>
              <w:noProof/>
              <w:kern w:val="2"/>
              <w:sz w:val="24"/>
              <w:szCs w:val="24"/>
              <w14:ligatures w14:val="standardContextual"/>
            </w:rPr>
          </w:pPr>
          <w:hyperlink w:history="1" w:anchor="_Toc221095597">
            <w:r w:rsidRPr="00F42375" w:rsidR="00A65D8D">
              <w:rPr>
                <w:rStyle w:val="Lienhypertexte"/>
                <w:noProof/>
              </w:rPr>
              <w:t>c) Descriptif de la prestation</w:t>
            </w:r>
            <w:r w:rsidR="00A65D8D">
              <w:rPr>
                <w:noProof/>
                <w:webHidden/>
              </w:rPr>
              <w:tab/>
            </w:r>
            <w:r w:rsidR="00A65D8D">
              <w:rPr>
                <w:noProof/>
                <w:webHidden/>
              </w:rPr>
              <w:fldChar w:fldCharType="begin"/>
            </w:r>
            <w:r w:rsidR="00A65D8D">
              <w:rPr>
                <w:noProof/>
                <w:webHidden/>
              </w:rPr>
              <w:instrText xml:space="preserve"> PAGEREF _Toc221095597 \h </w:instrText>
            </w:r>
            <w:r w:rsidR="00A65D8D">
              <w:rPr>
                <w:noProof/>
                <w:webHidden/>
              </w:rPr>
            </w:r>
            <w:r w:rsidR="00A65D8D">
              <w:rPr>
                <w:noProof/>
                <w:webHidden/>
              </w:rPr>
              <w:fldChar w:fldCharType="separate"/>
            </w:r>
            <w:r w:rsidR="00A65D8D">
              <w:rPr>
                <w:noProof/>
                <w:webHidden/>
              </w:rPr>
              <w:t>105</w:t>
            </w:r>
            <w:r w:rsidR="00A65D8D">
              <w:rPr>
                <w:noProof/>
                <w:webHidden/>
              </w:rPr>
              <w:fldChar w:fldCharType="end"/>
            </w:r>
          </w:hyperlink>
        </w:p>
        <w:p w:rsidR="00A65D8D" w:rsidRDefault="00000000" w14:paraId="025739C1" w14:textId="226E8AD0">
          <w:pPr>
            <w:pStyle w:val="TM3"/>
            <w:rPr>
              <w:rFonts w:asciiTheme="minorHAnsi" w:hAnsiTheme="minorHAnsi" w:eastAsiaTheme="minorEastAsia" w:cstheme="minorBidi"/>
              <w:i w:val="0"/>
              <w:noProof/>
              <w:kern w:val="2"/>
              <w:sz w:val="24"/>
              <w:szCs w:val="24"/>
              <w14:ligatures w14:val="standardContextual"/>
            </w:rPr>
          </w:pPr>
          <w:hyperlink w:history="1" w:anchor="_Toc221095598">
            <w:r w:rsidRPr="00F42375" w:rsidR="00A65D8D">
              <w:rPr>
                <w:rStyle w:val="Lienhypertexte"/>
                <w:noProof/>
              </w:rPr>
              <w:t>d) Livrables</w:t>
            </w:r>
            <w:r w:rsidR="00A65D8D">
              <w:rPr>
                <w:noProof/>
                <w:webHidden/>
              </w:rPr>
              <w:tab/>
            </w:r>
            <w:r w:rsidR="00A65D8D">
              <w:rPr>
                <w:noProof/>
                <w:webHidden/>
              </w:rPr>
              <w:fldChar w:fldCharType="begin"/>
            </w:r>
            <w:r w:rsidR="00A65D8D">
              <w:rPr>
                <w:noProof/>
                <w:webHidden/>
              </w:rPr>
              <w:instrText xml:space="preserve"> PAGEREF _Toc221095598 \h </w:instrText>
            </w:r>
            <w:r w:rsidR="00A65D8D">
              <w:rPr>
                <w:noProof/>
                <w:webHidden/>
              </w:rPr>
            </w:r>
            <w:r w:rsidR="00A65D8D">
              <w:rPr>
                <w:noProof/>
                <w:webHidden/>
              </w:rPr>
              <w:fldChar w:fldCharType="separate"/>
            </w:r>
            <w:r w:rsidR="00A65D8D">
              <w:rPr>
                <w:noProof/>
                <w:webHidden/>
              </w:rPr>
              <w:t>106</w:t>
            </w:r>
            <w:r w:rsidR="00A65D8D">
              <w:rPr>
                <w:noProof/>
                <w:webHidden/>
              </w:rPr>
              <w:fldChar w:fldCharType="end"/>
            </w:r>
          </w:hyperlink>
        </w:p>
        <w:p w:rsidR="00A65D8D" w:rsidRDefault="00000000" w14:paraId="674F60E0" w14:textId="5124CB45">
          <w:pPr>
            <w:pStyle w:val="TM3"/>
            <w:rPr>
              <w:rFonts w:asciiTheme="minorHAnsi" w:hAnsiTheme="minorHAnsi" w:eastAsiaTheme="minorEastAsia" w:cstheme="minorBidi"/>
              <w:i w:val="0"/>
              <w:noProof/>
              <w:kern w:val="2"/>
              <w:sz w:val="24"/>
              <w:szCs w:val="24"/>
              <w14:ligatures w14:val="standardContextual"/>
            </w:rPr>
          </w:pPr>
          <w:hyperlink w:history="1" w:anchor="_Toc221095599">
            <w:r w:rsidRPr="00F42375" w:rsidR="00A65D8D">
              <w:rPr>
                <w:rStyle w:val="Lienhypertexte"/>
                <w:rFonts w:ascii="Calibri" w:hAnsi="Calibri"/>
                <w:noProof/>
              </w:rPr>
              <w:t>6.2.2.9.</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I - Réversibilité et transfert de compétences</w:t>
            </w:r>
            <w:r w:rsidR="00A65D8D">
              <w:rPr>
                <w:noProof/>
                <w:webHidden/>
              </w:rPr>
              <w:tab/>
            </w:r>
            <w:r w:rsidR="00A65D8D">
              <w:rPr>
                <w:noProof/>
                <w:webHidden/>
              </w:rPr>
              <w:fldChar w:fldCharType="begin"/>
            </w:r>
            <w:r w:rsidR="00A65D8D">
              <w:rPr>
                <w:noProof/>
                <w:webHidden/>
              </w:rPr>
              <w:instrText xml:space="preserve"> PAGEREF _Toc221095599 \h </w:instrText>
            </w:r>
            <w:r w:rsidR="00A65D8D">
              <w:rPr>
                <w:noProof/>
                <w:webHidden/>
              </w:rPr>
            </w:r>
            <w:r w:rsidR="00A65D8D">
              <w:rPr>
                <w:noProof/>
                <w:webHidden/>
              </w:rPr>
              <w:fldChar w:fldCharType="separate"/>
            </w:r>
            <w:r w:rsidR="00A65D8D">
              <w:rPr>
                <w:noProof/>
                <w:webHidden/>
              </w:rPr>
              <w:t>106</w:t>
            </w:r>
            <w:r w:rsidR="00A65D8D">
              <w:rPr>
                <w:noProof/>
                <w:webHidden/>
              </w:rPr>
              <w:fldChar w:fldCharType="end"/>
            </w:r>
          </w:hyperlink>
        </w:p>
        <w:p w:rsidR="00A65D8D" w:rsidRDefault="00000000" w14:paraId="6B446151" w14:textId="6248F6A5">
          <w:pPr>
            <w:pStyle w:val="TM3"/>
            <w:rPr>
              <w:rFonts w:asciiTheme="minorHAnsi" w:hAnsiTheme="minorHAnsi" w:eastAsiaTheme="minorEastAsia" w:cstheme="minorBidi"/>
              <w:i w:val="0"/>
              <w:noProof/>
              <w:kern w:val="2"/>
              <w:sz w:val="24"/>
              <w:szCs w:val="24"/>
              <w14:ligatures w14:val="standardContextual"/>
            </w:rPr>
          </w:pPr>
          <w:hyperlink w:history="1" w:anchor="_Toc221095600">
            <w:r w:rsidRPr="00F42375" w:rsidR="00A65D8D">
              <w:rPr>
                <w:rStyle w:val="Lienhypertexte"/>
                <w:noProof/>
              </w:rPr>
              <w:t>a) Objectifs et contexte de la prestation</w:t>
            </w:r>
            <w:r w:rsidR="00A65D8D">
              <w:rPr>
                <w:noProof/>
                <w:webHidden/>
              </w:rPr>
              <w:tab/>
            </w:r>
            <w:r w:rsidR="00A65D8D">
              <w:rPr>
                <w:noProof/>
                <w:webHidden/>
              </w:rPr>
              <w:fldChar w:fldCharType="begin"/>
            </w:r>
            <w:r w:rsidR="00A65D8D">
              <w:rPr>
                <w:noProof/>
                <w:webHidden/>
              </w:rPr>
              <w:instrText xml:space="preserve"> PAGEREF _Toc221095600 \h </w:instrText>
            </w:r>
            <w:r w:rsidR="00A65D8D">
              <w:rPr>
                <w:noProof/>
                <w:webHidden/>
              </w:rPr>
            </w:r>
            <w:r w:rsidR="00A65D8D">
              <w:rPr>
                <w:noProof/>
                <w:webHidden/>
              </w:rPr>
              <w:fldChar w:fldCharType="separate"/>
            </w:r>
            <w:r w:rsidR="00A65D8D">
              <w:rPr>
                <w:noProof/>
                <w:webHidden/>
              </w:rPr>
              <w:t>106</w:t>
            </w:r>
            <w:r w:rsidR="00A65D8D">
              <w:rPr>
                <w:noProof/>
                <w:webHidden/>
              </w:rPr>
              <w:fldChar w:fldCharType="end"/>
            </w:r>
          </w:hyperlink>
        </w:p>
        <w:p w:rsidR="00A65D8D" w:rsidRDefault="00000000" w14:paraId="39565F81" w14:textId="5F79FCE9">
          <w:pPr>
            <w:pStyle w:val="TM3"/>
            <w:rPr>
              <w:rFonts w:asciiTheme="minorHAnsi" w:hAnsiTheme="minorHAnsi" w:eastAsiaTheme="minorEastAsia" w:cstheme="minorBidi"/>
              <w:i w:val="0"/>
              <w:noProof/>
              <w:kern w:val="2"/>
              <w:sz w:val="24"/>
              <w:szCs w:val="24"/>
              <w14:ligatures w14:val="standardContextual"/>
            </w:rPr>
          </w:pPr>
          <w:hyperlink w:history="1" w:anchor="_Toc221095601">
            <w:r w:rsidRPr="00F42375" w:rsidR="00A65D8D">
              <w:rPr>
                <w:rStyle w:val="Lienhypertexte"/>
                <w:noProof/>
              </w:rPr>
              <w:t>b) Descriptif de la prestation</w:t>
            </w:r>
            <w:r w:rsidR="00A65D8D">
              <w:rPr>
                <w:noProof/>
                <w:webHidden/>
              </w:rPr>
              <w:tab/>
            </w:r>
            <w:r w:rsidR="00A65D8D">
              <w:rPr>
                <w:noProof/>
                <w:webHidden/>
              </w:rPr>
              <w:fldChar w:fldCharType="begin"/>
            </w:r>
            <w:r w:rsidR="00A65D8D">
              <w:rPr>
                <w:noProof/>
                <w:webHidden/>
              </w:rPr>
              <w:instrText xml:space="preserve"> PAGEREF _Toc221095601 \h </w:instrText>
            </w:r>
            <w:r w:rsidR="00A65D8D">
              <w:rPr>
                <w:noProof/>
                <w:webHidden/>
              </w:rPr>
            </w:r>
            <w:r w:rsidR="00A65D8D">
              <w:rPr>
                <w:noProof/>
                <w:webHidden/>
              </w:rPr>
              <w:fldChar w:fldCharType="separate"/>
            </w:r>
            <w:r w:rsidR="00A65D8D">
              <w:rPr>
                <w:noProof/>
                <w:webHidden/>
              </w:rPr>
              <w:t>106</w:t>
            </w:r>
            <w:r w:rsidR="00A65D8D">
              <w:rPr>
                <w:noProof/>
                <w:webHidden/>
              </w:rPr>
              <w:fldChar w:fldCharType="end"/>
            </w:r>
          </w:hyperlink>
        </w:p>
        <w:p w:rsidR="00A65D8D" w:rsidRDefault="00000000" w14:paraId="419AB41A" w14:textId="33BE1F30">
          <w:pPr>
            <w:pStyle w:val="TM3"/>
            <w:rPr>
              <w:rFonts w:asciiTheme="minorHAnsi" w:hAnsiTheme="minorHAnsi" w:eastAsiaTheme="minorEastAsia" w:cstheme="minorBidi"/>
              <w:i w:val="0"/>
              <w:noProof/>
              <w:kern w:val="2"/>
              <w:sz w:val="24"/>
              <w:szCs w:val="24"/>
              <w14:ligatures w14:val="standardContextual"/>
            </w:rPr>
          </w:pPr>
          <w:hyperlink w:history="1" w:anchor="_Toc221095602">
            <w:r w:rsidRPr="00F42375" w:rsidR="00A65D8D">
              <w:rPr>
                <w:rStyle w:val="Lienhypertexte"/>
                <w:rFonts w:ascii="Calibri" w:hAnsi="Calibri"/>
                <w:noProof/>
              </w:rPr>
              <w:t>6.2.3.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Lot 3 - Usine à environnement kubernetes</w:t>
            </w:r>
            <w:r w:rsidR="00A65D8D">
              <w:rPr>
                <w:noProof/>
                <w:webHidden/>
              </w:rPr>
              <w:tab/>
            </w:r>
            <w:r w:rsidR="00A65D8D">
              <w:rPr>
                <w:noProof/>
                <w:webHidden/>
              </w:rPr>
              <w:fldChar w:fldCharType="begin"/>
            </w:r>
            <w:r w:rsidR="00A65D8D">
              <w:rPr>
                <w:noProof/>
                <w:webHidden/>
              </w:rPr>
              <w:instrText xml:space="preserve"> PAGEREF _Toc221095602 \h </w:instrText>
            </w:r>
            <w:r w:rsidR="00A65D8D">
              <w:rPr>
                <w:noProof/>
                <w:webHidden/>
              </w:rPr>
            </w:r>
            <w:r w:rsidR="00A65D8D">
              <w:rPr>
                <w:noProof/>
                <w:webHidden/>
              </w:rPr>
              <w:fldChar w:fldCharType="separate"/>
            </w:r>
            <w:r w:rsidR="00A65D8D">
              <w:rPr>
                <w:noProof/>
                <w:webHidden/>
              </w:rPr>
              <w:t>107</w:t>
            </w:r>
            <w:r w:rsidR="00A65D8D">
              <w:rPr>
                <w:noProof/>
                <w:webHidden/>
              </w:rPr>
              <w:fldChar w:fldCharType="end"/>
            </w:r>
          </w:hyperlink>
        </w:p>
        <w:p w:rsidR="00A65D8D" w:rsidRDefault="00000000" w14:paraId="66FC13EC" w14:textId="5E087953">
          <w:pPr>
            <w:pStyle w:val="TM1"/>
            <w:rPr>
              <w:rFonts w:asciiTheme="minorHAnsi" w:hAnsiTheme="minorHAnsi" w:eastAsiaTheme="minorEastAsia" w:cstheme="minorBidi"/>
              <w:b w:val="0"/>
              <w:bCs w:val="0"/>
              <w:i w:val="0"/>
              <w:iCs w:val="0"/>
              <w:noProof/>
              <w:kern w:val="2"/>
              <w14:ligatures w14:val="standardContextual"/>
            </w:rPr>
          </w:pPr>
          <w:hyperlink w:history="1" w:anchor="_Toc221095603">
            <w:r w:rsidRPr="00F42375" w:rsidR="00A65D8D">
              <w:rPr>
                <w:rStyle w:val="Lienhypertexte"/>
                <w:noProof/>
              </w:rPr>
              <w:t>7.</w:t>
            </w:r>
            <w:r w:rsidR="00A65D8D">
              <w:rPr>
                <w:rFonts w:asciiTheme="minorHAnsi" w:hAnsiTheme="minorHAnsi" w:eastAsiaTheme="minorEastAsia" w:cstheme="minorBidi"/>
                <w:b w:val="0"/>
                <w:bCs w:val="0"/>
                <w:i w:val="0"/>
                <w:iCs w:val="0"/>
                <w:noProof/>
                <w:kern w:val="2"/>
                <w14:ligatures w14:val="standardContextual"/>
              </w:rPr>
              <w:tab/>
            </w:r>
            <w:r w:rsidRPr="00F42375" w:rsidR="00A65D8D">
              <w:rPr>
                <w:rStyle w:val="Lienhypertexte"/>
                <w:noProof/>
              </w:rPr>
              <w:t>Annexes</w:t>
            </w:r>
            <w:r w:rsidR="00A65D8D">
              <w:rPr>
                <w:noProof/>
                <w:webHidden/>
              </w:rPr>
              <w:tab/>
            </w:r>
            <w:r w:rsidR="00A65D8D">
              <w:rPr>
                <w:noProof/>
                <w:webHidden/>
              </w:rPr>
              <w:fldChar w:fldCharType="begin"/>
            </w:r>
            <w:r w:rsidR="00A65D8D">
              <w:rPr>
                <w:noProof/>
                <w:webHidden/>
              </w:rPr>
              <w:instrText xml:space="preserve"> PAGEREF _Toc221095603 \h </w:instrText>
            </w:r>
            <w:r w:rsidR="00A65D8D">
              <w:rPr>
                <w:noProof/>
                <w:webHidden/>
              </w:rPr>
            </w:r>
            <w:r w:rsidR="00A65D8D">
              <w:rPr>
                <w:noProof/>
                <w:webHidden/>
              </w:rPr>
              <w:fldChar w:fldCharType="separate"/>
            </w:r>
            <w:r w:rsidR="00A65D8D">
              <w:rPr>
                <w:noProof/>
                <w:webHidden/>
              </w:rPr>
              <w:t>119</w:t>
            </w:r>
            <w:r w:rsidR="00A65D8D">
              <w:rPr>
                <w:noProof/>
                <w:webHidden/>
              </w:rPr>
              <w:fldChar w:fldCharType="end"/>
            </w:r>
          </w:hyperlink>
        </w:p>
        <w:p w:rsidR="00A65D8D" w:rsidRDefault="00000000" w14:paraId="6F9533B3" w14:textId="765DC5DD">
          <w:pPr>
            <w:pStyle w:val="TM2"/>
            <w:rPr>
              <w:rFonts w:asciiTheme="minorHAnsi" w:hAnsiTheme="minorHAnsi" w:eastAsiaTheme="minorEastAsia" w:cstheme="minorBidi"/>
              <w:bCs w:val="0"/>
              <w:noProof/>
              <w:kern w:val="2"/>
              <w:sz w:val="24"/>
              <w:szCs w:val="24"/>
              <w14:ligatures w14:val="standardContextual"/>
            </w:rPr>
          </w:pPr>
          <w:hyperlink w:history="1" w:anchor="_Toc221095604">
            <w:r w:rsidRPr="00F42375" w:rsidR="00A65D8D">
              <w:rPr>
                <w:rStyle w:val="Lienhypertexte"/>
                <w:rFonts w:ascii="Calibri" w:hAnsi="Calibri"/>
                <w:noProof/>
              </w:rPr>
              <w:t>7.1.</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Glossaire</w:t>
            </w:r>
            <w:r w:rsidR="00A65D8D">
              <w:rPr>
                <w:noProof/>
                <w:webHidden/>
              </w:rPr>
              <w:tab/>
            </w:r>
            <w:r w:rsidR="00A65D8D">
              <w:rPr>
                <w:noProof/>
                <w:webHidden/>
              </w:rPr>
              <w:fldChar w:fldCharType="begin"/>
            </w:r>
            <w:r w:rsidR="00A65D8D">
              <w:rPr>
                <w:noProof/>
                <w:webHidden/>
              </w:rPr>
              <w:instrText xml:space="preserve"> PAGEREF _Toc221095604 \h </w:instrText>
            </w:r>
            <w:r w:rsidR="00A65D8D">
              <w:rPr>
                <w:noProof/>
                <w:webHidden/>
              </w:rPr>
            </w:r>
            <w:r w:rsidR="00A65D8D">
              <w:rPr>
                <w:noProof/>
                <w:webHidden/>
              </w:rPr>
              <w:fldChar w:fldCharType="separate"/>
            </w:r>
            <w:r w:rsidR="00A65D8D">
              <w:rPr>
                <w:noProof/>
                <w:webHidden/>
              </w:rPr>
              <w:t>119</w:t>
            </w:r>
            <w:r w:rsidR="00A65D8D">
              <w:rPr>
                <w:noProof/>
                <w:webHidden/>
              </w:rPr>
              <w:fldChar w:fldCharType="end"/>
            </w:r>
          </w:hyperlink>
        </w:p>
        <w:p w:rsidR="00A65D8D" w:rsidRDefault="00000000" w14:paraId="49ED5A9B" w14:textId="05DC7595">
          <w:pPr>
            <w:pStyle w:val="TM2"/>
            <w:rPr>
              <w:rFonts w:asciiTheme="minorHAnsi" w:hAnsiTheme="minorHAnsi" w:eastAsiaTheme="minorEastAsia" w:cstheme="minorBidi"/>
              <w:bCs w:val="0"/>
              <w:noProof/>
              <w:kern w:val="2"/>
              <w:sz w:val="24"/>
              <w:szCs w:val="24"/>
              <w14:ligatures w14:val="standardContextual"/>
            </w:rPr>
          </w:pPr>
          <w:hyperlink w:history="1" w:anchor="_Toc221095605">
            <w:r w:rsidRPr="00F42375" w:rsidR="00A65D8D">
              <w:rPr>
                <w:rStyle w:val="Lienhypertexte"/>
                <w:rFonts w:ascii="Calibri" w:hAnsi="Calibri"/>
                <w:noProof/>
              </w:rPr>
              <w:t>7.2.</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Exigences Non Fonctionnelle (ENF)</w:t>
            </w:r>
            <w:r w:rsidR="00A65D8D">
              <w:rPr>
                <w:noProof/>
                <w:webHidden/>
              </w:rPr>
              <w:tab/>
            </w:r>
            <w:r w:rsidR="00A65D8D">
              <w:rPr>
                <w:noProof/>
                <w:webHidden/>
              </w:rPr>
              <w:fldChar w:fldCharType="begin"/>
            </w:r>
            <w:r w:rsidR="00A65D8D">
              <w:rPr>
                <w:noProof/>
                <w:webHidden/>
              </w:rPr>
              <w:instrText xml:space="preserve"> PAGEREF _Toc221095605 \h </w:instrText>
            </w:r>
            <w:r w:rsidR="00A65D8D">
              <w:rPr>
                <w:noProof/>
                <w:webHidden/>
              </w:rPr>
            </w:r>
            <w:r w:rsidR="00A65D8D">
              <w:rPr>
                <w:noProof/>
                <w:webHidden/>
              </w:rPr>
              <w:fldChar w:fldCharType="separate"/>
            </w:r>
            <w:r w:rsidR="00A65D8D">
              <w:rPr>
                <w:noProof/>
                <w:webHidden/>
              </w:rPr>
              <w:t>123</w:t>
            </w:r>
            <w:r w:rsidR="00A65D8D">
              <w:rPr>
                <w:noProof/>
                <w:webHidden/>
              </w:rPr>
              <w:fldChar w:fldCharType="end"/>
            </w:r>
          </w:hyperlink>
        </w:p>
        <w:p w:rsidR="00A65D8D" w:rsidRDefault="00000000" w14:paraId="31B9BA76" w14:textId="3B9905E8">
          <w:pPr>
            <w:pStyle w:val="TM3"/>
            <w:rPr>
              <w:rFonts w:asciiTheme="minorHAnsi" w:hAnsiTheme="minorHAnsi" w:eastAsiaTheme="minorEastAsia" w:cstheme="minorBidi"/>
              <w:i w:val="0"/>
              <w:noProof/>
              <w:kern w:val="2"/>
              <w:sz w:val="24"/>
              <w:szCs w:val="24"/>
              <w14:ligatures w14:val="standardContextual"/>
            </w:rPr>
          </w:pPr>
          <w:hyperlink w:history="1" w:anchor="_Toc221095606">
            <w:r w:rsidRPr="00F42375" w:rsidR="00A65D8D">
              <w:rPr>
                <w:rStyle w:val="Lienhypertexte"/>
                <w:rFonts w:ascii="Calibri" w:hAnsi="Calibri"/>
                <w:noProof/>
              </w:rPr>
              <w:t>7.2.1.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Exploitabilité</w:t>
            </w:r>
            <w:r w:rsidR="00A65D8D">
              <w:rPr>
                <w:noProof/>
                <w:webHidden/>
              </w:rPr>
              <w:tab/>
            </w:r>
            <w:r w:rsidR="00A65D8D">
              <w:rPr>
                <w:noProof/>
                <w:webHidden/>
              </w:rPr>
              <w:fldChar w:fldCharType="begin"/>
            </w:r>
            <w:r w:rsidR="00A65D8D">
              <w:rPr>
                <w:noProof/>
                <w:webHidden/>
              </w:rPr>
              <w:instrText xml:space="preserve"> PAGEREF _Toc221095606 \h </w:instrText>
            </w:r>
            <w:r w:rsidR="00A65D8D">
              <w:rPr>
                <w:noProof/>
                <w:webHidden/>
              </w:rPr>
            </w:r>
            <w:r w:rsidR="00A65D8D">
              <w:rPr>
                <w:noProof/>
                <w:webHidden/>
              </w:rPr>
              <w:fldChar w:fldCharType="separate"/>
            </w:r>
            <w:r w:rsidR="00A65D8D">
              <w:rPr>
                <w:noProof/>
                <w:webHidden/>
              </w:rPr>
              <w:t>123</w:t>
            </w:r>
            <w:r w:rsidR="00A65D8D">
              <w:rPr>
                <w:noProof/>
                <w:webHidden/>
              </w:rPr>
              <w:fldChar w:fldCharType="end"/>
            </w:r>
          </w:hyperlink>
        </w:p>
        <w:p w:rsidR="00A65D8D" w:rsidRDefault="00000000" w14:paraId="3D3305A7" w14:textId="62CB32D3">
          <w:pPr>
            <w:pStyle w:val="TM3"/>
            <w:rPr>
              <w:rFonts w:asciiTheme="minorHAnsi" w:hAnsiTheme="minorHAnsi" w:eastAsiaTheme="minorEastAsia" w:cstheme="minorBidi"/>
              <w:i w:val="0"/>
              <w:noProof/>
              <w:kern w:val="2"/>
              <w:sz w:val="24"/>
              <w:szCs w:val="24"/>
              <w14:ligatures w14:val="standardContextual"/>
            </w:rPr>
          </w:pPr>
          <w:hyperlink w:history="1" w:anchor="_Toc221095607">
            <w:r w:rsidRPr="00F42375" w:rsidR="00A65D8D">
              <w:rPr>
                <w:rStyle w:val="Lienhypertexte"/>
                <w:rFonts w:ascii="Calibri" w:hAnsi="Calibri"/>
                <w:noProof/>
              </w:rPr>
              <w:t>7.2.2.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ENF Securite</w:t>
            </w:r>
            <w:r w:rsidR="00A65D8D">
              <w:rPr>
                <w:noProof/>
                <w:webHidden/>
              </w:rPr>
              <w:tab/>
            </w:r>
            <w:r w:rsidR="00A65D8D">
              <w:rPr>
                <w:noProof/>
                <w:webHidden/>
              </w:rPr>
              <w:fldChar w:fldCharType="begin"/>
            </w:r>
            <w:r w:rsidR="00A65D8D">
              <w:rPr>
                <w:noProof/>
                <w:webHidden/>
              </w:rPr>
              <w:instrText xml:space="preserve"> PAGEREF _Toc221095607 \h </w:instrText>
            </w:r>
            <w:r w:rsidR="00A65D8D">
              <w:rPr>
                <w:noProof/>
                <w:webHidden/>
              </w:rPr>
            </w:r>
            <w:r w:rsidR="00A65D8D">
              <w:rPr>
                <w:noProof/>
                <w:webHidden/>
              </w:rPr>
              <w:fldChar w:fldCharType="separate"/>
            </w:r>
            <w:r w:rsidR="00A65D8D">
              <w:rPr>
                <w:noProof/>
                <w:webHidden/>
              </w:rPr>
              <w:t>124</w:t>
            </w:r>
            <w:r w:rsidR="00A65D8D">
              <w:rPr>
                <w:noProof/>
                <w:webHidden/>
              </w:rPr>
              <w:fldChar w:fldCharType="end"/>
            </w:r>
          </w:hyperlink>
        </w:p>
        <w:p w:rsidR="00A65D8D" w:rsidRDefault="00000000" w14:paraId="696CA7C4" w14:textId="643E6C56">
          <w:pPr>
            <w:pStyle w:val="TM2"/>
            <w:rPr>
              <w:rFonts w:asciiTheme="minorHAnsi" w:hAnsiTheme="minorHAnsi" w:eastAsiaTheme="minorEastAsia" w:cstheme="minorBidi"/>
              <w:bCs w:val="0"/>
              <w:noProof/>
              <w:kern w:val="2"/>
              <w:sz w:val="24"/>
              <w:szCs w:val="24"/>
              <w14:ligatures w14:val="standardContextual"/>
            </w:rPr>
          </w:pPr>
          <w:hyperlink w:history="1" w:anchor="_Toc221095608">
            <w:r w:rsidRPr="00F42375" w:rsidR="00A65D8D">
              <w:rPr>
                <w:rStyle w:val="Lienhypertexte"/>
                <w:rFonts w:ascii="Calibri" w:hAnsi="Calibri"/>
                <w:noProof/>
              </w:rPr>
              <w:t>7.3.</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Exemple de Plan de MEP Simulation PAIE</w:t>
            </w:r>
            <w:r w:rsidR="00A65D8D">
              <w:rPr>
                <w:noProof/>
                <w:webHidden/>
              </w:rPr>
              <w:tab/>
            </w:r>
            <w:r w:rsidR="00A65D8D">
              <w:rPr>
                <w:noProof/>
                <w:webHidden/>
              </w:rPr>
              <w:fldChar w:fldCharType="begin"/>
            </w:r>
            <w:r w:rsidR="00A65D8D">
              <w:rPr>
                <w:noProof/>
                <w:webHidden/>
              </w:rPr>
              <w:instrText xml:space="preserve"> PAGEREF _Toc221095608 \h </w:instrText>
            </w:r>
            <w:r w:rsidR="00A65D8D">
              <w:rPr>
                <w:noProof/>
                <w:webHidden/>
              </w:rPr>
            </w:r>
            <w:r w:rsidR="00A65D8D">
              <w:rPr>
                <w:noProof/>
                <w:webHidden/>
              </w:rPr>
              <w:fldChar w:fldCharType="separate"/>
            </w:r>
            <w:r w:rsidR="00A65D8D">
              <w:rPr>
                <w:noProof/>
                <w:webHidden/>
              </w:rPr>
              <w:t>125</w:t>
            </w:r>
            <w:r w:rsidR="00A65D8D">
              <w:rPr>
                <w:noProof/>
                <w:webHidden/>
              </w:rPr>
              <w:fldChar w:fldCharType="end"/>
            </w:r>
          </w:hyperlink>
        </w:p>
        <w:p w:rsidR="00A65D8D" w:rsidRDefault="00000000" w14:paraId="086CEAB7" w14:textId="72028CAE">
          <w:pPr>
            <w:pStyle w:val="TM3"/>
            <w:rPr>
              <w:rFonts w:asciiTheme="minorHAnsi" w:hAnsiTheme="minorHAnsi" w:eastAsiaTheme="minorEastAsia" w:cstheme="minorBidi"/>
              <w:i w:val="0"/>
              <w:noProof/>
              <w:kern w:val="2"/>
              <w:sz w:val="24"/>
              <w:szCs w:val="24"/>
              <w14:ligatures w14:val="standardContextual"/>
            </w:rPr>
          </w:pPr>
          <w:hyperlink w:history="1" w:anchor="_Toc221095609">
            <w:r w:rsidRPr="00F42375" w:rsidR="00A65D8D">
              <w:rPr>
                <w:rStyle w:val="Lienhypertexte"/>
                <w:rFonts w:ascii="Calibri" w:hAnsi="Calibri"/>
                <w:noProof/>
              </w:rPr>
              <w:t>7.3.1.</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But du document</w:t>
            </w:r>
            <w:r w:rsidR="00A65D8D">
              <w:rPr>
                <w:noProof/>
                <w:webHidden/>
              </w:rPr>
              <w:tab/>
            </w:r>
            <w:r w:rsidR="00A65D8D">
              <w:rPr>
                <w:noProof/>
                <w:webHidden/>
              </w:rPr>
              <w:fldChar w:fldCharType="begin"/>
            </w:r>
            <w:r w:rsidR="00A65D8D">
              <w:rPr>
                <w:noProof/>
                <w:webHidden/>
              </w:rPr>
              <w:instrText xml:space="preserve"> PAGEREF _Toc221095609 \h </w:instrText>
            </w:r>
            <w:r w:rsidR="00A65D8D">
              <w:rPr>
                <w:noProof/>
                <w:webHidden/>
              </w:rPr>
            </w:r>
            <w:r w:rsidR="00A65D8D">
              <w:rPr>
                <w:noProof/>
                <w:webHidden/>
              </w:rPr>
              <w:fldChar w:fldCharType="separate"/>
            </w:r>
            <w:r w:rsidR="00A65D8D">
              <w:rPr>
                <w:noProof/>
                <w:webHidden/>
              </w:rPr>
              <w:t>125</w:t>
            </w:r>
            <w:r w:rsidR="00A65D8D">
              <w:rPr>
                <w:noProof/>
                <w:webHidden/>
              </w:rPr>
              <w:fldChar w:fldCharType="end"/>
            </w:r>
          </w:hyperlink>
        </w:p>
        <w:p w:rsidR="00A65D8D" w:rsidRDefault="00000000" w14:paraId="55752028" w14:textId="53A1BE9E">
          <w:pPr>
            <w:pStyle w:val="TM3"/>
            <w:rPr>
              <w:rFonts w:asciiTheme="minorHAnsi" w:hAnsiTheme="minorHAnsi" w:eastAsiaTheme="minorEastAsia" w:cstheme="minorBidi"/>
              <w:i w:val="0"/>
              <w:noProof/>
              <w:kern w:val="2"/>
              <w:sz w:val="24"/>
              <w:szCs w:val="24"/>
              <w14:ligatures w14:val="standardContextual"/>
            </w:rPr>
          </w:pPr>
          <w:hyperlink w:history="1" w:anchor="_Toc221095610">
            <w:r w:rsidRPr="00F42375" w:rsidR="00A65D8D">
              <w:rPr>
                <w:rStyle w:val="Lienhypertexte"/>
                <w:rFonts w:ascii="Calibri" w:hAnsi="Calibri"/>
                <w:noProof/>
              </w:rPr>
              <w:t>7.3.2.</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Release note</w:t>
            </w:r>
            <w:r w:rsidR="00A65D8D">
              <w:rPr>
                <w:noProof/>
                <w:webHidden/>
              </w:rPr>
              <w:tab/>
            </w:r>
            <w:r w:rsidR="00A65D8D">
              <w:rPr>
                <w:noProof/>
                <w:webHidden/>
              </w:rPr>
              <w:fldChar w:fldCharType="begin"/>
            </w:r>
            <w:r w:rsidR="00A65D8D">
              <w:rPr>
                <w:noProof/>
                <w:webHidden/>
              </w:rPr>
              <w:instrText xml:space="preserve"> PAGEREF _Toc221095610 \h </w:instrText>
            </w:r>
            <w:r w:rsidR="00A65D8D">
              <w:rPr>
                <w:noProof/>
                <w:webHidden/>
              </w:rPr>
            </w:r>
            <w:r w:rsidR="00A65D8D">
              <w:rPr>
                <w:noProof/>
                <w:webHidden/>
              </w:rPr>
              <w:fldChar w:fldCharType="separate"/>
            </w:r>
            <w:r w:rsidR="00A65D8D">
              <w:rPr>
                <w:noProof/>
                <w:webHidden/>
              </w:rPr>
              <w:t>125</w:t>
            </w:r>
            <w:r w:rsidR="00A65D8D">
              <w:rPr>
                <w:noProof/>
                <w:webHidden/>
              </w:rPr>
              <w:fldChar w:fldCharType="end"/>
            </w:r>
          </w:hyperlink>
        </w:p>
        <w:p w:rsidR="00A65D8D" w:rsidRDefault="00000000" w14:paraId="095F88C9" w14:textId="5737294D">
          <w:pPr>
            <w:pStyle w:val="TM3"/>
            <w:rPr>
              <w:rFonts w:asciiTheme="minorHAnsi" w:hAnsiTheme="minorHAnsi" w:eastAsiaTheme="minorEastAsia" w:cstheme="minorBidi"/>
              <w:i w:val="0"/>
              <w:noProof/>
              <w:kern w:val="2"/>
              <w:sz w:val="24"/>
              <w:szCs w:val="24"/>
              <w14:ligatures w14:val="standardContextual"/>
            </w:rPr>
          </w:pPr>
          <w:hyperlink w:history="1" w:anchor="_Toc221095611">
            <w:r w:rsidRPr="00F42375" w:rsidR="00A65D8D">
              <w:rPr>
                <w:rStyle w:val="Lienhypertexte"/>
                <w:rFonts w:ascii="Calibri" w:hAnsi="Calibri"/>
                <w:noProof/>
              </w:rPr>
              <w:t>7.3.3.</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Pré-requis</w:t>
            </w:r>
            <w:r w:rsidR="00A65D8D">
              <w:rPr>
                <w:noProof/>
                <w:webHidden/>
              </w:rPr>
              <w:tab/>
            </w:r>
            <w:r w:rsidR="00A65D8D">
              <w:rPr>
                <w:noProof/>
                <w:webHidden/>
              </w:rPr>
              <w:fldChar w:fldCharType="begin"/>
            </w:r>
            <w:r w:rsidR="00A65D8D">
              <w:rPr>
                <w:noProof/>
                <w:webHidden/>
              </w:rPr>
              <w:instrText xml:space="preserve"> PAGEREF _Toc221095611 \h </w:instrText>
            </w:r>
            <w:r w:rsidR="00A65D8D">
              <w:rPr>
                <w:noProof/>
                <w:webHidden/>
              </w:rPr>
            </w:r>
            <w:r w:rsidR="00A65D8D">
              <w:rPr>
                <w:noProof/>
                <w:webHidden/>
              </w:rPr>
              <w:fldChar w:fldCharType="separate"/>
            </w:r>
            <w:r w:rsidR="00A65D8D">
              <w:rPr>
                <w:noProof/>
                <w:webHidden/>
              </w:rPr>
              <w:t>125</w:t>
            </w:r>
            <w:r w:rsidR="00A65D8D">
              <w:rPr>
                <w:noProof/>
                <w:webHidden/>
              </w:rPr>
              <w:fldChar w:fldCharType="end"/>
            </w:r>
          </w:hyperlink>
        </w:p>
        <w:p w:rsidR="00A65D8D" w:rsidRDefault="00000000" w14:paraId="310F29DD" w14:textId="291893E0">
          <w:pPr>
            <w:pStyle w:val="TM3"/>
            <w:rPr>
              <w:rFonts w:asciiTheme="minorHAnsi" w:hAnsiTheme="minorHAnsi" w:eastAsiaTheme="minorEastAsia" w:cstheme="minorBidi"/>
              <w:i w:val="0"/>
              <w:noProof/>
              <w:kern w:val="2"/>
              <w:sz w:val="24"/>
              <w:szCs w:val="24"/>
              <w14:ligatures w14:val="standardContextual"/>
            </w:rPr>
          </w:pPr>
          <w:hyperlink w:history="1" w:anchor="_Toc221095612">
            <w:r w:rsidRPr="00F42375" w:rsidR="00A65D8D">
              <w:rPr>
                <w:rStyle w:val="Lienhypertexte"/>
                <w:rFonts w:ascii="Calibri" w:hAnsi="Calibri"/>
                <w:noProof/>
              </w:rPr>
              <w:t>7.3.4.</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Version des livrables à mettre en production</w:t>
            </w:r>
            <w:r w:rsidR="00A65D8D">
              <w:rPr>
                <w:noProof/>
                <w:webHidden/>
              </w:rPr>
              <w:tab/>
            </w:r>
            <w:r w:rsidR="00A65D8D">
              <w:rPr>
                <w:noProof/>
                <w:webHidden/>
              </w:rPr>
              <w:fldChar w:fldCharType="begin"/>
            </w:r>
            <w:r w:rsidR="00A65D8D">
              <w:rPr>
                <w:noProof/>
                <w:webHidden/>
              </w:rPr>
              <w:instrText xml:space="preserve"> PAGEREF _Toc221095612 \h </w:instrText>
            </w:r>
            <w:r w:rsidR="00A65D8D">
              <w:rPr>
                <w:noProof/>
                <w:webHidden/>
              </w:rPr>
            </w:r>
            <w:r w:rsidR="00A65D8D">
              <w:rPr>
                <w:noProof/>
                <w:webHidden/>
              </w:rPr>
              <w:fldChar w:fldCharType="separate"/>
            </w:r>
            <w:r w:rsidR="00A65D8D">
              <w:rPr>
                <w:noProof/>
                <w:webHidden/>
              </w:rPr>
              <w:t>126</w:t>
            </w:r>
            <w:r w:rsidR="00A65D8D">
              <w:rPr>
                <w:noProof/>
                <w:webHidden/>
              </w:rPr>
              <w:fldChar w:fldCharType="end"/>
            </w:r>
          </w:hyperlink>
        </w:p>
        <w:p w:rsidR="00A65D8D" w:rsidRDefault="00000000" w14:paraId="2DC5C885" w14:textId="078F41E3">
          <w:pPr>
            <w:pStyle w:val="TM3"/>
            <w:rPr>
              <w:rFonts w:asciiTheme="minorHAnsi" w:hAnsiTheme="minorHAnsi" w:eastAsiaTheme="minorEastAsia" w:cstheme="minorBidi"/>
              <w:i w:val="0"/>
              <w:noProof/>
              <w:kern w:val="2"/>
              <w:sz w:val="24"/>
              <w:szCs w:val="24"/>
              <w14:ligatures w14:val="standardContextual"/>
            </w:rPr>
          </w:pPr>
          <w:hyperlink w:history="1" w:anchor="_Toc221095613">
            <w:r w:rsidRPr="00F42375" w:rsidR="00A65D8D">
              <w:rPr>
                <w:rStyle w:val="Lienhypertexte"/>
                <w:rFonts w:ascii="Calibri" w:hAnsi="Calibri"/>
                <w:noProof/>
              </w:rPr>
              <w:t>7.3.5.</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Backup</w:t>
            </w:r>
            <w:r w:rsidR="00A65D8D">
              <w:rPr>
                <w:noProof/>
                <w:webHidden/>
              </w:rPr>
              <w:tab/>
            </w:r>
            <w:r w:rsidR="00A65D8D">
              <w:rPr>
                <w:noProof/>
                <w:webHidden/>
              </w:rPr>
              <w:fldChar w:fldCharType="begin"/>
            </w:r>
            <w:r w:rsidR="00A65D8D">
              <w:rPr>
                <w:noProof/>
                <w:webHidden/>
              </w:rPr>
              <w:instrText xml:space="preserve"> PAGEREF _Toc221095613 \h </w:instrText>
            </w:r>
            <w:r w:rsidR="00A65D8D">
              <w:rPr>
                <w:noProof/>
                <w:webHidden/>
              </w:rPr>
            </w:r>
            <w:r w:rsidR="00A65D8D">
              <w:rPr>
                <w:noProof/>
                <w:webHidden/>
              </w:rPr>
              <w:fldChar w:fldCharType="separate"/>
            </w:r>
            <w:r w:rsidR="00A65D8D">
              <w:rPr>
                <w:noProof/>
                <w:webHidden/>
              </w:rPr>
              <w:t>126</w:t>
            </w:r>
            <w:r w:rsidR="00A65D8D">
              <w:rPr>
                <w:noProof/>
                <w:webHidden/>
              </w:rPr>
              <w:fldChar w:fldCharType="end"/>
            </w:r>
          </w:hyperlink>
        </w:p>
        <w:p w:rsidR="00A65D8D" w:rsidRDefault="00000000" w14:paraId="17AA69DD" w14:textId="2B4AE9F8">
          <w:pPr>
            <w:pStyle w:val="TM2"/>
            <w:rPr>
              <w:rFonts w:asciiTheme="minorHAnsi" w:hAnsiTheme="minorHAnsi" w:eastAsiaTheme="minorEastAsia" w:cstheme="minorBidi"/>
              <w:bCs w:val="0"/>
              <w:noProof/>
              <w:kern w:val="2"/>
              <w:sz w:val="24"/>
              <w:szCs w:val="24"/>
              <w14:ligatures w14:val="standardContextual"/>
            </w:rPr>
          </w:pPr>
          <w:hyperlink w:history="1" w:anchor="_Toc221095614">
            <w:r w:rsidRPr="00F42375" w:rsidR="00A65D8D">
              <w:rPr>
                <w:rStyle w:val="Lienhypertexte"/>
                <w:noProof/>
              </w:rPr>
              <w:t>En cas de retour arrière</w:t>
            </w:r>
            <w:r w:rsidR="00A65D8D">
              <w:rPr>
                <w:noProof/>
                <w:webHidden/>
              </w:rPr>
              <w:tab/>
            </w:r>
            <w:r w:rsidR="00A65D8D">
              <w:rPr>
                <w:noProof/>
                <w:webHidden/>
              </w:rPr>
              <w:fldChar w:fldCharType="begin"/>
            </w:r>
            <w:r w:rsidR="00A65D8D">
              <w:rPr>
                <w:noProof/>
                <w:webHidden/>
              </w:rPr>
              <w:instrText xml:space="preserve"> PAGEREF _Toc221095614 \h </w:instrText>
            </w:r>
            <w:r w:rsidR="00A65D8D">
              <w:rPr>
                <w:noProof/>
                <w:webHidden/>
              </w:rPr>
            </w:r>
            <w:r w:rsidR="00A65D8D">
              <w:rPr>
                <w:noProof/>
                <w:webHidden/>
              </w:rPr>
              <w:fldChar w:fldCharType="separate"/>
            </w:r>
            <w:r w:rsidR="00A65D8D">
              <w:rPr>
                <w:noProof/>
                <w:webHidden/>
              </w:rPr>
              <w:t>128</w:t>
            </w:r>
            <w:r w:rsidR="00A65D8D">
              <w:rPr>
                <w:noProof/>
                <w:webHidden/>
              </w:rPr>
              <w:fldChar w:fldCharType="end"/>
            </w:r>
          </w:hyperlink>
        </w:p>
        <w:p w:rsidR="00A65D8D" w:rsidRDefault="00000000" w14:paraId="7FAC0B10" w14:textId="7DF908EA">
          <w:pPr>
            <w:pStyle w:val="TM3"/>
            <w:rPr>
              <w:rFonts w:asciiTheme="minorHAnsi" w:hAnsiTheme="minorHAnsi" w:eastAsiaTheme="minorEastAsia" w:cstheme="minorBidi"/>
              <w:i w:val="0"/>
              <w:noProof/>
              <w:kern w:val="2"/>
              <w:sz w:val="24"/>
              <w:szCs w:val="24"/>
              <w14:ligatures w14:val="standardContextual"/>
            </w:rPr>
          </w:pPr>
          <w:hyperlink w:history="1" w:anchor="_Toc221095615">
            <w:r w:rsidRPr="00F42375" w:rsidR="00A65D8D">
              <w:rPr>
                <w:rStyle w:val="Lienhypertexte"/>
                <w:rFonts w:ascii="Calibri" w:hAnsi="Calibri"/>
                <w:noProof/>
              </w:rPr>
              <w:t>7.3.6.</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Mise à jour du suivi des environnements</w:t>
            </w:r>
            <w:r w:rsidR="00A65D8D">
              <w:rPr>
                <w:noProof/>
                <w:webHidden/>
              </w:rPr>
              <w:tab/>
            </w:r>
            <w:r w:rsidR="00A65D8D">
              <w:rPr>
                <w:noProof/>
                <w:webHidden/>
              </w:rPr>
              <w:fldChar w:fldCharType="begin"/>
            </w:r>
            <w:r w:rsidR="00A65D8D">
              <w:rPr>
                <w:noProof/>
                <w:webHidden/>
              </w:rPr>
              <w:instrText xml:space="preserve"> PAGEREF _Toc221095615 \h </w:instrText>
            </w:r>
            <w:r w:rsidR="00A65D8D">
              <w:rPr>
                <w:noProof/>
                <w:webHidden/>
              </w:rPr>
            </w:r>
            <w:r w:rsidR="00A65D8D">
              <w:rPr>
                <w:noProof/>
                <w:webHidden/>
              </w:rPr>
              <w:fldChar w:fldCharType="separate"/>
            </w:r>
            <w:r w:rsidR="00A65D8D">
              <w:rPr>
                <w:noProof/>
                <w:webHidden/>
              </w:rPr>
              <w:t>128</w:t>
            </w:r>
            <w:r w:rsidR="00A65D8D">
              <w:rPr>
                <w:noProof/>
                <w:webHidden/>
              </w:rPr>
              <w:fldChar w:fldCharType="end"/>
            </w:r>
          </w:hyperlink>
        </w:p>
        <w:p w:rsidR="00A65D8D" w:rsidRDefault="00000000" w14:paraId="06316578" w14:textId="6FEB836D">
          <w:pPr>
            <w:pStyle w:val="TM3"/>
            <w:rPr>
              <w:rFonts w:asciiTheme="minorHAnsi" w:hAnsiTheme="minorHAnsi" w:eastAsiaTheme="minorEastAsia" w:cstheme="minorBidi"/>
              <w:i w:val="0"/>
              <w:noProof/>
              <w:kern w:val="2"/>
              <w:sz w:val="24"/>
              <w:szCs w:val="24"/>
              <w14:ligatures w14:val="standardContextual"/>
            </w:rPr>
          </w:pPr>
          <w:hyperlink w:history="1" w:anchor="_Toc221095616">
            <w:r w:rsidRPr="00F42375" w:rsidR="00A65D8D">
              <w:rPr>
                <w:rStyle w:val="Lienhypertexte"/>
                <w:rFonts w:ascii="Calibri" w:hAnsi="Calibri"/>
                <w:noProof/>
              </w:rPr>
              <w:t>7.3.7.</w:t>
            </w:r>
            <w:r w:rsidR="00A65D8D">
              <w:rPr>
                <w:rFonts w:asciiTheme="minorHAnsi" w:hAnsiTheme="minorHAnsi" w:eastAsiaTheme="minorEastAsia" w:cstheme="minorBidi"/>
                <w:i w:val="0"/>
                <w:noProof/>
                <w:kern w:val="2"/>
                <w:sz w:val="24"/>
                <w:szCs w:val="24"/>
                <w14:ligatures w14:val="standardContextual"/>
              </w:rPr>
              <w:tab/>
            </w:r>
            <w:r w:rsidRPr="00F42375" w:rsidR="00A65D8D">
              <w:rPr>
                <w:rStyle w:val="Lienhypertexte"/>
                <w:noProof/>
              </w:rPr>
              <w:t>Communication à l’équipe de développement</w:t>
            </w:r>
            <w:r w:rsidR="00A65D8D">
              <w:rPr>
                <w:noProof/>
                <w:webHidden/>
              </w:rPr>
              <w:tab/>
            </w:r>
            <w:r w:rsidR="00A65D8D">
              <w:rPr>
                <w:noProof/>
                <w:webHidden/>
              </w:rPr>
              <w:fldChar w:fldCharType="begin"/>
            </w:r>
            <w:r w:rsidR="00A65D8D">
              <w:rPr>
                <w:noProof/>
                <w:webHidden/>
              </w:rPr>
              <w:instrText xml:space="preserve"> PAGEREF _Toc221095616 \h </w:instrText>
            </w:r>
            <w:r w:rsidR="00A65D8D">
              <w:rPr>
                <w:noProof/>
                <w:webHidden/>
              </w:rPr>
            </w:r>
            <w:r w:rsidR="00A65D8D">
              <w:rPr>
                <w:noProof/>
                <w:webHidden/>
              </w:rPr>
              <w:fldChar w:fldCharType="separate"/>
            </w:r>
            <w:r w:rsidR="00A65D8D">
              <w:rPr>
                <w:noProof/>
                <w:webHidden/>
              </w:rPr>
              <w:t>129</w:t>
            </w:r>
            <w:r w:rsidR="00A65D8D">
              <w:rPr>
                <w:noProof/>
                <w:webHidden/>
              </w:rPr>
              <w:fldChar w:fldCharType="end"/>
            </w:r>
          </w:hyperlink>
        </w:p>
        <w:p w:rsidR="00A65D8D" w:rsidRDefault="00000000" w14:paraId="300E5B6D" w14:textId="36F708CC">
          <w:pPr>
            <w:pStyle w:val="TM2"/>
            <w:rPr>
              <w:rFonts w:asciiTheme="minorHAnsi" w:hAnsiTheme="minorHAnsi" w:eastAsiaTheme="minorEastAsia" w:cstheme="minorBidi"/>
              <w:bCs w:val="0"/>
              <w:noProof/>
              <w:kern w:val="2"/>
              <w:sz w:val="24"/>
              <w:szCs w:val="24"/>
              <w14:ligatures w14:val="standardContextual"/>
            </w:rPr>
          </w:pPr>
          <w:hyperlink w:history="1" w:anchor="_Toc221095617">
            <w:r w:rsidRPr="00F42375" w:rsidR="00A65D8D">
              <w:rPr>
                <w:rStyle w:val="Lienhypertexte"/>
                <w:rFonts w:ascii="Calibri" w:hAnsi="Calibri"/>
                <w:noProof/>
              </w:rPr>
              <w:t>7.4.</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Exigences sur utilisation d’outil d’authentification</w:t>
            </w:r>
            <w:r w:rsidR="00A65D8D">
              <w:rPr>
                <w:noProof/>
                <w:webHidden/>
              </w:rPr>
              <w:tab/>
            </w:r>
            <w:r w:rsidR="00A65D8D">
              <w:rPr>
                <w:noProof/>
                <w:webHidden/>
              </w:rPr>
              <w:fldChar w:fldCharType="begin"/>
            </w:r>
            <w:r w:rsidR="00A65D8D">
              <w:rPr>
                <w:noProof/>
                <w:webHidden/>
              </w:rPr>
              <w:instrText xml:space="preserve"> PAGEREF _Toc221095617 \h </w:instrText>
            </w:r>
            <w:r w:rsidR="00A65D8D">
              <w:rPr>
                <w:noProof/>
                <w:webHidden/>
              </w:rPr>
            </w:r>
            <w:r w:rsidR="00A65D8D">
              <w:rPr>
                <w:noProof/>
                <w:webHidden/>
              </w:rPr>
              <w:fldChar w:fldCharType="separate"/>
            </w:r>
            <w:r w:rsidR="00A65D8D">
              <w:rPr>
                <w:noProof/>
                <w:webHidden/>
              </w:rPr>
              <w:t>130</w:t>
            </w:r>
            <w:r w:rsidR="00A65D8D">
              <w:rPr>
                <w:noProof/>
                <w:webHidden/>
              </w:rPr>
              <w:fldChar w:fldCharType="end"/>
            </w:r>
          </w:hyperlink>
        </w:p>
        <w:p w:rsidR="00A65D8D" w:rsidRDefault="00000000" w14:paraId="31D62C3B" w14:textId="047FAF1C">
          <w:pPr>
            <w:pStyle w:val="TM2"/>
            <w:rPr>
              <w:rFonts w:asciiTheme="minorHAnsi" w:hAnsiTheme="minorHAnsi" w:eastAsiaTheme="minorEastAsia" w:cstheme="minorBidi"/>
              <w:bCs w:val="0"/>
              <w:noProof/>
              <w:kern w:val="2"/>
              <w:sz w:val="24"/>
              <w:szCs w:val="24"/>
              <w14:ligatures w14:val="standardContextual"/>
            </w:rPr>
          </w:pPr>
          <w:hyperlink w:history="1" w:anchor="_Toc221095618">
            <w:r w:rsidRPr="00F42375" w:rsidR="00A65D8D">
              <w:rPr>
                <w:rStyle w:val="Lienhypertexte"/>
                <w:rFonts w:ascii="Calibri" w:hAnsi="Calibri"/>
                <w:noProof/>
              </w:rPr>
              <w:t>7.5.</w:t>
            </w:r>
            <w:r w:rsidR="00A65D8D">
              <w:rPr>
                <w:rFonts w:asciiTheme="minorHAnsi" w:hAnsiTheme="minorHAnsi" w:eastAsiaTheme="minorEastAsia" w:cstheme="minorBidi"/>
                <w:bCs w:val="0"/>
                <w:noProof/>
                <w:kern w:val="2"/>
                <w:sz w:val="24"/>
                <w:szCs w:val="24"/>
                <w14:ligatures w14:val="standardContextual"/>
              </w:rPr>
              <w:tab/>
            </w:r>
            <w:r w:rsidRPr="00F42375" w:rsidR="00A65D8D">
              <w:rPr>
                <w:rStyle w:val="Lienhypertexte"/>
                <w:noProof/>
              </w:rPr>
              <w:t>Lignes directrices de la politique SSI INRAE</w:t>
            </w:r>
            <w:r w:rsidR="00A65D8D">
              <w:rPr>
                <w:noProof/>
                <w:webHidden/>
              </w:rPr>
              <w:tab/>
            </w:r>
            <w:r w:rsidR="00A65D8D">
              <w:rPr>
                <w:noProof/>
                <w:webHidden/>
              </w:rPr>
              <w:fldChar w:fldCharType="begin"/>
            </w:r>
            <w:r w:rsidR="00A65D8D">
              <w:rPr>
                <w:noProof/>
                <w:webHidden/>
              </w:rPr>
              <w:instrText xml:space="preserve"> PAGEREF _Toc221095618 \h </w:instrText>
            </w:r>
            <w:r w:rsidR="00A65D8D">
              <w:rPr>
                <w:noProof/>
                <w:webHidden/>
              </w:rPr>
            </w:r>
            <w:r w:rsidR="00A65D8D">
              <w:rPr>
                <w:noProof/>
                <w:webHidden/>
              </w:rPr>
              <w:fldChar w:fldCharType="separate"/>
            </w:r>
            <w:r w:rsidR="00A65D8D">
              <w:rPr>
                <w:noProof/>
                <w:webHidden/>
              </w:rPr>
              <w:t>130</w:t>
            </w:r>
            <w:r w:rsidR="00A65D8D">
              <w:rPr>
                <w:noProof/>
                <w:webHidden/>
              </w:rPr>
              <w:fldChar w:fldCharType="end"/>
            </w:r>
          </w:hyperlink>
        </w:p>
        <w:p w:rsidR="006E6D7A" w:rsidRDefault="00B16C64" w14:paraId="67156D92" w14:textId="006B9FCA">
          <w:pPr>
            <w:pStyle w:val="TM1"/>
            <w:tabs>
              <w:tab w:val="clear" w:pos="567"/>
              <w:tab w:val="clear" w:pos="9629"/>
              <w:tab w:val="right" w:leader="dot" w:pos="9638"/>
            </w:tabs>
            <w:rPr>
              <w:rFonts w:ascii="Calibri" w:hAnsi="Calibri" w:eastAsia="Calibri" w:cs="Calibri"/>
            </w:rPr>
          </w:pPr>
          <w:r>
            <w:fldChar w:fldCharType="end"/>
          </w:r>
        </w:p>
      </w:sdtContent>
    </w:sdt>
    <w:p w:rsidR="006E6D7A" w:rsidRDefault="00B16C64" w14:paraId="67156D93" w14:textId="77777777">
      <w:r>
        <w:t xml:space="preserve">  </w:t>
      </w:r>
    </w:p>
    <w:p w:rsidR="006E6D7A" w:rsidRDefault="00B16C64" w14:paraId="67156D94" w14:textId="77777777">
      <w:pPr>
        <w:pStyle w:val="Titre1"/>
      </w:pPr>
      <w:bookmarkStart w:name="_Toc221095429" w:id="1"/>
      <w:r>
        <w:lastRenderedPageBreak/>
        <w:t>PREAMBULE</w:t>
      </w:r>
      <w:bookmarkEnd w:id="1"/>
    </w:p>
    <w:p w:rsidR="006E6D7A" w:rsidRDefault="00B16C64" w14:paraId="67156D95" w14:textId="77777777">
      <w:r>
        <w:t>Le présent document représente le Cahier des Clauses Techniques Particulière (CCTP) de l’Accord-cadre d’achat de prestations de type « </w:t>
      </w:r>
      <w:proofErr w:type="spellStart"/>
      <w:r>
        <w:t>DevSecOps</w:t>
      </w:r>
      <w:proofErr w:type="spellEnd"/>
      <w:r>
        <w:t> » pour les besoins de la DSI de INRAE.</w:t>
      </w:r>
    </w:p>
    <w:p w:rsidR="006E6D7A" w:rsidRDefault="00B16C64" w14:paraId="67156D96" w14:textId="77777777">
      <w:r>
        <w:t>Il est convenu que :</w:t>
      </w:r>
    </w:p>
    <w:p w:rsidR="006E6D7A" w:rsidRDefault="00B16C64" w14:paraId="67156D97" w14:textId="77777777">
      <w:pPr>
        <w:pStyle w:val="Puce1"/>
      </w:pPr>
      <w:r>
        <w:t>Le terme « titulaire » concerne le futur titulaire de l’accord-cadre objet du présent CCTP</w:t>
      </w:r>
    </w:p>
    <w:p w:rsidR="006E6D7A" w:rsidRDefault="00B16C64" w14:paraId="67156D98" w14:textId="77777777">
      <w:pPr>
        <w:pStyle w:val="Puce1"/>
        <w:rPr>
          <w:rFonts w:ascii="Arial" w:hAnsi="Arial"/>
          <w:sz w:val="20"/>
          <w:szCs w:val="20"/>
        </w:rPr>
      </w:pPr>
      <w:r>
        <w:t>Le terme « présent accord-cadre » désigne l’accord-cadre objet de ce document d’achat de Prestations de développement et d’Assistance à la Maîtrise d’Œuvre pour les besoins de INRAE.</w:t>
      </w:r>
    </w:p>
    <w:p w:rsidR="006E6D7A" w:rsidRDefault="00B16C64" w14:paraId="67156D99" w14:textId="77777777">
      <w:pPr>
        <w:pStyle w:val="Titre1"/>
      </w:pPr>
      <w:bookmarkStart w:name="_Toc221095430" w:id="2"/>
      <w:r>
        <w:lastRenderedPageBreak/>
        <w:t>Présentation et contexte de l’accord-cadre</w:t>
      </w:r>
      <w:bookmarkEnd w:id="2"/>
    </w:p>
    <w:p w:rsidR="006E6D7A" w:rsidRDefault="00B16C64" w14:paraId="67156D9A" w14:textId="77777777">
      <w:pPr>
        <w:pStyle w:val="Titre2"/>
      </w:pPr>
      <w:bookmarkStart w:name="_Toc221095431" w:id="3"/>
      <w:r>
        <w:t>Objet</w:t>
      </w:r>
      <w:bookmarkEnd w:id="3"/>
    </w:p>
    <w:p w:rsidR="006E6D7A" w:rsidRDefault="00B16C64" w14:paraId="67156D9B" w14:textId="77777777">
      <w:pPr>
        <w:rPr>
          <w:highlight w:val="green"/>
        </w:rPr>
      </w:pPr>
      <w:r>
        <w:t>Le présent accord-cadre a pour objet la fourniture de prestations « </w:t>
      </w:r>
      <w:proofErr w:type="spellStart"/>
      <w:r>
        <w:t>DevSecOps</w:t>
      </w:r>
      <w:proofErr w:type="spellEnd"/>
      <w:r>
        <w:t> ». Il se décline en 3 lots définis par leur périmètres techniques et fonctionnels, les engagements et leur portée au sein d’INRAE.</w:t>
      </w:r>
    </w:p>
    <w:tbl>
      <w:tblPr>
        <w:tblW w:w="9580" w:type="dxa"/>
        <w:tblLayout w:type="fixed"/>
        <w:tblCellMar>
          <w:left w:w="70" w:type="dxa"/>
          <w:right w:w="70" w:type="dxa"/>
        </w:tblCellMar>
        <w:tblLook w:val="04A0" w:firstRow="1" w:lastRow="0" w:firstColumn="1" w:lastColumn="0" w:noHBand="0" w:noVBand="1"/>
      </w:tblPr>
      <w:tblGrid>
        <w:gridCol w:w="477"/>
        <w:gridCol w:w="818"/>
        <w:gridCol w:w="3095"/>
        <w:gridCol w:w="2973"/>
        <w:gridCol w:w="2217"/>
      </w:tblGrid>
      <w:tr w:rsidR="0083408A" w:rsidTr="0083408A" w14:paraId="67156DA2" w14:textId="77777777">
        <w:trPr>
          <w:trHeight w:val="247"/>
        </w:trPr>
        <w:tc>
          <w:tcPr>
            <w:tcW w:w="477" w:type="dxa"/>
            <w:tcBorders>
              <w:top w:val="single" w:color="03A3A6" w:sz="4" w:space="0"/>
              <w:left w:val="single" w:color="03A3A6" w:sz="4" w:space="0"/>
              <w:bottom w:val="single" w:color="03A3A6" w:sz="4" w:space="0"/>
              <w:right w:val="single" w:color="03A3A6" w:sz="4" w:space="0"/>
            </w:tcBorders>
            <w:shd w:val="clear" w:color="000000" w:fill="03A3A6"/>
            <w:vAlign w:val="center"/>
          </w:tcPr>
          <w:p w:rsidR="0083408A" w:rsidRDefault="0083408A" w14:paraId="67156D9C" w14:textId="77777777">
            <w:pPr>
              <w:jc w:val="center"/>
              <w:rPr>
                <w:rFonts w:ascii="Calibri" w:hAnsi="Calibri" w:cs="Calibri"/>
                <w:b/>
                <w:bCs/>
                <w:color w:val="FFFFFF"/>
              </w:rPr>
            </w:pPr>
            <w:r>
              <w:rPr>
                <w:rFonts w:cs="Calibri"/>
                <w:b/>
                <w:bCs/>
                <w:color w:val="FFFFFF"/>
              </w:rPr>
              <w:t>Lot</w:t>
            </w:r>
          </w:p>
        </w:tc>
        <w:tc>
          <w:tcPr>
            <w:tcW w:w="818" w:type="dxa"/>
            <w:tcBorders>
              <w:top w:val="single" w:color="03A3A6" w:sz="4" w:space="0"/>
              <w:left w:val="single" w:color="03A3A6" w:sz="4" w:space="0"/>
              <w:bottom w:val="single" w:color="03A3A6" w:sz="4" w:space="0"/>
              <w:right w:val="single" w:color="03A3A6" w:sz="4" w:space="0"/>
            </w:tcBorders>
            <w:shd w:val="clear" w:color="000000" w:fill="03A3A6"/>
            <w:vAlign w:val="center"/>
          </w:tcPr>
          <w:p w:rsidR="0083408A" w:rsidRDefault="0083408A" w14:paraId="67156D9D" w14:textId="77777777">
            <w:pPr>
              <w:jc w:val="center"/>
              <w:rPr>
                <w:rFonts w:ascii="Calibri" w:hAnsi="Calibri" w:cs="Calibri"/>
                <w:b/>
                <w:bCs/>
                <w:color w:val="FFFFFF"/>
              </w:rPr>
            </w:pPr>
            <w:r>
              <w:rPr>
                <w:rFonts w:cs="Calibri"/>
                <w:b/>
                <w:bCs/>
                <w:color w:val="FFFFFF"/>
              </w:rPr>
              <w:t>Libellé du lot</w:t>
            </w:r>
          </w:p>
        </w:tc>
        <w:tc>
          <w:tcPr>
            <w:tcW w:w="3095" w:type="dxa"/>
            <w:tcBorders>
              <w:top w:val="single" w:color="03A3A6" w:sz="4" w:space="0"/>
              <w:left w:val="single" w:color="03A3A6" w:sz="4" w:space="0"/>
              <w:bottom w:val="single" w:color="03A3A6" w:sz="4" w:space="0"/>
              <w:right w:val="single" w:color="03A3A6" w:sz="4" w:space="0"/>
            </w:tcBorders>
            <w:shd w:val="clear" w:color="000000" w:fill="03A3A6"/>
            <w:vAlign w:val="center"/>
          </w:tcPr>
          <w:p w:rsidR="0083408A" w:rsidRDefault="0083408A" w14:paraId="67156D9E" w14:textId="77777777">
            <w:pPr>
              <w:jc w:val="center"/>
              <w:rPr>
                <w:rFonts w:ascii="Calibri" w:hAnsi="Calibri" w:cs="Calibri"/>
                <w:b/>
                <w:bCs/>
                <w:color w:val="FFFFFF"/>
              </w:rPr>
            </w:pPr>
            <w:r>
              <w:rPr>
                <w:rFonts w:cs="Calibri"/>
                <w:b/>
                <w:bCs/>
                <w:color w:val="FFFFFF"/>
              </w:rPr>
              <w:t>Périmètre technique</w:t>
            </w:r>
          </w:p>
        </w:tc>
        <w:tc>
          <w:tcPr>
            <w:tcW w:w="2973" w:type="dxa"/>
            <w:tcBorders>
              <w:top w:val="single" w:color="03A3A6" w:sz="4" w:space="0"/>
              <w:left w:val="single" w:color="03A3A6" w:sz="4" w:space="0"/>
              <w:bottom w:val="single" w:color="03A3A6" w:sz="4" w:space="0"/>
              <w:right w:val="single" w:color="03A3A6" w:sz="4" w:space="0"/>
            </w:tcBorders>
            <w:shd w:val="clear" w:color="000000" w:fill="03A3A6"/>
            <w:vAlign w:val="center"/>
          </w:tcPr>
          <w:p w:rsidR="0083408A" w:rsidRDefault="0083408A" w14:paraId="67156D9F" w14:textId="77777777">
            <w:pPr>
              <w:jc w:val="center"/>
              <w:rPr>
                <w:rFonts w:cs="Calibri"/>
                <w:b/>
                <w:bCs/>
                <w:color w:val="FFFFFF"/>
              </w:rPr>
            </w:pPr>
            <w:r>
              <w:rPr>
                <w:rFonts w:cs="Calibri"/>
                <w:b/>
                <w:bCs/>
                <w:color w:val="FFFFFF"/>
              </w:rPr>
              <w:t>Périmètre fonctionnel</w:t>
            </w:r>
          </w:p>
        </w:tc>
        <w:tc>
          <w:tcPr>
            <w:tcW w:w="2217" w:type="dxa"/>
            <w:tcBorders>
              <w:top w:val="single" w:color="03A3A6" w:sz="4" w:space="0"/>
              <w:left w:val="single" w:color="03A3A6" w:sz="4" w:space="0"/>
              <w:bottom w:val="single" w:color="03A3A6" w:sz="4" w:space="0"/>
              <w:right w:val="single" w:color="03A3A6" w:sz="4" w:space="0"/>
            </w:tcBorders>
            <w:shd w:val="clear" w:color="000000" w:fill="03A3A6"/>
            <w:vAlign w:val="center"/>
          </w:tcPr>
          <w:p w:rsidR="0083408A" w:rsidRDefault="0083408A" w14:paraId="67156DA1" w14:textId="77777777">
            <w:pPr>
              <w:jc w:val="center"/>
              <w:rPr>
                <w:rFonts w:ascii="Calibri" w:hAnsi="Calibri" w:cs="Calibri"/>
                <w:b/>
                <w:bCs/>
                <w:color w:val="FFFFFF"/>
              </w:rPr>
            </w:pPr>
            <w:r>
              <w:rPr>
                <w:rFonts w:cs="Calibri"/>
                <w:b/>
                <w:bCs/>
                <w:color w:val="FFFFFF"/>
              </w:rPr>
              <w:t>Portée de l’accord cadre</w:t>
            </w:r>
          </w:p>
        </w:tc>
      </w:tr>
      <w:tr w:rsidR="0083408A" w:rsidTr="0083408A" w14:paraId="67156DA9" w14:textId="77777777">
        <w:trPr>
          <w:trHeight w:val="247"/>
        </w:trPr>
        <w:tc>
          <w:tcPr>
            <w:tcW w:w="477" w:type="dxa"/>
            <w:tcBorders>
              <w:top w:val="single" w:color="03A3A6" w:sz="4" w:space="0"/>
              <w:left w:val="single" w:color="03A3A6" w:sz="4" w:space="0"/>
              <w:bottom w:val="single" w:color="03A3A6" w:sz="4" w:space="0"/>
              <w:right w:val="single" w:color="03A3A6" w:sz="4" w:space="0"/>
            </w:tcBorders>
            <w:shd w:val="clear" w:color="auto" w:fill="auto"/>
            <w:vAlign w:val="center"/>
          </w:tcPr>
          <w:p w:rsidR="0083408A" w:rsidRDefault="0083408A" w14:paraId="67156DA3" w14:textId="77777777">
            <w:r>
              <w:t>Lot 1</w:t>
            </w:r>
          </w:p>
        </w:tc>
        <w:tc>
          <w:tcPr>
            <w:tcW w:w="818" w:type="dxa"/>
            <w:tcBorders>
              <w:top w:val="single" w:color="03A3A6" w:sz="4" w:space="0"/>
              <w:left w:val="single" w:color="03A3A6" w:sz="4" w:space="0"/>
              <w:bottom w:val="single" w:color="03A3A6" w:sz="4" w:space="0"/>
              <w:right w:val="single" w:color="03A3A6" w:sz="4" w:space="0"/>
            </w:tcBorders>
            <w:vAlign w:val="center"/>
          </w:tcPr>
          <w:p w:rsidR="0083408A" w:rsidRDefault="0083408A" w14:paraId="67156DA4" w14:textId="77777777">
            <w:proofErr w:type="spellStart"/>
            <w:r>
              <w:t>DevSecOps</w:t>
            </w:r>
            <w:proofErr w:type="spellEnd"/>
          </w:p>
        </w:tc>
        <w:tc>
          <w:tcPr>
            <w:tcW w:w="3095" w:type="dxa"/>
            <w:tcBorders>
              <w:top w:val="single" w:color="03A3A6" w:sz="4" w:space="0"/>
              <w:left w:val="single" w:color="03A3A6" w:sz="4" w:space="0"/>
              <w:bottom w:val="single" w:color="03A3A6" w:sz="4" w:space="0"/>
              <w:right w:val="single" w:color="03A3A6" w:sz="4" w:space="0"/>
            </w:tcBorders>
            <w:shd w:val="clear" w:color="auto" w:fill="auto"/>
            <w:vAlign w:val="center"/>
          </w:tcPr>
          <w:p w:rsidR="0083408A" w:rsidRDefault="0083408A" w14:paraId="67156DA5" w14:textId="274AAE4B">
            <w:r>
              <w:t xml:space="preserve">Python, </w:t>
            </w:r>
            <w:proofErr w:type="spellStart"/>
            <w:r>
              <w:t>Gitlab</w:t>
            </w:r>
            <w:proofErr w:type="spellEnd"/>
            <w:r>
              <w:t xml:space="preserve">, Ansible, </w:t>
            </w:r>
            <w:proofErr w:type="spellStart"/>
            <w:r>
              <w:t>Terraform</w:t>
            </w:r>
            <w:proofErr w:type="spellEnd"/>
            <w:r>
              <w:t xml:space="preserve">, docker, </w:t>
            </w:r>
            <w:r w:rsidR="00F60C30">
              <w:t>K8</w:t>
            </w:r>
            <w:proofErr w:type="gramStart"/>
            <w:r>
              <w:t>s,…</w:t>
            </w:r>
            <w:proofErr w:type="gramEnd"/>
            <w:r>
              <w:t xml:space="preserve">. </w:t>
            </w:r>
          </w:p>
        </w:tc>
        <w:tc>
          <w:tcPr>
            <w:tcW w:w="2973" w:type="dxa"/>
            <w:tcBorders>
              <w:top w:val="single" w:color="03A3A6" w:sz="4" w:space="0"/>
              <w:left w:val="single" w:color="03A3A6" w:sz="4" w:space="0"/>
              <w:bottom w:val="single" w:color="03A3A6" w:sz="4" w:space="0"/>
              <w:right w:val="single" w:color="03A3A6" w:sz="4" w:space="0"/>
            </w:tcBorders>
          </w:tcPr>
          <w:p w:rsidR="0083408A" w:rsidRDefault="0083408A" w14:paraId="67156DA6" w14:textId="77777777">
            <w:r>
              <w:t>Développement, mise en place et gestion de tout le cycle de vie des solutions</w:t>
            </w:r>
          </w:p>
        </w:tc>
        <w:tc>
          <w:tcPr>
            <w:tcW w:w="2217" w:type="dxa"/>
            <w:tcBorders>
              <w:top w:val="single" w:color="03A3A6" w:sz="4" w:space="0"/>
              <w:left w:val="single" w:color="03A3A6" w:sz="4" w:space="0"/>
              <w:bottom w:val="single" w:color="03A3A6" w:sz="4" w:space="0"/>
              <w:right w:val="single" w:color="03A3A6" w:sz="4" w:space="0"/>
            </w:tcBorders>
            <w:shd w:val="clear" w:color="auto" w:fill="auto"/>
            <w:vAlign w:val="center"/>
          </w:tcPr>
          <w:p w:rsidR="0083408A" w:rsidRDefault="0083408A" w14:paraId="67156DA8" w14:textId="77777777">
            <w:r>
              <w:t>DSI, autres directions et unités INRAE</w:t>
            </w:r>
          </w:p>
        </w:tc>
      </w:tr>
      <w:tr w:rsidR="0083408A" w:rsidTr="0083408A" w14:paraId="67156DB0" w14:textId="77777777">
        <w:trPr>
          <w:trHeight w:val="247"/>
        </w:trPr>
        <w:tc>
          <w:tcPr>
            <w:tcW w:w="477" w:type="dxa"/>
            <w:tcBorders>
              <w:top w:val="single" w:color="03A3A6" w:sz="4" w:space="0"/>
              <w:left w:val="single" w:color="03A3A6" w:sz="4" w:space="0"/>
              <w:bottom w:val="single" w:color="03A3A6" w:sz="4" w:space="0"/>
              <w:right w:val="single" w:color="03A3A6" w:sz="4" w:space="0"/>
            </w:tcBorders>
            <w:shd w:val="clear" w:color="auto" w:fill="auto"/>
            <w:vAlign w:val="center"/>
          </w:tcPr>
          <w:p w:rsidR="0083408A" w:rsidRDefault="0083408A" w14:paraId="67156DAA" w14:textId="77777777">
            <w:r>
              <w:t xml:space="preserve">Lot 2 </w:t>
            </w:r>
          </w:p>
        </w:tc>
        <w:tc>
          <w:tcPr>
            <w:tcW w:w="818" w:type="dxa"/>
            <w:tcBorders>
              <w:top w:val="single" w:color="03A3A6" w:sz="4" w:space="0"/>
              <w:left w:val="single" w:color="03A3A6" w:sz="4" w:space="0"/>
              <w:bottom w:val="single" w:color="03A3A6" w:sz="4" w:space="0"/>
              <w:right w:val="single" w:color="03A3A6" w:sz="4" w:space="0"/>
            </w:tcBorders>
            <w:vAlign w:val="center"/>
          </w:tcPr>
          <w:p w:rsidR="0083408A" w:rsidRDefault="0083408A" w14:paraId="67156DAB" w14:textId="77777777">
            <w:r>
              <w:t>SRE</w:t>
            </w:r>
          </w:p>
        </w:tc>
        <w:tc>
          <w:tcPr>
            <w:tcW w:w="3095" w:type="dxa"/>
            <w:tcBorders>
              <w:top w:val="single" w:color="03A3A6" w:sz="4" w:space="0"/>
              <w:left w:val="single" w:color="03A3A6" w:sz="4" w:space="0"/>
              <w:bottom w:val="single" w:color="03A3A6" w:sz="4" w:space="0"/>
              <w:right w:val="single" w:color="03A3A6" w:sz="4" w:space="0"/>
            </w:tcBorders>
            <w:shd w:val="clear" w:color="auto" w:fill="auto"/>
            <w:vAlign w:val="center"/>
          </w:tcPr>
          <w:p w:rsidR="0083408A" w:rsidRDefault="0083408A" w14:paraId="67156DAC" w14:textId="50792306">
            <w:r>
              <w:t xml:space="preserve">Python, </w:t>
            </w:r>
            <w:proofErr w:type="spellStart"/>
            <w:r>
              <w:t>Gitlab</w:t>
            </w:r>
            <w:proofErr w:type="spellEnd"/>
            <w:r>
              <w:t xml:space="preserve">, Ansible, </w:t>
            </w:r>
            <w:proofErr w:type="spellStart"/>
            <w:r>
              <w:t>Terraform</w:t>
            </w:r>
            <w:proofErr w:type="spellEnd"/>
            <w:r>
              <w:t xml:space="preserve">, docker, </w:t>
            </w:r>
            <w:r w:rsidR="00F60C30">
              <w:t>K8</w:t>
            </w:r>
            <w:r>
              <w:t xml:space="preserve">s, CEPH, VMWARE, </w:t>
            </w:r>
            <w:proofErr w:type="spellStart"/>
            <w:r>
              <w:t>Openstack</w:t>
            </w:r>
            <w:proofErr w:type="spellEnd"/>
            <w:r>
              <w:t xml:space="preserve">, </w:t>
            </w:r>
            <w:proofErr w:type="spellStart"/>
            <w:r>
              <w:t>Openshift</w:t>
            </w:r>
            <w:proofErr w:type="spellEnd"/>
            <w:r>
              <w:t xml:space="preserve">, Rancher, Satellite, </w:t>
            </w:r>
            <w:proofErr w:type="gramStart"/>
            <w:r>
              <w:t>Forman,,</w:t>
            </w:r>
            <w:proofErr w:type="gramEnd"/>
            <w:r>
              <w:t xml:space="preserve"> </w:t>
            </w:r>
            <w:proofErr w:type="spellStart"/>
            <w:r>
              <w:t>Rundeck</w:t>
            </w:r>
            <w:proofErr w:type="spellEnd"/>
            <w:r>
              <w:t>,….</w:t>
            </w:r>
          </w:p>
        </w:tc>
        <w:tc>
          <w:tcPr>
            <w:tcW w:w="2973" w:type="dxa"/>
            <w:tcBorders>
              <w:top w:val="single" w:color="03A3A6" w:sz="4" w:space="0"/>
              <w:left w:val="single" w:color="03A3A6" w:sz="4" w:space="0"/>
              <w:bottom w:val="single" w:color="03A3A6" w:sz="4" w:space="0"/>
              <w:right w:val="single" w:color="03A3A6" w:sz="4" w:space="0"/>
            </w:tcBorders>
          </w:tcPr>
          <w:p w:rsidR="0083408A" w:rsidRDefault="0083408A" w14:paraId="67156DAD" w14:textId="77777777">
            <w:r>
              <w:t xml:space="preserve">Automatisation, optimisation et fiabilisation des plateformes </w:t>
            </w:r>
          </w:p>
        </w:tc>
        <w:tc>
          <w:tcPr>
            <w:tcW w:w="2217" w:type="dxa"/>
            <w:tcBorders>
              <w:top w:val="single" w:color="03A3A6" w:sz="4" w:space="0"/>
              <w:left w:val="single" w:color="03A3A6" w:sz="4" w:space="0"/>
              <w:bottom w:val="single" w:color="03A3A6" w:sz="4" w:space="0"/>
              <w:right w:val="single" w:color="03A3A6" w:sz="4" w:space="0"/>
            </w:tcBorders>
            <w:shd w:val="clear" w:color="auto" w:fill="auto"/>
            <w:vAlign w:val="center"/>
          </w:tcPr>
          <w:p w:rsidR="0083408A" w:rsidRDefault="0083408A" w14:paraId="67156DAF" w14:textId="77777777">
            <w:r>
              <w:t>DSI, autres directions et unités INRAE</w:t>
            </w:r>
          </w:p>
        </w:tc>
      </w:tr>
      <w:tr w:rsidR="0083408A" w:rsidTr="0083408A" w14:paraId="67156DB7" w14:textId="77777777">
        <w:trPr>
          <w:trHeight w:val="247"/>
        </w:trPr>
        <w:tc>
          <w:tcPr>
            <w:tcW w:w="477" w:type="dxa"/>
            <w:tcBorders>
              <w:top w:val="single" w:color="03A3A6" w:sz="4" w:space="0"/>
              <w:left w:val="single" w:color="03A3A6" w:sz="4" w:space="0"/>
              <w:bottom w:val="single" w:color="03A3A6" w:sz="4" w:space="0"/>
              <w:right w:val="single" w:color="03A3A6" w:sz="4" w:space="0"/>
            </w:tcBorders>
            <w:shd w:val="clear" w:color="auto" w:fill="auto"/>
            <w:vAlign w:val="center"/>
          </w:tcPr>
          <w:p w:rsidR="0083408A" w:rsidRDefault="0083408A" w14:paraId="67156DB1" w14:textId="77777777">
            <w:r>
              <w:t>Lot3</w:t>
            </w:r>
          </w:p>
        </w:tc>
        <w:tc>
          <w:tcPr>
            <w:tcW w:w="818" w:type="dxa"/>
            <w:tcBorders>
              <w:top w:val="single" w:color="03A3A6" w:sz="4" w:space="0"/>
              <w:left w:val="single" w:color="03A3A6" w:sz="4" w:space="0"/>
              <w:bottom w:val="single" w:color="03A3A6" w:sz="4" w:space="0"/>
              <w:right w:val="single" w:color="03A3A6" w:sz="4" w:space="0"/>
            </w:tcBorders>
            <w:vAlign w:val="center"/>
          </w:tcPr>
          <w:p w:rsidR="0083408A" w:rsidRDefault="0083408A" w14:paraId="67156DB2" w14:textId="338E575A">
            <w:r>
              <w:t xml:space="preserve">Usine à </w:t>
            </w:r>
            <w:r w:rsidR="00F60C30">
              <w:t>K8</w:t>
            </w:r>
            <w:r>
              <w:t>s</w:t>
            </w:r>
          </w:p>
        </w:tc>
        <w:tc>
          <w:tcPr>
            <w:tcW w:w="3095" w:type="dxa"/>
            <w:tcBorders>
              <w:top w:val="single" w:color="03A3A6" w:sz="4" w:space="0"/>
              <w:left w:val="single" w:color="03A3A6" w:sz="4" w:space="0"/>
              <w:bottom w:val="single" w:color="03A3A6" w:sz="4" w:space="0"/>
              <w:right w:val="single" w:color="03A3A6" w:sz="4" w:space="0"/>
            </w:tcBorders>
            <w:shd w:val="clear" w:color="auto" w:fill="auto"/>
            <w:vAlign w:val="center"/>
          </w:tcPr>
          <w:p w:rsidR="0083408A" w:rsidRDefault="00F60C30" w14:paraId="67156DB3" w14:textId="568525AA">
            <w:r>
              <w:t>K8</w:t>
            </w:r>
            <w:r w:rsidR="0083408A">
              <w:t xml:space="preserve">s, </w:t>
            </w:r>
            <w:proofErr w:type="spellStart"/>
            <w:r w:rsidR="0083408A">
              <w:t>Helm</w:t>
            </w:r>
            <w:proofErr w:type="spellEnd"/>
            <w:r w:rsidR="0083408A">
              <w:t xml:space="preserve"> Nginx, </w:t>
            </w:r>
            <w:proofErr w:type="spellStart"/>
            <w:r w:rsidR="0083408A">
              <w:t>Cilium</w:t>
            </w:r>
            <w:proofErr w:type="spellEnd"/>
            <w:r w:rsidR="0083408A">
              <w:t xml:space="preserve">, </w:t>
            </w:r>
            <w:proofErr w:type="spellStart"/>
            <w:r w:rsidR="0083408A">
              <w:t>MetalLb</w:t>
            </w:r>
            <w:proofErr w:type="spellEnd"/>
            <w:r w:rsidR="0083408A">
              <w:t xml:space="preserve">, </w:t>
            </w:r>
            <w:proofErr w:type="spellStart"/>
            <w:r w:rsidR="0083408A">
              <w:t>Grafana</w:t>
            </w:r>
            <w:proofErr w:type="spellEnd"/>
            <w:r w:rsidR="0083408A">
              <w:t xml:space="preserve">, Loki </w:t>
            </w:r>
            <w:proofErr w:type="spellStart"/>
            <w:r w:rsidR="0083408A">
              <w:t>Prometheus</w:t>
            </w:r>
            <w:proofErr w:type="spellEnd"/>
            <w:r w:rsidR="0083408A">
              <w:t xml:space="preserve">, Longhorn, </w:t>
            </w:r>
            <w:proofErr w:type="spellStart"/>
            <w:r w:rsidR="0083408A">
              <w:t>Neuvector</w:t>
            </w:r>
            <w:proofErr w:type="spellEnd"/>
            <w:r w:rsidR="0083408A">
              <w:t xml:space="preserve">, Harbor, </w:t>
            </w:r>
            <w:proofErr w:type="spellStart"/>
            <w:proofErr w:type="gramStart"/>
            <w:r w:rsidR="0083408A">
              <w:t>ArgoCD</w:t>
            </w:r>
            <w:proofErr w:type="spellEnd"/>
            <w:r w:rsidR="0083408A">
              <w:t>,…</w:t>
            </w:r>
            <w:proofErr w:type="gramEnd"/>
          </w:p>
        </w:tc>
        <w:tc>
          <w:tcPr>
            <w:tcW w:w="2973" w:type="dxa"/>
            <w:tcBorders>
              <w:top w:val="single" w:color="03A3A6" w:sz="4" w:space="0"/>
              <w:left w:val="single" w:color="03A3A6" w:sz="4" w:space="0"/>
              <w:bottom w:val="single" w:color="03A3A6" w:sz="4" w:space="0"/>
              <w:right w:val="single" w:color="03A3A6" w:sz="4" w:space="0"/>
            </w:tcBorders>
          </w:tcPr>
          <w:p w:rsidR="0083408A" w:rsidRDefault="0083408A" w14:paraId="67156DB4" w14:textId="0036DC7F">
            <w:r>
              <w:t xml:space="preserve">Fourniture d’une usine à plateformes </w:t>
            </w:r>
            <w:r w:rsidR="00F60C30">
              <w:t>K8</w:t>
            </w:r>
            <w:r>
              <w:t>s managée</w:t>
            </w:r>
          </w:p>
        </w:tc>
        <w:tc>
          <w:tcPr>
            <w:tcW w:w="2217" w:type="dxa"/>
            <w:tcBorders>
              <w:top w:val="single" w:color="03A3A6" w:sz="4" w:space="0"/>
              <w:left w:val="single" w:color="03A3A6" w:sz="4" w:space="0"/>
              <w:bottom w:val="single" w:color="03A3A6" w:sz="4" w:space="0"/>
              <w:right w:val="single" w:color="03A3A6" w:sz="4" w:space="0"/>
            </w:tcBorders>
            <w:shd w:val="clear" w:color="auto" w:fill="auto"/>
            <w:vAlign w:val="center"/>
          </w:tcPr>
          <w:p w:rsidR="0083408A" w:rsidRDefault="0083408A" w14:paraId="67156DB6" w14:textId="77777777">
            <w:r>
              <w:t>DSI, autres directions et unités INRAE</w:t>
            </w:r>
          </w:p>
        </w:tc>
      </w:tr>
    </w:tbl>
    <w:p w:rsidR="006E6D7A" w:rsidRDefault="006E6D7A" w14:paraId="67156DB8" w14:textId="77777777"/>
    <w:p w:rsidR="006E6D7A" w:rsidRDefault="00B16C64" w14:paraId="67156DB9" w14:textId="33F2529E">
      <w:r>
        <w:t xml:space="preserve">Le présent accord-cadre décrit le contexte de la DSI. Le lot 1 et le lot 2 de ce marché ont une portée qui s’étend à l’ensemble des directions et unités INRAE. Ces lots sont utilisables dans des organisations pratiquant des activités de développement et de maintien en conditions opérationnelles que ce soit de manière traditionnelles, </w:t>
      </w:r>
      <w:proofErr w:type="spellStart"/>
      <w:r>
        <w:t>DevSecOps</w:t>
      </w:r>
      <w:proofErr w:type="spellEnd"/>
      <w:r>
        <w:t xml:space="preserve"> ou mixtes.</w:t>
      </w:r>
    </w:p>
    <w:p w:rsidR="006E6D7A" w:rsidRDefault="00B16C64" w14:paraId="67156DBA" w14:textId="77777777">
      <w:pPr>
        <w:pStyle w:val="Titre2"/>
        <w:rPr>
          <w:color w:val="A6A6A6" w:themeColor="background1" w:themeShade="A6"/>
        </w:rPr>
      </w:pPr>
      <w:bookmarkStart w:name="_Toc221095432" w:id="4"/>
      <w:r>
        <w:rPr>
          <w:color w:val="A6A6A6" w:themeColor="background1" w:themeShade="A6"/>
        </w:rPr>
        <w:t>Présentation d’INRAE</w:t>
      </w:r>
      <w:bookmarkEnd w:id="4"/>
    </w:p>
    <w:p w:rsidR="006E6D7A" w:rsidRDefault="00B16C64" w14:paraId="67156DBB" w14:textId="77777777">
      <w:r>
        <w:t>INRAE est un EPST, établissement public à caractère scientifique et technologique, créé le 1er janvier 2020 et issu de la fusion de l’Inra, Institut national de la recherche agronomique et d'</w:t>
      </w:r>
      <w:proofErr w:type="spellStart"/>
      <w:r>
        <w:t>Irstea</w:t>
      </w:r>
      <w:proofErr w:type="spellEnd"/>
      <w:r>
        <w:t>, Institut national de recherche en sciences et technologies pour l’environnement et l’agriculture. Il est sous la tutelle conjointe des ministères en charge de l’Enseignement supérieur, la Recherche et l’Innovation (MESRI) et celui en charge de l’Agriculture et de la Souveraineté alimentaire (MASA). Il développe des collaborations importantes avec le ministère en charge de la Transition écologique et de la cohésion des territoires selon des conventions cadres dédiées.</w:t>
      </w:r>
    </w:p>
    <w:p w:rsidR="006E6D7A" w:rsidRDefault="00B16C64" w14:paraId="67156DBC" w14:textId="77777777">
      <w:pPr>
        <w:pStyle w:val="NormalWeb"/>
        <w:shd w:val="clear" w:color="auto" w:fill="FFFFFF"/>
        <w:spacing w:before="280" w:after="280"/>
        <w:rPr>
          <w:color w:val="000000"/>
        </w:rPr>
      </w:pPr>
      <w:r>
        <w:rPr>
          <w:color w:val="000000"/>
        </w:rPr>
        <w:t>Premier organisme de recherche spécialisé sur ses trois domaines scientifiques, INRAE, l’Institut national de </w:t>
      </w:r>
      <w:r>
        <w:rPr>
          <w:rStyle w:val="lev"/>
          <w:color w:val="000000"/>
        </w:rPr>
        <w:t>recherche</w:t>
      </w:r>
      <w:r>
        <w:rPr>
          <w:color w:val="000000"/>
        </w:rPr>
        <w:t> pour l’</w:t>
      </w:r>
      <w:r>
        <w:rPr>
          <w:rStyle w:val="lev"/>
          <w:color w:val="000000"/>
        </w:rPr>
        <w:t>agriculture, l’alimentation et l’environnement</w:t>
      </w:r>
      <w:r>
        <w:rPr>
          <w:color w:val="000000"/>
        </w:rPr>
        <w:t> contribue à relever ces défis. En proposant par la recherche, l’innovation et l’appui aux politiques publiques de nouvelles orientations pour accompagner l’émergence de systèmes agricoles et alimentaires durables, INRAE ambitionne d’apporter des solutions pour la vie, les humains et la terre.</w:t>
      </w:r>
    </w:p>
    <w:p w:rsidR="006E6D7A" w:rsidRDefault="006E6D7A" w14:paraId="67156DBD" w14:textId="77777777">
      <w:pPr>
        <w:rPr>
          <w:color w:val="A6A6A6" w:themeColor="background1" w:themeShade="A6"/>
        </w:rPr>
      </w:pPr>
    </w:p>
    <w:p w:rsidR="006E6D7A" w:rsidRDefault="006E6D7A" w14:paraId="67156DBE" w14:textId="77777777">
      <w:pPr>
        <w:rPr>
          <w:color w:val="A6A6A6" w:themeColor="background1" w:themeShade="A6"/>
        </w:rPr>
      </w:pPr>
    </w:p>
    <w:p w:rsidR="006E6D7A" w:rsidRDefault="006E6D7A" w14:paraId="67156DBF" w14:textId="77777777">
      <w:pPr>
        <w:rPr>
          <w:color w:val="A6A6A6" w:themeColor="background1" w:themeShade="A6"/>
        </w:rPr>
      </w:pPr>
    </w:p>
    <w:p w:rsidR="006E6D7A" w:rsidRDefault="00B16C64" w14:paraId="67156DC0" w14:textId="77777777">
      <w:pPr>
        <w:rPr>
          <w:color w:val="A6A6A6" w:themeColor="background1" w:themeShade="A6"/>
        </w:rPr>
      </w:pPr>
      <w:r>
        <w:rPr>
          <w:noProof/>
          <w:color w:val="A6A6A6" w:themeColor="background1" w:themeShade="A6"/>
        </w:rPr>
        <w:lastRenderedPageBreak/>
        <mc:AlternateContent>
          <mc:Choice Requires="wpg">
            <w:drawing>
              <wp:inline distT="0" distB="0" distL="0" distR="0" wp14:anchorId="67157BF9" wp14:editId="67157BFA">
                <wp:extent cx="6120130" cy="3328670"/>
                <wp:effectExtent l="0" t="0" r="0" b="0"/>
                <wp:docPr id="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19"/>
                        <a:stretch/>
                      </pic:blipFill>
                      <pic:spPr bwMode="auto">
                        <a:xfrm>
                          <a:off x="0" y="0"/>
                          <a:ext cx="6120130" cy="3328670"/>
                        </a:xfrm>
                        <a:prstGeom prst="rect">
                          <a:avLst/>
                        </a:prstGeom>
                      </pic:spPr>
                    </pic:pic>
                  </a:graphicData>
                </a:graphic>
              </wp:inline>
            </w:drawing>
          </mc:Choice>
          <mc:Fallback xmlns:a="http://schemas.openxmlformats.org/drawingml/2006/main">
            <w:pict w14:anchorId="799D3D83">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 style="width:481.90pt;height:262.10pt;mso-wrap-distance-left:0.00pt;mso-wrap-distance-top:0.00pt;mso-wrap-distance-right:0.00pt;mso-wrap-distance-bottom:0.00pt;z-index:1;" o:spid="_x0000_s2" stroked="false" type="#_x0000_t75">
                <v:imagedata o:title="" r:id="rId20"/>
                <o:lock v:ext="edit" rotation="t"/>
              </v:shape>
            </w:pict>
          </mc:Fallback>
        </mc:AlternateContent>
      </w:r>
    </w:p>
    <w:p w:rsidR="006E6D7A" w:rsidRDefault="00B16C64" w14:paraId="67156DC1" w14:textId="77777777">
      <w:pPr>
        <w:rPr>
          <w:color w:val="A6A6A6" w:themeColor="background1" w:themeShade="A6"/>
        </w:rPr>
      </w:pPr>
      <w:r>
        <w:rPr>
          <w:noProof/>
          <w:color w:val="A6A6A6" w:themeColor="background1" w:themeShade="A6"/>
        </w:rPr>
        <mc:AlternateContent>
          <mc:Choice Requires="wpg">
            <w:drawing>
              <wp:inline distT="0" distB="0" distL="0" distR="0" wp14:anchorId="67157BFB" wp14:editId="67157BFC">
                <wp:extent cx="3764606" cy="2880610"/>
                <wp:effectExtent l="0" t="0" r="7620" b="0"/>
                <wp:docPr id="4"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rotWithShape="1">
                        <a:blip r:embed="rId21"/>
                        <a:stretch/>
                      </pic:blipFill>
                      <pic:spPr bwMode="auto">
                        <a:xfrm>
                          <a:off x="0" y="0"/>
                          <a:ext cx="3764606" cy="2880610"/>
                        </a:xfrm>
                        <a:prstGeom prst="rect">
                          <a:avLst/>
                        </a:prstGeom>
                      </pic:spPr>
                    </pic:pic>
                  </a:graphicData>
                </a:graphic>
              </wp:inline>
            </w:drawing>
          </mc:Choice>
          <mc:Fallback xmlns:a="http://schemas.openxmlformats.org/drawingml/2006/main">
            <w:pict w14:anchorId="46C7BE76">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 style="width:296.43pt;height:226.82pt;mso-wrap-distance-left:0.00pt;mso-wrap-distance-top:0.00pt;mso-wrap-distance-right:0.00pt;mso-wrap-distance-bottom:0.00pt;z-index:1;" o:spid="_x0000_s3" stroked="false" type="#_x0000_t75">
                <v:imagedata o:title="" r:id="rId22"/>
                <o:lock v:ext="edit" rotation="t"/>
              </v:shape>
            </w:pict>
          </mc:Fallback>
        </mc:AlternateContent>
      </w:r>
    </w:p>
    <w:p w:rsidR="006E6D7A" w:rsidRDefault="00B16C64" w14:paraId="67156DC2" w14:textId="77777777">
      <w:pPr>
        <w:pStyle w:val="Titre3"/>
        <w:numPr>
          <w:ilvl w:val="3"/>
          <w:numId w:val="3"/>
        </w:numPr>
        <w:rPr>
          <w:color w:val="A6A6A6" w:themeColor="background1" w:themeShade="A6"/>
        </w:rPr>
      </w:pPr>
      <w:bookmarkStart w:name="_Toc221095433" w:id="5"/>
      <w:r>
        <w:rPr>
          <w:color w:val="A6A6A6" w:themeColor="background1" w:themeShade="A6"/>
        </w:rPr>
        <w:t>Les Départements de recherche INRAE</w:t>
      </w:r>
      <w:bookmarkEnd w:id="5"/>
    </w:p>
    <w:p w:rsidR="006E6D7A" w:rsidRDefault="00B16C64" w14:paraId="67156DC3" w14:textId="77777777">
      <w:pPr>
        <w:pStyle w:val="Paragraphedeliste"/>
        <w:numPr>
          <w:ilvl w:val="0"/>
          <w:numId w:val="119"/>
        </w:numPr>
      </w:pPr>
      <w:r>
        <w:t>ACT : Action, transitions et territoires</w:t>
      </w:r>
    </w:p>
    <w:p w:rsidR="006E6D7A" w:rsidRDefault="00B16C64" w14:paraId="67156DC4" w14:textId="77777777">
      <w:pPr>
        <w:pStyle w:val="Paragraphedeliste"/>
        <w:numPr>
          <w:ilvl w:val="0"/>
          <w:numId w:val="119"/>
        </w:numPr>
      </w:pPr>
      <w:r>
        <w:t>AGROECOSYSTEM : Agronomie et sciences de l’environnement pour les agroécosystèmes</w:t>
      </w:r>
    </w:p>
    <w:p w:rsidR="006E6D7A" w:rsidRDefault="00B16C64" w14:paraId="67156DC5" w14:textId="77777777">
      <w:pPr>
        <w:pStyle w:val="Paragraphedeliste"/>
        <w:numPr>
          <w:ilvl w:val="0"/>
          <w:numId w:val="119"/>
        </w:numPr>
      </w:pPr>
      <w:r>
        <w:t>ALIMH : Alimentation humaine</w:t>
      </w:r>
    </w:p>
    <w:p w:rsidR="006E6D7A" w:rsidRDefault="00B16C64" w14:paraId="67156DC6" w14:textId="77777777">
      <w:pPr>
        <w:pStyle w:val="Paragraphedeliste"/>
        <w:numPr>
          <w:ilvl w:val="0"/>
          <w:numId w:val="119"/>
        </w:numPr>
      </w:pPr>
      <w:r>
        <w:t>AQUA : écosystèmes aquatiques, ressources en eau et risques</w:t>
      </w:r>
    </w:p>
    <w:p w:rsidR="006E6D7A" w:rsidRDefault="00B16C64" w14:paraId="67156DC7" w14:textId="77777777">
      <w:pPr>
        <w:pStyle w:val="Paragraphedeliste"/>
        <w:numPr>
          <w:ilvl w:val="0"/>
          <w:numId w:val="119"/>
        </w:numPr>
      </w:pPr>
      <w:r>
        <w:t>BAP : Biologie et amélioration des plantes</w:t>
      </w:r>
    </w:p>
    <w:p w:rsidR="006E6D7A" w:rsidRDefault="00B16C64" w14:paraId="67156DC8" w14:textId="77777777">
      <w:pPr>
        <w:pStyle w:val="Paragraphedeliste"/>
        <w:numPr>
          <w:ilvl w:val="0"/>
          <w:numId w:val="119"/>
        </w:numPr>
      </w:pPr>
      <w:r>
        <w:t xml:space="preserve">ECODIV : écologie et biodiversité des milieux forestiers, </w:t>
      </w:r>
      <w:proofErr w:type="spellStart"/>
      <w:r>
        <w:t>prairiaux</w:t>
      </w:r>
      <w:proofErr w:type="spellEnd"/>
      <w:r>
        <w:t xml:space="preserve"> et aquatiques</w:t>
      </w:r>
    </w:p>
    <w:p w:rsidR="006E6D7A" w:rsidRDefault="00B16C64" w14:paraId="67156DC9" w14:textId="77777777">
      <w:pPr>
        <w:pStyle w:val="Paragraphedeliste"/>
        <w:numPr>
          <w:ilvl w:val="0"/>
          <w:numId w:val="119"/>
        </w:numPr>
      </w:pPr>
      <w:r>
        <w:t>ECOSOCIO : économie et sciences sociales</w:t>
      </w:r>
    </w:p>
    <w:p w:rsidR="006E6D7A" w:rsidRDefault="00B16C64" w14:paraId="67156DCA" w14:textId="77777777">
      <w:pPr>
        <w:pStyle w:val="Paragraphedeliste"/>
        <w:numPr>
          <w:ilvl w:val="0"/>
          <w:numId w:val="119"/>
        </w:numPr>
      </w:pPr>
      <w:r>
        <w:t>GA : Génétique animale</w:t>
      </w:r>
    </w:p>
    <w:p w:rsidR="006E6D7A" w:rsidRDefault="00B16C64" w14:paraId="67156DCB" w14:textId="77777777">
      <w:pPr>
        <w:pStyle w:val="Paragraphedeliste"/>
        <w:numPr>
          <w:ilvl w:val="0"/>
          <w:numId w:val="119"/>
        </w:numPr>
      </w:pPr>
      <w:r>
        <w:t>MICA : Microbiologie et chaîne alimentaire</w:t>
      </w:r>
    </w:p>
    <w:p w:rsidR="006E6D7A" w:rsidRDefault="00B16C64" w14:paraId="67156DCC" w14:textId="77777777">
      <w:pPr>
        <w:pStyle w:val="Paragraphedeliste"/>
        <w:numPr>
          <w:ilvl w:val="0"/>
          <w:numId w:val="119"/>
        </w:numPr>
      </w:pPr>
      <w:r>
        <w:t>MATHNUM : Mathématiques et numérique</w:t>
      </w:r>
    </w:p>
    <w:p w:rsidR="006E6D7A" w:rsidRDefault="00B16C64" w14:paraId="67156DCD" w14:textId="77777777">
      <w:pPr>
        <w:pStyle w:val="Paragraphedeliste"/>
        <w:numPr>
          <w:ilvl w:val="0"/>
          <w:numId w:val="119"/>
        </w:numPr>
      </w:pPr>
      <w:r>
        <w:t>PHASE : Physiologie animale et élevages</w:t>
      </w:r>
    </w:p>
    <w:p w:rsidR="006E6D7A" w:rsidRDefault="00B16C64" w14:paraId="67156DCE" w14:textId="77777777">
      <w:pPr>
        <w:pStyle w:val="Paragraphedeliste"/>
        <w:numPr>
          <w:ilvl w:val="0"/>
          <w:numId w:val="119"/>
        </w:numPr>
      </w:pPr>
      <w:r>
        <w:lastRenderedPageBreak/>
        <w:t>SA : Santé animale</w:t>
      </w:r>
    </w:p>
    <w:p w:rsidR="006E6D7A" w:rsidRDefault="00B16C64" w14:paraId="67156DCF" w14:textId="77777777">
      <w:pPr>
        <w:pStyle w:val="Paragraphedeliste"/>
        <w:numPr>
          <w:ilvl w:val="0"/>
          <w:numId w:val="119"/>
        </w:numPr>
      </w:pPr>
      <w:r>
        <w:t>SPE : Santé des plantes et environnement</w:t>
      </w:r>
    </w:p>
    <w:p w:rsidR="006E6D7A" w:rsidRDefault="00B16C64" w14:paraId="67156DD0" w14:textId="77777777">
      <w:pPr>
        <w:pStyle w:val="Paragraphedeliste"/>
        <w:numPr>
          <w:ilvl w:val="0"/>
          <w:numId w:val="119"/>
        </w:numPr>
      </w:pPr>
      <w:r>
        <w:t>TRANSFORM : Aliments, produits biosourcés et déchets</w:t>
      </w:r>
    </w:p>
    <w:p w:rsidR="006E6D7A" w:rsidRDefault="00B16C64" w14:paraId="67156DD1" w14:textId="77777777">
      <w:pPr>
        <w:pStyle w:val="Titre3"/>
        <w:numPr>
          <w:ilvl w:val="3"/>
          <w:numId w:val="3"/>
        </w:numPr>
        <w:rPr>
          <w:color w:val="A6A6A6" w:themeColor="background1" w:themeShade="A6"/>
        </w:rPr>
      </w:pPr>
      <w:bookmarkStart w:name="_Toc221095434" w:id="6"/>
      <w:r>
        <w:rPr>
          <w:color w:val="A6A6A6" w:themeColor="background1" w:themeShade="A6"/>
        </w:rPr>
        <w:t>Les unités</w:t>
      </w:r>
      <w:bookmarkEnd w:id="6"/>
    </w:p>
    <w:p w:rsidR="006E6D7A" w:rsidRDefault="00B16C64" w14:paraId="67156DD2" w14:textId="77777777">
      <w:pPr>
        <w:rPr>
          <w:color w:val="000000"/>
          <w:shd w:val="clear" w:color="auto" w:fill="FFFFFF"/>
        </w:rPr>
      </w:pPr>
      <w:r>
        <w:rPr>
          <w:color w:val="000000"/>
          <w:shd w:val="clear" w:color="auto" w:fill="FFFFFF"/>
        </w:rPr>
        <w:t>Les activités scientifiques et d’appui à la recherche sont conduites dans des unités (273 Unités de recherche, de service et expérimentales). L’unité représente le niveau opérationnel de base de l’organisation d’INRAE. Les unités sont autonomes budgétairement.</w:t>
      </w:r>
    </w:p>
    <w:p w:rsidR="006E6D7A" w:rsidRDefault="00B16C64" w14:paraId="67156DD3" w14:textId="77777777">
      <w:pPr>
        <w:rPr>
          <w:color w:val="000000"/>
          <w:shd w:val="clear" w:color="auto" w:fill="FFFFFF"/>
        </w:rPr>
      </w:pPr>
      <w:r>
        <w:rPr>
          <w:color w:val="000000"/>
          <w:shd w:val="clear" w:color="auto" w:fill="FFFFFF"/>
        </w:rPr>
        <w:t>L’unité est forte de sa cohérence interne (scientifique, technique, stratégique, ou managériale). Une unité est donc le premier échelon administratif, rattaché ensuite à un des 18 Centres de Recherche INRAE + 1 Centre Siège.</w:t>
      </w:r>
    </w:p>
    <w:p w:rsidR="006E6D7A" w:rsidRDefault="00B16C64" w14:paraId="67156DD4" w14:textId="77777777">
      <w:pPr>
        <w:pStyle w:val="Titre3"/>
        <w:numPr>
          <w:ilvl w:val="3"/>
          <w:numId w:val="3"/>
        </w:numPr>
        <w:rPr>
          <w:color w:val="A6A6A6" w:themeColor="background1" w:themeShade="A6"/>
        </w:rPr>
      </w:pPr>
      <w:bookmarkStart w:name="_Toc221095435" w:id="7"/>
      <w:r>
        <w:rPr>
          <w:color w:val="A6A6A6" w:themeColor="background1" w:themeShade="A6"/>
        </w:rPr>
        <w:t>Le siège</w:t>
      </w:r>
      <w:bookmarkEnd w:id="7"/>
    </w:p>
    <w:p w:rsidR="006E6D7A" w:rsidRDefault="00B16C64" w14:paraId="67156DD5" w14:textId="77777777">
      <w:pPr>
        <w:rPr>
          <w:color w:val="000000"/>
          <w:shd w:val="clear" w:color="auto" w:fill="FFFFFF"/>
        </w:rPr>
      </w:pPr>
      <w:r>
        <w:rPr>
          <w:color w:val="000000"/>
          <w:shd w:val="clear" w:color="auto" w:fill="FFFFFF"/>
        </w:rPr>
        <w:t>Le Siège INRAE inclut les trois Directions Générales (Expertise et appui aux Politiques Publiques, Science et Innovation, Ressources).</w:t>
      </w:r>
    </w:p>
    <w:p w:rsidR="006E6D7A" w:rsidRDefault="00B16C64" w14:paraId="67156DD6" w14:textId="77777777">
      <w:pPr>
        <w:rPr>
          <w:color w:val="000000"/>
          <w:shd w:val="clear" w:color="auto" w:fill="FFFFFF"/>
        </w:rPr>
      </w:pPr>
      <w:r>
        <w:rPr>
          <w:color w:val="000000"/>
          <w:shd w:val="clear" w:color="auto" w:fill="FFFFFF"/>
        </w:rPr>
        <w:t xml:space="preserve">Ces DG intègrent des directions d’appui à la recherche (DAR) qui sont des unités ou groupes d’unités qui portent les grandes fonctions de pilotage et d’appui à la recherche : </w:t>
      </w:r>
    </w:p>
    <w:p w:rsidR="006E6D7A" w:rsidRDefault="00B16C64" w14:paraId="67156DD7" w14:textId="77777777">
      <w:pPr>
        <w:pStyle w:val="Paragraphedeliste"/>
        <w:numPr>
          <w:ilvl w:val="0"/>
          <w:numId w:val="118"/>
        </w:numPr>
        <w:rPr>
          <w:color w:val="000000"/>
        </w:rPr>
      </w:pPr>
      <w:r>
        <w:rPr>
          <w:color w:val="000000"/>
          <w:shd w:val="clear" w:color="auto" w:fill="FFFFFF"/>
        </w:rPr>
        <w:t xml:space="preserve">Ressources Humaines (DRH), </w:t>
      </w:r>
    </w:p>
    <w:p w:rsidR="006E6D7A" w:rsidRDefault="00B16C64" w14:paraId="67156DD8" w14:textId="77777777">
      <w:pPr>
        <w:pStyle w:val="Paragraphedeliste"/>
        <w:numPr>
          <w:ilvl w:val="0"/>
          <w:numId w:val="118"/>
        </w:numPr>
        <w:rPr>
          <w:color w:val="000000"/>
        </w:rPr>
      </w:pPr>
      <w:r>
        <w:rPr>
          <w:color w:val="000000"/>
          <w:shd w:val="clear" w:color="auto" w:fill="FFFFFF"/>
        </w:rPr>
        <w:t xml:space="preserve">Financement et des Achats (DIFA), </w:t>
      </w:r>
    </w:p>
    <w:p w:rsidR="006E6D7A" w:rsidRDefault="00B16C64" w14:paraId="67156DD9" w14:textId="77777777">
      <w:pPr>
        <w:pStyle w:val="Paragraphedeliste"/>
        <w:numPr>
          <w:ilvl w:val="0"/>
          <w:numId w:val="118"/>
        </w:numPr>
        <w:rPr>
          <w:color w:val="000000"/>
        </w:rPr>
      </w:pPr>
      <w:r>
        <w:rPr>
          <w:color w:val="000000"/>
          <w:shd w:val="clear" w:color="auto" w:fill="FFFFFF"/>
        </w:rPr>
        <w:t>Systèmes d’Information (DSI),</w:t>
      </w:r>
    </w:p>
    <w:p w:rsidR="006E6D7A" w:rsidRDefault="00B16C64" w14:paraId="67156DDA" w14:textId="77777777">
      <w:pPr>
        <w:pStyle w:val="Paragraphedeliste"/>
        <w:numPr>
          <w:ilvl w:val="0"/>
          <w:numId w:val="118"/>
        </w:numPr>
        <w:rPr>
          <w:color w:val="000000"/>
        </w:rPr>
      </w:pPr>
      <w:r>
        <w:rPr>
          <w:color w:val="000000"/>
          <w:shd w:val="clear" w:color="auto" w:fill="FFFFFF"/>
        </w:rPr>
        <w:t xml:space="preserve">Patrimoine et de l’Immobilier (DPI), </w:t>
      </w:r>
    </w:p>
    <w:p w:rsidR="006E6D7A" w:rsidRDefault="00B16C64" w14:paraId="67156DDB" w14:textId="77777777">
      <w:pPr>
        <w:pStyle w:val="Paragraphedeliste"/>
        <w:numPr>
          <w:ilvl w:val="0"/>
          <w:numId w:val="118"/>
        </w:numPr>
        <w:rPr>
          <w:color w:val="000000"/>
        </w:rPr>
      </w:pPr>
      <w:r>
        <w:rPr>
          <w:color w:val="000000"/>
          <w:shd w:val="clear" w:color="auto" w:fill="FFFFFF"/>
        </w:rPr>
        <w:t>Affaires Juridiques (DAJ),</w:t>
      </w:r>
    </w:p>
    <w:p w:rsidR="006E6D7A" w:rsidRDefault="00B16C64" w14:paraId="67156DDC" w14:textId="77777777">
      <w:pPr>
        <w:pStyle w:val="Paragraphedeliste"/>
        <w:numPr>
          <w:ilvl w:val="0"/>
          <w:numId w:val="118"/>
        </w:numPr>
        <w:rPr>
          <w:color w:val="000000"/>
        </w:rPr>
      </w:pPr>
      <w:r>
        <w:rPr>
          <w:color w:val="000000"/>
          <w:shd w:val="clear" w:color="auto" w:fill="FFFFFF"/>
        </w:rPr>
        <w:t>Appui au Pilotage (Diagonal),</w:t>
      </w:r>
    </w:p>
    <w:p w:rsidR="006E6D7A" w:rsidRDefault="00B16C64" w14:paraId="67156DDD" w14:textId="77777777">
      <w:pPr>
        <w:pStyle w:val="Paragraphedeliste"/>
        <w:numPr>
          <w:ilvl w:val="0"/>
          <w:numId w:val="118"/>
        </w:numPr>
        <w:rPr>
          <w:color w:val="000000"/>
        </w:rPr>
      </w:pPr>
      <w:r>
        <w:rPr>
          <w:color w:val="000000"/>
          <w:shd w:val="clear" w:color="auto" w:fill="FFFFFF"/>
        </w:rPr>
        <w:t>Expertises scientifiques, collectives, Prospectives et Études (DEPE),</w:t>
      </w:r>
    </w:p>
    <w:p w:rsidR="006E6D7A" w:rsidRDefault="00B16C64" w14:paraId="67156DDE" w14:textId="77777777">
      <w:pPr>
        <w:pStyle w:val="Paragraphedeliste"/>
        <w:numPr>
          <w:ilvl w:val="0"/>
          <w:numId w:val="118"/>
        </w:numPr>
        <w:rPr>
          <w:color w:val="000000"/>
        </w:rPr>
      </w:pPr>
      <w:r>
        <w:rPr>
          <w:color w:val="000000"/>
          <w:shd w:val="clear" w:color="auto" w:fill="FFFFFF"/>
        </w:rPr>
        <w:t>Appui aux Politiques Publiques (DAPP),</w:t>
      </w:r>
    </w:p>
    <w:p w:rsidR="006E6D7A" w:rsidRDefault="00B16C64" w14:paraId="67156DDF" w14:textId="77777777">
      <w:pPr>
        <w:pStyle w:val="Paragraphedeliste"/>
        <w:numPr>
          <w:ilvl w:val="0"/>
          <w:numId w:val="118"/>
        </w:numPr>
        <w:rPr>
          <w:color w:val="000000"/>
        </w:rPr>
      </w:pPr>
      <w:r>
        <w:rPr>
          <w:color w:val="000000"/>
          <w:shd w:val="clear" w:color="auto" w:fill="FFFFFF"/>
        </w:rPr>
        <w:t>Direction Partenariat et Transfert pour l’Innovation (DPTI),</w:t>
      </w:r>
    </w:p>
    <w:p w:rsidR="006E6D7A" w:rsidRDefault="00B16C64" w14:paraId="67156DE0" w14:textId="77777777">
      <w:pPr>
        <w:pStyle w:val="Paragraphedeliste"/>
        <w:numPr>
          <w:ilvl w:val="0"/>
          <w:numId w:val="118"/>
        </w:numPr>
        <w:rPr>
          <w:color w:val="000000"/>
        </w:rPr>
      </w:pPr>
      <w:r>
        <w:rPr>
          <w:color w:val="000000"/>
          <w:shd w:val="clear" w:color="auto" w:fill="FFFFFF"/>
        </w:rPr>
        <w:t>Science Ouverte (DIPSO),</w:t>
      </w:r>
    </w:p>
    <w:p w:rsidR="006E6D7A" w:rsidRDefault="00B16C64" w14:paraId="67156DE1" w14:textId="77777777">
      <w:pPr>
        <w:pStyle w:val="Paragraphedeliste"/>
        <w:numPr>
          <w:ilvl w:val="0"/>
          <w:numId w:val="118"/>
        </w:numPr>
        <w:rPr>
          <w:color w:val="000000"/>
        </w:rPr>
      </w:pPr>
      <w:r>
        <w:rPr>
          <w:color w:val="000000"/>
          <w:shd w:val="clear" w:color="auto" w:fill="FFFFFF"/>
        </w:rPr>
        <w:t>Coordination des Services Déconcentrés de l’Appui à la Recherche (DCSDAR)</w:t>
      </w:r>
    </w:p>
    <w:p w:rsidR="006E6D7A" w:rsidRDefault="00B16C64" w14:paraId="67156DE2" w14:textId="77777777">
      <w:pPr>
        <w:pStyle w:val="Paragraphedeliste"/>
        <w:numPr>
          <w:ilvl w:val="0"/>
          <w:numId w:val="118"/>
        </w:numPr>
        <w:rPr>
          <w:color w:val="000000"/>
        </w:rPr>
      </w:pPr>
      <w:r>
        <w:rPr>
          <w:color w:val="000000"/>
          <w:shd w:val="clear" w:color="auto" w:fill="FFFFFF"/>
        </w:rPr>
        <w:t>Évaluation (DEV)</w:t>
      </w:r>
    </w:p>
    <w:p w:rsidR="006E6D7A" w:rsidRDefault="00B16C64" w14:paraId="67156DE3" w14:textId="77777777">
      <w:pPr>
        <w:pStyle w:val="Titre3"/>
        <w:numPr>
          <w:ilvl w:val="3"/>
          <w:numId w:val="3"/>
        </w:numPr>
        <w:rPr>
          <w:color w:val="A6A6A6" w:themeColor="background1" w:themeShade="A6"/>
        </w:rPr>
      </w:pPr>
      <w:bookmarkStart w:name="_Toc221095436" w:id="8"/>
      <w:r>
        <w:rPr>
          <w:color w:val="A6A6A6" w:themeColor="background1" w:themeShade="A6"/>
        </w:rPr>
        <w:t>Les centres</w:t>
      </w:r>
      <w:bookmarkEnd w:id="8"/>
    </w:p>
    <w:p w:rsidR="006E6D7A" w:rsidRDefault="00B16C64" w14:paraId="67156DE4" w14:textId="77777777">
      <w:pPr>
        <w:rPr>
          <w:color w:val="000000"/>
          <w:shd w:val="clear" w:color="auto" w:fill="FFFFFF"/>
        </w:rPr>
      </w:pPr>
      <w:r>
        <w:rPr>
          <w:color w:val="000000"/>
          <w:shd w:val="clear" w:color="auto" w:fill="FFFFFF"/>
        </w:rPr>
        <w:t>Le Centre rassemble l’ensemble des unités d’un territoire et assure un rôle dans l’insertion territoriale des recherches d’INRAE.</w:t>
      </w:r>
    </w:p>
    <w:p w:rsidR="006E6D7A" w:rsidRDefault="00B16C64" w14:paraId="67156DE5" w14:textId="77777777">
      <w:pPr>
        <w:rPr>
          <w:color w:val="000000"/>
          <w:shd w:val="clear" w:color="auto" w:fill="FFFFFF"/>
        </w:rPr>
      </w:pPr>
      <w:r>
        <w:rPr>
          <w:color w:val="000000"/>
          <w:shd w:val="clear" w:color="auto" w:fill="FFFFFF"/>
        </w:rPr>
        <w:t>Ils sont au nombre de 19 (18 Centres de Recherches plus le Centre-Siège) :</w:t>
      </w:r>
    </w:p>
    <w:p w:rsidR="006E6D7A" w:rsidRDefault="006E6D7A" w14:paraId="67156DE6" w14:textId="77777777">
      <w:pPr>
        <w:rPr>
          <w:color w:val="A6A6A6" w:themeColor="background1" w:themeShade="A6"/>
        </w:rPr>
      </w:pPr>
    </w:p>
    <w:tbl>
      <w:tblPr>
        <w:tblStyle w:val="Grilledutableau"/>
        <w:tblW w:w="9781" w:type="dxa"/>
        <w:tblInd w:w="-5" w:type="dxa"/>
        <w:tblLayout w:type="fixed"/>
        <w:tblLook w:val="04A0" w:firstRow="1" w:lastRow="0" w:firstColumn="1" w:lastColumn="0" w:noHBand="0" w:noVBand="1"/>
      </w:tblPr>
      <w:tblGrid>
        <w:gridCol w:w="4063"/>
        <w:gridCol w:w="5718"/>
      </w:tblGrid>
      <w:tr w:rsidR="006E6D7A" w14:paraId="67156DE9"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DE7" w14:textId="77777777">
            <w:pPr>
              <w:pStyle w:val="Paragraphedeliste"/>
              <w:numPr>
                <w:ilvl w:val="0"/>
                <w:numId w:val="118"/>
              </w:numPr>
              <w:rPr>
                <w:color w:val="000000"/>
              </w:rPr>
            </w:pPr>
            <w:r>
              <w:rPr>
                <w:color w:val="000000"/>
                <w:shd w:val="clear" w:color="auto" w:fill="FFFFFF"/>
              </w:rPr>
              <w:t>Antilles-Guyane</w:t>
            </w:r>
          </w:p>
        </w:tc>
        <w:tc>
          <w:tcPr>
            <w:tcW w:w="5717" w:type="dxa"/>
            <w:vMerge w:val="restart"/>
            <w:tcBorders>
              <w:top w:val="none" w:color="000000" w:sz="4" w:space="0"/>
              <w:left w:val="none" w:color="000000" w:sz="4" w:space="0"/>
              <w:bottom w:val="none" w:color="000000" w:sz="4" w:space="0"/>
              <w:right w:val="none" w:color="000000" w:sz="4" w:space="0"/>
            </w:tcBorders>
            <w:vAlign w:val="center"/>
          </w:tcPr>
          <w:p w:rsidR="006E6D7A" w:rsidRDefault="00B16C64" w14:paraId="67156DE8" w14:textId="77777777">
            <w:pPr>
              <w:spacing w:before="20" w:after="20"/>
              <w:jc w:val="center"/>
              <w:rPr>
                <w:color w:val="A6A6A6" w:themeColor="background1" w:themeShade="A6"/>
              </w:rPr>
            </w:pPr>
            <w:r>
              <w:rPr>
                <w:noProof/>
              </w:rPr>
              <mc:AlternateContent>
                <mc:Choice Requires="wpg">
                  <w:drawing>
                    <wp:inline distT="0" distB="0" distL="0" distR="0" wp14:anchorId="67157BFD" wp14:editId="67157BFE">
                      <wp:extent cx="3493770" cy="2731135"/>
                      <wp:effectExtent l="0" t="0" r="0" b="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1"/>
                              <pic:cNvPicPr>
                                <a:picLocks noChangeAspect="1"/>
                              </pic:cNvPicPr>
                            </pic:nvPicPr>
                            <pic:blipFill rotWithShape="1">
                              <a:blip r:embed="rId23"/>
                              <a:stretch/>
                            </pic:blipFill>
                            <pic:spPr bwMode="auto">
                              <a:xfrm>
                                <a:off x="0" y="0"/>
                                <a:ext cx="3493770" cy="2731135"/>
                              </a:xfrm>
                              <a:prstGeom prst="rect">
                                <a:avLst/>
                              </a:prstGeom>
                              <a:noFill/>
                            </pic:spPr>
                          </pic:pic>
                        </a:graphicData>
                      </a:graphic>
                    </wp:inline>
                  </w:drawing>
                </mc:Choice>
                <mc:Fallback xmlns:a="http://schemas.openxmlformats.org/drawingml/2006/main">
                  <w:pict w14:anchorId="3093B656">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4" style="width:275.10pt;height:215.05pt;mso-wrap-distance-left:0.00pt;mso-wrap-distance-top:0.00pt;mso-wrap-distance-right:0.00pt;mso-wrap-distance-bottom:0.00pt;z-index:1;" o:spid="_x0000_s4" stroked="false" type="#_x0000_t75">
                      <v:imagedata o:title="" r:id="rId24"/>
                      <o:lock v:ext="edit" rotation="t"/>
                    </v:shape>
                  </w:pict>
                </mc:Fallback>
              </mc:AlternateContent>
            </w:r>
          </w:p>
        </w:tc>
      </w:tr>
      <w:tr w:rsidR="006E6D7A" w14:paraId="67156DEC"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DEA" w14:textId="77777777">
            <w:pPr>
              <w:pStyle w:val="Paragraphedeliste"/>
              <w:numPr>
                <w:ilvl w:val="0"/>
                <w:numId w:val="118"/>
              </w:numPr>
              <w:rPr>
                <w:color w:val="000000"/>
              </w:rPr>
            </w:pPr>
            <w:r>
              <w:rPr>
                <w:color w:val="000000"/>
                <w:shd w:val="clear" w:color="auto" w:fill="FFFFFF"/>
              </w:rPr>
              <w:t>Bourgogne-Franche-Comté</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DEB" w14:textId="77777777">
            <w:pPr>
              <w:spacing w:before="20" w:after="20"/>
              <w:rPr>
                <w:color w:val="A6A6A6" w:themeColor="background1" w:themeShade="A6"/>
              </w:rPr>
            </w:pPr>
          </w:p>
        </w:tc>
      </w:tr>
      <w:tr w:rsidR="006E6D7A" w14:paraId="67156DEF"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DED" w14:textId="77777777">
            <w:pPr>
              <w:pStyle w:val="Paragraphedeliste"/>
              <w:numPr>
                <w:ilvl w:val="0"/>
                <w:numId w:val="118"/>
              </w:numPr>
              <w:rPr>
                <w:color w:val="000000"/>
              </w:rPr>
            </w:pPr>
            <w:r>
              <w:rPr>
                <w:color w:val="000000"/>
                <w:shd w:val="clear" w:color="auto" w:fill="FFFFFF"/>
              </w:rPr>
              <w:t>Bretagne-Normandie</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DEE" w14:textId="77777777">
            <w:pPr>
              <w:spacing w:before="20" w:after="20"/>
              <w:rPr>
                <w:color w:val="A6A6A6" w:themeColor="background1" w:themeShade="A6"/>
              </w:rPr>
            </w:pPr>
          </w:p>
        </w:tc>
      </w:tr>
      <w:tr w:rsidR="006E6D7A" w14:paraId="67156DF2"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DF0" w14:textId="77777777">
            <w:pPr>
              <w:pStyle w:val="Paragraphedeliste"/>
              <w:numPr>
                <w:ilvl w:val="0"/>
                <w:numId w:val="118"/>
              </w:numPr>
              <w:rPr>
                <w:color w:val="000000"/>
              </w:rPr>
            </w:pPr>
            <w:r>
              <w:rPr>
                <w:color w:val="000000"/>
                <w:shd w:val="clear" w:color="auto" w:fill="FFFFFF"/>
              </w:rPr>
              <w:t>Auvergne-Rhône-Alpes</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DF1" w14:textId="77777777">
            <w:pPr>
              <w:spacing w:before="20" w:after="20"/>
              <w:rPr>
                <w:color w:val="A6A6A6" w:themeColor="background1" w:themeShade="A6"/>
              </w:rPr>
            </w:pPr>
          </w:p>
        </w:tc>
      </w:tr>
      <w:tr w:rsidR="006E6D7A" w14:paraId="67156DF5"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DF3" w14:textId="77777777">
            <w:pPr>
              <w:pStyle w:val="Paragraphedeliste"/>
              <w:numPr>
                <w:ilvl w:val="0"/>
                <w:numId w:val="118"/>
              </w:numPr>
              <w:rPr>
                <w:color w:val="000000"/>
              </w:rPr>
            </w:pPr>
            <w:r>
              <w:rPr>
                <w:color w:val="000000"/>
                <w:shd w:val="clear" w:color="auto" w:fill="FFFFFF"/>
              </w:rPr>
              <w:lastRenderedPageBreak/>
              <w:t>Lyon-Grenoble-Auvergne-Rhône-Alpes</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DF4" w14:textId="77777777">
            <w:pPr>
              <w:spacing w:before="20" w:after="20"/>
              <w:rPr>
                <w:color w:val="A6A6A6" w:themeColor="background1" w:themeShade="A6"/>
              </w:rPr>
            </w:pPr>
          </w:p>
        </w:tc>
      </w:tr>
      <w:tr w:rsidR="006E6D7A" w14:paraId="67156DF8"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DF6" w14:textId="77777777">
            <w:pPr>
              <w:pStyle w:val="Paragraphedeliste"/>
              <w:numPr>
                <w:ilvl w:val="0"/>
                <w:numId w:val="118"/>
              </w:numPr>
              <w:rPr>
                <w:color w:val="000000"/>
              </w:rPr>
            </w:pPr>
            <w:r>
              <w:rPr>
                <w:color w:val="000000"/>
                <w:shd w:val="clear" w:color="auto" w:fill="FFFFFF"/>
              </w:rPr>
              <w:t>Corse</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DF7" w14:textId="77777777">
            <w:pPr>
              <w:spacing w:before="20" w:after="20"/>
              <w:rPr>
                <w:color w:val="A6A6A6" w:themeColor="background1" w:themeShade="A6"/>
              </w:rPr>
            </w:pPr>
          </w:p>
        </w:tc>
      </w:tr>
      <w:tr w:rsidR="006E6D7A" w14:paraId="67156DFB"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DF9" w14:textId="77777777">
            <w:pPr>
              <w:pStyle w:val="Paragraphedeliste"/>
              <w:numPr>
                <w:ilvl w:val="0"/>
                <w:numId w:val="118"/>
              </w:numPr>
              <w:rPr>
                <w:color w:val="000000"/>
              </w:rPr>
            </w:pPr>
            <w:r>
              <w:rPr>
                <w:color w:val="000000"/>
                <w:shd w:val="clear" w:color="auto" w:fill="FFFFFF"/>
              </w:rPr>
              <w:t>Grand Est-Colmar</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DFA" w14:textId="77777777">
            <w:pPr>
              <w:spacing w:before="20" w:after="20"/>
              <w:rPr>
                <w:color w:val="A6A6A6" w:themeColor="background1" w:themeShade="A6"/>
              </w:rPr>
            </w:pPr>
          </w:p>
        </w:tc>
      </w:tr>
      <w:tr w:rsidR="006E6D7A" w14:paraId="67156DFE"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DFC" w14:textId="77777777">
            <w:pPr>
              <w:pStyle w:val="Paragraphedeliste"/>
              <w:numPr>
                <w:ilvl w:val="0"/>
                <w:numId w:val="118"/>
              </w:numPr>
              <w:rPr>
                <w:color w:val="000000"/>
              </w:rPr>
            </w:pPr>
            <w:r>
              <w:rPr>
                <w:color w:val="000000"/>
                <w:shd w:val="clear" w:color="auto" w:fill="FFFFFF"/>
              </w:rPr>
              <w:t>Grand Est-Nancy</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DFD" w14:textId="77777777">
            <w:pPr>
              <w:spacing w:before="20" w:after="20"/>
              <w:rPr>
                <w:color w:val="A6A6A6" w:themeColor="background1" w:themeShade="A6"/>
              </w:rPr>
            </w:pPr>
          </w:p>
        </w:tc>
      </w:tr>
      <w:tr w:rsidR="006E6D7A" w14:paraId="67156E01"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DFF" w14:textId="77777777">
            <w:pPr>
              <w:pStyle w:val="Paragraphedeliste"/>
              <w:numPr>
                <w:ilvl w:val="0"/>
                <w:numId w:val="118"/>
              </w:numPr>
              <w:rPr>
                <w:color w:val="000000"/>
              </w:rPr>
            </w:pPr>
            <w:r>
              <w:rPr>
                <w:color w:val="000000"/>
                <w:shd w:val="clear" w:color="auto" w:fill="FFFFFF"/>
              </w:rPr>
              <w:t>Hauts-de-œuvrer</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00" w14:textId="77777777">
            <w:pPr>
              <w:spacing w:before="20" w:after="20"/>
              <w:rPr>
                <w:color w:val="A6A6A6" w:themeColor="background1" w:themeShade="A6"/>
              </w:rPr>
            </w:pPr>
          </w:p>
        </w:tc>
      </w:tr>
      <w:tr w:rsidR="006E6D7A" w14:paraId="67156E04"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E02" w14:textId="77777777">
            <w:pPr>
              <w:pStyle w:val="Paragraphedeliste"/>
              <w:numPr>
                <w:ilvl w:val="0"/>
                <w:numId w:val="118"/>
              </w:numPr>
              <w:rPr>
                <w:color w:val="000000"/>
              </w:rPr>
            </w:pPr>
            <w:r>
              <w:rPr>
                <w:color w:val="000000"/>
                <w:shd w:val="clear" w:color="auto" w:fill="FFFFFF"/>
              </w:rPr>
              <w:t>Ile-de-France-Versailles-Grignon</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03" w14:textId="77777777">
            <w:pPr>
              <w:spacing w:before="20" w:after="20"/>
              <w:rPr>
                <w:color w:val="A6A6A6" w:themeColor="background1" w:themeShade="A6"/>
              </w:rPr>
            </w:pPr>
          </w:p>
        </w:tc>
      </w:tr>
      <w:tr w:rsidR="006E6D7A" w14:paraId="67156E07"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E05" w14:textId="77777777">
            <w:pPr>
              <w:pStyle w:val="Paragraphedeliste"/>
              <w:numPr>
                <w:ilvl w:val="0"/>
                <w:numId w:val="118"/>
              </w:numPr>
              <w:rPr>
                <w:color w:val="000000"/>
              </w:rPr>
            </w:pPr>
            <w:r>
              <w:rPr>
                <w:color w:val="000000"/>
                <w:shd w:val="clear" w:color="auto" w:fill="FFFFFF"/>
              </w:rPr>
              <w:t>Nouvelle-Aquitaine-Bordeaux</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06" w14:textId="77777777">
            <w:pPr>
              <w:spacing w:before="20" w:after="20"/>
              <w:rPr>
                <w:color w:val="A6A6A6" w:themeColor="background1" w:themeShade="A6"/>
              </w:rPr>
            </w:pPr>
          </w:p>
        </w:tc>
      </w:tr>
      <w:tr w:rsidR="006E6D7A" w14:paraId="67156E0A"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E08" w14:textId="77777777">
            <w:pPr>
              <w:pStyle w:val="Paragraphedeliste"/>
              <w:numPr>
                <w:ilvl w:val="0"/>
                <w:numId w:val="118"/>
              </w:numPr>
              <w:rPr>
                <w:color w:val="000000"/>
              </w:rPr>
            </w:pPr>
            <w:r>
              <w:rPr>
                <w:color w:val="000000"/>
                <w:shd w:val="clear" w:color="auto" w:fill="FFFFFF"/>
              </w:rPr>
              <w:t>Nouvelle-Aquitaine-Poitiers</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09" w14:textId="77777777">
            <w:pPr>
              <w:spacing w:before="20" w:after="20"/>
              <w:rPr>
                <w:color w:val="A6A6A6" w:themeColor="background1" w:themeShade="A6"/>
              </w:rPr>
            </w:pPr>
          </w:p>
        </w:tc>
      </w:tr>
      <w:tr w:rsidR="006E6D7A" w14:paraId="67156E0D"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E0B" w14:textId="77777777">
            <w:pPr>
              <w:pStyle w:val="Paragraphedeliste"/>
              <w:numPr>
                <w:ilvl w:val="0"/>
                <w:numId w:val="118"/>
              </w:numPr>
              <w:rPr>
                <w:color w:val="000000"/>
              </w:rPr>
            </w:pPr>
            <w:r>
              <w:rPr>
                <w:color w:val="000000"/>
                <w:shd w:val="clear" w:color="auto" w:fill="FFFFFF"/>
              </w:rPr>
              <w:t>Occitanie-Montpellier</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0C" w14:textId="77777777">
            <w:pPr>
              <w:spacing w:before="20" w:after="20"/>
              <w:rPr>
                <w:color w:val="A6A6A6" w:themeColor="background1" w:themeShade="A6"/>
              </w:rPr>
            </w:pPr>
          </w:p>
        </w:tc>
      </w:tr>
      <w:tr w:rsidR="006E6D7A" w14:paraId="67156E10"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E0E" w14:textId="77777777">
            <w:pPr>
              <w:pStyle w:val="Paragraphedeliste"/>
              <w:numPr>
                <w:ilvl w:val="0"/>
                <w:numId w:val="118"/>
              </w:numPr>
              <w:rPr>
                <w:color w:val="000000"/>
              </w:rPr>
            </w:pPr>
            <w:r>
              <w:rPr>
                <w:color w:val="000000"/>
                <w:shd w:val="clear" w:color="auto" w:fill="FFFFFF"/>
              </w:rPr>
              <w:t>Occitanie-Toulouse</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0F" w14:textId="77777777">
            <w:pPr>
              <w:spacing w:before="20" w:after="20"/>
              <w:rPr>
                <w:color w:val="A6A6A6" w:themeColor="background1" w:themeShade="A6"/>
              </w:rPr>
            </w:pPr>
          </w:p>
        </w:tc>
      </w:tr>
      <w:tr w:rsidR="006E6D7A" w14:paraId="67156E13"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E11" w14:textId="77777777">
            <w:pPr>
              <w:pStyle w:val="Paragraphedeliste"/>
              <w:numPr>
                <w:ilvl w:val="0"/>
                <w:numId w:val="118"/>
              </w:numPr>
              <w:rPr>
                <w:color w:val="000000"/>
              </w:rPr>
            </w:pPr>
            <w:r>
              <w:rPr>
                <w:color w:val="000000"/>
                <w:shd w:val="clear" w:color="auto" w:fill="FFFFFF"/>
              </w:rPr>
              <w:t>Pays de la Loire</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12" w14:textId="77777777">
            <w:pPr>
              <w:spacing w:before="20" w:after="20"/>
              <w:rPr>
                <w:color w:val="A6A6A6" w:themeColor="background1" w:themeShade="A6"/>
              </w:rPr>
            </w:pPr>
          </w:p>
        </w:tc>
      </w:tr>
      <w:tr w:rsidR="006E6D7A" w14:paraId="67156E16"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E14" w14:textId="77777777">
            <w:pPr>
              <w:pStyle w:val="Paragraphedeliste"/>
              <w:numPr>
                <w:ilvl w:val="0"/>
                <w:numId w:val="118"/>
              </w:numPr>
              <w:rPr>
                <w:color w:val="000000"/>
              </w:rPr>
            </w:pPr>
            <w:r>
              <w:rPr>
                <w:color w:val="000000"/>
                <w:shd w:val="clear" w:color="auto" w:fill="FFFFFF"/>
              </w:rPr>
              <w:t>Provence-Alpes-Côte d’Azur</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15" w14:textId="77777777">
            <w:pPr>
              <w:spacing w:before="20" w:after="20"/>
              <w:rPr>
                <w:color w:val="A6A6A6" w:themeColor="background1" w:themeShade="A6"/>
              </w:rPr>
            </w:pPr>
          </w:p>
        </w:tc>
      </w:tr>
      <w:tr w:rsidR="006E6D7A" w14:paraId="67156E19"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E17" w14:textId="77777777">
            <w:pPr>
              <w:pStyle w:val="Paragraphedeliste"/>
              <w:numPr>
                <w:ilvl w:val="0"/>
                <w:numId w:val="118"/>
              </w:numPr>
              <w:rPr>
                <w:color w:val="000000"/>
              </w:rPr>
            </w:pPr>
            <w:r>
              <w:rPr>
                <w:color w:val="000000"/>
                <w:shd w:val="clear" w:color="auto" w:fill="FFFFFF"/>
              </w:rPr>
              <w:t>Val de Loire</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18" w14:textId="77777777">
            <w:pPr>
              <w:spacing w:before="20" w:after="20"/>
              <w:rPr>
                <w:color w:val="A6A6A6" w:themeColor="background1" w:themeShade="A6"/>
              </w:rPr>
            </w:pPr>
          </w:p>
        </w:tc>
      </w:tr>
      <w:tr w:rsidR="006E6D7A" w14:paraId="67156E1C" w14:textId="77777777">
        <w:tc>
          <w:tcPr>
            <w:tcW w:w="4063" w:type="dxa"/>
            <w:tcBorders>
              <w:top w:val="none" w:color="000000" w:sz="4" w:space="0"/>
              <w:left w:val="none" w:color="000000" w:sz="4" w:space="0"/>
              <w:bottom w:val="none" w:color="000000" w:sz="4" w:space="0"/>
              <w:right w:val="none" w:color="000000" w:sz="4" w:space="0"/>
            </w:tcBorders>
          </w:tcPr>
          <w:p w:rsidR="006E6D7A" w:rsidRDefault="00B16C64" w14:paraId="67156E1A" w14:textId="77777777">
            <w:pPr>
              <w:pStyle w:val="Paragraphedeliste"/>
              <w:numPr>
                <w:ilvl w:val="0"/>
                <w:numId w:val="118"/>
              </w:numPr>
              <w:rPr>
                <w:color w:val="000000"/>
              </w:rPr>
            </w:pPr>
            <w:r>
              <w:rPr>
                <w:color w:val="000000"/>
                <w:shd w:val="clear" w:color="auto" w:fill="FFFFFF"/>
              </w:rPr>
              <w:t>Centre-siège Paris-Antony</w:t>
            </w:r>
          </w:p>
        </w:tc>
        <w:tc>
          <w:tcPr>
            <w:tcW w:w="5717" w:type="dxa"/>
            <w:vMerge/>
            <w:tcBorders>
              <w:top w:val="none" w:color="000000" w:sz="4" w:space="0"/>
              <w:left w:val="none" w:color="000000" w:sz="4" w:space="0"/>
              <w:bottom w:val="none" w:color="000000" w:sz="4" w:space="0"/>
              <w:right w:val="none" w:color="000000" w:sz="4" w:space="0"/>
            </w:tcBorders>
          </w:tcPr>
          <w:p w:rsidR="006E6D7A" w:rsidRDefault="006E6D7A" w14:paraId="67156E1B" w14:textId="77777777">
            <w:pPr>
              <w:spacing w:before="20" w:after="20"/>
              <w:rPr>
                <w:color w:val="A6A6A6" w:themeColor="background1" w:themeShade="A6"/>
              </w:rPr>
            </w:pPr>
          </w:p>
        </w:tc>
      </w:tr>
    </w:tbl>
    <w:p w:rsidR="006E6D7A" w:rsidRDefault="006E6D7A" w14:paraId="67156E1D" w14:textId="77777777">
      <w:pPr>
        <w:rPr>
          <w:color w:val="A6A6A6" w:themeColor="background1" w:themeShade="A6"/>
        </w:rPr>
      </w:pPr>
    </w:p>
    <w:p w:rsidR="006E6D7A" w:rsidRDefault="00B16C64" w14:paraId="67156E1E" w14:textId="77777777">
      <w:pPr>
        <w:pStyle w:val="Titre3"/>
        <w:numPr>
          <w:ilvl w:val="3"/>
          <w:numId w:val="3"/>
        </w:numPr>
        <w:rPr>
          <w:color w:val="A6A6A6" w:themeColor="background1" w:themeShade="A6"/>
        </w:rPr>
      </w:pPr>
      <w:bookmarkStart w:name="_Toc221095437" w:id="9"/>
      <w:r>
        <w:rPr>
          <w:color w:val="A6A6A6" w:themeColor="background1" w:themeShade="A6"/>
        </w:rPr>
        <w:t>Éléments contextuels de l’accord-cadre</w:t>
      </w:r>
      <w:bookmarkEnd w:id="9"/>
    </w:p>
    <w:p w:rsidR="006E6D7A" w:rsidRDefault="00B16C64" w14:paraId="67156E1F" w14:textId="77777777">
      <w:pPr>
        <w:pStyle w:val="Titre4"/>
        <w:numPr>
          <w:ilvl w:val="4"/>
          <w:numId w:val="3"/>
        </w:numPr>
        <w:rPr>
          <w:color w:val="A6A6A6" w:themeColor="background1" w:themeShade="A6"/>
        </w:rPr>
      </w:pPr>
      <w:r>
        <w:rPr>
          <w:color w:val="A6A6A6" w:themeColor="background1" w:themeShade="A6"/>
        </w:rPr>
        <w:t>Organisation de l’informatique à INRAE</w:t>
      </w:r>
    </w:p>
    <w:p w:rsidR="006E6D7A" w:rsidRDefault="00B16C64" w14:paraId="67156E20" w14:textId="77777777">
      <w:r>
        <w:t xml:space="preserve">L’informatique à INRAE est </w:t>
      </w:r>
      <w:proofErr w:type="gramStart"/>
      <w:r>
        <w:t>organisé</w:t>
      </w:r>
      <w:proofErr w:type="gramEnd"/>
      <w:r>
        <w:t xml:space="preserve"> sur la base de CATI (Centre Automatisé de traitement de l’information) qui permettent à l’ensemble des acteurs informatique (informaticiens des départements scientifiques, informaticiens des directions d’appui et de soutien à la recherche (notamment la DSI, Diagonal et la </w:t>
      </w:r>
      <w:proofErr w:type="spellStart"/>
      <w:r>
        <w:t>Dipso</w:t>
      </w:r>
      <w:proofErr w:type="spellEnd"/>
      <w:r>
        <w:t>) de se répartir selon des spécificités.</w:t>
      </w:r>
    </w:p>
    <w:p w:rsidR="006E6D7A" w:rsidRDefault="00B16C64" w14:paraId="67156E21" w14:textId="77777777">
      <w:pPr>
        <w:pStyle w:val="Titre4"/>
        <w:numPr>
          <w:ilvl w:val="4"/>
          <w:numId w:val="3"/>
        </w:numPr>
        <w:rPr>
          <w:color w:val="A6A6A6" w:themeColor="background1" w:themeShade="A6"/>
        </w:rPr>
      </w:pPr>
      <w:r>
        <w:t xml:space="preserve">Les CATI 4G sont en cours de définition en 2025 chez </w:t>
      </w:r>
      <w:proofErr w:type="spellStart"/>
      <w:r>
        <w:t>INRAE.</w:t>
      </w:r>
      <w:r>
        <w:rPr>
          <w:color w:val="A6A6A6" w:themeColor="background1" w:themeShade="A6"/>
        </w:rPr>
        <w:t>Présentation</w:t>
      </w:r>
      <w:proofErr w:type="spellEnd"/>
      <w:r>
        <w:rPr>
          <w:color w:val="A6A6A6" w:themeColor="background1" w:themeShade="A6"/>
        </w:rPr>
        <w:t xml:space="preserve"> de la DSI</w:t>
      </w:r>
    </w:p>
    <w:p w:rsidR="006E6D7A" w:rsidRDefault="00B16C64" w14:paraId="67156E22" w14:textId="77777777">
      <w:pPr>
        <w:rPr>
          <w:color w:val="000000"/>
          <w:shd w:val="clear" w:color="auto" w:fill="FFFFFF"/>
        </w:rPr>
      </w:pPr>
      <w:r>
        <w:rPr>
          <w:color w:val="000000"/>
          <w:shd w:val="clear" w:color="auto" w:fill="FFFFFF"/>
        </w:rPr>
        <w:t>La Direction des Systèmes d’Information (DSI) a pour missions de garantir un fonctionnement optimal, coordonné et maîtrisé des systèmes d’information de l’institut et de l’ensemble de ses centres et unités.</w:t>
      </w:r>
    </w:p>
    <w:p w:rsidR="006E6D7A" w:rsidRDefault="00B16C64" w14:paraId="67156E23" w14:textId="77777777">
      <w:pPr>
        <w:rPr>
          <w:color w:val="000000"/>
          <w:shd w:val="clear" w:color="auto" w:fill="FFFFFF"/>
        </w:rPr>
      </w:pPr>
      <w:r>
        <w:rPr>
          <w:color w:val="000000"/>
          <w:shd w:val="clear" w:color="auto" w:fill="FFFFFF"/>
        </w:rPr>
        <w:t>La DSI a pour ambition de développer un SI ouvert afin de faciliter l’accès à l’information et soutenir la recherche et l’innovation.</w:t>
      </w:r>
    </w:p>
    <w:p w:rsidR="006E6D7A" w:rsidRDefault="00B16C64" w14:paraId="67156E24" w14:textId="77777777">
      <w:pPr>
        <w:ind w:right="165"/>
        <w:rPr>
          <w:bCs/>
          <w:color w:val="A6A6A6" w:themeColor="background1" w:themeShade="A6"/>
        </w:rPr>
      </w:pPr>
      <w:r>
        <w:rPr>
          <w:noProof/>
        </w:rPr>
        <w:lastRenderedPageBreak/>
        <mc:AlternateContent>
          <mc:Choice Requires="wpg">
            <w:drawing>
              <wp:inline distT="0" distB="0" distL="0" distR="0" wp14:anchorId="67157BFF" wp14:editId="67157C00">
                <wp:extent cx="6120765" cy="2609215"/>
                <wp:effectExtent l="0" t="0" r="0" b="0"/>
                <wp:docPr id="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1"/>
                        <pic:cNvPicPr>
                          <a:picLocks noChangeAspect="1"/>
                        </pic:cNvPicPr>
                      </pic:nvPicPr>
                      <pic:blipFill rotWithShape="1">
                        <a:blip r:embed="rId25"/>
                        <a:stretch/>
                      </pic:blipFill>
                      <pic:spPr bwMode="auto">
                        <a:xfrm>
                          <a:off x="0" y="0"/>
                          <a:ext cx="6120765" cy="2609215"/>
                        </a:xfrm>
                        <a:prstGeom prst="rect">
                          <a:avLst/>
                        </a:prstGeom>
                        <a:noFill/>
                      </pic:spPr>
                    </pic:pic>
                  </a:graphicData>
                </a:graphic>
              </wp:inline>
            </w:drawing>
          </mc:Choice>
          <mc:Fallback xmlns:a="http://schemas.openxmlformats.org/drawingml/2006/main">
            <w:pict w14:anchorId="49BAB7A9">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5" style="width:481.95pt;height:205.45pt;mso-wrap-distance-left:0.00pt;mso-wrap-distance-top:0.00pt;mso-wrap-distance-right:0.00pt;mso-wrap-distance-bottom:0.00pt;z-index:1;" o:spid="_x0000_s5" stroked="false" type="#_x0000_t75">
                <v:imagedata o:title="" r:id="rId26"/>
                <o:lock v:ext="edit" rotation="t"/>
              </v:shape>
            </w:pict>
          </mc:Fallback>
        </mc:AlternateContent>
      </w:r>
    </w:p>
    <w:p w:rsidR="006E6D7A" w:rsidRDefault="006E6D7A" w14:paraId="67156E25" w14:textId="77777777">
      <w:pPr>
        <w:ind w:right="165"/>
        <w:rPr>
          <w:bCs/>
          <w:color w:val="A6A6A6" w:themeColor="background1" w:themeShade="A6"/>
        </w:rPr>
      </w:pPr>
    </w:p>
    <w:p w:rsidR="006E6D7A" w:rsidRDefault="00B16C64" w14:paraId="67156E26" w14:textId="77777777">
      <w:pPr>
        <w:ind w:right="165"/>
        <w:rPr>
          <w:bCs/>
          <w:color w:val="A6A6A6" w:themeColor="background1" w:themeShade="A6"/>
        </w:rPr>
      </w:pPr>
      <w:r>
        <w:rPr>
          <w:noProof/>
        </w:rPr>
        <mc:AlternateContent>
          <mc:Choice Requires="wpg">
            <w:drawing>
              <wp:inline distT="0" distB="0" distL="0" distR="0" wp14:anchorId="67157C01" wp14:editId="67157C02">
                <wp:extent cx="6120765" cy="3029585"/>
                <wp:effectExtent l="0" t="0" r="0" b="0"/>
                <wp:docPr id="7"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4"/>
                        <pic:cNvPicPr>
                          <a:picLocks noChangeAspect="1"/>
                        </pic:cNvPicPr>
                      </pic:nvPicPr>
                      <pic:blipFill rotWithShape="1">
                        <a:blip r:embed="rId27"/>
                        <a:stretch/>
                      </pic:blipFill>
                      <pic:spPr bwMode="auto">
                        <a:xfrm>
                          <a:off x="0" y="0"/>
                          <a:ext cx="6120765" cy="3029585"/>
                        </a:xfrm>
                        <a:prstGeom prst="rect">
                          <a:avLst/>
                        </a:prstGeom>
                        <a:noFill/>
                      </pic:spPr>
                    </pic:pic>
                  </a:graphicData>
                </a:graphic>
              </wp:inline>
            </w:drawing>
          </mc:Choice>
          <mc:Fallback xmlns:a="http://schemas.openxmlformats.org/drawingml/2006/main">
            <w:pict w14:anchorId="6C3EBFA3">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6" style="width:481.95pt;height:238.55pt;mso-wrap-distance-left:0.00pt;mso-wrap-distance-top:0.00pt;mso-wrap-distance-right:0.00pt;mso-wrap-distance-bottom:0.00pt;z-index:1;" o:spid="_x0000_s6" stroked="false" type="#_x0000_t75">
                <v:imagedata o:title="" r:id="rId28"/>
                <o:lock v:ext="edit" rotation="t"/>
              </v:shape>
            </w:pict>
          </mc:Fallback>
        </mc:AlternateContent>
      </w:r>
    </w:p>
    <w:p w:rsidR="006E6D7A" w:rsidRDefault="006E6D7A" w14:paraId="67156E27" w14:textId="77777777">
      <w:pPr>
        <w:ind w:right="165"/>
        <w:rPr>
          <w:bCs/>
          <w:color w:val="A6A6A6" w:themeColor="background1" w:themeShade="A6"/>
        </w:rPr>
      </w:pPr>
    </w:p>
    <w:p w:rsidR="006E6D7A" w:rsidRDefault="00B16C64" w14:paraId="67156E28" w14:textId="77777777">
      <w:pPr>
        <w:ind w:right="165"/>
        <w:rPr>
          <w:bCs/>
          <w:color w:val="A6A6A6" w:themeColor="background1" w:themeShade="A6"/>
        </w:rPr>
      </w:pPr>
      <w:r>
        <w:rPr>
          <w:noProof/>
        </w:rPr>
        <mc:AlternateContent>
          <mc:Choice Requires="wpg">
            <w:drawing>
              <wp:inline distT="0" distB="0" distL="0" distR="0" wp14:anchorId="67157C03" wp14:editId="67157C04">
                <wp:extent cx="6120765" cy="2484755"/>
                <wp:effectExtent l="0" t="0" r="0" b="0"/>
                <wp:docPr id="8"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5"/>
                        <pic:cNvPicPr>
                          <a:picLocks noChangeAspect="1"/>
                        </pic:cNvPicPr>
                      </pic:nvPicPr>
                      <pic:blipFill rotWithShape="1">
                        <a:blip r:embed="rId29"/>
                        <a:stretch/>
                      </pic:blipFill>
                      <pic:spPr bwMode="auto">
                        <a:xfrm>
                          <a:off x="0" y="0"/>
                          <a:ext cx="6120765" cy="2484755"/>
                        </a:xfrm>
                        <a:prstGeom prst="rect">
                          <a:avLst/>
                        </a:prstGeom>
                        <a:noFill/>
                      </pic:spPr>
                    </pic:pic>
                  </a:graphicData>
                </a:graphic>
              </wp:inline>
            </w:drawing>
          </mc:Choice>
          <mc:Fallback xmlns:a="http://schemas.openxmlformats.org/drawingml/2006/main">
            <w:pict w14:anchorId="167B163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7" style="width:481.95pt;height:195.65pt;mso-wrap-distance-left:0.00pt;mso-wrap-distance-top:0.00pt;mso-wrap-distance-right:0.00pt;mso-wrap-distance-bottom:0.00pt;z-index:1;" o:spid="_x0000_s7" stroked="false" type="#_x0000_t75">
                <v:imagedata o:title="" r:id="rId30"/>
                <o:lock v:ext="edit" rotation="t"/>
              </v:shape>
            </w:pict>
          </mc:Fallback>
        </mc:AlternateContent>
      </w:r>
    </w:p>
    <w:p w:rsidR="006E6D7A" w:rsidRDefault="00B16C64" w14:paraId="67156E29" w14:textId="77777777">
      <w:pPr>
        <w:rPr>
          <w:rFonts w:ascii="Poppins" w:hAnsi="Poppins" w:cs="Poppins"/>
          <w:color w:val="000000"/>
          <w:sz w:val="21"/>
          <w:szCs w:val="21"/>
          <w:shd w:val="clear" w:color="auto" w:fill="FFFFFF"/>
        </w:rPr>
      </w:pPr>
      <w:r>
        <w:rPr>
          <w:rFonts w:ascii="Poppins" w:hAnsi="Poppins" w:cs="Poppins"/>
          <w:color w:val="000000"/>
          <w:sz w:val="21"/>
          <w:szCs w:val="21"/>
          <w:shd w:val="clear" w:color="auto" w:fill="FFFFFF"/>
        </w:rPr>
        <w:t>La DSI adapte ainsi son organisation pour la période 2026-2030.</w:t>
      </w:r>
    </w:p>
    <w:p w:rsidR="006E6D7A" w:rsidRDefault="00B16C64" w14:paraId="67156E2A" w14:textId="77777777">
      <w:pPr>
        <w:rPr>
          <w:rFonts w:ascii="Poppins" w:hAnsi="Poppins" w:cs="Poppins"/>
          <w:color w:val="000000"/>
          <w:sz w:val="21"/>
          <w:szCs w:val="21"/>
          <w:shd w:val="clear" w:color="auto" w:fill="FFFFFF"/>
        </w:rPr>
      </w:pPr>
      <w:r>
        <w:rPr>
          <w:noProof/>
        </w:rPr>
        <w:lastRenderedPageBreak/>
        <mc:AlternateContent>
          <mc:Choice Requires="wpg">
            <w:drawing>
              <wp:inline distT="0" distB="0" distL="0" distR="0" wp14:anchorId="67157C05" wp14:editId="67157C06">
                <wp:extent cx="6120130" cy="3032042"/>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123516" name=""/>
                        <pic:cNvPicPr>
                          <a:picLocks noChangeAspect="1"/>
                        </pic:cNvPicPr>
                      </pic:nvPicPr>
                      <pic:blipFill rotWithShape="1">
                        <a:blip r:embed="rId31"/>
                        <a:stretch/>
                      </pic:blipFill>
                      <pic:spPr bwMode="auto">
                        <a:xfrm>
                          <a:off x="0" y="0"/>
                          <a:ext cx="6120130" cy="3032042"/>
                        </a:xfrm>
                        <a:prstGeom prst="rect">
                          <a:avLst/>
                        </a:prstGeom>
                      </pic:spPr>
                    </pic:pic>
                  </a:graphicData>
                </a:graphic>
              </wp:inline>
            </w:drawing>
          </mc:Choice>
          <mc:Fallback xmlns:a="http://schemas.openxmlformats.org/drawingml/2006/main">
            <w:pict w14:anchorId="32D550E9">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8" style="width:481.90pt;height:238.74pt;mso-wrap-distance-left:0.00pt;mso-wrap-distance-top:0.00pt;mso-wrap-distance-right:0.00pt;mso-wrap-distance-bottom:0.00pt;z-index:1;" o:spid="_x0000_s8" stroked="false" type="#_x0000_t75">
                <v:imagedata o:title="" r:id="rId32"/>
                <o:lock v:ext="edit" rotation="t"/>
              </v:shape>
            </w:pict>
          </mc:Fallback>
        </mc:AlternateContent>
      </w:r>
    </w:p>
    <w:p w:rsidR="006E6D7A" w:rsidRDefault="00B16C64" w14:paraId="67156E2B" w14:textId="77777777">
      <w:pPr>
        <w:rPr>
          <w:color w:val="000000"/>
          <w:shd w:val="clear" w:color="auto" w:fill="FFFFFF"/>
        </w:rPr>
      </w:pPr>
      <w:r>
        <w:rPr>
          <w:color w:val="000000"/>
          <w:shd w:val="clear" w:color="auto" w:fill="FFFFFF"/>
        </w:rPr>
        <w:t>Elle assure la conception et les opérations pour l</w:t>
      </w:r>
      <w:proofErr w:type="gramStart"/>
      <w:r>
        <w:rPr>
          <w:color w:val="000000"/>
          <w:shd w:val="clear" w:color="auto" w:fill="FFFFFF"/>
        </w:rPr>
        <w:t>’«</w:t>
      </w:r>
      <w:proofErr w:type="gramEnd"/>
      <w:r>
        <w:rPr>
          <w:color w:val="000000"/>
          <w:shd w:val="clear" w:color="auto" w:fill="FFFFFF"/>
        </w:rPr>
        <w:t> informatique d’établissement », c’est-à-dire, les applications et systèmes mutualisés : réseau, interconnexions, data centres, socles d’infrastructures mutualisés, messagerie et collaboratif, téléphonie, applications de gestion, applications ou systèmes mutualisés.</w:t>
      </w:r>
    </w:p>
    <w:p w:rsidR="006E6D7A" w:rsidRDefault="00B16C64" w14:paraId="67156E2C" w14:textId="77777777">
      <w:pPr>
        <w:rPr>
          <w:color w:val="000000"/>
          <w:shd w:val="clear" w:color="auto" w:fill="FFFFFF"/>
        </w:rPr>
      </w:pPr>
      <w:r>
        <w:rPr>
          <w:color w:val="000000"/>
          <w:shd w:val="clear" w:color="auto" w:fill="FFFFFF"/>
        </w:rPr>
        <w:t>Sur l’informatique d’établissement et les services qu’elle délivre, elle est garante de la bonne intégration globale des systèmes (architecture technique), la mise en place et la gestion des référentiels, en collaboration avec les métiers.</w:t>
      </w:r>
    </w:p>
    <w:p w:rsidR="006E6D7A" w:rsidRDefault="00B16C64" w14:paraId="67156E2D" w14:textId="77777777">
      <w:pPr>
        <w:rPr>
          <w:color w:val="000000"/>
          <w:shd w:val="clear" w:color="auto" w:fill="FFFFFF"/>
        </w:rPr>
      </w:pPr>
      <w:r>
        <w:rPr>
          <w:color w:val="000000"/>
          <w:shd w:val="clear" w:color="auto" w:fill="FFFFFF"/>
        </w:rPr>
        <w:t>Elle s’assure également de la bonne coordination de ses actions avec les informaticiens des unités de recherche et support dans le cadre des CATI, en particulier pour le développement des SI et la coordination des opérations au niveau des postes de travail avec ses services interrégionaux.</w:t>
      </w:r>
    </w:p>
    <w:p w:rsidR="006E6D7A" w:rsidRDefault="00B16C64" w14:paraId="67156E2E" w14:textId="77777777">
      <w:pPr>
        <w:rPr>
          <w:color w:val="000000"/>
          <w:shd w:val="clear" w:color="auto" w:fill="FFFFFF"/>
        </w:rPr>
      </w:pPr>
      <w:r>
        <w:rPr>
          <w:color w:val="000000"/>
          <w:shd w:val="clear" w:color="auto" w:fill="FFFFFF"/>
        </w:rPr>
        <w:t>Elle assure la maîtrise de la Sécurité des Systèmes d’Information/Cyber sécurité Opérationnelle sur son périmètre.</w:t>
      </w:r>
    </w:p>
    <w:p w:rsidR="006E6D7A" w:rsidRDefault="00B16C64" w14:paraId="67156E2F" w14:textId="77777777">
      <w:pPr>
        <w:rPr>
          <w:color w:val="000000"/>
          <w:shd w:val="clear" w:color="auto" w:fill="FFFFFF"/>
        </w:rPr>
      </w:pPr>
      <w:r>
        <w:rPr>
          <w:color w:val="000000"/>
          <w:shd w:val="clear" w:color="auto" w:fill="FFFFFF"/>
        </w:rPr>
        <w:t>Elle propose la politique et stratégie d’évolution de ses domaines d’intervention à la Direction Générale dans une feuille de route des systèmes d’information de façon coordonnée et en soutien et dans le cadre de la gouvernance du Schéma Directeur du numérique auquel elle participe.</w:t>
      </w:r>
    </w:p>
    <w:p w:rsidR="006E6D7A" w:rsidRDefault="00B16C64" w14:paraId="67156E30" w14:textId="77777777">
      <w:pPr>
        <w:rPr>
          <w:color w:val="000000"/>
          <w:shd w:val="clear" w:color="auto" w:fill="FFFFFF"/>
        </w:rPr>
      </w:pPr>
      <w:r>
        <w:rPr>
          <w:color w:val="000000"/>
          <w:shd w:val="clear" w:color="auto" w:fill="FFFFFF"/>
        </w:rPr>
        <w:t>Voici de manière succincte les ambitions de chaque pôle de la DSI.</w:t>
      </w:r>
    </w:p>
    <w:p w:rsidR="006E6D7A" w:rsidRDefault="00B16C64" w14:paraId="67156E31" w14:textId="77777777">
      <w:pPr>
        <w:rPr>
          <w:color w:val="000000"/>
          <w:u w:val="single"/>
          <w:shd w:val="clear" w:color="auto" w:fill="FFFFFF"/>
        </w:rPr>
      </w:pPr>
      <w:r>
        <w:rPr>
          <w:color w:val="000000"/>
          <w:u w:val="single"/>
          <w:shd w:val="clear" w:color="auto" w:fill="FFFFFF"/>
        </w:rPr>
        <w:t>Direction de la DSI</w:t>
      </w:r>
    </w:p>
    <w:p w:rsidR="006E6D7A" w:rsidRDefault="00B16C64" w14:paraId="67156E32" w14:textId="77777777">
      <w:pPr>
        <w:rPr>
          <w:color w:val="000000"/>
          <w:shd w:val="clear" w:color="auto" w:fill="FFFFFF"/>
        </w:rPr>
      </w:pPr>
      <w:r>
        <w:rPr>
          <w:color w:val="000000"/>
          <w:shd w:val="clear" w:color="auto" w:fill="FFFFFF"/>
        </w:rPr>
        <w:t>Soutenir la stratégie de l'Institut en proposant les services numériques d'établissement qui facilitent et accélèrent les transformations numériques.</w:t>
      </w:r>
    </w:p>
    <w:p w:rsidR="006E6D7A" w:rsidRDefault="00B16C64" w14:paraId="67156E33" w14:textId="77777777">
      <w:pPr>
        <w:rPr>
          <w:color w:val="000000"/>
          <w:shd w:val="clear" w:color="auto" w:fill="FFFFFF"/>
        </w:rPr>
      </w:pPr>
      <w:r>
        <w:rPr>
          <w:color w:val="000000"/>
          <w:shd w:val="clear" w:color="auto" w:fill="FFFFFF"/>
        </w:rPr>
        <w:t>Proposer la stratégie des services numériques de l'institut en réponse aux besoins métiers de l'Appui, du soutien à la Science et des nouveaux usages collaboratifs</w:t>
      </w:r>
    </w:p>
    <w:p w:rsidR="006E6D7A" w:rsidRDefault="006E6D7A" w14:paraId="67156E34" w14:textId="77777777">
      <w:pPr>
        <w:rPr>
          <w:rFonts w:ascii="Poppins" w:hAnsi="Poppins" w:cs="Poppins"/>
          <w:color w:val="000000"/>
          <w:sz w:val="21"/>
          <w:szCs w:val="21"/>
          <w:shd w:val="clear" w:color="auto" w:fill="FFFFFF"/>
        </w:rPr>
      </w:pPr>
    </w:p>
    <w:p w:rsidR="006E6D7A" w:rsidRDefault="00B16C64" w14:paraId="67156E35" w14:textId="77777777">
      <w:pPr>
        <w:rPr>
          <w:color w:val="000000"/>
          <w:u w:val="single"/>
          <w:shd w:val="clear" w:color="auto" w:fill="FFFFFF"/>
        </w:rPr>
      </w:pPr>
      <w:r>
        <w:rPr>
          <w:color w:val="000000"/>
          <w:u w:val="single"/>
          <w:shd w:val="clear" w:color="auto" w:fill="FFFFFF"/>
        </w:rPr>
        <w:t>Pôle PRISME </w:t>
      </w:r>
    </w:p>
    <w:p w:rsidR="006E6D7A" w:rsidRDefault="00B16C64" w14:paraId="67156E36" w14:textId="77777777">
      <w:pPr>
        <w:rPr>
          <w:color w:val="000000"/>
          <w:shd w:val="clear" w:color="auto" w:fill="FFFFFF"/>
        </w:rPr>
      </w:pPr>
      <w:r>
        <w:rPr>
          <w:color w:val="000000"/>
          <w:shd w:val="clear" w:color="auto" w:fill="FFFFFF"/>
        </w:rPr>
        <w:t>Représenter la DSI au niveau local, auprès de la gouvernance de centre, des unités et des utilisateurs, faire le lien entre les dynamiques locales et la stratégie nationale.</w:t>
      </w:r>
    </w:p>
    <w:p w:rsidR="006E6D7A" w:rsidRDefault="00B16C64" w14:paraId="67156E37" w14:textId="77777777">
      <w:pPr>
        <w:rPr>
          <w:rFonts w:ascii="Poppins" w:hAnsi="Poppins" w:cs="Poppins"/>
          <w:color w:val="000000"/>
          <w:sz w:val="21"/>
          <w:szCs w:val="21"/>
          <w:u w:val="single"/>
          <w:shd w:val="clear" w:color="auto" w:fill="FFFFFF"/>
        </w:rPr>
      </w:pPr>
      <w:r>
        <w:rPr>
          <w:rFonts w:ascii="Poppins" w:hAnsi="Poppins" w:cs="Poppins"/>
          <w:color w:val="000000"/>
          <w:sz w:val="21"/>
          <w:szCs w:val="21"/>
          <w:u w:val="single"/>
          <w:shd w:val="clear" w:color="auto" w:fill="FFFFFF"/>
        </w:rPr>
        <w:t>Pôle ENVI (Outils et services numériques)</w:t>
      </w:r>
    </w:p>
    <w:p w:rsidR="006E6D7A" w:rsidRDefault="00B16C64" w14:paraId="67156E38" w14:textId="77777777">
      <w:pPr>
        <w:rPr>
          <w:color w:val="000000"/>
          <w:shd w:val="clear" w:color="auto" w:fill="FFFFFF"/>
        </w:rPr>
      </w:pPr>
      <w:r>
        <w:rPr>
          <w:color w:val="000000"/>
          <w:shd w:val="clear" w:color="auto" w:fill="FFFFFF"/>
        </w:rPr>
        <w:t>Développer des services numériques collaboratifs pour tous qui réponde aux nouveaux usages et nouveaux enjeux (sobriété, mutualisation, simplification, sécurisation)</w:t>
      </w:r>
    </w:p>
    <w:p w:rsidR="006E6D7A" w:rsidRDefault="00B16C64" w14:paraId="67156E39" w14:textId="77777777">
      <w:pPr>
        <w:rPr>
          <w:color w:val="000000"/>
          <w:u w:val="single"/>
          <w:shd w:val="clear" w:color="auto" w:fill="FFFFFF"/>
        </w:rPr>
      </w:pPr>
      <w:r>
        <w:rPr>
          <w:color w:val="000000"/>
          <w:u w:val="single"/>
          <w:shd w:val="clear" w:color="auto" w:fill="FFFFFF"/>
        </w:rPr>
        <w:t>Pôle Gestion et pilotage des ressources et de la démarche qualité</w:t>
      </w:r>
    </w:p>
    <w:p w:rsidR="006E6D7A" w:rsidRDefault="00B16C64" w14:paraId="67156E3A" w14:textId="77777777">
      <w:pPr>
        <w:rPr>
          <w:color w:val="000000"/>
          <w:shd w:val="clear" w:color="auto" w:fill="FFFFFF"/>
        </w:rPr>
      </w:pPr>
      <w:r>
        <w:rPr>
          <w:color w:val="000000"/>
          <w:shd w:val="clear" w:color="auto" w:fill="FFFFFF"/>
        </w:rPr>
        <w:lastRenderedPageBreak/>
        <w:t xml:space="preserve">Veiller et accompagner l’adéquation missions/moyens de la DSI </w:t>
      </w:r>
    </w:p>
    <w:p w:rsidR="006E6D7A" w:rsidRDefault="00B16C64" w14:paraId="67156E3B" w14:textId="77777777">
      <w:pPr>
        <w:rPr>
          <w:color w:val="000000"/>
          <w:shd w:val="clear" w:color="auto" w:fill="FFFFFF"/>
        </w:rPr>
      </w:pPr>
      <w:r>
        <w:rPr>
          <w:color w:val="000000"/>
          <w:shd w:val="clear" w:color="auto" w:fill="FFFFFF"/>
        </w:rPr>
        <w:t>Optimiser, maîtriser, sécuriser et s'assurer du bon usage des moyens par une gestion efficiente</w:t>
      </w:r>
    </w:p>
    <w:p w:rsidR="006E6D7A" w:rsidRDefault="00B16C64" w14:paraId="67156E3C" w14:textId="77777777">
      <w:pPr>
        <w:rPr>
          <w:color w:val="000000"/>
          <w:shd w:val="clear" w:color="auto" w:fill="FFFFFF"/>
        </w:rPr>
      </w:pPr>
      <w:r>
        <w:rPr>
          <w:color w:val="000000"/>
          <w:shd w:val="clear" w:color="auto" w:fill="FFFFFF"/>
        </w:rPr>
        <w:t xml:space="preserve">Animer une démarche d'amélioration continue </w:t>
      </w:r>
    </w:p>
    <w:p w:rsidR="006E6D7A" w:rsidRDefault="00B16C64" w14:paraId="67156E3D" w14:textId="77777777">
      <w:pPr>
        <w:rPr>
          <w:color w:val="000000"/>
          <w:shd w:val="clear" w:color="auto" w:fill="FFFFFF"/>
        </w:rPr>
      </w:pPr>
      <w:r>
        <w:rPr>
          <w:color w:val="000000"/>
          <w:shd w:val="clear" w:color="auto" w:fill="FFFFFF"/>
        </w:rPr>
        <w:t>Favoriser les conditions du ‘Bien travailler ensemble’ à la DSI : collectif de travail, prévention des risques</w:t>
      </w:r>
    </w:p>
    <w:p w:rsidR="006E6D7A" w:rsidRDefault="00B16C64" w14:paraId="67156E3E" w14:textId="77777777">
      <w:pPr>
        <w:rPr>
          <w:color w:val="000000"/>
          <w:shd w:val="clear" w:color="auto" w:fill="FFFFFF"/>
        </w:rPr>
      </w:pPr>
      <w:r>
        <w:rPr>
          <w:color w:val="000000"/>
          <w:shd w:val="clear" w:color="auto" w:fill="FFFFFF"/>
        </w:rPr>
        <w:t>Accompagner les managers et les agents.</w:t>
      </w:r>
    </w:p>
    <w:p w:rsidR="006E6D7A" w:rsidRDefault="00B16C64" w14:paraId="67156E3F" w14:textId="77777777">
      <w:pPr>
        <w:rPr>
          <w:rFonts w:ascii="Poppins" w:hAnsi="Poppins" w:cs="Poppins"/>
          <w:color w:val="000000"/>
          <w:sz w:val="21"/>
          <w:szCs w:val="21"/>
          <w:u w:val="single"/>
          <w:shd w:val="clear" w:color="auto" w:fill="FFFFFF"/>
        </w:rPr>
      </w:pPr>
      <w:r>
        <w:rPr>
          <w:rFonts w:ascii="Poppins" w:hAnsi="Poppins" w:cs="Poppins"/>
          <w:color w:val="000000"/>
          <w:sz w:val="21"/>
          <w:szCs w:val="21"/>
          <w:u w:val="single"/>
          <w:shd w:val="clear" w:color="auto" w:fill="FFFFFF"/>
        </w:rPr>
        <w:t>Pôle Ins</w:t>
      </w:r>
      <w:r>
        <w:rPr>
          <w:rFonts w:ascii="Poppins" w:hAnsi="Poppins" w:cs="Poppins"/>
          <w:color w:val="000000"/>
          <w:sz w:val="21"/>
          <w:szCs w:val="21"/>
          <w:u w:val="single"/>
          <w:shd w:val="clear" w:color="auto" w:fill="FFFFFF"/>
          <w:vertAlign w:val="superscript"/>
        </w:rPr>
        <w:t>2</w:t>
      </w:r>
      <w:r>
        <w:rPr>
          <w:rFonts w:ascii="Poppins" w:hAnsi="Poppins" w:cs="Poppins"/>
          <w:color w:val="000000"/>
          <w:sz w:val="21"/>
          <w:szCs w:val="21"/>
          <w:u w:val="single"/>
          <w:shd w:val="clear" w:color="auto" w:fill="FFFFFF"/>
        </w:rPr>
        <w:t>pire</w:t>
      </w:r>
      <w:r>
        <w:rPr>
          <w:rStyle w:val="Appelnotedebasdep"/>
          <w:rFonts w:cs="Poppins"/>
          <w:color w:val="000000"/>
          <w:szCs w:val="21"/>
          <w:u w:val="single"/>
          <w:shd w:val="clear" w:color="auto" w:fill="FFFFFF"/>
        </w:rPr>
        <w:footnoteReference w:id="1"/>
      </w:r>
    </w:p>
    <w:p w:rsidR="006E6D7A" w:rsidRDefault="00B16C64" w14:paraId="67156E40" w14:textId="77777777">
      <w:pPr>
        <w:rPr>
          <w:color w:val="000000"/>
          <w:shd w:val="clear" w:color="auto" w:fill="FFFFFF"/>
        </w:rPr>
      </w:pPr>
      <w:r>
        <w:rPr>
          <w:color w:val="000000"/>
          <w:shd w:val="clear" w:color="auto" w:fill="FFFFFF"/>
        </w:rPr>
        <w:t>L'ambition du pôle est d'appuyer la direction de la DSI et les autres pôles, en animant la construction collective d'une réponse aux nouvelles demandes de l'appui et en soutien à la science, en promouvant l'innovation, en optimisant les achats et partenariats, en renforçant les compétences numériques, en favorisant la collaboration interne et externe, en appuyant la gouvernance SI et en assurant un appui méthodologique et stratégique à la construction des projets SI.</w:t>
      </w:r>
    </w:p>
    <w:p w:rsidR="006E6D7A" w:rsidRDefault="00B16C64" w14:paraId="67156E41" w14:textId="77777777">
      <w:pPr>
        <w:rPr>
          <w:color w:val="000000"/>
          <w:u w:val="single"/>
          <w:shd w:val="clear" w:color="auto" w:fill="FFFFFF"/>
        </w:rPr>
      </w:pPr>
      <w:r>
        <w:rPr>
          <w:color w:val="000000"/>
          <w:u w:val="single"/>
          <w:shd w:val="clear" w:color="auto" w:fill="FFFFFF"/>
        </w:rPr>
        <w:t>Pôle Cybersécurité</w:t>
      </w:r>
    </w:p>
    <w:p w:rsidR="006E6D7A" w:rsidRDefault="00B16C64" w14:paraId="67156E42" w14:textId="77777777">
      <w:pPr>
        <w:rPr>
          <w:color w:val="000000"/>
          <w:shd w:val="clear" w:color="auto" w:fill="FFFFFF"/>
        </w:rPr>
      </w:pPr>
      <w:r>
        <w:rPr>
          <w:color w:val="000000"/>
          <w:shd w:val="clear" w:color="auto" w:fill="FFFFFF"/>
        </w:rPr>
        <w:t>Un collectif proactif sur la cybersécurité et l’intégrant sur tout le cycle de vie des SI (animation, appui méthodologique)</w:t>
      </w:r>
    </w:p>
    <w:p w:rsidR="006E6D7A" w:rsidRDefault="00B16C64" w14:paraId="67156E43" w14:textId="77777777">
      <w:pPr>
        <w:rPr>
          <w:color w:val="000000"/>
          <w:shd w:val="clear" w:color="auto" w:fill="FFFFFF"/>
        </w:rPr>
      </w:pPr>
      <w:r>
        <w:rPr>
          <w:color w:val="000000"/>
          <w:shd w:val="clear" w:color="auto" w:fill="FFFFFF"/>
        </w:rPr>
        <w:t xml:space="preserve">Un SI </w:t>
      </w:r>
      <w:proofErr w:type="gramStart"/>
      <w:r>
        <w:rPr>
          <w:color w:val="000000"/>
          <w:shd w:val="clear" w:color="auto" w:fill="FFFFFF"/>
        </w:rPr>
        <w:t>résilient</w:t>
      </w:r>
      <w:proofErr w:type="gramEnd"/>
      <w:r>
        <w:rPr>
          <w:color w:val="000000"/>
          <w:shd w:val="clear" w:color="auto" w:fill="FFFFFF"/>
        </w:rPr>
        <w:t xml:space="preserve"> aux cyberattaques.</w:t>
      </w:r>
    </w:p>
    <w:p w:rsidR="006E6D7A" w:rsidRDefault="00B16C64" w14:paraId="67156E44" w14:textId="77777777">
      <w:pPr>
        <w:rPr>
          <w:color w:val="000000"/>
          <w:shd w:val="clear" w:color="auto" w:fill="FFFFFF"/>
        </w:rPr>
      </w:pPr>
      <w:r>
        <w:rPr>
          <w:color w:val="000000"/>
          <w:shd w:val="clear" w:color="auto" w:fill="FFFFFF"/>
        </w:rPr>
        <w:t>Pilotage d'une offre d'outils pour la sécurisation des SI à destination des unités INRAE.</w:t>
      </w:r>
    </w:p>
    <w:p w:rsidR="006E6D7A" w:rsidRDefault="00B16C64" w14:paraId="67156E45" w14:textId="77777777">
      <w:pPr>
        <w:rPr>
          <w:color w:val="000000"/>
          <w:shd w:val="clear" w:color="auto" w:fill="FFFFFF"/>
        </w:rPr>
      </w:pPr>
      <w:r>
        <w:rPr>
          <w:color w:val="000000"/>
          <w:shd w:val="clear" w:color="auto" w:fill="FFFFFF"/>
        </w:rPr>
        <w:t>Capacité et réactivité pour répondre sur incident de cybersécurité (coordination).</w:t>
      </w:r>
    </w:p>
    <w:p w:rsidR="006E6D7A" w:rsidRDefault="00B16C64" w14:paraId="67156E46" w14:textId="77777777">
      <w:pPr>
        <w:rPr>
          <w:color w:val="000000"/>
          <w:shd w:val="clear" w:color="auto" w:fill="FFFFFF"/>
        </w:rPr>
      </w:pPr>
      <w:r>
        <w:rPr>
          <w:color w:val="000000"/>
          <w:shd w:val="clear" w:color="auto" w:fill="FFFFFF"/>
        </w:rPr>
        <w:t>Accompagnement de l’établissement et de ses collectifs en cas de crise cyber.</w:t>
      </w:r>
    </w:p>
    <w:p w:rsidR="006E6D7A" w:rsidRDefault="006E6D7A" w14:paraId="67156E47" w14:textId="77777777">
      <w:pPr>
        <w:ind w:left="397"/>
        <w:rPr>
          <w:color w:val="A6A6A6" w:themeColor="background1" w:themeShade="A6"/>
        </w:rPr>
      </w:pPr>
    </w:p>
    <w:p w:rsidR="006E6D7A" w:rsidRDefault="00B16C64" w14:paraId="67156E48" w14:textId="77777777">
      <w:pPr>
        <w:pStyle w:val="Titre4"/>
        <w:numPr>
          <w:ilvl w:val="4"/>
          <w:numId w:val="3"/>
        </w:numPr>
        <w:rPr>
          <w:color w:val="000000"/>
          <w:szCs w:val="22"/>
          <w:shd w:val="clear" w:color="auto" w:fill="FFFFFF"/>
        </w:rPr>
      </w:pPr>
      <w:r>
        <w:rPr>
          <w:color w:val="000000"/>
          <w:szCs w:val="22"/>
          <w:shd w:val="clear" w:color="auto" w:fill="FFFFFF"/>
        </w:rPr>
        <w:t>Présentation du pôle SOLAIRE</w:t>
      </w:r>
      <w:r>
        <w:rPr>
          <w:rStyle w:val="Appelnotedebasdep"/>
          <w:rFonts w:asciiTheme="minorHAnsi" w:hAnsiTheme="minorHAnsi"/>
          <w:color w:val="000000"/>
          <w:sz w:val="22"/>
          <w:szCs w:val="22"/>
          <w:shd w:val="clear" w:color="auto" w:fill="FFFFFF"/>
        </w:rPr>
        <w:footnoteReference w:id="2"/>
      </w:r>
      <w:r>
        <w:rPr>
          <w:color w:val="000000"/>
          <w:szCs w:val="22"/>
          <w:shd w:val="clear" w:color="auto" w:fill="FFFFFF"/>
        </w:rPr>
        <w:t xml:space="preserve"> (Produits et Services métiers, plateformes et </w:t>
      </w:r>
      <w:proofErr w:type="gramStart"/>
      <w:r>
        <w:rPr>
          <w:color w:val="000000"/>
          <w:szCs w:val="22"/>
          <w:shd w:val="clear" w:color="auto" w:fill="FFFFFF"/>
        </w:rPr>
        <w:t>Référentiels )</w:t>
      </w:r>
      <w:proofErr w:type="gramEnd"/>
    </w:p>
    <w:p w:rsidR="006E6D7A" w:rsidRDefault="006E6D7A" w14:paraId="67156E49" w14:textId="77777777">
      <w:pPr>
        <w:rPr>
          <w:bCs/>
          <w:color w:val="A6A6A6" w:themeColor="background1" w:themeShade="A6"/>
        </w:rPr>
      </w:pPr>
    </w:p>
    <w:p w:rsidR="006E6D7A" w:rsidRDefault="00B16C64" w14:paraId="67156E4A" w14:textId="77777777">
      <w:pPr>
        <w:rPr>
          <w:bCs/>
          <w:color w:val="A6A6A6" w:themeColor="background1" w:themeShade="A6"/>
        </w:rPr>
      </w:pPr>
      <w:r>
        <w:rPr>
          <w:b/>
          <w:bCs/>
          <w:color w:val="A6A6A6" w:themeColor="background1" w:themeShade="A6"/>
        </w:rPr>
        <w:t>Périmètre de SOLAIRE</w:t>
      </w:r>
    </w:p>
    <w:p w:rsidR="006E6D7A" w:rsidRDefault="00B16C64" w14:paraId="67156E4B" w14:textId="77777777">
      <w:pPr>
        <w:rPr>
          <w:color w:val="000000"/>
          <w:shd w:val="clear" w:color="auto" w:fill="FFFFFF"/>
        </w:rPr>
      </w:pPr>
      <w:r>
        <w:rPr>
          <w:color w:val="000000"/>
          <w:shd w:val="clear" w:color="auto" w:fill="FFFFFF"/>
        </w:rPr>
        <w:t>Toutes les solutions applicatives/services numériques, plateformes socles, référentiels d'établissement dont la DSI est MOE au profit des DAR, des délégations pour porter les services applicatifs nationaux et les développements internes pour la DSI.</w:t>
      </w:r>
    </w:p>
    <w:p w:rsidR="006E6D7A" w:rsidRDefault="00B16C64" w14:paraId="67156E4C" w14:textId="77777777">
      <w:pPr>
        <w:rPr>
          <w:b/>
          <w:bCs/>
          <w:color w:val="A6A6A6" w:themeColor="background1" w:themeShade="A6"/>
        </w:rPr>
      </w:pPr>
      <w:r>
        <w:rPr>
          <w:b/>
          <w:bCs/>
          <w:color w:val="A6A6A6" w:themeColor="background1" w:themeShade="A6"/>
        </w:rPr>
        <w:t>Ambitions de SOLAIRE</w:t>
      </w:r>
    </w:p>
    <w:p w:rsidR="006E6D7A" w:rsidRDefault="00B16C64" w14:paraId="67156E4D" w14:textId="77777777">
      <w:pPr>
        <w:rPr>
          <w:color w:val="000000"/>
          <w:shd w:val="clear" w:color="auto" w:fill="FFFFFF"/>
        </w:rPr>
      </w:pPr>
      <w:r>
        <w:rPr>
          <w:color w:val="000000"/>
          <w:shd w:val="clear" w:color="auto" w:fill="FFFFFF"/>
        </w:rPr>
        <w:t>Au niveau informatique, les ambitions de SOLAIRE sont :</w:t>
      </w:r>
    </w:p>
    <w:p w:rsidR="006E6D7A" w:rsidRDefault="00B16C64" w14:paraId="67156E4E" w14:textId="77777777">
      <w:pPr>
        <w:numPr>
          <w:ilvl w:val="0"/>
          <w:numId w:val="42"/>
        </w:numPr>
        <w:rPr>
          <w:color w:val="000000"/>
          <w:shd w:val="clear" w:color="auto" w:fill="FFFFFF"/>
        </w:rPr>
      </w:pPr>
      <w:r>
        <w:rPr>
          <w:color w:val="000000"/>
          <w:shd w:val="clear" w:color="auto" w:fill="FFFFFF"/>
        </w:rPr>
        <w:t>Améliorer l’efficience et répondre aux nouvelles temporalités des métiers</w:t>
      </w:r>
    </w:p>
    <w:p w:rsidR="006E6D7A" w:rsidRDefault="00B16C64" w14:paraId="67156E4F" w14:textId="77777777">
      <w:pPr>
        <w:rPr>
          <w:color w:val="000000"/>
          <w:shd w:val="clear" w:color="auto" w:fill="FFFFFF"/>
        </w:rPr>
      </w:pPr>
      <w:r>
        <w:rPr>
          <w:color w:val="000000"/>
          <w:shd w:val="clear" w:color="auto" w:fill="FFFFFF"/>
        </w:rPr>
        <w:tab/>
      </w:r>
      <w:r>
        <w:rPr>
          <w:color w:val="000000"/>
          <w:shd w:val="clear" w:color="auto" w:fill="FFFFFF"/>
        </w:rPr>
        <w:t>-&gt; Mettre en place un système de réalisation de solution en Fast IT (réduction du lead time) pour produire vite et bien</w:t>
      </w:r>
    </w:p>
    <w:p w:rsidR="006E6D7A" w:rsidRDefault="00B16C64" w14:paraId="67156E50" w14:textId="77777777">
      <w:pPr>
        <w:rPr>
          <w:color w:val="000000"/>
          <w:shd w:val="clear" w:color="auto" w:fill="FFFFFF"/>
        </w:rPr>
      </w:pPr>
      <w:r>
        <w:rPr>
          <w:color w:val="000000"/>
          <w:shd w:val="clear" w:color="auto" w:fill="FFFFFF"/>
        </w:rPr>
        <w:t xml:space="preserve">     </w:t>
      </w:r>
      <w:r>
        <w:rPr>
          <w:color w:val="000000"/>
          <w:shd w:val="clear" w:color="auto" w:fill="FFFFFF"/>
        </w:rPr>
        <w:tab/>
      </w:r>
      <w:r>
        <w:rPr>
          <w:color w:val="000000"/>
          <w:shd w:val="clear" w:color="auto" w:fill="FFFFFF"/>
        </w:rPr>
        <w:t>-&gt; Consolider le système de réalisation actuel en réduisant les irritants/goulets d’étranglement</w:t>
      </w:r>
    </w:p>
    <w:p w:rsidR="006E6D7A" w:rsidRDefault="00B16C64" w14:paraId="67156E51" w14:textId="77777777">
      <w:pPr>
        <w:rPr>
          <w:color w:val="000000"/>
          <w:shd w:val="clear" w:color="auto" w:fill="FFFFFF"/>
        </w:rPr>
      </w:pPr>
      <w:r>
        <w:rPr>
          <w:color w:val="000000"/>
          <w:shd w:val="clear" w:color="auto" w:fill="FFFFFF"/>
        </w:rPr>
        <w:tab/>
      </w:r>
      <w:r>
        <w:rPr>
          <w:color w:val="000000"/>
          <w:shd w:val="clear" w:color="auto" w:fill="FFFFFF"/>
        </w:rPr>
        <w:t>-&gt; Développer les services à la demande automatisés avec le moins d’intervention humaine spécifique</w:t>
      </w:r>
    </w:p>
    <w:p w:rsidR="006E6D7A" w:rsidRDefault="00B16C64" w14:paraId="67156E52" w14:textId="77777777">
      <w:pPr>
        <w:rPr>
          <w:color w:val="000000"/>
          <w:shd w:val="clear" w:color="auto" w:fill="FFFFFF"/>
        </w:rPr>
      </w:pPr>
      <w:r>
        <w:rPr>
          <w:color w:val="000000"/>
          <w:shd w:val="clear" w:color="auto" w:fill="FFFFFF"/>
        </w:rPr>
        <w:t xml:space="preserve"> </w:t>
      </w:r>
    </w:p>
    <w:p w:rsidR="006E6D7A" w:rsidRDefault="00B16C64" w14:paraId="67156E53" w14:textId="77777777">
      <w:pPr>
        <w:numPr>
          <w:ilvl w:val="0"/>
          <w:numId w:val="43"/>
        </w:numPr>
        <w:rPr>
          <w:color w:val="000000"/>
          <w:shd w:val="clear" w:color="auto" w:fill="FFFFFF"/>
        </w:rPr>
      </w:pPr>
      <w:r>
        <w:rPr>
          <w:color w:val="000000"/>
          <w:shd w:val="clear" w:color="auto" w:fill="FFFFFF"/>
        </w:rPr>
        <w:t xml:space="preserve"> Intégrer plus vite l’innovation en collaboration notamment avec les autres structures INRAE</w:t>
      </w:r>
    </w:p>
    <w:p w:rsidR="006E6D7A" w:rsidRDefault="006E6D7A" w14:paraId="67156E54" w14:textId="77777777">
      <w:pPr>
        <w:rPr>
          <w:color w:val="000000"/>
          <w:shd w:val="clear" w:color="auto" w:fill="FFFFFF"/>
        </w:rPr>
      </w:pPr>
    </w:p>
    <w:p w:rsidR="006E6D7A" w:rsidRDefault="00B16C64" w14:paraId="67156E55" w14:textId="77777777">
      <w:pPr>
        <w:rPr>
          <w:b/>
          <w:bCs/>
          <w:color w:val="A6A6A6" w:themeColor="background1" w:themeShade="A6"/>
        </w:rPr>
      </w:pPr>
      <w:r>
        <w:rPr>
          <w:b/>
          <w:bCs/>
          <w:color w:val="A6A6A6" w:themeColor="background1" w:themeShade="A6"/>
        </w:rPr>
        <w:t>Organisation de SOLAIRE</w:t>
      </w:r>
    </w:p>
    <w:p w:rsidR="006E6D7A" w:rsidRDefault="00B16C64" w14:paraId="67156E56" w14:textId="77777777">
      <w:pPr>
        <w:rPr>
          <w:color w:val="000000"/>
          <w:shd w:val="clear" w:color="auto" w:fill="FFFFFF"/>
        </w:rPr>
      </w:pPr>
      <w:r>
        <w:rPr>
          <w:color w:val="000000"/>
          <w:shd w:val="clear" w:color="auto" w:fill="FFFFFF"/>
        </w:rPr>
        <w:lastRenderedPageBreak/>
        <w:t>L’organisation de SOLAIRE sera la suivante en 2026. Les modalités de fonctionnement restent à définir.</w:t>
      </w:r>
    </w:p>
    <w:p w:rsidR="006E6D7A" w:rsidRDefault="00B16C64" w14:paraId="67156E57" w14:textId="77777777">
      <w:pPr>
        <w:rPr>
          <w:color w:val="000000"/>
        </w:rPr>
      </w:pPr>
      <w:r>
        <w:rPr>
          <w:noProof/>
        </w:rPr>
        <mc:AlternateContent>
          <mc:Choice Requires="wpg">
            <w:drawing>
              <wp:inline distT="0" distB="0" distL="0" distR="0" wp14:anchorId="67157C07" wp14:editId="67157C08">
                <wp:extent cx="6120130" cy="3442573"/>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93293" name=""/>
                        <pic:cNvPicPr>
                          <a:picLocks noChangeAspect="1"/>
                        </pic:cNvPicPr>
                      </pic:nvPicPr>
                      <pic:blipFill rotWithShape="1">
                        <a:blip r:embed="rId33"/>
                        <a:stretch/>
                      </pic:blipFill>
                      <pic:spPr bwMode="auto">
                        <a:xfrm>
                          <a:off x="0" y="0"/>
                          <a:ext cx="6120129" cy="3442573"/>
                        </a:xfrm>
                        <a:prstGeom prst="rect">
                          <a:avLst/>
                        </a:prstGeom>
                      </pic:spPr>
                    </pic:pic>
                  </a:graphicData>
                </a:graphic>
              </wp:inline>
            </w:drawing>
          </mc:Choice>
          <mc:Fallback xmlns:a="http://schemas.openxmlformats.org/drawingml/2006/main">
            <w:pict w14:anchorId="74302EF9">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9" style="width:481.90pt;height:271.07pt;mso-wrap-distance-left:0.00pt;mso-wrap-distance-top:0.00pt;mso-wrap-distance-right:0.00pt;mso-wrap-distance-bottom:0.00pt;z-index:1;" o:spid="_x0000_s9" stroked="false" type="#_x0000_t75">
                <v:imagedata o:title="" r:id="rId34"/>
                <o:lock v:ext="edit" rotation="t"/>
              </v:shape>
            </w:pict>
          </mc:Fallback>
        </mc:AlternateContent>
      </w:r>
    </w:p>
    <w:p w:rsidR="006E6D7A" w:rsidRDefault="006E6D7A" w14:paraId="67156E58" w14:textId="77777777">
      <w:pPr>
        <w:jc w:val="center"/>
        <w:rPr>
          <w:color w:val="A6A6A6" w:themeColor="background1" w:themeShade="A6"/>
        </w:rPr>
      </w:pPr>
    </w:p>
    <w:p w:rsidR="006E6D7A" w:rsidRDefault="00B16C64" w14:paraId="67156E59" w14:textId="77777777">
      <w:pPr>
        <w:pStyle w:val="Titre4"/>
        <w:numPr>
          <w:ilvl w:val="4"/>
          <w:numId w:val="3"/>
        </w:numPr>
        <w:rPr>
          <w:color w:val="000000"/>
          <w:szCs w:val="22"/>
          <w:shd w:val="clear" w:color="auto" w:fill="FFFFFF"/>
        </w:rPr>
      </w:pPr>
      <w:r>
        <w:rPr>
          <w:color w:val="000000"/>
          <w:szCs w:val="22"/>
          <w:shd w:val="clear" w:color="auto" w:fill="FFFFFF"/>
        </w:rPr>
        <w:t>Présentation du pôle Infrastructures</w:t>
      </w:r>
    </w:p>
    <w:p w:rsidR="006E6D7A" w:rsidRDefault="00B16C64" w14:paraId="67156E5A" w14:textId="77777777">
      <w:pPr>
        <w:rPr>
          <w:color w:val="A6A6A6" w:themeColor="background1" w:themeShade="A6"/>
          <w:u w:val="single"/>
          <w:shd w:val="clear" w:color="auto" w:fill="FFFFFF"/>
        </w:rPr>
      </w:pPr>
      <w:r>
        <w:rPr>
          <w:b/>
          <w:bCs/>
          <w:color w:val="A6A6A6" w:themeColor="background1" w:themeShade="A6"/>
        </w:rPr>
        <w:t>Périmètre de l’Infra</w:t>
      </w:r>
    </w:p>
    <w:p w:rsidR="006E6D7A" w:rsidRDefault="00B16C64" w14:paraId="67156E5B" w14:textId="77777777">
      <w:pPr>
        <w:rPr>
          <w:color w:val="000000"/>
          <w:shd w:val="clear" w:color="auto" w:fill="FFFFFF"/>
        </w:rPr>
      </w:pPr>
      <w:r>
        <w:rPr>
          <w:color w:val="000000"/>
          <w:shd w:val="clear" w:color="auto" w:fill="FFFFFF"/>
        </w:rPr>
        <w:t xml:space="preserve">Toutes les solutions de réseau, et sécurité </w:t>
      </w:r>
      <w:proofErr w:type="gramStart"/>
      <w:r>
        <w:rPr>
          <w:color w:val="000000"/>
          <w:shd w:val="clear" w:color="auto" w:fill="FFFFFF"/>
        </w:rPr>
        <w:t>informatique,  les</w:t>
      </w:r>
      <w:proofErr w:type="gramEnd"/>
      <w:r>
        <w:rPr>
          <w:color w:val="000000"/>
          <w:shd w:val="clear" w:color="auto" w:fill="FFFFFF"/>
        </w:rPr>
        <w:t xml:space="preserve"> plateformes socles d’infrastructures et leur exploitation en support au pôle SOLAIRE. Une offre de services d’infrastructures </w:t>
      </w:r>
      <w:proofErr w:type="gramStart"/>
      <w:r>
        <w:rPr>
          <w:color w:val="000000"/>
          <w:shd w:val="clear" w:color="auto" w:fill="FFFFFF"/>
        </w:rPr>
        <w:t>informatiques  mutualisées</w:t>
      </w:r>
      <w:proofErr w:type="gramEnd"/>
      <w:r>
        <w:rPr>
          <w:color w:val="000000"/>
          <w:shd w:val="clear" w:color="auto" w:fill="FFFFFF"/>
        </w:rPr>
        <w:t xml:space="preserve"> en destination de l’ensemble des structures et usagers de l’institut.</w:t>
      </w:r>
    </w:p>
    <w:p w:rsidR="006E6D7A" w:rsidRDefault="00B16C64" w14:paraId="67156E5C" w14:textId="77777777">
      <w:pPr>
        <w:rPr>
          <w:b/>
          <w:bCs/>
          <w:color w:val="A6A6A6" w:themeColor="background1" w:themeShade="A6"/>
        </w:rPr>
      </w:pPr>
      <w:r>
        <w:rPr>
          <w:b/>
          <w:bCs/>
          <w:color w:val="A6A6A6" w:themeColor="background1" w:themeShade="A6"/>
        </w:rPr>
        <w:t>Ambitions de l’Infra</w:t>
      </w:r>
    </w:p>
    <w:p w:rsidR="006E6D7A" w:rsidRDefault="00B16C64" w14:paraId="67156E5D" w14:textId="77777777">
      <w:pPr>
        <w:jc w:val="left"/>
        <w:rPr>
          <w:color w:val="000000" w:themeColor="text1"/>
          <w:shd w:val="clear" w:color="auto" w:fill="FFFFFF"/>
        </w:rPr>
      </w:pPr>
      <w:r>
        <w:rPr>
          <w:color w:val="000000"/>
          <w:shd w:val="clear" w:color="auto" w:fill="FFFFFF"/>
        </w:rPr>
        <w:t xml:space="preserve">L’infra a pour ambition de développer et maintenir une Infrastructure informatique d’établissement à l’état de l’art, pilotée, évolutive et à la demande qui facilite et soutienne la construction et la performance des services </w:t>
      </w:r>
      <w:proofErr w:type="gramStart"/>
      <w:r>
        <w:rPr>
          <w:color w:val="000000"/>
          <w:shd w:val="clear" w:color="auto" w:fill="FFFFFF"/>
        </w:rPr>
        <w:t>numériques ,</w:t>
      </w:r>
      <w:proofErr w:type="gramEnd"/>
      <w:r>
        <w:rPr>
          <w:color w:val="000000"/>
          <w:shd w:val="clear" w:color="auto" w:fill="FFFFFF"/>
        </w:rPr>
        <w:t xml:space="preserve"> qui contribue aux transformations des pratiques et usages des données pour l’appui et pour  la science et réponde aux enjeux de mutualisation, de sécurisation et de pérennité des SI</w:t>
      </w:r>
    </w:p>
    <w:p w:rsidR="006E6D7A" w:rsidRDefault="006E6D7A" w14:paraId="67156E5E" w14:textId="77777777">
      <w:pPr>
        <w:rPr>
          <w:color w:val="A6A6A6" w:themeColor="background1" w:themeShade="A6"/>
        </w:rPr>
      </w:pPr>
    </w:p>
    <w:p w:rsidR="006E6D7A" w:rsidRDefault="00B16C64" w14:paraId="67156E5F" w14:textId="77777777">
      <w:pPr>
        <w:pStyle w:val="Titre4"/>
        <w:numPr>
          <w:ilvl w:val="4"/>
          <w:numId w:val="3"/>
        </w:numPr>
        <w:rPr>
          <w:color w:val="A6A6A6" w:themeColor="background1" w:themeShade="A6"/>
        </w:rPr>
      </w:pPr>
      <w:r>
        <w:rPr>
          <w:color w:val="A6A6A6" w:themeColor="background1" w:themeShade="A6"/>
        </w:rPr>
        <w:t>Présentation du Pôle achats informatiques de la DIFA</w:t>
      </w:r>
    </w:p>
    <w:p w:rsidR="006E6D7A" w:rsidRDefault="00B16C64" w14:paraId="67156E60" w14:textId="77777777">
      <w:pPr>
        <w:rPr>
          <w:color w:val="000000"/>
          <w:shd w:val="clear" w:color="auto" w:fill="FFFFFF"/>
        </w:rPr>
      </w:pPr>
      <w:r>
        <w:rPr>
          <w:color w:val="000000"/>
          <w:shd w:val="clear" w:color="auto" w:fill="FFFFFF"/>
        </w:rPr>
        <w:t>Le « Pôle achats informatiques et outils achat » de la Direction du Financement et des Achats est un pôle spécialisé en achats informatiques rattaché au service des achats.</w:t>
      </w:r>
    </w:p>
    <w:p w:rsidR="006E6D7A" w:rsidRDefault="00B16C64" w14:paraId="67156E61" w14:textId="77777777">
      <w:pPr>
        <w:rPr>
          <w:color w:val="000000"/>
          <w:shd w:val="clear" w:color="auto" w:fill="FFFFFF"/>
        </w:rPr>
      </w:pPr>
      <w:r>
        <w:rPr>
          <w:color w:val="000000"/>
          <w:shd w:val="clear" w:color="auto" w:fill="FFFFFF"/>
        </w:rPr>
        <w:t>Le Service des achats met en œuvre la politique d’achat d’INRAE. Il initie les actions de coordination nationales, mène les analyses nécessaires à ces actions de mutualisation, instruit les procédures nationales, assiste les centres dans leurs opérations locales, assure l’accès à l’information utile à l’exécution des accords-cadres nationaux, communique sur les aspects juridiques et l’achat en général.</w:t>
      </w:r>
    </w:p>
    <w:p w:rsidR="006E6D7A" w:rsidRDefault="00B16C64" w14:paraId="67156E62" w14:textId="77777777">
      <w:pPr>
        <w:rPr>
          <w:color w:val="000000"/>
          <w:shd w:val="clear" w:color="auto" w:fill="FFFFFF"/>
        </w:rPr>
      </w:pPr>
      <w:r>
        <w:rPr>
          <w:color w:val="000000"/>
          <w:shd w:val="clear" w:color="auto" w:fill="FFFFFF"/>
        </w:rPr>
        <w:t>En son sein, le Pôle achats informatiques réalise notamment la politique achat informatique de l’Institut, les stratégies achats associées et pilote les procédures achats stratégiques pour INRAE et les accords-cadres informatiques nationaux.</w:t>
      </w:r>
    </w:p>
    <w:p w:rsidR="006E6D7A" w:rsidRDefault="00B16C64" w14:paraId="67156E63" w14:textId="77777777">
      <w:pPr>
        <w:rPr>
          <w:color w:val="000000"/>
          <w:shd w:val="clear" w:color="auto" w:fill="FFFFFF"/>
        </w:rPr>
      </w:pPr>
      <w:r>
        <w:rPr>
          <w:color w:val="000000"/>
          <w:shd w:val="clear" w:color="auto" w:fill="FFFFFF"/>
        </w:rPr>
        <w:t>Le présent accord-cadre est piloté et suivi, pour ses aspects de performance achat et contractuelle, par le pôle achats informatiques de la Direction du Financement et des Achats.</w:t>
      </w:r>
    </w:p>
    <w:p w:rsidR="006E6D7A" w:rsidRDefault="006E6D7A" w14:paraId="67156E64" w14:textId="77777777">
      <w:pPr>
        <w:rPr>
          <w:rFonts w:ascii="Arial" w:hAnsi="Arial" w:cs="Arial"/>
          <w:color w:val="A6A6A6" w:themeColor="background1" w:themeShade="A6"/>
          <w:sz w:val="20"/>
          <w:szCs w:val="20"/>
        </w:rPr>
      </w:pPr>
    </w:p>
    <w:p w:rsidR="006E6D7A" w:rsidRDefault="00B16C64" w14:paraId="67156E65" w14:textId="77777777">
      <w:pPr>
        <w:pStyle w:val="Titre2"/>
      </w:pPr>
      <w:bookmarkStart w:name="_Toc221095438" w:id="10"/>
      <w:r>
        <w:lastRenderedPageBreak/>
        <w:t>Enjeux</w:t>
      </w:r>
      <w:bookmarkEnd w:id="10"/>
    </w:p>
    <w:p w:rsidR="006E6D7A" w:rsidRDefault="00B16C64" w14:paraId="67156E66" w14:textId="77777777">
      <w:r>
        <w:t>Dans un contexte de fort développement des services informatiques d’appui à la recherche et de recherche de INRAE et au regard des enjeux d’agilité et d’efficience qui y sont attachés, le présent accord-cadre a pour finalités :</w:t>
      </w:r>
    </w:p>
    <w:p w:rsidR="006E6D7A" w:rsidRDefault="00B16C64" w14:paraId="67156E67" w14:textId="77777777">
      <w:pPr>
        <w:pStyle w:val="Puce1"/>
        <w:numPr>
          <w:ilvl w:val="0"/>
          <w:numId w:val="30"/>
        </w:numPr>
        <w:ind w:left="714" w:hanging="357"/>
        <w:rPr>
          <w:rFonts w:asciiTheme="minorHAnsi" w:hAnsiTheme="minorHAnsi" w:cstheme="minorHAnsi"/>
        </w:rPr>
      </w:pPr>
      <w:r>
        <w:rPr>
          <w:rFonts w:cstheme="minorHAnsi"/>
        </w:rPr>
        <w:t xml:space="preserve">D’accompagner la DSI dans sa mission de développement, de mise à disposition et </w:t>
      </w:r>
      <w:proofErr w:type="gramStart"/>
      <w:r>
        <w:rPr>
          <w:rFonts w:cstheme="minorHAnsi"/>
        </w:rPr>
        <w:t>d’exploitation  de</w:t>
      </w:r>
      <w:proofErr w:type="gramEnd"/>
      <w:r>
        <w:rPr>
          <w:rFonts w:cstheme="minorHAnsi"/>
        </w:rPr>
        <w:t xml:space="preserve"> plateformes et services pour la DSI et les autres directions et unités de INRAE. Il s’agit pour ce pôle de se doter des leviers et moyens lui permettant d’assurer pleinement son rôle et lui permettre de tenir les engagements de mise en place de solutions/services qui lui sont confiés.</w:t>
      </w:r>
    </w:p>
    <w:p w:rsidR="006E6D7A" w:rsidRDefault="00B16C64" w14:paraId="67156E68" w14:textId="77777777">
      <w:pPr>
        <w:pStyle w:val="Puce1"/>
        <w:numPr>
          <w:ilvl w:val="0"/>
          <w:numId w:val="30"/>
        </w:numPr>
        <w:ind w:left="714" w:hanging="357"/>
        <w:rPr>
          <w:rFonts w:asciiTheme="minorHAnsi" w:hAnsiTheme="minorHAnsi" w:cstheme="minorHAnsi"/>
        </w:rPr>
      </w:pPr>
      <w:r>
        <w:rPr>
          <w:rFonts w:cstheme="minorHAnsi"/>
        </w:rPr>
        <w:t>D’accompagner toute autre direction ou unité de INRAE souhaitant disposer de moyens pour adapter son système d’information à ses missions.</w:t>
      </w:r>
    </w:p>
    <w:p w:rsidR="006E6D7A" w:rsidRDefault="00B16C64" w14:paraId="67156E69" w14:textId="77777777">
      <w:pPr>
        <w:pStyle w:val="Titre3"/>
        <w:numPr>
          <w:ilvl w:val="3"/>
          <w:numId w:val="3"/>
        </w:numPr>
      </w:pPr>
      <w:bookmarkStart w:name="_Toc221095439" w:id="11"/>
      <w:r>
        <w:t>Consolider la capacité en développement de socles techniques</w:t>
      </w:r>
      <w:bookmarkEnd w:id="11"/>
    </w:p>
    <w:p w:rsidR="006E6D7A" w:rsidRDefault="00B16C64" w14:paraId="67156E6A" w14:textId="77777777">
      <w:r>
        <w:t xml:space="preserve">Le présent accord-cadre va permettre à ses bénéficiaires de fournir une ingénierie contractuelle de réalisation de plateformes numériques permettant aux différents pôles de la DSI ainsi </w:t>
      </w:r>
      <w:proofErr w:type="gramStart"/>
      <w:r>
        <w:t>qu’ aux</w:t>
      </w:r>
      <w:proofErr w:type="gramEnd"/>
      <w:r>
        <w:t xml:space="preserve"> unités et directions de INRAE de disposer d’une scalabilité de capacité de développement, mise en œuvre, d’automatisation , de fiabilisation  et d’exploitation, de piloter la réalisation d’un service, de disposer d’un accompagnement et de valorisation exposée (API) des services.</w:t>
      </w:r>
    </w:p>
    <w:p w:rsidR="006E6D7A" w:rsidRDefault="00B16C64" w14:paraId="67156E6B" w14:textId="77777777">
      <w:r>
        <w:t>La nature transversale des prestations de l’accord-cadre doit permettre de renforcer et consolider les solutions déployées et mises en place au sein de l’Institut.</w:t>
      </w:r>
    </w:p>
    <w:p w:rsidR="006E6D7A" w:rsidRDefault="00B16C64" w14:paraId="67156E6C" w14:textId="77777777">
      <w:pPr>
        <w:pStyle w:val="Titre3"/>
        <w:numPr>
          <w:ilvl w:val="3"/>
          <w:numId w:val="3"/>
        </w:numPr>
      </w:pPr>
      <w:bookmarkStart w:name="_Toc221095440" w:id="12"/>
      <w:r>
        <w:t>Développer l’offre de service portée par les plateformes dans un contexte multiple</w:t>
      </w:r>
      <w:bookmarkEnd w:id="12"/>
    </w:p>
    <w:p w:rsidR="006E6D7A" w:rsidRDefault="00B16C64" w14:paraId="67156E6D" w14:textId="77777777">
      <w:r>
        <w:t xml:space="preserve">La construction des solutions pour l’établissement et les métiers a fortement évolué ces dernières années. </w:t>
      </w:r>
    </w:p>
    <w:p w:rsidR="006E6D7A" w:rsidRDefault="00B16C64" w14:paraId="67156E6E" w14:textId="77777777">
      <w:r>
        <w:t xml:space="preserve">Tout d’abord, alignée sur la stratégie décidée par la direction de l’établissement, la priorité pour tout besoin arbitré doit envisager </w:t>
      </w:r>
      <w:r>
        <w:rPr>
          <w:u w:val="single"/>
        </w:rPr>
        <w:t>une solution mutualisée</w:t>
      </w:r>
      <w:r>
        <w:t xml:space="preserve"> avec d’autres établissements de recherche ou publics si elle existe.</w:t>
      </w:r>
    </w:p>
    <w:p w:rsidR="006E6D7A" w:rsidRDefault="00B16C64" w14:paraId="67156E6F" w14:textId="77777777">
      <w:r>
        <w:t>A titre d’exemple, la trajectoire des systèmes « </w:t>
      </w:r>
      <w:proofErr w:type="spellStart"/>
      <w:r>
        <w:t>legacy</w:t>
      </w:r>
      <w:proofErr w:type="spellEnd"/>
      <w:r>
        <w:t xml:space="preserve"> » vers les solutions mutualisées de </w:t>
      </w:r>
      <w:proofErr w:type="gramStart"/>
      <w:r>
        <w:t>l’AMUE ,</w:t>
      </w:r>
      <w:proofErr w:type="gramEnd"/>
      <w:r>
        <w:t xml:space="preserve"> de </w:t>
      </w:r>
      <w:proofErr w:type="spellStart"/>
      <w:r>
        <w:t>Renater</w:t>
      </w:r>
      <w:proofErr w:type="spellEnd"/>
      <w:r>
        <w:t xml:space="preserve"> ou au sein des </w:t>
      </w:r>
      <w:proofErr w:type="spellStart"/>
      <w:r>
        <w:t>datacentres</w:t>
      </w:r>
      <w:proofErr w:type="spellEnd"/>
      <w:r>
        <w:t xml:space="preserve"> labellisés par le ministère de l’enseignement supérieur et de la recherche constitue un virage stratégique majeur pour les SI de INRAE :</w:t>
      </w:r>
    </w:p>
    <w:p w:rsidR="006E6D7A" w:rsidRDefault="00B16C64" w14:paraId="67156E70" w14:textId="77777777">
      <w:pPr>
        <w:pStyle w:val="Puce1"/>
      </w:pPr>
      <w:r>
        <w:t>Solution mutualisée pour les référentiels d’établissement basée sur SINAPS depuis 2020 (et notamment SINAPS Personne depuis octobre 2024)</w:t>
      </w:r>
    </w:p>
    <w:p w:rsidR="006E6D7A" w:rsidRDefault="00B16C64" w14:paraId="67156E71" w14:textId="77777777">
      <w:pPr>
        <w:pStyle w:val="Puce1"/>
      </w:pPr>
      <w:r>
        <w:t>Migration de l’ensemble du système financier SIFAC et Notilus depuis janvier 2025</w:t>
      </w:r>
    </w:p>
    <w:p w:rsidR="006E6D7A" w:rsidRDefault="00B16C64" w14:paraId="67156E72" w14:textId="77777777">
      <w:pPr>
        <w:pStyle w:val="Puce1"/>
      </w:pPr>
      <w:r>
        <w:t xml:space="preserve">Migration de l’ensemble du système RH (programme Siham) : calendrier à définir si cette trajectoire est confirmée. </w:t>
      </w:r>
    </w:p>
    <w:p w:rsidR="006E6D7A" w:rsidRDefault="00B16C64" w14:paraId="67156E73" w14:textId="77777777">
      <w:pPr>
        <w:pStyle w:val="Puce1"/>
      </w:pPr>
      <w:r>
        <w:t xml:space="preserve">Hybridation du stockage </w:t>
      </w:r>
      <w:proofErr w:type="spellStart"/>
      <w:r>
        <w:t>Inrae</w:t>
      </w:r>
      <w:proofErr w:type="spellEnd"/>
      <w:r>
        <w:t xml:space="preserve"> avec le datacenter régional d’Occitanie depuis 2023</w:t>
      </w:r>
    </w:p>
    <w:p w:rsidR="006E6D7A" w:rsidRDefault="00B16C64" w14:paraId="67156E74" w14:textId="77777777">
      <w:r>
        <w:t>Ensuite la DSI a orienté l’évolution et la mise en œuvre de l’urbanisation de ses systèmes d’informations en s’appuyant fortement sur l’utilisation de plateformes informatiques offrant un socle natif sur lequel les pôles SOLAIRE et Infra adaptent et crée les produits et services.</w:t>
      </w:r>
    </w:p>
    <w:p w:rsidR="006E6D7A" w:rsidRDefault="00B16C64" w14:paraId="67156E75" w14:textId="77777777">
      <w:r>
        <w:t>Un chapitre spécifique décrit les principales plateformes et leurs interactions.</w:t>
      </w:r>
    </w:p>
    <w:p w:rsidR="006E6D7A" w:rsidRDefault="00B16C64" w14:paraId="67156E76" w14:textId="77777777">
      <w:r>
        <w:t xml:space="preserve">Par ailleurs la DSI doit gérer un contexte d’infrastructures multiples intégrant des solutions en mode SaaS, en mode PaaS devant s’intégrer avec les solutions On </w:t>
      </w:r>
      <w:proofErr w:type="spellStart"/>
      <w:r>
        <w:t>Premise</w:t>
      </w:r>
      <w:proofErr w:type="spellEnd"/>
      <w:r>
        <w:t>. Cette trajectoire implique, d’un point de vue système d’information, la capacité à interopérer des SI mais aussi à construire des solutions hybrides mixant l’ensemble de ces évolutions (solutions spécifiques, solutions mutualisées, solutions sur étagère, intégrant les plateformes et gérant les différents modes d’infrastructures avec leurs forces et contraintes respectives.</w:t>
      </w:r>
    </w:p>
    <w:p w:rsidR="006E6D7A" w:rsidRDefault="00B16C64" w14:paraId="67156E77" w14:textId="77777777">
      <w:r>
        <w:lastRenderedPageBreak/>
        <w:t>Enfin, pour les logiciels complets ou pour partie spécifiques, les évolutions d’architecture de l’IT (micro services, architecture orientée données, single page application (SPA) …) constituent des éléments à intégrer par l’ensemble des acteurs contribuant à la réalisation des solutions.</w:t>
      </w:r>
    </w:p>
    <w:p w:rsidR="006E6D7A" w:rsidRDefault="00B16C64" w14:paraId="67156E78" w14:textId="77777777">
      <w:pPr>
        <w:pStyle w:val="Titre3"/>
        <w:numPr>
          <w:ilvl w:val="3"/>
          <w:numId w:val="3"/>
        </w:numPr>
      </w:pPr>
      <w:bookmarkStart w:name="_Toc221095441" w:id="13"/>
      <w:r>
        <w:t>Administration/gestion des outils</w:t>
      </w:r>
      <w:bookmarkEnd w:id="13"/>
      <w:r>
        <w:t xml:space="preserve"> </w:t>
      </w:r>
    </w:p>
    <w:p w:rsidR="006E6D7A" w:rsidRDefault="00B16C64" w14:paraId="67156E79" w14:textId="77777777">
      <w:r>
        <w:t>Le présent accord-cadre doit permettre à la DSI de pouvoir continuer à appuyer ses développements sur des usines logicielles intégrées. Il doit permettre de continuer à développer des plateformes mutualisées de traitement et de gestion des données, mais également d’automatisation ou d’observabilité.</w:t>
      </w:r>
    </w:p>
    <w:p w:rsidR="006E6D7A" w:rsidRDefault="00B16C64" w14:paraId="67156E7A" w14:textId="77777777">
      <w:r>
        <w:t>Ces évolutions se feront en cohérence, avec le service de forge nationale de l’institut et le pôle Infrastructures de la DSI.</w:t>
      </w:r>
    </w:p>
    <w:p w:rsidR="006E6D7A" w:rsidRDefault="00B16C64" w14:paraId="67156E7B" w14:textId="77777777">
      <w:pPr>
        <w:pStyle w:val="Titre3"/>
        <w:numPr>
          <w:ilvl w:val="3"/>
          <w:numId w:val="3"/>
        </w:numPr>
      </w:pPr>
      <w:bookmarkStart w:name="_Toc221095442" w:id="14"/>
      <w:r>
        <w:t>Gestion de la qualité/conformité et sécurité des développements</w:t>
      </w:r>
      <w:bookmarkEnd w:id="14"/>
      <w:r>
        <w:t xml:space="preserve"> </w:t>
      </w:r>
    </w:p>
    <w:p w:rsidR="006E6D7A" w:rsidRDefault="00B16C64" w14:paraId="67156E7C" w14:textId="77777777">
      <w:r>
        <w:t>Le présent accord-cadre doit également poursuivre et accroître la capacité de la DSI à garantir la qualité et la sécurité des services offerts.</w:t>
      </w:r>
    </w:p>
    <w:p w:rsidR="006E6D7A" w:rsidRDefault="00B16C64" w14:paraId="67156E7D" w14:textId="77777777">
      <w:r>
        <w:t>Il s’agit d’œuvrer progressivement et de manière continue sur ces deux axes, d’une part dans le respect des critères définis au sein des équipes de la DSI, d’autre part dans la mise en place et l’acculturation progressive de techniques et méthodes permettant d’améliorer la sécurité des développements (en lien étroit avec les recommandations de la cellule Sécurité des systèmes d’information (SSI) dans le respect des normes d’usages établies).</w:t>
      </w:r>
    </w:p>
    <w:p w:rsidR="006E6D7A" w:rsidRDefault="00B16C64" w14:paraId="67156E7E" w14:textId="77777777">
      <w:pPr>
        <w:pStyle w:val="Titre3"/>
        <w:numPr>
          <w:ilvl w:val="3"/>
          <w:numId w:val="3"/>
        </w:numPr>
      </w:pPr>
      <w:bookmarkStart w:name="_Toc221095443" w:id="15"/>
      <w:r>
        <w:t>Autres éléments explicatifs</w:t>
      </w:r>
      <w:bookmarkEnd w:id="15"/>
    </w:p>
    <w:p w:rsidR="006E6D7A" w:rsidRDefault="00B16C64" w14:paraId="67156E7F" w14:textId="77777777">
      <w:r>
        <w:t xml:space="preserve">Cette consultation exclut les experts en développement </w:t>
      </w:r>
      <w:proofErr w:type="gramStart"/>
      <w:r>
        <w:t>hors</w:t>
      </w:r>
      <w:proofErr w:type="gramEnd"/>
      <w:r>
        <w:t xml:space="preserve"> </w:t>
      </w:r>
      <w:proofErr w:type="spellStart"/>
      <w:r>
        <w:t>DevSecOps</w:t>
      </w:r>
      <w:proofErr w:type="spellEnd"/>
      <w:r>
        <w:t>, qui ont fait l’objet d’une consultation spécifique.</w:t>
      </w:r>
    </w:p>
    <w:p w:rsidR="006E6D7A" w:rsidRDefault="00B16C64" w14:paraId="67156E80" w14:textId="77777777">
      <w:pPr>
        <w:pStyle w:val="Titre1"/>
      </w:pPr>
      <w:bookmarkStart w:name="_Toc221095444" w:id="16"/>
      <w:r>
        <w:lastRenderedPageBreak/>
        <w:t>Démarche DevSECOPS contextualisée au sein de la DSI INRAE</w:t>
      </w:r>
      <w:bookmarkEnd w:id="16"/>
    </w:p>
    <w:p w:rsidR="006E6D7A" w:rsidRDefault="00B16C64" w14:paraId="67156E81" w14:textId="77777777">
      <w:r>
        <w:t xml:space="preserve">Les prestations demandées sont donc à décliner dans un contexte projet : </w:t>
      </w:r>
    </w:p>
    <w:p w:rsidR="006E6D7A" w:rsidRDefault="00B16C64" w14:paraId="67156E82" w14:textId="77777777">
      <w:pPr>
        <w:pStyle w:val="Puce1"/>
      </w:pPr>
      <w:proofErr w:type="spellStart"/>
      <w:r>
        <w:t>DevSecOps</w:t>
      </w:r>
      <w:proofErr w:type="spellEnd"/>
    </w:p>
    <w:p w:rsidR="006E6D7A" w:rsidRDefault="00B16C64" w14:paraId="67156E83" w14:textId="77777777">
      <w:pPr>
        <w:pStyle w:val="Puce1"/>
      </w:pPr>
      <w:r>
        <w:t>Agile</w:t>
      </w:r>
    </w:p>
    <w:p w:rsidR="006E6D7A" w:rsidRDefault="00B16C64" w14:paraId="67156E84" w14:textId="77777777">
      <w:pPr>
        <w:pStyle w:val="Puce1"/>
      </w:pPr>
      <w:r>
        <w:t>Cycle en V</w:t>
      </w:r>
    </w:p>
    <w:p w:rsidR="006E6D7A" w:rsidRDefault="00B16C64" w14:paraId="67156E85" w14:textId="77777777">
      <w:pPr>
        <w:pStyle w:val="Titre2"/>
      </w:pPr>
      <w:bookmarkStart w:name="_Toc221095445" w:id="17"/>
      <w:r>
        <w:t>Démarche DEVSECOPS</w:t>
      </w:r>
      <w:bookmarkEnd w:id="17"/>
    </w:p>
    <w:p w:rsidR="006E6D7A" w:rsidRDefault="00B16C64" w14:paraId="67156E86" w14:textId="77777777">
      <w:r>
        <w:t xml:space="preserve">Au sein des pôles SOLAIRE et Infrastructures de la DSI, des sensibilisations et rappels à la démarche </w:t>
      </w:r>
      <w:proofErr w:type="spellStart"/>
      <w:r>
        <w:t>DevSecOps</w:t>
      </w:r>
      <w:proofErr w:type="spellEnd"/>
      <w:r>
        <w:t xml:space="preserve"> ont été organisés.  Cependant, au sein de la DSI, le niveau de maturité sur ces pratiques reste très hétérogène.</w:t>
      </w:r>
    </w:p>
    <w:p w:rsidR="006E6D7A" w:rsidRDefault="00B16C64" w14:paraId="67156E87" w14:textId="77777777">
      <w:r>
        <w:t>Le titulaire de chaque lot et ses intervenants doivent donc s’inscrire dans cette démarche, comprenant la phase de maturité à acquérir collectivement.</w:t>
      </w:r>
    </w:p>
    <w:p w:rsidR="006E6D7A" w:rsidRDefault="00B16C64" w14:paraId="67156E88" w14:textId="77777777">
      <w:pPr>
        <w:pStyle w:val="Titre3"/>
        <w:numPr>
          <w:ilvl w:val="3"/>
          <w:numId w:val="3"/>
        </w:numPr>
      </w:pPr>
      <w:bookmarkStart w:name="_Toc221095446" w:id="18"/>
      <w:r>
        <w:t>Le contexte</w:t>
      </w:r>
      <w:bookmarkEnd w:id="18"/>
    </w:p>
    <w:p w:rsidR="006E6D7A" w:rsidRDefault="00B16C64" w14:paraId="67156E89" w14:textId="77777777">
      <w:r>
        <w:t>Au sein de la DSI, le contexte est le suivant :</w:t>
      </w:r>
    </w:p>
    <w:p w:rsidR="006E6D7A" w:rsidRDefault="00B16C64" w14:paraId="67156E8A" w14:textId="77777777">
      <w:pPr>
        <w:pStyle w:val="Paragraphedeliste"/>
        <w:numPr>
          <w:ilvl w:val="0"/>
          <w:numId w:val="36"/>
        </w:numPr>
        <w:spacing w:after="0" w:line="240" w:lineRule="auto"/>
        <w:ind w:left="714" w:hanging="357"/>
        <w:rPr>
          <w:bCs/>
        </w:rPr>
      </w:pPr>
      <w:r>
        <w:t>L’</w:t>
      </w:r>
      <w:r>
        <w:rPr>
          <w:rStyle w:val="Puce1Car"/>
        </w:rPr>
        <w:t xml:space="preserve">hébergement des applicatifs est réalisé très majoritairement dans des </w:t>
      </w:r>
      <w:proofErr w:type="spellStart"/>
      <w:r>
        <w:rPr>
          <w:rStyle w:val="Puce1Car"/>
        </w:rPr>
        <w:t>datacentres</w:t>
      </w:r>
      <w:proofErr w:type="spellEnd"/>
      <w:r>
        <w:rPr>
          <w:rStyle w:val="Puce1Car"/>
        </w:rPr>
        <w:t xml:space="preserve"> pilotés par le pôle d’infrastructure</w:t>
      </w:r>
    </w:p>
    <w:p w:rsidR="006E6D7A" w:rsidRDefault="00B16C64" w14:paraId="67156E8B" w14:textId="77777777">
      <w:pPr>
        <w:pStyle w:val="Puce1"/>
      </w:pPr>
      <w:r>
        <w:t>La tendance est à la bascule progressive à l’initiative de la DSI vers des solutions Cloud (SaaS, PaaS). En 2025, cela représente une part de plus en plus conséquente en cohérence avec la doctrine de l’état Cloud au centre (approche Cloud First).</w:t>
      </w:r>
    </w:p>
    <w:p w:rsidR="006E6D7A" w:rsidRDefault="00B16C64" w14:paraId="67156E8C" w14:textId="77777777">
      <w:r>
        <w:t>Les responsabilités au sein de la DSI constituent également un entrant définissant un cadre :</w:t>
      </w:r>
    </w:p>
    <w:p w:rsidR="006E6D7A" w:rsidRDefault="00B16C64" w14:paraId="67156E8D" w14:textId="77777777">
      <w:pPr>
        <w:pStyle w:val="Puce1"/>
      </w:pPr>
      <w:r>
        <w:t>L’enjeu principal du pôle Infrastructures réside dans la production de valeurs en développant des socles d’infrastructures fiables et performants au bénéfice des SI institutionnels. Ceci se traduit par une obligation de garantie de services en production marquée notamment par un contrôle renforcé de la sécurité des flux, des capacités, et des accès privilégiés (comptes à privilèges – notamment root - limités) ; A noter que la conteneurisation est utilisée pour améliorer le cycle de livraison des environnements et applications. Un système de gestion des accès à privilèges (PAM) est prévu pour être opérationnel en 2026.</w:t>
      </w:r>
    </w:p>
    <w:p w:rsidR="006E6D7A" w:rsidRDefault="00B16C64" w14:paraId="67156E8E" w14:textId="77777777">
      <w:pPr>
        <w:pStyle w:val="Puce1"/>
      </w:pPr>
      <w:r>
        <w:t>L’enjeu principal du pôle SOLAIRE réside dans la production de valeur en réalisant des solutions applicatives. Ce qui se traduit par des demandes pouvant apparaître fortes pour les équipes d’infrastructures (ex : délégation totale de responsabilité pour l’installation de produits, utilisations de composants/versions utiles pour le besoin).</w:t>
      </w:r>
    </w:p>
    <w:p w:rsidR="006E6D7A" w:rsidRDefault="006E6D7A" w14:paraId="67156E8F" w14:textId="77777777">
      <w:pPr>
        <w:pStyle w:val="Puce1"/>
        <w:numPr>
          <w:ilvl w:val="0"/>
          <w:numId w:val="0"/>
        </w:numPr>
        <w:ind w:left="360"/>
      </w:pPr>
    </w:p>
    <w:p w:rsidR="006E6D7A" w:rsidRDefault="00B16C64" w14:paraId="67156E90" w14:textId="77777777">
      <w:pPr>
        <w:pStyle w:val="Puce1"/>
        <w:numPr>
          <w:ilvl w:val="0"/>
          <w:numId w:val="0"/>
        </w:numPr>
        <w:ind w:left="360"/>
      </w:pPr>
      <w:r>
        <w:t>La démarche initiée permet une acculturation progressive de certains acteurs qu’il convient de renforcer et d’étendre. Cette démarche recouvre encore une multitude de compréhensions hétérogènes.</w:t>
      </w:r>
    </w:p>
    <w:p w:rsidR="006E6D7A" w:rsidRDefault="00B16C64" w14:paraId="67156E91" w14:textId="7B64BE46">
      <w:pPr>
        <w:pStyle w:val="Puce1"/>
        <w:numPr>
          <w:ilvl w:val="0"/>
          <w:numId w:val="0"/>
        </w:numPr>
        <w:ind w:left="360"/>
      </w:pPr>
      <w:r>
        <w:t xml:space="preserve">Des socles techniques sont en place ou en cours (Forge, plateforme </w:t>
      </w:r>
      <w:r w:rsidR="00F60C30">
        <w:t>K8</w:t>
      </w:r>
      <w:proofErr w:type="gramStart"/>
      <w:r>
        <w:t>s,…</w:t>
      </w:r>
      <w:proofErr w:type="gramEnd"/>
      <w:r>
        <w:t xml:space="preserve">). D’autres restent à l’étude </w:t>
      </w:r>
      <w:proofErr w:type="gramStart"/>
      <w:r>
        <w:t>( tests</w:t>
      </w:r>
      <w:proofErr w:type="gramEnd"/>
      <w:r>
        <w:t>, gestion des secrets, …)</w:t>
      </w:r>
    </w:p>
    <w:p w:rsidR="006E6D7A" w:rsidRDefault="006E6D7A" w14:paraId="67156E92" w14:textId="77777777">
      <w:pPr>
        <w:pStyle w:val="Puce1"/>
        <w:numPr>
          <w:ilvl w:val="0"/>
          <w:numId w:val="0"/>
        </w:numPr>
        <w:ind w:left="720"/>
      </w:pPr>
    </w:p>
    <w:p w:rsidR="006E6D7A" w:rsidRDefault="00B16C64" w14:paraId="67156E93" w14:textId="77777777">
      <w:pPr>
        <w:pStyle w:val="Titre3"/>
        <w:numPr>
          <w:ilvl w:val="3"/>
          <w:numId w:val="3"/>
        </w:numPr>
      </w:pPr>
      <w:bookmarkStart w:name="_Toc221095447" w:id="19"/>
      <w:r>
        <w:t>L'objectif</w:t>
      </w:r>
      <w:bookmarkEnd w:id="19"/>
    </w:p>
    <w:p w:rsidR="006E6D7A" w:rsidRDefault="00B16C64" w14:paraId="67156E94" w14:textId="77777777">
      <w:r>
        <w:t xml:space="preserve">Le contexte illustre que la mise en œuvre de la démarche </w:t>
      </w:r>
      <w:proofErr w:type="spellStart"/>
      <w:r>
        <w:t>DevSecOps</w:t>
      </w:r>
      <w:proofErr w:type="spellEnd"/>
      <w:r>
        <w:t xml:space="preserve"> à la DSI reste récente (depuis 2022).</w:t>
      </w:r>
    </w:p>
    <w:p w:rsidR="006E6D7A" w:rsidRDefault="00B16C64" w14:paraId="67156E95" w14:textId="77777777">
      <w:r>
        <w:t xml:space="preserve">L’ambition des pôles Infrastructures et SOLAIRE est d’œuvrer collectivement à la mise en place et à la pérennisation de la démarche </w:t>
      </w:r>
      <w:proofErr w:type="spellStart"/>
      <w:r>
        <w:t>DevSecOps</w:t>
      </w:r>
      <w:proofErr w:type="spellEnd"/>
      <w:r>
        <w:t xml:space="preserve"> sur la durée de cet accord-cadre. L’intégration continue, l’automatisation, et la conteneurisation constituent le socle à mettre en œuvre en cohérence avec les évolutions du cadre </w:t>
      </w:r>
      <w:r>
        <w:lastRenderedPageBreak/>
        <w:t xml:space="preserve">défini ci-dessus. Un programme transverse </w:t>
      </w:r>
      <w:proofErr w:type="spellStart"/>
      <w:r>
        <w:t>DevSecOps</w:t>
      </w:r>
      <w:proofErr w:type="spellEnd"/>
      <w:r>
        <w:t xml:space="preserve"> existe depuis 2024 au sein de la DSI visant à insérer la sécurité dès la phase de conception.</w:t>
      </w:r>
    </w:p>
    <w:p w:rsidR="006E6D7A" w:rsidRDefault="00B16C64" w14:paraId="67156E96" w14:textId="77777777">
      <w:r>
        <w:t xml:space="preserve">Les intervenants du titulaire doivent être sensibilisés à la démarche </w:t>
      </w:r>
      <w:proofErr w:type="spellStart"/>
      <w:r>
        <w:t>DevSecOps</w:t>
      </w:r>
      <w:proofErr w:type="spellEnd"/>
      <w:r>
        <w:t xml:space="preserve"> et prédisposés à contribuer à la réussite progressive de sa mise en place.</w:t>
      </w:r>
    </w:p>
    <w:p w:rsidR="006E6D7A" w:rsidRDefault="006E6D7A" w14:paraId="67156E97" w14:textId="77777777"/>
    <w:p w:rsidR="006E6D7A" w:rsidRDefault="00B16C64" w14:paraId="67156E98" w14:textId="77777777">
      <w:pPr>
        <w:pStyle w:val="Titre3"/>
        <w:numPr>
          <w:ilvl w:val="3"/>
          <w:numId w:val="3"/>
        </w:numPr>
      </w:pPr>
      <w:bookmarkStart w:name="_Toc221095448" w:id="20"/>
      <w:r>
        <w:t xml:space="preserve">Radar </w:t>
      </w:r>
      <w:proofErr w:type="spellStart"/>
      <w:r>
        <w:t>DevSecOps</w:t>
      </w:r>
      <w:bookmarkEnd w:id="20"/>
      <w:proofErr w:type="spellEnd"/>
    </w:p>
    <w:p w:rsidR="006E6D7A" w:rsidRDefault="006E6D7A" w14:paraId="67156E99" w14:textId="77777777"/>
    <w:p w:rsidR="006E6D7A" w:rsidRDefault="00B16C64" w14:paraId="67156E9A" w14:textId="77777777">
      <w:r>
        <w:rPr>
          <w:noProof/>
        </w:rPr>
        <mc:AlternateContent>
          <mc:Choice Requires="wpg">
            <w:drawing>
              <wp:inline distT="0" distB="0" distL="0" distR="0" wp14:anchorId="67157C09" wp14:editId="67157C0A">
                <wp:extent cx="6411729" cy="3606597"/>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457326" name=""/>
                        <pic:cNvPicPr>
                          <a:picLocks noChangeAspect="1"/>
                        </pic:cNvPicPr>
                      </pic:nvPicPr>
                      <pic:blipFill rotWithShape="1">
                        <a:blip r:embed="rId35"/>
                        <a:stretch/>
                      </pic:blipFill>
                      <pic:spPr bwMode="auto">
                        <a:xfrm>
                          <a:off x="0" y="0"/>
                          <a:ext cx="6411728" cy="3606597"/>
                        </a:xfrm>
                        <a:prstGeom prst="rect">
                          <a:avLst/>
                        </a:prstGeom>
                      </pic:spPr>
                    </pic:pic>
                  </a:graphicData>
                </a:graphic>
              </wp:inline>
            </w:drawing>
          </mc:Choice>
          <mc:Fallback xmlns:a="http://schemas.openxmlformats.org/drawingml/2006/main">
            <w:pict w14:anchorId="001DA21D">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 style="width:504.86pt;height:283.98pt;mso-wrap-distance-left:0.00pt;mso-wrap-distance-top:0.00pt;mso-wrap-distance-right:0.00pt;mso-wrap-distance-bottom:0.00pt;z-index:1;" o:spid="_x0000_s10" stroked="false" type="#_x0000_t75">
                <v:imagedata o:title="" r:id="rId36"/>
                <o:lock v:ext="edit" rotation="t"/>
              </v:shape>
            </w:pict>
          </mc:Fallback>
        </mc:AlternateContent>
      </w:r>
    </w:p>
    <w:p w:rsidR="006E6D7A" w:rsidRDefault="006E6D7A" w14:paraId="67156E9B" w14:textId="77777777"/>
    <w:p w:rsidR="006E6D7A" w:rsidRDefault="00B16C64" w14:paraId="67156E9C" w14:textId="77777777">
      <w:pPr>
        <w:pStyle w:val="Titre3"/>
        <w:numPr>
          <w:ilvl w:val="3"/>
          <w:numId w:val="3"/>
        </w:numPr>
      </w:pPr>
      <w:bookmarkStart w:name="_Toc221095449" w:id="21"/>
      <w:r>
        <w:t>Radar Développement</w:t>
      </w:r>
      <w:bookmarkEnd w:id="21"/>
    </w:p>
    <w:p w:rsidR="006E6D7A" w:rsidRDefault="006E6D7A" w14:paraId="67156E9D" w14:textId="77777777"/>
    <w:p w:rsidR="006E6D7A" w:rsidRDefault="006E6D7A" w14:paraId="67156E9E" w14:textId="77777777"/>
    <w:p w:rsidR="006E6D7A" w:rsidRDefault="006E6D7A" w14:paraId="67156E9F" w14:textId="77777777"/>
    <w:p w:rsidR="006E6D7A" w:rsidRDefault="00B16C64" w14:paraId="67156EA0" w14:textId="77777777">
      <w:r>
        <w:rPr>
          <w:noProof/>
        </w:rPr>
        <w:lastRenderedPageBreak/>
        <mc:AlternateContent>
          <mc:Choice Requires="wpg">
            <w:drawing>
              <wp:inline distT="0" distB="0" distL="0" distR="0" wp14:anchorId="67157C0B" wp14:editId="67157C0C">
                <wp:extent cx="6120130" cy="5472497"/>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98380" name=""/>
                        <pic:cNvPicPr>
                          <a:picLocks noChangeAspect="1"/>
                        </pic:cNvPicPr>
                      </pic:nvPicPr>
                      <pic:blipFill rotWithShape="1">
                        <a:blip r:embed="rId37"/>
                        <a:stretch/>
                      </pic:blipFill>
                      <pic:spPr bwMode="auto">
                        <a:xfrm>
                          <a:off x="0" y="0"/>
                          <a:ext cx="6120129" cy="5472497"/>
                        </a:xfrm>
                        <a:prstGeom prst="rect">
                          <a:avLst/>
                        </a:prstGeom>
                      </pic:spPr>
                    </pic:pic>
                  </a:graphicData>
                </a:graphic>
              </wp:inline>
            </w:drawing>
          </mc:Choice>
          <mc:Fallback xmlns:a="http://schemas.openxmlformats.org/drawingml/2006/main">
            <w:pict w14:anchorId="50F14EBD">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1" style="width:481.90pt;height:430.91pt;mso-wrap-distance-left:0.00pt;mso-wrap-distance-top:0.00pt;mso-wrap-distance-right:0.00pt;mso-wrap-distance-bottom:0.00pt;z-index:1;" o:spid="_x0000_s11" stroked="false" type="#_x0000_t75">
                <v:imagedata o:title="" r:id="rId38"/>
                <o:lock v:ext="edit" rotation="t"/>
              </v:shape>
            </w:pict>
          </mc:Fallback>
        </mc:AlternateContent>
      </w:r>
    </w:p>
    <w:p w:rsidR="006E6D7A" w:rsidRDefault="006E6D7A" w14:paraId="67156EA1" w14:textId="77777777"/>
    <w:p w:rsidR="006E6D7A" w:rsidRDefault="006E6D7A" w14:paraId="67156EA2" w14:textId="77777777"/>
    <w:p w:rsidR="006E6D7A" w:rsidRDefault="00B16C64" w14:paraId="67156EA3" w14:textId="77777777">
      <w:pPr>
        <w:pStyle w:val="Titre3"/>
        <w:numPr>
          <w:ilvl w:val="3"/>
          <w:numId w:val="3"/>
        </w:numPr>
      </w:pPr>
      <w:bookmarkStart w:name="_Toc221095450" w:id="22"/>
      <w:r>
        <w:t xml:space="preserve">Grandes lignes de la roadmap </w:t>
      </w:r>
      <w:proofErr w:type="spellStart"/>
      <w:r>
        <w:t>DevSecOps</w:t>
      </w:r>
      <w:proofErr w:type="spellEnd"/>
      <w:r>
        <w:t xml:space="preserve"> 2026</w:t>
      </w:r>
      <w:bookmarkEnd w:id="22"/>
    </w:p>
    <w:p w:rsidR="006E6D7A" w:rsidRDefault="006E6D7A" w14:paraId="67156EA4" w14:textId="77777777"/>
    <w:p w:rsidR="006E6D7A" w:rsidRDefault="00B16C64" w14:paraId="67156EA5" w14:textId="77777777">
      <w:pPr>
        <w:pStyle w:val="Paragraphedeliste"/>
        <w:numPr>
          <w:ilvl w:val="0"/>
          <w:numId w:val="255"/>
        </w:numPr>
      </w:pPr>
      <w:r>
        <w:t>Offre de service pour le Secret Management</w:t>
      </w:r>
    </w:p>
    <w:p w:rsidR="006E6D7A" w:rsidRDefault="00B16C64" w14:paraId="67156EA6" w14:textId="77777777">
      <w:pPr>
        <w:pStyle w:val="Paragraphedeliste"/>
        <w:numPr>
          <w:ilvl w:val="0"/>
          <w:numId w:val="255"/>
        </w:numPr>
      </w:pPr>
      <w:r>
        <w:t xml:space="preserve">Aide à la décision d’un artefact </w:t>
      </w:r>
      <w:proofErr w:type="spellStart"/>
      <w:r>
        <w:t>registry</w:t>
      </w:r>
      <w:proofErr w:type="spellEnd"/>
    </w:p>
    <w:p w:rsidR="006E6D7A" w:rsidRDefault="00B16C64" w14:paraId="67156EA7" w14:textId="77777777">
      <w:pPr>
        <w:pStyle w:val="Paragraphedeliste"/>
        <w:numPr>
          <w:ilvl w:val="0"/>
          <w:numId w:val="255"/>
        </w:numPr>
      </w:pPr>
      <w:r>
        <w:t>Stratégie d’harmonisation des usines logicielles/forge</w:t>
      </w:r>
    </w:p>
    <w:p w:rsidR="006E6D7A" w:rsidRDefault="00B16C64" w14:paraId="67156EA8" w14:textId="77777777">
      <w:pPr>
        <w:pStyle w:val="Paragraphedeliste"/>
        <w:numPr>
          <w:ilvl w:val="0"/>
          <w:numId w:val="255"/>
        </w:numPr>
      </w:pPr>
      <w:r>
        <w:t xml:space="preserve">Grille </w:t>
      </w:r>
      <w:proofErr w:type="gramStart"/>
      <w:r>
        <w:t xml:space="preserve">d’évaluation  </w:t>
      </w:r>
      <w:proofErr w:type="spellStart"/>
      <w:r>
        <w:t>DevSecOps</w:t>
      </w:r>
      <w:proofErr w:type="spellEnd"/>
      <w:proofErr w:type="gramEnd"/>
      <w:r>
        <w:t xml:space="preserve"> d’un projet</w:t>
      </w:r>
    </w:p>
    <w:p w:rsidR="006E6D7A" w:rsidRDefault="00B16C64" w14:paraId="67156EA9" w14:textId="77777777">
      <w:pPr>
        <w:pStyle w:val="Paragraphedeliste"/>
        <w:numPr>
          <w:ilvl w:val="0"/>
          <w:numId w:val="255"/>
        </w:numPr>
      </w:pPr>
      <w:r>
        <w:t>Industrialisation de l’offre Orchestration de containers</w:t>
      </w:r>
    </w:p>
    <w:p w:rsidR="006E6D7A" w:rsidRDefault="00B16C64" w14:paraId="67156EAA" w14:textId="77777777">
      <w:pPr>
        <w:pStyle w:val="Titre1"/>
      </w:pPr>
      <w:bookmarkStart w:name="_Toc221095451" w:id="23"/>
      <w:r>
        <w:lastRenderedPageBreak/>
        <w:t>Description d’exemple de plateformes et de produits</w:t>
      </w:r>
      <w:bookmarkEnd w:id="23"/>
    </w:p>
    <w:p w:rsidR="006E6D7A" w:rsidRDefault="006E6D7A" w14:paraId="67156EAB" w14:textId="77777777"/>
    <w:p w:rsidR="006E6D7A" w:rsidRDefault="00B16C64" w14:paraId="67156EAC" w14:textId="77777777">
      <w:r>
        <w:t xml:space="preserve">L’objet de cette partie n’est pas de décrire l’ensemble des plateformes et produits que gèrent les pôles SOLAIRE ou infrastructures (plus de 50) mais de présenter quelques exemples </w:t>
      </w:r>
      <w:proofErr w:type="gramStart"/>
      <w:r>
        <w:t>significatifs  de</w:t>
      </w:r>
      <w:proofErr w:type="gramEnd"/>
      <w:r>
        <w:t xml:space="preserve"> cet accord-cadre multi-technologies afin que le titulaire comprenne les types de projets auxquels il devra contribuer.</w:t>
      </w:r>
    </w:p>
    <w:p w:rsidR="006E6D7A" w:rsidRDefault="006E6D7A" w14:paraId="67156EAD" w14:textId="77777777"/>
    <w:p w:rsidR="006E6D7A" w:rsidRDefault="00B16C64" w14:paraId="67156EAE" w14:textId="77777777">
      <w:pPr>
        <w:pStyle w:val="Titre2"/>
      </w:pPr>
      <w:bookmarkStart w:name="_Toc221095452" w:id="24"/>
      <w:r>
        <w:t>Usine logicielle</w:t>
      </w:r>
      <w:bookmarkEnd w:id="24"/>
    </w:p>
    <w:p w:rsidR="006E6D7A" w:rsidRDefault="00B16C64" w14:paraId="67156EAF" w14:textId="77777777">
      <w:pPr>
        <w:pStyle w:val="Titre3"/>
        <w:numPr>
          <w:ilvl w:val="3"/>
          <w:numId w:val="3"/>
        </w:numPr>
      </w:pPr>
      <w:bookmarkStart w:name="_Toc221095453" w:id="25"/>
      <w:r>
        <w:t>Description</w:t>
      </w:r>
      <w:bookmarkEnd w:id="25"/>
    </w:p>
    <w:p w:rsidR="006E6D7A" w:rsidRDefault="00B16C64" w14:paraId="67156EB0"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 xml:space="preserve">Dans le cycle de vie itératif DevOps lié au développement d’une application, 7 différentes phases sont identifiées : </w:t>
      </w:r>
    </w:p>
    <w:p w:rsidR="006E6D7A" w:rsidRDefault="00B16C64" w14:paraId="67156EB1" w14:textId="77777777">
      <w:pPr>
        <w:pStyle w:val="Paragraphedeliste"/>
        <w:numPr>
          <w:ilvl w:val="0"/>
          <w:numId w:val="94"/>
        </w:numPr>
        <w:pBdr>
          <w:top w:val="none" w:color="000000" w:sz="4" w:space="0"/>
          <w:left w:val="none" w:color="000000" w:sz="4" w:space="0"/>
          <w:bottom w:val="none" w:color="000000" w:sz="4" w:space="0"/>
          <w:right w:val="none" w:color="000000" w:sz="4" w:space="0"/>
        </w:pBdr>
        <w:spacing w:before="221" w:after="0" w:line="240" w:lineRule="auto"/>
      </w:pPr>
      <w:proofErr w:type="gramStart"/>
      <w:r>
        <w:rPr>
          <w:rFonts w:ascii="Arial" w:hAnsi="Arial" w:eastAsia="Arial"/>
          <w:color w:val="000000"/>
        </w:rPr>
        <w:t>planification</w:t>
      </w:r>
      <w:proofErr w:type="gramEnd"/>
      <w:r>
        <w:rPr>
          <w:rFonts w:ascii="Arial" w:hAnsi="Arial" w:eastAsia="Arial"/>
          <w:color w:val="000000"/>
        </w:rPr>
        <w:t xml:space="preserve"> : définition de la valeur métier, à travers la formalisation des besoins</w:t>
      </w:r>
    </w:p>
    <w:p w:rsidR="006E6D7A" w:rsidRDefault="00B16C64" w14:paraId="67156EB2" w14:textId="77777777">
      <w:pPr>
        <w:pStyle w:val="Paragraphedeliste"/>
        <w:numPr>
          <w:ilvl w:val="0"/>
          <w:numId w:val="94"/>
        </w:numPr>
        <w:pBdr>
          <w:top w:val="none" w:color="000000" w:sz="4" w:space="0"/>
          <w:left w:val="none" w:color="000000" w:sz="4" w:space="0"/>
          <w:bottom w:val="none" w:color="000000" w:sz="4" w:space="0"/>
          <w:right w:val="none" w:color="000000" w:sz="4" w:space="0"/>
        </w:pBdr>
        <w:spacing w:after="0" w:line="240" w:lineRule="auto"/>
      </w:pPr>
      <w:proofErr w:type="gramStart"/>
      <w:r>
        <w:rPr>
          <w:rFonts w:ascii="Arial" w:hAnsi="Arial" w:eastAsia="Arial"/>
          <w:color w:val="000000"/>
        </w:rPr>
        <w:t>code</w:t>
      </w:r>
      <w:proofErr w:type="gramEnd"/>
      <w:r>
        <w:rPr>
          <w:rFonts w:ascii="Arial" w:hAnsi="Arial" w:eastAsia="Arial"/>
          <w:color w:val="000000"/>
        </w:rPr>
        <w:t xml:space="preserve"> : conception de l’architecture de l’application et création du code de l’application</w:t>
      </w:r>
    </w:p>
    <w:p w:rsidR="006E6D7A" w:rsidRDefault="00B16C64" w14:paraId="67156EB3" w14:textId="77777777">
      <w:pPr>
        <w:pStyle w:val="Paragraphedeliste"/>
        <w:numPr>
          <w:ilvl w:val="0"/>
          <w:numId w:val="94"/>
        </w:numPr>
        <w:pBdr>
          <w:top w:val="none" w:color="000000" w:sz="4" w:space="0"/>
          <w:left w:val="none" w:color="000000" w:sz="4" w:space="0"/>
          <w:bottom w:val="none" w:color="000000" w:sz="4" w:space="0"/>
          <w:right w:val="none" w:color="000000" w:sz="4" w:space="0"/>
        </w:pBdr>
        <w:spacing w:after="0" w:line="240" w:lineRule="auto"/>
      </w:pPr>
      <w:proofErr w:type="gramStart"/>
      <w:r>
        <w:rPr>
          <w:rFonts w:ascii="Arial" w:hAnsi="Arial" w:eastAsia="Arial"/>
          <w:color w:val="000000"/>
        </w:rPr>
        <w:t>construction</w:t>
      </w:r>
      <w:proofErr w:type="gramEnd"/>
      <w:r>
        <w:rPr>
          <w:rFonts w:ascii="Arial" w:hAnsi="Arial" w:eastAsia="Arial"/>
          <w:color w:val="000000"/>
        </w:rPr>
        <w:t xml:space="preserve"> : gestion des référentiels du code source, ou des packages ainsi que leurs dépendances</w:t>
      </w:r>
    </w:p>
    <w:p w:rsidR="006E6D7A" w:rsidRDefault="00B16C64" w14:paraId="67156EB4" w14:textId="77777777">
      <w:pPr>
        <w:pStyle w:val="Paragraphedeliste"/>
        <w:numPr>
          <w:ilvl w:val="0"/>
          <w:numId w:val="94"/>
        </w:numPr>
        <w:pBdr>
          <w:top w:val="none" w:color="000000" w:sz="4" w:space="0"/>
          <w:left w:val="none" w:color="000000" w:sz="4" w:space="0"/>
          <w:bottom w:val="none" w:color="000000" w:sz="4" w:space="0"/>
          <w:right w:val="none" w:color="000000" w:sz="4" w:space="0"/>
        </w:pBdr>
        <w:spacing w:after="0" w:line="240" w:lineRule="auto"/>
      </w:pPr>
      <w:proofErr w:type="gramStart"/>
      <w:r>
        <w:rPr>
          <w:rFonts w:ascii="Arial" w:hAnsi="Arial" w:eastAsia="Arial"/>
          <w:color w:val="000000"/>
        </w:rPr>
        <w:t>test</w:t>
      </w:r>
      <w:proofErr w:type="gramEnd"/>
      <w:r>
        <w:rPr>
          <w:rFonts w:ascii="Arial" w:hAnsi="Arial" w:eastAsia="Arial"/>
          <w:color w:val="000000"/>
        </w:rPr>
        <w:t xml:space="preserve"> : analyse technique et fonctionnelle de l’application produite suite à son intégration dans un environnement</w:t>
      </w:r>
    </w:p>
    <w:p w:rsidR="006E6D7A" w:rsidRDefault="00B16C64" w14:paraId="67156EB5" w14:textId="77777777">
      <w:pPr>
        <w:pStyle w:val="Paragraphedeliste"/>
        <w:numPr>
          <w:ilvl w:val="0"/>
          <w:numId w:val="94"/>
        </w:numPr>
        <w:pBdr>
          <w:top w:val="none" w:color="000000" w:sz="4" w:space="0"/>
          <w:left w:val="none" w:color="000000" w:sz="4" w:space="0"/>
          <w:bottom w:val="none" w:color="000000" w:sz="4" w:space="0"/>
          <w:right w:val="none" w:color="000000" w:sz="4" w:space="0"/>
        </w:pBdr>
        <w:spacing w:after="0" w:line="240" w:lineRule="auto"/>
      </w:pPr>
      <w:proofErr w:type="gramStart"/>
      <w:r>
        <w:rPr>
          <w:rFonts w:ascii="Arial" w:hAnsi="Arial" w:eastAsia="Arial"/>
          <w:color w:val="000000"/>
        </w:rPr>
        <w:t>publication</w:t>
      </w:r>
      <w:proofErr w:type="gramEnd"/>
      <w:r>
        <w:rPr>
          <w:rFonts w:ascii="Arial" w:hAnsi="Arial" w:eastAsia="Arial"/>
          <w:color w:val="000000"/>
        </w:rPr>
        <w:t xml:space="preserve"> : création des packages ou version de l’application</w:t>
      </w:r>
    </w:p>
    <w:p w:rsidR="006E6D7A" w:rsidRDefault="00B16C64" w14:paraId="67156EB6" w14:textId="77777777">
      <w:pPr>
        <w:pStyle w:val="Paragraphedeliste"/>
        <w:numPr>
          <w:ilvl w:val="0"/>
          <w:numId w:val="94"/>
        </w:numPr>
        <w:pBdr>
          <w:top w:val="none" w:color="000000" w:sz="4" w:space="0"/>
          <w:left w:val="none" w:color="000000" w:sz="4" w:space="0"/>
          <w:bottom w:val="none" w:color="000000" w:sz="4" w:space="0"/>
          <w:right w:val="none" w:color="000000" w:sz="4" w:space="0"/>
        </w:pBdr>
        <w:spacing w:after="0" w:line="240" w:lineRule="auto"/>
      </w:pPr>
      <w:proofErr w:type="gramStart"/>
      <w:r>
        <w:rPr>
          <w:rFonts w:ascii="Arial" w:hAnsi="Arial" w:eastAsia="Arial"/>
          <w:color w:val="000000"/>
        </w:rPr>
        <w:t>déploiement</w:t>
      </w:r>
      <w:proofErr w:type="gramEnd"/>
      <w:r>
        <w:rPr>
          <w:rFonts w:ascii="Arial" w:hAnsi="Arial" w:eastAsia="Arial"/>
          <w:color w:val="000000"/>
        </w:rPr>
        <w:t xml:space="preserve"> : livraison de la version de l’application sur un environnement dédié cible</w:t>
      </w:r>
    </w:p>
    <w:p w:rsidR="006E6D7A" w:rsidRDefault="00B16C64" w14:paraId="67156EB7" w14:textId="77777777">
      <w:pPr>
        <w:pStyle w:val="Paragraphedeliste"/>
        <w:numPr>
          <w:ilvl w:val="0"/>
          <w:numId w:val="94"/>
        </w:numPr>
        <w:pBdr>
          <w:top w:val="none" w:color="000000" w:sz="4" w:space="0"/>
          <w:left w:val="none" w:color="000000" w:sz="4" w:space="0"/>
          <w:bottom w:val="none" w:color="000000" w:sz="4" w:space="0"/>
          <w:right w:val="none" w:color="000000" w:sz="4" w:space="0"/>
        </w:pBdr>
        <w:spacing w:after="0" w:line="240" w:lineRule="auto"/>
      </w:pPr>
      <w:proofErr w:type="gramStart"/>
      <w:r>
        <w:rPr>
          <w:rFonts w:ascii="Arial" w:hAnsi="Arial" w:eastAsia="Arial"/>
          <w:color w:val="000000"/>
        </w:rPr>
        <w:t>exploitation</w:t>
      </w:r>
      <w:proofErr w:type="gramEnd"/>
      <w:r>
        <w:rPr>
          <w:rFonts w:ascii="Arial" w:hAnsi="Arial" w:eastAsia="Arial"/>
          <w:color w:val="000000"/>
        </w:rPr>
        <w:t xml:space="preserve"> : administration et support des applications (en relation étroite avec le lot 2)</w:t>
      </w:r>
    </w:p>
    <w:p w:rsidR="006E6D7A" w:rsidRDefault="00B16C64" w14:paraId="67156EB8" w14:textId="77777777">
      <w:pPr>
        <w:pStyle w:val="Paragraphedeliste"/>
        <w:numPr>
          <w:ilvl w:val="0"/>
          <w:numId w:val="94"/>
        </w:numPr>
        <w:pBdr>
          <w:top w:val="none" w:color="000000" w:sz="4" w:space="0"/>
          <w:left w:val="none" w:color="000000" w:sz="4" w:space="0"/>
          <w:bottom w:val="none" w:color="000000" w:sz="4" w:space="0"/>
          <w:right w:val="none" w:color="000000" w:sz="4" w:space="0"/>
        </w:pBdr>
        <w:spacing w:after="221" w:line="240" w:lineRule="auto"/>
      </w:pPr>
      <w:proofErr w:type="gramStart"/>
      <w:r>
        <w:rPr>
          <w:rFonts w:ascii="Arial" w:hAnsi="Arial" w:eastAsia="Arial"/>
          <w:color w:val="000000"/>
        </w:rPr>
        <w:t>supervision</w:t>
      </w:r>
      <w:proofErr w:type="gramEnd"/>
      <w:r>
        <w:rPr>
          <w:rFonts w:ascii="Arial" w:hAnsi="Arial" w:eastAsia="Arial"/>
          <w:color w:val="000000"/>
        </w:rPr>
        <w:t xml:space="preserve"> : récupération des informations de fonctionnement, gestion des alertes et génération de rapports sur le produit dans son environnement cible</w:t>
      </w:r>
      <w:r>
        <w:t xml:space="preserve"> </w:t>
      </w:r>
      <w:r>
        <w:rPr>
          <w:rFonts w:ascii="Arial" w:hAnsi="Arial" w:eastAsia="Arial"/>
          <w:color w:val="000000"/>
        </w:rPr>
        <w:t xml:space="preserve"> (en relation étroite avec le lot 2)</w:t>
      </w:r>
    </w:p>
    <w:p w:rsidR="006E6D7A" w:rsidRDefault="00B16C64" w14:paraId="67156EB9"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 xml:space="preserve">La démarche </w:t>
      </w:r>
      <w:proofErr w:type="spellStart"/>
      <w:r>
        <w:rPr>
          <w:rFonts w:ascii="Arial" w:hAnsi="Arial" w:eastAsia="Arial" w:cs="Arial"/>
          <w:color w:val="000000"/>
        </w:rPr>
        <w:t>DevSecOps</w:t>
      </w:r>
      <w:proofErr w:type="spellEnd"/>
      <w:r>
        <w:rPr>
          <w:rFonts w:ascii="Arial" w:hAnsi="Arial" w:eastAsia="Arial" w:cs="Arial"/>
          <w:color w:val="000000"/>
        </w:rPr>
        <w:t xml:space="preserve"> intègre la sécurité dans chacune de ces phases. </w:t>
      </w:r>
    </w:p>
    <w:p w:rsidR="006E6D7A" w:rsidRDefault="00B16C64" w14:paraId="67156EBA"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La DSI INRAE s’appuie sur un ensemble d’outils qui constituent une chaîne dans ces différentes phases afin de rationaliser le processus du début jusqu’à la fin, et d’accélérer les étapes du flux de mise en œuvre des logiciels. Ces outils constituent une usine logicielle.</w:t>
      </w:r>
    </w:p>
    <w:p w:rsidR="006E6D7A" w:rsidRDefault="006E6D7A" w14:paraId="67156EBB"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BC"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L’usine logicielle doit permettre d’améliorer l’automatisation dans les processus réguliers et d’assurer la prise en compte de la sécurité dans ces différentes phases.</w:t>
      </w:r>
    </w:p>
    <w:p w:rsidR="006E6D7A" w:rsidRDefault="006E6D7A" w14:paraId="67156EBD"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BE" w14:textId="77777777">
      <w:pPr>
        <w:pBdr>
          <w:top w:val="none" w:color="000000" w:sz="4" w:space="0"/>
          <w:left w:val="none" w:color="000000" w:sz="4" w:space="0"/>
          <w:bottom w:val="none" w:color="000000" w:sz="4" w:space="0"/>
          <w:right w:val="none" w:color="000000" w:sz="4" w:space="0"/>
        </w:pBdr>
        <w:spacing w:after="0"/>
        <w:rPr>
          <w:rFonts w:ascii="Arial" w:hAnsi="Arial" w:cs="Arial"/>
          <w:b/>
          <w:bCs/>
        </w:rPr>
      </w:pPr>
      <w:r>
        <w:rPr>
          <w:rFonts w:ascii="Arial" w:hAnsi="Arial" w:eastAsia="Arial" w:cs="Arial"/>
          <w:b/>
          <w:bCs/>
          <w:sz w:val="24"/>
        </w:rPr>
        <w:t xml:space="preserve">Exemple de l’usine logicielle pour les applications Java/PHP/Javascript </w:t>
      </w:r>
    </w:p>
    <w:p w:rsidR="006E6D7A" w:rsidRDefault="006E6D7A" w14:paraId="67156EBF"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p>
    <w:p w:rsidR="006E6D7A" w:rsidRDefault="00B16C64" w14:paraId="67156EC0"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Les composants de l’usine logicielle ci-après ont été mis en place sur les besoins liés au langage Java. Des adaptations pour les écosystèmes Python, Javascript, PHP et orchestration de conteneurs ont été effectuées ou sont en cours d’évolution.</w:t>
      </w:r>
    </w:p>
    <w:p w:rsidR="006E6D7A" w:rsidRDefault="006E6D7A" w14:paraId="67156EC1"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C2"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Ils sont tous hébergés sur l’infrastructure INRAE.</w:t>
      </w:r>
    </w:p>
    <w:p w:rsidR="006E6D7A" w:rsidRDefault="006E6D7A" w14:paraId="67156EC3"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C4" w14:textId="77777777">
      <w:r>
        <w:rPr>
          <w:rFonts w:ascii="Arial" w:hAnsi="Arial" w:eastAsia="Arial" w:cs="Arial"/>
          <w:noProof/>
          <w:color w:val="000000"/>
        </w:rPr>
        <w:lastRenderedPageBreak/>
        <mc:AlternateContent>
          <mc:Choice Requires="wpg">
            <w:drawing>
              <wp:inline distT="0" distB="0" distL="0" distR="0" wp14:anchorId="67157C0D" wp14:editId="67157C0E">
                <wp:extent cx="5940425" cy="6574994"/>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00143" name=""/>
                        <pic:cNvPicPr>
                          <a:picLocks noChangeAspect="1"/>
                        </pic:cNvPicPr>
                      </pic:nvPicPr>
                      <pic:blipFill rotWithShape="1">
                        <a:blip r:embed="rId39"/>
                        <a:stretch/>
                      </pic:blipFill>
                      <pic:spPr bwMode="auto">
                        <a:xfrm>
                          <a:off x="0" y="0"/>
                          <a:ext cx="5940424" cy="6574993"/>
                        </a:xfrm>
                        <a:prstGeom prst="rect">
                          <a:avLst/>
                        </a:prstGeom>
                      </pic:spPr>
                    </pic:pic>
                  </a:graphicData>
                </a:graphic>
              </wp:inline>
            </w:drawing>
          </mc:Choice>
          <mc:Fallback xmlns:a="http://schemas.openxmlformats.org/drawingml/2006/main">
            <w:pict w14:anchorId="39C98BC6">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2" style="width:467.75pt;height:517.72pt;mso-wrap-distance-left:0.00pt;mso-wrap-distance-top:0.00pt;mso-wrap-distance-right:0.00pt;mso-wrap-distance-bottom:0.00pt;rotation:0;z-index:1;" o:spid="_x0000_s12" stroked="false" type="#_x0000_t75">
                <v:imagedata o:title="" r:id="rId40"/>
                <o:lock v:ext="edit" rotation="t"/>
              </v:shape>
            </w:pict>
          </mc:Fallback>
        </mc:AlternateContent>
      </w:r>
    </w:p>
    <w:p w:rsidR="006E6D7A" w:rsidRDefault="00B16C64" w14:paraId="67156EC5" w14:textId="77777777">
      <w:pPr>
        <w:pStyle w:val="Lgende"/>
      </w:pPr>
      <w:r>
        <w:t xml:space="preserve">Figure </w:t>
      </w:r>
      <w:r>
        <w:fldChar w:fldCharType="begin"/>
      </w:r>
      <w:r>
        <w:instrText xml:space="preserve"> SEQ Figure \* Arabic </w:instrText>
      </w:r>
      <w:r>
        <w:fldChar w:fldCharType="separate"/>
      </w:r>
      <w:r>
        <w:t>1</w:t>
      </w:r>
      <w:r>
        <w:fldChar w:fldCharType="end"/>
      </w:r>
      <w:r>
        <w:t xml:space="preserve"> : Schéma simplifié de l'usine logicielle pour les solutions applicatives </w:t>
      </w:r>
    </w:p>
    <w:p w:rsidR="006E6D7A" w:rsidRDefault="006E6D7A" w14:paraId="67156EC6" w14:textId="77777777"/>
    <w:p w:rsidR="006E6D7A" w:rsidRDefault="00B16C64" w14:paraId="67156EC7" w14:textId="77777777">
      <w:pPr>
        <w:pStyle w:val="Titre3"/>
        <w:numPr>
          <w:ilvl w:val="3"/>
          <w:numId w:val="3"/>
        </w:numPr>
      </w:pPr>
      <w:bookmarkStart w:name="_Toc221095454" w:id="26"/>
      <w:r>
        <w:t>Enjeux</w:t>
      </w:r>
      <w:bookmarkEnd w:id="26"/>
    </w:p>
    <w:p w:rsidR="006E6D7A" w:rsidRDefault="006E6D7A" w14:paraId="67156EC8" w14:textId="77777777">
      <w:pPr>
        <w:pBdr>
          <w:top w:val="none" w:color="000000" w:sz="4" w:space="0"/>
          <w:left w:val="none" w:color="000000" w:sz="4" w:space="0"/>
          <w:bottom w:val="none" w:color="000000" w:sz="4" w:space="0"/>
          <w:right w:val="none" w:color="000000" w:sz="4" w:space="0"/>
        </w:pBdr>
        <w:spacing w:after="0"/>
      </w:pPr>
    </w:p>
    <w:p w:rsidR="006E6D7A" w:rsidRDefault="006E6D7A" w14:paraId="67156EC9"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CA"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 xml:space="preserve">Forge logicielle </w:t>
      </w:r>
      <w:proofErr w:type="spellStart"/>
      <w:r>
        <w:rPr>
          <w:rFonts w:ascii="Arial" w:hAnsi="Arial" w:eastAsia="Arial" w:cs="Arial"/>
          <w:b/>
          <w:color w:val="000000"/>
        </w:rPr>
        <w:t>Gitlab</w:t>
      </w:r>
      <w:proofErr w:type="spellEnd"/>
    </w:p>
    <w:p w:rsidR="006E6D7A" w:rsidRDefault="00B16C64" w14:paraId="67156ECB"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Le cœur de l’usine logicielle est organisé autour de la forge logicielle.</w:t>
      </w:r>
    </w:p>
    <w:p w:rsidR="006E6D7A" w:rsidRDefault="00B16C64" w14:paraId="67156ECC" w14:textId="77777777">
      <w:pPr>
        <w:pBdr>
          <w:top w:val="none" w:color="000000" w:sz="4" w:space="0"/>
          <w:left w:val="none" w:color="000000" w:sz="4" w:space="0"/>
          <w:bottom w:val="none" w:color="000000" w:sz="4" w:space="0"/>
          <w:right w:val="none" w:color="000000" w:sz="4" w:space="0"/>
        </w:pBdr>
        <w:spacing w:after="0"/>
      </w:pPr>
      <w:proofErr w:type="spellStart"/>
      <w:r>
        <w:rPr>
          <w:rFonts w:ascii="Arial" w:hAnsi="Arial" w:eastAsia="Arial" w:cs="Arial"/>
          <w:color w:val="000000"/>
        </w:rPr>
        <w:t>Gitlab</w:t>
      </w:r>
      <w:proofErr w:type="spellEnd"/>
      <w:r>
        <w:rPr>
          <w:rFonts w:ascii="Arial" w:hAnsi="Arial" w:eastAsia="Arial" w:cs="Arial"/>
          <w:color w:val="000000"/>
        </w:rPr>
        <w:t xml:space="preserve"> est utilisé en version Édition Communautaire.</w:t>
      </w:r>
    </w:p>
    <w:p w:rsidR="006E6D7A" w:rsidRDefault="00B16C64" w14:paraId="67156ECD"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Il sert pour l’intégration continue et le déploiement continu.</w:t>
      </w:r>
    </w:p>
    <w:p w:rsidR="006E6D7A" w:rsidRDefault="00B16C64" w14:paraId="67156ECE"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Ce serveur utilise le SSO INRAE pour l’authentification des utilisateurs.</w:t>
      </w:r>
    </w:p>
    <w:p w:rsidR="006E6D7A" w:rsidRDefault="00B16C64" w14:paraId="67156ECF"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Les assignations des utilisateurs aux groupes et leurs permissions sont gérées manuellement par l’équipe en charge de l’usine logicielle.</w:t>
      </w:r>
    </w:p>
    <w:p w:rsidR="006E6D7A" w:rsidRDefault="006E6D7A" w14:paraId="67156ED0"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D1"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 xml:space="preserve">Intégration continue et déploiement avec </w:t>
      </w:r>
      <w:proofErr w:type="spellStart"/>
      <w:r>
        <w:rPr>
          <w:rFonts w:ascii="Arial" w:hAnsi="Arial" w:eastAsia="Arial" w:cs="Arial"/>
          <w:b/>
          <w:color w:val="000000"/>
        </w:rPr>
        <w:t>Gitlab</w:t>
      </w:r>
      <w:proofErr w:type="spellEnd"/>
      <w:r>
        <w:rPr>
          <w:rFonts w:ascii="Arial" w:hAnsi="Arial" w:eastAsia="Arial" w:cs="Arial"/>
          <w:b/>
          <w:color w:val="000000"/>
        </w:rPr>
        <w:t>-CI</w:t>
      </w:r>
    </w:p>
    <w:p w:rsidR="006E6D7A" w:rsidRDefault="00B16C64" w14:paraId="67156ED2" w14:textId="77777777">
      <w:pPr>
        <w:pBdr>
          <w:top w:val="none" w:color="000000" w:sz="4" w:space="0"/>
          <w:left w:val="none" w:color="000000" w:sz="4" w:space="0"/>
          <w:bottom w:val="none" w:color="000000" w:sz="4" w:space="0"/>
          <w:right w:val="none" w:color="000000" w:sz="4" w:space="0"/>
        </w:pBdr>
        <w:spacing w:after="0"/>
        <w:rPr>
          <w:rFonts w:ascii="Arial" w:hAnsi="Arial" w:cs="Arial"/>
        </w:rPr>
      </w:pPr>
      <w:r>
        <w:rPr>
          <w:rFonts w:ascii="Arial" w:hAnsi="Arial" w:eastAsia="Arial" w:cs="Arial"/>
        </w:rPr>
        <w:t xml:space="preserve">L’intégration continue se fait avec </w:t>
      </w:r>
      <w:proofErr w:type="spellStart"/>
      <w:r>
        <w:rPr>
          <w:rFonts w:ascii="Arial" w:hAnsi="Arial" w:eastAsia="Arial" w:cs="Arial"/>
        </w:rPr>
        <w:t>Gitlab</w:t>
      </w:r>
      <w:proofErr w:type="spellEnd"/>
      <w:r>
        <w:rPr>
          <w:rFonts w:ascii="Arial" w:hAnsi="Arial" w:eastAsia="Arial" w:cs="Arial"/>
        </w:rPr>
        <w:t>-CI et Docker sur un serveur mutualisé. Ce serveur est isolé des environnements de production. Il est géré entièrement par l’équipe en charge de l’usine logicielle.</w:t>
      </w:r>
      <w:r>
        <w:rPr>
          <w:rFonts w:ascii="Arial" w:hAnsi="Arial" w:cs="Arial"/>
        </w:rPr>
        <w:t xml:space="preserve"> Des outils, comme Trivy et </w:t>
      </w:r>
      <w:proofErr w:type="spellStart"/>
      <w:r>
        <w:rPr>
          <w:rFonts w:ascii="Arial" w:hAnsi="Arial" w:cs="Arial"/>
        </w:rPr>
        <w:t>Gitleaks</w:t>
      </w:r>
      <w:proofErr w:type="spellEnd"/>
      <w:r>
        <w:rPr>
          <w:rFonts w:ascii="Arial" w:hAnsi="Arial" w:cs="Arial"/>
        </w:rPr>
        <w:t>, sont utilisés et permettent de compléter les analyses de sécurité sur l’intégration continue.</w:t>
      </w:r>
    </w:p>
    <w:p w:rsidR="006E6D7A" w:rsidRDefault="006E6D7A" w14:paraId="67156ED3"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D4" w14:textId="77777777">
      <w:pPr>
        <w:pBdr>
          <w:top w:val="none" w:color="000000" w:sz="4" w:space="0"/>
          <w:left w:val="none" w:color="000000" w:sz="4" w:space="0"/>
          <w:bottom w:val="none" w:color="000000" w:sz="4" w:space="0"/>
          <w:right w:val="none" w:color="000000" w:sz="4" w:space="0"/>
        </w:pBdr>
        <w:spacing w:after="0"/>
        <w:rPr>
          <w:rFonts w:ascii="Arial" w:hAnsi="Arial" w:cs="Arial"/>
        </w:rPr>
      </w:pPr>
      <w:r>
        <w:rPr>
          <w:rFonts w:ascii="Arial" w:hAnsi="Arial" w:eastAsia="Arial" w:cs="Arial"/>
        </w:rPr>
        <w:t xml:space="preserve">Pour l’automatisation des déploiements, chaque produit comporte un serveur </w:t>
      </w:r>
      <w:proofErr w:type="spellStart"/>
      <w:r>
        <w:rPr>
          <w:rFonts w:ascii="Arial" w:hAnsi="Arial" w:eastAsia="Arial" w:cs="Arial"/>
        </w:rPr>
        <w:t>Gitlab</w:t>
      </w:r>
      <w:proofErr w:type="spellEnd"/>
      <w:r>
        <w:rPr>
          <w:rFonts w:ascii="Arial" w:hAnsi="Arial" w:eastAsia="Arial" w:cs="Arial"/>
        </w:rPr>
        <w:t>-CI (</w:t>
      </w:r>
      <w:proofErr w:type="spellStart"/>
      <w:r>
        <w:rPr>
          <w:rFonts w:ascii="Arial" w:hAnsi="Arial" w:eastAsia="Arial" w:cs="Arial"/>
        </w:rPr>
        <w:t>runner</w:t>
      </w:r>
      <w:proofErr w:type="spellEnd"/>
      <w:r>
        <w:rPr>
          <w:rFonts w:ascii="Arial" w:hAnsi="Arial" w:eastAsia="Arial" w:cs="Arial"/>
        </w:rPr>
        <w:t xml:space="preserve">) dédié ayant accès aux </w:t>
      </w:r>
      <w:proofErr w:type="spellStart"/>
      <w:r>
        <w:rPr>
          <w:rFonts w:ascii="Arial" w:hAnsi="Arial" w:eastAsia="Arial" w:cs="Arial"/>
        </w:rPr>
        <w:t>VMs</w:t>
      </w:r>
      <w:proofErr w:type="spellEnd"/>
      <w:r>
        <w:rPr>
          <w:rFonts w:ascii="Arial" w:hAnsi="Arial" w:eastAsia="Arial" w:cs="Arial"/>
        </w:rPr>
        <w:t xml:space="preserve"> des différents environnements. Ce serveur n’est utilisable que par l’équipe en charge du produit. La configuration de ces serveurs est réalisée par l’équipe en charge de l’usine logicielle.</w:t>
      </w:r>
    </w:p>
    <w:p w:rsidR="006E6D7A" w:rsidRDefault="006E6D7A" w14:paraId="67156ED5"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D6"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 xml:space="preserve">Intégration continue Jenkins </w:t>
      </w:r>
    </w:p>
    <w:p w:rsidR="006E6D7A" w:rsidRDefault="00B16C64" w14:paraId="67156ED7"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Jenkins est encore utilisé, en version open source.</w:t>
      </w:r>
    </w:p>
    <w:p w:rsidR="006E6D7A" w:rsidRDefault="00B16C64" w14:paraId="67156ED8"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C’est une instance mutualisée entre les différentes équipes de développement, avec une exécution des jobs en ligne de commande (pas de conteneurs).</w:t>
      </w:r>
    </w:p>
    <w:p w:rsidR="006E6D7A" w:rsidRDefault="00B16C64" w14:paraId="67156ED9"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 xml:space="preserve">Il sert, pour peu d’équipes, à automatiser les </w:t>
      </w:r>
      <w:proofErr w:type="spellStart"/>
      <w:r>
        <w:rPr>
          <w:rFonts w:ascii="Arial" w:hAnsi="Arial" w:eastAsia="Arial" w:cs="Arial"/>
          <w:color w:val="000000"/>
        </w:rPr>
        <w:t>builds</w:t>
      </w:r>
      <w:proofErr w:type="spellEnd"/>
      <w:r>
        <w:rPr>
          <w:rFonts w:ascii="Arial" w:hAnsi="Arial" w:eastAsia="Arial" w:cs="Arial"/>
          <w:color w:val="000000"/>
        </w:rPr>
        <w:t xml:space="preserve"> en exécutant les tests unitaires avec Maven et transmettre le code au composant d’analyse de code.</w:t>
      </w:r>
    </w:p>
    <w:p w:rsidR="006E6D7A" w:rsidRDefault="00B16C64" w14:paraId="67156EDA"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Ce composant est voué à être décommissionné de l’usine logicielle fin 2026.</w:t>
      </w:r>
    </w:p>
    <w:p w:rsidR="006E6D7A" w:rsidRDefault="006E6D7A" w14:paraId="67156EDB"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DC"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 xml:space="preserve">Plateforme d’analyse de la qualité de code </w:t>
      </w:r>
      <w:proofErr w:type="spellStart"/>
      <w:r>
        <w:rPr>
          <w:rFonts w:ascii="Arial" w:hAnsi="Arial" w:eastAsia="Arial" w:cs="Arial"/>
          <w:b/>
          <w:color w:val="000000"/>
        </w:rPr>
        <w:t>SonarQube</w:t>
      </w:r>
      <w:proofErr w:type="spellEnd"/>
    </w:p>
    <w:p w:rsidR="006E6D7A" w:rsidRDefault="00B16C64" w14:paraId="67156EDD"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Cette plateforme permet d’effectuer les analyses de sécurité statiques des applications</w:t>
      </w:r>
      <w:r>
        <w:t>.</w:t>
      </w:r>
    </w:p>
    <w:p w:rsidR="006E6D7A" w:rsidRDefault="00B16C64" w14:paraId="67156EDE" w14:textId="77777777">
      <w:pPr>
        <w:pBdr>
          <w:top w:val="none" w:color="000000" w:sz="4" w:space="0"/>
          <w:left w:val="none" w:color="000000" w:sz="4" w:space="0"/>
          <w:bottom w:val="none" w:color="000000" w:sz="4" w:space="0"/>
          <w:right w:val="none" w:color="000000" w:sz="4" w:space="0"/>
        </w:pBdr>
        <w:spacing w:after="0"/>
      </w:pPr>
      <w:proofErr w:type="spellStart"/>
      <w:r>
        <w:rPr>
          <w:rFonts w:ascii="Arial" w:hAnsi="Arial" w:eastAsia="Arial" w:cs="Arial"/>
          <w:color w:val="000000"/>
        </w:rPr>
        <w:t>SonarQube</w:t>
      </w:r>
      <w:proofErr w:type="spellEnd"/>
      <w:r>
        <w:rPr>
          <w:rFonts w:ascii="Arial" w:hAnsi="Arial" w:eastAsia="Arial" w:cs="Arial"/>
          <w:color w:val="000000"/>
        </w:rPr>
        <w:t xml:space="preserve"> est utilisé avec licence payante afin de couvrir l’ensemble des lignes de code des produits.</w:t>
      </w:r>
    </w:p>
    <w:p w:rsidR="006E6D7A" w:rsidRDefault="006E6D7A" w14:paraId="67156EDF"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E0"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 xml:space="preserve">Gestionnaire d’artefacts Nexus </w:t>
      </w:r>
    </w:p>
    <w:p w:rsidR="006E6D7A" w:rsidRDefault="00B16C64" w14:paraId="67156EE1"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Le composant de gestion des artefacts est Nexus Repository Manager dans sa version open source.</w:t>
      </w:r>
      <w:r>
        <w:rPr>
          <w:rFonts w:ascii="Arial" w:hAnsi="Arial" w:eastAsia="Arial" w:cs="Arial"/>
          <w:color w:val="000000"/>
        </w:rPr>
        <w:br/>
      </w:r>
      <w:r>
        <w:rPr>
          <w:rFonts w:ascii="Arial" w:hAnsi="Arial" w:eastAsia="Arial" w:cs="Arial"/>
          <w:color w:val="000000"/>
        </w:rPr>
        <w:t xml:space="preserve">Il permet le stockage des artefacts Java, des images de conteneur, mais aussi des archives pour des gestionnaires de dépendances comme </w:t>
      </w:r>
      <w:proofErr w:type="spellStart"/>
      <w:r>
        <w:rPr>
          <w:rFonts w:ascii="Arial" w:hAnsi="Arial" w:eastAsia="Arial" w:cs="Arial"/>
          <w:color w:val="000000"/>
        </w:rPr>
        <w:t>npm</w:t>
      </w:r>
      <w:proofErr w:type="spellEnd"/>
      <w:r>
        <w:rPr>
          <w:rFonts w:ascii="Arial" w:hAnsi="Arial" w:eastAsia="Arial" w:cs="Arial"/>
          <w:color w:val="000000"/>
        </w:rPr>
        <w:t xml:space="preserve"> (Node), </w:t>
      </w:r>
      <w:proofErr w:type="spellStart"/>
      <w:r>
        <w:rPr>
          <w:rFonts w:ascii="Arial" w:hAnsi="Arial" w:eastAsia="Arial" w:cs="Arial"/>
          <w:color w:val="000000"/>
        </w:rPr>
        <w:t>pip</w:t>
      </w:r>
      <w:proofErr w:type="spellEnd"/>
      <w:r>
        <w:rPr>
          <w:rFonts w:ascii="Arial" w:hAnsi="Arial" w:eastAsia="Arial" w:cs="Arial"/>
          <w:color w:val="000000"/>
        </w:rPr>
        <w:t xml:space="preserve"> (Python) ou encore composer (PHP).</w:t>
      </w:r>
    </w:p>
    <w:p w:rsidR="006E6D7A" w:rsidRDefault="00B16C64" w14:paraId="67156EE2"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Il est utilisé d’une part pour stocker une copie de tous les artefacts déployés sur les environnements cibles (intégration, production, ...) et d’autre part comme pull-</w:t>
      </w:r>
      <w:proofErr w:type="spellStart"/>
      <w:r>
        <w:rPr>
          <w:rFonts w:ascii="Arial" w:hAnsi="Arial" w:eastAsia="Arial" w:cs="Arial"/>
          <w:color w:val="000000"/>
        </w:rPr>
        <w:t>through</w:t>
      </w:r>
      <w:proofErr w:type="spellEnd"/>
      <w:r>
        <w:rPr>
          <w:rFonts w:ascii="Arial" w:hAnsi="Arial" w:eastAsia="Arial" w:cs="Arial"/>
          <w:color w:val="000000"/>
        </w:rPr>
        <w:t xml:space="preserve"> proxy pour les archives publiques : </w:t>
      </w:r>
      <w:proofErr w:type="spellStart"/>
      <w:r>
        <w:rPr>
          <w:rFonts w:ascii="Arial" w:hAnsi="Arial" w:eastAsia="Arial" w:cs="Arial"/>
          <w:color w:val="000000"/>
        </w:rPr>
        <w:t>maven</w:t>
      </w:r>
      <w:proofErr w:type="spellEnd"/>
      <w:r>
        <w:rPr>
          <w:rFonts w:ascii="Arial" w:hAnsi="Arial" w:eastAsia="Arial" w:cs="Arial"/>
          <w:color w:val="000000"/>
        </w:rPr>
        <w:t xml:space="preserve"> central, </w:t>
      </w:r>
      <w:proofErr w:type="spellStart"/>
      <w:r>
        <w:rPr>
          <w:rFonts w:ascii="Arial" w:hAnsi="Arial" w:eastAsia="Arial" w:cs="Arial"/>
          <w:color w:val="000000"/>
        </w:rPr>
        <w:t>pypi</w:t>
      </w:r>
      <w:proofErr w:type="spellEnd"/>
      <w:r>
        <w:rPr>
          <w:rFonts w:ascii="Arial" w:hAnsi="Arial" w:eastAsia="Arial" w:cs="Arial"/>
          <w:color w:val="000000"/>
        </w:rPr>
        <w:t>, docker hub, npm.js, ...</w:t>
      </w:r>
    </w:p>
    <w:p w:rsidR="006E6D7A" w:rsidRDefault="006E6D7A" w14:paraId="67156EE3"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E4"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Tests automatisés avec Robot-</w:t>
      </w:r>
      <w:proofErr w:type="spellStart"/>
      <w:r>
        <w:rPr>
          <w:rFonts w:ascii="Arial" w:hAnsi="Arial" w:eastAsia="Arial" w:cs="Arial"/>
          <w:b/>
          <w:color w:val="000000"/>
        </w:rPr>
        <w:t>framework</w:t>
      </w:r>
      <w:proofErr w:type="spellEnd"/>
    </w:p>
    <w:p w:rsidR="006E6D7A" w:rsidRDefault="00B16C64" w14:paraId="67156EE5"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 xml:space="preserve">De nombreuses équipes écrivent des tests automatisés en utilisant Robot Framework, </w:t>
      </w:r>
      <w:proofErr w:type="spellStart"/>
      <w:r>
        <w:rPr>
          <w:rFonts w:ascii="Arial" w:hAnsi="Arial" w:eastAsia="Arial" w:cs="Arial"/>
          <w:color w:val="000000"/>
        </w:rPr>
        <w:t>framework</w:t>
      </w:r>
      <w:proofErr w:type="spellEnd"/>
      <w:r>
        <w:rPr>
          <w:rFonts w:ascii="Arial" w:hAnsi="Arial" w:eastAsia="Arial" w:cs="Arial"/>
          <w:color w:val="000000"/>
        </w:rPr>
        <w:t xml:space="preserve"> d'automatisation de tests open source. Il permet d’utiliser une syntaxe simple, compréhensible même lorsque l’utilisateur n’est pas développeur de l’application et génère des rapports au format HTML, lisibles facilement.</w:t>
      </w:r>
    </w:p>
    <w:p w:rsidR="006E6D7A" w:rsidRDefault="00B16C64" w14:paraId="67156EE6"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Il est utilisé pour les tests automatisés de non régression et à terme, pour les tests d’intégration.</w:t>
      </w:r>
    </w:p>
    <w:p w:rsidR="006E6D7A" w:rsidRDefault="00B16C64" w14:paraId="67156EE7"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 xml:space="preserve">Les tests peuvent être exécutés depuis les postes de développeurs ou les serveurs de CI/CD (Jenkins et </w:t>
      </w:r>
      <w:proofErr w:type="spellStart"/>
      <w:r>
        <w:rPr>
          <w:rFonts w:ascii="Arial" w:hAnsi="Arial" w:eastAsia="Arial" w:cs="Arial"/>
          <w:color w:val="000000"/>
        </w:rPr>
        <w:t>Gitlab</w:t>
      </w:r>
      <w:proofErr w:type="spellEnd"/>
      <w:r>
        <w:rPr>
          <w:rFonts w:ascii="Arial" w:hAnsi="Arial" w:eastAsia="Arial" w:cs="Arial"/>
          <w:color w:val="000000"/>
        </w:rPr>
        <w:t>-CI).</w:t>
      </w:r>
    </w:p>
    <w:p w:rsidR="006E6D7A" w:rsidRDefault="006E6D7A" w14:paraId="67156EE8"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E9"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Gestion des tests fonctionnels Squash</w:t>
      </w:r>
      <w:r>
        <w:rPr>
          <w:rFonts w:ascii="Arial" w:hAnsi="Arial" w:eastAsia="Arial" w:cs="Arial"/>
          <w:color w:val="000000"/>
        </w:rPr>
        <w:t xml:space="preserve"> </w:t>
      </w:r>
    </w:p>
    <w:p w:rsidR="006E6D7A" w:rsidRDefault="00B16C64" w14:paraId="67156EEA"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 xml:space="preserve">Les campagnes de tests sont définies sur le produit Squash. Ces campagnes, définies sur différentes applications, visent à permettre de valider que chaque nouvelle version n’amène pas de régression dans les fonctionnalités des applications. </w:t>
      </w:r>
    </w:p>
    <w:p w:rsidR="006E6D7A" w:rsidRDefault="00B16C64" w14:paraId="67156EEB"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Une partie des tests est jouée manuellement.</w:t>
      </w:r>
    </w:p>
    <w:p w:rsidR="006E6D7A" w:rsidRDefault="00B16C64" w14:paraId="67156EEC"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Une évolution à venir est de permettre l’intégration des tests Robot Framework via Squash TM d’ici 2027.</w:t>
      </w:r>
    </w:p>
    <w:p w:rsidR="006E6D7A" w:rsidRDefault="006E6D7A" w14:paraId="67156EED"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EE"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 xml:space="preserve">Ordonnanceur actuel </w:t>
      </w:r>
      <w:proofErr w:type="spellStart"/>
      <w:r>
        <w:rPr>
          <w:rFonts w:ascii="Arial" w:hAnsi="Arial" w:eastAsia="Arial" w:cs="Arial"/>
          <w:b/>
          <w:color w:val="000000"/>
        </w:rPr>
        <w:t>Rundeck</w:t>
      </w:r>
      <w:proofErr w:type="spellEnd"/>
    </w:p>
    <w:p w:rsidR="006E6D7A" w:rsidRDefault="00B16C64" w14:paraId="67156EEF"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 xml:space="preserve">L’usine logicielle comprend un ordonnanceur, </w:t>
      </w:r>
      <w:proofErr w:type="spellStart"/>
      <w:r>
        <w:rPr>
          <w:rFonts w:ascii="Arial" w:hAnsi="Arial" w:eastAsia="Arial" w:cs="Arial"/>
          <w:color w:val="000000"/>
        </w:rPr>
        <w:t>Rundeck</w:t>
      </w:r>
      <w:proofErr w:type="spellEnd"/>
      <w:r>
        <w:rPr>
          <w:rFonts w:ascii="Arial" w:hAnsi="Arial" w:eastAsia="Arial" w:cs="Arial"/>
          <w:color w:val="000000"/>
        </w:rPr>
        <w:t>, en version application libre sous licence Apache 2.0.</w:t>
      </w:r>
    </w:p>
    <w:p w:rsidR="006E6D7A" w:rsidRDefault="00B16C64" w14:paraId="67156EF0"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Ce composant permet la programmation, et l’enchaînement de tâches nécessaires sur les traitements des données par exemple.</w:t>
      </w:r>
    </w:p>
    <w:p w:rsidR="006E6D7A" w:rsidRDefault="00B16C64" w14:paraId="67156EF1"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lastRenderedPageBreak/>
        <w:t>Un nouvel outil sera choisi pour orchestrer les différents jobs permettant le traitement des données entre les produits, ainsi que le rejeu automatique de ces jobs.</w:t>
      </w:r>
    </w:p>
    <w:p w:rsidR="006E6D7A" w:rsidRDefault="006E6D7A" w14:paraId="67156EF2"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F3"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Agrégation des journaux des applications et tableaux de bord ELK</w:t>
      </w:r>
    </w:p>
    <w:p w:rsidR="006E6D7A" w:rsidRDefault="00B16C64" w14:paraId="67156EF4"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 xml:space="preserve">La suite ELK est </w:t>
      </w:r>
      <w:proofErr w:type="gramStart"/>
      <w:r>
        <w:rPr>
          <w:rFonts w:ascii="Arial" w:hAnsi="Arial" w:eastAsia="Arial" w:cs="Arial"/>
          <w:color w:val="000000"/>
        </w:rPr>
        <w:t>composé</w:t>
      </w:r>
      <w:proofErr w:type="gramEnd"/>
      <w:r>
        <w:rPr>
          <w:rFonts w:ascii="Arial" w:hAnsi="Arial" w:eastAsia="Arial" w:cs="Arial"/>
          <w:color w:val="000000"/>
        </w:rPr>
        <w:t xml:space="preserve"> de 3 outils :</w:t>
      </w:r>
    </w:p>
    <w:p w:rsidR="006E6D7A" w:rsidRDefault="00B16C64" w14:paraId="67156EF5"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 xml:space="preserve">• </w:t>
      </w:r>
      <w:proofErr w:type="spellStart"/>
      <w:r>
        <w:rPr>
          <w:rFonts w:ascii="Arial" w:hAnsi="Arial" w:eastAsia="Arial" w:cs="Arial"/>
          <w:color w:val="000000"/>
        </w:rPr>
        <w:t>Logstash</w:t>
      </w:r>
      <w:proofErr w:type="spellEnd"/>
      <w:r>
        <w:rPr>
          <w:rFonts w:ascii="Arial" w:hAnsi="Arial" w:eastAsia="Arial" w:cs="Arial"/>
          <w:color w:val="000000"/>
        </w:rPr>
        <w:t> : traitements des données avant indexation,</w:t>
      </w:r>
    </w:p>
    <w:p w:rsidR="006E6D7A" w:rsidRDefault="00B16C64" w14:paraId="67156EF6"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 xml:space="preserve">• </w:t>
      </w:r>
      <w:proofErr w:type="spellStart"/>
      <w:r>
        <w:rPr>
          <w:rFonts w:ascii="Arial" w:hAnsi="Arial" w:eastAsia="Arial" w:cs="Arial"/>
          <w:color w:val="000000"/>
        </w:rPr>
        <w:t>ElasticSearch</w:t>
      </w:r>
      <w:proofErr w:type="spellEnd"/>
      <w:r>
        <w:rPr>
          <w:rFonts w:ascii="Times New Roman" w:hAnsi="Times New Roman" w:cs="Times New Roman"/>
          <w:color w:val="000000"/>
          <w:sz w:val="24"/>
        </w:rPr>
        <w:t xml:space="preserve"> : </w:t>
      </w:r>
      <w:r>
        <w:rPr>
          <w:rFonts w:ascii="Arial" w:hAnsi="Arial" w:eastAsia="Arial" w:cs="Arial"/>
          <w:color w:val="000000"/>
        </w:rPr>
        <w:t xml:space="preserve">moteur d’analyse et de recherche qui permet d’indexer, de rechercher et d’analyser les données, </w:t>
      </w:r>
    </w:p>
    <w:p w:rsidR="006E6D7A" w:rsidRDefault="00B16C64" w14:paraId="67156EF7" w14:textId="77777777">
      <w:pPr>
        <w:pBdr>
          <w:top w:val="none" w:color="000000" w:sz="4" w:space="0"/>
          <w:left w:val="none" w:color="000000" w:sz="4" w:space="0"/>
          <w:bottom w:val="none" w:color="000000" w:sz="4" w:space="0"/>
          <w:right w:val="none" w:color="000000" w:sz="4" w:space="0"/>
        </w:pBdr>
        <w:spacing w:after="0"/>
        <w:rPr>
          <w:rFonts w:ascii="Arial" w:hAnsi="Arial" w:cs="Arial"/>
        </w:rPr>
      </w:pPr>
      <w:r>
        <w:rPr>
          <w:rFonts w:ascii="Arial" w:hAnsi="Arial" w:eastAsia="Arial" w:cs="Arial"/>
          <w:color w:val="000000"/>
        </w:rPr>
        <w:t xml:space="preserve">• </w:t>
      </w:r>
      <w:proofErr w:type="spellStart"/>
      <w:r>
        <w:rPr>
          <w:rFonts w:ascii="Arial" w:hAnsi="Arial" w:eastAsia="Arial" w:cs="Arial"/>
          <w:color w:val="000000"/>
        </w:rPr>
        <w:t>Kibana</w:t>
      </w:r>
      <w:proofErr w:type="spellEnd"/>
      <w:r>
        <w:rPr>
          <w:rFonts w:ascii="Arial" w:hAnsi="Arial" w:eastAsia="Arial" w:cs="Arial"/>
          <w:color w:val="000000"/>
        </w:rPr>
        <w:t> : application de visualisation des données sous la forme de tableaux de bord.</w:t>
      </w:r>
    </w:p>
    <w:p w:rsidR="006E6D7A" w:rsidRDefault="00B16C64" w14:paraId="67156EF8"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 xml:space="preserve">• </w:t>
      </w:r>
      <w:r>
        <w:rPr>
          <w:rFonts w:ascii="Arial" w:hAnsi="Arial" w:eastAsia="Arial" w:cs="Arial"/>
          <w:color w:val="000000"/>
        </w:rPr>
        <w:t>les informations sont principalement des logs remontés grâce à des agents beats installés sur les serveurs virtuels.</w:t>
      </w:r>
    </w:p>
    <w:p w:rsidR="006E6D7A" w:rsidRDefault="00B16C64" w14:paraId="67156EF9"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La version installée est sous licence.</w:t>
      </w:r>
    </w:p>
    <w:p w:rsidR="006E6D7A" w:rsidRDefault="006E6D7A" w14:paraId="67156EFA"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FB"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Supervision des applications Centreon</w:t>
      </w:r>
    </w:p>
    <w:p w:rsidR="006E6D7A" w:rsidRDefault="00B16C64" w14:paraId="67156EFC"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L’outil de supervision des systèmes et des applications est géré par le service de Production de l’Infrastructure.</w:t>
      </w:r>
    </w:p>
    <w:p w:rsidR="006E6D7A" w:rsidRDefault="00B16C64" w14:paraId="67156EFD"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Les équipes de réalisation demandent l’ajout de sondes applicatives pour surveiller l’état des produits dont elles ont la charge.</w:t>
      </w:r>
    </w:p>
    <w:p w:rsidR="006E6D7A" w:rsidRDefault="006E6D7A" w14:paraId="67156EFE"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EFF"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Automatisation Ansible</w:t>
      </w:r>
    </w:p>
    <w:p w:rsidR="006E6D7A" w:rsidRDefault="00B16C64" w14:paraId="67156F00"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Ansible est qualifié pour automatiser les livraisons des produits du service.</w:t>
      </w:r>
    </w:p>
    <w:p w:rsidR="006E6D7A" w:rsidRDefault="00B16C64" w14:paraId="67156F01"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 xml:space="preserve">Ansible exécute des </w:t>
      </w:r>
      <w:proofErr w:type="spellStart"/>
      <w:r>
        <w:rPr>
          <w:rFonts w:ascii="Arial" w:hAnsi="Arial" w:eastAsia="Arial" w:cs="Arial"/>
          <w:color w:val="000000"/>
        </w:rPr>
        <w:t>playbooks</w:t>
      </w:r>
      <w:proofErr w:type="spellEnd"/>
      <w:r>
        <w:rPr>
          <w:rFonts w:ascii="Arial" w:hAnsi="Arial" w:eastAsia="Arial" w:cs="Arial"/>
          <w:color w:val="000000"/>
        </w:rPr>
        <w:t xml:space="preserve">, constitués de code écrit au format </w:t>
      </w:r>
      <w:proofErr w:type="spellStart"/>
      <w:r>
        <w:rPr>
          <w:rFonts w:ascii="Arial" w:hAnsi="Arial" w:eastAsia="Arial" w:cs="Arial"/>
          <w:color w:val="000000"/>
        </w:rPr>
        <w:t>Yaml</w:t>
      </w:r>
      <w:proofErr w:type="spellEnd"/>
      <w:r>
        <w:rPr>
          <w:rFonts w:ascii="Arial" w:hAnsi="Arial" w:eastAsia="Arial" w:cs="Arial"/>
          <w:color w:val="000000"/>
        </w:rPr>
        <w:t>. Ils décrivent les tâches à exécuter sur les serveurs répertoriés dans un inventaire.</w:t>
      </w:r>
    </w:p>
    <w:p w:rsidR="006E6D7A" w:rsidRDefault="006E6D7A" w14:paraId="67156F02"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F03"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b/>
          <w:color w:val="000000"/>
        </w:rPr>
        <w:t>Conteneurisation sur les serveurs virtuels</w:t>
      </w:r>
    </w:p>
    <w:p w:rsidR="006E6D7A" w:rsidRDefault="00B16C64" w14:paraId="67156F04" w14:textId="77777777">
      <w:pPr>
        <w:pBdr>
          <w:top w:val="none" w:color="000000" w:sz="4" w:space="0"/>
          <w:left w:val="none" w:color="000000" w:sz="4" w:space="0"/>
          <w:bottom w:val="none" w:color="000000" w:sz="4" w:space="0"/>
          <w:right w:val="none" w:color="000000" w:sz="4" w:space="0"/>
        </w:pBdr>
        <w:spacing w:after="0"/>
      </w:pPr>
      <w:r>
        <w:rPr>
          <w:rFonts w:ascii="Arial" w:hAnsi="Arial" w:eastAsia="Arial" w:cs="Arial"/>
          <w:color w:val="000000"/>
        </w:rPr>
        <w:t>L’hébergement étant fait sur des serveurs virtuels Linux sans accès au compte administrateur (root), Docker est utilisé en mode « </w:t>
      </w:r>
      <w:proofErr w:type="spellStart"/>
      <w:r>
        <w:rPr>
          <w:rFonts w:ascii="Arial" w:hAnsi="Arial" w:eastAsia="Arial" w:cs="Arial"/>
          <w:color w:val="000000"/>
        </w:rPr>
        <w:t>rootless</w:t>
      </w:r>
      <w:proofErr w:type="spellEnd"/>
      <w:r>
        <w:rPr>
          <w:rFonts w:ascii="Arial" w:hAnsi="Arial" w:eastAsia="Arial" w:cs="Arial"/>
          <w:color w:val="000000"/>
        </w:rPr>
        <w:t> » avec un compte de service applicatif.</w:t>
      </w:r>
    </w:p>
    <w:p w:rsidR="006E6D7A" w:rsidRDefault="00B16C64" w14:paraId="67156F05" w14:textId="77777777">
      <w:pPr>
        <w:pStyle w:val="Titre3"/>
        <w:numPr>
          <w:ilvl w:val="3"/>
          <w:numId w:val="3"/>
        </w:numPr>
      </w:pPr>
      <w:bookmarkStart w:name="_Toc221095455" w:id="27"/>
      <w:r>
        <w:t>Roadmap</w:t>
      </w:r>
      <w:bookmarkEnd w:id="27"/>
      <w:r>
        <w:t xml:space="preserve"> </w:t>
      </w:r>
    </w:p>
    <w:p w:rsidR="006E6D7A" w:rsidRDefault="00B16C64" w14:paraId="67156F06"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Précisions liminaires : Certains de ces objectifs sont communs avec plusieurs produits évoqués dans cette consultation.</w:t>
      </w:r>
    </w:p>
    <w:p w:rsidR="006E6D7A" w:rsidRDefault="006E6D7A" w14:paraId="67156F07"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p>
    <w:p w:rsidR="006E6D7A" w:rsidRDefault="00B16C64" w14:paraId="67156F08"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Cibles </w:t>
      </w:r>
      <w:proofErr w:type="spellStart"/>
      <w:r>
        <w:rPr>
          <w:rFonts w:ascii="Arial" w:hAnsi="Arial" w:eastAsia="Arial" w:cs="Arial"/>
          <w:color w:val="000000"/>
        </w:rPr>
        <w:t>Build</w:t>
      </w:r>
      <w:proofErr w:type="spellEnd"/>
      <w:r>
        <w:rPr>
          <w:rFonts w:ascii="Arial" w:hAnsi="Arial" w:eastAsia="Arial" w:cs="Arial"/>
          <w:color w:val="000000"/>
        </w:rPr>
        <w:t xml:space="preserve"> usine logicielle : </w:t>
      </w:r>
    </w:p>
    <w:p w:rsidR="006E6D7A" w:rsidRDefault="00B16C64" w14:paraId="67156F09" w14:textId="77777777">
      <w:pPr>
        <w:pStyle w:val="Paragraphedeliste"/>
        <w:numPr>
          <w:ilvl w:val="0"/>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r>
        <w:rPr>
          <w:rFonts w:ascii="Arial" w:hAnsi="Arial" w:eastAsia="Arial"/>
          <w:color w:val="000000"/>
          <w:szCs w:val="22"/>
        </w:rPr>
        <w:t xml:space="preserve">CI/CD : </w:t>
      </w:r>
    </w:p>
    <w:p w:rsidR="006E6D7A" w:rsidRDefault="00B16C64" w14:paraId="67156F0A" w14:textId="77777777">
      <w:pPr>
        <w:pStyle w:val="Paragraphedeliste"/>
        <w:numPr>
          <w:ilvl w:val="1"/>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r>
        <w:rPr>
          <w:rFonts w:ascii="Arial" w:hAnsi="Arial" w:eastAsia="Arial"/>
          <w:color w:val="000000"/>
          <w:szCs w:val="22"/>
        </w:rPr>
        <w:t xml:space="preserve">Migration des pipelines existants de Jenkins vers </w:t>
      </w:r>
      <w:proofErr w:type="spellStart"/>
      <w:r>
        <w:rPr>
          <w:rFonts w:ascii="Arial" w:hAnsi="Arial" w:eastAsia="Arial"/>
          <w:color w:val="000000"/>
          <w:szCs w:val="22"/>
        </w:rPr>
        <w:t>Gitlab</w:t>
      </w:r>
      <w:proofErr w:type="spellEnd"/>
      <w:r>
        <w:rPr>
          <w:rFonts w:ascii="Arial" w:hAnsi="Arial" w:eastAsia="Arial"/>
          <w:color w:val="000000"/>
          <w:szCs w:val="22"/>
        </w:rPr>
        <w:t>-CI, en accompagnement des équipes de développeurs,</w:t>
      </w:r>
    </w:p>
    <w:p w:rsidR="006E6D7A" w:rsidRDefault="00B16C64" w14:paraId="67156F0B" w14:textId="77777777">
      <w:pPr>
        <w:pStyle w:val="Paragraphedeliste"/>
        <w:numPr>
          <w:ilvl w:val="1"/>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r>
        <w:rPr>
          <w:rFonts w:ascii="Arial" w:hAnsi="Arial" w:eastAsia="Arial"/>
          <w:color w:val="000000"/>
          <w:szCs w:val="22"/>
        </w:rPr>
        <w:t>Création, documentation et maintenance de composants de CI/CD réutilisables pour les tâches les plus fréquentes dans les différents projets, par exemple :</w:t>
      </w:r>
    </w:p>
    <w:p w:rsidR="006E6D7A" w:rsidRDefault="00B16C64" w14:paraId="67156F0C" w14:textId="77777777">
      <w:pPr>
        <w:pStyle w:val="Paragraphedeliste"/>
        <w:numPr>
          <w:ilvl w:val="2"/>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proofErr w:type="spellStart"/>
      <w:proofErr w:type="gramStart"/>
      <w:r>
        <w:rPr>
          <w:rFonts w:ascii="Arial" w:hAnsi="Arial" w:eastAsia="Arial"/>
          <w:color w:val="000000"/>
          <w:szCs w:val="22"/>
        </w:rPr>
        <w:t>build</w:t>
      </w:r>
      <w:proofErr w:type="spellEnd"/>
      <w:proofErr w:type="gramEnd"/>
      <w:r>
        <w:rPr>
          <w:rFonts w:ascii="Arial" w:hAnsi="Arial" w:eastAsia="Arial"/>
          <w:color w:val="000000"/>
          <w:szCs w:val="22"/>
        </w:rPr>
        <w:t xml:space="preserve"> et test d’application Java,</w:t>
      </w:r>
    </w:p>
    <w:p w:rsidR="006E6D7A" w:rsidRDefault="00B16C64" w14:paraId="67156F0D" w14:textId="77777777">
      <w:pPr>
        <w:pStyle w:val="Paragraphedeliste"/>
        <w:numPr>
          <w:ilvl w:val="2"/>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proofErr w:type="gramStart"/>
      <w:r>
        <w:rPr>
          <w:rFonts w:ascii="Arial" w:hAnsi="Arial" w:eastAsia="Arial"/>
          <w:color w:val="000000"/>
          <w:szCs w:val="22"/>
        </w:rPr>
        <w:t>analyses</w:t>
      </w:r>
      <w:proofErr w:type="gramEnd"/>
      <w:r>
        <w:rPr>
          <w:rFonts w:ascii="Arial" w:hAnsi="Arial" w:eastAsia="Arial"/>
          <w:color w:val="000000"/>
          <w:szCs w:val="22"/>
        </w:rPr>
        <w:t xml:space="preserve"> de qualité avec </w:t>
      </w:r>
      <w:proofErr w:type="spellStart"/>
      <w:r>
        <w:rPr>
          <w:rFonts w:ascii="Arial" w:hAnsi="Arial" w:eastAsia="Arial"/>
          <w:color w:val="000000"/>
          <w:szCs w:val="22"/>
        </w:rPr>
        <w:t>SonarQube</w:t>
      </w:r>
      <w:proofErr w:type="spellEnd"/>
      <w:r>
        <w:rPr>
          <w:rFonts w:ascii="Arial" w:hAnsi="Arial" w:eastAsia="Arial"/>
          <w:color w:val="000000"/>
          <w:szCs w:val="22"/>
        </w:rPr>
        <w:t>,</w:t>
      </w:r>
    </w:p>
    <w:p w:rsidR="006E6D7A" w:rsidRDefault="00B16C64" w14:paraId="67156F0E" w14:textId="77777777">
      <w:pPr>
        <w:pStyle w:val="Paragraphedeliste"/>
        <w:numPr>
          <w:ilvl w:val="2"/>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proofErr w:type="gramStart"/>
      <w:r>
        <w:rPr>
          <w:rFonts w:ascii="Arial" w:hAnsi="Arial" w:eastAsia="Arial"/>
          <w:color w:val="000000"/>
          <w:szCs w:val="22"/>
        </w:rPr>
        <w:t>analyses</w:t>
      </w:r>
      <w:proofErr w:type="gramEnd"/>
      <w:r>
        <w:rPr>
          <w:rFonts w:ascii="Arial" w:hAnsi="Arial" w:eastAsia="Arial"/>
          <w:color w:val="000000"/>
          <w:szCs w:val="22"/>
        </w:rPr>
        <w:t xml:space="preserve"> SAST</w:t>
      </w:r>
    </w:p>
    <w:p w:rsidR="006E6D7A" w:rsidRDefault="00B16C64" w14:paraId="67156F0F" w14:textId="77777777">
      <w:pPr>
        <w:pStyle w:val="Paragraphedeliste"/>
        <w:numPr>
          <w:ilvl w:val="2"/>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proofErr w:type="gramStart"/>
      <w:r>
        <w:rPr>
          <w:rFonts w:ascii="Arial" w:hAnsi="Arial" w:eastAsia="Arial"/>
          <w:color w:val="000000"/>
          <w:szCs w:val="22"/>
        </w:rPr>
        <w:t>exécution</w:t>
      </w:r>
      <w:proofErr w:type="gramEnd"/>
      <w:r>
        <w:rPr>
          <w:rFonts w:ascii="Arial" w:hAnsi="Arial" w:eastAsia="Arial"/>
          <w:color w:val="000000"/>
          <w:szCs w:val="22"/>
        </w:rPr>
        <w:t xml:space="preserve"> de </w:t>
      </w:r>
      <w:proofErr w:type="spellStart"/>
      <w:r>
        <w:rPr>
          <w:rFonts w:ascii="Arial" w:hAnsi="Arial" w:eastAsia="Arial"/>
          <w:color w:val="000000"/>
          <w:szCs w:val="22"/>
        </w:rPr>
        <w:t>playbook</w:t>
      </w:r>
      <w:proofErr w:type="spellEnd"/>
      <w:r>
        <w:rPr>
          <w:rFonts w:ascii="Arial" w:hAnsi="Arial" w:eastAsia="Arial"/>
          <w:color w:val="000000"/>
          <w:szCs w:val="22"/>
        </w:rPr>
        <w:t xml:space="preserve"> Ansible</w:t>
      </w:r>
    </w:p>
    <w:p w:rsidR="006E6D7A" w:rsidRDefault="00B16C64" w14:paraId="67156F10" w14:textId="77777777">
      <w:pPr>
        <w:pStyle w:val="Paragraphedeliste"/>
        <w:numPr>
          <w:ilvl w:val="2"/>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r>
        <w:rPr>
          <w:rFonts w:ascii="Arial" w:hAnsi="Arial" w:eastAsia="Arial"/>
          <w:color w:val="000000"/>
          <w:szCs w:val="22"/>
        </w:rPr>
        <w:t>...</w:t>
      </w:r>
    </w:p>
    <w:p w:rsidR="006E6D7A" w:rsidRDefault="00B16C64" w14:paraId="67156F11" w14:textId="77777777">
      <w:pPr>
        <w:pStyle w:val="Paragraphedeliste"/>
        <w:numPr>
          <w:ilvl w:val="1"/>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r>
        <w:rPr>
          <w:rFonts w:ascii="Arial" w:hAnsi="Arial" w:eastAsia="Arial"/>
          <w:color w:val="000000"/>
          <w:szCs w:val="22"/>
        </w:rPr>
        <w:t xml:space="preserve">CD : Définition et mise en </w:t>
      </w:r>
      <w:proofErr w:type="spellStart"/>
      <w:r>
        <w:rPr>
          <w:rFonts w:ascii="Arial" w:hAnsi="Arial" w:eastAsia="Arial"/>
          <w:color w:val="000000"/>
          <w:szCs w:val="22"/>
        </w:rPr>
        <w:t>oeuvre</w:t>
      </w:r>
      <w:proofErr w:type="spellEnd"/>
      <w:r>
        <w:rPr>
          <w:rFonts w:ascii="Arial" w:hAnsi="Arial" w:eastAsia="Arial"/>
          <w:color w:val="000000"/>
          <w:szCs w:val="22"/>
        </w:rPr>
        <w:t xml:space="preserve"> pour garantir un niveau de sécurité avant livraison</w:t>
      </w:r>
    </w:p>
    <w:p w:rsidR="006E6D7A" w:rsidRDefault="00B16C64" w14:paraId="67156F12" w14:textId="77777777">
      <w:pPr>
        <w:pStyle w:val="Paragraphedeliste"/>
        <w:numPr>
          <w:ilvl w:val="0"/>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proofErr w:type="spellStart"/>
      <w:r>
        <w:rPr>
          <w:rFonts w:ascii="Arial" w:hAnsi="Arial" w:eastAsia="Arial"/>
          <w:color w:val="000000"/>
          <w:szCs w:val="22"/>
        </w:rPr>
        <w:t>Terraform</w:t>
      </w:r>
      <w:proofErr w:type="spellEnd"/>
      <w:r>
        <w:rPr>
          <w:rFonts w:ascii="Arial" w:hAnsi="Arial" w:eastAsia="Arial"/>
          <w:color w:val="000000"/>
          <w:szCs w:val="22"/>
        </w:rPr>
        <w:t xml:space="preserve"> : Création et documentation de </w:t>
      </w:r>
      <w:proofErr w:type="spellStart"/>
      <w:r>
        <w:rPr>
          <w:rFonts w:ascii="Arial" w:hAnsi="Arial" w:eastAsia="Arial"/>
          <w:color w:val="000000"/>
          <w:szCs w:val="22"/>
        </w:rPr>
        <w:t>templates</w:t>
      </w:r>
      <w:proofErr w:type="spellEnd"/>
      <w:r>
        <w:rPr>
          <w:rFonts w:ascii="Arial" w:hAnsi="Arial" w:eastAsia="Arial"/>
          <w:color w:val="000000"/>
          <w:szCs w:val="22"/>
        </w:rPr>
        <w:t xml:space="preserve"> </w:t>
      </w:r>
      <w:proofErr w:type="spellStart"/>
      <w:r>
        <w:rPr>
          <w:rFonts w:ascii="Arial" w:hAnsi="Arial" w:eastAsia="Arial"/>
          <w:color w:val="000000"/>
          <w:szCs w:val="22"/>
        </w:rPr>
        <w:t>Terraform</w:t>
      </w:r>
      <w:proofErr w:type="spellEnd"/>
      <w:r>
        <w:rPr>
          <w:rFonts w:ascii="Arial" w:hAnsi="Arial" w:eastAsia="Arial"/>
          <w:color w:val="000000"/>
          <w:szCs w:val="22"/>
        </w:rPr>
        <w:t xml:space="preserve"> avec gabarits</w:t>
      </w:r>
    </w:p>
    <w:p w:rsidR="006E6D7A" w:rsidRDefault="00B16C64" w14:paraId="67156F13" w14:textId="77777777">
      <w:pPr>
        <w:pStyle w:val="Paragraphedeliste"/>
        <w:numPr>
          <w:ilvl w:val="0"/>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r>
        <w:rPr>
          <w:rFonts w:ascii="Arial" w:hAnsi="Arial" w:eastAsia="Arial"/>
          <w:color w:val="000000"/>
          <w:szCs w:val="22"/>
        </w:rPr>
        <w:t xml:space="preserve">Orchestration de container : Étude, qualification et mise en œuvre d’outils pour le monitoring et l’observabilité pour </w:t>
      </w:r>
      <w:proofErr w:type="spellStart"/>
      <w:r>
        <w:rPr>
          <w:rFonts w:ascii="Arial" w:hAnsi="Arial" w:eastAsia="Arial"/>
          <w:color w:val="000000"/>
          <w:szCs w:val="22"/>
        </w:rPr>
        <w:t>Kubernetes</w:t>
      </w:r>
      <w:proofErr w:type="spellEnd"/>
      <w:r>
        <w:rPr>
          <w:rFonts w:ascii="Arial" w:hAnsi="Arial" w:eastAsia="Arial"/>
          <w:color w:val="000000"/>
          <w:szCs w:val="22"/>
        </w:rPr>
        <w:t xml:space="preserve"> (lot 2 de cette consultation</w:t>
      </w:r>
      <w:proofErr w:type="gramStart"/>
      <w:r>
        <w:rPr>
          <w:rFonts w:ascii="Arial" w:hAnsi="Arial" w:eastAsia="Arial"/>
          <w:color w:val="000000"/>
          <w:szCs w:val="22"/>
        </w:rPr>
        <w:t>) .</w:t>
      </w:r>
      <w:proofErr w:type="gramEnd"/>
    </w:p>
    <w:p w:rsidR="006E6D7A" w:rsidRDefault="00B16C64" w14:paraId="67156F14" w14:textId="77777777">
      <w:pPr>
        <w:pStyle w:val="Paragraphedeliste"/>
        <w:numPr>
          <w:ilvl w:val="0"/>
          <w:numId w:val="95"/>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proofErr w:type="spellStart"/>
      <w:r>
        <w:rPr>
          <w:rFonts w:ascii="Arial" w:hAnsi="Arial" w:eastAsia="Arial"/>
          <w:color w:val="000000"/>
          <w:szCs w:val="22"/>
        </w:rPr>
        <w:t>GitOps</w:t>
      </w:r>
      <w:proofErr w:type="spellEnd"/>
      <w:r>
        <w:rPr>
          <w:rFonts w:ascii="Arial" w:hAnsi="Arial" w:eastAsia="Arial"/>
          <w:color w:val="000000"/>
          <w:szCs w:val="22"/>
        </w:rPr>
        <w:t xml:space="preserve"> : Étude, qualification et mise en œuvre du déploiement continu pour </w:t>
      </w:r>
      <w:proofErr w:type="spellStart"/>
      <w:r>
        <w:rPr>
          <w:rFonts w:ascii="Arial" w:hAnsi="Arial" w:eastAsia="Arial"/>
          <w:color w:val="000000"/>
          <w:szCs w:val="22"/>
        </w:rPr>
        <w:t>Kubernetes</w:t>
      </w:r>
      <w:proofErr w:type="spellEnd"/>
      <w:r>
        <w:rPr>
          <w:rFonts w:ascii="Arial" w:hAnsi="Arial" w:eastAsia="Arial"/>
          <w:color w:val="000000"/>
          <w:szCs w:val="22"/>
        </w:rPr>
        <w:t xml:space="preserve"> =&gt; en relation étroite avec le lot 3 de cette consultation.</w:t>
      </w:r>
    </w:p>
    <w:p w:rsidR="006E6D7A" w:rsidRDefault="006E6D7A" w14:paraId="67156F15"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p>
    <w:p w:rsidR="006E6D7A" w:rsidRDefault="00B16C64" w14:paraId="67156F16" w14:textId="77777777">
      <w:pPr>
        <w:pBdr>
          <w:top w:val="none" w:color="000000" w:sz="4" w:space="0"/>
          <w:left w:val="none" w:color="000000" w:sz="4" w:space="0"/>
          <w:bottom w:val="none" w:color="000000" w:sz="4" w:space="0"/>
          <w:right w:val="none" w:color="000000" w:sz="4" w:space="0"/>
        </w:pBdr>
        <w:spacing w:after="0"/>
        <w:rPr>
          <w:rFonts w:ascii="Arial" w:hAnsi="Arial" w:eastAsia="Arial" w:cs="Arial"/>
          <w:color w:val="000000"/>
        </w:rPr>
      </w:pPr>
      <w:r>
        <w:rPr>
          <w:rFonts w:ascii="Arial" w:hAnsi="Arial" w:eastAsia="Arial" w:cs="Arial"/>
          <w:color w:val="000000"/>
        </w:rPr>
        <w:t>Cibles Run usine logicielle (en relation étroite avec le lot 2) :</w:t>
      </w:r>
    </w:p>
    <w:p w:rsidR="006E6D7A" w:rsidRDefault="00B16C64" w14:paraId="67156F17" w14:textId="77777777">
      <w:pPr>
        <w:pStyle w:val="Paragraphedeliste"/>
        <w:numPr>
          <w:ilvl w:val="0"/>
          <w:numId w:val="96"/>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r>
        <w:rPr>
          <w:rFonts w:ascii="Arial" w:hAnsi="Arial" w:eastAsia="Arial"/>
          <w:color w:val="000000"/>
          <w:szCs w:val="22"/>
        </w:rPr>
        <w:t>Logs</w:t>
      </w:r>
    </w:p>
    <w:p w:rsidR="006E6D7A" w:rsidRDefault="00B16C64" w14:paraId="67156F18" w14:textId="77777777">
      <w:pPr>
        <w:pStyle w:val="Paragraphedeliste"/>
        <w:numPr>
          <w:ilvl w:val="0"/>
          <w:numId w:val="96"/>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r>
        <w:rPr>
          <w:rFonts w:ascii="Arial" w:hAnsi="Arial" w:eastAsia="Arial"/>
          <w:color w:val="000000"/>
          <w:szCs w:val="22"/>
        </w:rPr>
        <w:t>Supervision</w:t>
      </w:r>
    </w:p>
    <w:p w:rsidR="006E6D7A" w:rsidRDefault="00B16C64" w14:paraId="67156F19" w14:textId="77777777">
      <w:pPr>
        <w:pStyle w:val="Paragraphedeliste"/>
        <w:numPr>
          <w:ilvl w:val="0"/>
          <w:numId w:val="96"/>
        </w:numPr>
        <w:pBdr>
          <w:top w:val="none" w:color="000000" w:sz="4" w:space="0"/>
          <w:left w:val="none" w:color="000000" w:sz="4" w:space="0"/>
          <w:bottom w:val="none" w:color="000000" w:sz="4" w:space="0"/>
          <w:right w:val="none" w:color="000000" w:sz="4" w:space="0"/>
        </w:pBdr>
        <w:spacing w:after="0" w:line="240" w:lineRule="auto"/>
        <w:rPr>
          <w:rFonts w:ascii="Arial" w:hAnsi="Arial" w:eastAsia="Arial"/>
          <w:color w:val="000000"/>
          <w:szCs w:val="22"/>
        </w:rPr>
      </w:pPr>
      <w:r>
        <w:rPr>
          <w:rFonts w:ascii="Arial" w:hAnsi="Arial" w:eastAsia="Arial"/>
          <w:color w:val="000000"/>
          <w:szCs w:val="22"/>
        </w:rPr>
        <w:lastRenderedPageBreak/>
        <w:t>Monitoring de la donnée (ex : HRA-SINAPS-IDM-PID-SIFAC...)</w:t>
      </w:r>
    </w:p>
    <w:p w:rsidR="006E6D7A" w:rsidRDefault="006E6D7A" w14:paraId="67156F1A"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6F1B" w14:textId="77777777">
      <w:r>
        <w:t>Exemple UML Activité cible envisagée :</w:t>
      </w:r>
    </w:p>
    <w:p w:rsidR="006E6D7A" w:rsidRDefault="00B16C64" w14:paraId="67156F1C" w14:textId="77777777">
      <w:r>
        <w:rPr>
          <w:noProof/>
        </w:rPr>
        <mc:AlternateContent>
          <mc:Choice Requires="wpg">
            <w:drawing>
              <wp:inline distT="0" distB="0" distL="0" distR="0" wp14:anchorId="67157C0F" wp14:editId="67157C10">
                <wp:extent cx="5940425" cy="3182871"/>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129018" name=""/>
                        <pic:cNvPicPr>
                          <a:picLocks noChangeAspect="1"/>
                        </pic:cNvPicPr>
                      </pic:nvPicPr>
                      <pic:blipFill rotWithShape="1">
                        <a:blip r:embed="rId41"/>
                        <a:stretch/>
                      </pic:blipFill>
                      <pic:spPr bwMode="auto">
                        <a:xfrm>
                          <a:off x="0" y="0"/>
                          <a:ext cx="5940424" cy="3182870"/>
                        </a:xfrm>
                        <a:prstGeom prst="rect">
                          <a:avLst/>
                        </a:prstGeom>
                      </pic:spPr>
                    </pic:pic>
                  </a:graphicData>
                </a:graphic>
              </wp:inline>
            </w:drawing>
          </mc:Choice>
          <mc:Fallback xmlns:a="http://schemas.openxmlformats.org/drawingml/2006/main">
            <w:pict w14:anchorId="5A15C36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3" style="width:467.75pt;height:250.62pt;mso-wrap-distance-left:0.00pt;mso-wrap-distance-top:0.00pt;mso-wrap-distance-right:0.00pt;mso-wrap-distance-bottom:0.00pt;rotation:0;z-index:1;" o:spid="_x0000_s13" stroked="false" type="#_x0000_t75">
                <v:imagedata o:title="" r:id="rId42"/>
                <o:lock v:ext="edit" rotation="t"/>
              </v:shape>
            </w:pict>
          </mc:Fallback>
        </mc:AlternateContent>
      </w:r>
    </w:p>
    <w:p w:rsidR="006E6D7A" w:rsidRDefault="006E6D7A" w14:paraId="67156F1D" w14:textId="77777777"/>
    <w:p w:rsidR="006E6D7A" w:rsidRDefault="00B16C64" w14:paraId="67156F1E" w14:textId="77777777">
      <w:r>
        <w:t xml:space="preserve">Le titulaire devra aligner ses infrastructures pour le développement de solutions sur l’usine logicielle actuelle (ici celle de l’écosystème JAVA) et ses évolutions (auxquelles il contribuera) afin d’automatiser l’intégration et maîtriser la qualité de </w:t>
      </w:r>
      <w:proofErr w:type="spellStart"/>
      <w:proofErr w:type="gramStart"/>
      <w:r>
        <w:t>production.De</w:t>
      </w:r>
      <w:proofErr w:type="spellEnd"/>
      <w:proofErr w:type="gramEnd"/>
      <w:r>
        <w:t xml:space="preserve"> manière standard, chaque applicatif dispose d’un environnement de test, d’intégration, de préproduction et de production.</w:t>
      </w:r>
    </w:p>
    <w:p w:rsidR="006E6D7A" w:rsidRDefault="00B16C64" w14:paraId="67156F1F" w14:textId="77777777">
      <w:r>
        <w:t>L’environnement de développement se résume en général au poste du développeur, même si des environnements partagés peuvent exister (notamment sans les containers).</w:t>
      </w:r>
    </w:p>
    <w:p w:rsidR="006E6D7A" w:rsidRDefault="00B16C64" w14:paraId="67156F20" w14:textId="77777777">
      <w:r>
        <w:t xml:space="preserve">Progressivement, les applicatifs vont être adaptés afin d’être déployés dans des conteneurs. Dans un premier temps sur des environnements dédiés avec des technologies comme docker compose et dans un second temps sur des orchestrateurs de conteneurs type </w:t>
      </w:r>
      <w:proofErr w:type="spellStart"/>
      <w:r>
        <w:t>Kubernetes</w:t>
      </w:r>
      <w:proofErr w:type="spellEnd"/>
      <w:r>
        <w:t xml:space="preserve">. Des évolutions vers des déploiements continus ou d’autres solutions d’automatisation sont possibles. L’accès aux ressources INRAE se fait via l’utilisation du service de VPN auquel seront habilités les intervenants du </w:t>
      </w:r>
      <w:proofErr w:type="spellStart"/>
      <w:proofErr w:type="gramStart"/>
      <w:r>
        <w:t>titulaire.Plateformes</w:t>
      </w:r>
      <w:proofErr w:type="spellEnd"/>
      <w:proofErr w:type="gramEnd"/>
      <w:r>
        <w:t xml:space="preserve"> DSI.</w:t>
      </w:r>
    </w:p>
    <w:p w:rsidR="006E6D7A" w:rsidRDefault="006E6D7A" w14:paraId="67156F21" w14:textId="77777777"/>
    <w:p w:rsidR="006E6D7A" w:rsidRDefault="00B16C64" w14:paraId="67156F22" w14:textId="77777777">
      <w:pPr>
        <w:pStyle w:val="Titre2"/>
      </w:pPr>
      <w:bookmarkStart w:name="_Toc221095456" w:id="28"/>
      <w:r>
        <w:t>Plateforme des référentiels d’établissement (SINAPS)</w:t>
      </w:r>
      <w:bookmarkEnd w:id="28"/>
    </w:p>
    <w:p w:rsidR="006E6D7A" w:rsidRDefault="00B16C64" w14:paraId="67156F23"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b/>
          <w:color w:val="000000"/>
        </w:rPr>
        <w:t xml:space="preserve">La plateforme </w:t>
      </w:r>
      <w:proofErr w:type="spellStart"/>
      <w:r>
        <w:rPr>
          <w:rFonts w:ascii="Calibri" w:hAnsi="Calibri" w:eastAsia="Calibri" w:cs="Calibri"/>
          <w:b/>
          <w:color w:val="000000"/>
        </w:rPr>
        <w:t>Sinaps</w:t>
      </w:r>
      <w:proofErr w:type="spellEnd"/>
      <w:r>
        <w:rPr>
          <w:rFonts w:ascii="Calibri" w:hAnsi="Calibri" w:eastAsia="Calibri" w:cs="Calibri"/>
          <w:b/>
          <w:color w:val="000000"/>
        </w:rPr>
        <w:t xml:space="preserve"> est hors périmètre d’expertise et de développement spécifique de cet accord-cadre.</w:t>
      </w:r>
    </w:p>
    <w:p w:rsidR="006E6D7A" w:rsidRDefault="00B16C64" w14:paraId="67156F24"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b/>
          <w:color w:val="000000"/>
        </w:rPr>
        <w:t xml:space="preserve">Le titulaire contribue, au sens équipe intégrée, aux équipes développant l’offre de service de la plateforme </w:t>
      </w:r>
      <w:proofErr w:type="spellStart"/>
      <w:r>
        <w:rPr>
          <w:rFonts w:ascii="Calibri" w:hAnsi="Calibri" w:eastAsia="Calibri" w:cs="Calibri"/>
          <w:b/>
          <w:color w:val="000000"/>
        </w:rPr>
        <w:t>Sinaps</w:t>
      </w:r>
      <w:proofErr w:type="spellEnd"/>
      <w:r>
        <w:rPr>
          <w:rFonts w:ascii="Calibri" w:hAnsi="Calibri" w:eastAsia="Calibri" w:cs="Calibri"/>
          <w:b/>
          <w:color w:val="000000"/>
        </w:rPr>
        <w:t xml:space="preserve"> (notamment sur les compétences possibles d’expert </w:t>
      </w:r>
      <w:proofErr w:type="spellStart"/>
      <w:r>
        <w:rPr>
          <w:rFonts w:ascii="Calibri" w:hAnsi="Calibri" w:eastAsia="Calibri" w:cs="Calibri"/>
          <w:b/>
          <w:color w:val="000000"/>
        </w:rPr>
        <w:t>DevSecOps</w:t>
      </w:r>
      <w:proofErr w:type="spellEnd"/>
      <w:r>
        <w:rPr>
          <w:rFonts w:ascii="Calibri" w:hAnsi="Calibri" w:eastAsia="Calibri" w:cs="Calibri"/>
          <w:b/>
          <w:color w:val="000000"/>
        </w:rPr>
        <w:t xml:space="preserve"> ou d’exploitation)</w:t>
      </w:r>
    </w:p>
    <w:p w:rsidR="006E6D7A" w:rsidRDefault="006E6D7A" w14:paraId="67156F25" w14:textId="77777777"/>
    <w:p w:rsidR="006E6D7A" w:rsidRDefault="00B16C64" w14:paraId="67156F26" w14:textId="77777777">
      <w:pPr>
        <w:pStyle w:val="Titre3"/>
        <w:numPr>
          <w:ilvl w:val="3"/>
          <w:numId w:val="3"/>
        </w:numPr>
      </w:pPr>
      <w:bookmarkStart w:name="_Toc221095457" w:id="29"/>
      <w:r>
        <w:t>Description</w:t>
      </w:r>
      <w:bookmarkEnd w:id="29"/>
    </w:p>
    <w:p w:rsidR="006E6D7A" w:rsidRDefault="00B16C64" w14:paraId="67156F27"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Extrait de la documentation AMUE :</w:t>
      </w:r>
    </w:p>
    <w:p w:rsidR="006E6D7A" w:rsidRDefault="006E6D7A" w14:paraId="67156F28" w14:textId="77777777"/>
    <w:p w:rsidR="006E6D7A" w:rsidRDefault="00B16C64" w14:paraId="67156F29" w14:textId="77777777">
      <w:r>
        <w:rPr>
          <w:noProof/>
        </w:rPr>
        <w:lastRenderedPageBreak/>
        <mc:AlternateContent>
          <mc:Choice Requires="wpg">
            <w:drawing>
              <wp:inline distT="0" distB="0" distL="0" distR="0" wp14:anchorId="67157C11" wp14:editId="67157C12">
                <wp:extent cx="4632597" cy="2566034"/>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4135" name=""/>
                        <pic:cNvPicPr>
                          <a:picLocks noChangeAspect="1"/>
                        </pic:cNvPicPr>
                      </pic:nvPicPr>
                      <pic:blipFill rotWithShape="1">
                        <a:blip r:embed="rId43"/>
                        <a:stretch/>
                      </pic:blipFill>
                      <pic:spPr bwMode="auto">
                        <a:xfrm>
                          <a:off x="0" y="0"/>
                          <a:ext cx="4632596" cy="2566033"/>
                        </a:xfrm>
                        <a:prstGeom prst="rect">
                          <a:avLst/>
                        </a:prstGeom>
                      </pic:spPr>
                    </pic:pic>
                  </a:graphicData>
                </a:graphic>
              </wp:inline>
            </w:drawing>
          </mc:Choice>
          <mc:Fallback xmlns:a="http://schemas.openxmlformats.org/drawingml/2006/main">
            <w:pict w14:anchorId="3969F6D2">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4" style="width:364.77pt;height:202.05pt;mso-wrap-distance-left:0.00pt;mso-wrap-distance-top:0.00pt;mso-wrap-distance-right:0.00pt;mso-wrap-distance-bottom:0.00pt;z-index:1;" o:spid="_x0000_s14" stroked="false" type="#_x0000_t75">
                <v:imagedata o:title="" r:id="rId44"/>
                <o:lock v:ext="edit" rotation="t"/>
              </v:shape>
            </w:pict>
          </mc:Fallback>
        </mc:AlternateContent>
      </w:r>
    </w:p>
    <w:p w:rsidR="006E6D7A" w:rsidRDefault="00B16C64" w14:paraId="67156F2A"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Le référentiel de données ou Master Data Management (MDM) est basé sur la technologie EBX 5.9.</w:t>
      </w:r>
    </w:p>
    <w:p w:rsidR="006E6D7A" w:rsidRDefault="00B16C64" w14:paraId="67156F2B" w14:textId="77777777">
      <w:r>
        <w:rPr>
          <w:rFonts w:ascii="Calibri" w:hAnsi="Calibri" w:eastAsia="Calibri" w:cs="Calibri"/>
          <w:color w:val="000000"/>
        </w:rPr>
        <w:t xml:space="preserve">L’intégration du MDM dans le SI est faite par </w:t>
      </w:r>
      <w:proofErr w:type="gramStart"/>
      <w:r>
        <w:rPr>
          <w:rFonts w:ascii="Calibri" w:hAnsi="Calibri" w:eastAsia="Calibri" w:cs="Calibri"/>
          <w:color w:val="000000"/>
        </w:rPr>
        <w:t>un ESB</w:t>
      </w:r>
      <w:proofErr w:type="gramEnd"/>
      <w:r>
        <w:rPr>
          <w:rFonts w:ascii="Calibri" w:hAnsi="Calibri" w:eastAsia="Calibri" w:cs="Calibri"/>
          <w:color w:val="000000"/>
        </w:rPr>
        <w:t xml:space="preserve"> (Entreprise Service Bus) basé sur la technologie </w:t>
      </w:r>
      <w:proofErr w:type="spellStart"/>
      <w:r>
        <w:rPr>
          <w:rFonts w:ascii="Calibri" w:hAnsi="Calibri" w:eastAsia="Calibri" w:cs="Calibri"/>
          <w:color w:val="000000"/>
        </w:rPr>
        <w:t>iWay</w:t>
      </w:r>
      <w:proofErr w:type="spellEnd"/>
      <w:r>
        <w:rPr>
          <w:rFonts w:ascii="Calibri" w:hAnsi="Calibri" w:eastAsia="Calibri" w:cs="Calibri"/>
          <w:color w:val="000000"/>
        </w:rPr>
        <w:t xml:space="preserve"> 8.</w:t>
      </w:r>
    </w:p>
    <w:p w:rsidR="006E6D7A" w:rsidRDefault="00B16C64" w14:paraId="67156F2C" w14:textId="77777777">
      <w:pPr>
        <w:pStyle w:val="Titre3"/>
        <w:numPr>
          <w:ilvl w:val="3"/>
          <w:numId w:val="3"/>
        </w:numPr>
      </w:pPr>
      <w:bookmarkStart w:name="_Toc221095458" w:id="30"/>
      <w:r>
        <w:t>Enjeux</w:t>
      </w:r>
      <w:bookmarkEnd w:id="30"/>
    </w:p>
    <w:p w:rsidR="006E6D7A" w:rsidRDefault="00B16C64" w14:paraId="67156F2D"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Les enjeux principaux de la mise en place de la plateforme SINAPS réside :</w:t>
      </w:r>
    </w:p>
    <w:p w:rsidR="006E6D7A" w:rsidRDefault="00B16C64" w14:paraId="67156F2E" w14:textId="77777777">
      <w:pPr>
        <w:numPr>
          <w:ilvl w:val="0"/>
          <w:numId w:val="97"/>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Dans un meilleur pilotage de l’établissement avec la capacité de disposer progressivement de données de plus en plus fiables.</w:t>
      </w:r>
    </w:p>
    <w:p w:rsidR="006E6D7A" w:rsidRDefault="00B16C64" w14:paraId="67156F2F" w14:textId="77777777">
      <w:pPr>
        <w:numPr>
          <w:ilvl w:val="0"/>
          <w:numId w:val="97"/>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La capacité de gouvernance des données référentielles (fournie par le socle fondé sur un outil de Master Data Management) par les garants des données</w:t>
      </w:r>
    </w:p>
    <w:p w:rsidR="006E6D7A" w:rsidRDefault="00B16C64" w14:paraId="67156F30" w14:textId="77777777">
      <w:pPr>
        <w:numPr>
          <w:ilvl w:val="0"/>
          <w:numId w:val="97"/>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Une étape fondatrice vers la stratégie à moyen terme de l’établissement autour des solutions mutualisées (SIFAC / SIHAM /</w:t>
      </w:r>
      <w:proofErr w:type="gramStart"/>
      <w:r>
        <w:rPr>
          <w:rFonts w:ascii="Calibri" w:hAnsi="Calibri" w:eastAsia="Calibri" w:cs="Calibri"/>
          <w:color w:val="000000"/>
        </w:rPr>
        <w:t>… )</w:t>
      </w:r>
      <w:proofErr w:type="gramEnd"/>
      <w:r>
        <w:rPr>
          <w:rFonts w:ascii="Calibri" w:hAnsi="Calibri" w:eastAsia="Calibri" w:cs="Calibri"/>
          <w:color w:val="000000"/>
        </w:rPr>
        <w:t xml:space="preserve"> fédérées par SINAPS. </w:t>
      </w:r>
    </w:p>
    <w:p w:rsidR="006E6D7A" w:rsidRDefault="00B16C64" w14:paraId="67156F31" w14:textId="77777777">
      <w:pPr>
        <w:pStyle w:val="Titre3"/>
        <w:numPr>
          <w:ilvl w:val="3"/>
          <w:numId w:val="3"/>
        </w:numPr>
      </w:pPr>
      <w:bookmarkStart w:name="_Toc221095459" w:id="31"/>
      <w:r>
        <w:t>Roadmap</w:t>
      </w:r>
      <w:bookmarkEnd w:id="31"/>
    </w:p>
    <w:p w:rsidR="006E6D7A" w:rsidRDefault="00B16C64" w14:paraId="67156F32"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Le socle de la plateforme SINAPS est piloté et mis en œuvre par </w:t>
      </w:r>
      <w:hyperlink w:tooltip="https://www.amue.fr/pilotage/logiciels/sinaps-1/" w:history="1" r:id="rId45">
        <w:r>
          <w:rPr>
            <w:rStyle w:val="Lienhypertexte"/>
            <w:rFonts w:ascii="Calibri" w:hAnsi="Calibri" w:eastAsia="Calibri" w:cs="Calibri"/>
          </w:rPr>
          <w:t>l’AMUE</w:t>
        </w:r>
      </w:hyperlink>
      <w:r>
        <w:rPr>
          <w:rFonts w:ascii="Calibri" w:hAnsi="Calibri" w:eastAsia="Calibri" w:cs="Calibri"/>
          <w:color w:val="000000"/>
        </w:rPr>
        <w:t xml:space="preserve">. </w:t>
      </w:r>
    </w:p>
    <w:p w:rsidR="006E6D7A" w:rsidRDefault="00B16C64" w14:paraId="67156F33"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INRAE suit et s’adapte à ce socle.</w:t>
      </w:r>
    </w:p>
    <w:p w:rsidR="006E6D7A" w:rsidRDefault="006E6D7A" w14:paraId="67156F34" w14:textId="77777777"/>
    <w:p w:rsidR="006E6D7A" w:rsidRDefault="00B16C64" w14:paraId="67156F35" w14:textId="77777777">
      <w:pPr>
        <w:pStyle w:val="Titre2"/>
      </w:pPr>
      <w:bookmarkStart w:name="_Toc221095460" w:id="32"/>
      <w:r>
        <w:t>Plateforme d’intégration des données (PID)</w:t>
      </w:r>
      <w:bookmarkEnd w:id="32"/>
    </w:p>
    <w:p w:rsidR="006E6D7A" w:rsidRDefault="00B16C64" w14:paraId="67156F36"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b/>
          <w:color w:val="000000"/>
        </w:rPr>
        <w:t>La PID (Plateforme d’Intégration des Données) est incluse dans le périmètre des prestations du présent accord-cadre.</w:t>
      </w:r>
    </w:p>
    <w:p w:rsidR="006E6D7A" w:rsidRDefault="00B16C64" w14:paraId="67156F37"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Le titulaire utilise et développe les produits et services de la Plateforme d’Intégration de Données (PID), en s’adaptant à son évolution régulière.</w:t>
      </w:r>
    </w:p>
    <w:p w:rsidR="006E6D7A" w:rsidRDefault="006E6D7A" w14:paraId="67156F38" w14:textId="77777777"/>
    <w:p w:rsidR="006E6D7A" w:rsidRDefault="00B16C64" w14:paraId="67156F39" w14:textId="77777777">
      <w:pPr>
        <w:pStyle w:val="Titre3"/>
        <w:numPr>
          <w:ilvl w:val="3"/>
          <w:numId w:val="3"/>
        </w:numPr>
      </w:pPr>
      <w:bookmarkStart w:name="_Toc221095461" w:id="33"/>
      <w:r>
        <w:t>Description</w:t>
      </w:r>
      <w:bookmarkEnd w:id="33"/>
    </w:p>
    <w:p w:rsidR="006E6D7A" w:rsidRDefault="00B16C64" w14:paraId="67156F3A"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C’est un bus de service pour l’établissement INRAE ajoutant des fonctionnalités d’agrégation, de recherche et de composition d’information.</w:t>
      </w:r>
    </w:p>
    <w:p w:rsidR="006E6D7A" w:rsidRDefault="00B16C64" w14:paraId="67156F3B" w14:textId="77777777">
      <w:pPr>
        <w:numPr>
          <w:ilvl w:val="0"/>
          <w:numId w:val="99"/>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Fonctionnalité de gestion de messages asynchrones (Middleware </w:t>
      </w:r>
      <w:proofErr w:type="spellStart"/>
      <w:r>
        <w:rPr>
          <w:rFonts w:ascii="Calibri" w:hAnsi="Calibri" w:eastAsia="Calibri" w:cs="Calibri"/>
          <w:color w:val="000000"/>
        </w:rPr>
        <w:t>Oriented</w:t>
      </w:r>
      <w:proofErr w:type="spellEnd"/>
      <w:r>
        <w:rPr>
          <w:rFonts w:ascii="Calibri" w:hAnsi="Calibri" w:eastAsia="Calibri" w:cs="Calibri"/>
          <w:color w:val="000000"/>
        </w:rPr>
        <w:t xml:space="preserve"> Message MOM)</w:t>
      </w:r>
    </w:p>
    <w:p w:rsidR="006E6D7A" w:rsidRDefault="00B16C64" w14:paraId="67156F3C" w14:textId="77777777">
      <w:pPr>
        <w:numPr>
          <w:ilvl w:val="0"/>
          <w:numId w:val="99"/>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lastRenderedPageBreak/>
        <w:t>Fonctionnalité d’exposition de service web au travers d’un API Manager</w:t>
      </w:r>
    </w:p>
    <w:p w:rsidR="006E6D7A" w:rsidRDefault="00B16C64" w14:paraId="67156F3D" w14:textId="77777777">
      <w:pPr>
        <w:numPr>
          <w:ilvl w:val="0"/>
          <w:numId w:val="99"/>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Fonctionnalité de transformation / extraction / adaptation des données via un ETL</w:t>
      </w:r>
    </w:p>
    <w:p w:rsidR="006E6D7A" w:rsidRDefault="00B16C64" w14:paraId="67156F3E" w14:textId="77777777">
      <w:pPr>
        <w:numPr>
          <w:ilvl w:val="0"/>
          <w:numId w:val="99"/>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Fonctionnalité de monitoring et surveillance des processus techniques et métiers</w:t>
      </w:r>
    </w:p>
    <w:p w:rsidR="006E6D7A" w:rsidRDefault="00B16C64" w14:paraId="67156F3F"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La plateforme d’intégration INRAE est donc l’assemblage de composants socles et de produits.</w:t>
      </w:r>
    </w:p>
    <w:p w:rsidR="006E6D7A" w:rsidRDefault="00B16C64" w14:paraId="67156F40" w14:textId="77777777">
      <w:pPr>
        <w:pStyle w:val="Titre3"/>
        <w:numPr>
          <w:ilvl w:val="4"/>
          <w:numId w:val="3"/>
        </w:numPr>
        <w:pBdr>
          <w:top w:val="none" w:color="000000" w:sz="4" w:space="0"/>
          <w:left w:val="none" w:color="000000" w:sz="4" w:space="0"/>
          <w:bottom w:val="none" w:color="000000" w:sz="4" w:space="0"/>
          <w:right w:val="none" w:color="000000" w:sz="4" w:space="0"/>
        </w:pBdr>
        <w:tabs>
          <w:tab w:val="left" w:pos="851"/>
        </w:tabs>
      </w:pPr>
      <w:bookmarkStart w:name="_Toc221095462" w:id="34"/>
      <w:r>
        <w:rPr>
          <w:rFonts w:ascii="Calibri" w:hAnsi="Calibri" w:eastAsia="Calibri" w:cs="Calibri"/>
        </w:rPr>
        <w:t>Usagers de la plateforme PID</w:t>
      </w:r>
      <w:bookmarkEnd w:id="34"/>
    </w:p>
    <w:p w:rsidR="006E6D7A" w:rsidRDefault="00B16C64" w14:paraId="67156F41" w14:textId="77777777">
      <w:pPr>
        <w:numPr>
          <w:ilvl w:val="0"/>
          <w:numId w:val="101"/>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Applications ayant besoin des données partagées au sein du SI INRAE quelle que soit la localisation de l’applicatif (SaaS, PaaS, On </w:t>
      </w:r>
      <w:proofErr w:type="spellStart"/>
      <w:r>
        <w:rPr>
          <w:rFonts w:ascii="Calibri" w:hAnsi="Calibri" w:eastAsia="Calibri" w:cs="Calibri"/>
          <w:color w:val="000000"/>
        </w:rPr>
        <w:t>Premise</w:t>
      </w:r>
      <w:proofErr w:type="spellEnd"/>
      <w:r>
        <w:rPr>
          <w:rFonts w:ascii="Calibri" w:hAnsi="Calibri" w:eastAsia="Calibri" w:cs="Calibri"/>
          <w:color w:val="000000"/>
        </w:rPr>
        <w:t>) pour l’ensemble de l’institut (principalement les applications institutionnelles mais également des unités de recherche)</w:t>
      </w:r>
    </w:p>
    <w:p w:rsidR="006E6D7A" w:rsidRDefault="00B16C64" w14:paraId="67156F42" w14:textId="77777777">
      <w:pPr>
        <w:numPr>
          <w:ilvl w:val="0"/>
          <w:numId w:val="101"/>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Gouvernance de la donnée</w:t>
      </w:r>
    </w:p>
    <w:p w:rsidR="006E6D7A" w:rsidRDefault="00B16C64" w14:paraId="67156F43" w14:textId="77777777">
      <w:pPr>
        <w:numPr>
          <w:ilvl w:val="0"/>
          <w:numId w:val="101"/>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Toute demande d’accès aux données Personnes et/ou Structures passe par un accord de DIAGONAL ou DRH en tant que garant des référentiels d’établissement (Personne, Structures, Mandats, Partenaires, Partenariats) ou par la direction concernée pour leurs données partagées (DIFA pour le référentiel Budgétaire, DIPSO pour Thesaurus, CNUE pour les Infra de recherche …)</w:t>
      </w:r>
    </w:p>
    <w:p w:rsidR="006E6D7A" w:rsidRDefault="00B16C64" w14:paraId="67156F44" w14:textId="77777777">
      <w:r>
        <w:rPr>
          <w:rFonts w:ascii="Calibri" w:hAnsi="Calibri" w:eastAsia="Calibri" w:cs="Calibri"/>
          <w:color w:val="000000"/>
        </w:rPr>
        <w:t>Toute demande d’accès aux autres données passe par un accord du garant des données</w:t>
      </w:r>
    </w:p>
    <w:p w:rsidR="006E6D7A" w:rsidRDefault="006E6D7A" w14:paraId="67156F45" w14:textId="77777777"/>
    <w:p w:rsidR="006E6D7A" w:rsidRDefault="00B16C64" w14:paraId="67156F46" w14:textId="77777777">
      <w:pPr>
        <w:pStyle w:val="Titre3"/>
        <w:numPr>
          <w:ilvl w:val="4"/>
          <w:numId w:val="3"/>
        </w:numPr>
        <w:pBdr>
          <w:top w:val="none" w:color="000000" w:sz="4" w:space="0"/>
          <w:left w:val="none" w:color="000000" w:sz="4" w:space="0"/>
          <w:bottom w:val="none" w:color="000000" w:sz="4" w:space="0"/>
          <w:right w:val="none" w:color="000000" w:sz="4" w:space="0"/>
        </w:pBdr>
        <w:tabs>
          <w:tab w:val="left" w:pos="851"/>
        </w:tabs>
        <w:rPr>
          <w:rFonts w:ascii="Calibri" w:hAnsi="Calibri" w:eastAsia="Calibri" w:cs="Calibri"/>
          <w:szCs w:val="24"/>
        </w:rPr>
      </w:pPr>
      <w:bookmarkStart w:name="_Toc221095463" w:id="35"/>
      <w:r>
        <w:rPr>
          <w:rFonts w:ascii="Calibri" w:hAnsi="Calibri" w:eastAsia="Calibri" w:cs="Calibri"/>
          <w:szCs w:val="24"/>
        </w:rPr>
        <w:t>Les composants de la plateforme PID</w:t>
      </w:r>
      <w:bookmarkEnd w:id="35"/>
    </w:p>
    <w:p w:rsidR="006E6D7A" w:rsidRDefault="00B16C64" w14:paraId="67156F47" w14:textId="77777777">
      <w:r>
        <w:rPr>
          <w:noProof/>
        </w:rPr>
        <mc:AlternateContent>
          <mc:Choice Requires="wpg">
            <w:drawing>
              <wp:inline distT="0" distB="0" distL="0" distR="0" wp14:anchorId="67157C13" wp14:editId="67157C14">
                <wp:extent cx="6120130" cy="3687927"/>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362305" name=""/>
                        <pic:cNvPicPr>
                          <a:picLocks noChangeAspect="1"/>
                        </pic:cNvPicPr>
                      </pic:nvPicPr>
                      <pic:blipFill rotWithShape="1">
                        <a:blip r:embed="rId46"/>
                        <a:stretch/>
                      </pic:blipFill>
                      <pic:spPr bwMode="auto">
                        <a:xfrm>
                          <a:off x="0" y="0"/>
                          <a:ext cx="6120129" cy="3687926"/>
                        </a:xfrm>
                        <a:prstGeom prst="rect">
                          <a:avLst/>
                        </a:prstGeom>
                      </pic:spPr>
                    </pic:pic>
                  </a:graphicData>
                </a:graphic>
              </wp:inline>
            </w:drawing>
          </mc:Choice>
          <mc:Fallback xmlns:a="http://schemas.openxmlformats.org/drawingml/2006/main">
            <w:pict w14:anchorId="4E11A60D">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5" style="width:481.90pt;height:290.39pt;mso-wrap-distance-left:0.00pt;mso-wrap-distance-top:0.00pt;mso-wrap-distance-right:0.00pt;mso-wrap-distance-bottom:0.00pt;z-index:1;" o:spid="_x0000_s15" stroked="false" type="#_x0000_t75">
                <v:imagedata o:title="" r:id="rId47"/>
                <o:lock v:ext="edit" rotation="t"/>
              </v:shape>
            </w:pict>
          </mc:Fallback>
        </mc:AlternateContent>
      </w:r>
    </w:p>
    <w:p w:rsidR="006E6D7A" w:rsidRDefault="00B16C64" w14:paraId="67156F48" w14:textId="77777777">
      <w:pPr>
        <w:numPr>
          <w:ilvl w:val="0"/>
          <w:numId w:val="102"/>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WSO2 v</w:t>
      </w:r>
      <w:proofErr w:type="gramStart"/>
      <w:r>
        <w:rPr>
          <w:rFonts w:ascii="Calibri" w:hAnsi="Calibri" w:eastAsia="Calibri" w:cs="Calibri"/>
          <w:color w:val="000000"/>
        </w:rPr>
        <w:t>4  =</w:t>
      </w:r>
      <w:proofErr w:type="gramEnd"/>
      <w:r>
        <w:rPr>
          <w:rFonts w:ascii="Calibri" w:hAnsi="Calibri" w:eastAsia="Calibri" w:cs="Calibri"/>
          <w:color w:val="000000"/>
        </w:rPr>
        <w:t>&gt; bascule prévue vers Gravitée</w:t>
      </w:r>
    </w:p>
    <w:p w:rsidR="006E6D7A" w:rsidRDefault="00B16C64" w14:paraId="67156F49" w14:textId="77777777">
      <w:pPr>
        <w:numPr>
          <w:ilvl w:val="0"/>
          <w:numId w:val="102"/>
        </w:numPr>
        <w:pBdr>
          <w:top w:val="none" w:color="000000" w:sz="4" w:space="0"/>
          <w:left w:val="none" w:color="000000" w:sz="4" w:space="0"/>
          <w:bottom w:val="none" w:color="000000" w:sz="4" w:space="0"/>
          <w:right w:val="none" w:color="000000" w:sz="4" w:space="0"/>
        </w:pBdr>
      </w:pPr>
      <w:proofErr w:type="spellStart"/>
      <w:r>
        <w:rPr>
          <w:rFonts w:ascii="Calibri" w:hAnsi="Calibri" w:eastAsia="Calibri" w:cs="Calibri"/>
          <w:color w:val="000000"/>
        </w:rPr>
        <w:t>Elastic</w:t>
      </w:r>
      <w:proofErr w:type="spellEnd"/>
      <w:r>
        <w:rPr>
          <w:rFonts w:ascii="Calibri" w:hAnsi="Calibri" w:eastAsia="Calibri" w:cs="Calibri"/>
          <w:color w:val="000000"/>
        </w:rPr>
        <w:t xml:space="preserve"> Stack v8</w:t>
      </w:r>
    </w:p>
    <w:p w:rsidR="006E6D7A" w:rsidRDefault="00B16C64" w14:paraId="67156F4A" w14:textId="77777777">
      <w:pPr>
        <w:numPr>
          <w:ilvl w:val="0"/>
          <w:numId w:val="102"/>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MongoDB v7</w:t>
      </w:r>
    </w:p>
    <w:p w:rsidR="006E6D7A" w:rsidRDefault="00B16C64" w14:paraId="67156F4B" w14:textId="77777777">
      <w:pPr>
        <w:numPr>
          <w:ilvl w:val="0"/>
          <w:numId w:val="102"/>
        </w:numPr>
        <w:pBdr>
          <w:top w:val="none" w:color="000000" w:sz="4" w:space="0"/>
          <w:left w:val="none" w:color="000000" w:sz="4" w:space="0"/>
          <w:bottom w:val="none" w:color="000000" w:sz="4" w:space="0"/>
          <w:right w:val="none" w:color="000000" w:sz="4" w:space="0"/>
        </w:pBdr>
      </w:pPr>
      <w:proofErr w:type="spellStart"/>
      <w:r>
        <w:rPr>
          <w:rFonts w:ascii="Calibri" w:hAnsi="Calibri" w:eastAsia="Calibri" w:cs="Calibri"/>
          <w:color w:val="000000"/>
        </w:rPr>
        <w:t>PostgresSQL</w:t>
      </w:r>
      <w:proofErr w:type="spellEnd"/>
      <w:r>
        <w:rPr>
          <w:rFonts w:ascii="Calibri" w:hAnsi="Calibri" w:eastAsia="Calibri" w:cs="Calibri"/>
          <w:color w:val="000000"/>
        </w:rPr>
        <w:t xml:space="preserve"> v15 </w:t>
      </w:r>
    </w:p>
    <w:p w:rsidR="006E6D7A" w:rsidRDefault="00B16C64" w14:paraId="67156F4C" w14:textId="77777777">
      <w:pPr>
        <w:numPr>
          <w:ilvl w:val="0"/>
          <w:numId w:val="102"/>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Talend v8</w:t>
      </w:r>
    </w:p>
    <w:p w:rsidR="006E6D7A" w:rsidRDefault="00B16C64" w14:paraId="67156F4D" w14:textId="77777777">
      <w:pPr>
        <w:numPr>
          <w:ilvl w:val="0"/>
          <w:numId w:val="102"/>
        </w:numPr>
        <w:pBdr>
          <w:top w:val="none" w:color="000000" w:sz="4" w:space="0"/>
          <w:left w:val="none" w:color="000000" w:sz="4" w:space="0"/>
          <w:bottom w:val="none" w:color="000000" w:sz="4" w:space="0"/>
          <w:right w:val="none" w:color="000000" w:sz="4" w:space="0"/>
        </w:pBdr>
      </w:pPr>
      <w:proofErr w:type="spellStart"/>
      <w:r>
        <w:rPr>
          <w:rFonts w:ascii="Calibri" w:hAnsi="Calibri" w:eastAsia="Calibri" w:cs="Calibri"/>
          <w:color w:val="000000"/>
        </w:rPr>
        <w:lastRenderedPageBreak/>
        <w:t>ActiveMq</w:t>
      </w:r>
      <w:proofErr w:type="spellEnd"/>
      <w:r>
        <w:rPr>
          <w:rFonts w:ascii="Calibri" w:hAnsi="Calibri" w:eastAsia="Calibri" w:cs="Calibri"/>
          <w:color w:val="000000"/>
        </w:rPr>
        <w:t xml:space="preserve"> </w:t>
      </w:r>
      <w:proofErr w:type="spellStart"/>
      <w:r>
        <w:rPr>
          <w:rFonts w:ascii="Calibri" w:hAnsi="Calibri" w:eastAsia="Calibri" w:cs="Calibri"/>
          <w:color w:val="000000"/>
        </w:rPr>
        <w:t>Artemis</w:t>
      </w:r>
      <w:proofErr w:type="spellEnd"/>
      <w:r>
        <w:rPr>
          <w:rFonts w:ascii="Calibri" w:hAnsi="Calibri" w:eastAsia="Calibri" w:cs="Calibri"/>
          <w:color w:val="000000"/>
        </w:rPr>
        <w:t xml:space="preserve"> v2</w:t>
      </w:r>
    </w:p>
    <w:p w:rsidR="006E6D7A" w:rsidRDefault="00B16C64" w14:paraId="67156F4E" w14:textId="77777777">
      <w:pPr>
        <w:numPr>
          <w:ilvl w:val="0"/>
          <w:numId w:val="102"/>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JAVA v17 </w:t>
      </w:r>
    </w:p>
    <w:p w:rsidR="006E6D7A" w:rsidRDefault="006E6D7A" w14:paraId="67156F4F" w14:textId="77777777"/>
    <w:p w:rsidR="006E6D7A" w:rsidRDefault="00B16C64" w14:paraId="67156F50" w14:textId="77777777">
      <w:pPr>
        <w:pStyle w:val="Titre3"/>
        <w:numPr>
          <w:ilvl w:val="3"/>
          <w:numId w:val="3"/>
        </w:numPr>
      </w:pPr>
      <w:bookmarkStart w:name="_Toc221095464" w:id="36"/>
      <w:r>
        <w:t>Enjeux</w:t>
      </w:r>
      <w:bookmarkEnd w:id="36"/>
    </w:p>
    <w:p w:rsidR="006E6D7A" w:rsidRDefault="00B16C64" w14:paraId="67156F51" w14:textId="77777777">
      <w:pPr>
        <w:numPr>
          <w:ilvl w:val="0"/>
          <w:numId w:val="98"/>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S’inscrire dans une architecture d’établissement orienté service, permettant d’exposer les données </w:t>
      </w:r>
    </w:p>
    <w:p w:rsidR="006E6D7A" w:rsidRDefault="00B16C64" w14:paraId="67156F52" w14:textId="77777777">
      <w:pPr>
        <w:numPr>
          <w:ilvl w:val="0"/>
          <w:numId w:val="98"/>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Désynchronisation entre la production et la consommation des données (principe Command and </w:t>
      </w:r>
      <w:proofErr w:type="spellStart"/>
      <w:r>
        <w:rPr>
          <w:rFonts w:ascii="Calibri" w:hAnsi="Calibri" w:eastAsia="Calibri" w:cs="Calibri"/>
          <w:color w:val="000000"/>
        </w:rPr>
        <w:t>Query</w:t>
      </w:r>
      <w:proofErr w:type="spellEnd"/>
      <w:r>
        <w:rPr>
          <w:rFonts w:ascii="Calibri" w:hAnsi="Calibri" w:eastAsia="Calibri" w:cs="Calibri"/>
          <w:color w:val="000000"/>
        </w:rPr>
        <w:t xml:space="preserve"> </w:t>
      </w:r>
      <w:proofErr w:type="spellStart"/>
      <w:r>
        <w:rPr>
          <w:rFonts w:ascii="Calibri" w:hAnsi="Calibri" w:eastAsia="Calibri" w:cs="Calibri"/>
          <w:color w:val="000000"/>
        </w:rPr>
        <w:t>Responsibility</w:t>
      </w:r>
      <w:proofErr w:type="spellEnd"/>
      <w:r>
        <w:rPr>
          <w:rFonts w:ascii="Calibri" w:hAnsi="Calibri" w:eastAsia="Calibri" w:cs="Calibri"/>
          <w:color w:val="000000"/>
        </w:rPr>
        <w:t xml:space="preserve"> </w:t>
      </w:r>
      <w:proofErr w:type="spellStart"/>
      <w:r>
        <w:rPr>
          <w:rFonts w:ascii="Calibri" w:hAnsi="Calibri" w:eastAsia="Calibri" w:cs="Calibri"/>
          <w:color w:val="000000"/>
        </w:rPr>
        <w:t>Segregation</w:t>
      </w:r>
      <w:proofErr w:type="spellEnd"/>
      <w:r>
        <w:rPr>
          <w:rFonts w:ascii="Calibri" w:hAnsi="Calibri" w:eastAsia="Calibri" w:cs="Calibri"/>
          <w:color w:val="000000"/>
        </w:rPr>
        <w:t xml:space="preserve"> (CQRS))</w:t>
      </w:r>
    </w:p>
    <w:p w:rsidR="006E6D7A" w:rsidRDefault="00B16C64" w14:paraId="67156F53" w14:textId="77777777">
      <w:pPr>
        <w:numPr>
          <w:ilvl w:val="0"/>
          <w:numId w:val="98"/>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Permet d'avoir la certitude de disposer de la dernière donnée rafraîchie même si on n'accède pas au SI garant de la donnée</w:t>
      </w:r>
    </w:p>
    <w:p w:rsidR="006E6D7A" w:rsidRDefault="00B16C64" w14:paraId="67156F54" w14:textId="77777777">
      <w:pPr>
        <w:numPr>
          <w:ilvl w:val="0"/>
          <w:numId w:val="98"/>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La donnée sera toujours fournie même si elle n'est pas à son meilleur degré de fraîcheur </w:t>
      </w:r>
    </w:p>
    <w:p w:rsidR="006E6D7A" w:rsidRDefault="00B16C64" w14:paraId="67156F55" w14:textId="77777777">
      <w:pPr>
        <w:numPr>
          <w:ilvl w:val="0"/>
          <w:numId w:val="98"/>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Les données dans la plateforme d'intégration ne concernent pas uniquement des données référentielles</w:t>
      </w:r>
    </w:p>
    <w:p w:rsidR="006E6D7A" w:rsidRDefault="00B16C64" w14:paraId="67156F56" w14:textId="77777777">
      <w:pPr>
        <w:numPr>
          <w:ilvl w:val="0"/>
          <w:numId w:val="98"/>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Agrège les données provenant de différents fournisseurs afin de restituer un tout cohérent</w:t>
      </w:r>
    </w:p>
    <w:p w:rsidR="006E6D7A" w:rsidRDefault="00B16C64" w14:paraId="67156F57" w14:textId="77777777">
      <w:pPr>
        <w:numPr>
          <w:ilvl w:val="0"/>
          <w:numId w:val="98"/>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Dans l’architecture INRAE, seule la plateforme d’intégration à vocation à partager les données réutilisables dans de multiples contextes (ex : un client récupérant des données référentielles n’est pas habilité à les redistribuer à un autre applicatif).</w:t>
      </w:r>
    </w:p>
    <w:p w:rsidR="006E6D7A" w:rsidRDefault="00B16C64" w14:paraId="67156F58" w14:textId="77777777">
      <w:pPr>
        <w:numPr>
          <w:ilvl w:val="0"/>
          <w:numId w:val="98"/>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Fournir la documentation et les outils techniques pour consommer et exploiter les données exposées</w:t>
      </w:r>
    </w:p>
    <w:p w:rsidR="006E6D7A" w:rsidRDefault="00B16C64" w14:paraId="67156F59" w14:textId="77777777">
      <w:pPr>
        <w:numPr>
          <w:ilvl w:val="0"/>
          <w:numId w:val="98"/>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S’inscrire dans une architecture orientée événements en permettant la diffusion et le rejeu d’événements Métiers.</w:t>
      </w:r>
    </w:p>
    <w:p w:rsidR="006E6D7A" w:rsidRDefault="00B16C64" w14:paraId="67156F5A" w14:textId="77777777">
      <w:pPr>
        <w:pStyle w:val="Titre3"/>
        <w:numPr>
          <w:ilvl w:val="3"/>
          <w:numId w:val="3"/>
        </w:numPr>
      </w:pPr>
      <w:bookmarkStart w:name="_Toc221095465" w:id="37"/>
      <w:r>
        <w:t>Roadmap</w:t>
      </w:r>
      <w:bookmarkEnd w:id="37"/>
    </w:p>
    <w:p w:rsidR="006E6D7A" w:rsidRDefault="00B16C64" w14:paraId="67156F5B" w14:textId="77777777">
      <w:pPr>
        <w:pStyle w:val="Titre4"/>
        <w:numPr>
          <w:ilvl w:val="4"/>
          <w:numId w:val="3"/>
        </w:numPr>
        <w:pBdr>
          <w:top w:val="none" w:color="000000" w:sz="4" w:space="0"/>
          <w:left w:val="none" w:color="000000" w:sz="4" w:space="0"/>
          <w:bottom w:val="none" w:color="000000" w:sz="4" w:space="0"/>
          <w:right w:val="none" w:color="000000" w:sz="4" w:space="0"/>
        </w:pBdr>
        <w:tabs>
          <w:tab w:val="left" w:pos="1134"/>
        </w:tabs>
      </w:pPr>
      <w:r>
        <w:rPr>
          <w:rFonts w:ascii="Calibri" w:hAnsi="Calibri" w:eastAsia="Calibri" w:cs="Calibri"/>
        </w:rPr>
        <w:t>Sur sa partie socle technique</w:t>
      </w:r>
    </w:p>
    <w:p w:rsidR="006E6D7A" w:rsidRDefault="00B16C64" w14:paraId="67156F5C" w14:textId="77777777">
      <w:pPr>
        <w:numPr>
          <w:ilvl w:val="0"/>
          <w:numId w:val="10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Evolution de son socle (respect de la maintenabilité, de la sécurité, de la performance)</w:t>
      </w:r>
    </w:p>
    <w:p w:rsidR="006E6D7A" w:rsidRDefault="00B16C64" w14:paraId="67156F5D" w14:textId="77777777">
      <w:pPr>
        <w:numPr>
          <w:ilvl w:val="0"/>
          <w:numId w:val="10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Améliorer ses performances intrinsèques (PCA, scalabilité)</w:t>
      </w:r>
    </w:p>
    <w:p w:rsidR="006E6D7A" w:rsidRDefault="00B16C64" w14:paraId="67156F5E" w14:textId="77777777">
      <w:pPr>
        <w:numPr>
          <w:ilvl w:val="0"/>
          <w:numId w:val="10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Améliorer l’ordonnancement des traitements</w:t>
      </w:r>
    </w:p>
    <w:p w:rsidR="006E6D7A" w:rsidRDefault="00B16C64" w14:paraId="67156F5F" w14:textId="77777777">
      <w:pPr>
        <w:numPr>
          <w:ilvl w:val="0"/>
          <w:numId w:val="10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Gestion de l’obsolescence de l’infrastructure (OS, VM …</w:t>
      </w:r>
      <w:proofErr w:type="gramStart"/>
      <w:r>
        <w:rPr>
          <w:rFonts w:ascii="Calibri" w:hAnsi="Calibri" w:eastAsia="Calibri" w:cs="Calibri"/>
          <w:color w:val="000000"/>
        </w:rPr>
        <w:t>),langages</w:t>
      </w:r>
      <w:proofErr w:type="gramEnd"/>
      <w:r>
        <w:rPr>
          <w:rFonts w:ascii="Calibri" w:hAnsi="Calibri" w:eastAsia="Calibri" w:cs="Calibri"/>
          <w:color w:val="000000"/>
        </w:rPr>
        <w:t xml:space="preserve"> (JAVA 21)</w:t>
      </w:r>
      <w:r>
        <w:t xml:space="preserve">, </w:t>
      </w:r>
      <w:proofErr w:type="spellStart"/>
      <w:r>
        <w:t>bdd</w:t>
      </w:r>
      <w:proofErr w:type="spellEnd"/>
      <w:r>
        <w:t xml:space="preserve"> (</w:t>
      </w:r>
      <w:proofErr w:type="spellStart"/>
      <w:r>
        <w:t>PostgreSql</w:t>
      </w:r>
      <w:proofErr w:type="spellEnd"/>
      <w:r>
        <w:t xml:space="preserve"> v17)</w:t>
      </w:r>
    </w:p>
    <w:p w:rsidR="006E6D7A" w:rsidRDefault="00B16C64" w14:paraId="67156F60" w14:textId="77777777">
      <w:pPr>
        <w:pStyle w:val="Titre4"/>
        <w:numPr>
          <w:ilvl w:val="4"/>
          <w:numId w:val="3"/>
        </w:numPr>
        <w:pBdr>
          <w:top w:val="none" w:color="000000" w:sz="4" w:space="0"/>
          <w:left w:val="none" w:color="000000" w:sz="4" w:space="0"/>
          <w:bottom w:val="none" w:color="000000" w:sz="4" w:space="0"/>
          <w:right w:val="none" w:color="000000" w:sz="4" w:space="0"/>
        </w:pBdr>
        <w:tabs>
          <w:tab w:val="left" w:pos="1134"/>
        </w:tabs>
      </w:pPr>
      <w:r>
        <w:rPr>
          <w:rFonts w:ascii="Calibri" w:hAnsi="Calibri" w:eastAsia="Calibri" w:cs="Calibri"/>
        </w:rPr>
        <w:t>Sur sa partie exposition</w:t>
      </w:r>
    </w:p>
    <w:p w:rsidR="006E6D7A" w:rsidRDefault="00B16C64" w14:paraId="67156F61" w14:textId="77777777">
      <w:pPr>
        <w:numPr>
          <w:ilvl w:val="0"/>
          <w:numId w:val="10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Elargir le scope de ses fonctionnalités (basculer de l’information J+1 à H+1), fournir différents scopes de données (anticipées, historisées, dernière information disponible) en s’intégrant avec l’évolution du SI Décisionnel</w:t>
      </w:r>
    </w:p>
    <w:p w:rsidR="006E6D7A" w:rsidRDefault="00B16C64" w14:paraId="67156F62" w14:textId="77777777">
      <w:pPr>
        <w:numPr>
          <w:ilvl w:val="0"/>
          <w:numId w:val="10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Continuer à élargir le nombre de fournisseurs de données du SI INRAE</w:t>
      </w:r>
    </w:p>
    <w:p w:rsidR="006E6D7A" w:rsidRDefault="00B16C64" w14:paraId="67156F63" w14:textId="77777777">
      <w:pPr>
        <w:numPr>
          <w:ilvl w:val="0"/>
          <w:numId w:val="10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Améliorer la documentation, diffusion et gouvernance des API Asynchrones</w:t>
      </w:r>
    </w:p>
    <w:p w:rsidR="006E6D7A" w:rsidRDefault="00B16C64" w14:paraId="67156F64" w14:textId="77777777">
      <w:pPr>
        <w:numPr>
          <w:ilvl w:val="0"/>
          <w:numId w:val="10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Renforcer et élargir le service de diffusion d’événements métiers</w:t>
      </w:r>
    </w:p>
    <w:p w:rsidR="006E6D7A" w:rsidRDefault="006E6D7A" w14:paraId="67156F65" w14:textId="77777777"/>
    <w:p w:rsidR="006E6D7A" w:rsidRDefault="00B16C64" w14:paraId="67156F66" w14:textId="77777777">
      <w:pPr>
        <w:pStyle w:val="Titre3"/>
        <w:numPr>
          <w:ilvl w:val="3"/>
          <w:numId w:val="3"/>
        </w:numPr>
        <w:pBdr>
          <w:top w:val="none" w:color="000000" w:sz="4" w:space="0"/>
          <w:left w:val="none" w:color="000000" w:sz="4" w:space="0"/>
          <w:bottom w:val="none" w:color="000000" w:sz="4" w:space="0"/>
          <w:right w:val="none" w:color="000000" w:sz="4" w:space="0"/>
        </w:pBdr>
        <w:tabs>
          <w:tab w:val="left" w:pos="851"/>
        </w:tabs>
      </w:pPr>
      <w:bookmarkStart w:name="_Toc221095466" w:id="38"/>
      <w:r>
        <w:rPr>
          <w:rFonts w:ascii="Calibri" w:hAnsi="Calibri" w:eastAsia="Calibri" w:cs="Calibri"/>
        </w:rPr>
        <w:lastRenderedPageBreak/>
        <w:t>Les produits de la plateforme PID</w:t>
      </w:r>
      <w:bookmarkEnd w:id="38"/>
    </w:p>
    <w:p w:rsidR="006E6D7A" w:rsidRDefault="00B16C64" w14:paraId="67156F67" w14:textId="77777777">
      <w:pPr>
        <w:pStyle w:val="Titre4"/>
        <w:numPr>
          <w:ilvl w:val="4"/>
          <w:numId w:val="3"/>
        </w:numPr>
        <w:pBdr>
          <w:top w:val="none" w:color="000000" w:sz="4" w:space="0"/>
          <w:left w:val="none" w:color="000000" w:sz="4" w:space="0"/>
          <w:bottom w:val="none" w:color="000000" w:sz="4" w:space="0"/>
          <w:right w:val="none" w:color="000000" w:sz="4" w:space="0"/>
        </w:pBdr>
        <w:tabs>
          <w:tab w:val="left" w:pos="1134"/>
        </w:tabs>
      </w:pPr>
      <w:r>
        <w:rPr>
          <w:rFonts w:ascii="Calibri" w:hAnsi="Calibri" w:eastAsia="Calibri" w:cs="Calibri"/>
        </w:rPr>
        <w:t>Padre</w:t>
      </w:r>
    </w:p>
    <w:p w:rsidR="006E6D7A" w:rsidRDefault="00B16C64" w14:paraId="67156F68"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PADRE (</w:t>
      </w:r>
      <w:r>
        <w:rPr>
          <w:rFonts w:ascii="Calibri" w:hAnsi="Calibri" w:eastAsia="Calibri" w:cs="Calibri"/>
          <w:color w:val="000000"/>
          <w:highlight w:val="white"/>
        </w:rPr>
        <w:t xml:space="preserve">Portail d'Accès aux Données Référentielles Exposées) </w:t>
      </w:r>
      <w:r>
        <w:rPr>
          <w:rFonts w:ascii="Calibri" w:hAnsi="Calibri" w:eastAsia="Calibri" w:cs="Calibri"/>
          <w:color w:val="000000"/>
        </w:rPr>
        <w:t xml:space="preserve">est le produit majeur de la plateforme d’intégration. Il expose les données des fournisseurs de données au travers de 3 modalités techniques : </w:t>
      </w:r>
    </w:p>
    <w:p w:rsidR="006E6D7A" w:rsidRDefault="00B16C64" w14:paraId="67156F69" w14:textId="77777777">
      <w:pPr>
        <w:numPr>
          <w:ilvl w:val="0"/>
          <w:numId w:val="106"/>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Une exposition en ressources REST derrière un API Manager,</w:t>
      </w:r>
    </w:p>
    <w:p w:rsidR="006E6D7A" w:rsidRDefault="00B16C64" w14:paraId="67156F6A" w14:textId="77777777">
      <w:pPr>
        <w:numPr>
          <w:ilvl w:val="0"/>
          <w:numId w:val="106"/>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Une exposition en format fichier (via un outil ETL) ou API REST</w:t>
      </w:r>
    </w:p>
    <w:p w:rsidR="006E6D7A" w:rsidRDefault="00B16C64" w14:paraId="67156F6B" w14:textId="77777777">
      <w:pPr>
        <w:numPr>
          <w:ilvl w:val="0"/>
          <w:numId w:val="106"/>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Une exposition via des évènements de certaines données (via un broker de message)</w:t>
      </w:r>
    </w:p>
    <w:p w:rsidR="006E6D7A" w:rsidRDefault="00B16C64" w14:paraId="67156F6C"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La roadmap de PADRE en Juillet 2025 est la suivante :</w:t>
      </w:r>
    </w:p>
    <w:p w:rsidR="006E6D7A" w:rsidRDefault="00B16C64" w14:paraId="67156F6D" w14:textId="77777777">
      <w:pPr>
        <w:numPr>
          <w:ilvl w:val="0"/>
          <w:numId w:val="106"/>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Finir la migration sur le socle PID (Plateforme Intégration des données) 2</w:t>
      </w:r>
    </w:p>
    <w:p w:rsidR="006E6D7A" w:rsidRDefault="00B16C64" w14:paraId="67156F6E" w14:textId="77777777">
      <w:pPr>
        <w:numPr>
          <w:ilvl w:val="0"/>
          <w:numId w:val="106"/>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Exposition des données utilisateurs</w:t>
      </w:r>
    </w:p>
    <w:p w:rsidR="006E6D7A" w:rsidRDefault="00B16C64" w14:paraId="67156F6F" w14:textId="77777777">
      <w:pPr>
        <w:numPr>
          <w:ilvl w:val="0"/>
          <w:numId w:val="106"/>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Exposition de nouveaux évènements (structures, personnes)</w:t>
      </w:r>
    </w:p>
    <w:p w:rsidR="006E6D7A" w:rsidRDefault="00B16C64" w14:paraId="67156F70" w14:textId="77777777">
      <w:pPr>
        <w:numPr>
          <w:ilvl w:val="0"/>
          <w:numId w:val="106"/>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Nouvelles versions exposées des données Structures et Personnes</w:t>
      </w:r>
    </w:p>
    <w:p w:rsidR="006E6D7A" w:rsidRDefault="00B16C64" w14:paraId="67156F71" w14:textId="77777777">
      <w:pPr>
        <w:numPr>
          <w:ilvl w:val="0"/>
          <w:numId w:val="106"/>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Observabilité et </w:t>
      </w:r>
      <w:proofErr w:type="spellStart"/>
      <w:r>
        <w:rPr>
          <w:rFonts w:ascii="Calibri" w:hAnsi="Calibri" w:eastAsia="Calibri" w:cs="Calibri"/>
          <w:color w:val="000000"/>
        </w:rPr>
        <w:t>dashboards</w:t>
      </w:r>
      <w:proofErr w:type="spellEnd"/>
      <w:r>
        <w:rPr>
          <w:rFonts w:ascii="Calibri" w:hAnsi="Calibri" w:eastAsia="Calibri" w:cs="Calibri"/>
          <w:color w:val="000000"/>
        </w:rPr>
        <w:t xml:space="preserve"> des différents traitements et expositions</w:t>
      </w:r>
    </w:p>
    <w:p w:rsidR="006E6D7A" w:rsidRDefault="00B16C64" w14:paraId="67156F72" w14:textId="77777777">
      <w:pPr>
        <w:numPr>
          <w:ilvl w:val="0"/>
          <w:numId w:val="106"/>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Finalisation du décommissionnement de l’ensemble des composants obsolètes</w:t>
      </w:r>
    </w:p>
    <w:p w:rsidR="006E6D7A" w:rsidRDefault="00B16C64" w14:paraId="67156F73"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Son architecture cible PADRE est la suivante :</w:t>
      </w:r>
    </w:p>
    <w:p w:rsidR="006E6D7A" w:rsidRDefault="00B16C64" w14:paraId="67156F74"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w:t>
      </w:r>
    </w:p>
    <w:p w:rsidR="006E6D7A" w:rsidRDefault="00B16C64" w14:paraId="67156F75" w14:textId="77777777">
      <w:pPr>
        <w:pBdr>
          <w:top w:val="none" w:color="000000" w:sz="4" w:space="0"/>
          <w:left w:val="none" w:color="000000" w:sz="4" w:space="0"/>
          <w:bottom w:val="none" w:color="000000" w:sz="4" w:space="0"/>
          <w:right w:val="none" w:color="000000" w:sz="4" w:space="0"/>
        </w:pBdr>
      </w:pPr>
      <w:r>
        <w:rPr>
          <w:noProof/>
        </w:rPr>
        <mc:AlternateContent>
          <mc:Choice Requires="wpg">
            <w:drawing>
              <wp:inline distT="0" distB="0" distL="0" distR="0" wp14:anchorId="67157C15" wp14:editId="67157C16">
                <wp:extent cx="6120130" cy="4309529"/>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815391" name=""/>
                        <pic:cNvPicPr>
                          <a:picLocks noChangeAspect="1"/>
                        </pic:cNvPicPr>
                      </pic:nvPicPr>
                      <pic:blipFill rotWithShape="1">
                        <a:blip r:embed="rId48"/>
                        <a:stretch/>
                      </pic:blipFill>
                      <pic:spPr bwMode="auto">
                        <a:xfrm>
                          <a:off x="0" y="0"/>
                          <a:ext cx="6120129" cy="4309529"/>
                        </a:xfrm>
                        <a:prstGeom prst="rect">
                          <a:avLst/>
                        </a:prstGeom>
                      </pic:spPr>
                    </pic:pic>
                  </a:graphicData>
                </a:graphic>
              </wp:inline>
            </w:drawing>
          </mc:Choice>
          <mc:Fallback xmlns:a="http://schemas.openxmlformats.org/drawingml/2006/main">
            <w:pict w14:anchorId="01907679">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6" style="width:481.90pt;height:339.33pt;mso-wrap-distance-left:0.00pt;mso-wrap-distance-top:0.00pt;mso-wrap-distance-right:0.00pt;mso-wrap-distance-bottom:0.00pt;z-index:1;" o:spid="_x0000_s16" stroked="false" type="#_x0000_t75">
                <v:imagedata o:title="" r:id="rId49"/>
                <o:lock v:ext="edit" rotation="t"/>
              </v:shape>
            </w:pict>
          </mc:Fallback>
        </mc:AlternateContent>
      </w:r>
    </w:p>
    <w:p w:rsidR="006E6D7A" w:rsidRDefault="00B16C64" w14:paraId="67156F76"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Les enjeux majeurs consisteront à finir la migration sur </w:t>
      </w:r>
      <w:proofErr w:type="gramStart"/>
      <w:r>
        <w:rPr>
          <w:rFonts w:ascii="Calibri" w:hAnsi="Calibri" w:eastAsia="Calibri" w:cs="Calibri"/>
          <w:color w:val="000000"/>
        </w:rPr>
        <w:t>la nouvelle stack</w:t>
      </w:r>
      <w:proofErr w:type="gramEnd"/>
      <w:r>
        <w:rPr>
          <w:rFonts w:ascii="Calibri" w:hAnsi="Calibri" w:eastAsia="Calibri" w:cs="Calibri"/>
          <w:color w:val="000000"/>
        </w:rPr>
        <w:t xml:space="preserve"> technique, afin de pouvoir décommissionner l’ancienne, et d’assurer la haute disponibilité des services de la plateforme.</w:t>
      </w:r>
    </w:p>
    <w:p w:rsidR="006E6D7A" w:rsidRDefault="00B16C64" w14:paraId="67156F77" w14:textId="77777777">
      <w:pPr>
        <w:pStyle w:val="Titre4"/>
        <w:numPr>
          <w:ilvl w:val="4"/>
          <w:numId w:val="3"/>
        </w:numPr>
        <w:pBdr>
          <w:top w:val="none" w:color="000000" w:sz="4" w:space="0"/>
          <w:left w:val="none" w:color="000000" w:sz="4" w:space="0"/>
          <w:bottom w:val="none" w:color="000000" w:sz="4" w:space="0"/>
          <w:right w:val="none" w:color="000000" w:sz="4" w:space="0"/>
        </w:pBdr>
        <w:tabs>
          <w:tab w:val="left" w:pos="1134"/>
        </w:tabs>
      </w:pPr>
      <w:r>
        <w:rPr>
          <w:rFonts w:ascii="Calibri" w:hAnsi="Calibri" w:eastAsia="Calibri" w:cs="Calibri"/>
        </w:rPr>
        <w:lastRenderedPageBreak/>
        <w:t>Sufi</w:t>
      </w:r>
    </w:p>
    <w:p w:rsidR="006E6D7A" w:rsidRDefault="00B16C64" w14:paraId="67156F78"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Sufi est un programme utilisé pour monitorer, relancer, visualiser l’ensemble des traitements de l’ETL chaque jour.</w:t>
      </w:r>
    </w:p>
    <w:p w:rsidR="006E6D7A" w:rsidRDefault="00B16C64" w14:paraId="67156F79" w14:textId="77777777">
      <w:pPr>
        <w:pStyle w:val="Titre4"/>
        <w:numPr>
          <w:ilvl w:val="4"/>
          <w:numId w:val="3"/>
        </w:numPr>
        <w:pBdr>
          <w:top w:val="none" w:color="000000" w:sz="4" w:space="0"/>
          <w:left w:val="none" w:color="000000" w:sz="4" w:space="0"/>
          <w:bottom w:val="none" w:color="000000" w:sz="4" w:space="0"/>
          <w:right w:val="none" w:color="000000" w:sz="4" w:space="0"/>
        </w:pBdr>
        <w:tabs>
          <w:tab w:val="left" w:pos="1134"/>
        </w:tabs>
      </w:pPr>
      <w:r>
        <w:rPr>
          <w:rFonts w:ascii="Calibri" w:hAnsi="Calibri" w:eastAsia="Calibri" w:cs="Calibri"/>
        </w:rPr>
        <w:t>GDDI</w:t>
      </w:r>
    </w:p>
    <w:p w:rsidR="006E6D7A" w:rsidRDefault="00B16C64" w14:paraId="67156F7A"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GDDI est un programme permettant de générer dynamiquement des listes de données sur la base de données croisées des données référentielles. Sa première utilisation a consisté à peupler les groupes de distribution exchange institutionnels.</w:t>
      </w:r>
    </w:p>
    <w:p w:rsidR="006E6D7A" w:rsidRDefault="00B16C64" w14:paraId="67156F7B"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Une réécriture de cette application est prévue dans la durée du marché.</w:t>
      </w:r>
    </w:p>
    <w:p w:rsidR="006E6D7A" w:rsidRDefault="00B16C64" w14:paraId="67156F7C" w14:textId="77777777">
      <w:pPr>
        <w:pStyle w:val="Titre2"/>
      </w:pPr>
      <w:bookmarkStart w:name="_Toc221095467" w:id="39"/>
      <w:r>
        <w:t>Plateforme du référentiel des utilisateurs (IAM)</w:t>
      </w:r>
      <w:bookmarkEnd w:id="39"/>
    </w:p>
    <w:p w:rsidR="006E6D7A" w:rsidRDefault="00B16C64" w14:paraId="67156F7D"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La plateforme IAM est hors périmètre d’expertise et de développement spécifique de cet accord-cadre.</w:t>
      </w:r>
    </w:p>
    <w:p w:rsidR="006E6D7A" w:rsidRDefault="00B16C64" w14:paraId="67156F7E"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Le titulaire contribue, au sens équipe intégrée, aux équipes développant l’offre de service de la plateforme IAM (notamment sur les compétences possibles de SM, de testeurs, d’exploitants, de développeurs Talend ou Javascript)</w:t>
      </w:r>
    </w:p>
    <w:p w:rsidR="006E6D7A" w:rsidRDefault="00B16C64" w14:paraId="67156F7F"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Le titulaire du marché IAM utilise et développe les produits et services de la Plateforme Identité, en s’adaptant à son évolution régulière.</w:t>
      </w:r>
    </w:p>
    <w:p w:rsidR="006E6D7A" w:rsidRDefault="006E6D7A" w14:paraId="67156F80" w14:textId="77777777"/>
    <w:p w:rsidR="006E6D7A" w:rsidRDefault="00B16C64" w14:paraId="67156F81" w14:textId="77777777">
      <w:pPr>
        <w:pStyle w:val="Titre3"/>
        <w:numPr>
          <w:ilvl w:val="3"/>
          <w:numId w:val="3"/>
        </w:numPr>
      </w:pPr>
      <w:bookmarkStart w:name="_Toc221095468" w:id="40"/>
      <w:r>
        <w:t>Description</w:t>
      </w:r>
      <w:bookmarkEnd w:id="40"/>
    </w:p>
    <w:p w:rsidR="006E6D7A" w:rsidRDefault="00B16C64" w14:paraId="67156F82"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La plateforme IAM est le socle du programme national d’établissement de Gestion des identités, des accès, des habilitations et des rôles (IAM).</w:t>
      </w:r>
    </w:p>
    <w:p w:rsidR="006E6D7A" w:rsidRDefault="00B16C64" w14:paraId="67156F83"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Il est donc constitué de 3 briques fonctionnelles majeures :</w:t>
      </w:r>
    </w:p>
    <w:p w:rsidR="006E6D7A" w:rsidRDefault="00B16C64" w14:paraId="67156F84" w14:textId="77777777">
      <w:pPr>
        <w:numPr>
          <w:ilvl w:val="0"/>
          <w:numId w:val="8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La gestion des Identités numérique</w:t>
      </w:r>
      <w:r>
        <w:t>s</w:t>
      </w:r>
    </w:p>
    <w:p w:rsidR="006E6D7A" w:rsidRDefault="00B16C64" w14:paraId="67156F85" w14:textId="77777777">
      <w:pPr>
        <w:numPr>
          <w:ilvl w:val="0"/>
          <w:numId w:val="8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La gestion des accès et autorisations</w:t>
      </w:r>
    </w:p>
    <w:p w:rsidR="006E6D7A" w:rsidRDefault="00B16C64" w14:paraId="67156F86" w14:textId="77777777">
      <w:pPr>
        <w:numPr>
          <w:ilvl w:val="0"/>
          <w:numId w:val="84"/>
        </w:num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La gestion des habilitations et des rôles</w:t>
      </w:r>
    </w:p>
    <w:p w:rsidR="006E6D7A" w:rsidRDefault="006E6D7A" w14:paraId="67156F87" w14:textId="77777777">
      <w:pPr>
        <w:pBdr>
          <w:top w:val="none" w:color="000000" w:sz="4" w:space="0"/>
          <w:left w:val="none" w:color="000000" w:sz="4" w:space="0"/>
          <w:bottom w:val="none" w:color="000000" w:sz="4" w:space="0"/>
          <w:right w:val="none" w:color="000000" w:sz="4" w:space="0"/>
        </w:pBdr>
        <w:ind w:left="720"/>
      </w:pPr>
    </w:p>
    <w:p w:rsidR="006E6D7A" w:rsidRDefault="00B16C64" w14:paraId="67156F88" w14:textId="77777777">
      <w:pPr>
        <w:rPr>
          <w:rStyle w:val="Heading2Char"/>
        </w:rPr>
      </w:pPr>
      <w:r>
        <w:rPr>
          <w:noProof/>
        </w:rPr>
        <w:lastRenderedPageBreak/>
        <mc:AlternateContent>
          <mc:Choice Requires="wpg">
            <w:drawing>
              <wp:inline distT="0" distB="0" distL="0" distR="0" wp14:anchorId="67157C17" wp14:editId="67157C18">
                <wp:extent cx="5940425" cy="373053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469246" name=""/>
                        <pic:cNvPicPr>
                          <a:picLocks noChangeAspect="1"/>
                        </pic:cNvPicPr>
                      </pic:nvPicPr>
                      <pic:blipFill rotWithShape="1">
                        <a:blip r:embed="rId50"/>
                        <a:stretch/>
                      </pic:blipFill>
                      <pic:spPr bwMode="auto">
                        <a:xfrm>
                          <a:off x="0" y="0"/>
                          <a:ext cx="5940424" cy="3730529"/>
                        </a:xfrm>
                        <a:prstGeom prst="rect">
                          <a:avLst/>
                        </a:prstGeom>
                      </pic:spPr>
                    </pic:pic>
                  </a:graphicData>
                </a:graphic>
              </wp:inline>
            </w:drawing>
          </mc:Choice>
          <mc:Fallback xmlns:a="http://schemas.openxmlformats.org/drawingml/2006/main">
            <w:pict w14:anchorId="03AD9CD3">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7" style="width:467.75pt;height:293.74pt;mso-wrap-distance-left:0.00pt;mso-wrap-distance-top:0.00pt;mso-wrap-distance-right:0.00pt;mso-wrap-distance-bottom:0.00pt;rotation:0;z-index:1;" o:spid="_x0000_s17" stroked="false" type="#_x0000_t75">
                <v:imagedata o:title="" r:id="rId51"/>
                <o:lock v:ext="edit" rotation="t"/>
              </v:shape>
            </w:pict>
          </mc:Fallback>
        </mc:AlternateContent>
      </w:r>
    </w:p>
    <w:p w:rsidR="006E6D7A" w:rsidRDefault="006E6D7A" w14:paraId="67156F89" w14:textId="77777777">
      <w:pPr>
        <w:rPr>
          <w:rStyle w:val="Heading2Char"/>
        </w:rPr>
      </w:pPr>
    </w:p>
    <w:p w:rsidR="006E6D7A" w:rsidRDefault="00B16C64" w14:paraId="67156F8A" w14:textId="77777777">
      <w:pPr>
        <w:pStyle w:val="Titre3"/>
        <w:numPr>
          <w:ilvl w:val="4"/>
          <w:numId w:val="3"/>
        </w:numPr>
      </w:pPr>
      <w:bookmarkStart w:name="_Toc221095469" w:id="41"/>
      <w:r>
        <w:t>Composant technique</w:t>
      </w:r>
      <w:bookmarkEnd w:id="41"/>
    </w:p>
    <w:p w:rsidR="006E6D7A" w:rsidRDefault="00B16C64" w14:paraId="67156F8B" w14:textId="77777777">
      <w:pPr>
        <w:pStyle w:val="Paragraphedeliste"/>
        <w:numPr>
          <w:ilvl w:val="0"/>
          <w:numId w:val="85"/>
        </w:numPr>
      </w:pPr>
      <w:r>
        <w:t xml:space="preserve">SSH, Ansible, </w:t>
      </w:r>
      <w:proofErr w:type="spellStart"/>
      <w:r>
        <w:t>Load</w:t>
      </w:r>
      <w:proofErr w:type="spellEnd"/>
      <w:r>
        <w:t xml:space="preserve"> Balancing via F5, </w:t>
      </w:r>
      <w:proofErr w:type="spellStart"/>
      <w:r>
        <w:t>syslog</w:t>
      </w:r>
      <w:proofErr w:type="spellEnd"/>
    </w:p>
    <w:p w:rsidR="006E6D7A" w:rsidRDefault="00B16C64" w14:paraId="67156F8C" w14:textId="77777777">
      <w:pPr>
        <w:pStyle w:val="Paragraphedeliste"/>
        <w:numPr>
          <w:ilvl w:val="0"/>
          <w:numId w:val="85"/>
        </w:numPr>
      </w:pPr>
      <w:proofErr w:type="spellStart"/>
      <w:r>
        <w:t>Redhat</w:t>
      </w:r>
      <w:proofErr w:type="spellEnd"/>
      <w:r>
        <w:t xml:space="preserve"> 7 Redhat,8/ Ubuntu 22 / Ubuntu24</w:t>
      </w:r>
    </w:p>
    <w:p w:rsidR="006E6D7A" w:rsidRDefault="00B16C64" w14:paraId="67156F8D" w14:textId="77777777">
      <w:pPr>
        <w:pStyle w:val="Titre3"/>
        <w:numPr>
          <w:ilvl w:val="4"/>
          <w:numId w:val="3"/>
        </w:numPr>
      </w:pPr>
      <w:bookmarkStart w:name="_Toc221095470" w:id="42"/>
      <w:r>
        <w:t>Protocole/ interfaces</w:t>
      </w:r>
      <w:bookmarkEnd w:id="42"/>
    </w:p>
    <w:p w:rsidR="006E6D7A" w:rsidRDefault="00B16C64" w14:paraId="67156F8E" w14:textId="77777777">
      <w:r>
        <w:t>SSL, HTTPS, LDAPS, API REST, SMTP</w:t>
      </w:r>
    </w:p>
    <w:p w:rsidR="006E6D7A" w:rsidRDefault="00B16C64" w14:paraId="67156F8F" w14:textId="77777777">
      <w:pPr>
        <w:pStyle w:val="Titre3"/>
        <w:numPr>
          <w:ilvl w:val="3"/>
          <w:numId w:val="3"/>
        </w:numPr>
      </w:pPr>
      <w:bookmarkStart w:name="_Toc221095471" w:id="43"/>
      <w:r>
        <w:t>Plateforme IDM</w:t>
      </w:r>
      <w:bookmarkEnd w:id="43"/>
    </w:p>
    <w:p w:rsidR="006E6D7A" w:rsidRDefault="00B16C64" w14:paraId="67156F90" w14:textId="77777777">
      <w:pPr>
        <w:pStyle w:val="Titre3"/>
        <w:numPr>
          <w:ilvl w:val="4"/>
          <w:numId w:val="3"/>
        </w:numPr>
      </w:pPr>
      <w:bookmarkStart w:name="_Toc221095472" w:id="44"/>
      <w:r>
        <w:t>Composants techniques communs</w:t>
      </w:r>
      <w:bookmarkEnd w:id="44"/>
    </w:p>
    <w:p w:rsidR="006E6D7A" w:rsidRDefault="00B16C64" w14:paraId="67156F91" w14:textId="77777777">
      <w:pPr>
        <w:pStyle w:val="Paragraphedeliste"/>
        <w:numPr>
          <w:ilvl w:val="0"/>
          <w:numId w:val="86"/>
        </w:numPr>
      </w:pPr>
      <w:r>
        <w:t>Apache 2</w:t>
      </w:r>
    </w:p>
    <w:p w:rsidR="006E6D7A" w:rsidRDefault="00B16C64" w14:paraId="67156F92" w14:textId="77777777">
      <w:pPr>
        <w:pStyle w:val="Paragraphedeliste"/>
        <w:numPr>
          <w:ilvl w:val="0"/>
          <w:numId w:val="86"/>
        </w:numPr>
      </w:pPr>
      <w:r>
        <w:t>Pino (</w:t>
      </w:r>
      <w:proofErr w:type="spellStart"/>
      <w:r>
        <w:t>NodeJS</w:t>
      </w:r>
      <w:proofErr w:type="spellEnd"/>
      <w:r>
        <w:t>)</w:t>
      </w:r>
    </w:p>
    <w:p w:rsidR="006E6D7A" w:rsidRDefault="00B16C64" w14:paraId="67156F93" w14:textId="77777777">
      <w:pPr>
        <w:pStyle w:val="Paragraphedeliste"/>
        <w:numPr>
          <w:ilvl w:val="0"/>
          <w:numId w:val="86"/>
        </w:numPr>
      </w:pPr>
      <w:proofErr w:type="spellStart"/>
      <w:r>
        <w:t>Molecule</w:t>
      </w:r>
      <w:proofErr w:type="spellEnd"/>
      <w:r>
        <w:t xml:space="preserve"> (Ansible)</w:t>
      </w:r>
    </w:p>
    <w:p w:rsidR="006E6D7A" w:rsidRDefault="00B16C64" w14:paraId="67156F94" w14:textId="77777777">
      <w:pPr>
        <w:pStyle w:val="Paragraphedeliste"/>
        <w:numPr>
          <w:ilvl w:val="0"/>
          <w:numId w:val="86"/>
        </w:numPr>
      </w:pPr>
      <w:proofErr w:type="spellStart"/>
      <w:r>
        <w:t>Gitlab</w:t>
      </w:r>
      <w:proofErr w:type="spellEnd"/>
      <w:r>
        <w:t xml:space="preserve"> (CI)</w:t>
      </w:r>
    </w:p>
    <w:p w:rsidR="006E6D7A" w:rsidRDefault="00B16C64" w14:paraId="67156F95" w14:textId="77777777">
      <w:pPr>
        <w:pStyle w:val="Paragraphedeliste"/>
        <w:numPr>
          <w:ilvl w:val="0"/>
          <w:numId w:val="86"/>
        </w:numPr>
      </w:pPr>
      <w:r>
        <w:t>Docker / Docker Compose (Installation Locale)</w:t>
      </w:r>
    </w:p>
    <w:p w:rsidR="006E6D7A" w:rsidRDefault="00B16C64" w14:paraId="67156F96" w14:textId="77777777">
      <w:pPr>
        <w:pStyle w:val="Paragraphedeliste"/>
        <w:numPr>
          <w:ilvl w:val="0"/>
          <w:numId w:val="86"/>
        </w:numPr>
      </w:pPr>
      <w:r>
        <w:t>ELK (Logs)</w:t>
      </w:r>
    </w:p>
    <w:p w:rsidR="006E6D7A" w:rsidRDefault="00B16C64" w14:paraId="67156F97" w14:textId="77777777">
      <w:pPr>
        <w:pStyle w:val="Paragraphedeliste"/>
        <w:numPr>
          <w:ilvl w:val="0"/>
          <w:numId w:val="86"/>
        </w:numPr>
      </w:pPr>
      <w:r>
        <w:t>PostgreSQL 12</w:t>
      </w:r>
    </w:p>
    <w:p w:rsidR="006E6D7A" w:rsidRDefault="00B16C64" w14:paraId="67156F98" w14:textId="77777777">
      <w:pPr>
        <w:pStyle w:val="Paragraphedeliste"/>
        <w:numPr>
          <w:ilvl w:val="0"/>
          <w:numId w:val="86"/>
        </w:numPr>
      </w:pPr>
      <w:proofErr w:type="spellStart"/>
      <w:r>
        <w:t>OpenAPI</w:t>
      </w:r>
      <w:proofErr w:type="spellEnd"/>
      <w:r>
        <w:t xml:space="preserve"> 3</w:t>
      </w:r>
    </w:p>
    <w:p w:rsidR="006E6D7A" w:rsidRDefault="00B16C64" w14:paraId="67156F99" w14:textId="77777777">
      <w:pPr>
        <w:pStyle w:val="Titre3"/>
        <w:numPr>
          <w:ilvl w:val="4"/>
          <w:numId w:val="3"/>
        </w:numPr>
      </w:pPr>
      <w:bookmarkStart w:name="_Toc221095473" w:id="45"/>
      <w:proofErr w:type="spellStart"/>
      <w:r>
        <w:lastRenderedPageBreak/>
        <w:t>PingIDM</w:t>
      </w:r>
      <w:bookmarkEnd w:id="45"/>
      <w:proofErr w:type="spellEnd"/>
    </w:p>
    <w:p w:rsidR="006E6D7A" w:rsidRDefault="00B16C64" w14:paraId="67156F9A" w14:textId="77777777">
      <w:r>
        <w:rPr>
          <w:noProof/>
        </w:rPr>
        <mc:AlternateContent>
          <mc:Choice Requires="wpg">
            <w:drawing>
              <wp:inline distT="0" distB="0" distL="0" distR="0" wp14:anchorId="67157C19" wp14:editId="67157C1A">
                <wp:extent cx="5940425" cy="3522534"/>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94317" name=""/>
                        <pic:cNvPicPr>
                          <a:picLocks noChangeAspect="1"/>
                        </pic:cNvPicPr>
                      </pic:nvPicPr>
                      <pic:blipFill rotWithShape="1">
                        <a:blip r:embed="rId52"/>
                        <a:stretch/>
                      </pic:blipFill>
                      <pic:spPr bwMode="auto">
                        <a:xfrm>
                          <a:off x="0" y="0"/>
                          <a:ext cx="5940423" cy="3522533"/>
                        </a:xfrm>
                        <a:prstGeom prst="rect">
                          <a:avLst/>
                        </a:prstGeom>
                      </pic:spPr>
                    </pic:pic>
                  </a:graphicData>
                </a:graphic>
              </wp:inline>
            </w:drawing>
          </mc:Choice>
          <mc:Fallback xmlns:a="http://schemas.openxmlformats.org/drawingml/2006/main">
            <w:pict w14:anchorId="3F5E1D6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8" style="width:467.75pt;height:277.36pt;mso-wrap-distance-left:0.00pt;mso-wrap-distance-top:0.00pt;mso-wrap-distance-right:0.00pt;mso-wrap-distance-bottom:0.00pt;z-index:1;" o:spid="_x0000_s18" stroked="false" type="#_x0000_t75">
                <v:imagedata o:title="" r:id="rId53"/>
                <o:lock v:ext="edit" rotation="t"/>
              </v:shape>
            </w:pict>
          </mc:Fallback>
        </mc:AlternateContent>
      </w:r>
    </w:p>
    <w:p w:rsidR="006E6D7A" w:rsidRDefault="006E6D7A" w14:paraId="67156F9B" w14:textId="77777777"/>
    <w:p w:rsidR="006E6D7A" w:rsidRDefault="00000000" w14:paraId="67156F9C" w14:textId="77777777">
      <w:hyperlink w:tooltip="https://docs.pingidentity.com/pingidm/8/getting-started/about-idm.html" w:history="1" r:id="rId54">
        <w:proofErr w:type="spellStart"/>
        <w:r w:rsidR="00B16C64">
          <w:rPr>
            <w:rStyle w:val="Lienhypertexte"/>
          </w:rPr>
          <w:t>PingIDM</w:t>
        </w:r>
        <w:proofErr w:type="spellEnd"/>
      </w:hyperlink>
      <w:r w:rsidR="00B16C64">
        <w:t xml:space="preserve"> est notre solution de gestion des identités numériques, rôles et habilitations.</w:t>
      </w:r>
    </w:p>
    <w:p w:rsidR="006E6D7A" w:rsidRDefault="00B16C64" w14:paraId="67156F9D" w14:textId="77777777">
      <w:r>
        <w:t xml:space="preserve">En tant que référentiel des identités numériques, rôles et habilitations. </w:t>
      </w:r>
      <w:hyperlink w:tooltip="https://docs.pingidentity.com/pingidm/8/getting-started/about-idm.html" w:history="1" r:id="rId55">
        <w:proofErr w:type="spellStart"/>
        <w:r>
          <w:rPr>
            <w:rStyle w:val="Lienhypertexte"/>
          </w:rPr>
          <w:t>PingIDM</w:t>
        </w:r>
        <w:proofErr w:type="spellEnd"/>
      </w:hyperlink>
      <w:r>
        <w:t xml:space="preserve"> gère leur cycle de vie, ainsi que leur diffusion dans le SI IAM.</w:t>
      </w:r>
    </w:p>
    <w:p w:rsidR="006E6D7A" w:rsidRDefault="00B16C64" w14:paraId="67156F9E" w14:textId="77777777">
      <w:r>
        <w:t>Composants techniques :</w:t>
      </w:r>
    </w:p>
    <w:p w:rsidR="006E6D7A" w:rsidRDefault="00B16C64" w14:paraId="67156F9F" w14:textId="77777777">
      <w:pPr>
        <w:pStyle w:val="Paragraphedeliste"/>
        <w:numPr>
          <w:ilvl w:val="0"/>
          <w:numId w:val="87"/>
        </w:numPr>
      </w:pPr>
      <w:proofErr w:type="spellStart"/>
      <w:r>
        <w:t>PingIDM</w:t>
      </w:r>
      <w:proofErr w:type="spellEnd"/>
      <w:r>
        <w:t xml:space="preserve"> 7.4</w:t>
      </w:r>
    </w:p>
    <w:p w:rsidR="006E6D7A" w:rsidRDefault="00B16C64" w14:paraId="67156FA0" w14:textId="77777777">
      <w:pPr>
        <w:pStyle w:val="Paragraphedeliste"/>
        <w:numPr>
          <w:ilvl w:val="0"/>
          <w:numId w:val="87"/>
        </w:numPr>
      </w:pPr>
      <w:r>
        <w:t>Javascript (</w:t>
      </w:r>
      <w:proofErr w:type="spellStart"/>
      <w:r>
        <w:t>ECMAScript</w:t>
      </w:r>
      <w:proofErr w:type="spellEnd"/>
      <w:r>
        <w:t xml:space="preserve"> 5) [75%]</w:t>
      </w:r>
    </w:p>
    <w:p w:rsidR="006E6D7A" w:rsidRDefault="00B16C64" w14:paraId="67156FA1" w14:textId="77777777">
      <w:pPr>
        <w:pStyle w:val="Paragraphedeliste"/>
        <w:numPr>
          <w:ilvl w:val="0"/>
          <w:numId w:val="87"/>
        </w:numPr>
      </w:pPr>
      <w:r>
        <w:t>Groovy 1.5 [5%]</w:t>
      </w:r>
    </w:p>
    <w:p w:rsidR="006E6D7A" w:rsidRDefault="00B16C64" w14:paraId="67156FA2" w14:textId="77777777">
      <w:pPr>
        <w:pStyle w:val="Paragraphedeliste"/>
        <w:numPr>
          <w:ilvl w:val="0"/>
          <w:numId w:val="87"/>
        </w:numPr>
      </w:pPr>
      <w:r>
        <w:t>Java 11 [5%]</w:t>
      </w:r>
    </w:p>
    <w:p w:rsidR="006E6D7A" w:rsidRDefault="00B16C64" w14:paraId="67156FA3" w14:textId="77777777">
      <w:pPr>
        <w:pStyle w:val="Paragraphedeliste"/>
        <w:numPr>
          <w:ilvl w:val="0"/>
          <w:numId w:val="87"/>
        </w:numPr>
      </w:pPr>
      <w:r>
        <w:t>Vue JS 2 [15%]</w:t>
      </w:r>
    </w:p>
    <w:p w:rsidR="006E6D7A" w:rsidRDefault="00B16C64" w14:paraId="67156FA4" w14:textId="77777777">
      <w:pPr>
        <w:pStyle w:val="Paragraphedeliste"/>
        <w:numPr>
          <w:ilvl w:val="0"/>
          <w:numId w:val="87"/>
        </w:numPr>
      </w:pPr>
      <w:proofErr w:type="spellStart"/>
      <w:r>
        <w:t>Jetty</w:t>
      </w:r>
      <w:proofErr w:type="spellEnd"/>
      <w:r>
        <w:t xml:space="preserve"> 12</w:t>
      </w:r>
    </w:p>
    <w:p w:rsidR="006E6D7A" w:rsidRDefault="006E6D7A" w14:paraId="67156FA5" w14:textId="77777777">
      <w:pPr>
        <w:ind w:left="709"/>
      </w:pPr>
    </w:p>
    <w:p w:rsidR="006E6D7A" w:rsidRDefault="00B16C64" w14:paraId="67156FA6" w14:textId="77777777">
      <w:pPr>
        <w:pStyle w:val="Titre3"/>
        <w:numPr>
          <w:ilvl w:val="4"/>
          <w:numId w:val="3"/>
        </w:numPr>
      </w:pPr>
      <w:bookmarkStart w:name="_Toc221095474" w:id="46"/>
      <w:r>
        <w:t>IDM-WS</w:t>
      </w:r>
      <w:bookmarkEnd w:id="46"/>
    </w:p>
    <w:p w:rsidR="006E6D7A" w:rsidRDefault="00B16C64" w14:paraId="67156FA7" w14:textId="77777777">
      <w:r>
        <w:rPr>
          <w:noProof/>
        </w:rPr>
        <mc:AlternateContent>
          <mc:Choice Requires="wpg">
            <w:drawing>
              <wp:inline distT="0" distB="0" distL="0" distR="0" wp14:anchorId="67157C1B" wp14:editId="67157C1C">
                <wp:extent cx="5940425" cy="1459437"/>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46420" name=""/>
                        <pic:cNvPicPr>
                          <a:picLocks noChangeAspect="1"/>
                        </pic:cNvPicPr>
                      </pic:nvPicPr>
                      <pic:blipFill rotWithShape="1">
                        <a:blip r:embed="rId56"/>
                        <a:stretch/>
                      </pic:blipFill>
                      <pic:spPr bwMode="auto">
                        <a:xfrm>
                          <a:off x="0" y="0"/>
                          <a:ext cx="5940423" cy="1459436"/>
                        </a:xfrm>
                        <a:prstGeom prst="rect">
                          <a:avLst/>
                        </a:prstGeom>
                      </pic:spPr>
                    </pic:pic>
                  </a:graphicData>
                </a:graphic>
              </wp:inline>
            </w:drawing>
          </mc:Choice>
          <mc:Fallback xmlns:a="http://schemas.openxmlformats.org/drawingml/2006/main">
            <w:pict w14:anchorId="74FA59EB">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9" style="width:467.75pt;height:114.92pt;mso-wrap-distance-left:0.00pt;mso-wrap-distance-top:0.00pt;mso-wrap-distance-right:0.00pt;mso-wrap-distance-bottom:0.00pt;z-index:1;" o:spid="_x0000_s19" stroked="false" type="#_x0000_t75">
                <v:imagedata o:title="" r:id="rId57"/>
                <o:lock v:ext="edit" rotation="t"/>
              </v:shape>
            </w:pict>
          </mc:Fallback>
        </mc:AlternateContent>
      </w:r>
    </w:p>
    <w:p w:rsidR="006E6D7A" w:rsidRDefault="00B16C64" w14:paraId="67156FA8" w14:textId="77777777">
      <w:r>
        <w:t xml:space="preserve">IDM-WS ajoute une surcouche aux APIs de </w:t>
      </w:r>
      <w:proofErr w:type="spellStart"/>
      <w:r>
        <w:t>PingIDM</w:t>
      </w:r>
      <w:proofErr w:type="spellEnd"/>
      <w:r>
        <w:t>. Ces APIs peuvent être consommées par des applications à travers notre API Manager.</w:t>
      </w:r>
    </w:p>
    <w:p w:rsidR="006E6D7A" w:rsidRDefault="00B16C64" w14:paraId="67156FA9" w14:textId="77777777">
      <w:r>
        <w:lastRenderedPageBreak/>
        <w:t>Composants techniques :</w:t>
      </w:r>
    </w:p>
    <w:p w:rsidR="006E6D7A" w:rsidRDefault="00B16C64" w14:paraId="67156FAA" w14:textId="77777777">
      <w:pPr>
        <w:pStyle w:val="Paragraphedeliste"/>
        <w:numPr>
          <w:ilvl w:val="0"/>
          <w:numId w:val="88"/>
        </w:numPr>
      </w:pPr>
      <w:proofErr w:type="spellStart"/>
      <w:r>
        <w:t>NodeJS</w:t>
      </w:r>
      <w:proofErr w:type="spellEnd"/>
      <w:r>
        <w:t xml:space="preserve"> 14</w:t>
      </w:r>
    </w:p>
    <w:p w:rsidR="006E6D7A" w:rsidRDefault="006E6D7A" w14:paraId="67156FAB" w14:textId="77777777">
      <w:pPr>
        <w:ind w:left="709"/>
      </w:pPr>
    </w:p>
    <w:p w:rsidR="006E6D7A" w:rsidRDefault="00B16C64" w14:paraId="67156FAC" w14:textId="77777777">
      <w:pPr>
        <w:pStyle w:val="Titre3"/>
        <w:numPr>
          <w:ilvl w:val="4"/>
          <w:numId w:val="3"/>
        </w:numPr>
      </w:pPr>
      <w:bookmarkStart w:name="_Toc221095475" w:id="47"/>
      <w:proofErr w:type="spellStart"/>
      <w:r>
        <w:t>Clavis</w:t>
      </w:r>
      <w:bookmarkEnd w:id="47"/>
      <w:proofErr w:type="spellEnd"/>
    </w:p>
    <w:p w:rsidR="006E6D7A" w:rsidRDefault="00B16C64" w14:paraId="67156FAD" w14:textId="77777777">
      <w:r>
        <w:rPr>
          <w:noProof/>
        </w:rPr>
        <mc:AlternateContent>
          <mc:Choice Requires="wpg">
            <w:drawing>
              <wp:inline distT="0" distB="0" distL="0" distR="0" wp14:anchorId="67157C1D" wp14:editId="67157C1E">
                <wp:extent cx="5940425" cy="1426121"/>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6394" name=""/>
                        <pic:cNvPicPr>
                          <a:picLocks noChangeAspect="1"/>
                        </pic:cNvPicPr>
                      </pic:nvPicPr>
                      <pic:blipFill rotWithShape="1">
                        <a:blip r:embed="rId58"/>
                        <a:stretch/>
                      </pic:blipFill>
                      <pic:spPr bwMode="auto">
                        <a:xfrm>
                          <a:off x="0" y="0"/>
                          <a:ext cx="5940423" cy="1426120"/>
                        </a:xfrm>
                        <a:prstGeom prst="rect">
                          <a:avLst/>
                        </a:prstGeom>
                      </pic:spPr>
                    </pic:pic>
                  </a:graphicData>
                </a:graphic>
              </wp:inline>
            </w:drawing>
          </mc:Choice>
          <mc:Fallback xmlns:a="http://schemas.openxmlformats.org/drawingml/2006/main">
            <w:pict w14:anchorId="22D3B942">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0" style="width:467.75pt;height:112.29pt;mso-wrap-distance-left:0.00pt;mso-wrap-distance-top:0.00pt;mso-wrap-distance-right:0.00pt;mso-wrap-distance-bottom:0.00pt;z-index:1;" o:spid="_x0000_s20" stroked="false" type="#_x0000_t75">
                <v:imagedata o:title="" r:id="rId59"/>
                <o:lock v:ext="edit" rotation="t"/>
              </v:shape>
            </w:pict>
          </mc:Fallback>
        </mc:AlternateContent>
      </w:r>
    </w:p>
    <w:p w:rsidR="006E6D7A" w:rsidRDefault="00B16C64" w14:paraId="67156FAE" w14:textId="77777777">
      <w:r>
        <w:t>IHM Publique pour l’enrôlement des utilisateurs et la modification du mot de passe.</w:t>
      </w:r>
    </w:p>
    <w:p w:rsidR="006E6D7A" w:rsidRDefault="00B16C64" w14:paraId="67156FAF" w14:textId="77777777">
      <w:r>
        <w:t>Composants techniques :</w:t>
      </w:r>
    </w:p>
    <w:p w:rsidR="006E6D7A" w:rsidRDefault="00B16C64" w14:paraId="67156FB0" w14:textId="77777777">
      <w:pPr>
        <w:pStyle w:val="Paragraphedeliste"/>
        <w:numPr>
          <w:ilvl w:val="0"/>
          <w:numId w:val="89"/>
        </w:numPr>
      </w:pPr>
      <w:proofErr w:type="spellStart"/>
      <w:r>
        <w:t>NodeJS</w:t>
      </w:r>
      <w:proofErr w:type="spellEnd"/>
      <w:r>
        <w:t xml:space="preserve"> 14</w:t>
      </w:r>
    </w:p>
    <w:p w:rsidR="006E6D7A" w:rsidRDefault="00B16C64" w14:paraId="67156FB1" w14:textId="77777777">
      <w:pPr>
        <w:pStyle w:val="Titre3"/>
        <w:numPr>
          <w:ilvl w:val="4"/>
          <w:numId w:val="3"/>
        </w:numPr>
      </w:pPr>
      <w:bookmarkStart w:name="_Toc221095476" w:id="48"/>
      <w:r>
        <w:t>Proxy IDM Notilus</w:t>
      </w:r>
      <w:bookmarkEnd w:id="48"/>
    </w:p>
    <w:p w:rsidR="006E6D7A" w:rsidRDefault="00B16C64" w14:paraId="67156FB2" w14:textId="77777777">
      <w:r>
        <w:rPr>
          <w:noProof/>
        </w:rPr>
        <mc:AlternateContent>
          <mc:Choice Requires="wpg">
            <w:drawing>
              <wp:inline distT="0" distB="0" distL="0" distR="0" wp14:anchorId="67157C1F" wp14:editId="67157C20">
                <wp:extent cx="5940425" cy="2917664"/>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56645" name=""/>
                        <pic:cNvPicPr>
                          <a:picLocks noChangeAspect="1"/>
                        </pic:cNvPicPr>
                      </pic:nvPicPr>
                      <pic:blipFill rotWithShape="1">
                        <a:blip r:embed="rId60"/>
                        <a:stretch/>
                      </pic:blipFill>
                      <pic:spPr bwMode="auto">
                        <a:xfrm>
                          <a:off x="0" y="0"/>
                          <a:ext cx="5940423" cy="2917663"/>
                        </a:xfrm>
                        <a:prstGeom prst="rect">
                          <a:avLst/>
                        </a:prstGeom>
                      </pic:spPr>
                    </pic:pic>
                  </a:graphicData>
                </a:graphic>
              </wp:inline>
            </w:drawing>
          </mc:Choice>
          <mc:Fallback xmlns:a="http://schemas.openxmlformats.org/drawingml/2006/main">
            <w:pict w14:anchorId="638A4EB9">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1" style="width:467.75pt;height:229.74pt;mso-wrap-distance-left:0.00pt;mso-wrap-distance-top:0.00pt;mso-wrap-distance-right:0.00pt;mso-wrap-distance-bottom:0.00pt;z-index:1;" o:spid="_x0000_s21" stroked="false" type="#_x0000_t75">
                <v:imagedata o:title="" r:id="rId61"/>
                <o:lock v:ext="edit" rotation="t"/>
              </v:shape>
            </w:pict>
          </mc:Fallback>
        </mc:AlternateContent>
      </w:r>
    </w:p>
    <w:p w:rsidR="006E6D7A" w:rsidRDefault="00B16C64" w14:paraId="67156FB3" w14:textId="77777777">
      <w:r>
        <w:t>Proxy qui rajoute une surcouche, afin de permettre la diffusion des habilitations Notilus.</w:t>
      </w:r>
    </w:p>
    <w:p w:rsidR="006E6D7A" w:rsidRDefault="00B16C64" w14:paraId="67156FB4" w14:textId="77777777">
      <w:r>
        <w:t>Composants techniques :</w:t>
      </w:r>
    </w:p>
    <w:p w:rsidR="006E6D7A" w:rsidRDefault="00B16C64" w14:paraId="67156FB5" w14:textId="77777777">
      <w:pPr>
        <w:pStyle w:val="Paragraphedeliste"/>
        <w:numPr>
          <w:ilvl w:val="0"/>
          <w:numId w:val="90"/>
        </w:numPr>
      </w:pPr>
      <w:proofErr w:type="spellStart"/>
      <w:r>
        <w:t>NodeJS</w:t>
      </w:r>
      <w:proofErr w:type="spellEnd"/>
      <w:r>
        <w:t xml:space="preserve"> 14</w:t>
      </w:r>
    </w:p>
    <w:p w:rsidR="006E6D7A" w:rsidRDefault="00B16C64" w14:paraId="67156FB6" w14:textId="77777777">
      <w:pPr>
        <w:pStyle w:val="Titre3"/>
        <w:numPr>
          <w:ilvl w:val="4"/>
          <w:numId w:val="3"/>
        </w:numPr>
      </w:pPr>
      <w:bookmarkStart w:name="_Toc221095477" w:id="49"/>
      <w:r>
        <w:lastRenderedPageBreak/>
        <w:t>API LDAP Externe</w:t>
      </w:r>
      <w:bookmarkEnd w:id="49"/>
    </w:p>
    <w:p w:rsidR="006E6D7A" w:rsidRDefault="00B16C64" w14:paraId="67156FB7" w14:textId="77777777">
      <w:r>
        <w:rPr>
          <w:noProof/>
        </w:rPr>
        <mc:AlternateContent>
          <mc:Choice Requires="wpg">
            <w:drawing>
              <wp:inline distT="0" distB="0" distL="0" distR="0" wp14:anchorId="67157C21" wp14:editId="67157C22">
                <wp:extent cx="5940425" cy="1779131"/>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690400" name=""/>
                        <pic:cNvPicPr>
                          <a:picLocks noChangeAspect="1"/>
                        </pic:cNvPicPr>
                      </pic:nvPicPr>
                      <pic:blipFill rotWithShape="1">
                        <a:blip r:embed="rId62"/>
                        <a:stretch/>
                      </pic:blipFill>
                      <pic:spPr bwMode="auto">
                        <a:xfrm>
                          <a:off x="0" y="0"/>
                          <a:ext cx="5940423" cy="1779129"/>
                        </a:xfrm>
                        <a:prstGeom prst="rect">
                          <a:avLst/>
                        </a:prstGeom>
                      </pic:spPr>
                    </pic:pic>
                  </a:graphicData>
                </a:graphic>
              </wp:inline>
            </w:drawing>
          </mc:Choice>
          <mc:Fallback xmlns:a="http://schemas.openxmlformats.org/drawingml/2006/main">
            <w:pict w14:anchorId="6F096F2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2" style="width:467.75pt;height:140.09pt;mso-wrap-distance-left:0.00pt;mso-wrap-distance-top:0.00pt;mso-wrap-distance-right:0.00pt;mso-wrap-distance-bottom:0.00pt;z-index:1;" o:spid="_x0000_s22" stroked="false" type="#_x0000_t75">
                <v:imagedata o:title="" r:id="rId63"/>
                <o:lock v:ext="edit" rotation="t"/>
              </v:shape>
            </w:pict>
          </mc:Fallback>
        </mc:AlternateContent>
      </w:r>
    </w:p>
    <w:p w:rsidR="006E6D7A" w:rsidRDefault="00B16C64" w14:paraId="67156FB8" w14:textId="77777777">
      <w:r>
        <w:t>APIs de gestion des utilisateurs externes (</w:t>
      </w:r>
      <w:proofErr w:type="spellStart"/>
      <w:r>
        <w:t>ie</w:t>
      </w:r>
      <w:proofErr w:type="spellEnd"/>
      <w:r>
        <w:t xml:space="preserve"> Non rémunérés).</w:t>
      </w:r>
    </w:p>
    <w:p w:rsidR="006E6D7A" w:rsidRDefault="00B16C64" w14:paraId="67156FB9" w14:textId="77777777">
      <w:r>
        <w:t>Composants techniques :</w:t>
      </w:r>
    </w:p>
    <w:p w:rsidR="006E6D7A" w:rsidRDefault="00B16C64" w14:paraId="67156FBA" w14:textId="77777777">
      <w:pPr>
        <w:pStyle w:val="Paragraphedeliste"/>
        <w:numPr>
          <w:ilvl w:val="0"/>
          <w:numId w:val="91"/>
        </w:numPr>
      </w:pPr>
      <w:r>
        <w:t>Java 8</w:t>
      </w:r>
    </w:p>
    <w:p w:rsidR="006E6D7A" w:rsidRDefault="00B16C64" w14:paraId="67156FBB" w14:textId="77777777">
      <w:pPr>
        <w:pStyle w:val="Paragraphedeliste"/>
        <w:numPr>
          <w:ilvl w:val="0"/>
          <w:numId w:val="91"/>
        </w:numPr>
      </w:pPr>
      <w:r>
        <w:t>Tomcat 8</w:t>
      </w:r>
    </w:p>
    <w:p w:rsidR="006E6D7A" w:rsidRDefault="006E6D7A" w14:paraId="67156FBC" w14:textId="77777777">
      <w:pPr>
        <w:rPr>
          <w:rStyle w:val="Heading2Char"/>
        </w:rPr>
      </w:pPr>
    </w:p>
    <w:p w:rsidR="006E6D7A" w:rsidRDefault="00B16C64" w14:paraId="67156FBD" w14:textId="77777777">
      <w:pPr>
        <w:pStyle w:val="Titre3"/>
        <w:numPr>
          <w:ilvl w:val="3"/>
          <w:numId w:val="3"/>
        </w:numPr>
      </w:pPr>
      <w:bookmarkStart w:name="_Toc221095478" w:id="50"/>
      <w:r>
        <w:t>Plateforme AM</w:t>
      </w:r>
      <w:bookmarkEnd w:id="50"/>
    </w:p>
    <w:p w:rsidR="006E6D7A" w:rsidRDefault="00B16C64" w14:paraId="67156FBE" w14:textId="77777777">
      <w:pPr>
        <w:jc w:val="left"/>
      </w:pPr>
      <w:proofErr w:type="gramStart"/>
      <w:r>
        <w:t>Les composant</w:t>
      </w:r>
      <w:proofErr w:type="gramEnd"/>
      <w:r>
        <w:t xml:space="preserve"> sont répartie sur 3 datacenters différents</w:t>
      </w:r>
      <w:r>
        <w:rPr>
          <w:noProof/>
        </w:rPr>
        <mc:AlternateContent>
          <mc:Choice Requires="wpg">
            <w:drawing>
              <wp:inline distT="0" distB="0" distL="0" distR="0" wp14:anchorId="67157C23" wp14:editId="67157C24">
                <wp:extent cx="5940425" cy="230182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94969" name=""/>
                        <pic:cNvPicPr>
                          <a:picLocks noChangeAspect="1"/>
                        </pic:cNvPicPr>
                      </pic:nvPicPr>
                      <pic:blipFill rotWithShape="1">
                        <a:blip r:embed="rId64"/>
                        <a:stretch/>
                      </pic:blipFill>
                      <pic:spPr bwMode="auto">
                        <a:xfrm>
                          <a:off x="0" y="0"/>
                          <a:ext cx="5940423" cy="2301824"/>
                        </a:xfrm>
                        <a:prstGeom prst="rect">
                          <a:avLst/>
                        </a:prstGeom>
                      </pic:spPr>
                    </pic:pic>
                  </a:graphicData>
                </a:graphic>
              </wp:inline>
            </w:drawing>
          </mc:Choice>
          <mc:Fallback xmlns:a="http://schemas.openxmlformats.org/drawingml/2006/main">
            <w:pict w14:anchorId="47311FDC">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3" style="width:467.75pt;height:181.25pt;mso-wrap-distance-left:0.00pt;mso-wrap-distance-top:0.00pt;mso-wrap-distance-right:0.00pt;mso-wrap-distance-bottom:0.00pt;z-index:1;" o:spid="_x0000_s23" stroked="false" type="#_x0000_t75">
                <v:imagedata o:title="" r:id="rId65"/>
                <o:lock v:ext="edit" rotation="t"/>
              </v:shape>
            </w:pict>
          </mc:Fallback>
        </mc:AlternateContent>
      </w:r>
    </w:p>
    <w:p w:rsidR="006E6D7A" w:rsidRDefault="00B16C64" w14:paraId="67156FBF" w14:textId="77777777">
      <w:pPr>
        <w:pStyle w:val="Titre3"/>
        <w:numPr>
          <w:ilvl w:val="4"/>
          <w:numId w:val="3"/>
        </w:numPr>
      </w:pPr>
      <w:bookmarkStart w:name="_Toc221095479" w:id="51"/>
      <w:r>
        <w:t>Composants techniques</w:t>
      </w:r>
      <w:bookmarkEnd w:id="51"/>
    </w:p>
    <w:p w:rsidR="006E6D7A" w:rsidRDefault="00B16C64" w14:paraId="67156FC0" w14:textId="77777777">
      <w:r>
        <w:t>Les composants techniques mis œuvre sont :</w:t>
      </w:r>
    </w:p>
    <w:p w:rsidR="006E6D7A" w:rsidRDefault="00B16C64" w14:paraId="67156FC1" w14:textId="77777777">
      <w:pPr>
        <w:pStyle w:val="Paragraphedeliste"/>
        <w:numPr>
          <w:ilvl w:val="0"/>
          <w:numId w:val="92"/>
        </w:numPr>
      </w:pPr>
      <w:r>
        <w:t xml:space="preserve">Apache2 (avec module </w:t>
      </w:r>
      <w:proofErr w:type="spellStart"/>
      <w:r>
        <w:t>mod_oidc</w:t>
      </w:r>
      <w:proofErr w:type="spellEnd"/>
      <w:r>
        <w:t xml:space="preserve">, </w:t>
      </w:r>
      <w:proofErr w:type="spellStart"/>
      <w:r>
        <w:t>mod_mellon</w:t>
      </w:r>
      <w:proofErr w:type="spellEnd"/>
      <w:r>
        <w:t xml:space="preserve">, </w:t>
      </w:r>
      <w:proofErr w:type="spellStart"/>
      <w:r>
        <w:t>mod_cas</w:t>
      </w:r>
      <w:proofErr w:type="spellEnd"/>
      <w:proofErr w:type="gramStart"/>
      <w:r>
        <w:t>, )</w:t>
      </w:r>
      <w:proofErr w:type="gramEnd"/>
    </w:p>
    <w:p w:rsidR="006E6D7A" w:rsidRDefault="00B16C64" w14:paraId="67156FC2" w14:textId="77777777">
      <w:pPr>
        <w:pStyle w:val="Paragraphedeliste"/>
        <w:numPr>
          <w:ilvl w:val="0"/>
          <w:numId w:val="92"/>
        </w:numPr>
      </w:pPr>
      <w:r>
        <w:t xml:space="preserve">Nginx (module </w:t>
      </w:r>
      <w:proofErr w:type="spellStart"/>
      <w:r>
        <w:t>lua</w:t>
      </w:r>
      <w:proofErr w:type="spellEnd"/>
      <w:r>
        <w:t>)</w:t>
      </w:r>
    </w:p>
    <w:p w:rsidR="006E6D7A" w:rsidRDefault="00B16C64" w14:paraId="67156FC3" w14:textId="77777777">
      <w:pPr>
        <w:pStyle w:val="Paragraphedeliste"/>
        <w:numPr>
          <w:ilvl w:val="0"/>
          <w:numId w:val="92"/>
        </w:numPr>
      </w:pPr>
      <w:proofErr w:type="spellStart"/>
      <w:r>
        <w:t>MariadB</w:t>
      </w:r>
      <w:proofErr w:type="spellEnd"/>
      <w:r>
        <w:t xml:space="preserve"> 10.5.26 (module galera pour la réplication)</w:t>
      </w:r>
    </w:p>
    <w:p w:rsidR="006E6D7A" w:rsidRDefault="00B16C64" w14:paraId="67156FC4" w14:textId="77777777">
      <w:pPr>
        <w:pStyle w:val="Paragraphedeliste"/>
        <w:numPr>
          <w:ilvl w:val="0"/>
          <w:numId w:val="92"/>
        </w:numPr>
      </w:pPr>
      <w:proofErr w:type="spellStart"/>
      <w:proofErr w:type="gramStart"/>
      <w:r>
        <w:t>Lemonldap</w:t>
      </w:r>
      <w:proofErr w:type="spellEnd"/>
      <w:r>
        <w:t>::</w:t>
      </w:r>
      <w:proofErr w:type="spellStart"/>
      <w:proofErr w:type="gramEnd"/>
      <w:r>
        <w:t>ng</w:t>
      </w:r>
      <w:proofErr w:type="spellEnd"/>
      <w:r>
        <w:t xml:space="preserve"> 2.20 ( en mode IDP SAML/CAS / OIDC et SP CAS / OIDC / SAML)</w:t>
      </w:r>
    </w:p>
    <w:p w:rsidR="006E6D7A" w:rsidRDefault="00B16C64" w14:paraId="67156FC5" w14:textId="77777777">
      <w:pPr>
        <w:pStyle w:val="Paragraphedeliste"/>
        <w:numPr>
          <w:ilvl w:val="0"/>
          <w:numId w:val="92"/>
        </w:numPr>
      </w:pPr>
      <w:proofErr w:type="spellStart"/>
      <w:proofErr w:type="gramStart"/>
      <w:r>
        <w:t>haproxy</w:t>
      </w:r>
      <w:proofErr w:type="spellEnd"/>
      <w:proofErr w:type="gramEnd"/>
      <w:r>
        <w:t xml:space="preserve"> (</w:t>
      </w:r>
      <w:proofErr w:type="spellStart"/>
      <w:r>
        <w:t>proxying</w:t>
      </w:r>
      <w:proofErr w:type="spellEnd"/>
      <w:r>
        <w:t xml:space="preserve"> TCP pour les requêtes </w:t>
      </w:r>
      <w:proofErr w:type="spellStart"/>
      <w:r>
        <w:t>Mariadb</w:t>
      </w:r>
      <w:proofErr w:type="spellEnd"/>
      <w:r>
        <w:t>)</w:t>
      </w:r>
    </w:p>
    <w:p w:rsidR="006E6D7A" w:rsidRDefault="00B16C64" w14:paraId="67156FC6" w14:textId="77777777">
      <w:pPr>
        <w:pStyle w:val="Paragraphedeliste"/>
        <w:numPr>
          <w:ilvl w:val="0"/>
          <w:numId w:val="92"/>
        </w:numPr>
      </w:pPr>
      <w:proofErr w:type="spellStart"/>
      <w:r>
        <w:t>OpenLDAP</w:t>
      </w:r>
      <w:proofErr w:type="spellEnd"/>
      <w:r>
        <w:t xml:space="preserve"> 2.4 </w:t>
      </w:r>
      <w:proofErr w:type="gramStart"/>
      <w:r>
        <w:t>( avec</w:t>
      </w:r>
      <w:proofErr w:type="gramEnd"/>
      <w:r>
        <w:t xml:space="preserve"> overlay </w:t>
      </w:r>
      <w:proofErr w:type="spellStart"/>
      <w:r>
        <w:t>syncrepl</w:t>
      </w:r>
      <w:proofErr w:type="spellEnd"/>
      <w:r>
        <w:t xml:space="preserve">, </w:t>
      </w:r>
      <w:proofErr w:type="spellStart"/>
      <w:r>
        <w:t>uniq</w:t>
      </w:r>
      <w:proofErr w:type="spellEnd"/>
      <w:r>
        <w:t xml:space="preserve">, </w:t>
      </w:r>
      <w:proofErr w:type="spellStart"/>
      <w:r>
        <w:t>ppolicy</w:t>
      </w:r>
      <w:proofErr w:type="spellEnd"/>
      <w:r>
        <w:t>, audit ,...)</w:t>
      </w:r>
    </w:p>
    <w:p w:rsidR="006E6D7A" w:rsidRDefault="00B16C64" w14:paraId="67156FC7" w14:textId="77777777">
      <w:pPr>
        <w:pStyle w:val="Titre3"/>
        <w:numPr>
          <w:ilvl w:val="4"/>
          <w:numId w:val="3"/>
        </w:numPr>
      </w:pPr>
      <w:bookmarkStart w:name="_Toc221095480" w:id="52"/>
      <w:r>
        <w:lastRenderedPageBreak/>
        <w:t xml:space="preserve">Protocoles / </w:t>
      </w:r>
      <w:proofErr w:type="spellStart"/>
      <w:r>
        <w:t>Language</w:t>
      </w:r>
      <w:bookmarkEnd w:id="52"/>
      <w:proofErr w:type="spellEnd"/>
    </w:p>
    <w:p w:rsidR="006E6D7A" w:rsidRDefault="00B16C64" w14:paraId="67156FC8" w14:textId="77777777">
      <w:r>
        <w:t xml:space="preserve">Les protocoles utilisés sont les suivants : </w:t>
      </w:r>
    </w:p>
    <w:p w:rsidR="006E6D7A" w:rsidRDefault="00B16C64" w14:paraId="67156FC9" w14:textId="77777777">
      <w:pPr>
        <w:pStyle w:val="Paragraphedeliste"/>
        <w:numPr>
          <w:ilvl w:val="0"/>
          <w:numId w:val="93"/>
        </w:numPr>
      </w:pPr>
      <w:r>
        <w:t xml:space="preserve">SAML Simple Assertion Markup </w:t>
      </w:r>
      <w:proofErr w:type="spellStart"/>
      <w:r>
        <w:t>Language</w:t>
      </w:r>
      <w:proofErr w:type="spellEnd"/>
    </w:p>
    <w:p w:rsidR="006E6D7A" w:rsidRDefault="00B16C64" w14:paraId="67156FCA" w14:textId="77777777">
      <w:pPr>
        <w:pStyle w:val="Paragraphedeliste"/>
        <w:numPr>
          <w:ilvl w:val="1"/>
          <w:numId w:val="93"/>
        </w:numPr>
      </w:pPr>
      <w:r>
        <w:t xml:space="preserve">SAML </w:t>
      </w:r>
      <w:proofErr w:type="gramStart"/>
      <w:r>
        <w:t>direct  SP</w:t>
      </w:r>
      <w:proofErr w:type="gramEnd"/>
      <w:r>
        <w:t xml:space="preserve"> &lt;=&gt; IDP</w:t>
      </w:r>
    </w:p>
    <w:p w:rsidR="006E6D7A" w:rsidRDefault="00B16C64" w14:paraId="67156FCB" w14:textId="77777777">
      <w:pPr>
        <w:pStyle w:val="Paragraphedeliste"/>
        <w:numPr>
          <w:ilvl w:val="1"/>
          <w:numId w:val="93"/>
        </w:numPr>
      </w:pPr>
      <w:r>
        <w:t xml:space="preserve">SAML </w:t>
      </w:r>
      <w:proofErr w:type="gramStart"/>
      <w:r>
        <w:t>Fédération  SP</w:t>
      </w:r>
      <w:proofErr w:type="gramEnd"/>
      <w:r>
        <w:t xml:space="preserve"> &lt;=&gt; Fédération SAML &lt;=&gt; IDP</w:t>
      </w:r>
    </w:p>
    <w:p w:rsidR="006E6D7A" w:rsidRDefault="00B16C64" w14:paraId="67156FCC" w14:textId="77777777">
      <w:pPr>
        <w:pStyle w:val="Paragraphedeliste"/>
        <w:numPr>
          <w:ilvl w:val="0"/>
          <w:numId w:val="93"/>
        </w:numPr>
      </w:pPr>
      <w:r>
        <w:t xml:space="preserve">CAS </w:t>
      </w:r>
      <w:proofErr w:type="spellStart"/>
      <w:r>
        <w:t>Centralized</w:t>
      </w:r>
      <w:proofErr w:type="spellEnd"/>
      <w:r>
        <w:t xml:space="preserve"> Access Service</w:t>
      </w:r>
    </w:p>
    <w:p w:rsidR="006E6D7A" w:rsidRDefault="00B16C64" w14:paraId="67156FCD" w14:textId="77777777">
      <w:pPr>
        <w:pStyle w:val="Paragraphedeliste"/>
        <w:numPr>
          <w:ilvl w:val="0"/>
          <w:numId w:val="93"/>
        </w:numPr>
      </w:pPr>
      <w:r>
        <w:t>OIDC (</w:t>
      </w:r>
      <w:proofErr w:type="spellStart"/>
      <w:r>
        <w:t>OpenIDConnect</w:t>
      </w:r>
      <w:proofErr w:type="spellEnd"/>
      <w:r>
        <w:t xml:space="preserve">) </w:t>
      </w:r>
    </w:p>
    <w:p w:rsidR="006E6D7A" w:rsidRDefault="00B16C64" w14:paraId="67156FCE" w14:textId="77777777">
      <w:pPr>
        <w:pStyle w:val="Paragraphedeliste"/>
        <w:numPr>
          <w:ilvl w:val="0"/>
          <w:numId w:val="93"/>
        </w:numPr>
      </w:pPr>
      <w:r>
        <w:t xml:space="preserve">MFA : </w:t>
      </w:r>
      <w:proofErr w:type="spellStart"/>
      <w:r>
        <w:t>WebAuthn</w:t>
      </w:r>
      <w:proofErr w:type="spellEnd"/>
      <w:r>
        <w:t xml:space="preserve"> / TOTP</w:t>
      </w:r>
    </w:p>
    <w:p w:rsidR="006E6D7A" w:rsidRDefault="00B16C64" w14:paraId="67156FCF" w14:textId="77777777">
      <w:pPr>
        <w:pStyle w:val="Paragraphedeliste"/>
        <w:numPr>
          <w:ilvl w:val="0"/>
          <w:numId w:val="93"/>
        </w:numPr>
      </w:pPr>
      <w:r>
        <w:t>Perl / Shell / Ansible</w:t>
      </w:r>
    </w:p>
    <w:p w:rsidR="006E6D7A" w:rsidRDefault="00B16C64" w14:paraId="67156FD0" w14:textId="77777777">
      <w:r>
        <w:br w:type="page" w:clear="all"/>
      </w:r>
    </w:p>
    <w:p w:rsidR="006E6D7A" w:rsidRDefault="006E6D7A" w14:paraId="67156FD1" w14:textId="77777777">
      <w:pPr>
        <w:rPr>
          <w:rStyle w:val="Heading2Char"/>
        </w:rPr>
      </w:pPr>
    </w:p>
    <w:p w:rsidR="006E6D7A" w:rsidRDefault="006E6D7A" w14:paraId="67156FD2" w14:textId="77777777">
      <w:pPr>
        <w:rPr>
          <w:rStyle w:val="Heading2Char"/>
        </w:rPr>
      </w:pPr>
    </w:p>
    <w:p w:rsidR="006E6D7A" w:rsidRDefault="006E6D7A" w14:paraId="67156FD3" w14:textId="77777777">
      <w:pPr>
        <w:rPr>
          <w:rStyle w:val="Heading2Char"/>
        </w:rPr>
      </w:pPr>
    </w:p>
    <w:p w:rsidR="006E6D7A" w:rsidRDefault="006E6D7A" w14:paraId="67156FD4" w14:textId="77777777">
      <w:pPr>
        <w:rPr>
          <w:rStyle w:val="Heading2Char"/>
        </w:rPr>
      </w:pPr>
    </w:p>
    <w:p w:rsidR="006E6D7A" w:rsidRDefault="00B16C64" w14:paraId="67156FD5" w14:textId="77777777">
      <w:pPr>
        <w:rPr>
          <w:rStyle w:val="Heading2Char"/>
        </w:rPr>
      </w:pPr>
      <w:r>
        <w:rPr>
          <w:rStyle w:val="Heading2Char"/>
        </w:rPr>
        <w:t>Indicateurs de la plateforme IAM</w:t>
      </w:r>
    </w:p>
    <w:p w:rsidR="006E6D7A" w:rsidRDefault="006E6D7A" w14:paraId="67156FD6" w14:textId="77777777"/>
    <w:p w:rsidR="006E6D7A" w:rsidRDefault="00B16C64" w14:paraId="67156FD7" w14:textId="77777777">
      <w:r>
        <w:rPr>
          <w:noProof/>
        </w:rPr>
        <mc:AlternateContent>
          <mc:Choice Requires="wpg">
            <w:drawing>
              <wp:inline distT="0" distB="0" distL="0" distR="0" wp14:anchorId="67157C25" wp14:editId="67157C26">
                <wp:extent cx="3562350" cy="2924175"/>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13306" name=""/>
                        <pic:cNvPicPr>
                          <a:picLocks noChangeAspect="1"/>
                        </pic:cNvPicPr>
                      </pic:nvPicPr>
                      <pic:blipFill rotWithShape="1">
                        <a:blip r:embed="rId66"/>
                        <a:stretch/>
                      </pic:blipFill>
                      <pic:spPr bwMode="auto">
                        <a:xfrm>
                          <a:off x="0" y="0"/>
                          <a:ext cx="3562348" cy="2924173"/>
                        </a:xfrm>
                        <a:prstGeom prst="rect">
                          <a:avLst/>
                        </a:prstGeom>
                      </pic:spPr>
                    </pic:pic>
                  </a:graphicData>
                </a:graphic>
              </wp:inline>
            </w:drawing>
          </mc:Choice>
          <mc:Fallback xmlns:a="http://schemas.openxmlformats.org/drawingml/2006/main">
            <w:pict w14:anchorId="3A86253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4" style="width:280.50pt;height:230.25pt;mso-wrap-distance-left:0.00pt;mso-wrap-distance-top:0.00pt;mso-wrap-distance-right:0.00pt;mso-wrap-distance-bottom:0.00pt;z-index:1;" o:spid="_x0000_s24" stroked="false" type="#_x0000_t75">
                <v:imagedata o:title="" r:id="rId67"/>
                <o:lock v:ext="edit" rotation="t"/>
              </v:shape>
            </w:pict>
          </mc:Fallback>
        </mc:AlternateContent>
      </w:r>
    </w:p>
    <w:p w:rsidR="006E6D7A" w:rsidRDefault="006E6D7A" w14:paraId="67156FD8" w14:textId="77777777"/>
    <w:p w:rsidR="006E6D7A" w:rsidRDefault="00B16C64" w14:paraId="67156FD9" w14:textId="77777777">
      <w:pPr>
        <w:jc w:val="left"/>
      </w:pPr>
      <w:r>
        <w:t>24 000 comptes techniques</w:t>
      </w:r>
      <w:r>
        <w:br/>
      </w:r>
      <w:r>
        <w:t>15 000 identités gouvernées</w:t>
      </w:r>
    </w:p>
    <w:p w:rsidR="006E6D7A" w:rsidRDefault="006E6D7A" w14:paraId="67156FDA" w14:textId="77777777"/>
    <w:p w:rsidR="006E6D7A" w:rsidRDefault="00B16C64" w14:paraId="67156FDB" w14:textId="77777777">
      <w:pPr>
        <w:pStyle w:val="Titre3"/>
        <w:numPr>
          <w:ilvl w:val="3"/>
          <w:numId w:val="3"/>
        </w:numPr>
      </w:pPr>
      <w:bookmarkStart w:name="_Toc221095481" w:id="53"/>
      <w:r>
        <w:lastRenderedPageBreak/>
        <w:t>Enjeux</w:t>
      </w:r>
      <w:bookmarkEnd w:id="53"/>
    </w:p>
    <w:p w:rsidR="006E6D7A" w:rsidRDefault="00B16C64" w14:paraId="67156FDC" w14:textId="77777777">
      <w:r>
        <w:rPr>
          <w:noProof/>
        </w:rPr>
        <mc:AlternateContent>
          <mc:Choice Requires="wpg">
            <w:drawing>
              <wp:inline distT="0" distB="0" distL="0" distR="0" wp14:anchorId="67157C27" wp14:editId="67157C28">
                <wp:extent cx="5940425" cy="3206883"/>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979205" name=""/>
                        <pic:cNvPicPr>
                          <a:picLocks noChangeAspect="1"/>
                        </pic:cNvPicPr>
                      </pic:nvPicPr>
                      <pic:blipFill rotWithShape="1">
                        <a:blip r:embed="rId68"/>
                        <a:stretch/>
                      </pic:blipFill>
                      <pic:spPr bwMode="auto">
                        <a:xfrm>
                          <a:off x="0" y="0"/>
                          <a:ext cx="5940424" cy="3206882"/>
                        </a:xfrm>
                        <a:prstGeom prst="rect">
                          <a:avLst/>
                        </a:prstGeom>
                      </pic:spPr>
                    </pic:pic>
                  </a:graphicData>
                </a:graphic>
              </wp:inline>
            </w:drawing>
          </mc:Choice>
          <mc:Fallback xmlns:a="http://schemas.openxmlformats.org/drawingml/2006/main">
            <w:pict w14:anchorId="280B194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5" style="width:467.75pt;height:252.51pt;mso-wrap-distance-left:0.00pt;mso-wrap-distance-top:0.00pt;mso-wrap-distance-right:0.00pt;mso-wrap-distance-bottom:0.00pt;rotation:0;z-index:1;" o:spid="_x0000_s25" stroked="false" type="#_x0000_t75">
                <v:imagedata o:title="" r:id="rId69"/>
                <o:lock v:ext="edit" rotation="t"/>
              </v:shape>
            </w:pict>
          </mc:Fallback>
        </mc:AlternateContent>
      </w:r>
    </w:p>
    <w:p w:rsidR="006E6D7A" w:rsidRDefault="00B16C64" w14:paraId="67156FDD" w14:textId="77777777">
      <w:pPr>
        <w:pStyle w:val="Titre3"/>
        <w:numPr>
          <w:ilvl w:val="3"/>
          <w:numId w:val="3"/>
        </w:numPr>
      </w:pPr>
      <w:bookmarkStart w:name="_Toc221095482" w:id="54"/>
      <w:r>
        <w:t>Roadmap</w:t>
      </w:r>
      <w:bookmarkEnd w:id="54"/>
    </w:p>
    <w:p w:rsidR="006E6D7A" w:rsidRDefault="00B16C64" w14:paraId="67156FDE" w14:textId="77777777">
      <w:r>
        <w:rPr>
          <w:noProof/>
        </w:rPr>
        <mc:AlternateContent>
          <mc:Choice Requires="wpg">
            <w:drawing>
              <wp:inline distT="0" distB="0" distL="0" distR="0" wp14:anchorId="67157C29" wp14:editId="67157C2A">
                <wp:extent cx="6120130" cy="3715295"/>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20479" name=""/>
                        <pic:cNvPicPr>
                          <a:picLocks noChangeAspect="1"/>
                        </pic:cNvPicPr>
                      </pic:nvPicPr>
                      <pic:blipFill rotWithShape="1">
                        <a:blip r:embed="rId70"/>
                        <a:stretch/>
                      </pic:blipFill>
                      <pic:spPr bwMode="auto">
                        <a:xfrm>
                          <a:off x="0" y="0"/>
                          <a:ext cx="6120129" cy="3715295"/>
                        </a:xfrm>
                        <a:prstGeom prst="rect">
                          <a:avLst/>
                        </a:prstGeom>
                      </pic:spPr>
                    </pic:pic>
                  </a:graphicData>
                </a:graphic>
              </wp:inline>
            </w:drawing>
          </mc:Choice>
          <mc:Fallback xmlns:a="http://schemas.openxmlformats.org/drawingml/2006/main">
            <w:pict w14:anchorId="36B6BD8C">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6" style="width:481.90pt;height:292.54pt;mso-wrap-distance-left:0.00pt;mso-wrap-distance-top:0.00pt;mso-wrap-distance-right:0.00pt;mso-wrap-distance-bottom:0.00pt;z-index:1;" o:spid="_x0000_s26" stroked="false" type="#_x0000_t75">
                <v:imagedata o:title="" r:id="rId71"/>
                <o:lock v:ext="edit" rotation="t"/>
              </v:shape>
            </w:pict>
          </mc:Fallback>
        </mc:AlternateContent>
      </w:r>
    </w:p>
    <w:p w:rsidR="006E6D7A" w:rsidRDefault="00B16C64" w14:paraId="67156FDF" w14:textId="77777777">
      <w:pPr>
        <w:pStyle w:val="Titre2"/>
      </w:pPr>
      <w:bookmarkStart w:name="_Toc221095483" w:id="55"/>
      <w:r>
        <w:t>journaux (gestion des logs)</w:t>
      </w:r>
      <w:bookmarkEnd w:id="55"/>
    </w:p>
    <w:p w:rsidR="006E6D7A" w:rsidRDefault="00B16C64" w14:paraId="67156FE0" w14:textId="77777777">
      <w:pPr>
        <w:pStyle w:val="Titre3"/>
        <w:numPr>
          <w:ilvl w:val="3"/>
          <w:numId w:val="3"/>
        </w:numPr>
      </w:pPr>
      <w:bookmarkStart w:name="_Toc221095484" w:id="56"/>
      <w:r>
        <w:t>Description des logs</w:t>
      </w:r>
      <w:bookmarkEnd w:id="56"/>
    </w:p>
    <w:p w:rsidR="006E6D7A" w:rsidRDefault="00B16C64" w14:paraId="67156FE1" w14:textId="77777777">
      <w:r>
        <w:t xml:space="preserve">La plateforme LOG </w:t>
      </w:r>
      <w:proofErr w:type="gramStart"/>
      <w:r>
        <w:t>est  composée</w:t>
      </w:r>
      <w:proofErr w:type="gramEnd"/>
      <w:r>
        <w:t xml:space="preserve"> de 2 plateformes de collecte de Log</w:t>
      </w:r>
    </w:p>
    <w:p w:rsidR="006E6D7A" w:rsidRDefault="00B16C64" w14:paraId="67156FE2" w14:textId="77777777">
      <w:pPr>
        <w:numPr>
          <w:ilvl w:val="0"/>
          <w:numId w:val="69"/>
        </w:numPr>
      </w:pPr>
      <w:r>
        <w:lastRenderedPageBreak/>
        <w:t xml:space="preserve">1 plateforme LOG dédiée </w:t>
      </w:r>
      <w:proofErr w:type="gramStart"/>
      <w:r>
        <w:t>Infrastructures  opérée</w:t>
      </w:r>
      <w:proofErr w:type="gramEnd"/>
      <w:r>
        <w:t xml:space="preserve"> par le pôle Infra (service </w:t>
      </w:r>
      <w:proofErr w:type="spellStart"/>
      <w:r>
        <w:t>ProdT</w:t>
      </w:r>
      <w:proofErr w:type="spellEnd"/>
      <w:r>
        <w:t>)</w:t>
      </w:r>
    </w:p>
    <w:p w:rsidR="006E6D7A" w:rsidRDefault="00B16C64" w14:paraId="67156FE3" w14:textId="77777777">
      <w:pPr>
        <w:numPr>
          <w:ilvl w:val="0"/>
          <w:numId w:val="69"/>
        </w:numPr>
      </w:pPr>
      <w:r>
        <w:t>1 plateforme LOG dédiée application opérée par Solaire</w:t>
      </w:r>
    </w:p>
    <w:p w:rsidR="006E6D7A" w:rsidRDefault="006E6D7A" w14:paraId="67156FE4" w14:textId="77777777"/>
    <w:p w:rsidR="006E6D7A" w:rsidRDefault="00B16C64" w14:paraId="67156FE5" w14:textId="77777777">
      <w:r>
        <w:t xml:space="preserve">Ces plateformes sont composées de la </w:t>
      </w:r>
      <w:proofErr w:type="gramStart"/>
      <w:r>
        <w:t xml:space="preserve">pile  </w:t>
      </w:r>
      <w:proofErr w:type="spellStart"/>
      <w:r>
        <w:t>Elasticsearch</w:t>
      </w:r>
      <w:proofErr w:type="spellEnd"/>
      <w:proofErr w:type="gramEnd"/>
      <w:r>
        <w:t xml:space="preserve"> </w:t>
      </w:r>
      <w:proofErr w:type="spellStart"/>
      <w:r>
        <w:t>Logstash</w:t>
      </w:r>
      <w:proofErr w:type="spellEnd"/>
      <w:r>
        <w:t xml:space="preserve"> </w:t>
      </w:r>
      <w:proofErr w:type="spellStart"/>
      <w:r>
        <w:t>Kibana</w:t>
      </w:r>
      <w:proofErr w:type="spellEnd"/>
      <w:r>
        <w:t xml:space="preserve"> </w:t>
      </w:r>
    </w:p>
    <w:p w:rsidR="006E6D7A" w:rsidRDefault="00B16C64" w14:paraId="67156FE6" w14:textId="77777777">
      <w:r>
        <w:t>La volumétrie de log est de l’ordre de plusieurs dizaines de To.</w:t>
      </w:r>
    </w:p>
    <w:p w:rsidR="006E6D7A" w:rsidRDefault="006E6D7A" w14:paraId="67156FE7" w14:textId="77777777"/>
    <w:p w:rsidR="006E6D7A" w:rsidRDefault="00B16C64" w14:paraId="67156FE8" w14:textId="77777777">
      <w:pPr>
        <w:pStyle w:val="Titre3"/>
        <w:numPr>
          <w:ilvl w:val="3"/>
          <w:numId w:val="3"/>
        </w:numPr>
      </w:pPr>
      <w:bookmarkStart w:name="_Toc221095485" w:id="57"/>
      <w:r>
        <w:t>Enjeux</w:t>
      </w:r>
      <w:bookmarkEnd w:id="57"/>
    </w:p>
    <w:p w:rsidR="006E6D7A" w:rsidRDefault="006E6D7A" w14:paraId="67156FE9" w14:textId="77777777"/>
    <w:p w:rsidR="006E6D7A" w:rsidRDefault="00B16C64" w14:paraId="67156FEA" w14:textId="77777777">
      <w:r>
        <w:t xml:space="preserve">L’enjeu est de </w:t>
      </w:r>
    </w:p>
    <w:p w:rsidR="006E6D7A" w:rsidRDefault="00B16C64" w14:paraId="67156FEB" w14:textId="77777777">
      <w:pPr>
        <w:numPr>
          <w:ilvl w:val="0"/>
          <w:numId w:val="67"/>
        </w:numPr>
      </w:pPr>
      <w:r>
        <w:t xml:space="preserve">Collecter les logs des différents producteurs </w:t>
      </w:r>
      <w:proofErr w:type="gramStart"/>
      <w:r>
        <w:t>( serveurs</w:t>
      </w:r>
      <w:proofErr w:type="gramEnd"/>
      <w:r>
        <w:t xml:space="preserve"> physiques, équipements)</w:t>
      </w:r>
    </w:p>
    <w:p w:rsidR="006E6D7A" w:rsidRDefault="00B16C64" w14:paraId="67156FEC" w14:textId="77777777">
      <w:pPr>
        <w:numPr>
          <w:ilvl w:val="0"/>
          <w:numId w:val="67"/>
        </w:numPr>
      </w:pPr>
      <w:r>
        <w:t xml:space="preserve">Découper et indexer les logs </w:t>
      </w:r>
    </w:p>
    <w:p w:rsidR="006E6D7A" w:rsidRDefault="00B16C64" w14:paraId="67156FED" w14:textId="77777777">
      <w:pPr>
        <w:numPr>
          <w:ilvl w:val="0"/>
          <w:numId w:val="67"/>
        </w:numPr>
      </w:pPr>
      <w:r>
        <w:t>Stocker les journaux suivant des règles métiers</w:t>
      </w:r>
    </w:p>
    <w:p w:rsidR="006E6D7A" w:rsidRDefault="00B16C64" w14:paraId="67156FEE" w14:textId="77777777">
      <w:pPr>
        <w:numPr>
          <w:ilvl w:val="1"/>
          <w:numId w:val="67"/>
        </w:numPr>
      </w:pPr>
      <w:proofErr w:type="gramStart"/>
      <w:r>
        <w:t>archivage</w:t>
      </w:r>
      <w:proofErr w:type="gramEnd"/>
      <w:r>
        <w:t xml:space="preserve"> légal : notre RSSI demande un minima de 1 an sachant que la CNIL autorise de maintenir les logs 3 ans (https://www.cnil.fr/fr/la-cnil-publie-une-recommandation-relative-aux-mesures-de-journalisation).</w:t>
      </w:r>
    </w:p>
    <w:p w:rsidR="006E6D7A" w:rsidRDefault="00B16C64" w14:paraId="67156FEF" w14:textId="77777777">
      <w:pPr>
        <w:numPr>
          <w:ilvl w:val="1"/>
          <w:numId w:val="67"/>
        </w:numPr>
      </w:pPr>
      <w:proofErr w:type="gramStart"/>
      <w:r>
        <w:t>conservation</w:t>
      </w:r>
      <w:proofErr w:type="gramEnd"/>
      <w:r>
        <w:t xml:space="preserve"> à des fins d'observabilité du SI : 3 mois</w:t>
      </w:r>
    </w:p>
    <w:p w:rsidR="006E6D7A" w:rsidRDefault="00B16C64" w14:paraId="67156FF0" w14:textId="77777777">
      <w:pPr>
        <w:numPr>
          <w:ilvl w:val="1"/>
          <w:numId w:val="67"/>
        </w:numPr>
      </w:pPr>
      <w:proofErr w:type="gramStart"/>
      <w:r>
        <w:t>conservation</w:t>
      </w:r>
      <w:proofErr w:type="gramEnd"/>
      <w:r>
        <w:t xml:space="preserve"> à des fins d'audit de sécurité par le SIEM : 1 mois</w:t>
      </w:r>
    </w:p>
    <w:p w:rsidR="006E6D7A" w:rsidRDefault="00B16C64" w14:paraId="67156FF1" w14:textId="77777777">
      <w:r>
        <w:t>Cette plateforme est un composant important pour l’observabilité du SI.</w:t>
      </w:r>
    </w:p>
    <w:p w:rsidR="006E6D7A" w:rsidRDefault="00B16C64" w14:paraId="67156FF2" w14:textId="77777777">
      <w:pPr>
        <w:pStyle w:val="Titre3"/>
        <w:numPr>
          <w:ilvl w:val="3"/>
          <w:numId w:val="3"/>
        </w:numPr>
      </w:pPr>
      <w:bookmarkStart w:name="_Toc221095486" w:id="58"/>
      <w:r>
        <w:t>Roadmap</w:t>
      </w:r>
      <w:bookmarkEnd w:id="58"/>
    </w:p>
    <w:p w:rsidR="006E6D7A" w:rsidRDefault="006E6D7A" w14:paraId="67156FF3" w14:textId="77777777">
      <w:pPr>
        <w:spacing w:after="80"/>
      </w:pPr>
    </w:p>
    <w:p w:rsidR="006E6D7A" w:rsidRDefault="00B16C64" w14:paraId="67156FF4" w14:textId="77777777">
      <w:pPr>
        <w:spacing w:after="80"/>
      </w:pPr>
      <w:r>
        <w:t xml:space="preserve">L’objectif est de n’avoir qu’une seule plateforme de LOG </w:t>
      </w:r>
    </w:p>
    <w:p w:rsidR="006E6D7A" w:rsidRDefault="00B16C64" w14:paraId="67156FF5" w14:textId="77777777">
      <w:pPr>
        <w:numPr>
          <w:ilvl w:val="0"/>
          <w:numId w:val="68"/>
        </w:numPr>
        <w:spacing w:after="80"/>
      </w:pPr>
      <w:proofErr w:type="gramStart"/>
      <w:r>
        <w:t>résiliente</w:t>
      </w:r>
      <w:proofErr w:type="gramEnd"/>
    </w:p>
    <w:p w:rsidR="006E6D7A" w:rsidRDefault="00B16C64" w14:paraId="67156FF6" w14:textId="77777777">
      <w:pPr>
        <w:numPr>
          <w:ilvl w:val="0"/>
          <w:numId w:val="68"/>
        </w:numPr>
        <w:spacing w:after="80"/>
      </w:pPr>
      <w:proofErr w:type="gramStart"/>
      <w:r>
        <w:t>segmentée</w:t>
      </w:r>
      <w:proofErr w:type="gramEnd"/>
    </w:p>
    <w:p w:rsidR="006E6D7A" w:rsidRDefault="00B16C64" w14:paraId="67156FF7" w14:textId="77777777">
      <w:pPr>
        <w:numPr>
          <w:ilvl w:val="0"/>
          <w:numId w:val="68"/>
        </w:numPr>
        <w:spacing w:after="80"/>
      </w:pPr>
      <w:proofErr w:type="gramStart"/>
      <w:r>
        <w:t>sécurisée</w:t>
      </w:r>
      <w:proofErr w:type="gramEnd"/>
    </w:p>
    <w:p w:rsidR="006E6D7A" w:rsidRDefault="00B16C64" w14:paraId="67156FF8" w14:textId="77777777">
      <w:pPr>
        <w:spacing w:after="80"/>
      </w:pPr>
      <w:r>
        <w:t xml:space="preserve">Le schéma </w:t>
      </w:r>
      <w:proofErr w:type="spellStart"/>
      <w:r>
        <w:t>ci après</w:t>
      </w:r>
      <w:proofErr w:type="spellEnd"/>
      <w:r>
        <w:t xml:space="preserve"> donne une idée de l’approche</w:t>
      </w:r>
    </w:p>
    <w:p w:rsidR="006E6D7A" w:rsidRDefault="00B16C64" w14:paraId="67156FF9" w14:textId="77777777">
      <w:r>
        <w:rPr>
          <w:noProof/>
        </w:rPr>
        <w:lastRenderedPageBreak/>
        <mc:AlternateContent>
          <mc:Choice Requires="wpg">
            <w:drawing>
              <wp:anchor distT="0" distB="0" distL="0" distR="0" simplePos="0" relativeHeight="2" behindDoc="0" locked="0" layoutInCell="1" allowOverlap="1" wp14:anchorId="67157C2B" wp14:editId="67157C2C">
                <wp:simplePos x="0" y="0"/>
                <wp:positionH relativeFrom="column">
                  <wp:posOffset>308460</wp:posOffset>
                </wp:positionH>
                <wp:positionV relativeFrom="paragraph">
                  <wp:posOffset>99023</wp:posOffset>
                </wp:positionV>
                <wp:extent cx="4788535" cy="4636135"/>
                <wp:effectExtent l="0" t="0" r="0" b="0"/>
                <wp:wrapSquare wrapText="bothSides"/>
                <wp:docPr id="28"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046370" name="Image1"/>
                        <pic:cNvPicPr>
                          <a:picLocks noChangeAspect="1"/>
                        </pic:cNvPicPr>
                      </pic:nvPicPr>
                      <pic:blipFill rotWithShape="1">
                        <a:blip r:embed="rId72"/>
                        <a:stretch/>
                      </pic:blipFill>
                      <pic:spPr bwMode="auto">
                        <a:xfrm>
                          <a:off x="0" y="0"/>
                          <a:ext cx="4788534" cy="4636134"/>
                        </a:xfrm>
                        <a:prstGeom prst="rect">
                          <a:avLst/>
                        </a:prstGeom>
                        <a:noFill/>
                      </pic:spPr>
                    </pic:pic>
                  </a:graphicData>
                </a:graphic>
              </wp:anchor>
            </w:drawing>
          </mc:Choice>
          <mc:Fallback xmlns:a="http://schemas.openxmlformats.org/drawingml/2006/main">
            <w:pict w14:anchorId="65C455A4">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7" style="position:absolute;z-index:2;o:allowoverlap:true;o:allowincell:true;mso-position-horizontal-relative:text;margin-left:24.29pt;mso-position-horizontal:absolute;mso-position-vertical-relative:text;margin-top:7.80pt;mso-position-vertical:absolute;width:377.05pt;height:365.05pt;mso-wrap-distance-left:0.00pt;mso-wrap-distance-top:0.00pt;mso-wrap-distance-right:0.00pt;mso-wrap-distance-bottom:0.00pt;rotation:0;z-index:1;" o:spid="_x0000_s27" stroked="false" type="#_x0000_t75">
                <w10:wrap type="square"/>
                <v:imagedata o:title="" r:id="rId73"/>
                <o:lock v:ext="edit" rotation="t"/>
              </v:shape>
            </w:pict>
          </mc:Fallback>
        </mc:AlternateContent>
      </w:r>
    </w:p>
    <w:p w:rsidR="006E6D7A" w:rsidRDefault="006E6D7A" w14:paraId="67156FFA" w14:textId="77777777"/>
    <w:p w:rsidR="006E6D7A" w:rsidRDefault="006E6D7A" w14:paraId="67156FFB" w14:textId="77777777"/>
    <w:p w:rsidR="006E6D7A" w:rsidRDefault="006E6D7A" w14:paraId="67156FFC" w14:textId="77777777"/>
    <w:p w:rsidR="006E6D7A" w:rsidRDefault="006E6D7A" w14:paraId="67156FFD" w14:textId="77777777"/>
    <w:p w:rsidR="006E6D7A" w:rsidRDefault="006E6D7A" w14:paraId="67156FFE" w14:textId="77777777"/>
    <w:p w:rsidR="006E6D7A" w:rsidRDefault="006E6D7A" w14:paraId="67156FFF" w14:textId="77777777"/>
    <w:p w:rsidR="006E6D7A" w:rsidRDefault="006E6D7A" w14:paraId="67157000" w14:textId="77777777"/>
    <w:p w:rsidR="006E6D7A" w:rsidRDefault="006E6D7A" w14:paraId="67157001" w14:textId="77777777"/>
    <w:p w:rsidR="006E6D7A" w:rsidRDefault="006E6D7A" w14:paraId="67157002" w14:textId="77777777"/>
    <w:p w:rsidR="006E6D7A" w:rsidRDefault="006E6D7A" w14:paraId="67157003" w14:textId="77777777"/>
    <w:p w:rsidR="006E6D7A" w:rsidRDefault="006E6D7A" w14:paraId="67157004" w14:textId="77777777"/>
    <w:p w:rsidR="006E6D7A" w:rsidRDefault="006E6D7A" w14:paraId="67157005" w14:textId="77777777"/>
    <w:p w:rsidR="006E6D7A" w:rsidRDefault="006E6D7A" w14:paraId="67157006" w14:textId="77777777"/>
    <w:p w:rsidR="006E6D7A" w:rsidRDefault="006E6D7A" w14:paraId="67157007" w14:textId="77777777"/>
    <w:p w:rsidR="006E6D7A" w:rsidRDefault="006E6D7A" w14:paraId="67157008" w14:textId="77777777"/>
    <w:p w:rsidR="006E6D7A" w:rsidRDefault="006E6D7A" w14:paraId="67157009" w14:textId="77777777"/>
    <w:p w:rsidR="006E6D7A" w:rsidRDefault="006E6D7A" w14:paraId="6715700A" w14:textId="77777777"/>
    <w:p w:rsidR="006E6D7A" w:rsidRDefault="006E6D7A" w14:paraId="6715700B" w14:textId="77777777"/>
    <w:p w:rsidR="006E6D7A" w:rsidRDefault="006E6D7A" w14:paraId="6715700C" w14:textId="77777777"/>
    <w:p w:rsidR="006E6D7A" w:rsidRDefault="006E6D7A" w14:paraId="6715700D" w14:textId="77777777"/>
    <w:p w:rsidR="006E6D7A" w:rsidRDefault="00B16C64" w14:paraId="6715700E" w14:textId="77777777">
      <w:pPr>
        <w:pStyle w:val="Titre2"/>
      </w:pPr>
      <w:bookmarkStart w:name="_Toc221095487" w:id="59"/>
      <w:proofErr w:type="spellStart"/>
      <w:r>
        <w:t>Ceph</w:t>
      </w:r>
      <w:bookmarkEnd w:id="59"/>
      <w:proofErr w:type="spellEnd"/>
      <w:r>
        <w:t xml:space="preserve"> </w:t>
      </w:r>
    </w:p>
    <w:p w:rsidR="006E6D7A" w:rsidRDefault="00B16C64" w14:paraId="6715700F" w14:textId="77777777">
      <w:pPr>
        <w:pStyle w:val="Titre3"/>
        <w:numPr>
          <w:ilvl w:val="3"/>
          <w:numId w:val="3"/>
        </w:numPr>
      </w:pPr>
      <w:bookmarkStart w:name="_Toc221095488" w:id="60"/>
      <w:r>
        <w:t>Description</w:t>
      </w:r>
      <w:bookmarkEnd w:id="60"/>
    </w:p>
    <w:p w:rsidR="006E6D7A" w:rsidRDefault="00B16C64" w14:paraId="67157010" w14:textId="77777777">
      <w:r>
        <w:t>La plateforme CEPH repose sur le logiciel « </w:t>
      </w:r>
      <w:proofErr w:type="spellStart"/>
      <w:r>
        <w:t>RedHat</w:t>
      </w:r>
      <w:proofErr w:type="spellEnd"/>
      <w:r>
        <w:t xml:space="preserve"> CEPH Storage ».</w:t>
      </w:r>
    </w:p>
    <w:p w:rsidR="006E6D7A" w:rsidRDefault="00B16C64" w14:paraId="67157011" w14:textId="77777777">
      <w:r>
        <w:t xml:space="preserve">La plateforme est composée de 2 </w:t>
      </w:r>
      <w:proofErr w:type="gramStart"/>
      <w:r>
        <w:t>cluster</w:t>
      </w:r>
      <w:proofErr w:type="gramEnd"/>
      <w:r>
        <w:t xml:space="preserve"> CEPH (34 serveurs de données sur Toulouse et 20 serveurs de données sur Paris).</w:t>
      </w:r>
    </w:p>
    <w:p w:rsidR="006E6D7A" w:rsidRDefault="00B16C64" w14:paraId="67157012" w14:textId="77777777">
      <w:r>
        <w:rPr>
          <w:noProof/>
        </w:rPr>
        <w:lastRenderedPageBreak/>
        <mc:AlternateContent>
          <mc:Choice Requires="wpg">
            <w:drawing>
              <wp:inline distT="0" distB="0" distL="0" distR="0" wp14:anchorId="67157C2D" wp14:editId="67157C2E">
                <wp:extent cx="5940425" cy="2995455"/>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843401" name=""/>
                        <pic:cNvPicPr>
                          <a:picLocks noChangeAspect="1"/>
                        </pic:cNvPicPr>
                      </pic:nvPicPr>
                      <pic:blipFill rotWithShape="1">
                        <a:blip r:embed="rId74"/>
                        <a:stretch/>
                      </pic:blipFill>
                      <pic:spPr bwMode="auto">
                        <a:xfrm>
                          <a:off x="0" y="0"/>
                          <a:ext cx="5940423" cy="2995452"/>
                        </a:xfrm>
                        <a:prstGeom prst="rect">
                          <a:avLst/>
                        </a:prstGeom>
                      </pic:spPr>
                    </pic:pic>
                  </a:graphicData>
                </a:graphic>
              </wp:inline>
            </w:drawing>
          </mc:Choice>
          <mc:Fallback xmlns:a="http://schemas.openxmlformats.org/drawingml/2006/main">
            <w:pict w14:anchorId="6E9F23C9">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8" style="width:467.75pt;height:235.86pt;mso-wrap-distance-left:0.00pt;mso-wrap-distance-top:0.00pt;mso-wrap-distance-right:0.00pt;mso-wrap-distance-bottom:0.00pt;z-index:1;" o:spid="_x0000_s28" stroked="false" type="#_x0000_t75">
                <v:imagedata o:title="" r:id="rId75"/>
                <o:lock v:ext="edit" rotation="t"/>
              </v:shape>
            </w:pict>
          </mc:Fallback>
        </mc:AlternateContent>
      </w:r>
    </w:p>
    <w:p w:rsidR="006E6D7A" w:rsidRDefault="00B16C64" w14:paraId="67157013" w14:textId="77777777">
      <w:r>
        <w:t xml:space="preserve">Sur ce cluster, 2 instances de services de stockage objet coexistent : un stockage S3 local et un stockage S3 </w:t>
      </w:r>
      <w:proofErr w:type="spellStart"/>
      <w:r>
        <w:t>géorépliqué</w:t>
      </w:r>
      <w:proofErr w:type="spellEnd"/>
      <w:r>
        <w:t xml:space="preserve"> permettant d’assurer des PRA applicatifs (</w:t>
      </w:r>
      <w:proofErr w:type="spellStart"/>
      <w:r>
        <w:t>buckets</w:t>
      </w:r>
      <w:proofErr w:type="spellEnd"/>
      <w:r>
        <w:t xml:space="preserve"> répliqués).</w:t>
      </w:r>
    </w:p>
    <w:p w:rsidR="006E6D7A" w:rsidRDefault="00B16C64" w14:paraId="67157014" w14:textId="77777777">
      <w:r>
        <w:t>La gestion des clés S3 (</w:t>
      </w:r>
      <w:proofErr w:type="spellStart"/>
      <w:r>
        <w:t>acces</w:t>
      </w:r>
      <w:proofErr w:type="spellEnd"/>
      <w:r>
        <w:t xml:space="preserve"> key/secret key) exploite un cluster </w:t>
      </w:r>
      <w:proofErr w:type="spellStart"/>
      <w:r>
        <w:t>OpenStack</w:t>
      </w:r>
      <w:proofErr w:type="spellEnd"/>
      <w:r>
        <w:t xml:space="preserve"> (base </w:t>
      </w:r>
      <w:proofErr w:type="spellStart"/>
      <w:r>
        <w:t>keystone</w:t>
      </w:r>
      <w:proofErr w:type="spellEnd"/>
      <w:r>
        <w:t>).</w:t>
      </w:r>
    </w:p>
    <w:p w:rsidR="006E6D7A" w:rsidRDefault="00B16C64" w14:paraId="67157015" w14:textId="77777777">
      <w:pPr>
        <w:pStyle w:val="Titre3"/>
        <w:numPr>
          <w:ilvl w:val="3"/>
          <w:numId w:val="3"/>
        </w:numPr>
      </w:pPr>
      <w:bookmarkStart w:name="_Toc221095489" w:id="61"/>
      <w:r>
        <w:t>Enjeux</w:t>
      </w:r>
      <w:bookmarkEnd w:id="61"/>
    </w:p>
    <w:p w:rsidR="006E6D7A" w:rsidRDefault="00B16C64" w14:paraId="67157016" w14:textId="77777777">
      <w:r>
        <w:t>L’enjeu principal consiste à offrir des services d’espaces de données :</w:t>
      </w:r>
    </w:p>
    <w:p w:rsidR="006E6D7A" w:rsidRDefault="00B16C64" w14:paraId="67157017" w14:textId="77777777">
      <w:pPr>
        <w:pStyle w:val="Paragraphedeliste"/>
        <w:numPr>
          <w:ilvl w:val="0"/>
          <w:numId w:val="83"/>
        </w:numPr>
      </w:pPr>
      <w:r>
        <w:t>Objets (S3) aux gestionnaires de données INRAE (unités scientifiques et d’appui à la recherche).</w:t>
      </w:r>
    </w:p>
    <w:p w:rsidR="006E6D7A" w:rsidRDefault="00B16C64" w14:paraId="67157018" w14:textId="77777777">
      <w:pPr>
        <w:pStyle w:val="Paragraphedeliste"/>
        <w:numPr>
          <w:ilvl w:val="0"/>
          <w:numId w:val="83"/>
        </w:numPr>
      </w:pPr>
      <w:r>
        <w:t xml:space="preserve">Bloc (RBD) aux clusters </w:t>
      </w:r>
      <w:proofErr w:type="spellStart"/>
      <w:r>
        <w:t>OpenStack</w:t>
      </w:r>
      <w:proofErr w:type="spellEnd"/>
      <w:r>
        <w:t xml:space="preserve"> opéré par la DSI INRAE dans le cadre de son offre Cloud.</w:t>
      </w:r>
    </w:p>
    <w:p w:rsidR="006E6D7A" w:rsidRDefault="00B16C64" w14:paraId="67157019" w14:textId="77777777">
      <w:r>
        <w:t>Le service Objets/S3 est accessible à tous les gestionnaires de données INRAE.</w:t>
      </w:r>
    </w:p>
    <w:p w:rsidR="006E6D7A" w:rsidRDefault="00B16C64" w14:paraId="6715701A" w14:textId="77777777">
      <w:r>
        <w:t xml:space="preserve">Le service BLOC/RBD est accessible uniquement aux administrateurs de la plateforme </w:t>
      </w:r>
      <w:proofErr w:type="spellStart"/>
      <w:r>
        <w:t>OpenStack</w:t>
      </w:r>
      <w:proofErr w:type="spellEnd"/>
      <w:r>
        <w:t xml:space="preserve"> de la DSI INRAE.</w:t>
      </w:r>
    </w:p>
    <w:p w:rsidR="006E6D7A" w:rsidRDefault="006E6D7A" w14:paraId="6715701B" w14:textId="77777777"/>
    <w:p w:rsidR="006E6D7A" w:rsidRDefault="006E6D7A" w14:paraId="6715701C" w14:textId="77777777"/>
    <w:p w:rsidR="006E6D7A" w:rsidRDefault="00B16C64" w14:paraId="6715701D" w14:textId="77777777">
      <w:pPr>
        <w:pStyle w:val="Titre3"/>
        <w:numPr>
          <w:ilvl w:val="3"/>
          <w:numId w:val="3"/>
        </w:numPr>
      </w:pPr>
      <w:bookmarkStart w:name="_Toc221095490" w:id="62"/>
      <w:r>
        <w:t xml:space="preserve">Roadmap de la plateforme </w:t>
      </w:r>
      <w:proofErr w:type="spellStart"/>
      <w:r>
        <w:t>ceph</w:t>
      </w:r>
      <w:bookmarkEnd w:id="62"/>
      <w:proofErr w:type="spellEnd"/>
    </w:p>
    <w:p w:rsidR="006E6D7A" w:rsidRDefault="00B16C64" w14:paraId="6715701E" w14:textId="77777777">
      <w:r>
        <w:t>L’évolution de la plateforme CEPH suit 4 axes :</w:t>
      </w:r>
    </w:p>
    <w:p w:rsidR="006E6D7A" w:rsidRDefault="00B16C64" w14:paraId="6715701F" w14:textId="77777777">
      <w:pPr>
        <w:pStyle w:val="Paragraphedeliste"/>
        <w:numPr>
          <w:ilvl w:val="0"/>
          <w:numId w:val="82"/>
        </w:numPr>
      </w:pPr>
      <w:r>
        <w:t xml:space="preserve">Offre de service et intégration en mode développement continu des nouvelles versions, suivant le cycle </w:t>
      </w:r>
      <w:proofErr w:type="spellStart"/>
      <w:r>
        <w:t>pré-production</w:t>
      </w:r>
      <w:proofErr w:type="spellEnd"/>
      <w:r>
        <w:t>, production ;</w:t>
      </w:r>
    </w:p>
    <w:p w:rsidR="006E6D7A" w:rsidRDefault="00B16C64" w14:paraId="67157020" w14:textId="77777777">
      <w:pPr>
        <w:pStyle w:val="Paragraphedeliste"/>
        <w:numPr>
          <w:ilvl w:val="0"/>
          <w:numId w:val="82"/>
        </w:numPr>
      </w:pPr>
      <w:r>
        <w:t xml:space="preserve">Hybridation de l’offre de service S3 avec des offres partenaires ; </w:t>
      </w:r>
    </w:p>
    <w:p w:rsidR="006E6D7A" w:rsidRDefault="00B16C64" w14:paraId="67157021" w14:textId="77777777">
      <w:pPr>
        <w:pStyle w:val="Paragraphedeliste"/>
        <w:numPr>
          <w:ilvl w:val="0"/>
          <w:numId w:val="82"/>
        </w:numPr>
      </w:pPr>
      <w:r>
        <w:t>Mise en place d’outils d’observabilité, d’exploitation, de support en mode industrialisé ;</w:t>
      </w:r>
    </w:p>
    <w:p w:rsidR="006E6D7A" w:rsidRDefault="00B16C64" w14:paraId="67157022" w14:textId="77777777">
      <w:pPr>
        <w:pStyle w:val="Paragraphedeliste"/>
        <w:numPr>
          <w:ilvl w:val="0"/>
          <w:numId w:val="82"/>
        </w:numPr>
      </w:pPr>
      <w:r>
        <w:t>Mise en place d’un PRA basé sur un développement interne python « S3LiveSync ».</w:t>
      </w:r>
    </w:p>
    <w:p w:rsidR="006E6D7A" w:rsidRDefault="00B16C64" w14:paraId="67157023" w14:textId="77777777">
      <w:r>
        <w:br w:type="page" w:clear="all"/>
      </w:r>
    </w:p>
    <w:p w:rsidR="006E6D7A" w:rsidRDefault="006E6D7A" w14:paraId="67157024" w14:textId="77777777"/>
    <w:p w:rsidR="006E6D7A" w:rsidRDefault="00B16C64" w14:paraId="67157025" w14:textId="77777777">
      <w:pPr>
        <w:pStyle w:val="Titre2"/>
      </w:pPr>
      <w:bookmarkStart w:name="_Toc221095491" w:id="63"/>
      <w:proofErr w:type="spellStart"/>
      <w:r>
        <w:t>Nextcloud</w:t>
      </w:r>
      <w:bookmarkEnd w:id="63"/>
      <w:proofErr w:type="spellEnd"/>
    </w:p>
    <w:p w:rsidR="006E6D7A" w:rsidRDefault="00B16C64" w14:paraId="67157026" w14:textId="77777777">
      <w:r>
        <w:t xml:space="preserve">La plateforme </w:t>
      </w:r>
      <w:proofErr w:type="spellStart"/>
      <w:r>
        <w:t>NextCloud</w:t>
      </w:r>
      <w:proofErr w:type="spellEnd"/>
      <w:r>
        <w:t xml:space="preserve"> repose sur « </w:t>
      </w:r>
      <w:proofErr w:type="spellStart"/>
      <w:r>
        <w:t>NextCloud</w:t>
      </w:r>
      <w:proofErr w:type="spellEnd"/>
      <w:r>
        <w:t xml:space="preserve"> Enterprise ».</w:t>
      </w:r>
    </w:p>
    <w:p w:rsidR="006E6D7A" w:rsidRDefault="00B16C64" w14:paraId="67157027" w14:textId="77777777">
      <w:pPr>
        <w:pStyle w:val="Titre5"/>
        <w:numPr>
          <w:ilvl w:val="3"/>
          <w:numId w:val="3"/>
        </w:numPr>
        <w:rPr>
          <w:b w:val="0"/>
          <w:i w:val="0"/>
        </w:rPr>
      </w:pPr>
      <w:r>
        <w:t>C</w:t>
      </w:r>
      <w:r>
        <w:rPr>
          <w:b w:val="0"/>
          <w:i w:val="0"/>
        </w:rPr>
        <w:t>OMPOSANTS ET ARCHITECTURE DE LA PLATEFORME NEXTCLOUD</w:t>
      </w:r>
    </w:p>
    <w:p w:rsidR="006E6D7A" w:rsidRDefault="00B16C64" w14:paraId="67157028" w14:textId="77777777">
      <w:r>
        <w:rPr>
          <w:noProof/>
        </w:rPr>
        <mc:AlternateContent>
          <mc:Choice Requires="wpg">
            <w:drawing>
              <wp:inline distT="0" distB="0" distL="0" distR="0" wp14:anchorId="67157C2F" wp14:editId="67157C30">
                <wp:extent cx="6120130" cy="3918397"/>
                <wp:effectExtent l="27" t="18" r="27" b="18"/>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812384" name=""/>
                        <pic:cNvPicPr>
                          <a:picLocks noChangeAspect="1"/>
                        </pic:cNvPicPr>
                      </pic:nvPicPr>
                      <pic:blipFill rotWithShape="1">
                        <a:blip r:embed="rId76"/>
                        <a:stretch/>
                      </pic:blipFill>
                      <pic:spPr bwMode="auto">
                        <a:xfrm rot="16199932">
                          <a:off x="0" y="0"/>
                          <a:ext cx="6120129" cy="3918396"/>
                        </a:xfrm>
                        <a:prstGeom prst="rect">
                          <a:avLst/>
                        </a:prstGeom>
                      </pic:spPr>
                    </pic:pic>
                  </a:graphicData>
                </a:graphic>
              </wp:inline>
            </w:drawing>
          </mc:Choice>
          <mc:Fallback xmlns:a="http://schemas.openxmlformats.org/drawingml/2006/main">
            <w:pict w14:anchorId="2A4382FF">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29" style="width:481.90pt;height:308.54pt;mso-wrap-distance-left:0.00pt;mso-wrap-distance-top:0.00pt;mso-wrap-distance-right:0.00pt;mso-wrap-distance-bottom:0.00pt;rotation:269;z-index:1;" o:spid="_x0000_s29" stroked="false" type="#_x0000_t75">
                <v:imagedata o:title="" r:id="rId77"/>
                <o:lock v:ext="edit" rotation="t"/>
              </v:shape>
            </w:pict>
          </mc:Fallback>
        </mc:AlternateContent>
      </w:r>
    </w:p>
    <w:p w:rsidR="006E6D7A" w:rsidRDefault="00B16C64" w14:paraId="67157029" w14:textId="77777777">
      <w:r>
        <w:rPr>
          <w:noProof/>
        </w:rPr>
        <w:lastRenderedPageBreak/>
        <mc:AlternateContent>
          <mc:Choice Requires="wpg">
            <w:drawing>
              <wp:inline distT="0" distB="0" distL="0" distR="0" wp14:anchorId="67157C31" wp14:editId="67157C32">
                <wp:extent cx="5826465" cy="633358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895677" name=""/>
                        <pic:cNvPicPr>
                          <a:picLocks noChangeAspect="1"/>
                        </pic:cNvPicPr>
                      </pic:nvPicPr>
                      <pic:blipFill rotWithShape="1">
                        <a:blip r:embed="rId78"/>
                        <a:srcRect l="1074" t="6809" r="843" b="683"/>
                        <a:stretch/>
                      </pic:blipFill>
                      <pic:spPr bwMode="auto">
                        <a:xfrm>
                          <a:off x="0" y="0"/>
                          <a:ext cx="5826465" cy="6333584"/>
                        </a:xfrm>
                        <a:prstGeom prst="rect">
                          <a:avLst/>
                        </a:prstGeom>
                      </pic:spPr>
                    </pic:pic>
                  </a:graphicData>
                </a:graphic>
              </wp:inline>
            </w:drawing>
          </mc:Choice>
          <mc:Fallback xmlns:a="http://schemas.openxmlformats.org/drawingml/2006/main">
            <w:pict w14:anchorId="7A9436AB">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0" style="width:458.78pt;height:498.71pt;mso-wrap-distance-left:0.00pt;mso-wrap-distance-top:0.00pt;mso-wrap-distance-right:0.00pt;mso-wrap-distance-bottom:0.00pt;rotation:0;z-index:1;" o:spid="_x0000_s30" stroked="false" type="#_x0000_t75">
                <v:imagedata cropleft="704f" croptop="4462f" cropright="552f" cropbottom="448f" o:title="" r:id="rId79"/>
                <o:lock v:ext="edit" rotation="t"/>
              </v:shape>
            </w:pict>
          </mc:Fallback>
        </mc:AlternateContent>
      </w:r>
    </w:p>
    <w:p w:rsidR="006E6D7A" w:rsidRDefault="00B16C64" w14:paraId="6715702A" w14:textId="77777777">
      <w:r>
        <w:t xml:space="preserve">La plateforme </w:t>
      </w:r>
      <w:proofErr w:type="spellStart"/>
      <w:r>
        <w:t>NextCloud</w:t>
      </w:r>
      <w:proofErr w:type="spellEnd"/>
      <w:r>
        <w:t xml:space="preserve"> INRAE utilise exclusivement du stockage objet en backend de stockage. </w:t>
      </w:r>
    </w:p>
    <w:p w:rsidR="006E6D7A" w:rsidRDefault="006E6D7A" w14:paraId="6715702B" w14:textId="77777777"/>
    <w:p w:rsidR="006E6D7A" w:rsidRDefault="00B16C64" w14:paraId="6715702C" w14:textId="77777777">
      <w:pPr>
        <w:pStyle w:val="Titre2"/>
        <w:numPr>
          <w:ilvl w:val="3"/>
          <w:numId w:val="3"/>
        </w:numPr>
      </w:pPr>
      <w:bookmarkStart w:name="_Toc221095492" w:id="64"/>
      <w:r>
        <w:t xml:space="preserve">Enjeu de la plateforme </w:t>
      </w:r>
      <w:proofErr w:type="spellStart"/>
      <w:r>
        <w:t>nextcloud</w:t>
      </w:r>
      <w:bookmarkEnd w:id="64"/>
      <w:proofErr w:type="spellEnd"/>
    </w:p>
    <w:p w:rsidR="006E6D7A" w:rsidRDefault="00B16C64" w14:paraId="6715702D" w14:textId="77777777">
      <w:r>
        <w:t>L’enjeu principal consiste à offrir des services d’espaces de données collectives et/ou personnelles pour les agents et les unités d’INRAE.</w:t>
      </w:r>
    </w:p>
    <w:p w:rsidR="006E6D7A" w:rsidRDefault="00B16C64" w14:paraId="6715702E" w14:textId="77777777">
      <w:r>
        <w:t>Elle sera accessible à tous les agents INRAE.</w:t>
      </w:r>
    </w:p>
    <w:p w:rsidR="006E6D7A" w:rsidRDefault="006E6D7A" w14:paraId="6715702F" w14:textId="77777777"/>
    <w:p w:rsidR="006E6D7A" w:rsidRDefault="00B16C64" w14:paraId="67157030" w14:textId="77777777">
      <w:pPr>
        <w:pStyle w:val="Titre5"/>
        <w:numPr>
          <w:ilvl w:val="3"/>
          <w:numId w:val="3"/>
        </w:numPr>
        <w:rPr>
          <w:b w:val="0"/>
          <w:i w:val="0"/>
        </w:rPr>
      </w:pPr>
      <w:r>
        <w:rPr>
          <w:b w:val="0"/>
          <w:i w:val="0"/>
        </w:rPr>
        <w:t>ROADMAP DE LA PLATEFORME NEXTCLOUD</w:t>
      </w:r>
    </w:p>
    <w:p w:rsidR="006E6D7A" w:rsidRDefault="006E6D7A" w14:paraId="67157031" w14:textId="77777777"/>
    <w:p w:rsidR="006E6D7A" w:rsidRDefault="00B16C64" w14:paraId="67157032" w14:textId="77777777">
      <w:r>
        <w:t>L’évolution de la plateforme NEXTCLOUD suit 4 axes :</w:t>
      </w:r>
    </w:p>
    <w:p w:rsidR="006E6D7A" w:rsidRDefault="00B16C64" w14:paraId="67157033" w14:textId="77777777">
      <w:pPr>
        <w:pStyle w:val="Paragraphedeliste"/>
        <w:numPr>
          <w:ilvl w:val="0"/>
          <w:numId w:val="114"/>
        </w:numPr>
      </w:pPr>
      <w:r>
        <w:lastRenderedPageBreak/>
        <w:t xml:space="preserve">Offre de service et intégration en mode développement continu des nouvelles versions, suivant le cycle développement, </w:t>
      </w:r>
      <w:proofErr w:type="spellStart"/>
      <w:r>
        <w:t>pré-production</w:t>
      </w:r>
      <w:proofErr w:type="spellEnd"/>
      <w:r>
        <w:t>, production</w:t>
      </w:r>
    </w:p>
    <w:p w:rsidR="006E6D7A" w:rsidRDefault="00B16C64" w14:paraId="67157034" w14:textId="77777777">
      <w:pPr>
        <w:pStyle w:val="Paragraphedeliste"/>
        <w:numPr>
          <w:ilvl w:val="0"/>
          <w:numId w:val="114"/>
        </w:numPr>
      </w:pPr>
      <w:r>
        <w:t xml:space="preserve">Passage de l’architecture en mode </w:t>
      </w:r>
      <w:proofErr w:type="spellStart"/>
      <w:r>
        <w:t>Kubernetes</w:t>
      </w:r>
      <w:proofErr w:type="spellEnd"/>
    </w:p>
    <w:p w:rsidR="006E6D7A" w:rsidRDefault="00B16C64" w14:paraId="67157035" w14:textId="77777777">
      <w:pPr>
        <w:pStyle w:val="Paragraphedeliste"/>
        <w:numPr>
          <w:ilvl w:val="0"/>
          <w:numId w:val="114"/>
        </w:numPr>
      </w:pPr>
      <w:r>
        <w:t>Mise en place d’outils d’observabilité, d’exploitation, de support en mode industrialisé.</w:t>
      </w:r>
    </w:p>
    <w:p w:rsidR="006E6D7A" w:rsidRDefault="00B16C64" w14:paraId="67157036" w14:textId="77777777">
      <w:pPr>
        <w:pStyle w:val="Paragraphedeliste"/>
        <w:numPr>
          <w:ilvl w:val="0"/>
          <w:numId w:val="114"/>
        </w:numPr>
      </w:pPr>
      <w:r>
        <w:t>Mise en place d’un PRA</w:t>
      </w:r>
    </w:p>
    <w:p w:rsidR="006E6D7A" w:rsidRDefault="00B16C64" w14:paraId="67157037" w14:textId="77777777">
      <w:r>
        <w:br w:type="page" w:clear="all"/>
      </w:r>
    </w:p>
    <w:p w:rsidR="006E6D7A" w:rsidRDefault="006E6D7A" w14:paraId="67157038" w14:textId="77777777"/>
    <w:p w:rsidR="006E6D7A" w:rsidRDefault="00B16C64" w14:paraId="67157039" w14:textId="77777777">
      <w:pPr>
        <w:pStyle w:val="Titre2"/>
      </w:pPr>
      <w:bookmarkStart w:name="_Toc221095493" w:id="65"/>
      <w:r>
        <w:t>RDG</w:t>
      </w:r>
      <w:bookmarkEnd w:id="65"/>
    </w:p>
    <w:p w:rsidR="006E6D7A" w:rsidRDefault="00B16C64" w14:paraId="6715703A" w14:textId="77777777">
      <w:r>
        <w:t xml:space="preserve">Précision liminaire : RDG est un projet hors du pilotage DSI. Nous indiquons ici des exemples </w:t>
      </w:r>
      <w:proofErr w:type="spellStart"/>
      <w:r>
        <w:t>DevSecOps</w:t>
      </w:r>
      <w:proofErr w:type="spellEnd"/>
      <w:r>
        <w:t xml:space="preserve"> sur lesquels la DSI intervient.</w:t>
      </w:r>
    </w:p>
    <w:p w:rsidR="006E6D7A" w:rsidRDefault="00B16C64" w14:paraId="6715703B" w14:textId="77777777">
      <w:pPr>
        <w:pStyle w:val="Titre3"/>
        <w:numPr>
          <w:ilvl w:val="3"/>
          <w:numId w:val="3"/>
        </w:numPr>
      </w:pPr>
      <w:bookmarkStart w:name="_Toc221095494" w:id="66"/>
      <w:r>
        <w:t>Description de RDG</w:t>
      </w:r>
      <w:bookmarkEnd w:id="66"/>
      <w:r>
        <w:t xml:space="preserve"> </w:t>
      </w:r>
    </w:p>
    <w:p w:rsidR="006E6D7A" w:rsidRDefault="006E6D7A" w14:paraId="6715703C" w14:textId="77777777"/>
    <w:p w:rsidR="006E6D7A" w:rsidRDefault="00B16C64" w14:paraId="6715703D"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color w:val="212121"/>
        </w:rPr>
      </w:pPr>
      <w:r>
        <w:rPr>
          <w:rFonts w:ascii="Calibri" w:hAnsi="Calibri" w:eastAsia="Calibri" w:cs="Calibri"/>
          <w:color w:val="212121"/>
        </w:rPr>
        <w:t>La mise en place de Recherche Data Gouv s’inscrit dans le cadre du développement de la science ouverte en France. Elle vise à répondre à des besoins concrets identifiés par les chercheurs, les institutions et les pouvoirs publics en matière de gestion, de diffusion et de valorisation des données de recherche.</w:t>
      </w:r>
    </w:p>
    <w:p w:rsidR="006E6D7A" w:rsidRDefault="006E6D7A" w14:paraId="6715703E"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p>
    <w:p w:rsidR="006E6D7A" w:rsidRDefault="00B16C64" w14:paraId="6715703F" w14:textId="77777777">
      <w:pPr>
        <w:pBdr>
          <w:top w:val="none" w:color="000000" w:sz="4" w:space="0"/>
          <w:left w:val="none" w:color="000000" w:sz="4" w:space="0"/>
          <w:bottom w:val="none" w:color="000000" w:sz="4" w:space="0"/>
          <w:right w:val="none" w:color="000000" w:sz="4" w:space="0"/>
        </w:pBdr>
        <w:shd w:val="clear" w:color="FFFFFF" w:fill="FFFFFF"/>
        <w:spacing w:after="0"/>
      </w:pPr>
      <w:r>
        <w:rPr>
          <w:rFonts w:ascii="Calibri" w:hAnsi="Calibri" w:eastAsia="Calibri" w:cs="Calibri"/>
          <w:color w:val="212121"/>
        </w:rPr>
        <w:t>  </w:t>
      </w:r>
    </w:p>
    <w:p w:rsidR="006E6D7A" w:rsidRDefault="00B16C64" w14:paraId="67157040" w14:textId="77777777">
      <w:r>
        <w:t>Les compétences nécessaires sont :</w:t>
      </w:r>
    </w:p>
    <w:p w:rsidR="006E6D7A" w:rsidRDefault="00B16C64" w14:paraId="67157041" w14:textId="77777777">
      <w:r>
        <w:t xml:space="preserve">Compétences OPS : </w:t>
      </w:r>
      <w:proofErr w:type="spellStart"/>
      <w:r>
        <w:t>Openstack</w:t>
      </w:r>
      <w:proofErr w:type="spellEnd"/>
      <w:r>
        <w:t xml:space="preserve">, </w:t>
      </w:r>
      <w:proofErr w:type="spellStart"/>
      <w:r>
        <w:t>kubernetes</w:t>
      </w:r>
      <w:proofErr w:type="spellEnd"/>
      <w:r>
        <w:t xml:space="preserve">, </w:t>
      </w:r>
      <w:proofErr w:type="spellStart"/>
      <w:r>
        <w:t>DevSecOps</w:t>
      </w:r>
      <w:proofErr w:type="spellEnd"/>
      <w:r>
        <w:t xml:space="preserve">, </w:t>
      </w:r>
      <w:proofErr w:type="spellStart"/>
      <w:r>
        <w:t>gitops</w:t>
      </w:r>
      <w:proofErr w:type="spellEnd"/>
      <w:r>
        <w:t xml:space="preserve">, </w:t>
      </w:r>
      <w:proofErr w:type="spellStart"/>
      <w:r>
        <w:t>gitlab</w:t>
      </w:r>
      <w:proofErr w:type="spellEnd"/>
      <w:r>
        <w:t xml:space="preserve">, </w:t>
      </w:r>
      <w:proofErr w:type="spellStart"/>
      <w:r>
        <w:t>terraform</w:t>
      </w:r>
      <w:proofErr w:type="spellEnd"/>
      <w:r>
        <w:t xml:space="preserve">, ansible, </w:t>
      </w:r>
      <w:proofErr w:type="spellStart"/>
      <w:r>
        <w:t>helm</w:t>
      </w:r>
      <w:proofErr w:type="spellEnd"/>
    </w:p>
    <w:p w:rsidR="006E6D7A" w:rsidRDefault="00B16C64" w14:paraId="67157042" w14:textId="77777777">
      <w:r>
        <w:t xml:space="preserve">Compétences DEV : java, python, </w:t>
      </w:r>
      <w:proofErr w:type="spellStart"/>
      <w:r>
        <w:t>mysql</w:t>
      </w:r>
      <w:proofErr w:type="spellEnd"/>
      <w:r>
        <w:t xml:space="preserve">, </w:t>
      </w:r>
      <w:proofErr w:type="spellStart"/>
      <w:r>
        <w:t>psql</w:t>
      </w:r>
      <w:proofErr w:type="spellEnd"/>
      <w:r>
        <w:t xml:space="preserve">, ansible, docker, </w:t>
      </w:r>
      <w:proofErr w:type="spellStart"/>
      <w:r>
        <w:t>kubernetes</w:t>
      </w:r>
      <w:proofErr w:type="spellEnd"/>
      <w:r>
        <w:t xml:space="preserve">, </w:t>
      </w:r>
      <w:proofErr w:type="spellStart"/>
      <w:r>
        <w:t>DevSecOps</w:t>
      </w:r>
      <w:proofErr w:type="spellEnd"/>
      <w:r>
        <w:t xml:space="preserve">, </w:t>
      </w:r>
      <w:proofErr w:type="spellStart"/>
      <w:r>
        <w:t>gitlab</w:t>
      </w:r>
      <w:proofErr w:type="spellEnd"/>
    </w:p>
    <w:p w:rsidR="006E6D7A" w:rsidRDefault="006E6D7A" w14:paraId="67157043" w14:textId="77777777"/>
    <w:p w:rsidR="006E6D7A" w:rsidRDefault="00B16C64" w14:paraId="67157044" w14:textId="77777777">
      <w:pPr>
        <w:pStyle w:val="Titre3"/>
        <w:numPr>
          <w:ilvl w:val="3"/>
          <w:numId w:val="3"/>
        </w:numPr>
      </w:pPr>
      <w:bookmarkStart w:name="_Toc221095495" w:id="67"/>
      <w:r>
        <w:t>Enjeux de RDG</w:t>
      </w:r>
      <w:bookmarkEnd w:id="67"/>
    </w:p>
    <w:p w:rsidR="006E6D7A" w:rsidRDefault="006E6D7A" w14:paraId="67157045" w14:textId="77777777"/>
    <w:p w:rsidR="006E6D7A" w:rsidRDefault="00B16C64" w14:paraId="67157046"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b/>
          <w:color w:val="212121"/>
        </w:rPr>
        <w:t>Un besoin structurel d’un service national générique et souverain</w:t>
      </w:r>
    </w:p>
    <w:p w:rsidR="006E6D7A" w:rsidRDefault="00B16C64" w14:paraId="67157047"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color w:val="212121"/>
        </w:rPr>
        <w:t>La France ne disposait pas d’un entrepôt national générique permettant d’accueillir les données de recherche issues de disciplines ne disposant pas d’infrastructures adaptées. Ce manque représentait un frein majeur pour la diffusion des données, en particulier dans un contexte de montée en puissance des exigences d’ouverture. La création d’un service souverain, pérenne et de qualité constituait donc une nécessité stratégique.</w:t>
      </w:r>
    </w:p>
    <w:p w:rsidR="006E6D7A" w:rsidRDefault="006E6D7A" w14:paraId="67157048"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p>
    <w:p w:rsidR="006E6D7A" w:rsidRDefault="00B16C64" w14:paraId="67157049"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b/>
          <w:bCs/>
          <w:color w:val="212121"/>
        </w:rPr>
      </w:pPr>
      <w:r>
        <w:rPr>
          <w:rFonts w:ascii="Calibri" w:hAnsi="Calibri" w:eastAsia="Calibri" w:cs="Calibri"/>
          <w:b/>
          <w:color w:val="212121"/>
        </w:rPr>
        <w:t>Un projet porté par une forte volonté politique</w:t>
      </w:r>
    </w:p>
    <w:p w:rsidR="006E6D7A" w:rsidRDefault="00B16C64" w14:paraId="6715704A"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color w:val="212121"/>
        </w:rPr>
        <w:t>Recherche Data Gouv s’inscrit dans les objectifs du 2ème Plan national pour la science ouverte (2021 -2024), notamment l’action visant à créer un service d’accueil et de diffusion des données. Ce projet répond également à une évolution réglementaire progressive qui tend à l’ouverture des données de recherche.</w:t>
      </w:r>
    </w:p>
    <w:p w:rsidR="006E6D7A" w:rsidRDefault="00B16C64" w14:paraId="6715704B"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color w:val="212121"/>
        </w:rPr>
        <w:t>Il s’agit ainsi de répondre aux demandes croissantes des financeurs en matière de transparence et de réutilisation des données scientifiques.</w:t>
      </w:r>
    </w:p>
    <w:p w:rsidR="006E6D7A" w:rsidRDefault="006E6D7A" w14:paraId="6715704C"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p>
    <w:p w:rsidR="006E6D7A" w:rsidRDefault="00B16C64" w14:paraId="6715704D"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b/>
          <w:bCs/>
          <w:color w:val="212121"/>
        </w:rPr>
      </w:pPr>
      <w:r>
        <w:rPr>
          <w:rFonts w:ascii="Calibri" w:hAnsi="Calibri" w:eastAsia="Calibri" w:cs="Calibri"/>
          <w:b/>
          <w:color w:val="212121"/>
        </w:rPr>
        <w:t>Une réponse aux besoins exprimés par les chercheurs et les établissements</w:t>
      </w:r>
    </w:p>
    <w:p w:rsidR="006E6D7A" w:rsidRDefault="00B16C64" w14:paraId="6715704E"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color w:val="212121"/>
        </w:rPr>
        <w:t>Recherche Data Gouv est pensé pour répondre à plusieurs attentes opérationnelles des acteurs de la recherche, à savoir :</w:t>
      </w:r>
    </w:p>
    <w:p w:rsidR="006E6D7A" w:rsidRDefault="00B16C64" w14:paraId="6715704F"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color w:val="212121"/>
        </w:rPr>
        <w:t>• Simplicité du dépôt : les chercheurs expriment un besoin fort de solutions simples et peu chronophages pour la diffusion de leurs données, afin de se recentrer sur leur activité scientifique ;</w:t>
      </w:r>
    </w:p>
    <w:p w:rsidR="006E6D7A" w:rsidRDefault="00B16C64" w14:paraId="67157050"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color w:val="212121"/>
        </w:rPr>
        <w:t xml:space="preserve">• Valorisation et visibilité des données : la visibilité et la </w:t>
      </w:r>
      <w:proofErr w:type="spellStart"/>
      <w:r>
        <w:rPr>
          <w:rFonts w:ascii="Calibri" w:hAnsi="Calibri" w:eastAsia="Calibri" w:cs="Calibri"/>
          <w:color w:val="212121"/>
        </w:rPr>
        <w:t>citabilité</w:t>
      </w:r>
      <w:proofErr w:type="spellEnd"/>
      <w:r>
        <w:rPr>
          <w:rFonts w:ascii="Calibri" w:hAnsi="Calibri" w:eastAsia="Calibri" w:cs="Calibri"/>
          <w:color w:val="212121"/>
        </w:rPr>
        <w:t xml:space="preserve"> des données constituent un levier de reconnaissance scientifique. Le service doit assurer leur accessibilité dans des conditions favorables à leur réutilisation.</w:t>
      </w:r>
    </w:p>
    <w:p w:rsidR="006E6D7A" w:rsidRDefault="006E6D7A" w14:paraId="67157051"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p>
    <w:p w:rsidR="006E6D7A" w:rsidRDefault="00B16C64" w14:paraId="67157052"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b/>
          <w:bCs/>
          <w:color w:val="212121"/>
        </w:rPr>
      </w:pPr>
      <w:r>
        <w:rPr>
          <w:rFonts w:ascii="Calibri" w:hAnsi="Calibri" w:eastAsia="Calibri" w:cs="Calibri"/>
          <w:b/>
          <w:color w:val="212121"/>
        </w:rPr>
        <w:t>Optimisation du paysage national</w:t>
      </w:r>
    </w:p>
    <w:p w:rsidR="006E6D7A" w:rsidRDefault="00B16C64" w14:paraId="67157053"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color w:val="212121"/>
        </w:rPr>
        <w:t xml:space="preserve">Le paysage des entrepôts de données est marqué par la multiplication d’initiatives hétérogènes, souvent redondantes, et difficilement soutenables à long terme, ce qui génère une dispersion des ressources peu </w:t>
      </w:r>
      <w:r>
        <w:rPr>
          <w:rFonts w:ascii="Calibri" w:hAnsi="Calibri" w:eastAsia="Calibri" w:cs="Calibri"/>
          <w:color w:val="212121"/>
        </w:rPr>
        <w:lastRenderedPageBreak/>
        <w:t>efficiente. Un entrepôt national permet de fédérer les efforts, de mutualiser les ressources et de proposer une alternative publique cohérente face aux plateformes privées internationales.</w:t>
      </w:r>
    </w:p>
    <w:p w:rsidR="006E6D7A" w:rsidRDefault="006E6D7A" w14:paraId="67157054"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p>
    <w:p w:rsidR="006E6D7A" w:rsidRDefault="00B16C64" w14:paraId="67157055"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b/>
          <w:bCs/>
          <w:color w:val="212121"/>
        </w:rPr>
      </w:pPr>
      <w:r>
        <w:rPr>
          <w:rFonts w:ascii="Calibri" w:hAnsi="Calibri" w:eastAsia="Calibri" w:cs="Calibri"/>
          <w:b/>
          <w:color w:val="212121"/>
        </w:rPr>
        <w:t>Qualité et interopérabilité</w:t>
      </w:r>
    </w:p>
    <w:p w:rsidR="006E6D7A" w:rsidRDefault="00B16C64" w14:paraId="67157056"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color w:val="212121"/>
        </w:rPr>
        <w:t>Recherche Data Gouv ambitionne de structurer et diffuser des données selon des standards de qualité élevés, notamment en suivant les principes FAIR (</w:t>
      </w:r>
      <w:proofErr w:type="spellStart"/>
      <w:r>
        <w:rPr>
          <w:rFonts w:ascii="Calibri" w:hAnsi="Calibri" w:eastAsia="Calibri" w:cs="Calibri"/>
          <w:color w:val="212121"/>
        </w:rPr>
        <w:t>Findable</w:t>
      </w:r>
      <w:proofErr w:type="spellEnd"/>
      <w:r>
        <w:rPr>
          <w:rFonts w:ascii="Calibri" w:hAnsi="Calibri" w:eastAsia="Calibri" w:cs="Calibri"/>
          <w:color w:val="212121"/>
        </w:rPr>
        <w:t xml:space="preserve">, Accessible, </w:t>
      </w:r>
      <w:proofErr w:type="spellStart"/>
      <w:r>
        <w:rPr>
          <w:rFonts w:ascii="Calibri" w:hAnsi="Calibri" w:eastAsia="Calibri" w:cs="Calibri"/>
          <w:color w:val="212121"/>
        </w:rPr>
        <w:t>Interoperable</w:t>
      </w:r>
      <w:proofErr w:type="spellEnd"/>
      <w:r>
        <w:rPr>
          <w:rFonts w:ascii="Calibri" w:hAnsi="Calibri" w:eastAsia="Calibri" w:cs="Calibri"/>
          <w:color w:val="212121"/>
        </w:rPr>
        <w:t xml:space="preserve">, </w:t>
      </w:r>
      <w:proofErr w:type="spellStart"/>
      <w:r>
        <w:rPr>
          <w:rFonts w:ascii="Calibri" w:hAnsi="Calibri" w:eastAsia="Calibri" w:cs="Calibri"/>
          <w:color w:val="212121"/>
        </w:rPr>
        <w:t>Reusable</w:t>
      </w:r>
      <w:proofErr w:type="spellEnd"/>
      <w:r>
        <w:rPr>
          <w:rFonts w:ascii="Calibri" w:hAnsi="Calibri" w:eastAsia="Calibri" w:cs="Calibri"/>
          <w:color w:val="212121"/>
        </w:rPr>
        <w:t>), pour accroître la visibilité de la recherche française. Elle contribue à l’intégrité et à la réutilisation des travaux scientifiques.</w:t>
      </w:r>
    </w:p>
    <w:p w:rsidR="006E6D7A" w:rsidRDefault="006E6D7A" w14:paraId="67157057" w14:textId="77777777"/>
    <w:p w:rsidR="006E6D7A" w:rsidRDefault="00B16C64" w14:paraId="67157058" w14:textId="77777777">
      <w:pPr>
        <w:pStyle w:val="Titre3"/>
        <w:numPr>
          <w:ilvl w:val="3"/>
          <w:numId w:val="3"/>
        </w:numPr>
      </w:pPr>
      <w:bookmarkStart w:name="_Toc221095496" w:id="68"/>
      <w:r>
        <w:t>Roadmap RDG (pour la DSI)</w:t>
      </w:r>
      <w:bookmarkEnd w:id="68"/>
    </w:p>
    <w:p w:rsidR="006E6D7A" w:rsidRDefault="006E6D7A" w14:paraId="67157059" w14:textId="77777777"/>
    <w:p w:rsidR="006E6D7A" w:rsidRDefault="00B16C64" w14:paraId="6715705A" w14:textId="77777777">
      <w:pPr>
        <w:pStyle w:val="Paragraphedeliste"/>
        <w:numPr>
          <w:ilvl w:val="0"/>
          <w:numId w:val="70"/>
        </w:numPr>
      </w:pPr>
      <w:r>
        <w:t>Maintien en condition opérationnelle et de sécurité de la plateforme en datacenter Toulousain</w:t>
      </w:r>
    </w:p>
    <w:p w:rsidR="006E6D7A" w:rsidRDefault="00B16C64" w14:paraId="6715705B" w14:textId="77777777">
      <w:pPr>
        <w:pStyle w:val="Paragraphedeliste"/>
        <w:numPr>
          <w:ilvl w:val="0"/>
          <w:numId w:val="70"/>
        </w:numPr>
      </w:pPr>
      <w:r>
        <w:t>Audit de sécurité</w:t>
      </w:r>
    </w:p>
    <w:p w:rsidR="006E6D7A" w:rsidRDefault="00B16C64" w14:paraId="6715705C" w14:textId="77777777">
      <w:pPr>
        <w:pStyle w:val="Paragraphedeliste"/>
        <w:numPr>
          <w:ilvl w:val="0"/>
          <w:numId w:val="70"/>
        </w:numPr>
      </w:pPr>
      <w:r>
        <w:t xml:space="preserve">Qualification de la plateforme au niveau production </w:t>
      </w:r>
    </w:p>
    <w:p w:rsidR="006E6D7A" w:rsidRDefault="00B16C64" w14:paraId="6715705D" w14:textId="77777777">
      <w:pPr>
        <w:pBdr>
          <w:top w:val="none" w:color="000000" w:sz="4" w:space="0"/>
          <w:left w:val="none" w:color="000000" w:sz="4" w:space="0"/>
          <w:bottom w:val="none" w:color="000000" w:sz="4" w:space="0"/>
          <w:right w:val="none" w:color="000000" w:sz="4" w:space="0"/>
        </w:pBdr>
        <w:shd w:val="clear" w:color="FFFFFF" w:fill="FFFFFF"/>
        <w:spacing w:after="0"/>
        <w:rPr>
          <w:rFonts w:ascii="Calibri" w:hAnsi="Calibri" w:eastAsia="Calibri" w:cs="Calibri"/>
        </w:rPr>
      </w:pPr>
      <w:r>
        <w:rPr>
          <w:rFonts w:ascii="Calibri" w:hAnsi="Calibri" w:eastAsia="Calibri" w:cs="Calibri"/>
          <w:color w:val="212121"/>
        </w:rPr>
        <w:t xml:space="preserve">La feuille de route du projet RDG étant d’ici à mi- 2026 la migration vers ADAGE (DC </w:t>
      </w:r>
      <w:proofErr w:type="spellStart"/>
      <w:r>
        <w:rPr>
          <w:rFonts w:ascii="Calibri" w:hAnsi="Calibri" w:eastAsia="Calibri" w:cs="Calibri"/>
          <w:color w:val="212121"/>
        </w:rPr>
        <w:t>strasbourg</w:t>
      </w:r>
      <w:proofErr w:type="spellEnd"/>
      <w:r>
        <w:rPr>
          <w:rFonts w:ascii="Calibri" w:hAnsi="Calibri" w:eastAsia="Calibri" w:cs="Calibri"/>
          <w:color w:val="212121"/>
        </w:rPr>
        <w:t>/lorraine).</w:t>
      </w:r>
    </w:p>
    <w:p w:rsidR="006E6D7A" w:rsidRDefault="006E6D7A" w14:paraId="6715705E" w14:textId="77777777"/>
    <w:p w:rsidR="006E6D7A" w:rsidRDefault="00B16C64" w14:paraId="6715705F" w14:textId="77777777">
      <w:pPr>
        <w:pStyle w:val="Titre2"/>
      </w:pPr>
      <w:bookmarkStart w:name="_Toc221095497" w:id="69"/>
      <w:r>
        <w:t>Socle Virtualisation</w:t>
      </w:r>
      <w:bookmarkEnd w:id="69"/>
    </w:p>
    <w:p w:rsidR="006E6D7A" w:rsidRDefault="00B16C64" w14:paraId="67157060" w14:textId="77777777">
      <w:pPr>
        <w:pStyle w:val="Titre3"/>
        <w:numPr>
          <w:ilvl w:val="3"/>
          <w:numId w:val="3"/>
        </w:numPr>
      </w:pPr>
      <w:bookmarkStart w:name="_Toc221095498" w:id="70"/>
      <w:r>
        <w:t>Description</w:t>
      </w:r>
      <w:bookmarkEnd w:id="70"/>
    </w:p>
    <w:p w:rsidR="006E6D7A" w:rsidRDefault="00B16C64" w14:paraId="67157061" w14:textId="77777777">
      <w:r>
        <w:t xml:space="preserve">La plateforme VIRTU repose sur le logiciel </w:t>
      </w:r>
      <w:proofErr w:type="spellStart"/>
      <w:r>
        <w:t>Broadcom</w:t>
      </w:r>
      <w:proofErr w:type="spellEnd"/>
      <w:r>
        <w:t xml:space="preserve">/VMWARE à l’heure actuelle. Un projet est en cours pour migrer tout ou partie de la plateforme vers d’autres solutions comme </w:t>
      </w:r>
      <w:proofErr w:type="spellStart"/>
      <w:r>
        <w:t>Proxmox</w:t>
      </w:r>
      <w:proofErr w:type="spellEnd"/>
      <w:r>
        <w:t xml:space="preserve">, XCP-NG, </w:t>
      </w:r>
      <w:proofErr w:type="spellStart"/>
      <w:r>
        <w:t>OpenStack</w:t>
      </w:r>
      <w:proofErr w:type="spellEnd"/>
      <w:r>
        <w:t xml:space="preserve">. Les premières migrations </w:t>
      </w:r>
      <w:proofErr w:type="gramStart"/>
      <w:r>
        <w:t>débuterons</w:t>
      </w:r>
      <w:proofErr w:type="gramEnd"/>
      <w:r>
        <w:t xml:space="preserve"> au S1 2026.</w:t>
      </w:r>
    </w:p>
    <w:p w:rsidR="006E6D7A" w:rsidRDefault="00B16C64" w14:paraId="67157062" w14:textId="77777777">
      <w:r>
        <w:t>Le maintien en conditions opérationnelles de la plateforme est assuré en datacenters et régions</w:t>
      </w:r>
    </w:p>
    <w:p w:rsidR="006E6D7A" w:rsidRDefault="00B16C64" w14:paraId="67157063" w14:textId="77777777">
      <w:pPr>
        <w:pStyle w:val="Titre3"/>
        <w:numPr>
          <w:ilvl w:val="4"/>
          <w:numId w:val="3"/>
        </w:numPr>
      </w:pPr>
      <w:bookmarkStart w:name="_Toc221095499" w:id="71"/>
      <w:r>
        <w:t xml:space="preserve">Composants et architecture de la plateforme de </w:t>
      </w:r>
      <w:proofErr w:type="spellStart"/>
      <w:r>
        <w:t>virtu</w:t>
      </w:r>
      <w:bookmarkEnd w:id="71"/>
      <w:proofErr w:type="spellEnd"/>
    </w:p>
    <w:p w:rsidR="006E6D7A" w:rsidRDefault="006E6D7A" w14:paraId="67157064" w14:textId="77777777"/>
    <w:p w:rsidR="006E6D7A" w:rsidRDefault="00B16C64" w14:paraId="67157065" w14:textId="77777777">
      <w:r>
        <w:t xml:space="preserve">La plateforme en production est actuellement composée de 2 </w:t>
      </w:r>
      <w:proofErr w:type="spellStart"/>
      <w:r>
        <w:t>vCenters</w:t>
      </w:r>
      <w:proofErr w:type="spellEnd"/>
      <w:r>
        <w:t xml:space="preserve"> de production (et 1 de préproduction) </w:t>
      </w:r>
      <w:proofErr w:type="spellStart"/>
      <w:r>
        <w:t>repartis</w:t>
      </w:r>
      <w:proofErr w:type="spellEnd"/>
      <w:r>
        <w:t xml:space="preserve"> sur 2 datacenters gérant 120 serveurs pour 3500 VM en datacenter et en région.</w:t>
      </w:r>
    </w:p>
    <w:p w:rsidR="006E6D7A" w:rsidRDefault="00B16C64" w14:paraId="67157066" w14:textId="77777777">
      <w:r>
        <w:rPr>
          <w:noProof/>
        </w:rPr>
        <w:lastRenderedPageBreak/>
        <mc:AlternateContent>
          <mc:Choice Requires="wpg">
            <w:drawing>
              <wp:inline distT="0" distB="0" distL="0" distR="0" wp14:anchorId="67157C33" wp14:editId="67157C34">
                <wp:extent cx="3810000" cy="7086600"/>
                <wp:effectExtent l="0" t="0" r="0" b="0"/>
                <wp:docPr id="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986210" name="Image 1609231700"/>
                        <pic:cNvPicPr>
                          <a:picLocks noChangeAspect="1"/>
                        </pic:cNvPicPr>
                      </pic:nvPicPr>
                      <pic:blipFill rotWithShape="1">
                        <a:blip r:embed="rId80"/>
                        <a:stretch/>
                      </pic:blipFill>
                      <pic:spPr bwMode="auto">
                        <a:xfrm>
                          <a:off x="0" y="0"/>
                          <a:ext cx="3809999" cy="7086600"/>
                        </a:xfrm>
                        <a:prstGeom prst="rect">
                          <a:avLst/>
                        </a:prstGeom>
                      </pic:spPr>
                    </pic:pic>
                  </a:graphicData>
                </a:graphic>
              </wp:inline>
            </w:drawing>
          </mc:Choice>
          <mc:Fallback xmlns:a="http://schemas.openxmlformats.org/drawingml/2006/main">
            <w:pict w14:anchorId="095A9C32">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1" style="width:300.00pt;height:558.00pt;mso-wrap-distance-left:0.00pt;mso-wrap-distance-top:0.00pt;mso-wrap-distance-right:0.00pt;mso-wrap-distance-bottom:0.00pt;rotation:0;z-index:1;" o:spid="_x0000_s31" stroked="false" type="#_x0000_t75">
                <v:imagedata o:title="" r:id="rId81"/>
                <o:lock v:ext="edit" rotation="t"/>
              </v:shape>
            </w:pict>
          </mc:Fallback>
        </mc:AlternateContent>
      </w:r>
    </w:p>
    <w:p w:rsidR="006E6D7A" w:rsidRDefault="006E6D7A" w14:paraId="67157067" w14:textId="77777777"/>
    <w:p w:rsidR="006E6D7A" w:rsidRDefault="00B16C64" w14:paraId="67157068" w14:textId="77777777">
      <w:pPr>
        <w:pStyle w:val="Titre3"/>
        <w:numPr>
          <w:ilvl w:val="3"/>
          <w:numId w:val="3"/>
        </w:numPr>
      </w:pPr>
      <w:bookmarkStart w:name="_Toc221095500" w:id="72"/>
      <w:r>
        <w:t>Enjeux</w:t>
      </w:r>
      <w:bookmarkEnd w:id="72"/>
    </w:p>
    <w:p w:rsidR="006E6D7A" w:rsidRDefault="00B16C64" w14:paraId="67157069" w14:textId="77777777">
      <w:r>
        <w:t xml:space="preserve">L’enjeu principal consiste à offrir un service de </w:t>
      </w:r>
      <w:proofErr w:type="spellStart"/>
      <w:proofErr w:type="gramStart"/>
      <w:r>
        <w:t>VMs</w:t>
      </w:r>
      <w:proofErr w:type="spellEnd"/>
      <w:r>
        <w:t>:</w:t>
      </w:r>
      <w:proofErr w:type="gramEnd"/>
    </w:p>
    <w:p w:rsidR="006E6D7A" w:rsidRDefault="00B16C64" w14:paraId="6715706A" w14:textId="77777777">
      <w:pPr>
        <w:pStyle w:val="Paragraphedeliste"/>
        <w:numPr>
          <w:ilvl w:val="0"/>
          <w:numId w:val="112"/>
        </w:numPr>
      </w:pPr>
      <w:r>
        <w:t>Managées (pré-installation et configuration OS) accessibles uniquement par connexion SSH ou RDP</w:t>
      </w:r>
    </w:p>
    <w:p w:rsidR="006E6D7A" w:rsidRDefault="00B16C64" w14:paraId="6715706B" w14:textId="77777777">
      <w:pPr>
        <w:pStyle w:val="Paragraphedeliste"/>
        <w:numPr>
          <w:ilvl w:val="0"/>
          <w:numId w:val="112"/>
        </w:numPr>
      </w:pPr>
      <w:r>
        <w:t>Non Managées accessibles par interface web pour gérer l’installation OS, l’arrêt/redémarrage et les snapshots</w:t>
      </w:r>
    </w:p>
    <w:p w:rsidR="006E6D7A" w:rsidRDefault="00B16C64" w14:paraId="6715706C" w14:textId="77777777">
      <w:r>
        <w:t>Les 2 services VIRTU sont accessibles à tous les agents INRAE</w:t>
      </w:r>
    </w:p>
    <w:p w:rsidR="006E6D7A" w:rsidRDefault="006E6D7A" w14:paraId="6715706D" w14:textId="77777777"/>
    <w:p w:rsidR="006E6D7A" w:rsidRDefault="00B16C64" w14:paraId="6715706E" w14:textId="77777777">
      <w:pPr>
        <w:pStyle w:val="Titre3"/>
        <w:numPr>
          <w:ilvl w:val="3"/>
          <w:numId w:val="3"/>
        </w:numPr>
      </w:pPr>
      <w:bookmarkStart w:name="_Toc221095501" w:id="73"/>
      <w:r>
        <w:t>Roadmap</w:t>
      </w:r>
      <w:bookmarkEnd w:id="73"/>
    </w:p>
    <w:p w:rsidR="006E6D7A" w:rsidRDefault="00B16C64" w14:paraId="6715706F" w14:textId="77777777">
      <w:r>
        <w:t>L’évolution de la plateforme VIRTU vise :</w:t>
      </w:r>
    </w:p>
    <w:p w:rsidR="006E6D7A" w:rsidRDefault="00B16C64" w14:paraId="67157070" w14:textId="77777777">
      <w:pPr>
        <w:pStyle w:val="Paragraphedeliste"/>
        <w:numPr>
          <w:ilvl w:val="0"/>
          <w:numId w:val="113"/>
        </w:numPr>
      </w:pPr>
      <w:proofErr w:type="gramStart"/>
      <w:r>
        <w:t>la</w:t>
      </w:r>
      <w:proofErr w:type="gramEnd"/>
      <w:r>
        <w:t xml:space="preserve"> migration tout ou partie vers un nouveau produit </w:t>
      </w:r>
    </w:p>
    <w:p w:rsidR="006E6D7A" w:rsidRDefault="00B16C64" w14:paraId="67157071" w14:textId="77777777">
      <w:pPr>
        <w:pStyle w:val="Paragraphedeliste"/>
        <w:numPr>
          <w:ilvl w:val="0"/>
          <w:numId w:val="113"/>
        </w:numPr>
      </w:pPr>
      <w:proofErr w:type="gramStart"/>
      <w:r>
        <w:t>la</w:t>
      </w:r>
      <w:proofErr w:type="gramEnd"/>
      <w:r>
        <w:t xml:space="preserve"> rationalisation de nos infrastructures virtuelles</w:t>
      </w:r>
    </w:p>
    <w:p w:rsidR="006E6D7A" w:rsidRDefault="00B16C64" w14:paraId="67157072" w14:textId="77777777">
      <w:pPr>
        <w:pStyle w:val="Paragraphedeliste"/>
        <w:numPr>
          <w:ilvl w:val="0"/>
          <w:numId w:val="113"/>
        </w:numPr>
      </w:pPr>
      <w:proofErr w:type="gramStart"/>
      <w:r>
        <w:t>l’amélioration</w:t>
      </w:r>
      <w:proofErr w:type="gramEnd"/>
      <w:r>
        <w:t xml:space="preserve"> du cycle de vie des VM via des automatisations et la gestion de leur fin de vie</w:t>
      </w:r>
    </w:p>
    <w:p w:rsidR="006E6D7A" w:rsidRDefault="006E6D7A" w14:paraId="67157073" w14:textId="77777777"/>
    <w:p w:rsidR="006E6D7A" w:rsidRDefault="00B16C64" w14:paraId="67157074" w14:textId="77777777">
      <w:pPr>
        <w:pStyle w:val="Titre2"/>
      </w:pPr>
      <w:bookmarkStart w:name="_Toc221095502" w:id="74"/>
      <w:r>
        <w:t>IAG</w:t>
      </w:r>
      <w:bookmarkEnd w:id="74"/>
    </w:p>
    <w:p w:rsidR="006E6D7A" w:rsidRDefault="00B16C64" w14:paraId="67157075" w14:textId="77777777">
      <w:pPr>
        <w:pStyle w:val="Titre3"/>
        <w:numPr>
          <w:ilvl w:val="3"/>
          <w:numId w:val="3"/>
        </w:numPr>
      </w:pPr>
      <w:bookmarkStart w:name="_Toc221095503" w:id="75"/>
      <w:r>
        <w:t>Description</w:t>
      </w:r>
      <w:bookmarkEnd w:id="75"/>
    </w:p>
    <w:p w:rsidR="006E6D7A" w:rsidRDefault="00B16C64" w14:paraId="67157076" w14:textId="77777777">
      <w:r>
        <w:t>La DSI INRAE expérimente un POC sur une plateforme d’IAG.</w:t>
      </w:r>
    </w:p>
    <w:p w:rsidR="006E6D7A" w:rsidRDefault="00B16C64" w14:paraId="67157077" w14:textId="77777777">
      <w:r>
        <w:rPr>
          <w:noProof/>
        </w:rPr>
        <mc:AlternateContent>
          <mc:Choice Requires="wpg">
            <w:drawing>
              <wp:inline distT="0" distB="0" distL="0" distR="0" wp14:anchorId="67157C35" wp14:editId="67157C36">
                <wp:extent cx="5591035" cy="5725153"/>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78993" name=""/>
                        <pic:cNvPicPr>
                          <a:picLocks noChangeAspect="1"/>
                        </pic:cNvPicPr>
                      </pic:nvPicPr>
                      <pic:blipFill rotWithShape="1">
                        <a:blip r:embed="rId82"/>
                        <a:stretch/>
                      </pic:blipFill>
                      <pic:spPr bwMode="auto">
                        <a:xfrm>
                          <a:off x="0" y="0"/>
                          <a:ext cx="5591034" cy="5725152"/>
                        </a:xfrm>
                        <a:prstGeom prst="rect">
                          <a:avLst/>
                        </a:prstGeom>
                      </pic:spPr>
                    </pic:pic>
                  </a:graphicData>
                </a:graphic>
              </wp:inline>
            </w:drawing>
          </mc:Choice>
          <mc:Fallback xmlns:a="http://schemas.openxmlformats.org/drawingml/2006/main">
            <w:pict w14:anchorId="785580BD">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2" style="width:440.24pt;height:450.80pt;mso-wrap-distance-left:0.00pt;mso-wrap-distance-top:0.00pt;mso-wrap-distance-right:0.00pt;mso-wrap-distance-bottom:0.00pt;z-index:1;" o:spid="_x0000_s32" stroked="false" type="#_x0000_t75">
                <v:imagedata o:title="" r:id="rId83"/>
                <o:lock v:ext="edit" rotation="t"/>
              </v:shape>
            </w:pict>
          </mc:Fallback>
        </mc:AlternateContent>
      </w:r>
    </w:p>
    <w:p w:rsidR="006E6D7A" w:rsidRDefault="006E6D7A" w14:paraId="67157078" w14:textId="77777777"/>
    <w:p w:rsidR="006E6D7A" w:rsidRDefault="006E6D7A" w14:paraId="67157079" w14:textId="77777777"/>
    <w:p w:rsidR="006E6D7A" w:rsidRDefault="00B16C64" w14:paraId="6715707A" w14:textId="77777777">
      <w:pPr>
        <w:pStyle w:val="Titre2"/>
      </w:pPr>
      <w:bookmarkStart w:name="_Toc221095504" w:id="76"/>
      <w:r>
        <w:t>Usine à sites</w:t>
      </w:r>
      <w:bookmarkEnd w:id="76"/>
    </w:p>
    <w:p w:rsidR="006E6D7A" w:rsidRDefault="00B16C64" w14:paraId="6715707B" w14:textId="77777777">
      <w:pPr>
        <w:pStyle w:val="Titre3"/>
        <w:numPr>
          <w:ilvl w:val="3"/>
          <w:numId w:val="3"/>
        </w:numPr>
        <w:tabs>
          <w:tab w:val="clear" w:pos="851"/>
        </w:tabs>
      </w:pPr>
      <w:bookmarkStart w:name="_Toc221095505" w:id="77"/>
      <w:r>
        <w:t>Description</w:t>
      </w:r>
      <w:bookmarkEnd w:id="77"/>
    </w:p>
    <w:p w:rsidR="006E6D7A" w:rsidRDefault="00B16C64" w14:paraId="6715707C" w14:textId="77777777">
      <w:pPr>
        <w:pStyle w:val="Titre3"/>
        <w:numPr>
          <w:ilvl w:val="4"/>
          <w:numId w:val="3"/>
        </w:numPr>
      </w:pPr>
      <w:bookmarkStart w:name="_Toc221095506" w:id="78"/>
      <w:r>
        <w:t>Description Fonctionnelle :</w:t>
      </w:r>
      <w:bookmarkEnd w:id="78"/>
    </w:p>
    <w:p w:rsidR="006E6D7A" w:rsidRDefault="006E6D7A" w14:paraId="6715707D" w14:textId="77777777"/>
    <w:p w:rsidR="006E6D7A" w:rsidRDefault="00B16C64" w14:paraId="6715707E" w14:textId="77777777">
      <w:pPr>
        <w:numPr>
          <w:ilvl w:val="0"/>
          <w:numId w:val="107"/>
        </w:numPr>
        <w:pBdr>
          <w:top w:val="none" w:color="000000" w:sz="4" w:space="0"/>
          <w:left w:val="none" w:color="000000" w:sz="4" w:space="0"/>
          <w:bottom w:val="none" w:color="000000" w:sz="4" w:space="0"/>
          <w:right w:val="none" w:color="000000" w:sz="4" w:space="0"/>
        </w:pBdr>
        <w:tabs>
          <w:tab w:val="left" w:pos="720"/>
        </w:tabs>
      </w:pPr>
      <w:r>
        <w:rPr>
          <w:rFonts w:ascii="Arial" w:hAnsi="Arial" w:eastAsia="Arial" w:cs="Arial"/>
          <w:b/>
          <w:color w:val="000000"/>
        </w:rPr>
        <w:t>L’usine à sites</w:t>
      </w:r>
    </w:p>
    <w:p w:rsidR="006E6D7A" w:rsidRDefault="00B16C64" w14:paraId="6715707F" w14:textId="77777777">
      <w:pPr>
        <w:numPr>
          <w:ilvl w:val="1"/>
          <w:numId w:val="107"/>
        </w:numPr>
        <w:pBdr>
          <w:top w:val="none" w:color="000000" w:sz="4" w:space="0"/>
          <w:left w:val="none" w:color="000000" w:sz="4" w:space="0"/>
          <w:bottom w:val="none" w:color="000000" w:sz="4" w:space="0"/>
          <w:right w:val="none" w:color="000000" w:sz="4" w:space="0"/>
        </w:pBdr>
        <w:tabs>
          <w:tab w:val="left" w:pos="1440"/>
        </w:tabs>
      </w:pPr>
      <w:r>
        <w:rPr>
          <w:rFonts w:ascii="Calibri" w:hAnsi="Calibri" w:eastAsia="Calibri" w:cs="Calibri"/>
          <w:color w:val="000000"/>
        </w:rPr>
        <w:t xml:space="preserve">C’est une plateforme mutualisée, basée sur </w:t>
      </w:r>
      <w:proofErr w:type="spellStart"/>
      <w:r>
        <w:rPr>
          <w:rFonts w:ascii="Arial" w:hAnsi="Arial" w:eastAsia="Arial" w:cs="Arial"/>
          <w:b/>
          <w:color w:val="000000"/>
        </w:rPr>
        <w:t>EzPlatform</w:t>
      </w:r>
      <w:proofErr w:type="spellEnd"/>
      <w:r>
        <w:rPr>
          <w:rFonts w:ascii="Arial" w:hAnsi="Arial" w:eastAsia="Arial" w:cs="Arial"/>
          <w:b/>
          <w:color w:val="000000"/>
        </w:rPr>
        <w:t xml:space="preserve"> bientôt </w:t>
      </w:r>
      <w:proofErr w:type="spellStart"/>
      <w:r>
        <w:rPr>
          <w:rFonts w:ascii="Arial" w:hAnsi="Arial" w:eastAsia="Arial" w:cs="Arial"/>
          <w:b/>
          <w:color w:val="000000"/>
        </w:rPr>
        <w:t>Ibexa</w:t>
      </w:r>
      <w:proofErr w:type="spellEnd"/>
      <w:r>
        <w:rPr>
          <w:rFonts w:ascii="Arial" w:hAnsi="Arial" w:eastAsia="Arial" w:cs="Arial"/>
          <w:b/>
          <w:color w:val="000000"/>
        </w:rPr>
        <w:t xml:space="preserve"> 4.6</w:t>
      </w:r>
      <w:r>
        <w:rPr>
          <w:rFonts w:ascii="Calibri" w:hAnsi="Calibri" w:eastAsia="Calibri" w:cs="Calibri"/>
          <w:color w:val="000000"/>
        </w:rPr>
        <w:t>, qui permet de créer, gérer et faire évoluer un grand nombre de sites institutionnels de manière homogène et industrialisée.</w:t>
      </w:r>
    </w:p>
    <w:p w:rsidR="006E6D7A" w:rsidRDefault="00B16C64" w14:paraId="67157080" w14:textId="77777777">
      <w:pPr>
        <w:numPr>
          <w:ilvl w:val="1"/>
          <w:numId w:val="107"/>
        </w:numPr>
        <w:pBdr>
          <w:top w:val="none" w:color="000000" w:sz="4" w:space="0"/>
          <w:left w:val="none" w:color="000000" w:sz="4" w:space="0"/>
          <w:bottom w:val="none" w:color="000000" w:sz="4" w:space="0"/>
          <w:right w:val="none" w:color="000000" w:sz="4" w:space="0"/>
        </w:pBdr>
        <w:tabs>
          <w:tab w:val="left" w:pos="1440"/>
        </w:tabs>
      </w:pPr>
      <w:r>
        <w:rPr>
          <w:rFonts w:ascii="Calibri" w:hAnsi="Calibri" w:eastAsia="Calibri" w:cs="Calibri"/>
          <w:color w:val="000000"/>
        </w:rPr>
        <w:t>Elle centralise l’hébergement, la maintenance, la sécurité, les mises à jour et les évolutions fonctionnelles.</w:t>
      </w:r>
    </w:p>
    <w:p w:rsidR="006E6D7A" w:rsidRDefault="00B16C64" w14:paraId="67157081" w14:textId="77777777">
      <w:pPr>
        <w:numPr>
          <w:ilvl w:val="1"/>
          <w:numId w:val="107"/>
        </w:numPr>
        <w:pBdr>
          <w:top w:val="none" w:color="000000" w:sz="4" w:space="0"/>
          <w:left w:val="none" w:color="000000" w:sz="4" w:space="0"/>
          <w:bottom w:val="none" w:color="000000" w:sz="4" w:space="0"/>
          <w:right w:val="none" w:color="000000" w:sz="4" w:space="0"/>
        </w:pBdr>
        <w:tabs>
          <w:tab w:val="left" w:pos="1440"/>
        </w:tabs>
      </w:pPr>
      <w:r>
        <w:rPr>
          <w:rFonts w:ascii="Calibri" w:hAnsi="Calibri" w:eastAsia="Calibri" w:cs="Calibri"/>
          <w:color w:val="000000"/>
        </w:rPr>
        <w:t>Elle apporte cohérence graphique, technique et éditoriale tout en permettant aux unités et services de l’INRAE de disposer rapidement de leur propre site.</w:t>
      </w:r>
    </w:p>
    <w:p w:rsidR="006E6D7A" w:rsidRDefault="00B16C64" w14:paraId="67157082" w14:textId="77777777">
      <w:pPr>
        <w:numPr>
          <w:ilvl w:val="1"/>
          <w:numId w:val="107"/>
        </w:numPr>
        <w:pBdr>
          <w:top w:val="none" w:color="000000" w:sz="4" w:space="0"/>
          <w:left w:val="none" w:color="000000" w:sz="4" w:space="0"/>
          <w:bottom w:val="none" w:color="000000" w:sz="4" w:space="0"/>
          <w:right w:val="none" w:color="000000" w:sz="4" w:space="0"/>
        </w:pBdr>
        <w:tabs>
          <w:tab w:val="left" w:pos="1440"/>
        </w:tabs>
      </w:pPr>
      <w:r>
        <w:rPr>
          <w:rFonts w:ascii="Calibri" w:hAnsi="Calibri" w:eastAsia="Calibri" w:cs="Calibri"/>
          <w:color w:val="000000"/>
        </w:rPr>
        <w:t xml:space="preserve">Aujourd’hui, elle fait tourner </w:t>
      </w:r>
      <w:r>
        <w:rPr>
          <w:rFonts w:ascii="Arial" w:hAnsi="Arial" w:eastAsia="Arial" w:cs="Arial"/>
          <w:b/>
          <w:color w:val="000000"/>
        </w:rPr>
        <w:t>plus de 1000 sites</w:t>
      </w:r>
      <w:r>
        <w:rPr>
          <w:rFonts w:ascii="Calibri" w:hAnsi="Calibri" w:eastAsia="Calibri" w:cs="Calibri"/>
          <w:color w:val="000000"/>
        </w:rPr>
        <w:t>.</w:t>
      </w:r>
    </w:p>
    <w:p w:rsidR="006E6D7A" w:rsidRDefault="00B16C64" w14:paraId="67157083" w14:textId="77777777">
      <w:pPr>
        <w:numPr>
          <w:ilvl w:val="0"/>
          <w:numId w:val="107"/>
        </w:numPr>
        <w:pBdr>
          <w:top w:val="none" w:color="000000" w:sz="4" w:space="0"/>
          <w:left w:val="none" w:color="000000" w:sz="4" w:space="0"/>
          <w:bottom w:val="none" w:color="000000" w:sz="4" w:space="0"/>
          <w:right w:val="none" w:color="000000" w:sz="4" w:space="0"/>
        </w:pBdr>
        <w:tabs>
          <w:tab w:val="left" w:pos="720"/>
        </w:tabs>
      </w:pPr>
      <w:r>
        <w:rPr>
          <w:rFonts w:ascii="Arial" w:hAnsi="Arial" w:eastAsia="Arial" w:cs="Arial"/>
          <w:b/>
          <w:color w:val="000000"/>
        </w:rPr>
        <w:t>Les modèles disponibles</w:t>
      </w:r>
    </w:p>
    <w:p w:rsidR="006E6D7A" w:rsidRDefault="00B16C64" w14:paraId="67157084" w14:textId="77777777">
      <w:pPr>
        <w:numPr>
          <w:ilvl w:val="1"/>
          <w:numId w:val="107"/>
        </w:numPr>
        <w:pBdr>
          <w:top w:val="none" w:color="000000" w:sz="4" w:space="0"/>
          <w:left w:val="none" w:color="000000" w:sz="4" w:space="0"/>
          <w:bottom w:val="none" w:color="000000" w:sz="4" w:space="0"/>
          <w:right w:val="none" w:color="000000" w:sz="4" w:space="0"/>
        </w:pBdr>
        <w:tabs>
          <w:tab w:val="left" w:pos="1440"/>
        </w:tabs>
      </w:pPr>
      <w:r>
        <w:rPr>
          <w:rFonts w:ascii="Calibri" w:hAnsi="Calibri" w:eastAsia="Calibri" w:cs="Calibri"/>
          <w:color w:val="000000"/>
        </w:rPr>
        <w:t>L’usine repose sur 4</w:t>
      </w:r>
      <w:r>
        <w:rPr>
          <w:rFonts w:ascii="Arial" w:hAnsi="Arial" w:eastAsia="Arial" w:cs="Arial"/>
          <w:b/>
          <w:color w:val="000000"/>
        </w:rPr>
        <w:t xml:space="preserve"> modèles distincts</w:t>
      </w:r>
      <w:r>
        <w:rPr>
          <w:rFonts w:ascii="Calibri" w:hAnsi="Calibri" w:eastAsia="Calibri" w:cs="Calibri"/>
          <w:color w:val="000000"/>
        </w:rPr>
        <w:t xml:space="preserve"> :</w:t>
      </w:r>
    </w:p>
    <w:p w:rsidR="006E6D7A" w:rsidRDefault="00B16C64" w14:paraId="67157085" w14:textId="77777777">
      <w:pPr>
        <w:numPr>
          <w:ilvl w:val="2"/>
          <w:numId w:val="107"/>
        </w:numPr>
        <w:pBdr>
          <w:top w:val="none" w:color="000000" w:sz="4" w:space="0"/>
          <w:left w:val="none" w:color="000000" w:sz="4" w:space="0"/>
          <w:bottom w:val="none" w:color="000000" w:sz="4" w:space="0"/>
          <w:right w:val="none" w:color="000000" w:sz="4" w:space="0"/>
        </w:pBdr>
        <w:tabs>
          <w:tab w:val="left" w:pos="2160"/>
        </w:tabs>
      </w:pPr>
      <w:r>
        <w:rPr>
          <w:rFonts w:ascii="Arial" w:hAnsi="Arial" w:eastAsia="Arial" w:cs="Arial"/>
          <w:b/>
          <w:color w:val="000000"/>
        </w:rPr>
        <w:t>Internet</w:t>
      </w:r>
      <w:r>
        <w:rPr>
          <w:rFonts w:ascii="Calibri" w:hAnsi="Calibri" w:eastAsia="Calibri" w:cs="Calibri"/>
          <w:color w:val="000000"/>
        </w:rPr>
        <w:t xml:space="preserve"> : pour les sites publics institutionnels (visibilité externe).</w:t>
      </w:r>
    </w:p>
    <w:p w:rsidR="006E6D7A" w:rsidRDefault="00B16C64" w14:paraId="67157086" w14:textId="77777777">
      <w:pPr>
        <w:numPr>
          <w:ilvl w:val="2"/>
          <w:numId w:val="107"/>
        </w:numPr>
        <w:pBdr>
          <w:top w:val="none" w:color="000000" w:sz="4" w:space="0"/>
          <w:left w:val="none" w:color="000000" w:sz="4" w:space="0"/>
          <w:bottom w:val="none" w:color="000000" w:sz="4" w:space="0"/>
          <w:right w:val="none" w:color="000000" w:sz="4" w:space="0"/>
        </w:pBdr>
        <w:tabs>
          <w:tab w:val="left" w:pos="2160"/>
        </w:tabs>
      </w:pPr>
      <w:r>
        <w:rPr>
          <w:rFonts w:ascii="Arial" w:hAnsi="Arial" w:eastAsia="Arial" w:cs="Arial"/>
          <w:b/>
          <w:color w:val="000000"/>
        </w:rPr>
        <w:t>Intranet</w:t>
      </w:r>
      <w:r>
        <w:rPr>
          <w:rFonts w:ascii="Calibri" w:hAnsi="Calibri" w:eastAsia="Calibri" w:cs="Calibri"/>
          <w:color w:val="000000"/>
        </w:rPr>
        <w:t xml:space="preserve"> : pour la communication et la collaboration interne.</w:t>
      </w:r>
    </w:p>
    <w:p w:rsidR="006E6D7A" w:rsidRDefault="00B16C64" w14:paraId="67157087" w14:textId="77777777">
      <w:pPr>
        <w:numPr>
          <w:ilvl w:val="2"/>
          <w:numId w:val="107"/>
        </w:numPr>
        <w:pBdr>
          <w:top w:val="none" w:color="000000" w:sz="4" w:space="0"/>
          <w:left w:val="none" w:color="000000" w:sz="4" w:space="0"/>
          <w:bottom w:val="none" w:color="000000" w:sz="4" w:space="0"/>
          <w:right w:val="none" w:color="000000" w:sz="4" w:space="0"/>
        </w:pBdr>
        <w:tabs>
          <w:tab w:val="left" w:pos="2160"/>
        </w:tabs>
      </w:pPr>
      <w:r>
        <w:rPr>
          <w:rFonts w:ascii="Arial" w:hAnsi="Arial" w:eastAsia="Arial" w:cs="Arial"/>
          <w:b/>
          <w:color w:val="000000"/>
        </w:rPr>
        <w:t>Colloques</w:t>
      </w:r>
      <w:r>
        <w:rPr>
          <w:rFonts w:ascii="Calibri" w:hAnsi="Calibri" w:eastAsia="Calibri" w:cs="Calibri"/>
          <w:color w:val="000000"/>
        </w:rPr>
        <w:t xml:space="preserve"> : pour les événements scientifiques (colloques, conférences, séminaires).</w:t>
      </w:r>
    </w:p>
    <w:p w:rsidR="006E6D7A" w:rsidRDefault="00B16C64" w14:paraId="67157088" w14:textId="77777777">
      <w:pPr>
        <w:numPr>
          <w:ilvl w:val="2"/>
          <w:numId w:val="107"/>
        </w:numPr>
        <w:pBdr>
          <w:top w:val="none" w:color="000000" w:sz="4" w:space="0"/>
          <w:left w:val="none" w:color="000000" w:sz="4" w:space="0"/>
          <w:bottom w:val="none" w:color="000000" w:sz="4" w:space="0"/>
          <w:right w:val="none" w:color="000000" w:sz="4" w:space="0"/>
        </w:pBdr>
        <w:tabs>
          <w:tab w:val="left" w:pos="2160"/>
        </w:tabs>
      </w:pPr>
      <w:proofErr w:type="spellStart"/>
      <w:r>
        <w:rPr>
          <w:rFonts w:ascii="Arial" w:hAnsi="Arial" w:eastAsia="Arial" w:cs="Arial"/>
          <w:b/>
          <w:color w:val="000000"/>
        </w:rPr>
        <w:t>Irisc</w:t>
      </w:r>
      <w:proofErr w:type="spellEnd"/>
      <w:r>
        <w:rPr>
          <w:rFonts w:ascii="Arial" w:hAnsi="Arial" w:eastAsia="Arial" w:cs="Arial"/>
          <w:b/>
          <w:color w:val="000000"/>
        </w:rPr>
        <w:t> </w:t>
      </w:r>
      <w:r>
        <w:rPr>
          <w:rFonts w:ascii="Calibri" w:hAnsi="Calibri" w:eastAsia="Calibri" w:cs="Calibri"/>
          <w:color w:val="000000"/>
        </w:rPr>
        <w:t>: pour les Infrastructures de recherche (un modèle spécifique qui répond aux besoins de visibilité et de communication des grandes infrastructures).</w:t>
      </w:r>
    </w:p>
    <w:p w:rsidR="006E6D7A" w:rsidRDefault="00B16C64" w14:paraId="67157089" w14:textId="77777777">
      <w:pPr>
        <w:numPr>
          <w:ilvl w:val="0"/>
          <w:numId w:val="107"/>
        </w:numPr>
        <w:pBdr>
          <w:top w:val="none" w:color="000000" w:sz="4" w:space="0"/>
          <w:left w:val="none" w:color="000000" w:sz="4" w:space="0"/>
          <w:bottom w:val="none" w:color="000000" w:sz="4" w:space="0"/>
          <w:right w:val="none" w:color="000000" w:sz="4" w:space="0"/>
        </w:pBdr>
        <w:tabs>
          <w:tab w:val="left" w:pos="720"/>
        </w:tabs>
      </w:pPr>
      <w:r>
        <w:rPr>
          <w:rFonts w:ascii="Arial" w:hAnsi="Arial" w:eastAsia="Arial" w:cs="Arial"/>
          <w:b/>
          <w:color w:val="000000"/>
        </w:rPr>
        <w:t xml:space="preserve">Un site </w:t>
      </w:r>
      <w:proofErr w:type="spellStart"/>
      <w:r>
        <w:rPr>
          <w:rFonts w:ascii="Arial" w:hAnsi="Arial" w:eastAsia="Arial" w:cs="Arial"/>
          <w:b/>
          <w:color w:val="000000"/>
        </w:rPr>
        <w:t>eCommerce</w:t>
      </w:r>
      <w:proofErr w:type="spellEnd"/>
      <w:r>
        <w:rPr>
          <w:rFonts w:ascii="Arial" w:hAnsi="Arial" w:eastAsia="Arial" w:cs="Arial"/>
          <w:b/>
          <w:color w:val="000000"/>
        </w:rPr>
        <w:t xml:space="preserve"> en cours de construction</w:t>
      </w:r>
    </w:p>
    <w:p w:rsidR="006E6D7A" w:rsidRDefault="00B16C64" w14:paraId="6715708A" w14:textId="77777777">
      <w:pPr>
        <w:numPr>
          <w:ilvl w:val="1"/>
          <w:numId w:val="107"/>
        </w:numPr>
        <w:pBdr>
          <w:top w:val="none" w:color="000000" w:sz="4" w:space="0"/>
          <w:left w:val="none" w:color="000000" w:sz="4" w:space="0"/>
          <w:bottom w:val="none" w:color="000000" w:sz="4" w:space="0"/>
          <w:right w:val="none" w:color="000000" w:sz="4" w:space="0"/>
        </w:pBdr>
        <w:tabs>
          <w:tab w:val="left" w:pos="1440"/>
        </w:tabs>
      </w:pPr>
      <w:r>
        <w:rPr>
          <w:rFonts w:ascii="Arial" w:hAnsi="Arial" w:eastAsia="Arial" w:cs="Arial"/>
          <w:color w:val="000000"/>
        </w:rPr>
        <w:t>Pourra devenir un modèle si INRAE le souhaite</w:t>
      </w:r>
    </w:p>
    <w:p w:rsidR="006E6D7A" w:rsidRDefault="00B16C64" w14:paraId="6715708B" w14:textId="77777777">
      <w:pPr>
        <w:numPr>
          <w:ilvl w:val="0"/>
          <w:numId w:val="107"/>
        </w:numPr>
        <w:pBdr>
          <w:top w:val="none" w:color="000000" w:sz="4" w:space="0"/>
          <w:left w:val="none" w:color="000000" w:sz="4" w:space="0"/>
          <w:bottom w:val="none" w:color="000000" w:sz="4" w:space="0"/>
          <w:right w:val="none" w:color="000000" w:sz="4" w:space="0"/>
        </w:pBdr>
        <w:tabs>
          <w:tab w:val="left" w:pos="720"/>
        </w:tabs>
      </w:pPr>
      <w:proofErr w:type="spellStart"/>
      <w:r>
        <w:rPr>
          <w:rFonts w:ascii="Arial" w:hAnsi="Arial" w:eastAsia="Arial" w:cs="Arial"/>
          <w:b/>
          <w:color w:val="000000"/>
        </w:rPr>
        <w:t>GSite</w:t>
      </w:r>
      <w:proofErr w:type="spellEnd"/>
    </w:p>
    <w:p w:rsidR="006E6D7A" w:rsidRDefault="00B16C64" w14:paraId="6715708C" w14:textId="77777777">
      <w:pPr>
        <w:numPr>
          <w:ilvl w:val="1"/>
          <w:numId w:val="107"/>
        </w:numPr>
        <w:pBdr>
          <w:top w:val="none" w:color="000000" w:sz="4" w:space="0"/>
          <w:left w:val="none" w:color="000000" w:sz="4" w:space="0"/>
          <w:bottom w:val="none" w:color="000000" w:sz="4" w:space="0"/>
          <w:right w:val="none" w:color="000000" w:sz="4" w:space="0"/>
        </w:pBdr>
        <w:tabs>
          <w:tab w:val="left" w:pos="1440"/>
        </w:tabs>
      </w:pPr>
      <w:r>
        <w:rPr>
          <w:rFonts w:ascii="Calibri" w:hAnsi="Calibri" w:eastAsia="Calibri" w:cs="Calibri"/>
          <w:color w:val="000000"/>
        </w:rPr>
        <w:t>C’est l’</w:t>
      </w:r>
      <w:r>
        <w:rPr>
          <w:rFonts w:ascii="Arial" w:hAnsi="Arial" w:eastAsia="Arial" w:cs="Arial"/>
          <w:b/>
          <w:color w:val="000000"/>
        </w:rPr>
        <w:t>interface de gestion</w:t>
      </w:r>
      <w:r>
        <w:rPr>
          <w:rFonts w:ascii="Calibri" w:hAnsi="Calibri" w:eastAsia="Calibri" w:cs="Calibri"/>
          <w:color w:val="000000"/>
        </w:rPr>
        <w:t xml:space="preserve"> mise à disposition de l’équipe Web.</w:t>
      </w:r>
    </w:p>
    <w:p w:rsidR="006E6D7A" w:rsidRDefault="00B16C64" w14:paraId="6715708D" w14:textId="77777777">
      <w:pPr>
        <w:numPr>
          <w:ilvl w:val="1"/>
          <w:numId w:val="107"/>
        </w:numPr>
        <w:pBdr>
          <w:top w:val="none" w:color="000000" w:sz="4" w:space="0"/>
          <w:left w:val="none" w:color="000000" w:sz="4" w:space="0"/>
          <w:bottom w:val="none" w:color="000000" w:sz="4" w:space="0"/>
          <w:right w:val="none" w:color="000000" w:sz="4" w:space="0"/>
        </w:pBdr>
        <w:tabs>
          <w:tab w:val="left" w:pos="1440"/>
        </w:tabs>
      </w:pPr>
      <w:r>
        <w:rPr>
          <w:rFonts w:ascii="Calibri" w:hAnsi="Calibri" w:eastAsia="Calibri" w:cs="Calibri"/>
          <w:color w:val="000000"/>
        </w:rPr>
        <w:t>Elle permet de demander la création d’un site, de gérer ses paramètres (nom, URL, modèle choisi…), d’effectuer des opérations de suivi ou d’administration.</w:t>
      </w:r>
    </w:p>
    <w:p w:rsidR="006E6D7A" w:rsidRDefault="00B16C64" w14:paraId="6715708E" w14:textId="77777777">
      <w:pPr>
        <w:numPr>
          <w:ilvl w:val="1"/>
          <w:numId w:val="107"/>
        </w:numPr>
        <w:pBdr>
          <w:top w:val="none" w:color="000000" w:sz="4" w:space="0"/>
          <w:left w:val="none" w:color="000000" w:sz="4" w:space="0"/>
          <w:bottom w:val="none" w:color="000000" w:sz="4" w:space="0"/>
          <w:right w:val="none" w:color="000000" w:sz="4" w:space="0"/>
        </w:pBdr>
        <w:tabs>
          <w:tab w:val="left" w:pos="1440"/>
        </w:tabs>
      </w:pPr>
      <w:r>
        <w:rPr>
          <w:rFonts w:ascii="Calibri" w:hAnsi="Calibri" w:eastAsia="Calibri" w:cs="Calibri"/>
          <w:color w:val="000000"/>
        </w:rPr>
        <w:t xml:space="preserve">En pratique, </w:t>
      </w:r>
      <w:proofErr w:type="spellStart"/>
      <w:r>
        <w:rPr>
          <w:rFonts w:ascii="Calibri" w:hAnsi="Calibri" w:eastAsia="Calibri" w:cs="Calibri"/>
          <w:color w:val="000000"/>
        </w:rPr>
        <w:t>GSite</w:t>
      </w:r>
      <w:proofErr w:type="spellEnd"/>
      <w:r>
        <w:rPr>
          <w:rFonts w:ascii="Calibri" w:hAnsi="Calibri" w:eastAsia="Calibri" w:cs="Calibri"/>
          <w:color w:val="000000"/>
        </w:rPr>
        <w:t xml:space="preserve"> est donc le “self-service” pour les administrateurs de l’usine à sites, tandis que l’usine à sites fournit l’infrastructure et les briques techniques (API).</w:t>
      </w:r>
    </w:p>
    <w:p w:rsidR="006E6D7A" w:rsidRDefault="006E6D7A" w14:paraId="6715708F" w14:textId="77777777"/>
    <w:p w:rsidR="006E6D7A" w:rsidRDefault="00B16C64" w14:paraId="67157090" w14:textId="77777777">
      <w:pPr>
        <w:pStyle w:val="Titre3"/>
        <w:numPr>
          <w:ilvl w:val="4"/>
          <w:numId w:val="3"/>
        </w:numPr>
      </w:pPr>
      <w:bookmarkStart w:name="_Toc221095507" w:id="79"/>
      <w:r>
        <w:t>Description Technique</w:t>
      </w:r>
      <w:bookmarkEnd w:id="79"/>
    </w:p>
    <w:p w:rsidR="006E6D7A" w:rsidRDefault="006E6D7A" w14:paraId="67157091" w14:textId="77777777"/>
    <w:p w:rsidR="006E6D7A" w:rsidRDefault="00B16C64" w14:paraId="67157092" w14:textId="77777777">
      <w:r>
        <w:lastRenderedPageBreak/>
        <w:t xml:space="preserve">Le produit usine à site est déployé sous forme de containers au sein d’une plateforme mutualisé propulsé par </w:t>
      </w:r>
      <w:proofErr w:type="spellStart"/>
      <w:r>
        <w:t>Openshift</w:t>
      </w:r>
      <w:proofErr w:type="spellEnd"/>
      <w:r>
        <w:t xml:space="preserve"> et hébergé en internet au sein du </w:t>
      </w:r>
      <w:proofErr w:type="spellStart"/>
      <w:r>
        <w:t>datacentre</w:t>
      </w:r>
      <w:proofErr w:type="spellEnd"/>
      <w:r>
        <w:t xml:space="preserve"> de Montpellier au CINES. Le schéma </w:t>
      </w:r>
      <w:proofErr w:type="spellStart"/>
      <w:r>
        <w:t>ci dessous</w:t>
      </w:r>
      <w:proofErr w:type="spellEnd"/>
      <w:r>
        <w:t xml:space="preserve"> décrit les composants utilisés.</w:t>
      </w:r>
    </w:p>
    <w:p w:rsidR="006E6D7A" w:rsidRDefault="006E6D7A" w14:paraId="67157093" w14:textId="77777777"/>
    <w:p w:rsidR="006E6D7A" w:rsidRDefault="006E6D7A" w14:paraId="67157094" w14:textId="77777777"/>
    <w:p w:rsidR="006E6D7A" w:rsidRDefault="00B16C64" w14:paraId="67157095" w14:textId="77777777">
      <w:pPr>
        <w:pStyle w:val="Titre2"/>
      </w:pPr>
      <w:bookmarkStart w:name="_Toc221095508" w:id="80"/>
      <w:proofErr w:type="spellStart"/>
      <w:r>
        <w:t>MyDrive</w:t>
      </w:r>
      <w:bookmarkEnd w:id="80"/>
      <w:proofErr w:type="spellEnd"/>
    </w:p>
    <w:p w:rsidR="006E6D7A" w:rsidRDefault="00B16C64" w14:paraId="67157096" w14:textId="77777777">
      <w:pPr>
        <w:pStyle w:val="Titre3"/>
        <w:numPr>
          <w:ilvl w:val="3"/>
          <w:numId w:val="3"/>
        </w:numPr>
      </w:pPr>
      <w:bookmarkStart w:name="_Toc221095509" w:id="81"/>
      <w:r>
        <w:t>Description</w:t>
      </w:r>
      <w:bookmarkEnd w:id="81"/>
    </w:p>
    <w:p w:rsidR="006E6D7A" w:rsidRDefault="00B16C64" w14:paraId="67157097" w14:textId="77777777">
      <w:pPr>
        <w:pStyle w:val="Titre3"/>
        <w:numPr>
          <w:ilvl w:val="4"/>
          <w:numId w:val="3"/>
        </w:numPr>
      </w:pPr>
      <w:bookmarkStart w:name="_Toc221095510" w:id="82"/>
      <w:r>
        <w:t>Description Fonctionnelle</w:t>
      </w:r>
      <w:bookmarkEnd w:id="82"/>
    </w:p>
    <w:p w:rsidR="006E6D7A" w:rsidRDefault="006E6D7A" w14:paraId="67157098" w14:textId="77777777"/>
    <w:p w:rsidR="006E6D7A" w:rsidRDefault="00B16C64" w14:paraId="67157099" w14:textId="77777777">
      <w:pPr>
        <w:pStyle w:val="Paragraphedeliste"/>
        <w:numPr>
          <w:ilvl w:val="0"/>
          <w:numId w:val="108"/>
        </w:numPr>
      </w:pPr>
      <w:r>
        <w:t xml:space="preserve">Permettre à chaque agent INRAE de disposer d’un espace personnel de 100Go sur la plateforme </w:t>
      </w:r>
      <w:proofErr w:type="spellStart"/>
      <w:r>
        <w:t>NextCloud</w:t>
      </w:r>
      <w:proofErr w:type="spellEnd"/>
      <w:r>
        <w:t> : https ://nextcloud.inrae.fr</w:t>
      </w:r>
    </w:p>
    <w:p w:rsidR="006E6D7A" w:rsidRDefault="00B16C64" w14:paraId="6715709A" w14:textId="77777777">
      <w:pPr>
        <w:pStyle w:val="Paragraphedeliste"/>
        <w:numPr>
          <w:ilvl w:val="0"/>
          <w:numId w:val="108"/>
        </w:numPr>
      </w:pPr>
      <w:r>
        <w:t>Cela veut dire en particulier :</w:t>
      </w:r>
    </w:p>
    <w:p w:rsidR="006E6D7A" w:rsidRDefault="00B16C64" w14:paraId="6715709B" w14:textId="77777777">
      <w:pPr>
        <w:pStyle w:val="Paragraphedeliste"/>
        <w:numPr>
          <w:ilvl w:val="1"/>
          <w:numId w:val="108"/>
        </w:numPr>
      </w:pPr>
      <w:r>
        <w:t>Mettre en place une organisation, un processus et un outillage permettant d’offrir un espace de 100Go à la demande des agents à travail le portail de service INRAE</w:t>
      </w:r>
    </w:p>
    <w:p w:rsidR="006E6D7A" w:rsidRDefault="00B16C64" w14:paraId="6715709C" w14:textId="77777777">
      <w:pPr>
        <w:pStyle w:val="Paragraphedeliste"/>
        <w:numPr>
          <w:ilvl w:val="1"/>
          <w:numId w:val="108"/>
        </w:numPr>
      </w:pPr>
      <w:r>
        <w:t>Gérer le support et les incidents relatifs à ces espaces personnels (alertes sur dépassement de quota, aide à la restauration de données...)</w:t>
      </w:r>
    </w:p>
    <w:p w:rsidR="006E6D7A" w:rsidRDefault="00B16C64" w14:paraId="6715709D" w14:textId="77777777">
      <w:pPr>
        <w:pStyle w:val="Titre3"/>
        <w:numPr>
          <w:ilvl w:val="4"/>
          <w:numId w:val="3"/>
        </w:numPr>
      </w:pPr>
      <w:bookmarkStart w:name="_Toc221095511" w:id="83"/>
      <w:r>
        <w:t>Description Technique</w:t>
      </w:r>
      <w:bookmarkEnd w:id="83"/>
    </w:p>
    <w:p w:rsidR="006E6D7A" w:rsidRDefault="006E6D7A" w14:paraId="6715709E" w14:textId="77777777"/>
    <w:p w:rsidR="006E6D7A" w:rsidRDefault="00B16C64" w14:paraId="6715709F" w14:textId="77777777">
      <w:pPr>
        <w:jc w:val="left"/>
      </w:pPr>
      <w:r>
        <w:t>Chaque espace « </w:t>
      </w:r>
      <w:proofErr w:type="spellStart"/>
      <w:r>
        <w:t>MyDrive</w:t>
      </w:r>
      <w:proofErr w:type="spellEnd"/>
      <w:r>
        <w:t xml:space="preserve"> » correspond à un </w:t>
      </w:r>
      <w:proofErr w:type="spellStart"/>
      <w:r>
        <w:t>bucket</w:t>
      </w:r>
      <w:proofErr w:type="spellEnd"/>
      <w:r>
        <w:t xml:space="preserve"> de 100Go (stockage objet) mis à disposition sur la plateforme CEPH et présenté dans la plateforme </w:t>
      </w:r>
      <w:proofErr w:type="spellStart"/>
      <w:r>
        <w:t>NextCloud</w:t>
      </w:r>
      <w:proofErr w:type="spellEnd"/>
      <w:r>
        <w:t>.</w:t>
      </w:r>
    </w:p>
    <w:p w:rsidR="006E6D7A" w:rsidRDefault="00B16C64" w14:paraId="671570A0" w14:textId="77777777">
      <w:r>
        <w:rPr>
          <w:noProof/>
        </w:rPr>
        <w:lastRenderedPageBreak/>
        <mc:AlternateContent>
          <mc:Choice Requires="wpg">
            <w:drawing>
              <wp:inline distT="0" distB="0" distL="0" distR="0" wp14:anchorId="67157C37" wp14:editId="67157C38">
                <wp:extent cx="2074722" cy="4444231"/>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836389" name=""/>
                        <pic:cNvPicPr>
                          <a:picLocks noChangeAspect="1"/>
                        </pic:cNvPicPr>
                      </pic:nvPicPr>
                      <pic:blipFill rotWithShape="1">
                        <a:blip r:embed="rId84"/>
                        <a:stretch/>
                      </pic:blipFill>
                      <pic:spPr bwMode="auto">
                        <a:xfrm>
                          <a:off x="0" y="0"/>
                          <a:ext cx="2074722" cy="4444230"/>
                        </a:xfrm>
                        <a:prstGeom prst="rect">
                          <a:avLst/>
                        </a:prstGeom>
                      </pic:spPr>
                    </pic:pic>
                  </a:graphicData>
                </a:graphic>
              </wp:inline>
            </w:drawing>
          </mc:Choice>
          <mc:Fallback xmlns:a="http://schemas.openxmlformats.org/drawingml/2006/main">
            <w:pict w14:anchorId="4CAD91E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3" style="width:163.36pt;height:349.94pt;mso-wrap-distance-left:0.00pt;mso-wrap-distance-top:0.00pt;mso-wrap-distance-right:0.00pt;mso-wrap-distance-bottom:0.00pt;rotation:0;z-index:1;" o:spid="_x0000_s33" stroked="false" type="#_x0000_t75">
                <v:imagedata o:title="" r:id="rId85"/>
                <o:lock v:ext="edit" rotation="t"/>
              </v:shape>
            </w:pict>
          </mc:Fallback>
        </mc:AlternateContent>
      </w:r>
    </w:p>
    <w:p w:rsidR="006E6D7A" w:rsidRDefault="00B16C64" w14:paraId="671570A1" w14:textId="77777777">
      <w:pPr>
        <w:jc w:val="left"/>
      </w:pPr>
      <w:r>
        <w:t xml:space="preserve">Chaque </w:t>
      </w:r>
      <w:proofErr w:type="spellStart"/>
      <w:r>
        <w:t>bucket</w:t>
      </w:r>
      <w:proofErr w:type="spellEnd"/>
      <w:r>
        <w:t xml:space="preserve"> S3 est versionné et </w:t>
      </w:r>
      <w:proofErr w:type="gramStart"/>
      <w:r>
        <w:t>géo répliqué</w:t>
      </w:r>
      <w:proofErr w:type="gramEnd"/>
      <w:r>
        <w:t xml:space="preserve"> pour assurer une sécurité et une haute disponibilité.</w:t>
      </w:r>
    </w:p>
    <w:p w:rsidR="006E6D7A" w:rsidRDefault="00F60C30" w14:paraId="671570A2" w14:textId="72C0396D">
      <w:pPr>
        <w:pStyle w:val="Titre2"/>
      </w:pPr>
      <w:bookmarkStart w:name="_Toc221095512" w:id="84"/>
      <w:r>
        <w:t>K8</w:t>
      </w:r>
      <w:r w:rsidR="00B16C64">
        <w:t>S</w:t>
      </w:r>
      <w:bookmarkEnd w:id="84"/>
    </w:p>
    <w:p w:rsidR="006E6D7A" w:rsidRDefault="00B16C64" w14:paraId="671570A3" w14:textId="77777777">
      <w:pPr>
        <w:pStyle w:val="Titre3"/>
        <w:numPr>
          <w:ilvl w:val="3"/>
          <w:numId w:val="3"/>
        </w:numPr>
      </w:pPr>
      <w:bookmarkStart w:name="_Toc221095513" w:id="85"/>
      <w:r>
        <w:t>Description</w:t>
      </w:r>
      <w:bookmarkEnd w:id="85"/>
    </w:p>
    <w:p w:rsidR="006E6D7A" w:rsidRDefault="00B16C64" w14:paraId="671570A4" w14:textId="77777777">
      <w:r>
        <w:t xml:space="preserve">INRAE est doté </w:t>
      </w:r>
    </w:p>
    <w:p w:rsidR="006E6D7A" w:rsidRDefault="00B16C64" w14:paraId="671570A5" w14:textId="77777777">
      <w:pPr>
        <w:numPr>
          <w:ilvl w:val="0"/>
          <w:numId w:val="109"/>
        </w:numPr>
      </w:pPr>
      <w:proofErr w:type="gramStart"/>
      <w:r>
        <w:t>d’une</w:t>
      </w:r>
      <w:proofErr w:type="gramEnd"/>
      <w:r>
        <w:t xml:space="preserve"> plateforme </w:t>
      </w:r>
      <w:proofErr w:type="spellStart"/>
      <w:r>
        <w:t>Kubernetes</w:t>
      </w:r>
      <w:proofErr w:type="spellEnd"/>
      <w:r>
        <w:t xml:space="preserve"> basée sur la solution </w:t>
      </w:r>
      <w:proofErr w:type="spellStart"/>
      <w:r>
        <w:t>OpenShiift</w:t>
      </w:r>
      <w:proofErr w:type="spellEnd"/>
      <w:r>
        <w:t xml:space="preserve"> de </w:t>
      </w:r>
      <w:proofErr w:type="spellStart"/>
      <w:r>
        <w:t>Redhat</w:t>
      </w:r>
      <w:proofErr w:type="spellEnd"/>
      <w:r>
        <w:t xml:space="preserve"> et hébergée sur VM VMWARE dédié pour le SI institutionnel</w:t>
      </w:r>
    </w:p>
    <w:p w:rsidR="006E6D7A" w:rsidRDefault="00B16C64" w14:paraId="671570A6" w14:textId="77777777">
      <w:pPr>
        <w:numPr>
          <w:ilvl w:val="0"/>
          <w:numId w:val="109"/>
        </w:numPr>
      </w:pPr>
      <w:proofErr w:type="gramStart"/>
      <w:r>
        <w:t>d’une</w:t>
      </w:r>
      <w:proofErr w:type="gramEnd"/>
      <w:r>
        <w:t xml:space="preserve"> plateforme </w:t>
      </w:r>
      <w:proofErr w:type="spellStart"/>
      <w:r>
        <w:t>Kubernetes</w:t>
      </w:r>
      <w:proofErr w:type="spellEnd"/>
      <w:r>
        <w:t xml:space="preserve"> basée sur la solution Rancher et hébergée sur un cluster </w:t>
      </w:r>
      <w:proofErr w:type="spellStart"/>
      <w:r>
        <w:t>OpenStack</w:t>
      </w:r>
      <w:proofErr w:type="spellEnd"/>
      <w:r>
        <w:t xml:space="preserve"> dédié pour le SI science</w:t>
      </w:r>
    </w:p>
    <w:p w:rsidR="006E6D7A" w:rsidRDefault="00B16C64" w14:paraId="671570A7" w14:textId="7098A013">
      <w:r>
        <w:t xml:space="preserve">En cible, il est probable que la DSI offrira une seule plateforme </w:t>
      </w:r>
      <w:r w:rsidR="00F60C30">
        <w:t>K8</w:t>
      </w:r>
      <w:r>
        <w:t>S.</w:t>
      </w:r>
    </w:p>
    <w:p w:rsidR="006E6D7A" w:rsidRDefault="00B16C64" w14:paraId="671570A8" w14:textId="3FA5367D">
      <w:pPr>
        <w:pStyle w:val="Titre3"/>
        <w:numPr>
          <w:ilvl w:val="4"/>
          <w:numId w:val="3"/>
        </w:numPr>
      </w:pPr>
      <w:bookmarkStart w:name="_Toc221095514" w:id="86"/>
      <w:r>
        <w:lastRenderedPageBreak/>
        <w:t xml:space="preserve">Schéma de la plateforme </w:t>
      </w:r>
      <w:r w:rsidR="00F60C30">
        <w:t>K8</w:t>
      </w:r>
      <w:r>
        <w:t xml:space="preserve">S </w:t>
      </w:r>
      <w:proofErr w:type="spellStart"/>
      <w:r>
        <w:t>Openshift</w:t>
      </w:r>
      <w:bookmarkEnd w:id="86"/>
      <w:proofErr w:type="spellEnd"/>
      <w:r>
        <w:t xml:space="preserve"> </w:t>
      </w:r>
    </w:p>
    <w:p w:rsidR="006E6D7A" w:rsidRDefault="00B16C64" w14:paraId="671570A9" w14:textId="77777777">
      <w:r>
        <w:rPr>
          <w:noProof/>
        </w:rPr>
        <mc:AlternateContent>
          <mc:Choice Requires="wpg">
            <w:drawing>
              <wp:inline distT="0" distB="0" distL="0" distR="0" wp14:anchorId="67157C39" wp14:editId="67157C3A">
                <wp:extent cx="5940425" cy="368735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998550" name=""/>
                        <pic:cNvPicPr>
                          <a:picLocks noChangeAspect="1"/>
                        </pic:cNvPicPr>
                      </pic:nvPicPr>
                      <pic:blipFill rotWithShape="1">
                        <a:blip r:embed="rId86"/>
                        <a:stretch/>
                      </pic:blipFill>
                      <pic:spPr bwMode="auto">
                        <a:xfrm>
                          <a:off x="0" y="0"/>
                          <a:ext cx="5940424" cy="3687349"/>
                        </a:xfrm>
                        <a:prstGeom prst="rect">
                          <a:avLst/>
                        </a:prstGeom>
                      </pic:spPr>
                    </pic:pic>
                  </a:graphicData>
                </a:graphic>
              </wp:inline>
            </w:drawing>
          </mc:Choice>
          <mc:Fallback xmlns:a="http://schemas.openxmlformats.org/drawingml/2006/main">
            <w:pict w14:anchorId="1BE3A0EA">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4" style="width:467.75pt;height:290.34pt;mso-wrap-distance-left:0.00pt;mso-wrap-distance-top:0.00pt;mso-wrap-distance-right:0.00pt;mso-wrap-distance-bottom:0.00pt;rotation:0;z-index:1;" o:spid="_x0000_s34" stroked="false" type="#_x0000_t75">
                <v:imagedata o:title="" r:id="rId87"/>
                <o:lock v:ext="edit" rotation="t"/>
              </v:shape>
            </w:pict>
          </mc:Fallback>
        </mc:AlternateContent>
      </w:r>
    </w:p>
    <w:p w:rsidR="006E6D7A" w:rsidRDefault="00B16C64" w14:paraId="671570AA" w14:textId="77777777">
      <w:pPr>
        <w:spacing w:after="0"/>
      </w:pPr>
      <w:r>
        <w:t xml:space="preserve">Actuellement cette </w:t>
      </w:r>
      <w:proofErr w:type="spellStart"/>
      <w:r>
        <w:t>plate forme</w:t>
      </w:r>
      <w:proofErr w:type="spellEnd"/>
      <w:r>
        <w:t xml:space="preserve"> est utilisé par l’usine à site web </w:t>
      </w:r>
      <w:proofErr w:type="gramStart"/>
      <w:r>
        <w:t xml:space="preserve">( </w:t>
      </w:r>
      <w:proofErr w:type="spellStart"/>
      <w:r>
        <w:t>php</w:t>
      </w:r>
      <w:proofErr w:type="spellEnd"/>
      <w:proofErr w:type="gramEnd"/>
      <w:r>
        <w:t xml:space="preserve"> / </w:t>
      </w:r>
      <w:proofErr w:type="spellStart"/>
      <w:r>
        <w:t>mariadb</w:t>
      </w:r>
      <w:proofErr w:type="spellEnd"/>
      <w:r>
        <w:t xml:space="preserve"> / </w:t>
      </w:r>
      <w:proofErr w:type="spellStart"/>
      <w:r>
        <w:t>slor</w:t>
      </w:r>
      <w:proofErr w:type="spellEnd"/>
      <w:r>
        <w:t xml:space="preserve"> ..) mais elle peut être ouverte à d’autres services.</w:t>
      </w:r>
    </w:p>
    <w:p w:rsidR="006E6D7A" w:rsidRDefault="00B16C64" w14:paraId="671570AB" w14:textId="6E2E0717">
      <w:pPr>
        <w:pStyle w:val="Titre3"/>
        <w:numPr>
          <w:ilvl w:val="4"/>
          <w:numId w:val="3"/>
        </w:numPr>
      </w:pPr>
      <w:bookmarkStart w:name="_Toc221095515" w:id="87"/>
      <w:r>
        <w:lastRenderedPageBreak/>
        <w:t xml:space="preserve">Schéma de la plateforme </w:t>
      </w:r>
      <w:r w:rsidR="00F60C30">
        <w:t>K8</w:t>
      </w:r>
      <w:r>
        <w:t>S Rancher</w:t>
      </w:r>
      <w:bookmarkEnd w:id="87"/>
    </w:p>
    <w:p w:rsidR="006E6D7A" w:rsidRDefault="00B16C64" w14:paraId="671570AC" w14:textId="77777777">
      <w:r>
        <w:rPr>
          <w:noProof/>
        </w:rPr>
        <mc:AlternateContent>
          <mc:Choice Requires="wpg">
            <w:drawing>
              <wp:inline distT="0" distB="0" distL="0" distR="0" wp14:anchorId="67157C3B" wp14:editId="67157C3C">
                <wp:extent cx="5940425" cy="6108755"/>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024126" name=""/>
                        <pic:cNvPicPr>
                          <a:picLocks noChangeAspect="1"/>
                        </pic:cNvPicPr>
                      </pic:nvPicPr>
                      <pic:blipFill rotWithShape="1">
                        <a:blip r:embed="rId88"/>
                        <a:stretch/>
                      </pic:blipFill>
                      <pic:spPr bwMode="auto">
                        <a:xfrm>
                          <a:off x="0" y="0"/>
                          <a:ext cx="5940424" cy="6108754"/>
                        </a:xfrm>
                        <a:prstGeom prst="rect">
                          <a:avLst/>
                        </a:prstGeom>
                      </pic:spPr>
                    </pic:pic>
                  </a:graphicData>
                </a:graphic>
              </wp:inline>
            </w:drawing>
          </mc:Choice>
          <mc:Fallback xmlns:a="http://schemas.openxmlformats.org/drawingml/2006/main">
            <w:pict w14:anchorId="356EE23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5" style="width:467.75pt;height:481.00pt;mso-wrap-distance-left:0.00pt;mso-wrap-distance-top:0.00pt;mso-wrap-distance-right:0.00pt;mso-wrap-distance-bottom:0.00pt;rotation:0;z-index:1;" o:spid="_x0000_s35" stroked="false" type="#_x0000_t75">
                <v:imagedata o:title="" r:id="rId89"/>
                <o:lock v:ext="edit" rotation="t"/>
              </v:shape>
            </w:pict>
          </mc:Fallback>
        </mc:AlternateContent>
      </w:r>
    </w:p>
    <w:p w:rsidR="006E6D7A" w:rsidRDefault="00B16C64" w14:paraId="671570AD" w14:textId="77777777">
      <w:pPr>
        <w:pStyle w:val="Titre3"/>
        <w:numPr>
          <w:ilvl w:val="3"/>
          <w:numId w:val="3"/>
        </w:numPr>
      </w:pPr>
      <w:bookmarkStart w:name="_Toc221095516" w:id="88"/>
      <w:r>
        <w:t>Enjeux</w:t>
      </w:r>
      <w:bookmarkEnd w:id="88"/>
    </w:p>
    <w:p w:rsidR="006E6D7A" w:rsidRDefault="00B16C64" w14:paraId="671570AE" w14:textId="77777777">
      <w:r>
        <w:t xml:space="preserve">L’enjeu est de </w:t>
      </w:r>
    </w:p>
    <w:p w:rsidR="006E6D7A" w:rsidRDefault="00B16C64" w14:paraId="671570AF" w14:textId="77777777">
      <w:pPr>
        <w:numPr>
          <w:ilvl w:val="0"/>
          <w:numId w:val="110"/>
        </w:numPr>
        <w:spacing w:after="0"/>
      </w:pPr>
      <w:r>
        <w:t>Proposer une offre d’orchestration de conteneurs pour</w:t>
      </w:r>
    </w:p>
    <w:p w:rsidR="006E6D7A" w:rsidRDefault="00B16C64" w14:paraId="671570B0" w14:textId="77777777">
      <w:pPr>
        <w:numPr>
          <w:ilvl w:val="1"/>
          <w:numId w:val="110"/>
        </w:numPr>
        <w:spacing w:after="0"/>
      </w:pPr>
      <w:proofErr w:type="gramStart"/>
      <w:r>
        <w:t>héberger</w:t>
      </w:r>
      <w:proofErr w:type="gramEnd"/>
      <w:r>
        <w:t xml:space="preserve"> des services numériques internes ou externes</w:t>
      </w:r>
    </w:p>
    <w:p w:rsidR="006E6D7A" w:rsidRDefault="00B16C64" w14:paraId="671570B1" w14:textId="77777777">
      <w:pPr>
        <w:numPr>
          <w:ilvl w:val="1"/>
          <w:numId w:val="110"/>
        </w:numPr>
        <w:spacing w:after="0"/>
      </w:pPr>
      <w:proofErr w:type="gramStart"/>
      <w:r>
        <w:t>garantir</w:t>
      </w:r>
      <w:proofErr w:type="gramEnd"/>
      <w:r>
        <w:t xml:space="preserve"> une résilience des services quand l’application le permettant</w:t>
      </w:r>
    </w:p>
    <w:p w:rsidR="006E6D7A" w:rsidRDefault="00B16C64" w14:paraId="671570B2" w14:textId="77777777">
      <w:pPr>
        <w:numPr>
          <w:ilvl w:val="0"/>
          <w:numId w:val="110"/>
        </w:numPr>
        <w:spacing w:after="0"/>
      </w:pPr>
      <w:r>
        <w:t>De déployer de nouvelles applications en mode conteneur</w:t>
      </w:r>
    </w:p>
    <w:p w:rsidR="006E6D7A" w:rsidRDefault="00B16C64" w14:paraId="671570B3" w14:textId="77777777">
      <w:pPr>
        <w:numPr>
          <w:ilvl w:val="0"/>
          <w:numId w:val="110"/>
        </w:numPr>
        <w:spacing w:after="0"/>
      </w:pPr>
      <w:r>
        <w:t>D’adapter des applications pour les « </w:t>
      </w:r>
      <w:proofErr w:type="spellStart"/>
      <w:r>
        <w:t>kubernetiser</w:t>
      </w:r>
      <w:proofErr w:type="spellEnd"/>
      <w:r>
        <w:t> »</w:t>
      </w:r>
    </w:p>
    <w:p w:rsidR="006E6D7A" w:rsidRDefault="006E6D7A" w14:paraId="671570B4" w14:textId="77777777"/>
    <w:p w:rsidR="006E6D7A" w:rsidRDefault="00B16C64" w14:paraId="671570B5" w14:textId="77777777">
      <w:pPr>
        <w:pStyle w:val="Titre3"/>
        <w:numPr>
          <w:ilvl w:val="3"/>
          <w:numId w:val="3"/>
        </w:numPr>
      </w:pPr>
      <w:bookmarkStart w:name="_Toc221095517" w:id="89"/>
      <w:r>
        <w:t>Roadmap</w:t>
      </w:r>
      <w:bookmarkEnd w:id="89"/>
    </w:p>
    <w:p w:rsidR="006E6D7A" w:rsidRDefault="00B16C64" w14:paraId="671570B6" w14:textId="77777777">
      <w:pPr>
        <w:spacing w:after="80"/>
      </w:pPr>
      <w:r>
        <w:t>L’objectif est de</w:t>
      </w:r>
    </w:p>
    <w:p w:rsidR="006E6D7A" w:rsidRDefault="00B16C64" w14:paraId="671570B7" w14:textId="0A734684">
      <w:pPr>
        <w:numPr>
          <w:ilvl w:val="0"/>
          <w:numId w:val="111"/>
        </w:numPr>
        <w:spacing w:after="80"/>
      </w:pPr>
      <w:r>
        <w:lastRenderedPageBreak/>
        <w:t xml:space="preserve">Faire de l’offre </w:t>
      </w:r>
      <w:r w:rsidR="00F60C30">
        <w:t>K8</w:t>
      </w:r>
      <w:r>
        <w:t>S l’offre principale pour la mise à disposition de service numérique</w:t>
      </w:r>
    </w:p>
    <w:p w:rsidR="006E6D7A" w:rsidRDefault="00B16C64" w14:paraId="671570B8" w14:textId="507E9C97">
      <w:pPr>
        <w:numPr>
          <w:ilvl w:val="0"/>
          <w:numId w:val="111"/>
        </w:numPr>
        <w:spacing w:after="80"/>
      </w:pPr>
      <w:r>
        <w:t xml:space="preserve">Faire de l’offre </w:t>
      </w:r>
      <w:r w:rsidR="00F60C30">
        <w:t>K8</w:t>
      </w:r>
      <w:r>
        <w:t>S l’offre principale pour la mise à disposition de ressources GPU</w:t>
      </w:r>
    </w:p>
    <w:p w:rsidR="006E6D7A" w:rsidRDefault="00B16C64" w14:paraId="671570B9" w14:textId="77777777">
      <w:pPr>
        <w:numPr>
          <w:ilvl w:val="0"/>
          <w:numId w:val="111"/>
        </w:numPr>
        <w:spacing w:after="80"/>
      </w:pPr>
      <w:r>
        <w:t>Diminuer l’adhérence à d’autres outils d’hébergement</w:t>
      </w:r>
    </w:p>
    <w:p w:rsidR="006E6D7A" w:rsidRDefault="00B16C64" w14:paraId="671570BA" w14:textId="77777777">
      <w:pPr>
        <w:numPr>
          <w:ilvl w:val="0"/>
          <w:numId w:val="111"/>
        </w:numPr>
        <w:spacing w:after="80"/>
      </w:pPr>
      <w:r>
        <w:t>Diminuer le délai de livraison</w:t>
      </w:r>
    </w:p>
    <w:p w:rsidR="006E6D7A" w:rsidRDefault="00B16C64" w14:paraId="671570BB" w14:textId="77777777">
      <w:pPr>
        <w:pStyle w:val="Titre2"/>
      </w:pPr>
      <w:bookmarkStart w:name="_Toc221095518" w:id="90"/>
      <w:r>
        <w:t>Cloud Orion</w:t>
      </w:r>
      <w:bookmarkEnd w:id="90"/>
    </w:p>
    <w:p w:rsidR="006E6D7A" w:rsidRDefault="00B16C64" w14:paraId="671570BC" w14:textId="77777777">
      <w:pPr>
        <w:pStyle w:val="Titre3"/>
        <w:numPr>
          <w:ilvl w:val="3"/>
          <w:numId w:val="3"/>
        </w:numPr>
      </w:pPr>
      <w:bookmarkStart w:name="_Toc221095519" w:id="91"/>
      <w:r>
        <w:t>Description</w:t>
      </w:r>
      <w:bookmarkEnd w:id="91"/>
    </w:p>
    <w:p w:rsidR="006E6D7A" w:rsidRDefault="00B16C64" w14:paraId="671570BD" w14:textId="77777777">
      <w:r>
        <w:t xml:space="preserve">Service CLOUD IAAS </w:t>
      </w:r>
      <w:proofErr w:type="spellStart"/>
      <w:r>
        <w:t>Openstack</w:t>
      </w:r>
      <w:proofErr w:type="spellEnd"/>
      <w:r>
        <w:t>.</w:t>
      </w:r>
    </w:p>
    <w:p w:rsidR="006E6D7A" w:rsidRDefault="00B16C64" w14:paraId="671570BE" w14:textId="77777777">
      <w:r>
        <w:t xml:space="preserve">Compétences : </w:t>
      </w:r>
      <w:proofErr w:type="spellStart"/>
      <w:r>
        <w:t>Openstack</w:t>
      </w:r>
      <w:proofErr w:type="spellEnd"/>
      <w:r>
        <w:t xml:space="preserve">, </w:t>
      </w:r>
      <w:proofErr w:type="spellStart"/>
      <w:r>
        <w:t>kubernetes</w:t>
      </w:r>
      <w:proofErr w:type="spellEnd"/>
      <w:r>
        <w:t xml:space="preserve">, </w:t>
      </w:r>
      <w:proofErr w:type="spellStart"/>
      <w:r>
        <w:t>DevSecOps</w:t>
      </w:r>
      <w:proofErr w:type="spellEnd"/>
      <w:r>
        <w:t xml:space="preserve">, </w:t>
      </w:r>
      <w:proofErr w:type="spellStart"/>
      <w:r>
        <w:t>gitops</w:t>
      </w:r>
      <w:proofErr w:type="spellEnd"/>
      <w:r>
        <w:t xml:space="preserve">, </w:t>
      </w:r>
      <w:proofErr w:type="spellStart"/>
      <w:r>
        <w:t>gitlab</w:t>
      </w:r>
      <w:proofErr w:type="spellEnd"/>
      <w:r>
        <w:t xml:space="preserve">, </w:t>
      </w:r>
      <w:proofErr w:type="spellStart"/>
      <w:r>
        <w:t>terraform</w:t>
      </w:r>
      <w:proofErr w:type="spellEnd"/>
      <w:r>
        <w:t xml:space="preserve">, ansible, </w:t>
      </w:r>
      <w:proofErr w:type="spellStart"/>
      <w:r>
        <w:t>helm</w:t>
      </w:r>
      <w:proofErr w:type="spellEnd"/>
    </w:p>
    <w:p w:rsidR="006E6D7A" w:rsidRDefault="00B16C64" w14:paraId="671570BF" w14:textId="77777777">
      <w:r>
        <w:t xml:space="preserve">Ce cloud privé implémente les services suivants :  </w:t>
      </w:r>
    </w:p>
    <w:p w:rsidR="006E6D7A" w:rsidRDefault="00B16C64" w14:paraId="671570C0" w14:textId="77777777">
      <w:pPr>
        <w:pStyle w:val="Paragraphedeliste"/>
        <w:numPr>
          <w:ilvl w:val="0"/>
          <w:numId w:val="117"/>
        </w:numPr>
      </w:pPr>
      <w:proofErr w:type="gramStart"/>
      <w:r>
        <w:t>nova</w:t>
      </w:r>
      <w:proofErr w:type="gramEnd"/>
      <w:r>
        <w:t>(</w:t>
      </w:r>
      <w:proofErr w:type="spellStart"/>
      <w:r>
        <w:t>compute</w:t>
      </w:r>
      <w:proofErr w:type="spellEnd"/>
      <w:r>
        <w:t>)</w:t>
      </w:r>
    </w:p>
    <w:p w:rsidR="006E6D7A" w:rsidRDefault="00B16C64" w14:paraId="671570C1" w14:textId="77777777">
      <w:pPr>
        <w:pStyle w:val="Paragraphedeliste"/>
        <w:numPr>
          <w:ilvl w:val="0"/>
          <w:numId w:val="117"/>
        </w:numPr>
      </w:pPr>
      <w:proofErr w:type="spellStart"/>
      <w:proofErr w:type="gramStart"/>
      <w:r>
        <w:t>cinder</w:t>
      </w:r>
      <w:proofErr w:type="spellEnd"/>
      <w:proofErr w:type="gramEnd"/>
      <w:r>
        <w:t xml:space="preserve"> (block </w:t>
      </w:r>
      <w:proofErr w:type="spellStart"/>
      <w:r>
        <w:t>storage</w:t>
      </w:r>
      <w:proofErr w:type="spellEnd"/>
      <w:r>
        <w:t xml:space="preserve"> CEPH HDA, SSD et NVME)</w:t>
      </w:r>
    </w:p>
    <w:p w:rsidR="006E6D7A" w:rsidRDefault="00B16C64" w14:paraId="671570C2" w14:textId="77777777">
      <w:pPr>
        <w:pStyle w:val="Paragraphedeliste"/>
        <w:numPr>
          <w:ilvl w:val="0"/>
          <w:numId w:val="117"/>
        </w:numPr>
      </w:pPr>
      <w:proofErr w:type="gramStart"/>
      <w:r>
        <w:t>neutron(</w:t>
      </w:r>
      <w:proofErr w:type="gramEnd"/>
      <w:r>
        <w:t>Networking)</w:t>
      </w:r>
    </w:p>
    <w:p w:rsidR="006E6D7A" w:rsidRDefault="00B16C64" w14:paraId="671570C3" w14:textId="77777777">
      <w:pPr>
        <w:pStyle w:val="Paragraphedeliste"/>
        <w:numPr>
          <w:ilvl w:val="0"/>
          <w:numId w:val="117"/>
        </w:numPr>
      </w:pPr>
      <w:proofErr w:type="spellStart"/>
      <w:proofErr w:type="gramStart"/>
      <w:r>
        <w:t>keystone</w:t>
      </w:r>
      <w:proofErr w:type="spellEnd"/>
      <w:r>
        <w:t>(</w:t>
      </w:r>
      <w:proofErr w:type="gramEnd"/>
      <w:r>
        <w:t>Identity Service)</w:t>
      </w:r>
    </w:p>
    <w:p w:rsidR="006E6D7A" w:rsidRDefault="00B16C64" w14:paraId="671570C4" w14:textId="77777777">
      <w:pPr>
        <w:pStyle w:val="Paragraphedeliste"/>
        <w:numPr>
          <w:ilvl w:val="0"/>
          <w:numId w:val="117"/>
        </w:numPr>
      </w:pPr>
      <w:proofErr w:type="gramStart"/>
      <w:r>
        <w:t>horizon</w:t>
      </w:r>
      <w:proofErr w:type="gramEnd"/>
      <w:r>
        <w:t>(</w:t>
      </w:r>
      <w:proofErr w:type="spellStart"/>
      <w:r>
        <w:t>dashboard</w:t>
      </w:r>
      <w:proofErr w:type="spellEnd"/>
      <w:r>
        <w:t>)</w:t>
      </w:r>
    </w:p>
    <w:p w:rsidR="006E6D7A" w:rsidRDefault="00B16C64" w14:paraId="671570C5" w14:textId="77777777">
      <w:pPr>
        <w:pStyle w:val="Paragraphedeliste"/>
        <w:numPr>
          <w:ilvl w:val="0"/>
          <w:numId w:val="117"/>
        </w:numPr>
      </w:pPr>
      <w:proofErr w:type="spellStart"/>
      <w:proofErr w:type="gramStart"/>
      <w:r>
        <w:t>barbican</w:t>
      </w:r>
      <w:proofErr w:type="spellEnd"/>
      <w:proofErr w:type="gramEnd"/>
      <w:r>
        <w:t xml:space="preserve"> (key management) </w:t>
      </w:r>
    </w:p>
    <w:p w:rsidR="006E6D7A" w:rsidRDefault="00B16C64" w14:paraId="671570C6" w14:textId="77777777">
      <w:pPr>
        <w:pStyle w:val="Paragraphedeliste"/>
        <w:numPr>
          <w:ilvl w:val="0"/>
          <w:numId w:val="117"/>
        </w:numPr>
      </w:pPr>
      <w:proofErr w:type="gramStart"/>
      <w:r>
        <w:t>octavia</w:t>
      </w:r>
      <w:proofErr w:type="gramEnd"/>
      <w:r>
        <w:t xml:space="preserve"> (</w:t>
      </w:r>
      <w:proofErr w:type="spellStart"/>
      <w:r>
        <w:t>LBaaS</w:t>
      </w:r>
      <w:proofErr w:type="spellEnd"/>
      <w:r>
        <w:t>)</w:t>
      </w:r>
    </w:p>
    <w:p w:rsidR="006E6D7A" w:rsidRDefault="00B16C64" w14:paraId="671570C7" w14:textId="77777777">
      <w:pPr>
        <w:pStyle w:val="Paragraphedeliste"/>
        <w:numPr>
          <w:ilvl w:val="0"/>
          <w:numId w:val="117"/>
        </w:numPr>
      </w:pPr>
      <w:proofErr w:type="spellStart"/>
      <w:proofErr w:type="gramStart"/>
      <w:r>
        <w:t>designate</w:t>
      </w:r>
      <w:proofErr w:type="spellEnd"/>
      <w:proofErr w:type="gramEnd"/>
      <w:r>
        <w:t xml:space="preserve"> (</w:t>
      </w:r>
      <w:proofErr w:type="spellStart"/>
      <w:r>
        <w:t>DNSaaS</w:t>
      </w:r>
      <w:proofErr w:type="spellEnd"/>
      <w:r>
        <w:t>)</w:t>
      </w:r>
    </w:p>
    <w:p w:rsidR="006E6D7A" w:rsidRDefault="006E6D7A" w14:paraId="671570C8" w14:textId="77777777"/>
    <w:p w:rsidR="006E6D7A" w:rsidRDefault="00B16C64" w14:paraId="671570C9" w14:textId="77777777">
      <w:r>
        <w:t xml:space="preserve">Le contrôle plane s’appuie sur un cluster </w:t>
      </w:r>
      <w:proofErr w:type="spellStart"/>
      <w:r>
        <w:t>OpenShift</w:t>
      </w:r>
      <w:proofErr w:type="spellEnd"/>
      <w:r>
        <w:t xml:space="preserve"> de 3 serveurs pour héberger ses services (RHOSO). Le cluster </w:t>
      </w:r>
      <w:proofErr w:type="spellStart"/>
      <w:r>
        <w:t>openstack</w:t>
      </w:r>
      <w:proofErr w:type="spellEnd"/>
      <w:r>
        <w:t xml:space="preserve"> met </w:t>
      </w:r>
      <w:proofErr w:type="spellStart"/>
      <w:proofErr w:type="gramStart"/>
      <w:r>
        <w:t>a</w:t>
      </w:r>
      <w:proofErr w:type="spellEnd"/>
      <w:proofErr w:type="gramEnd"/>
      <w:r>
        <w:t xml:space="preserve"> disposition 30 hyperviseurs pour héberger les projets de nos utilisateurs (dont 7 avec GPU A100 et H100).</w:t>
      </w:r>
    </w:p>
    <w:p w:rsidR="006E6D7A" w:rsidRDefault="00B16C64" w14:paraId="671570CA" w14:textId="77777777">
      <w:r>
        <w:rPr>
          <w:noProof/>
        </w:rPr>
        <mc:AlternateContent>
          <mc:Choice Requires="wpg">
            <w:drawing>
              <wp:inline distT="0" distB="0" distL="0" distR="0" wp14:anchorId="67157C3D" wp14:editId="67157C3E">
                <wp:extent cx="5940425" cy="2672544"/>
                <wp:effectExtent l="0" t="0" r="0" b="0"/>
                <wp:docPr id="37" name="Graphiqu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17276" name=""/>
                        <pic:cNvPicPr>
                          <a:picLocks noChangeAspect="1"/>
                        </pic:cNvPicPr>
                      </pic:nvPicPr>
                      <pic:blipFill rotWithShape="1">
                        <a:blip r:embed="rId90">
                          <a:extLst>
                            <a:ext uri="{96DAC541-7B7A-43D3-8B79-37D633B846F1}">
                              <asvg:svgBlip xmlns:asvg="http://schemas.microsoft.com/office/drawing/2016/SVG/main" r:embed="rId91"/>
                            </a:ext>
                          </a:extLst>
                        </a:blip>
                        <a:stretch/>
                      </pic:blipFill>
                      <pic:spPr bwMode="auto">
                        <a:xfrm>
                          <a:off x="0" y="0"/>
                          <a:ext cx="5940424" cy="2672543"/>
                        </a:xfrm>
                        <a:prstGeom prst="rect">
                          <a:avLst/>
                        </a:prstGeom>
                      </pic:spPr>
                    </pic:pic>
                  </a:graphicData>
                </a:graphic>
              </wp:inline>
            </w:drawing>
          </mc:Choice>
          <mc:Fallback xmlns:a="http://schemas.openxmlformats.org/drawingml/2006/main">
            <w:pict w14:anchorId="1106059F">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6" style="width:467.75pt;height:210.44pt;mso-wrap-distance-left:0.00pt;mso-wrap-distance-top:0.00pt;mso-wrap-distance-right:0.00pt;mso-wrap-distance-bottom:0.00pt;rotation:0;z-index:1;" o:spid="_x0000_s36" stroked="false" type="#_x0000_t75">
                <v:imagedata o:title="" r:id="rId92"/>
                <o:lock v:ext="edit" rotation="t"/>
              </v:shape>
            </w:pict>
          </mc:Fallback>
        </mc:AlternateContent>
      </w:r>
    </w:p>
    <w:p w:rsidR="006E6D7A" w:rsidRDefault="00B16C64" w14:paraId="671570CB" w14:textId="77777777">
      <w:pPr>
        <w:pStyle w:val="Titre3"/>
        <w:numPr>
          <w:ilvl w:val="3"/>
          <w:numId w:val="3"/>
        </w:numPr>
      </w:pPr>
      <w:bookmarkStart w:name="_Toc221095520" w:id="92"/>
      <w:r>
        <w:t>Enjeux</w:t>
      </w:r>
      <w:bookmarkEnd w:id="92"/>
    </w:p>
    <w:p w:rsidR="006E6D7A" w:rsidRDefault="00B16C64" w14:paraId="671570CC" w14:textId="77777777">
      <w:r>
        <w:t xml:space="preserve">Notre service cloud interne, construit sur la plateforme </w:t>
      </w:r>
      <w:proofErr w:type="spellStart"/>
      <w:r>
        <w:t>OpenStack</w:t>
      </w:r>
      <w:proofErr w:type="spellEnd"/>
      <w:r>
        <w:t xml:space="preserve"> RHOSO de </w:t>
      </w:r>
      <w:proofErr w:type="spellStart"/>
      <w:r>
        <w:t>RedHat</w:t>
      </w:r>
      <w:proofErr w:type="spellEnd"/>
      <w:r>
        <w:t xml:space="preserve">, offre une infrastructure en tant que service (IaaS) robuste, flexible et sécurisée, conçue pour répondre aux besoins spécifiques de notre organisation. L’IaaS permet aux équipes métiers et techniques de déployer, gérer et dimensionner </w:t>
      </w:r>
      <w:r>
        <w:lastRenderedPageBreak/>
        <w:t xml:space="preserve">des ressources informatiques à la demande, sans les contraintes </w:t>
      </w:r>
      <w:proofErr w:type="gramStart"/>
      <w:r>
        <w:t>liées  à</w:t>
      </w:r>
      <w:proofErr w:type="gramEnd"/>
      <w:r>
        <w:t xml:space="preserve"> l’acquisition et à la maintenance de matériel physique.</w:t>
      </w:r>
    </w:p>
    <w:p w:rsidR="006E6D7A" w:rsidRDefault="00B16C64" w14:paraId="671570CD" w14:textId="77777777">
      <w:r>
        <w:t xml:space="preserve">Pour répondre aux besoins croissants en flexibilité, résilience et innovation, notre service cloud interne basé sur </w:t>
      </w:r>
      <w:proofErr w:type="spellStart"/>
      <w:r>
        <w:t>OpenStack</w:t>
      </w:r>
      <w:proofErr w:type="spellEnd"/>
      <w:r>
        <w:t xml:space="preserve"> s’inscrit dans une stratégie de cloud hybride, combinant notre infrastructure privée avec les ressources et expertises de partenaires de confiance : les Cloud recherche Occitanie (CROCC) offert par le </w:t>
      </w:r>
      <w:proofErr w:type="spellStart"/>
      <w:r>
        <w:t>datacentre</w:t>
      </w:r>
      <w:proofErr w:type="spellEnd"/>
      <w:r>
        <w:t xml:space="preserve"> Occitan (DROCC) pour le volet académique, et des fournisseurs de service cloud souverains issu du catalogue de partenaires du marché UGAP "nuage public" (https://www.nuagepublic.fr/).</w:t>
      </w:r>
    </w:p>
    <w:p w:rsidR="006E6D7A" w:rsidRDefault="006E6D7A" w14:paraId="671570CE" w14:textId="77777777"/>
    <w:p w:rsidR="006E6D7A" w:rsidRDefault="00B16C64" w14:paraId="671570CF" w14:textId="77777777">
      <w:pPr>
        <w:pStyle w:val="Titre3"/>
        <w:numPr>
          <w:ilvl w:val="3"/>
          <w:numId w:val="3"/>
        </w:numPr>
      </w:pPr>
      <w:bookmarkStart w:name="_Toc221095521" w:id="93"/>
      <w:r>
        <w:t>Roadmap</w:t>
      </w:r>
      <w:bookmarkEnd w:id="93"/>
    </w:p>
    <w:p w:rsidR="006E6D7A" w:rsidRDefault="006E6D7A" w14:paraId="671570D0" w14:textId="77777777"/>
    <w:p w:rsidR="006E6D7A" w:rsidRDefault="00B16C64" w14:paraId="671570D1" w14:textId="77777777">
      <w:r>
        <w:t>L’évolution de la plateforme CLOUD ORION</w:t>
      </w:r>
    </w:p>
    <w:p w:rsidR="006E6D7A" w:rsidRDefault="00B16C64" w14:paraId="671570D2" w14:textId="77777777">
      <w:pPr>
        <w:pStyle w:val="Paragraphedeliste"/>
        <w:numPr>
          <w:ilvl w:val="0"/>
          <w:numId w:val="116"/>
        </w:numPr>
      </w:pPr>
      <w:r>
        <w:t>Maintien en condition opérationnelle et de sécurité de la plateforme en datacenter Toulousain</w:t>
      </w:r>
    </w:p>
    <w:p w:rsidR="006E6D7A" w:rsidRDefault="00B16C64" w14:paraId="671570D3" w14:textId="77777777">
      <w:pPr>
        <w:pStyle w:val="Paragraphedeliste"/>
        <w:numPr>
          <w:ilvl w:val="0"/>
          <w:numId w:val="116"/>
        </w:numPr>
      </w:pPr>
      <w:r>
        <w:t>Audit de sécurité</w:t>
      </w:r>
    </w:p>
    <w:p w:rsidR="006E6D7A" w:rsidRDefault="00B16C64" w14:paraId="671570D4" w14:textId="77777777">
      <w:pPr>
        <w:pStyle w:val="Paragraphedeliste"/>
        <w:numPr>
          <w:ilvl w:val="0"/>
          <w:numId w:val="116"/>
        </w:numPr>
      </w:pPr>
      <w:r>
        <w:t xml:space="preserve">Qualification de la plateforme au niveau production </w:t>
      </w:r>
    </w:p>
    <w:p w:rsidR="006E6D7A" w:rsidRDefault="00B16C64" w14:paraId="671570D5" w14:textId="77777777">
      <w:pPr>
        <w:pStyle w:val="Paragraphedeliste"/>
        <w:numPr>
          <w:ilvl w:val="0"/>
          <w:numId w:val="116"/>
        </w:numPr>
      </w:pPr>
      <w:r>
        <w:t>Hybridation avec un ou des partenaires académiques</w:t>
      </w:r>
    </w:p>
    <w:p w:rsidR="006E6D7A" w:rsidRDefault="00B16C64" w14:paraId="671570D6" w14:textId="77777777">
      <w:pPr>
        <w:pStyle w:val="Paragraphedeliste"/>
        <w:numPr>
          <w:ilvl w:val="0"/>
          <w:numId w:val="116"/>
        </w:numPr>
      </w:pPr>
      <w:r>
        <w:t>Hybridation avec un ou des partenaires commerciaux (marché nuage public de l’</w:t>
      </w:r>
      <w:proofErr w:type="spellStart"/>
      <w:r>
        <w:t>ugap</w:t>
      </w:r>
      <w:proofErr w:type="spellEnd"/>
      <w:r>
        <w:t>)</w:t>
      </w:r>
    </w:p>
    <w:p w:rsidR="006E6D7A" w:rsidRDefault="00B16C64" w14:paraId="671570D7" w14:textId="77777777">
      <w:pPr>
        <w:pStyle w:val="Paragraphedeliste"/>
        <w:numPr>
          <w:ilvl w:val="0"/>
          <w:numId w:val="116"/>
        </w:numPr>
      </w:pPr>
      <w:r>
        <w:t>Héberger l’offre PAAS décrite dans le lot 3 de ce marché</w:t>
      </w:r>
    </w:p>
    <w:p w:rsidR="006E6D7A" w:rsidRDefault="006E6D7A" w14:paraId="671570D8" w14:textId="77777777">
      <w:pPr>
        <w:ind w:left="709"/>
      </w:pPr>
    </w:p>
    <w:p w:rsidR="006E6D7A" w:rsidRDefault="00B16C64" w14:paraId="671570D9" w14:textId="77777777">
      <w:pPr>
        <w:pStyle w:val="Titre2"/>
      </w:pPr>
      <w:bookmarkStart w:name="_Toc221095522" w:id="94"/>
      <w:r>
        <w:t>Schéma principal des applications de référence du SI institutionnel INRAE</w:t>
      </w:r>
      <w:bookmarkEnd w:id="94"/>
    </w:p>
    <w:p w:rsidR="006E6D7A" w:rsidRDefault="00B16C64" w14:paraId="671570DA" w14:textId="77777777">
      <w:r>
        <w:rPr>
          <w:noProof/>
        </w:rPr>
        <mc:AlternateContent>
          <mc:Choice Requires="wpg">
            <w:drawing>
              <wp:inline distT="0" distB="0" distL="0" distR="0" wp14:anchorId="67157C3F" wp14:editId="67157C40">
                <wp:extent cx="6120130" cy="3161175"/>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420150" name=""/>
                        <pic:cNvPicPr>
                          <a:picLocks noChangeAspect="1"/>
                        </pic:cNvPicPr>
                      </pic:nvPicPr>
                      <pic:blipFill rotWithShape="1">
                        <a:blip r:embed="rId93"/>
                        <a:srcRect r="1518"/>
                        <a:stretch/>
                      </pic:blipFill>
                      <pic:spPr bwMode="auto">
                        <a:xfrm>
                          <a:off x="0" y="0"/>
                          <a:ext cx="6120129" cy="3161175"/>
                        </a:xfrm>
                        <a:prstGeom prst="rect">
                          <a:avLst/>
                        </a:prstGeom>
                      </pic:spPr>
                    </pic:pic>
                  </a:graphicData>
                </a:graphic>
              </wp:inline>
            </w:drawing>
          </mc:Choice>
          <mc:Fallback xmlns:a="http://schemas.openxmlformats.org/drawingml/2006/main">
            <w:pict w14:anchorId="2807FEE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7" style="width:481.90pt;height:248.91pt;mso-wrap-distance-left:0.00pt;mso-wrap-distance-top:0.00pt;mso-wrap-distance-right:0.00pt;mso-wrap-distance-bottom:0.00pt;z-index:1;" o:spid="_x0000_s37" stroked="false" type="#_x0000_t75">
                <v:imagedata cropleft="0f" croptop="0f" cropright="995f" cropbottom="0f" o:title="" r:id="rId94"/>
                <o:lock v:ext="edit" rotation="t"/>
              </v:shape>
            </w:pict>
          </mc:Fallback>
        </mc:AlternateContent>
      </w:r>
    </w:p>
    <w:p w:rsidR="006E6D7A" w:rsidRDefault="006E6D7A" w14:paraId="671570DB" w14:textId="77777777"/>
    <w:p w:rsidR="006E6D7A" w:rsidRDefault="006E6D7A" w14:paraId="671570DC" w14:textId="77777777"/>
    <w:p w:rsidR="006E6D7A" w:rsidRDefault="00B16C64" w14:paraId="671570DD" w14:textId="77777777">
      <w:r>
        <w:t>Ce schéma montre :</w:t>
      </w:r>
    </w:p>
    <w:p w:rsidR="006E6D7A" w:rsidRDefault="00B16C64" w14:paraId="671570DE" w14:textId="77777777">
      <w:r>
        <w:t xml:space="preserve">2 de 3 principaux ERP (HRA Access pour la gestion des processus RH et de la paie / </w:t>
      </w:r>
      <w:proofErr w:type="spellStart"/>
      <w:r>
        <w:t>Sifac</w:t>
      </w:r>
      <w:proofErr w:type="spellEnd"/>
      <w:r>
        <w:t xml:space="preserve"> SAP (solution AMUE adaptée et interopérée par INRAE) pour la gestion budgétaire, comptable et financière)</w:t>
      </w:r>
    </w:p>
    <w:p w:rsidR="006E6D7A" w:rsidRDefault="00B16C64" w14:paraId="671570DF" w14:textId="77777777">
      <w:r>
        <w:lastRenderedPageBreak/>
        <w:t>Les principaux référentiels : Personne et Structures (</w:t>
      </w:r>
      <w:proofErr w:type="spellStart"/>
      <w:r>
        <w:t>Sinaps</w:t>
      </w:r>
      <w:proofErr w:type="spellEnd"/>
      <w:r>
        <w:t>), Utilisateurs (IAM).</w:t>
      </w:r>
    </w:p>
    <w:p w:rsidR="006E6D7A" w:rsidRDefault="00B16C64" w14:paraId="671570E0" w14:textId="77777777">
      <w:r>
        <w:t xml:space="preserve">Les 2 plateformes diffusant les données : PID pour les applications INRAE non mutualisées, </w:t>
      </w:r>
      <w:proofErr w:type="spellStart"/>
      <w:r>
        <w:t>Sinaps</w:t>
      </w:r>
      <w:proofErr w:type="spellEnd"/>
      <w:r>
        <w:t xml:space="preserve"> pour les applications mutualisées (aujourd’hui SIFAC).</w:t>
      </w:r>
    </w:p>
    <w:p w:rsidR="006E6D7A" w:rsidRDefault="00B16C64" w14:paraId="671570E1" w14:textId="77777777">
      <w:pPr>
        <w:rPr>
          <w:b/>
          <w:bCs/>
        </w:rPr>
      </w:pPr>
      <w:r>
        <w:t xml:space="preserve">Les applications clientes (carrés verts de droites, Notilus, </w:t>
      </w:r>
      <w:proofErr w:type="spellStart"/>
      <w:r>
        <w:t>fcm</w:t>
      </w:r>
      <w:proofErr w:type="spellEnd"/>
      <w:r>
        <w:t>, l’ensemble représentant plus de 50 SI).</w:t>
      </w:r>
    </w:p>
    <w:p w:rsidR="006E6D7A" w:rsidRDefault="00B16C64" w14:paraId="671570E2" w14:textId="77777777">
      <w:pPr>
        <w:pStyle w:val="Titre1"/>
      </w:pPr>
      <w:bookmarkStart w:name="_Toc221095523" w:id="95"/>
      <w:r>
        <w:lastRenderedPageBreak/>
        <w:t>Exigences transverses, Dispositions communes à l'ensemble des prestations</w:t>
      </w:r>
      <w:bookmarkEnd w:id="95"/>
    </w:p>
    <w:p w:rsidR="006E6D7A" w:rsidRDefault="00B16C64" w14:paraId="671570E3" w14:textId="77777777">
      <w:r>
        <w:t>Sauf mention contraire, les exigences et dispositions décrites ci-après sont adaptées à l’ensemble des bénéficiaires du présent marché.</w:t>
      </w:r>
    </w:p>
    <w:p w:rsidR="006E6D7A" w:rsidRDefault="00B16C64" w14:paraId="671570E4" w14:textId="77777777">
      <w:pPr>
        <w:pStyle w:val="Titre2"/>
      </w:pPr>
      <w:bookmarkStart w:name="_Toc221095524" w:id="96"/>
      <w:r>
        <w:t>Principes d’exécution des prestations et cadre qualité</w:t>
      </w:r>
      <w:bookmarkEnd w:id="96"/>
    </w:p>
    <w:p w:rsidR="006E6D7A" w:rsidRDefault="00B16C64" w14:paraId="671570E5" w14:textId="77777777">
      <w:pPr>
        <w:rPr>
          <w:b/>
          <w:bCs/>
        </w:rPr>
      </w:pPr>
      <w:r>
        <w:t xml:space="preserve">Bien que n’étant pas exclusives au sein de INRAE, les méthodes agiles (Scrum, Kanban) et la démarche </w:t>
      </w:r>
      <w:proofErr w:type="spellStart"/>
      <w:r>
        <w:t>DevSecOps</w:t>
      </w:r>
      <w:proofErr w:type="spellEnd"/>
      <w:r>
        <w:t xml:space="preserve"> influencent fondamentalement l’orientation et l’organisation des activités de la DSI. La description de certains principes d’exécution et du cadre de qualité décrits ci-après peut-être orientée. Pour autant ces principes restent adaptables et donc applicables à des environnements et écosystèmes dits conventionnels.</w:t>
      </w:r>
    </w:p>
    <w:p w:rsidR="006E6D7A" w:rsidRDefault="00B16C64" w14:paraId="671570E6" w14:textId="77777777">
      <w:pPr>
        <w:pStyle w:val="Titre3"/>
        <w:numPr>
          <w:ilvl w:val="3"/>
          <w:numId w:val="3"/>
        </w:numPr>
      </w:pPr>
      <w:bookmarkStart w:name="_Hlk115186916" w:id="97"/>
      <w:bookmarkStart w:name="_Toc221095525" w:id="98"/>
      <w:r>
        <w:t>Obligations et responsabilités respectives</w:t>
      </w:r>
      <w:bookmarkEnd w:id="97"/>
      <w:bookmarkEnd w:id="98"/>
    </w:p>
    <w:tbl>
      <w:tblPr>
        <w:tblpPr w:leftFromText="141" w:rightFromText="141" w:vertAnchor="text" w:horzAnchor="margin" w:tblpX="1" w:tblpY="92"/>
        <w:tblW w:w="9760" w:type="dxa"/>
        <w:tblLayout w:type="fixed"/>
        <w:tblCellMar>
          <w:left w:w="70" w:type="dxa"/>
          <w:right w:w="70" w:type="dxa"/>
        </w:tblCellMar>
        <w:tblLook w:val="04A0" w:firstRow="1" w:lastRow="0" w:firstColumn="1" w:lastColumn="0" w:noHBand="0" w:noVBand="1"/>
      </w:tblPr>
      <w:tblGrid>
        <w:gridCol w:w="1420"/>
        <w:gridCol w:w="8340"/>
      </w:tblGrid>
      <w:tr w:rsidR="006E6D7A" w14:paraId="671570E9" w14:textId="77777777">
        <w:trPr>
          <w:trHeight w:val="90"/>
          <w:tblHeader/>
        </w:trPr>
        <w:tc>
          <w:tcPr>
            <w:tcW w:w="1420" w:type="dxa"/>
            <w:tcBorders>
              <w:top w:val="single" w:color="00A3A6" w:sz="8" w:space="0"/>
              <w:left w:val="single" w:color="00A3A6" w:sz="8" w:space="0"/>
              <w:bottom w:val="single" w:color="00A3A6" w:sz="8" w:space="0"/>
              <w:right w:val="single" w:color="00A3A6" w:sz="8" w:space="0"/>
            </w:tcBorders>
            <w:shd w:val="clear" w:color="000000" w:fill="03A3A6"/>
            <w:vAlign w:val="center"/>
          </w:tcPr>
          <w:p w:rsidR="006E6D7A" w:rsidRDefault="00B16C64" w14:paraId="671570E7" w14:textId="77777777">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339" w:type="dxa"/>
            <w:tcBorders>
              <w:top w:val="single" w:color="00A3A6" w:sz="8" w:space="0"/>
              <w:bottom w:val="single" w:color="00A3A6" w:sz="8" w:space="0"/>
              <w:right w:val="single" w:color="00A3A6" w:sz="8" w:space="0"/>
            </w:tcBorders>
            <w:shd w:val="clear" w:color="000000" w:fill="03A3A6"/>
            <w:vAlign w:val="center"/>
          </w:tcPr>
          <w:p w:rsidR="006E6D7A" w:rsidRDefault="00B16C64" w14:paraId="671570E8" w14:textId="77777777">
            <w:pPr>
              <w:rPr>
                <w:rFonts w:ascii="Calibri" w:hAnsi="Calibri" w:cs="Calibri"/>
                <w:b/>
                <w:bCs/>
                <w:color w:val="FFFFFF"/>
              </w:rPr>
            </w:pPr>
            <w:r>
              <w:rPr>
                <w:rFonts w:cs="Calibri"/>
                <w:b/>
                <w:bCs/>
                <w:color w:val="FFFFFF"/>
              </w:rPr>
              <w:t>Exigence</w:t>
            </w:r>
          </w:p>
        </w:tc>
      </w:tr>
      <w:tr w:rsidR="006E6D7A" w14:paraId="671570EC" w14:textId="77777777">
        <w:trPr>
          <w:trHeight w:val="229"/>
        </w:trPr>
        <w:tc>
          <w:tcPr>
            <w:tcW w:w="142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0EA" w14:textId="77777777">
            <w:pPr>
              <w:rPr>
                <w:color w:val="000000"/>
                <w:sz w:val="20"/>
                <w:szCs w:val="20"/>
              </w:rPr>
            </w:pPr>
            <w:r>
              <w:rPr>
                <w:color w:val="000000"/>
                <w:sz w:val="20"/>
                <w:szCs w:val="20"/>
              </w:rPr>
              <w:t> </w:t>
            </w:r>
            <w:r>
              <w:rPr>
                <w:sz w:val="16"/>
                <w:szCs w:val="16"/>
              </w:rPr>
              <w:t xml:space="preserve"> </w:t>
            </w:r>
            <w:bookmarkStart w:name="_Hlk119917220" w:id="99"/>
            <w:r>
              <w:rPr>
                <w:sz w:val="16"/>
                <w:szCs w:val="16"/>
              </w:rPr>
              <w:t>Ex_PE_</w:t>
            </w:r>
            <w:bookmarkEnd w:id="99"/>
            <w:r>
              <w:rPr>
                <w:sz w:val="16"/>
                <w:szCs w:val="16"/>
              </w:rPr>
              <w:t>01</w:t>
            </w:r>
          </w:p>
        </w:tc>
        <w:tc>
          <w:tcPr>
            <w:tcW w:w="8339" w:type="dxa"/>
            <w:tcBorders>
              <w:bottom w:val="single" w:color="00A3A6" w:sz="8" w:space="0"/>
              <w:right w:val="single" w:color="00A3A6" w:sz="8" w:space="0"/>
            </w:tcBorders>
            <w:shd w:val="clear" w:color="auto" w:fill="auto"/>
            <w:vAlign w:val="center"/>
          </w:tcPr>
          <w:p w:rsidR="006E6D7A" w:rsidRDefault="00B16C64" w14:paraId="671570EB" w14:textId="77777777">
            <w:pPr>
              <w:rPr>
                <w:rFonts w:ascii="Calibri" w:hAnsi="Calibri" w:cs="Calibri"/>
                <w:color w:val="000000"/>
              </w:rPr>
            </w:pPr>
            <w:r>
              <w:rPr>
                <w:rFonts w:cs="Calibri"/>
                <w:color w:val="000000"/>
              </w:rPr>
              <w:t>La langue applicable pour la réalisation des prestations (échanges, communication, production des livrables) est le Français. Chaque intervenant doit savoir parler et comprendre le français. Les intervenants du titulaire doivent être dans des créneaux horaires compatibles avec ceux de la France.</w:t>
            </w:r>
          </w:p>
        </w:tc>
      </w:tr>
      <w:tr w:rsidR="006E6D7A" w14:paraId="671570EF" w14:textId="77777777">
        <w:trPr>
          <w:trHeight w:val="229"/>
        </w:trPr>
        <w:tc>
          <w:tcPr>
            <w:tcW w:w="1420" w:type="dxa"/>
            <w:tcBorders>
              <w:top w:val="single" w:color="00A3A6" w:sz="8" w:space="0"/>
              <w:left w:val="single" w:color="00A3A6" w:sz="8" w:space="0"/>
              <w:bottom w:val="single" w:color="00A3A6" w:sz="8" w:space="0"/>
              <w:right w:val="single" w:color="00A3A6" w:sz="8" w:space="0"/>
            </w:tcBorders>
            <w:shd w:val="clear" w:color="auto" w:fill="auto"/>
            <w:vAlign w:val="center"/>
          </w:tcPr>
          <w:p w:rsidR="006E6D7A" w:rsidRDefault="00B16C64" w14:paraId="671570ED" w14:textId="77777777">
            <w:pPr>
              <w:rPr>
                <w:color w:val="000000"/>
                <w:sz w:val="20"/>
                <w:szCs w:val="20"/>
              </w:rPr>
            </w:pPr>
            <w:r>
              <w:rPr>
                <w:sz w:val="16"/>
                <w:szCs w:val="16"/>
              </w:rPr>
              <w:t>Ex_PE_02</w:t>
            </w:r>
          </w:p>
        </w:tc>
        <w:tc>
          <w:tcPr>
            <w:tcW w:w="8339" w:type="dxa"/>
            <w:tcBorders>
              <w:top w:val="single" w:color="00A3A6" w:sz="8" w:space="0"/>
              <w:bottom w:val="single" w:color="00A3A6" w:sz="8" w:space="0"/>
              <w:right w:val="single" w:color="00A3A6" w:sz="8" w:space="0"/>
            </w:tcBorders>
            <w:shd w:val="clear" w:color="auto" w:fill="auto"/>
            <w:vAlign w:val="center"/>
          </w:tcPr>
          <w:p w:rsidR="006E6D7A" w:rsidRDefault="00B16C64" w14:paraId="671570EE" w14:textId="77777777">
            <w:pPr>
              <w:rPr>
                <w:rFonts w:ascii="Calibri" w:hAnsi="Calibri" w:cs="Calibri"/>
                <w:color w:val="000000"/>
              </w:rPr>
            </w:pPr>
            <w:r>
              <w:rPr>
                <w:rFonts w:cs="Calibri"/>
                <w:color w:val="000000"/>
              </w:rPr>
              <w:t>Le titulaire doit respecter l’ensemble des consignes de sécurité locales liées aux sites ou aux environnements sur lesquels il intervient.</w:t>
            </w:r>
          </w:p>
        </w:tc>
      </w:tr>
      <w:tr w:rsidR="006E6D7A" w14:paraId="671570F2" w14:textId="77777777">
        <w:trPr>
          <w:trHeight w:val="229"/>
        </w:trPr>
        <w:tc>
          <w:tcPr>
            <w:tcW w:w="1420" w:type="dxa"/>
            <w:tcBorders>
              <w:top w:val="single" w:color="00A3A6" w:sz="8" w:space="0"/>
              <w:left w:val="single" w:color="00A3A6" w:sz="8" w:space="0"/>
              <w:bottom w:val="single" w:color="00A3A6" w:sz="8" w:space="0"/>
              <w:right w:val="single" w:color="00A3A6" w:sz="8" w:space="0"/>
            </w:tcBorders>
            <w:shd w:val="clear" w:color="auto" w:fill="auto"/>
            <w:vAlign w:val="center"/>
          </w:tcPr>
          <w:p w:rsidR="006E6D7A" w:rsidRDefault="00B16C64" w14:paraId="671570F0" w14:textId="77777777">
            <w:pPr>
              <w:rPr>
                <w:color w:val="000000"/>
                <w:sz w:val="20"/>
                <w:szCs w:val="20"/>
              </w:rPr>
            </w:pPr>
            <w:r>
              <w:rPr>
                <w:sz w:val="16"/>
                <w:szCs w:val="16"/>
              </w:rPr>
              <w:t>Ex_PE_03</w:t>
            </w:r>
          </w:p>
        </w:tc>
        <w:tc>
          <w:tcPr>
            <w:tcW w:w="8339" w:type="dxa"/>
            <w:tcBorders>
              <w:top w:val="single" w:color="00A3A6" w:sz="8" w:space="0"/>
              <w:bottom w:val="single" w:color="00A3A6" w:sz="8" w:space="0"/>
              <w:right w:val="single" w:color="00A3A6" w:sz="8" w:space="0"/>
            </w:tcBorders>
            <w:shd w:val="clear" w:color="auto" w:fill="auto"/>
            <w:vAlign w:val="center"/>
          </w:tcPr>
          <w:p w:rsidR="006E6D7A" w:rsidRDefault="00B16C64" w14:paraId="671570F1" w14:textId="77777777">
            <w:pPr>
              <w:rPr>
                <w:rFonts w:ascii="Calibri" w:hAnsi="Calibri" w:cs="Calibri"/>
                <w:color w:val="000000"/>
              </w:rPr>
            </w:pPr>
            <w:r>
              <w:rPr>
                <w:rFonts w:cs="Calibri"/>
                <w:color w:val="000000"/>
              </w:rPr>
              <w:t>Le titulaire doit respecter les consignes de sécurité logiques pour l’accès aux systèmes définies par INRAE.</w:t>
            </w:r>
          </w:p>
        </w:tc>
      </w:tr>
      <w:tr w:rsidR="006E6D7A" w14:paraId="671570F9" w14:textId="77777777">
        <w:trPr>
          <w:trHeight w:val="1016"/>
        </w:trPr>
        <w:tc>
          <w:tcPr>
            <w:tcW w:w="1420" w:type="dxa"/>
            <w:tcBorders>
              <w:top w:val="single" w:color="00A3A6" w:sz="8" w:space="0"/>
              <w:left w:val="single" w:color="00A3A6" w:sz="8" w:space="0"/>
              <w:bottom w:val="single" w:color="00A3A6" w:sz="8" w:space="0"/>
              <w:right w:val="single" w:color="00A3A6" w:sz="8" w:space="0"/>
            </w:tcBorders>
            <w:shd w:val="clear" w:color="auto" w:fill="auto"/>
            <w:vAlign w:val="center"/>
          </w:tcPr>
          <w:p w:rsidR="006E6D7A" w:rsidRDefault="00B16C64" w14:paraId="671570F3" w14:textId="77777777">
            <w:pPr>
              <w:rPr>
                <w:color w:val="000000"/>
                <w:sz w:val="20"/>
                <w:szCs w:val="20"/>
              </w:rPr>
            </w:pPr>
            <w:r>
              <w:rPr>
                <w:sz w:val="16"/>
                <w:szCs w:val="16"/>
              </w:rPr>
              <w:t>Ex_PE_04</w:t>
            </w:r>
          </w:p>
        </w:tc>
        <w:tc>
          <w:tcPr>
            <w:tcW w:w="8339" w:type="dxa"/>
            <w:tcBorders>
              <w:top w:val="single" w:color="00A3A6" w:sz="8" w:space="0"/>
              <w:bottom w:val="single" w:color="00A3A6" w:sz="8" w:space="0"/>
              <w:right w:val="single" w:color="00A3A6" w:sz="8" w:space="0"/>
            </w:tcBorders>
            <w:shd w:val="clear" w:color="auto" w:fill="auto"/>
            <w:vAlign w:val="center"/>
          </w:tcPr>
          <w:p w:rsidR="006E6D7A" w:rsidRDefault="00B16C64" w14:paraId="671570F4" w14:textId="77777777">
            <w:pPr>
              <w:rPr>
                <w:rFonts w:ascii="Calibri" w:hAnsi="Calibri" w:cs="Calibri"/>
                <w:color w:val="000000"/>
              </w:rPr>
            </w:pPr>
            <w:r>
              <w:rPr>
                <w:rFonts w:cs="Calibri"/>
                <w:color w:val="000000"/>
              </w:rPr>
              <w:t xml:space="preserve">Le titulaire </w:t>
            </w:r>
            <w:r>
              <w:t>fournit</w:t>
            </w:r>
            <w:r>
              <w:rPr>
                <w:rFonts w:cs="Calibri"/>
                <w:color w:val="000000"/>
              </w:rPr>
              <w:t>, met en place et maintient :</w:t>
            </w:r>
          </w:p>
          <w:p w:rsidR="006E6D7A" w:rsidRDefault="00B16C64" w14:paraId="671570F5" w14:textId="77777777">
            <w:pPr>
              <w:pStyle w:val="Puce1"/>
            </w:pPr>
            <w:r>
              <w:t>Les équipements de travail (poste de travail avec le niveau de droits nécessaire, moyens de communication) de ses intervenants conformes à la politique de sécurité des systèmes d’information INRAE (cf. annexes) (y compris clé d’authentification MFA)</w:t>
            </w:r>
          </w:p>
          <w:p w:rsidR="006E6D7A" w:rsidRDefault="00B16C64" w14:paraId="671570F6" w14:textId="77777777">
            <w:pPr>
              <w:pStyle w:val="Puce1"/>
              <w:numPr>
                <w:ilvl w:val="0"/>
                <w:numId w:val="30"/>
              </w:numPr>
              <w:ind w:left="714" w:hanging="357"/>
            </w:pPr>
            <w:r>
              <w:rPr>
                <w:rFonts w:cstheme="minorHAnsi"/>
              </w:rPr>
              <w:t>La « configuration » des accès aux environnements et outils de INRAE</w:t>
            </w:r>
          </w:p>
          <w:p w:rsidR="006E6D7A" w:rsidRDefault="00B16C64" w14:paraId="671570F7" w14:textId="77777777">
            <w:pPr>
              <w:pStyle w:val="Puce1"/>
              <w:numPr>
                <w:ilvl w:val="0"/>
                <w:numId w:val="30"/>
              </w:numPr>
              <w:ind w:left="714" w:hanging="357"/>
              <w:rPr>
                <w:rFonts w:cs="Calibri"/>
                <w:color w:val="000000"/>
                <w:sz w:val="20"/>
              </w:rPr>
            </w:pPr>
            <w:r>
              <w:rPr>
                <w:rFonts w:cstheme="minorHAnsi"/>
              </w:rPr>
              <w:t>Les moyens de communication (réseau) entre ses sites et le site de INRAE</w:t>
            </w:r>
          </w:p>
          <w:p w:rsidR="006E6D7A" w:rsidRDefault="00B16C64" w14:paraId="671570F8" w14:textId="77777777">
            <w:r>
              <w:t>Une présentation de la politique de renouvellement des équipements mise en place au sein de la société serait appréciée</w:t>
            </w:r>
          </w:p>
        </w:tc>
      </w:tr>
      <w:tr w:rsidR="006E6D7A" w14:paraId="671570FC" w14:textId="77777777">
        <w:trPr>
          <w:trHeight w:val="409"/>
        </w:trPr>
        <w:tc>
          <w:tcPr>
            <w:tcW w:w="1420" w:type="dxa"/>
            <w:tcBorders>
              <w:top w:val="single" w:color="00A3A6" w:sz="8" w:space="0"/>
              <w:left w:val="single" w:color="00A3A6" w:sz="8" w:space="0"/>
              <w:bottom w:val="single" w:color="00A3A6" w:sz="8" w:space="0"/>
              <w:right w:val="single" w:color="00A3A6" w:sz="8" w:space="0"/>
            </w:tcBorders>
            <w:shd w:val="clear" w:color="auto" w:fill="auto"/>
            <w:vAlign w:val="center"/>
          </w:tcPr>
          <w:p w:rsidR="006E6D7A" w:rsidRDefault="00B16C64" w14:paraId="671570FA" w14:textId="77777777">
            <w:pPr>
              <w:rPr>
                <w:color w:val="000000"/>
                <w:sz w:val="20"/>
                <w:szCs w:val="20"/>
              </w:rPr>
            </w:pPr>
            <w:r>
              <w:rPr>
                <w:sz w:val="16"/>
                <w:szCs w:val="16"/>
              </w:rPr>
              <w:t>Ex_PE_05</w:t>
            </w:r>
          </w:p>
        </w:tc>
        <w:tc>
          <w:tcPr>
            <w:tcW w:w="8339" w:type="dxa"/>
            <w:tcBorders>
              <w:top w:val="single" w:color="00A3A6" w:sz="8" w:space="0"/>
              <w:bottom w:val="single" w:color="00A3A6" w:sz="8" w:space="0"/>
              <w:right w:val="single" w:color="00A3A6" w:sz="8" w:space="0"/>
            </w:tcBorders>
            <w:shd w:val="clear" w:color="auto" w:fill="auto"/>
            <w:vAlign w:val="center"/>
          </w:tcPr>
          <w:p w:rsidR="006E6D7A" w:rsidRDefault="00B16C64" w14:paraId="671570FB" w14:textId="77777777">
            <w:pPr>
              <w:rPr>
                <w:rFonts w:ascii="Calibri" w:hAnsi="Calibri" w:cs="Calibri"/>
                <w:color w:val="000000"/>
              </w:rPr>
            </w:pPr>
            <w:r>
              <w:rPr>
                <w:rFonts w:cs="Calibri"/>
                <w:color w:val="000000"/>
              </w:rPr>
              <w:t>Le titulaire s’engage à ce que chaque intervenant se conforme aux modalités particulières de fonctionnement et à l’organisation de l’équipe qu’il intègre.</w:t>
            </w:r>
          </w:p>
        </w:tc>
      </w:tr>
    </w:tbl>
    <w:p w:rsidR="006E6D7A" w:rsidRDefault="006E6D7A" w14:paraId="671570FD" w14:textId="77777777"/>
    <w:p w:rsidR="006E6D7A" w:rsidRDefault="00B16C64" w14:paraId="671570FE" w14:textId="77777777">
      <w:r>
        <w:t>INRAE désigne deux personnes, pour les prestations du présent accord-cadre (lot multi-technologies) comme interlocuteurs privilégiés du titulaire.</w:t>
      </w:r>
    </w:p>
    <w:p w:rsidR="006E6D7A" w:rsidRDefault="00B16C64" w14:paraId="671570FF" w14:textId="77777777">
      <w:r>
        <w:t>Pour l’ensemble des opérations, INRAE met à disposition du titulaire :</w:t>
      </w:r>
    </w:p>
    <w:p w:rsidR="006E6D7A" w:rsidRDefault="00B16C64" w14:paraId="67157100" w14:textId="77777777">
      <w:pPr>
        <w:pStyle w:val="Puce1"/>
        <w:numPr>
          <w:ilvl w:val="0"/>
          <w:numId w:val="30"/>
        </w:numPr>
        <w:ind w:left="714" w:hanging="357"/>
        <w:rPr>
          <w:rFonts w:asciiTheme="minorHAnsi" w:hAnsiTheme="minorHAnsi" w:cstheme="minorHAnsi"/>
        </w:rPr>
      </w:pPr>
      <w:r>
        <w:rPr>
          <w:rFonts w:cstheme="minorHAnsi"/>
        </w:rPr>
        <w:t>Les accès au réseau d‘INRAE</w:t>
      </w:r>
    </w:p>
    <w:p w:rsidR="006E6D7A" w:rsidRDefault="00B16C64" w14:paraId="67157101" w14:textId="77777777">
      <w:pPr>
        <w:pStyle w:val="Puce1"/>
        <w:numPr>
          <w:ilvl w:val="0"/>
          <w:numId w:val="30"/>
        </w:numPr>
        <w:ind w:left="714" w:hanging="357"/>
        <w:rPr>
          <w:rFonts w:asciiTheme="minorHAnsi" w:hAnsiTheme="minorHAnsi" w:cstheme="minorHAnsi"/>
        </w:rPr>
      </w:pPr>
      <w:r>
        <w:rPr>
          <w:rFonts w:cstheme="minorHAnsi"/>
        </w:rPr>
        <w:t>L’accès aux environnements à exploiter</w:t>
      </w:r>
    </w:p>
    <w:p w:rsidR="006E6D7A" w:rsidRDefault="00B16C64" w14:paraId="67157102" w14:textId="77777777">
      <w:pPr>
        <w:pStyle w:val="Puce1"/>
        <w:numPr>
          <w:ilvl w:val="0"/>
          <w:numId w:val="30"/>
        </w:numPr>
        <w:ind w:left="714" w:hanging="357"/>
        <w:rPr>
          <w:rFonts w:asciiTheme="minorHAnsi" w:hAnsiTheme="minorHAnsi" w:cstheme="minorHAnsi"/>
        </w:rPr>
      </w:pPr>
      <w:r>
        <w:rPr>
          <w:rFonts w:cstheme="minorHAnsi"/>
        </w:rPr>
        <w:t xml:space="preserve">L’accès aux différents outils INRAE nécessaires à l’exécution des travaux </w:t>
      </w:r>
    </w:p>
    <w:p w:rsidR="006E6D7A" w:rsidRDefault="00B16C64" w14:paraId="67157103" w14:textId="77777777">
      <w:pPr>
        <w:pStyle w:val="Puce1"/>
        <w:numPr>
          <w:ilvl w:val="0"/>
          <w:numId w:val="30"/>
        </w:numPr>
        <w:ind w:left="714" w:hanging="357"/>
        <w:rPr>
          <w:rFonts w:asciiTheme="minorHAnsi" w:hAnsiTheme="minorHAnsi" w:cstheme="minorHAnsi"/>
        </w:rPr>
      </w:pPr>
      <w:r>
        <w:rPr>
          <w:rFonts w:cstheme="minorHAnsi"/>
        </w:rPr>
        <w:t>L’accès à l’ensemble de la documentation existante concernée par cet accord-cadre</w:t>
      </w:r>
    </w:p>
    <w:p w:rsidR="006E6D7A" w:rsidRDefault="00B16C64" w14:paraId="67157104" w14:textId="77777777">
      <w:pPr>
        <w:pStyle w:val="Titre3"/>
        <w:numPr>
          <w:ilvl w:val="3"/>
          <w:numId w:val="3"/>
        </w:numPr>
      </w:pPr>
      <w:bookmarkStart w:name="_Toc221095526" w:id="100"/>
      <w:r>
        <w:lastRenderedPageBreak/>
        <w:t>Principes d’exécution des prestations</w:t>
      </w:r>
      <w:bookmarkEnd w:id="100"/>
    </w:p>
    <w:p w:rsidR="006E6D7A" w:rsidRDefault="00B16C64" w14:paraId="67157105" w14:textId="77777777">
      <w:pPr>
        <w:pStyle w:val="Titre4"/>
        <w:numPr>
          <w:ilvl w:val="4"/>
          <w:numId w:val="3"/>
        </w:numPr>
      </w:pPr>
      <w:r>
        <w:t>Outils collaboratifs et espaces documentaires</w:t>
      </w:r>
    </w:p>
    <w:p w:rsidR="006E6D7A" w:rsidRDefault="00B16C64" w14:paraId="67157106" w14:textId="77777777">
      <w:r>
        <w:t>Le titulaire s’engage dans une étroite collaboration avec les équipes INRAE. A cet effet, la collaboration en équipes physiques ou virtuelles doit mobiliser des outillages collaboratifs fournis par le titulaire compatibles et intégrés à ceux de INRAE.</w:t>
      </w:r>
    </w:p>
    <w:p w:rsidR="006E6D7A" w:rsidRDefault="00B16C64" w14:paraId="67157107" w14:textId="77777777">
      <w:r>
        <w:t>L’offre des outils collaboratifs utilisés au sein de SOLAIRE reste plurielle. On retrouve notamment :</w:t>
      </w:r>
    </w:p>
    <w:p w:rsidR="006E6D7A" w:rsidRDefault="00B16C64" w14:paraId="67157108" w14:textId="77777777">
      <w:pPr>
        <w:pStyle w:val="Puce1"/>
        <w:numPr>
          <w:ilvl w:val="0"/>
          <w:numId w:val="30"/>
        </w:numPr>
        <w:ind w:left="714" w:hanging="357"/>
        <w:rPr>
          <w:rFonts w:asciiTheme="minorHAnsi" w:hAnsiTheme="minorHAnsi" w:cstheme="minorHAnsi"/>
        </w:rPr>
      </w:pPr>
      <w:r>
        <w:rPr>
          <w:rFonts w:cstheme="minorHAnsi"/>
        </w:rPr>
        <w:t xml:space="preserve">Espace de stockage d’information : </w:t>
      </w:r>
      <w:proofErr w:type="spellStart"/>
      <w:r>
        <w:rPr>
          <w:rFonts w:cstheme="minorHAnsi"/>
        </w:rPr>
        <w:t>Sharepoint</w:t>
      </w:r>
      <w:proofErr w:type="spellEnd"/>
      <w:r>
        <w:rPr>
          <w:rFonts w:cstheme="minorHAnsi"/>
        </w:rPr>
        <w:t xml:space="preserve">, </w:t>
      </w:r>
      <w:proofErr w:type="spellStart"/>
      <w:r>
        <w:rPr>
          <w:rFonts w:cstheme="minorHAnsi"/>
        </w:rPr>
        <w:t>Nextcloud</w:t>
      </w:r>
      <w:proofErr w:type="spellEnd"/>
    </w:p>
    <w:p w:rsidR="006E6D7A" w:rsidRDefault="00B16C64" w14:paraId="67157109" w14:textId="77777777">
      <w:pPr>
        <w:pStyle w:val="Puce1"/>
        <w:numPr>
          <w:ilvl w:val="0"/>
          <w:numId w:val="30"/>
        </w:numPr>
        <w:ind w:left="714" w:hanging="357"/>
        <w:rPr>
          <w:rFonts w:asciiTheme="minorHAnsi" w:hAnsiTheme="minorHAnsi" w:cstheme="minorHAnsi"/>
        </w:rPr>
      </w:pPr>
      <w:r>
        <w:rPr>
          <w:rFonts w:cstheme="minorHAnsi"/>
        </w:rPr>
        <w:t>Channel de communication : (en 2025</w:t>
      </w:r>
      <w:proofErr w:type="gramStart"/>
      <w:r>
        <w:rPr>
          <w:rFonts w:cstheme="minorHAnsi"/>
        </w:rPr>
        <w:t xml:space="preserve">)  </w:t>
      </w:r>
      <w:proofErr w:type="spellStart"/>
      <w:r>
        <w:rPr>
          <w:rFonts w:cstheme="minorHAnsi"/>
        </w:rPr>
        <w:t>Mattermost</w:t>
      </w:r>
      <w:proofErr w:type="spellEnd"/>
      <w:proofErr w:type="gramEnd"/>
    </w:p>
    <w:p w:rsidR="006E6D7A" w:rsidRDefault="00B16C64" w14:paraId="6715710A" w14:textId="77777777">
      <w:pPr>
        <w:pStyle w:val="Puce1"/>
        <w:numPr>
          <w:ilvl w:val="0"/>
          <w:numId w:val="30"/>
        </w:numPr>
        <w:ind w:left="714" w:hanging="357"/>
        <w:rPr>
          <w:rFonts w:asciiTheme="minorHAnsi" w:hAnsiTheme="minorHAnsi" w:cstheme="minorHAnsi"/>
        </w:rPr>
      </w:pPr>
      <w:r>
        <w:rPr>
          <w:rFonts w:cstheme="minorHAnsi"/>
        </w:rPr>
        <w:t xml:space="preserve">Outils de visioconférence : Teams, Zoom, https://webinaire.numerique.gouv.fr/ </w:t>
      </w:r>
    </w:p>
    <w:p w:rsidR="006E6D7A" w:rsidRDefault="00B16C64" w14:paraId="6715710B" w14:textId="77777777">
      <w:pPr>
        <w:pStyle w:val="Puce1"/>
        <w:numPr>
          <w:ilvl w:val="0"/>
          <w:numId w:val="30"/>
        </w:numPr>
        <w:ind w:left="714" w:hanging="357"/>
        <w:rPr>
          <w:rFonts w:asciiTheme="minorHAnsi" w:hAnsiTheme="minorHAnsi" w:cstheme="minorHAnsi"/>
        </w:rPr>
      </w:pPr>
      <w:r>
        <w:rPr>
          <w:rFonts w:cstheme="minorHAnsi"/>
        </w:rPr>
        <w:t xml:space="preserve">Outils de suivi des incidents : </w:t>
      </w:r>
      <w:proofErr w:type="spellStart"/>
      <w:r>
        <w:rPr>
          <w:rFonts w:cstheme="minorHAnsi"/>
        </w:rPr>
        <w:t>ServiceNow</w:t>
      </w:r>
      <w:proofErr w:type="spellEnd"/>
    </w:p>
    <w:p w:rsidR="006E6D7A" w:rsidRDefault="00B16C64" w14:paraId="6715710C" w14:textId="77777777">
      <w:pPr>
        <w:pStyle w:val="Puce1"/>
        <w:numPr>
          <w:ilvl w:val="0"/>
          <w:numId w:val="30"/>
        </w:numPr>
        <w:ind w:left="714" w:hanging="357"/>
        <w:rPr>
          <w:rFonts w:asciiTheme="minorHAnsi" w:hAnsiTheme="minorHAnsi" w:cstheme="minorHAnsi"/>
        </w:rPr>
      </w:pPr>
      <w:r>
        <w:rPr>
          <w:rFonts w:cstheme="minorHAnsi"/>
        </w:rPr>
        <w:t xml:space="preserve">Outils d’équipe du </w:t>
      </w:r>
      <w:proofErr w:type="gramStart"/>
      <w:r>
        <w:rPr>
          <w:rFonts w:cstheme="minorHAnsi"/>
        </w:rPr>
        <w:t xml:space="preserve">type  </w:t>
      </w:r>
      <w:proofErr w:type="spellStart"/>
      <w:r>
        <w:rPr>
          <w:rFonts w:cstheme="minorHAnsi"/>
        </w:rPr>
        <w:t>Kantree</w:t>
      </w:r>
      <w:proofErr w:type="spellEnd"/>
      <w:proofErr w:type="gramEnd"/>
      <w:r>
        <w:rPr>
          <w:rFonts w:cstheme="minorHAnsi"/>
        </w:rPr>
        <w:t xml:space="preserve">, </w:t>
      </w:r>
      <w:proofErr w:type="spellStart"/>
      <w:r>
        <w:rPr>
          <w:rFonts w:cstheme="minorHAnsi"/>
        </w:rPr>
        <w:t>IceScrum</w:t>
      </w:r>
      <w:proofErr w:type="spellEnd"/>
      <w:r>
        <w:rPr>
          <w:rFonts w:cstheme="minorHAnsi"/>
        </w:rPr>
        <w:t xml:space="preserve">, Klaxoon, </w:t>
      </w:r>
      <w:proofErr w:type="spellStart"/>
      <w:r>
        <w:rPr>
          <w:rFonts w:cstheme="minorHAnsi"/>
        </w:rPr>
        <w:t>PeopleMap</w:t>
      </w:r>
      <w:proofErr w:type="spellEnd"/>
    </w:p>
    <w:p w:rsidR="006E6D7A" w:rsidRDefault="00B16C64" w14:paraId="6715710D" w14:textId="77777777">
      <w:pPr>
        <w:pStyle w:val="Puce1"/>
        <w:numPr>
          <w:ilvl w:val="0"/>
          <w:numId w:val="0"/>
        </w:numPr>
        <w:ind w:left="720" w:hanging="360"/>
        <w:rPr>
          <w:rFonts w:asciiTheme="minorHAnsi" w:hAnsiTheme="minorHAnsi" w:cstheme="minorHAnsi"/>
        </w:rPr>
      </w:pPr>
      <w:r>
        <w:rPr>
          <w:rFonts w:asciiTheme="minorHAnsi" w:hAnsiTheme="minorHAnsi" w:cstheme="minorHAnsi"/>
        </w:rPr>
        <w:t xml:space="preserve">Cette offre pourra évoluer pendant </w:t>
      </w:r>
      <w:proofErr w:type="gramStart"/>
      <w:r>
        <w:rPr>
          <w:rFonts w:asciiTheme="minorHAnsi" w:hAnsiTheme="minorHAnsi" w:cstheme="minorHAnsi"/>
        </w:rPr>
        <w:t>le durée</w:t>
      </w:r>
      <w:proofErr w:type="gramEnd"/>
      <w:r>
        <w:rPr>
          <w:rFonts w:asciiTheme="minorHAnsi" w:hAnsiTheme="minorHAnsi" w:cstheme="minorHAnsi"/>
        </w:rPr>
        <w:t xml:space="preserve"> du marché. </w:t>
      </w:r>
    </w:p>
    <w:tbl>
      <w:tblPr>
        <w:tblW w:w="9760" w:type="dxa"/>
        <w:tblLayout w:type="fixed"/>
        <w:tblCellMar>
          <w:left w:w="70" w:type="dxa"/>
          <w:right w:w="70" w:type="dxa"/>
        </w:tblCellMar>
        <w:tblLook w:val="04A0" w:firstRow="1" w:lastRow="0" w:firstColumn="1" w:lastColumn="0" w:noHBand="0" w:noVBand="1"/>
      </w:tblPr>
      <w:tblGrid>
        <w:gridCol w:w="1420"/>
        <w:gridCol w:w="8340"/>
      </w:tblGrid>
      <w:tr w:rsidR="006E6D7A" w14:paraId="67157110" w14:textId="77777777">
        <w:trPr>
          <w:trHeight w:val="90"/>
          <w:tblHeader/>
        </w:trPr>
        <w:tc>
          <w:tcPr>
            <w:tcW w:w="1420" w:type="dxa"/>
            <w:tcBorders>
              <w:top w:val="single" w:color="00A3A6" w:sz="8" w:space="0"/>
              <w:left w:val="single" w:color="00A3A6" w:sz="8" w:space="0"/>
              <w:bottom w:val="single" w:color="00A3A6" w:sz="8" w:space="0"/>
              <w:right w:val="single" w:color="00A3A6" w:sz="8" w:space="0"/>
            </w:tcBorders>
            <w:shd w:val="clear" w:color="000000" w:fill="03A3A6"/>
            <w:vAlign w:val="center"/>
          </w:tcPr>
          <w:p w:rsidR="006E6D7A" w:rsidRDefault="00B16C64" w14:paraId="6715710E" w14:textId="77777777">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339" w:type="dxa"/>
            <w:tcBorders>
              <w:top w:val="single" w:color="00A3A6" w:sz="8" w:space="0"/>
              <w:bottom w:val="single" w:color="00A3A6" w:sz="8" w:space="0"/>
              <w:right w:val="single" w:color="00A3A6" w:sz="8" w:space="0"/>
            </w:tcBorders>
            <w:shd w:val="clear" w:color="000000" w:fill="03A3A6"/>
            <w:vAlign w:val="center"/>
          </w:tcPr>
          <w:p w:rsidR="006E6D7A" w:rsidRDefault="00B16C64" w14:paraId="6715710F" w14:textId="77777777">
            <w:pPr>
              <w:rPr>
                <w:rFonts w:ascii="Calibri" w:hAnsi="Calibri" w:cs="Calibri"/>
                <w:b/>
                <w:bCs/>
                <w:color w:val="FFFFFF"/>
              </w:rPr>
            </w:pPr>
            <w:r>
              <w:rPr>
                <w:rFonts w:cs="Calibri"/>
                <w:b/>
                <w:bCs/>
                <w:color w:val="FFFFFF"/>
              </w:rPr>
              <w:t>Exigence</w:t>
            </w:r>
          </w:p>
        </w:tc>
      </w:tr>
      <w:tr w:rsidR="006E6D7A" w14:paraId="67157113" w14:textId="77777777">
        <w:trPr>
          <w:trHeight w:val="229"/>
        </w:trPr>
        <w:tc>
          <w:tcPr>
            <w:tcW w:w="142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111" w14:textId="77777777">
            <w:pPr>
              <w:rPr>
                <w:color w:val="000000"/>
                <w:sz w:val="20"/>
                <w:szCs w:val="20"/>
              </w:rPr>
            </w:pPr>
            <w:r>
              <w:rPr>
                <w:color w:val="000000"/>
                <w:sz w:val="20"/>
                <w:szCs w:val="20"/>
              </w:rPr>
              <w:t> </w:t>
            </w:r>
            <w:r>
              <w:rPr>
                <w:sz w:val="16"/>
                <w:szCs w:val="16"/>
              </w:rPr>
              <w:t>Ex_PE_06</w:t>
            </w:r>
          </w:p>
        </w:tc>
        <w:tc>
          <w:tcPr>
            <w:tcW w:w="8339" w:type="dxa"/>
            <w:tcBorders>
              <w:bottom w:val="single" w:color="00A3A6" w:sz="8" w:space="0"/>
              <w:right w:val="single" w:color="00A3A6" w:sz="8" w:space="0"/>
            </w:tcBorders>
            <w:shd w:val="clear" w:color="auto" w:fill="auto"/>
            <w:vAlign w:val="center"/>
          </w:tcPr>
          <w:p w:rsidR="006E6D7A" w:rsidRDefault="00B16C64" w14:paraId="67157112" w14:textId="77777777">
            <w:pPr>
              <w:rPr>
                <w:rFonts w:ascii="Calibri" w:hAnsi="Calibri" w:cs="Calibri"/>
                <w:color w:val="000000"/>
              </w:rPr>
            </w:pPr>
            <w:r>
              <w:rPr>
                <w:rFonts w:cs="Calibri"/>
                <w:color w:val="000000"/>
              </w:rPr>
              <w:t>Le titulaire s’engage à fournir à ses intervenants la capacité d’utiliser les outillages collaboratifs compatibles et intégrés à ceux d‘INRAE</w:t>
            </w:r>
          </w:p>
        </w:tc>
      </w:tr>
    </w:tbl>
    <w:p w:rsidR="006E6D7A" w:rsidRDefault="006E6D7A" w14:paraId="67157114" w14:textId="77777777">
      <w:pPr>
        <w:pStyle w:val="Puce1"/>
        <w:numPr>
          <w:ilvl w:val="0"/>
          <w:numId w:val="0"/>
        </w:numPr>
        <w:ind w:left="714"/>
      </w:pPr>
    </w:p>
    <w:tbl>
      <w:tblPr>
        <w:tblpPr w:leftFromText="141" w:rightFromText="141" w:vertAnchor="text" w:horzAnchor="margin" w:tblpX="1" w:tblpY="13"/>
        <w:tblW w:w="9760" w:type="dxa"/>
        <w:tblLayout w:type="fixed"/>
        <w:tblCellMar>
          <w:left w:w="70" w:type="dxa"/>
          <w:right w:w="70" w:type="dxa"/>
        </w:tblCellMar>
        <w:tblLook w:val="04A0" w:firstRow="1" w:lastRow="0" w:firstColumn="1" w:lastColumn="0" w:noHBand="0" w:noVBand="1"/>
      </w:tblPr>
      <w:tblGrid>
        <w:gridCol w:w="1420"/>
        <w:gridCol w:w="8340"/>
      </w:tblGrid>
      <w:tr w:rsidR="006E6D7A" w14:paraId="67157117" w14:textId="77777777">
        <w:trPr>
          <w:trHeight w:val="542"/>
          <w:tblHeader/>
        </w:trPr>
        <w:tc>
          <w:tcPr>
            <w:tcW w:w="1420" w:type="dxa"/>
            <w:tcBorders>
              <w:top w:val="single" w:color="00A3A6" w:sz="8" w:space="0"/>
              <w:left w:val="single" w:color="00A3A6" w:sz="8" w:space="0"/>
              <w:bottom w:val="single" w:color="00A3A6" w:sz="8" w:space="0"/>
              <w:right w:val="single" w:color="00A3A6" w:sz="8" w:space="0"/>
            </w:tcBorders>
            <w:shd w:val="clear" w:color="000000" w:fill="03A3A6"/>
            <w:vAlign w:val="center"/>
          </w:tcPr>
          <w:p w:rsidR="006E6D7A" w:rsidRDefault="00B16C64" w14:paraId="67157115" w14:textId="77777777">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339" w:type="dxa"/>
            <w:tcBorders>
              <w:top w:val="single" w:color="00A3A6" w:sz="8" w:space="0"/>
              <w:bottom w:val="single" w:color="00A3A6" w:sz="8" w:space="0"/>
              <w:right w:val="single" w:color="00A3A6" w:sz="8" w:space="0"/>
            </w:tcBorders>
            <w:shd w:val="clear" w:color="000000" w:fill="03A3A6"/>
            <w:vAlign w:val="center"/>
          </w:tcPr>
          <w:p w:rsidR="006E6D7A" w:rsidRDefault="00B16C64" w14:paraId="67157116" w14:textId="77777777">
            <w:pPr>
              <w:rPr>
                <w:rFonts w:ascii="Calibri" w:hAnsi="Calibri" w:cs="Calibri"/>
                <w:b/>
                <w:bCs/>
                <w:color w:val="FFFFFF"/>
              </w:rPr>
            </w:pPr>
            <w:r>
              <w:rPr>
                <w:rFonts w:cs="Calibri"/>
                <w:b/>
                <w:bCs/>
                <w:color w:val="FFFFFF"/>
              </w:rPr>
              <w:t>Exigence</w:t>
            </w:r>
          </w:p>
        </w:tc>
      </w:tr>
      <w:tr w:rsidR="006E6D7A" w14:paraId="6715711A" w14:textId="77777777">
        <w:trPr>
          <w:trHeight w:val="229"/>
        </w:trPr>
        <w:tc>
          <w:tcPr>
            <w:tcW w:w="1420" w:type="dxa"/>
            <w:tcBorders>
              <w:top w:val="single" w:color="00A3A6" w:sz="8" w:space="0"/>
              <w:left w:val="single" w:color="00A3A6" w:sz="8" w:space="0"/>
              <w:bottom w:val="single" w:color="00A3A6" w:sz="8" w:space="0"/>
              <w:right w:val="single" w:color="00A3A6" w:sz="8" w:space="0"/>
            </w:tcBorders>
            <w:shd w:val="clear" w:color="auto" w:fill="auto"/>
            <w:vAlign w:val="center"/>
          </w:tcPr>
          <w:p w:rsidR="006E6D7A" w:rsidRDefault="00B16C64" w14:paraId="67157118" w14:textId="77777777">
            <w:pPr>
              <w:rPr>
                <w:color w:val="000000"/>
                <w:sz w:val="20"/>
                <w:szCs w:val="20"/>
              </w:rPr>
            </w:pPr>
            <w:r>
              <w:rPr>
                <w:color w:val="000000"/>
                <w:sz w:val="20"/>
                <w:szCs w:val="20"/>
              </w:rPr>
              <w:t> </w:t>
            </w:r>
            <w:r>
              <w:rPr>
                <w:sz w:val="16"/>
                <w:szCs w:val="16"/>
              </w:rPr>
              <w:t xml:space="preserve"> Ex_PE_07</w:t>
            </w:r>
          </w:p>
        </w:tc>
        <w:tc>
          <w:tcPr>
            <w:tcW w:w="8339" w:type="dxa"/>
            <w:tcBorders>
              <w:top w:val="single" w:color="00A3A6" w:sz="8" w:space="0"/>
              <w:bottom w:val="single" w:color="00A3A6" w:sz="8" w:space="0"/>
              <w:right w:val="single" w:color="00A3A6" w:sz="8" w:space="0"/>
            </w:tcBorders>
            <w:shd w:val="clear" w:color="auto" w:fill="auto"/>
            <w:vAlign w:val="center"/>
          </w:tcPr>
          <w:p w:rsidR="006E6D7A" w:rsidRDefault="00B16C64" w14:paraId="67157119" w14:textId="77777777">
            <w:pPr>
              <w:rPr>
                <w:rFonts w:ascii="Calibri" w:hAnsi="Calibri" w:cs="Calibri"/>
                <w:color w:val="000000"/>
              </w:rPr>
            </w:pPr>
            <w:r>
              <w:rPr>
                <w:rFonts w:cs="Calibri"/>
                <w:color w:val="000000"/>
              </w:rPr>
              <w:t xml:space="preserve">Le </w:t>
            </w:r>
            <w:proofErr w:type="gramStart"/>
            <w:r>
              <w:rPr>
                <w:rFonts w:cs="Calibri"/>
                <w:color w:val="000000"/>
              </w:rPr>
              <w:t>titulaire  s’engage</w:t>
            </w:r>
            <w:proofErr w:type="gramEnd"/>
            <w:r>
              <w:rPr>
                <w:rFonts w:cs="Calibri"/>
                <w:color w:val="000000"/>
              </w:rPr>
              <w:t xml:space="preserve"> à </w:t>
            </w:r>
            <w:r>
              <w:t>stocker dans l’outillage d’espaces documentaires mobilisé par INRAE  tout document produit dans le cadre des prestations du présent accord-cadre et à respecter les consignes et contraintes associées définies par INRAE.</w:t>
            </w:r>
          </w:p>
        </w:tc>
      </w:tr>
    </w:tbl>
    <w:p w:rsidR="006E6D7A" w:rsidRDefault="00B16C64" w14:paraId="6715711B" w14:textId="77777777">
      <w:pPr>
        <w:pStyle w:val="Titre4"/>
        <w:numPr>
          <w:ilvl w:val="4"/>
          <w:numId w:val="3"/>
        </w:numPr>
        <w:jc w:val="left"/>
      </w:pPr>
      <w:bookmarkStart w:name="Ariane" w:id="101"/>
      <w:r>
        <w:t xml:space="preserve">Gestion des </w:t>
      </w:r>
      <w:bookmarkEnd w:id="101"/>
      <w:r>
        <w:t>anomalies et des incidents</w:t>
      </w:r>
    </w:p>
    <w:p w:rsidR="006E6D7A" w:rsidRDefault="00B16C64" w14:paraId="6715711C" w14:textId="77777777">
      <w:r>
        <w:t xml:space="preserve">La traçabilité des échanges et des activités est en effet une composante essentielle de l’exploitation. La DSI d‘INRAE enregistre et suit toutes ses activités au travers de l’outil de gestion des demandes « Ariane » qui s’appuie sur la solution </w:t>
      </w:r>
      <w:proofErr w:type="spellStart"/>
      <w:r>
        <w:t>ServiceNow</w:t>
      </w:r>
      <w:proofErr w:type="spellEnd"/>
      <w:r>
        <w:t xml:space="preserve"> (à la date de rédaction du présent appel d’offres). </w:t>
      </w:r>
    </w:p>
    <w:p w:rsidR="006E6D7A" w:rsidRDefault="00B16C64" w14:paraId="6715711D" w14:textId="77777777">
      <w:r>
        <w:t>Le titulaire adopte l’utilisation de cet outil pour tous les processus dans lesquels il intervient à la demande de la DSI et respecte les consignes et contraintes associées définies par INRAE. Il respectera les mêmes engagements en cas de changement d’outil par INRAE.</w:t>
      </w:r>
    </w:p>
    <w:tbl>
      <w:tblPr>
        <w:tblpPr w:leftFromText="141" w:rightFromText="141" w:vertAnchor="text" w:horzAnchor="margin" w:tblpX="1" w:tblpY="-7"/>
        <w:tblW w:w="9760" w:type="dxa"/>
        <w:tblLayout w:type="fixed"/>
        <w:tblCellMar>
          <w:left w:w="70" w:type="dxa"/>
          <w:right w:w="70" w:type="dxa"/>
        </w:tblCellMar>
        <w:tblLook w:val="04A0" w:firstRow="1" w:lastRow="0" w:firstColumn="1" w:lastColumn="0" w:noHBand="0" w:noVBand="1"/>
      </w:tblPr>
      <w:tblGrid>
        <w:gridCol w:w="1420"/>
        <w:gridCol w:w="8340"/>
      </w:tblGrid>
      <w:tr w:rsidR="006E6D7A" w14:paraId="67157120" w14:textId="77777777">
        <w:trPr>
          <w:trHeight w:val="90"/>
          <w:tblHeader/>
        </w:trPr>
        <w:tc>
          <w:tcPr>
            <w:tcW w:w="1420" w:type="dxa"/>
            <w:tcBorders>
              <w:top w:val="single" w:color="00A3A6" w:sz="8" w:space="0"/>
              <w:left w:val="single" w:color="00A3A6" w:sz="8" w:space="0"/>
              <w:bottom w:val="single" w:color="00A3A6" w:sz="8" w:space="0"/>
              <w:right w:val="single" w:color="00A3A6" w:sz="8" w:space="0"/>
            </w:tcBorders>
            <w:shd w:val="clear" w:color="000000" w:fill="03A3A6"/>
            <w:vAlign w:val="center"/>
          </w:tcPr>
          <w:p w:rsidR="006E6D7A" w:rsidRDefault="00B16C64" w14:paraId="6715711E" w14:textId="77777777">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339" w:type="dxa"/>
            <w:tcBorders>
              <w:top w:val="single" w:color="00A3A6" w:sz="8" w:space="0"/>
              <w:bottom w:val="single" w:color="00A3A6" w:sz="8" w:space="0"/>
              <w:right w:val="single" w:color="00A3A6" w:sz="8" w:space="0"/>
            </w:tcBorders>
            <w:shd w:val="clear" w:color="000000" w:fill="03A3A6"/>
            <w:vAlign w:val="center"/>
          </w:tcPr>
          <w:p w:rsidR="006E6D7A" w:rsidRDefault="00B16C64" w14:paraId="6715711F" w14:textId="77777777">
            <w:pPr>
              <w:rPr>
                <w:rFonts w:ascii="Calibri" w:hAnsi="Calibri" w:cs="Calibri"/>
                <w:b/>
                <w:bCs/>
                <w:color w:val="FFFFFF"/>
              </w:rPr>
            </w:pPr>
            <w:r>
              <w:rPr>
                <w:rFonts w:cs="Calibri"/>
                <w:b/>
                <w:bCs/>
                <w:color w:val="FFFFFF"/>
              </w:rPr>
              <w:t>Exigence</w:t>
            </w:r>
          </w:p>
        </w:tc>
      </w:tr>
      <w:tr w:rsidR="006E6D7A" w14:paraId="67157123" w14:textId="77777777">
        <w:trPr>
          <w:trHeight w:val="229"/>
        </w:trPr>
        <w:tc>
          <w:tcPr>
            <w:tcW w:w="142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121" w14:textId="77777777">
            <w:pPr>
              <w:rPr>
                <w:color w:val="000000"/>
                <w:sz w:val="20"/>
                <w:szCs w:val="20"/>
              </w:rPr>
            </w:pPr>
            <w:r>
              <w:rPr>
                <w:color w:val="000000"/>
                <w:sz w:val="20"/>
                <w:szCs w:val="20"/>
              </w:rPr>
              <w:t> </w:t>
            </w:r>
            <w:r>
              <w:rPr>
                <w:sz w:val="16"/>
                <w:szCs w:val="16"/>
              </w:rPr>
              <w:t xml:space="preserve"> Ex_PE_08</w:t>
            </w:r>
          </w:p>
        </w:tc>
        <w:tc>
          <w:tcPr>
            <w:tcW w:w="8339" w:type="dxa"/>
            <w:tcBorders>
              <w:bottom w:val="single" w:color="00A3A6" w:sz="8" w:space="0"/>
              <w:right w:val="single" w:color="00A3A6" w:sz="8" w:space="0"/>
            </w:tcBorders>
            <w:shd w:val="clear" w:color="auto" w:fill="auto"/>
            <w:vAlign w:val="center"/>
          </w:tcPr>
          <w:p w:rsidR="006E6D7A" w:rsidRDefault="00B16C64" w14:paraId="67157122" w14:textId="77777777">
            <w:pPr>
              <w:rPr>
                <w:rFonts w:ascii="Calibri" w:hAnsi="Calibri" w:cs="Calibri"/>
                <w:color w:val="000000"/>
              </w:rPr>
            </w:pPr>
            <w:r>
              <w:rPr>
                <w:rFonts w:cs="Calibri"/>
                <w:color w:val="000000"/>
              </w:rPr>
              <w:t xml:space="preserve">Sauf mention contraire, le titulaire s’engage à </w:t>
            </w:r>
            <w:r>
              <w:t>utiliser la solution proposée par INRAE pour tous les processus couverts par la solution dans lesquels il intervient et à respecter les consignes et contraintes associées définies par INRAE.</w:t>
            </w:r>
          </w:p>
        </w:tc>
      </w:tr>
    </w:tbl>
    <w:p w:rsidR="006E6D7A" w:rsidRDefault="00B16C64" w14:paraId="67157124" w14:textId="77777777">
      <w:pPr>
        <w:pStyle w:val="Titre5"/>
        <w:numPr>
          <w:ilvl w:val="5"/>
          <w:numId w:val="3"/>
        </w:numPr>
      </w:pPr>
      <w:r>
        <w:t>Gestion des anomalies</w:t>
      </w:r>
    </w:p>
    <w:p w:rsidR="006E6D7A" w:rsidRDefault="00B16C64" w14:paraId="67157125" w14:textId="77777777">
      <w:r>
        <w:t>Pour le SI institutionnel, les anomalies sont catégorisées de la manière suivante :</w:t>
      </w:r>
    </w:p>
    <w:p w:rsidR="006E6D7A" w:rsidRDefault="00B16C64" w14:paraId="67157126" w14:textId="77777777">
      <w:pPr>
        <w:pStyle w:val="Puce1"/>
        <w:numPr>
          <w:ilvl w:val="0"/>
          <w:numId w:val="30"/>
        </w:numPr>
        <w:ind w:left="714" w:hanging="357"/>
        <w:rPr>
          <w:rFonts w:asciiTheme="minorHAnsi" w:hAnsiTheme="minorHAnsi" w:cstheme="minorHAnsi"/>
        </w:rPr>
      </w:pPr>
      <w:r>
        <w:rPr>
          <w:rFonts w:cstheme="minorHAnsi"/>
          <w:u w:val="single"/>
        </w:rPr>
        <w:t>Impact bloquant</w:t>
      </w:r>
      <w:r>
        <w:rPr>
          <w:rFonts w:cstheme="minorHAnsi"/>
        </w:rPr>
        <w:t xml:space="preserve"> : désigne toute anomalie qui provoque l'impossibilité d'utiliser au moins une fonction fondamentale de la solution.</w:t>
      </w:r>
    </w:p>
    <w:p w:rsidR="006E6D7A" w:rsidRDefault="00B16C64" w14:paraId="67157127" w14:textId="77777777">
      <w:pPr>
        <w:pStyle w:val="Puce1"/>
        <w:numPr>
          <w:ilvl w:val="0"/>
          <w:numId w:val="30"/>
        </w:numPr>
        <w:ind w:left="714" w:hanging="357"/>
        <w:rPr>
          <w:rFonts w:asciiTheme="minorHAnsi" w:hAnsiTheme="minorHAnsi" w:cstheme="minorHAnsi"/>
        </w:rPr>
      </w:pPr>
      <w:r>
        <w:rPr>
          <w:rFonts w:cstheme="minorHAnsi"/>
          <w:u w:val="single"/>
        </w:rPr>
        <w:t>Impact majeur</w:t>
      </w:r>
      <w:r>
        <w:rPr>
          <w:rFonts w:cstheme="minorHAnsi"/>
        </w:rPr>
        <w:t xml:space="preserve"> : désigne toute anomalie qui dégrade l'utilisation d'une fonction essentielle de la solution.</w:t>
      </w:r>
    </w:p>
    <w:p w:rsidR="006E6D7A" w:rsidRDefault="00B16C64" w14:paraId="67157128" w14:textId="77777777">
      <w:pPr>
        <w:pStyle w:val="Puce1"/>
        <w:numPr>
          <w:ilvl w:val="0"/>
          <w:numId w:val="30"/>
        </w:numPr>
        <w:ind w:left="714" w:hanging="357"/>
        <w:rPr>
          <w:rFonts w:asciiTheme="minorHAnsi" w:hAnsiTheme="minorHAnsi" w:cstheme="minorHAnsi"/>
        </w:rPr>
      </w:pPr>
      <w:r>
        <w:rPr>
          <w:rFonts w:cstheme="minorHAnsi"/>
          <w:u w:val="single"/>
        </w:rPr>
        <w:t>Impact mineur</w:t>
      </w:r>
      <w:r>
        <w:rPr>
          <w:rFonts w:cstheme="minorHAnsi"/>
        </w:rPr>
        <w:t xml:space="preserve"> : désigne toute autre anomalie que les anomalies bloquantes ou majeures de la solution.</w:t>
      </w:r>
    </w:p>
    <w:p w:rsidR="006E6D7A" w:rsidRDefault="00B16C64" w14:paraId="67157129" w14:textId="77777777">
      <w:pPr>
        <w:pStyle w:val="Puce1"/>
        <w:numPr>
          <w:ilvl w:val="0"/>
          <w:numId w:val="30"/>
        </w:numPr>
        <w:ind w:left="714" w:hanging="357"/>
        <w:rPr>
          <w:rFonts w:asciiTheme="minorHAnsi" w:hAnsiTheme="minorHAnsi" w:cstheme="minorHAnsi"/>
          <w:b/>
          <w:bCs/>
        </w:rPr>
      </w:pPr>
      <w:r>
        <w:t xml:space="preserve">Dans un contexte de projet agile, les anomalies détectées sur les stories livrées seront considérées comme des défauts. Elles feront donc partie du </w:t>
      </w:r>
      <w:proofErr w:type="spellStart"/>
      <w:r>
        <w:t>backlog</w:t>
      </w:r>
      <w:proofErr w:type="spellEnd"/>
      <w:r>
        <w:t xml:space="preserve"> et seront priorisées au regard des autres éléments du </w:t>
      </w:r>
      <w:proofErr w:type="spellStart"/>
      <w:r>
        <w:t>backlog</w:t>
      </w:r>
      <w:proofErr w:type="spellEnd"/>
      <w:r>
        <w:t xml:space="preserve"> pour être prises en charge dans la planification des sprints suivants. En pratique, </w:t>
      </w:r>
      <w:r>
        <w:rPr>
          <w:b/>
        </w:rPr>
        <w:lastRenderedPageBreak/>
        <w:t>seules les anomalies bloquantes peuvent être intégrées en cours d’un sprint (décision revenant aux PO de produits).</w:t>
      </w:r>
    </w:p>
    <w:p w:rsidR="006E6D7A" w:rsidRDefault="00B16C64" w14:paraId="6715712A" w14:textId="77777777">
      <w:pPr>
        <w:rPr>
          <w:bCs/>
        </w:rPr>
      </w:pPr>
      <w:r>
        <w:rPr>
          <w:bCs/>
        </w:rPr>
        <w:t>Dans un contexte de projet mixte agile / cycle en V ou cycle en V, le processus de gestion des anomalies est à définir dans le PAQ.</w:t>
      </w:r>
    </w:p>
    <w:p w:rsidR="006E6D7A" w:rsidRDefault="00B16C64" w14:paraId="6715712B" w14:textId="77777777">
      <w:pPr>
        <w:pStyle w:val="Titre5"/>
        <w:numPr>
          <w:ilvl w:val="5"/>
          <w:numId w:val="41"/>
        </w:numPr>
      </w:pPr>
      <w:r>
        <w:t>Gestion des incidents</w:t>
      </w:r>
    </w:p>
    <w:p w:rsidR="006E6D7A" w:rsidRDefault="00B16C64" w14:paraId="6715712C" w14:textId="77777777">
      <w:r>
        <w:t>Pour la résolution des incidents sur le SI institutionnel en conformité avec les niveaux de services contractualisés, les intervenants du titulaire réalisent les actions relevant de leur périmètre tel que défini préalablement dans le PAQ.</w:t>
      </w:r>
    </w:p>
    <w:p w:rsidR="006E6D7A" w:rsidRDefault="00B16C64" w14:paraId="6715712D" w14:textId="77777777">
      <w:pPr>
        <w:pStyle w:val="Titre4"/>
        <w:numPr>
          <w:ilvl w:val="4"/>
          <w:numId w:val="3"/>
        </w:numPr>
      </w:pPr>
      <w:r>
        <w:t xml:space="preserve">Activités orientées </w:t>
      </w:r>
      <w:proofErr w:type="spellStart"/>
      <w:r>
        <w:t>DevSecOps</w:t>
      </w:r>
      <w:proofErr w:type="spellEnd"/>
    </w:p>
    <w:p w:rsidR="006E6D7A" w:rsidRDefault="00B16C64" w14:paraId="6715712E" w14:textId="77777777">
      <w:r>
        <w:t>Dans le cadre de la</w:t>
      </w:r>
      <w:r>
        <w:rPr>
          <w:rFonts w:cs="Calibri"/>
          <w:color w:val="000000"/>
        </w:rPr>
        <w:t xml:space="preserve"> démarche d’amélioration de l’efficacité opérationnelle au travers d’une approche « </w:t>
      </w:r>
      <w:proofErr w:type="spellStart"/>
      <w:r>
        <w:rPr>
          <w:rFonts w:cs="Calibri"/>
          <w:color w:val="000000"/>
        </w:rPr>
        <w:t>DevSecOps</w:t>
      </w:r>
      <w:proofErr w:type="spellEnd"/>
      <w:r>
        <w:rPr>
          <w:rFonts w:cs="Calibri"/>
          <w:color w:val="000000"/>
        </w:rPr>
        <w:t xml:space="preserve"> »</w:t>
      </w:r>
      <w:r>
        <w:t>, le titulaire peut être, à titre d’exemple, mobilisé pour des échanges avec les pôles de la DSI pour :</w:t>
      </w:r>
    </w:p>
    <w:p w:rsidR="006E6D7A" w:rsidRDefault="00B16C64" w14:paraId="6715712F" w14:textId="77777777">
      <w:pPr>
        <w:pStyle w:val="Puce1"/>
        <w:numPr>
          <w:ilvl w:val="0"/>
          <w:numId w:val="30"/>
        </w:numPr>
        <w:ind w:left="714" w:hanging="357"/>
        <w:rPr>
          <w:rFonts w:asciiTheme="minorHAnsi" w:hAnsiTheme="minorHAnsi" w:cstheme="minorHAnsi"/>
        </w:rPr>
      </w:pPr>
      <w:r>
        <w:rPr>
          <w:rFonts w:cstheme="minorHAnsi"/>
        </w:rPr>
        <w:t>Maîtriser et intégrer dans le cadre de ses travaux les architectures logicielles et des infrastructures</w:t>
      </w:r>
    </w:p>
    <w:p w:rsidR="006E6D7A" w:rsidRDefault="00B16C64" w14:paraId="67157130" w14:textId="77777777">
      <w:pPr>
        <w:pStyle w:val="Puce1"/>
        <w:numPr>
          <w:ilvl w:val="0"/>
          <w:numId w:val="30"/>
        </w:numPr>
        <w:ind w:left="714" w:hanging="357"/>
        <w:rPr>
          <w:rFonts w:asciiTheme="minorHAnsi" w:hAnsiTheme="minorHAnsi" w:cstheme="minorHAnsi"/>
        </w:rPr>
      </w:pPr>
      <w:r>
        <w:rPr>
          <w:rFonts w:cstheme="minorHAnsi"/>
        </w:rPr>
        <w:t>Connaître les conditions techniques de mise en production et d’exploitation</w:t>
      </w:r>
    </w:p>
    <w:p w:rsidR="006E6D7A" w:rsidRDefault="00B16C64" w14:paraId="67157131" w14:textId="77777777">
      <w:pPr>
        <w:pStyle w:val="Puce1"/>
        <w:numPr>
          <w:ilvl w:val="0"/>
          <w:numId w:val="30"/>
        </w:numPr>
        <w:ind w:left="714" w:hanging="357"/>
        <w:rPr>
          <w:rFonts w:asciiTheme="minorHAnsi" w:hAnsiTheme="minorHAnsi" w:cstheme="minorHAnsi"/>
        </w:rPr>
      </w:pPr>
      <w:r>
        <w:rPr>
          <w:rFonts w:cstheme="minorHAnsi"/>
        </w:rPr>
        <w:t>Contribuer à produire les livrables d’exploitation</w:t>
      </w:r>
    </w:p>
    <w:p w:rsidR="006E6D7A" w:rsidRDefault="00B16C64" w14:paraId="67157132" w14:textId="77777777">
      <w:pPr>
        <w:pStyle w:val="Puce1"/>
        <w:numPr>
          <w:ilvl w:val="0"/>
          <w:numId w:val="30"/>
        </w:numPr>
        <w:ind w:left="714" w:hanging="357"/>
        <w:rPr>
          <w:rFonts w:asciiTheme="minorHAnsi" w:hAnsiTheme="minorHAnsi" w:cstheme="minorHAnsi"/>
        </w:rPr>
      </w:pPr>
      <w:r>
        <w:rPr>
          <w:rFonts w:cstheme="minorHAnsi"/>
        </w:rPr>
        <w:t>Apporter pendant toute l’exécution de l’accord-cadre son expertise à INRAE au titre de son devoir de conseil et de veille</w:t>
      </w:r>
    </w:p>
    <w:tbl>
      <w:tblPr>
        <w:tblpPr w:leftFromText="141" w:rightFromText="141" w:vertAnchor="text" w:horzAnchor="margin" w:tblpX="1" w:tblpY="50"/>
        <w:tblW w:w="9760" w:type="dxa"/>
        <w:tblLayout w:type="fixed"/>
        <w:tblCellMar>
          <w:left w:w="70" w:type="dxa"/>
          <w:right w:w="70" w:type="dxa"/>
        </w:tblCellMar>
        <w:tblLook w:val="04A0" w:firstRow="1" w:lastRow="0" w:firstColumn="1" w:lastColumn="0" w:noHBand="0" w:noVBand="1"/>
      </w:tblPr>
      <w:tblGrid>
        <w:gridCol w:w="981"/>
        <w:gridCol w:w="8779"/>
      </w:tblGrid>
      <w:tr w:rsidR="006E6D7A" w14:paraId="67157135" w14:textId="77777777">
        <w:trPr>
          <w:trHeight w:val="90"/>
          <w:tblHeader/>
        </w:trPr>
        <w:tc>
          <w:tcPr>
            <w:tcW w:w="981" w:type="dxa"/>
            <w:tcBorders>
              <w:top w:val="single" w:color="00A3A6" w:sz="8" w:space="0"/>
              <w:left w:val="single" w:color="00A3A6" w:sz="8" w:space="0"/>
              <w:bottom w:val="single" w:color="00A3A6" w:sz="8" w:space="0"/>
              <w:right w:val="single" w:color="00A3A6" w:sz="8" w:space="0"/>
            </w:tcBorders>
            <w:shd w:val="clear" w:color="000000" w:fill="03A3A6"/>
            <w:vAlign w:val="center"/>
          </w:tcPr>
          <w:p w:rsidR="006E6D7A" w:rsidRDefault="00B16C64" w14:paraId="67157133" w14:textId="77777777">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778" w:type="dxa"/>
            <w:tcBorders>
              <w:top w:val="single" w:color="00A3A6" w:sz="8" w:space="0"/>
              <w:bottom w:val="single" w:color="00A3A6" w:sz="8" w:space="0"/>
              <w:right w:val="single" w:color="00A3A6" w:sz="8" w:space="0"/>
            </w:tcBorders>
            <w:shd w:val="clear" w:color="000000" w:fill="03A3A6"/>
            <w:vAlign w:val="center"/>
          </w:tcPr>
          <w:p w:rsidR="006E6D7A" w:rsidRDefault="00B16C64" w14:paraId="67157134" w14:textId="77777777">
            <w:pPr>
              <w:rPr>
                <w:rFonts w:ascii="Calibri" w:hAnsi="Calibri" w:cs="Calibri"/>
                <w:b/>
                <w:bCs/>
                <w:color w:val="FFFFFF"/>
              </w:rPr>
            </w:pPr>
            <w:r>
              <w:rPr>
                <w:rFonts w:cs="Calibri"/>
                <w:b/>
                <w:bCs/>
                <w:color w:val="FFFFFF"/>
              </w:rPr>
              <w:t>Exigence</w:t>
            </w:r>
          </w:p>
        </w:tc>
      </w:tr>
      <w:tr w:rsidR="006E6D7A" w14:paraId="67157138" w14:textId="77777777">
        <w:trPr>
          <w:trHeight w:val="229"/>
        </w:trPr>
        <w:tc>
          <w:tcPr>
            <w:tcW w:w="981" w:type="dxa"/>
            <w:tcBorders>
              <w:left w:val="single" w:color="00A3A6" w:sz="8" w:space="0"/>
              <w:bottom w:val="single" w:color="00A3A6" w:sz="8" w:space="0"/>
              <w:right w:val="single" w:color="00A3A6" w:sz="8" w:space="0"/>
            </w:tcBorders>
            <w:shd w:val="clear" w:color="auto" w:fill="auto"/>
            <w:vAlign w:val="center"/>
          </w:tcPr>
          <w:p w:rsidR="006E6D7A" w:rsidRDefault="00B16C64" w14:paraId="67157136" w14:textId="77777777">
            <w:pPr>
              <w:rPr>
                <w:color w:val="000000"/>
                <w:sz w:val="20"/>
                <w:szCs w:val="20"/>
              </w:rPr>
            </w:pPr>
            <w:r>
              <w:rPr>
                <w:sz w:val="16"/>
                <w:szCs w:val="16"/>
              </w:rPr>
              <w:t>Ex_PE_09</w:t>
            </w:r>
          </w:p>
        </w:tc>
        <w:tc>
          <w:tcPr>
            <w:tcW w:w="8778" w:type="dxa"/>
            <w:tcBorders>
              <w:bottom w:val="single" w:color="00A3A6" w:sz="8" w:space="0"/>
              <w:right w:val="single" w:color="00A3A6" w:sz="8" w:space="0"/>
            </w:tcBorders>
            <w:shd w:val="clear" w:color="auto" w:fill="auto"/>
            <w:vAlign w:val="center"/>
          </w:tcPr>
          <w:p w:rsidR="006E6D7A" w:rsidRDefault="00B16C64" w14:paraId="67157137" w14:textId="77777777">
            <w:pPr>
              <w:rPr>
                <w:rFonts w:ascii="Calibri" w:hAnsi="Calibri" w:cs="Calibri"/>
                <w:color w:val="000000"/>
              </w:rPr>
            </w:pPr>
            <w:r>
              <w:rPr>
                <w:rFonts w:cs="Calibri"/>
                <w:color w:val="000000"/>
              </w:rPr>
              <w:t xml:space="preserve">Le titulaire s’engage dans l’amélioration de l’efficacité opérationnelle au travers d'une approche </w:t>
            </w:r>
            <w:proofErr w:type="spellStart"/>
            <w:r>
              <w:rPr>
                <w:rFonts w:cs="Calibri"/>
                <w:color w:val="000000"/>
              </w:rPr>
              <w:t>DevSecOps</w:t>
            </w:r>
            <w:proofErr w:type="spellEnd"/>
            <w:r>
              <w:rPr>
                <w:rFonts w:cs="Calibri"/>
                <w:color w:val="000000"/>
              </w:rPr>
              <w:t xml:space="preserve"> et doit donc inscrire ses actions dans la démarche d’INRAE et contribuer pleinement à l’atteinte de ses objectifs.</w:t>
            </w:r>
          </w:p>
        </w:tc>
      </w:tr>
    </w:tbl>
    <w:p w:rsidR="006E6D7A" w:rsidRDefault="00B16C64" w14:paraId="67157139" w14:textId="77777777">
      <w:pPr>
        <w:pStyle w:val="Titre3"/>
        <w:numPr>
          <w:ilvl w:val="3"/>
          <w:numId w:val="3"/>
        </w:numPr>
        <w:rPr>
          <w:szCs w:val="24"/>
        </w:rPr>
      </w:pPr>
      <w:bookmarkStart w:name="_Toc221095527" w:id="102"/>
      <w:r>
        <w:t>Exigences règlementaire de confidentialité et sécurisation des données applicables au titulaire et ses sous-traitants</w:t>
      </w:r>
      <w:bookmarkEnd w:id="102"/>
    </w:p>
    <w:tbl>
      <w:tblPr>
        <w:tblpPr w:leftFromText="141" w:rightFromText="141" w:vertAnchor="text" w:horzAnchor="margin" w:tblpX="1" w:tblpY="13"/>
        <w:tblW w:w="9760" w:type="dxa"/>
        <w:tblLayout w:type="fixed"/>
        <w:tblCellMar>
          <w:left w:w="70" w:type="dxa"/>
          <w:right w:w="70" w:type="dxa"/>
        </w:tblCellMar>
        <w:tblLook w:val="04A0" w:firstRow="1" w:lastRow="0" w:firstColumn="1" w:lastColumn="0" w:noHBand="0" w:noVBand="1"/>
      </w:tblPr>
      <w:tblGrid>
        <w:gridCol w:w="981"/>
        <w:gridCol w:w="8779"/>
      </w:tblGrid>
      <w:tr w:rsidR="006E6D7A" w14:paraId="6715713C" w14:textId="77777777">
        <w:trPr>
          <w:trHeight w:val="90"/>
          <w:tblHeader/>
        </w:trPr>
        <w:tc>
          <w:tcPr>
            <w:tcW w:w="981" w:type="dxa"/>
            <w:tcBorders>
              <w:top w:val="single" w:color="00A3A6" w:sz="8" w:space="0"/>
              <w:left w:val="single" w:color="00A3A6" w:sz="8" w:space="0"/>
              <w:bottom w:val="single" w:color="00A3A6" w:sz="8" w:space="0"/>
              <w:right w:val="single" w:color="00A3A6" w:sz="8" w:space="0"/>
            </w:tcBorders>
            <w:shd w:val="clear" w:color="000000" w:fill="03A3A6"/>
            <w:vAlign w:val="center"/>
          </w:tcPr>
          <w:p w:rsidR="006E6D7A" w:rsidRDefault="00B16C64" w14:paraId="6715713A" w14:textId="77777777">
            <w:pPr>
              <w:rPr>
                <w:rFonts w:ascii="Calibri" w:hAnsi="Calibri" w:cs="Calibri"/>
                <w:b/>
                <w:bCs/>
                <w:color w:val="FFFFFF"/>
              </w:rPr>
            </w:pPr>
            <w:proofErr w:type="spellStart"/>
            <w:r>
              <w:rPr>
                <w:rFonts w:cs="Calibri"/>
                <w:b/>
                <w:bCs/>
                <w:color w:val="FFFFFF"/>
              </w:rPr>
              <w:t>Ref</w:t>
            </w:r>
            <w:proofErr w:type="spellEnd"/>
            <w:r>
              <w:rPr>
                <w:rFonts w:cs="Calibri"/>
                <w:b/>
                <w:bCs/>
                <w:color w:val="FFFFFF"/>
              </w:rPr>
              <w:t>.</w:t>
            </w:r>
          </w:p>
        </w:tc>
        <w:tc>
          <w:tcPr>
            <w:tcW w:w="8778" w:type="dxa"/>
            <w:tcBorders>
              <w:top w:val="single" w:color="00A3A6" w:sz="8" w:space="0"/>
              <w:bottom w:val="single" w:color="00A3A6" w:sz="8" w:space="0"/>
              <w:right w:val="single" w:color="00A3A6" w:sz="8" w:space="0"/>
            </w:tcBorders>
            <w:shd w:val="clear" w:color="000000" w:fill="03A3A6"/>
            <w:vAlign w:val="center"/>
          </w:tcPr>
          <w:p w:rsidR="006E6D7A" w:rsidRDefault="00B16C64" w14:paraId="6715713B" w14:textId="77777777">
            <w:pPr>
              <w:rPr>
                <w:rFonts w:ascii="Calibri" w:hAnsi="Calibri" w:cs="Calibri"/>
                <w:b/>
                <w:bCs/>
                <w:color w:val="FFFFFF"/>
              </w:rPr>
            </w:pPr>
            <w:r>
              <w:rPr>
                <w:rFonts w:cs="Calibri"/>
                <w:b/>
                <w:bCs/>
                <w:color w:val="FFFFFF"/>
              </w:rPr>
              <w:t>Exigence</w:t>
            </w:r>
          </w:p>
        </w:tc>
      </w:tr>
      <w:tr w:rsidR="006E6D7A" w14:paraId="6715713F" w14:textId="77777777">
        <w:trPr>
          <w:trHeight w:val="229"/>
        </w:trPr>
        <w:tc>
          <w:tcPr>
            <w:tcW w:w="981" w:type="dxa"/>
            <w:tcBorders>
              <w:top w:val="single" w:color="00A3A6" w:sz="8" w:space="0"/>
              <w:left w:val="single" w:color="00A3A6" w:sz="8" w:space="0"/>
              <w:bottom w:val="single" w:color="00A3A6" w:sz="8" w:space="0"/>
              <w:right w:val="single" w:color="00A3A6" w:sz="8" w:space="0"/>
            </w:tcBorders>
            <w:shd w:val="clear" w:color="auto" w:fill="auto"/>
            <w:vAlign w:val="center"/>
          </w:tcPr>
          <w:p w:rsidR="006E6D7A" w:rsidRDefault="00B16C64" w14:paraId="6715713D" w14:textId="77777777">
            <w:pPr>
              <w:rPr>
                <w:color w:val="000000"/>
                <w:sz w:val="20"/>
                <w:szCs w:val="20"/>
              </w:rPr>
            </w:pPr>
            <w:r>
              <w:rPr>
                <w:sz w:val="16"/>
                <w:szCs w:val="16"/>
              </w:rPr>
              <w:t>Ex_PE_10</w:t>
            </w:r>
          </w:p>
        </w:tc>
        <w:tc>
          <w:tcPr>
            <w:tcW w:w="8778" w:type="dxa"/>
            <w:tcBorders>
              <w:top w:val="single" w:color="00A3A6" w:sz="8" w:space="0"/>
              <w:bottom w:val="single" w:color="00A3A6" w:sz="8" w:space="0"/>
              <w:right w:val="single" w:color="00A3A6" w:sz="8" w:space="0"/>
            </w:tcBorders>
            <w:shd w:val="clear" w:color="auto" w:fill="auto"/>
            <w:vAlign w:val="center"/>
          </w:tcPr>
          <w:p w:rsidR="006E6D7A" w:rsidRDefault="00B16C64" w14:paraId="6715713E" w14:textId="77777777">
            <w:pPr>
              <w:rPr>
                <w:rFonts w:ascii="Calibri" w:hAnsi="Calibri" w:cs="Calibri"/>
                <w:color w:val="000000"/>
              </w:rPr>
            </w:pPr>
            <w:r>
              <w:rPr>
                <w:rFonts w:cs="Calibri"/>
                <w:color w:val="000000"/>
              </w:rPr>
              <w:t>L’offre du titulaire respecte les obligations posées par le CCAP.</w:t>
            </w:r>
          </w:p>
        </w:tc>
      </w:tr>
      <w:tr w:rsidR="006E6D7A" w14:paraId="67157142" w14:textId="77777777">
        <w:trPr>
          <w:trHeight w:val="229"/>
        </w:trPr>
        <w:tc>
          <w:tcPr>
            <w:tcW w:w="981" w:type="dxa"/>
            <w:tcBorders>
              <w:top w:val="single" w:color="00A3A6" w:sz="8" w:space="0"/>
              <w:left w:val="single" w:color="00A3A6" w:sz="8" w:space="0"/>
              <w:bottom w:val="single" w:color="00A3A6" w:sz="8" w:space="0"/>
              <w:right w:val="single" w:color="00A3A6" w:sz="8" w:space="0"/>
            </w:tcBorders>
            <w:shd w:val="clear" w:color="auto" w:fill="auto"/>
            <w:vAlign w:val="center"/>
          </w:tcPr>
          <w:p w:rsidR="006E6D7A" w:rsidRDefault="00B16C64" w14:paraId="67157140" w14:textId="77777777">
            <w:pPr>
              <w:rPr>
                <w:color w:val="000000"/>
                <w:sz w:val="20"/>
                <w:szCs w:val="20"/>
              </w:rPr>
            </w:pPr>
            <w:r>
              <w:rPr>
                <w:sz w:val="16"/>
                <w:szCs w:val="16"/>
              </w:rPr>
              <w:t>Ex_PE_11</w:t>
            </w:r>
          </w:p>
        </w:tc>
        <w:tc>
          <w:tcPr>
            <w:tcW w:w="8778" w:type="dxa"/>
            <w:tcBorders>
              <w:top w:val="single" w:color="00A3A6" w:sz="8" w:space="0"/>
              <w:bottom w:val="single" w:color="00A3A6" w:sz="8" w:space="0"/>
              <w:right w:val="single" w:color="00A3A6" w:sz="8" w:space="0"/>
            </w:tcBorders>
            <w:shd w:val="clear" w:color="auto" w:fill="auto"/>
            <w:vAlign w:val="center"/>
          </w:tcPr>
          <w:p w:rsidR="006E6D7A" w:rsidRDefault="00B16C64" w14:paraId="67157141" w14:textId="77777777">
            <w:pPr>
              <w:rPr>
                <w:rFonts w:ascii="Calibri" w:hAnsi="Calibri" w:cs="Calibri"/>
                <w:color w:val="000000"/>
              </w:rPr>
            </w:pPr>
            <w:r>
              <w:rPr>
                <w:rFonts w:cs="Calibri"/>
                <w:color w:val="000000"/>
              </w:rPr>
              <w:t>La gestion des données doit répondre aux exigences posées par le règlement européen sur les données personnelles, l'ANSSI et la DINUM.</w:t>
            </w:r>
          </w:p>
        </w:tc>
      </w:tr>
      <w:tr w:rsidR="006E6D7A" w14:paraId="67157145" w14:textId="77777777">
        <w:trPr>
          <w:trHeight w:val="229"/>
        </w:trPr>
        <w:tc>
          <w:tcPr>
            <w:tcW w:w="981" w:type="dxa"/>
            <w:tcBorders>
              <w:top w:val="single" w:color="00A3A6" w:sz="8" w:space="0"/>
              <w:left w:val="single" w:color="00A3A6" w:sz="8" w:space="0"/>
              <w:bottom w:val="single" w:color="00A3A6" w:sz="8" w:space="0"/>
              <w:right w:val="single" w:color="00A3A6" w:sz="8" w:space="0"/>
            </w:tcBorders>
            <w:shd w:val="clear" w:color="auto" w:fill="auto"/>
            <w:vAlign w:val="center"/>
          </w:tcPr>
          <w:p w:rsidR="006E6D7A" w:rsidRDefault="00B16C64" w14:paraId="67157143" w14:textId="77777777">
            <w:pPr>
              <w:rPr>
                <w:color w:val="000000"/>
                <w:sz w:val="20"/>
                <w:szCs w:val="20"/>
              </w:rPr>
            </w:pPr>
            <w:r>
              <w:rPr>
                <w:sz w:val="16"/>
                <w:szCs w:val="16"/>
              </w:rPr>
              <w:t>Ex_PE_12</w:t>
            </w:r>
          </w:p>
        </w:tc>
        <w:tc>
          <w:tcPr>
            <w:tcW w:w="8778" w:type="dxa"/>
            <w:tcBorders>
              <w:top w:val="single" w:color="00A3A6" w:sz="8" w:space="0"/>
              <w:bottom w:val="single" w:color="00A3A6" w:sz="8" w:space="0"/>
              <w:right w:val="single" w:color="00A3A6" w:sz="8" w:space="0"/>
            </w:tcBorders>
            <w:shd w:val="clear" w:color="auto" w:fill="auto"/>
            <w:vAlign w:val="center"/>
          </w:tcPr>
          <w:p w:rsidR="006E6D7A" w:rsidRDefault="00B16C64" w14:paraId="67157144" w14:textId="77777777">
            <w:pPr>
              <w:rPr>
                <w:rFonts w:ascii="Calibri" w:hAnsi="Calibri" w:cs="Calibri"/>
                <w:color w:val="000000"/>
              </w:rPr>
            </w:pPr>
            <w:r>
              <w:rPr>
                <w:rFonts w:cs="Calibri"/>
                <w:color w:val="000000"/>
              </w:rPr>
              <w:t>La prestation doit être conforme aux référentiels ainsi qu'au règlement et doit évoluer conformément à leurs éventuelles révisions.</w:t>
            </w:r>
          </w:p>
        </w:tc>
      </w:tr>
    </w:tbl>
    <w:p w:rsidR="006E6D7A" w:rsidRDefault="00B16C64" w14:paraId="67157146" w14:textId="77777777">
      <w:pPr>
        <w:pStyle w:val="Titre4"/>
        <w:numPr>
          <w:ilvl w:val="4"/>
          <w:numId w:val="3"/>
        </w:numPr>
      </w:pPr>
      <w:r>
        <w:t>Conformité au RGI</w:t>
      </w:r>
    </w:p>
    <w:p w:rsidR="006E6D7A" w:rsidRDefault="00B16C64" w14:paraId="67157147" w14:textId="77777777">
      <w:r>
        <w:rPr>
          <w:b/>
          <w:color w:val="33CCCC"/>
        </w:rPr>
        <w:t xml:space="preserve"> </w:t>
      </w:r>
      <w:r>
        <w:t xml:space="preserve">Le référentiel général d'interopérabilité fixe les règles techniques permettant d’assurer l’interopérabilité des systèmes d’information. Il détermine notamment les répertoires de données, les normes et les standards qui doivent être utilisés par les autorités administratives. </w:t>
      </w:r>
    </w:p>
    <w:p w:rsidR="006E6D7A" w:rsidRDefault="006E6D7A" w14:paraId="67157148" w14:textId="77777777"/>
    <w:p w:rsidR="006E6D7A" w:rsidRDefault="00B16C64" w14:paraId="67157149" w14:textId="77777777">
      <w:r>
        <w:t>La dernière version du RGI figure dans l'arrêté en date du 20 avril 2016. (JORF n°0095 du 22 avril 2016 texte n° 1)</w:t>
      </w:r>
    </w:p>
    <w:p w:rsidR="006E6D7A" w:rsidRDefault="006E6D7A" w14:paraId="6715714A" w14:textId="77777777"/>
    <w:p w:rsidR="006E6D7A" w:rsidRDefault="00B16C64" w14:paraId="6715714B" w14:textId="77777777">
      <w:r>
        <w:t>Informations concernant le RGI :</w:t>
      </w:r>
    </w:p>
    <w:p w:rsidR="006E6D7A" w:rsidRDefault="00000000" w14:paraId="6715714C" w14:textId="77777777">
      <w:hyperlink w:tooltip="http://references.modernisation.gouv.fr/interoperabilite" w:history="1" r:id="rId95">
        <w:r w:rsidR="00B16C64">
          <w:rPr>
            <w:rStyle w:val="Lienhypertexte"/>
          </w:rPr>
          <w:t>http://references.modernisation.gouv.fr/interoperabilite</w:t>
        </w:r>
      </w:hyperlink>
    </w:p>
    <w:p w:rsidR="006E6D7A" w:rsidRDefault="00B16C64" w14:paraId="6715714D" w14:textId="77777777">
      <w:pPr>
        <w:pStyle w:val="Titre4"/>
        <w:numPr>
          <w:ilvl w:val="4"/>
          <w:numId w:val="3"/>
        </w:numPr>
      </w:pPr>
      <w:r>
        <w:lastRenderedPageBreak/>
        <w:t xml:space="preserve">Conformité au RGAA </w:t>
      </w:r>
    </w:p>
    <w:p w:rsidR="006E6D7A" w:rsidRDefault="00B16C64" w14:paraId="6715714E" w14:textId="77777777">
      <w:r>
        <w:t xml:space="preserve">L’article 47 de la loi n° 2005-102 du 11 février 2005 (mis à jour en juillet 2018) pour l’égalité des droits et des chances, la participation et la citoyenneté des personnes handicapées fait de l’accessibilité une exigence pour tous les services de communication publique en ligne de l’État, les collectivités territoriales et les établissements publics qui en dépendent. Il stipule que les informations diffusées par ces services doivent être accessibles à tous. </w:t>
      </w:r>
    </w:p>
    <w:p w:rsidR="006E6D7A" w:rsidRDefault="00B16C64" w14:paraId="6715714F" w14:textId="77777777">
      <w:r>
        <w:t xml:space="preserve">Le RGAA, à forte dimension technique, propose une traduction opérationnelle des critères d’accessibilité issus des règles internationales ainsi qu’une méthodologie pour vérifier la conformité à ces critères. </w:t>
      </w:r>
    </w:p>
    <w:p w:rsidR="006E6D7A" w:rsidRDefault="006E6D7A" w14:paraId="67157150" w14:textId="77777777"/>
    <w:p w:rsidR="006E6D7A" w:rsidRDefault="00B16C64" w14:paraId="67157151" w14:textId="77777777">
      <w:r>
        <w:t xml:space="preserve">La version 4.1.2 du RGAA a été mis à jour le 18 avril 2023. </w:t>
      </w:r>
    </w:p>
    <w:p w:rsidR="006E6D7A" w:rsidRDefault="006E6D7A" w14:paraId="67157152" w14:textId="77777777"/>
    <w:p w:rsidR="006E6D7A" w:rsidRDefault="00B16C64" w14:paraId="67157153" w14:textId="77777777">
      <w:r>
        <w:t xml:space="preserve">Informations concernant le RGAA : </w:t>
      </w:r>
    </w:p>
    <w:p w:rsidR="006E6D7A" w:rsidRDefault="00000000" w14:paraId="67157154" w14:textId="77777777">
      <w:pPr>
        <w:rPr>
          <w:rStyle w:val="Lienhypertexte"/>
        </w:rPr>
      </w:pPr>
      <w:hyperlink w:tooltip="http://references.modernisation.gouv.fr/referentiel/" w:history="1" r:id="rId96">
        <w:r w:rsidR="00B16C64">
          <w:rPr>
            <w:rStyle w:val="Lienhypertexte"/>
          </w:rPr>
          <w:t>http://references.modernisation.gouv.fr/referentiel/</w:t>
        </w:r>
      </w:hyperlink>
    </w:p>
    <w:p w:rsidR="006E6D7A" w:rsidRDefault="00B16C64" w14:paraId="67157155" w14:textId="77777777">
      <w:pPr>
        <w:pStyle w:val="Titre4"/>
        <w:numPr>
          <w:ilvl w:val="4"/>
          <w:numId w:val="3"/>
        </w:numPr>
        <w:rPr>
          <w:szCs w:val="22"/>
        </w:rPr>
      </w:pPr>
      <w:r>
        <w:rPr>
          <w:szCs w:val="22"/>
        </w:rPr>
        <w:t>Conformité au RGS</w:t>
      </w:r>
    </w:p>
    <w:p w:rsidR="006E6D7A" w:rsidRDefault="00B16C64" w14:paraId="67157156" w14:textId="77777777">
      <w:r>
        <w:t xml:space="preserve">Le référentiel général de sécurité est pris en application du décret n° 2010-112 du 2 février 2010 pris pour l’application des articles 9, 10 et 12 de l’ordonnance n° 2005-1516 du 8 décembre 2005 relative aux échanges électroniques entre les usagers et les autorités administratives. </w:t>
      </w:r>
    </w:p>
    <w:p w:rsidR="006E6D7A" w:rsidRDefault="00B16C64" w14:paraId="67157157" w14:textId="77777777">
      <w:r>
        <w:t xml:space="preserve">La solution doit respecter les recommandations du RGS et particulièrement parmi celles-ci : </w:t>
      </w:r>
    </w:p>
    <w:p w:rsidR="006E6D7A" w:rsidRDefault="00B16C64" w14:paraId="67157158" w14:textId="77777777">
      <w:pPr>
        <w:pStyle w:val="Puce1"/>
      </w:pPr>
      <w:r>
        <w:t>Une obligation de chiffrement des flux de données entre INRAE et le prestataire ainsi que ses sous-traitants éventuels,</w:t>
      </w:r>
    </w:p>
    <w:p w:rsidR="006E6D7A" w:rsidRDefault="00B16C64" w14:paraId="67157159" w14:textId="77777777">
      <w:pPr>
        <w:pStyle w:val="Puce1"/>
      </w:pPr>
      <w:r>
        <w:t xml:space="preserve">Une recommandation de chiffrement du serveur qui stockera les données INRAE chez le prestataire. Cette fonctionnalité non-obligatoire est chiffrée le cas échéant dans le bordereau des prix du titulaire dans l'hypothèse où elle n'est pas prévue en standard dans la solution. </w:t>
      </w:r>
    </w:p>
    <w:p w:rsidR="006E6D7A" w:rsidRDefault="006E6D7A" w14:paraId="6715715A" w14:textId="77777777"/>
    <w:p w:rsidR="006E6D7A" w:rsidRDefault="00B16C64" w14:paraId="6715715B" w14:textId="77777777">
      <w:r>
        <w:t>La version 2.0 date du 14 octobre 2024.</w:t>
      </w:r>
    </w:p>
    <w:p w:rsidR="006E6D7A" w:rsidRDefault="00B16C64" w14:paraId="6715715C" w14:textId="77777777">
      <w:r>
        <w:t>Informations concernant le RGS :</w:t>
      </w:r>
    </w:p>
    <w:p w:rsidR="006E6D7A" w:rsidRDefault="00000000" w14:paraId="6715715D" w14:textId="77777777">
      <w:pPr>
        <w:rPr>
          <w:rStyle w:val="Lienhypertexte"/>
        </w:rPr>
      </w:pPr>
      <w:hyperlink w:tooltip="http://www.ssi.gouv.fr/administration/reglementation/confiance-numerique/le-referentiel-general-de-securite-rgs/" w:history="1" r:id="rId97">
        <w:r w:rsidR="00B16C64">
          <w:rPr>
            <w:rStyle w:val="Lienhypertexte"/>
          </w:rPr>
          <w:t>http://www.ssi.gouv.fr/administration/reglementation/confiance-numerique/le-referentiel-general-de-securite-rgs/</w:t>
        </w:r>
      </w:hyperlink>
    </w:p>
    <w:p w:rsidR="006E6D7A" w:rsidRDefault="00B16C64" w14:paraId="6715715E" w14:textId="77777777">
      <w:pPr>
        <w:pStyle w:val="Titre4"/>
        <w:numPr>
          <w:ilvl w:val="4"/>
          <w:numId w:val="3"/>
        </w:numPr>
      </w:pPr>
      <w:r>
        <w:t>Conformité à la PSSIE</w:t>
      </w:r>
    </w:p>
    <w:p w:rsidR="006E6D7A" w:rsidRDefault="00B16C64" w14:paraId="6715715F" w14:textId="77777777">
      <w:r>
        <w:t>La Politique de Sécurité des Systèmes d’information de l’Etat est entrée en vigueur le 19/08/2014, qui fixe les règles de protection applicables aux systèmes d’information de l’Etat.</w:t>
      </w:r>
    </w:p>
    <w:p w:rsidR="006E6D7A" w:rsidRDefault="006E6D7A" w14:paraId="67157160" w14:textId="77777777"/>
    <w:p w:rsidR="006E6D7A" w:rsidRDefault="00B16C64" w14:paraId="67157161" w14:textId="77777777">
      <w:r>
        <w:t>Informations concernant la PSSIE :</w:t>
      </w:r>
    </w:p>
    <w:p w:rsidR="006E6D7A" w:rsidRDefault="00000000" w14:paraId="67157162" w14:textId="77777777">
      <w:hyperlink w:tooltip="https://www.ssi.gouv.fr/entreprise/reglementation/protection-des-systemes-dinformations/la-politique-de-securite-des-systemes-dinformation-de-letat-pssie/" w:history="1" r:id="rId98">
        <w:r w:rsidR="00B16C64">
          <w:rPr>
            <w:rStyle w:val="Lienhypertexte"/>
          </w:rPr>
          <w:t>https://www.ssi.gouv.fr/entreprise/reglementation/protection-des-systemes-dinformations/la-politique-de-securite-des-systemes-dinformation-de-letat-pssie/</w:t>
        </w:r>
      </w:hyperlink>
    </w:p>
    <w:p w:rsidR="006E6D7A" w:rsidRDefault="00B16C64" w14:paraId="67157163" w14:textId="77777777">
      <w:pPr>
        <w:pStyle w:val="Titre4"/>
        <w:numPr>
          <w:ilvl w:val="4"/>
          <w:numId w:val="3"/>
        </w:numPr>
      </w:pPr>
      <w:r>
        <w:t xml:space="preserve">Conformité au règlement européen 2016/679 - RGPD </w:t>
      </w:r>
    </w:p>
    <w:p w:rsidR="006E6D7A" w:rsidRDefault="00B16C64" w14:paraId="67157164" w14:textId="77777777">
      <w:r>
        <w:t>Il est relatif à la protection des personnes physiques à l'égard du traitement des données à caractère personnel et à la libre circulation de ces données (</w:t>
      </w:r>
      <w:hyperlink w:tooltip="https://www.cnil.fr/fr/reglement-europeen-protection-donnees" w:history="1" r:id="rId99">
        <w:r>
          <w:rPr>
            <w:rStyle w:val="Lienhypertexte"/>
          </w:rPr>
          <w:t>https://www.cnil.fr/fr/reglement-europeen-protection-donnees.),</w:t>
        </w:r>
      </w:hyperlink>
      <w:r>
        <w:t> et plus largement :</w:t>
      </w:r>
    </w:p>
    <w:p w:rsidR="006E6D7A" w:rsidRDefault="00B16C64" w14:paraId="67157165" w14:textId="77777777">
      <w:pPr>
        <w:pStyle w:val="Puce1"/>
      </w:pPr>
      <w:r>
        <w:t xml:space="preserve">Le titulaire garantit la conformité de la solution proposée aux exigences de </w:t>
      </w:r>
      <w:proofErr w:type="spellStart"/>
      <w:r>
        <w:t>privacy</w:t>
      </w:r>
      <w:proofErr w:type="spellEnd"/>
      <w:r>
        <w:t xml:space="preserve"> by design prévues par le règlement européen,</w:t>
      </w:r>
    </w:p>
    <w:p w:rsidR="006E6D7A" w:rsidRDefault="00B16C64" w14:paraId="67157166" w14:textId="77777777">
      <w:pPr>
        <w:pStyle w:val="Puce1"/>
      </w:pPr>
      <w:r>
        <w:lastRenderedPageBreak/>
        <w:t>L'offre technique du titulaire présente sa politique de protection des données, sa politique de sécurité des données et le cas échéant, l’analyse de risque et l’étude d’impact sur la vie privée de la solution proposée.</w:t>
      </w:r>
    </w:p>
    <w:p w:rsidR="006E6D7A" w:rsidRDefault="006E6D7A" w14:paraId="67157167" w14:textId="77777777"/>
    <w:p w:rsidR="006E6D7A" w:rsidRDefault="00B16C64" w14:paraId="67157168" w14:textId="77777777">
      <w:pPr>
        <w:rPr>
          <w:rStyle w:val="Lienhypertexte"/>
        </w:rPr>
      </w:pPr>
      <w:r>
        <w:t xml:space="preserve">L’étude d’impact est nécessaire dans les cas visés par la CNIL sur son site : </w:t>
      </w:r>
      <w:hyperlink w:tooltip="https://www.cnil.fr/fr/infographie-dois-je-faire-une-aipd" w:history="1" r:id="rId100">
        <w:r>
          <w:rPr>
            <w:rStyle w:val="Lienhypertexte"/>
          </w:rPr>
          <w:t>https://www.cnil.fr/fr/infographie-dois-je-faire-une-aipd</w:t>
        </w:r>
      </w:hyperlink>
    </w:p>
    <w:p w:rsidR="006E6D7A" w:rsidRDefault="006E6D7A" w14:paraId="67157169" w14:textId="77777777">
      <w:pPr>
        <w:ind w:left="360"/>
        <w:rPr>
          <w:sz w:val="20"/>
        </w:rPr>
      </w:pPr>
    </w:p>
    <w:p w:rsidR="006E6D7A" w:rsidRDefault="00B16C64" w14:paraId="6715716A" w14:textId="77777777">
      <w:pPr>
        <w:pStyle w:val="Titre4"/>
        <w:numPr>
          <w:ilvl w:val="4"/>
          <w:numId w:val="3"/>
        </w:numPr>
      </w:pPr>
      <w:r>
        <w:t>Accords de confidentialité spécifiques</w:t>
      </w:r>
    </w:p>
    <w:p w:rsidR="006E6D7A" w:rsidRDefault="00B16C64" w14:paraId="6715716B" w14:textId="77777777">
      <w:r>
        <w:t>En complément de la clause de confidentialité prévue par le CCAG-TIC et des exigences du règlement européen quant au traitement des données à caractère personnel dont le titulaire est conjointement responsable, le titulaire garantit la stricte confidentialité de l'ensemble des données INRAE obtenues dans le cadre de l'exécution du présent accord-cadre. La signature d’accords de confidentialité spécifiques, par les salariés intervenant dans le cadre du traitement des données INRAE, peut être exigée par l'Institut auprès du titulaire.</w:t>
      </w:r>
    </w:p>
    <w:p w:rsidR="006E6D7A" w:rsidRDefault="00B16C64" w14:paraId="6715716C" w14:textId="77777777">
      <w:pPr>
        <w:pStyle w:val="Titre4"/>
        <w:numPr>
          <w:ilvl w:val="4"/>
          <w:numId w:val="3"/>
        </w:numPr>
      </w:pPr>
      <w:r>
        <w:t>Obligation de sécurisation des données</w:t>
      </w:r>
    </w:p>
    <w:tbl>
      <w:tblPr>
        <w:tblpPr w:leftFromText="141" w:rightFromText="141" w:vertAnchor="text" w:horzAnchor="margin" w:tblpXSpec="center" w:tblpY="161"/>
        <w:tblW w:w="9351" w:type="dxa"/>
        <w:jc w:val="center"/>
        <w:tblLayout w:type="fixed"/>
        <w:tblCellMar>
          <w:left w:w="71" w:type="dxa"/>
          <w:right w:w="71" w:type="dxa"/>
        </w:tblCellMar>
        <w:tblLook w:val="0000" w:firstRow="0" w:lastRow="0" w:firstColumn="0" w:lastColumn="0" w:noHBand="0" w:noVBand="0"/>
      </w:tblPr>
      <w:tblGrid>
        <w:gridCol w:w="846"/>
        <w:gridCol w:w="8505"/>
      </w:tblGrid>
      <w:tr w:rsidR="006E6D7A" w14:paraId="6715716F" w14:textId="77777777">
        <w:trPr>
          <w:tblHeader/>
          <w:jc w:val="center"/>
        </w:trPr>
        <w:tc>
          <w:tcPr>
            <w:tcW w:w="846" w:type="dxa"/>
            <w:tcBorders>
              <w:top w:val="single" w:color="03A3A6" w:sz="4" w:space="0"/>
              <w:left w:val="single" w:color="03A3A6" w:sz="4" w:space="0"/>
              <w:bottom w:val="single" w:color="03A3A6" w:sz="4" w:space="0"/>
              <w:right w:val="single" w:color="03A3A6" w:sz="4" w:space="0"/>
            </w:tcBorders>
            <w:shd w:val="clear" w:color="auto" w:fill="03A3A6"/>
            <w:vAlign w:val="center"/>
          </w:tcPr>
          <w:p w:rsidR="006E6D7A" w:rsidRDefault="00B16C64" w14:paraId="6715716D" w14:textId="77777777">
            <w:pPr>
              <w:rPr>
                <w:b/>
                <w:bCs/>
                <w:color w:val="FFFFFF" w:themeColor="background1"/>
              </w:rPr>
            </w:pPr>
            <w:r>
              <w:rPr>
                <w:b/>
                <w:bCs/>
                <w:color w:val="FFFFFF" w:themeColor="background1"/>
              </w:rPr>
              <w:t>Réf.</w:t>
            </w:r>
          </w:p>
        </w:tc>
        <w:tc>
          <w:tcPr>
            <w:tcW w:w="8504" w:type="dxa"/>
            <w:tcBorders>
              <w:top w:val="single" w:color="03A3A6" w:sz="4" w:space="0"/>
              <w:left w:val="single" w:color="03A3A6" w:sz="4" w:space="0"/>
              <w:bottom w:val="single" w:color="03A3A6" w:sz="4" w:space="0"/>
              <w:right w:val="single" w:color="03A3A6" w:sz="4" w:space="0"/>
            </w:tcBorders>
            <w:shd w:val="clear" w:color="auto" w:fill="03A3A6"/>
            <w:vAlign w:val="center"/>
          </w:tcPr>
          <w:p w:rsidR="006E6D7A" w:rsidRDefault="00B16C64" w14:paraId="6715716E" w14:textId="77777777">
            <w:pPr>
              <w:rPr>
                <w:b/>
                <w:bCs/>
                <w:color w:val="FFFFFF" w:themeColor="background1"/>
              </w:rPr>
            </w:pPr>
            <w:r>
              <w:rPr>
                <w:b/>
                <w:bCs/>
                <w:color w:val="FFFFFF" w:themeColor="background1"/>
              </w:rPr>
              <w:t>Exigence</w:t>
            </w:r>
          </w:p>
        </w:tc>
      </w:tr>
      <w:tr w:rsidR="006E6D7A" w14:paraId="6715717F" w14:textId="77777777">
        <w:trPr>
          <w:jc w:val="center"/>
        </w:trPr>
        <w:tc>
          <w:tcPr>
            <w:tcW w:w="846" w:type="dxa"/>
            <w:tcBorders>
              <w:top w:val="single" w:color="03A3A6" w:sz="4" w:space="0"/>
              <w:left w:val="single" w:color="03A3A6" w:sz="4" w:space="0"/>
              <w:bottom w:val="single" w:color="03A3A6" w:sz="4" w:space="0"/>
              <w:right w:val="single" w:color="03A3A6" w:sz="4" w:space="0"/>
            </w:tcBorders>
          </w:tcPr>
          <w:p w:rsidR="006E6D7A" w:rsidRDefault="00B16C64" w14:paraId="67157170" w14:textId="77777777">
            <w:pPr>
              <w:spacing w:before="100" w:after="100"/>
              <w:ind w:left="45"/>
            </w:pPr>
            <w:r>
              <w:rPr>
                <w:sz w:val="16"/>
                <w:szCs w:val="16"/>
              </w:rPr>
              <w:t>Ex_PE_13</w:t>
            </w:r>
          </w:p>
        </w:tc>
        <w:tc>
          <w:tcPr>
            <w:tcW w:w="8504" w:type="dxa"/>
            <w:tcBorders>
              <w:top w:val="single" w:color="03A3A6" w:sz="4" w:space="0"/>
              <w:left w:val="single" w:color="03A3A6" w:sz="4" w:space="0"/>
              <w:bottom w:val="single" w:color="03A3A6" w:sz="4" w:space="0"/>
              <w:right w:val="single" w:color="03A3A6" w:sz="4" w:space="0"/>
            </w:tcBorders>
          </w:tcPr>
          <w:p w:rsidR="006E6D7A" w:rsidRDefault="00B16C64" w14:paraId="67157171" w14:textId="77777777">
            <w:r>
              <w:t>Au titre de son obligation de sécurisation des données, le titulaire s'engage donc notamment à :</w:t>
            </w:r>
          </w:p>
          <w:p w:rsidR="006E6D7A" w:rsidRDefault="00B16C64" w14:paraId="67157172" w14:textId="77777777">
            <w:pPr>
              <w:pStyle w:val="Puce1"/>
              <w:numPr>
                <w:ilvl w:val="0"/>
                <w:numId w:val="30"/>
              </w:numPr>
              <w:ind w:left="714" w:hanging="357"/>
            </w:pPr>
            <w:r>
              <w:rPr>
                <w:rFonts w:cstheme="minorHAnsi"/>
              </w:rPr>
              <w:t>Respecter les conditions de sécurité et transfert des données imposées par le CCAP de l’accord-cadre</w:t>
            </w:r>
          </w:p>
          <w:p w:rsidR="006E6D7A" w:rsidRDefault="00B16C64" w14:paraId="67157173" w14:textId="77777777">
            <w:pPr>
              <w:pStyle w:val="Puce1"/>
              <w:numPr>
                <w:ilvl w:val="0"/>
                <w:numId w:val="30"/>
              </w:numPr>
              <w:ind w:left="714" w:hanging="357"/>
            </w:pPr>
            <w:r>
              <w:rPr>
                <w:rFonts w:cstheme="minorHAnsi"/>
              </w:rPr>
              <w:t>Ne pas utiliser ou copier les données traitées à des fins autres que celles spécifiées au présent accord-cadre</w:t>
            </w:r>
          </w:p>
          <w:p w:rsidR="006E6D7A" w:rsidRDefault="00B16C64" w14:paraId="67157174" w14:textId="77777777">
            <w:pPr>
              <w:pStyle w:val="Puce1"/>
              <w:numPr>
                <w:ilvl w:val="0"/>
                <w:numId w:val="30"/>
              </w:numPr>
              <w:ind w:left="714" w:hanging="357"/>
            </w:pPr>
            <w:r>
              <w:rPr>
                <w:rFonts w:cstheme="minorHAnsi"/>
              </w:rPr>
              <w:t>Ne pas divulguer les données à d'autres personnes privées ou publiques, physiques ou morales</w:t>
            </w:r>
          </w:p>
          <w:p w:rsidR="006E6D7A" w:rsidRDefault="00B16C64" w14:paraId="67157175" w14:textId="77777777">
            <w:pPr>
              <w:pStyle w:val="Puce1"/>
              <w:numPr>
                <w:ilvl w:val="0"/>
                <w:numId w:val="30"/>
              </w:numPr>
              <w:ind w:left="714" w:hanging="357"/>
            </w:pPr>
            <w:r>
              <w:rPr>
                <w:rFonts w:cstheme="minorHAnsi"/>
              </w:rPr>
              <w:t>Prendre toutes les mesures permettant d'éviter toute utilisation détournée ou frauduleuse des données</w:t>
            </w:r>
          </w:p>
          <w:p w:rsidR="006E6D7A" w:rsidRDefault="00B16C64" w14:paraId="67157176" w14:textId="77777777">
            <w:pPr>
              <w:pStyle w:val="Puce1"/>
              <w:numPr>
                <w:ilvl w:val="0"/>
                <w:numId w:val="30"/>
              </w:numPr>
              <w:ind w:left="714" w:hanging="357"/>
            </w:pPr>
            <w:r>
              <w:rPr>
                <w:rFonts w:cstheme="minorHAnsi"/>
              </w:rPr>
              <w:t>Prendre toutes les mesures, notamment de sécurité matérielle, pour assurer la conservation des données traitées dans le cadre du présent accord-cadre</w:t>
            </w:r>
          </w:p>
          <w:p w:rsidR="006E6D7A" w:rsidRDefault="00B16C64" w14:paraId="67157177" w14:textId="77777777">
            <w:pPr>
              <w:pStyle w:val="Puce1"/>
              <w:numPr>
                <w:ilvl w:val="0"/>
                <w:numId w:val="30"/>
              </w:numPr>
              <w:ind w:left="714" w:hanging="357"/>
            </w:pPr>
            <w:r>
              <w:rPr>
                <w:rFonts w:cstheme="minorHAnsi"/>
              </w:rPr>
              <w:t>Mettre en œuvre des moyens permettant de garantir la confidentialité, l'intégrité, la disponibilité et la résilience constantes des systèmes, services de traitement et des données</w:t>
            </w:r>
          </w:p>
          <w:p w:rsidR="006E6D7A" w:rsidRDefault="00B16C64" w14:paraId="67157178" w14:textId="77777777">
            <w:pPr>
              <w:pStyle w:val="Puce1"/>
              <w:numPr>
                <w:ilvl w:val="0"/>
                <w:numId w:val="30"/>
              </w:numPr>
              <w:ind w:left="714" w:hanging="357"/>
              <w:rPr>
                <w:rFonts w:asciiTheme="minorHAnsi" w:hAnsiTheme="minorHAnsi" w:cstheme="minorHAnsi"/>
              </w:rPr>
            </w:pPr>
            <w:r>
              <w:rPr>
                <w:rFonts w:cstheme="minorHAnsi"/>
              </w:rPr>
              <w:t>Pour les prestations nécessitant le traitement de données personnelles et autres données sensibles, présenter à l’Institut la clause de confidentialité intégrée aux contrats de travail de ses salariés ou aux engagements de confidentialité spécifiques signés par ces derniers, ainsi que celles des contrats de sous-traitance établis pour l’exécution du présent accord-cadre</w:t>
            </w:r>
          </w:p>
          <w:p w:rsidR="006E6D7A" w:rsidRDefault="00B16C64" w14:paraId="67157179" w14:textId="77777777">
            <w:pPr>
              <w:pStyle w:val="Puce1"/>
              <w:numPr>
                <w:ilvl w:val="0"/>
                <w:numId w:val="30"/>
              </w:numPr>
              <w:ind w:left="714" w:hanging="357"/>
              <w:rPr>
                <w:rFonts w:asciiTheme="minorHAnsi" w:hAnsiTheme="minorHAnsi" w:cstheme="minorHAnsi"/>
              </w:rPr>
            </w:pPr>
            <w:r>
              <w:rPr>
                <w:rFonts w:cstheme="minorHAnsi"/>
              </w:rPr>
              <w:t>Mettre en œuvre des moyens permettant de rétablir la disponibilité des données et leur accès en cas d'incident physique ou technique dans des délais appropriés</w:t>
            </w:r>
          </w:p>
          <w:p w:rsidR="006E6D7A" w:rsidRDefault="00B16C64" w14:paraId="6715717A" w14:textId="77777777">
            <w:pPr>
              <w:pStyle w:val="Puce1"/>
              <w:numPr>
                <w:ilvl w:val="0"/>
                <w:numId w:val="30"/>
              </w:numPr>
              <w:ind w:left="714" w:hanging="357"/>
              <w:rPr>
                <w:rFonts w:asciiTheme="minorHAnsi" w:hAnsiTheme="minorHAnsi" w:cstheme="minorHAnsi"/>
              </w:rPr>
            </w:pPr>
            <w:r>
              <w:rPr>
                <w:rFonts w:cstheme="minorHAnsi"/>
              </w:rPr>
              <w:t>Mettre en œuvre une procédure de test, analyse et évaluation régulière de l'efficacité des mesures techniques et organisationnelles assurant la sécurité des données</w:t>
            </w:r>
          </w:p>
          <w:p w:rsidR="006E6D7A" w:rsidRDefault="00B16C64" w14:paraId="6715717B" w14:textId="77777777">
            <w:pPr>
              <w:pStyle w:val="Puce1"/>
              <w:numPr>
                <w:ilvl w:val="0"/>
                <w:numId w:val="30"/>
              </w:numPr>
              <w:ind w:left="714" w:hanging="357"/>
              <w:rPr>
                <w:rFonts w:asciiTheme="minorHAnsi" w:hAnsiTheme="minorHAnsi" w:cstheme="minorHAnsi"/>
              </w:rPr>
            </w:pPr>
            <w:r>
              <w:rPr>
                <w:rFonts w:cstheme="minorHAnsi"/>
              </w:rPr>
              <w:t>Restituer l'intégralité des données exigées par INRAE puis détruire l'ensemble des données INRAE détenues par le titulaire ou ses sous-traitants en fin d’accord-cadre. Un mode de preuve de cette destruction est proposé par le titulaire dans son offre</w:t>
            </w:r>
          </w:p>
          <w:p w:rsidR="006E6D7A" w:rsidRDefault="00B16C64" w14:paraId="6715717C" w14:textId="77777777">
            <w:pPr>
              <w:pStyle w:val="Puce1"/>
              <w:numPr>
                <w:ilvl w:val="0"/>
                <w:numId w:val="30"/>
              </w:numPr>
              <w:ind w:left="714" w:hanging="357"/>
            </w:pPr>
            <w:r>
              <w:rPr>
                <w:rFonts w:cstheme="minorHAnsi"/>
              </w:rPr>
              <w:t>Mettre à la disposition d'INRAE les informations nécessaires afin de démontrer le respect de ces obligations et, à cette même fin, permettre la réalisation d'audits par INRAE</w:t>
            </w:r>
          </w:p>
          <w:p w:rsidR="006E6D7A" w:rsidRDefault="00B16C64" w14:paraId="6715717D" w14:textId="77777777">
            <w:pPr>
              <w:pStyle w:val="Puce1"/>
              <w:numPr>
                <w:ilvl w:val="0"/>
                <w:numId w:val="30"/>
              </w:numPr>
              <w:ind w:left="714" w:hanging="357"/>
            </w:pPr>
            <w:r>
              <w:rPr>
                <w:rFonts w:cstheme="minorHAnsi"/>
              </w:rPr>
              <w:t>Garantir pendant la prestation la sécurisation du poste de ses contributeurs (en expliquant à INRAE comment est réalisée cette sécurisation)</w:t>
            </w:r>
          </w:p>
          <w:p w:rsidR="006E6D7A" w:rsidRDefault="00B16C64" w14:paraId="6715717E" w14:textId="77777777">
            <w:pPr>
              <w:pStyle w:val="Puce1"/>
              <w:numPr>
                <w:ilvl w:val="0"/>
                <w:numId w:val="30"/>
              </w:numPr>
              <w:ind w:left="714" w:hanging="357"/>
            </w:pPr>
            <w:r>
              <w:rPr>
                <w:rFonts w:cstheme="minorHAnsi"/>
              </w:rPr>
              <w:lastRenderedPageBreak/>
              <w:t xml:space="preserve">Garantir en fin de prestation la suppression définitive des données / sources logicielles éventuelles présentes sur le poste de ses contributeurs. INRAE rappelle qu’il est INTERDIT à tout contributeur de disposer sur </w:t>
            </w:r>
            <w:proofErr w:type="gramStart"/>
            <w:r>
              <w:rPr>
                <w:rFonts w:cstheme="minorHAnsi"/>
              </w:rPr>
              <w:t>son postes</w:t>
            </w:r>
            <w:proofErr w:type="gramEnd"/>
            <w:r>
              <w:rPr>
                <w:rFonts w:cstheme="minorHAnsi"/>
              </w:rPr>
              <w:t xml:space="preserve"> des données de production concernant notamment les données personnelles/</w:t>
            </w:r>
            <w:proofErr w:type="spellStart"/>
            <w:r>
              <w:rPr>
                <w:rFonts w:cstheme="minorHAnsi"/>
              </w:rPr>
              <w:t>rh</w:t>
            </w:r>
            <w:proofErr w:type="spellEnd"/>
            <w:r>
              <w:rPr>
                <w:rFonts w:cstheme="minorHAnsi"/>
              </w:rPr>
              <w:t>/financières/ sensibles de la population INRAE.</w:t>
            </w:r>
          </w:p>
        </w:tc>
      </w:tr>
    </w:tbl>
    <w:p w:rsidR="006E6D7A" w:rsidRDefault="00B16C64" w14:paraId="67157180" w14:textId="77777777">
      <w:pPr>
        <w:pStyle w:val="Titre4"/>
        <w:numPr>
          <w:ilvl w:val="4"/>
          <w:numId w:val="3"/>
        </w:numPr>
      </w:pPr>
      <w:r>
        <w:lastRenderedPageBreak/>
        <w:t>Sécurisation des prestations et du Système d’Information</w:t>
      </w:r>
    </w:p>
    <w:tbl>
      <w:tblPr>
        <w:tblpPr w:leftFromText="141" w:rightFromText="141" w:vertAnchor="text" w:horzAnchor="margin" w:tblpXSpec="center" w:tblpY="161"/>
        <w:tblW w:w="9351" w:type="dxa"/>
        <w:jc w:val="center"/>
        <w:tblLayout w:type="fixed"/>
        <w:tblCellMar>
          <w:left w:w="71" w:type="dxa"/>
          <w:right w:w="71" w:type="dxa"/>
        </w:tblCellMar>
        <w:tblLook w:val="0000" w:firstRow="0" w:lastRow="0" w:firstColumn="0" w:lastColumn="0" w:noHBand="0" w:noVBand="0"/>
      </w:tblPr>
      <w:tblGrid>
        <w:gridCol w:w="846"/>
        <w:gridCol w:w="8505"/>
      </w:tblGrid>
      <w:tr w:rsidR="006E6D7A" w14:paraId="67157183" w14:textId="77777777">
        <w:trPr>
          <w:tblHeader/>
          <w:jc w:val="center"/>
        </w:trPr>
        <w:tc>
          <w:tcPr>
            <w:tcW w:w="846" w:type="dxa"/>
            <w:tcBorders>
              <w:top w:val="single" w:color="03A3A6" w:sz="4" w:space="0"/>
              <w:left w:val="single" w:color="03A3A6" w:sz="4" w:space="0"/>
              <w:bottom w:val="single" w:color="03A3A6" w:sz="4" w:space="0"/>
              <w:right w:val="single" w:color="03A3A6" w:sz="4" w:space="0"/>
            </w:tcBorders>
            <w:shd w:val="clear" w:color="auto" w:fill="03A3A6"/>
            <w:vAlign w:val="center"/>
          </w:tcPr>
          <w:p w:rsidR="006E6D7A" w:rsidRDefault="00B16C64" w14:paraId="67157181" w14:textId="77777777">
            <w:pPr>
              <w:rPr>
                <w:b/>
                <w:bCs/>
                <w:color w:val="FFFFFF" w:themeColor="background1"/>
              </w:rPr>
            </w:pPr>
            <w:r>
              <w:rPr>
                <w:b/>
                <w:bCs/>
                <w:color w:val="FFFFFF" w:themeColor="background1"/>
              </w:rPr>
              <w:t>Réf.</w:t>
            </w:r>
          </w:p>
        </w:tc>
        <w:tc>
          <w:tcPr>
            <w:tcW w:w="8504" w:type="dxa"/>
            <w:tcBorders>
              <w:top w:val="single" w:color="03A3A6" w:sz="4" w:space="0"/>
              <w:left w:val="single" w:color="03A3A6" w:sz="4" w:space="0"/>
              <w:bottom w:val="single" w:color="03A3A6" w:sz="4" w:space="0"/>
              <w:right w:val="single" w:color="03A3A6" w:sz="4" w:space="0"/>
            </w:tcBorders>
            <w:shd w:val="clear" w:color="auto" w:fill="03A3A6"/>
            <w:vAlign w:val="center"/>
          </w:tcPr>
          <w:p w:rsidR="006E6D7A" w:rsidRDefault="00B16C64" w14:paraId="67157182" w14:textId="77777777">
            <w:pPr>
              <w:rPr>
                <w:b/>
                <w:bCs/>
                <w:color w:val="FFFFFF" w:themeColor="background1"/>
              </w:rPr>
            </w:pPr>
            <w:r>
              <w:rPr>
                <w:b/>
                <w:bCs/>
                <w:color w:val="FFFFFF" w:themeColor="background1"/>
              </w:rPr>
              <w:t>Exigence</w:t>
            </w:r>
          </w:p>
        </w:tc>
      </w:tr>
      <w:tr w:rsidR="006E6D7A" w14:paraId="67157186" w14:textId="77777777">
        <w:trPr>
          <w:jc w:val="center"/>
        </w:trPr>
        <w:tc>
          <w:tcPr>
            <w:tcW w:w="846" w:type="dxa"/>
            <w:tcBorders>
              <w:top w:val="single" w:color="03A3A6" w:sz="4" w:space="0"/>
              <w:left w:val="single" w:color="03A3A6" w:sz="4" w:space="0"/>
              <w:bottom w:val="single" w:color="03A3A6" w:sz="4" w:space="0"/>
              <w:right w:val="single" w:color="03A3A6" w:sz="4" w:space="0"/>
            </w:tcBorders>
          </w:tcPr>
          <w:p w:rsidR="006E6D7A" w:rsidRDefault="00B16C64" w14:paraId="67157184" w14:textId="77777777">
            <w:pPr>
              <w:spacing w:before="100" w:after="100"/>
              <w:ind w:left="45"/>
            </w:pPr>
            <w:r>
              <w:rPr>
                <w:sz w:val="16"/>
                <w:szCs w:val="16"/>
              </w:rPr>
              <w:t>Ex_PE_14</w:t>
            </w:r>
          </w:p>
        </w:tc>
        <w:tc>
          <w:tcPr>
            <w:tcW w:w="8504" w:type="dxa"/>
            <w:tcBorders>
              <w:top w:val="single" w:color="03A3A6" w:sz="4" w:space="0"/>
              <w:left w:val="single" w:color="03A3A6" w:sz="4" w:space="0"/>
              <w:bottom w:val="single" w:color="03A3A6" w:sz="4" w:space="0"/>
              <w:right w:val="single" w:color="03A3A6" w:sz="4" w:space="0"/>
            </w:tcBorders>
          </w:tcPr>
          <w:p w:rsidR="006E6D7A" w:rsidRDefault="00B16C64" w14:paraId="67157185" w14:textId="77777777">
            <w:r>
              <w:t>Au titre de la sécurisation des prestations et du SI, le titulaire s’engage à remettre à INRAE, dans le cadre de son offre technique, le Plan d’Assurance Sécurité (PAS) lié aux prestations de l’accord-cadre ainsi que chacune de ses mises à jour ayant eu lieu pendant la durée du celui-ci. Lorsqu’elle est disponible, le titulaire fournit sa politique de sécurité des systèmes d’information (PSSI).</w:t>
            </w:r>
          </w:p>
        </w:tc>
      </w:tr>
      <w:tr w:rsidR="006E6D7A" w14:paraId="67157189" w14:textId="77777777">
        <w:trPr>
          <w:jc w:val="center"/>
        </w:trPr>
        <w:tc>
          <w:tcPr>
            <w:tcW w:w="846" w:type="dxa"/>
            <w:tcBorders>
              <w:top w:val="single" w:color="03A3A6" w:sz="4" w:space="0"/>
              <w:left w:val="single" w:color="03A3A6" w:sz="4" w:space="0"/>
              <w:bottom w:val="single" w:color="03A3A6" w:sz="4" w:space="0"/>
              <w:right w:val="single" w:color="03A3A6" w:sz="4" w:space="0"/>
            </w:tcBorders>
          </w:tcPr>
          <w:p w:rsidR="006E6D7A" w:rsidRDefault="00B16C64" w14:paraId="67157187" w14:textId="77777777">
            <w:pPr>
              <w:spacing w:before="100" w:after="100"/>
              <w:ind w:left="45"/>
            </w:pPr>
            <w:r>
              <w:rPr>
                <w:sz w:val="16"/>
                <w:szCs w:val="16"/>
              </w:rPr>
              <w:t>Ex_PE_15</w:t>
            </w:r>
          </w:p>
        </w:tc>
        <w:tc>
          <w:tcPr>
            <w:tcW w:w="8504" w:type="dxa"/>
            <w:tcBorders>
              <w:top w:val="single" w:color="03A3A6" w:sz="4" w:space="0"/>
              <w:left w:val="single" w:color="03A3A6" w:sz="4" w:space="0"/>
              <w:bottom w:val="single" w:color="03A3A6" w:sz="4" w:space="0"/>
              <w:right w:val="single" w:color="03A3A6" w:sz="4" w:space="0"/>
            </w:tcBorders>
          </w:tcPr>
          <w:p w:rsidR="006E6D7A" w:rsidRDefault="00B16C64" w14:paraId="67157188" w14:textId="77777777">
            <w:r>
              <w:t>Le titulaire s’engage à ce que dans le cadre de l’exécution du présent accord-cadre, tout sous-traitant respecte l’ensemble des obligations auxquelles s’engage le titulaire et notamment fournir son PAS au même titre que le titulaire.</w:t>
            </w:r>
          </w:p>
        </w:tc>
      </w:tr>
      <w:tr w:rsidR="006E6D7A" w14:paraId="6715718C" w14:textId="77777777">
        <w:trPr>
          <w:jc w:val="center"/>
        </w:trPr>
        <w:tc>
          <w:tcPr>
            <w:tcW w:w="846" w:type="dxa"/>
            <w:tcBorders>
              <w:top w:val="single" w:color="03A3A6" w:sz="4" w:space="0"/>
              <w:left w:val="single" w:color="03A3A6" w:sz="4" w:space="0"/>
              <w:bottom w:val="single" w:color="03A3A6" w:sz="4" w:space="0"/>
              <w:right w:val="single" w:color="03A3A6" w:sz="4" w:space="0"/>
            </w:tcBorders>
          </w:tcPr>
          <w:p w:rsidR="006E6D7A" w:rsidRDefault="00B16C64" w14:paraId="6715718A" w14:textId="77777777">
            <w:pPr>
              <w:spacing w:before="100" w:after="100"/>
              <w:ind w:left="45"/>
            </w:pPr>
            <w:r>
              <w:rPr>
                <w:sz w:val="16"/>
                <w:szCs w:val="16"/>
              </w:rPr>
              <w:t>Ex_PE_16</w:t>
            </w:r>
          </w:p>
        </w:tc>
        <w:tc>
          <w:tcPr>
            <w:tcW w:w="8504" w:type="dxa"/>
            <w:tcBorders>
              <w:top w:val="single" w:color="03A3A6" w:sz="4" w:space="0"/>
              <w:left w:val="single" w:color="03A3A6" w:sz="4" w:space="0"/>
              <w:bottom w:val="single" w:color="03A3A6" w:sz="4" w:space="0"/>
              <w:right w:val="single" w:color="03A3A6" w:sz="4" w:space="0"/>
            </w:tcBorders>
          </w:tcPr>
          <w:p w:rsidR="006E6D7A" w:rsidRDefault="00B16C64" w14:paraId="6715718B" w14:textId="77777777">
            <w:r>
              <w:t>Seuls les matériels informatiques propriétés du bénéficiaire ou dédiés à son usage exclusif peuvent être connectés directement sur le réseau de INRAE. Le titulaire s'engage à respecter cette règle et à la faire respecter par les intervenants extérieurs qu'il serait susceptible de solliciter pour l'exécution du présent accord-cadre. Seul INRAE est habilité à accorder une dérogation, sur demande formalisée et argumentée du titulaire.</w:t>
            </w:r>
          </w:p>
        </w:tc>
      </w:tr>
      <w:tr w:rsidR="006E6D7A" w14:paraId="6715718F" w14:textId="77777777">
        <w:trPr>
          <w:jc w:val="center"/>
        </w:trPr>
        <w:tc>
          <w:tcPr>
            <w:tcW w:w="846" w:type="dxa"/>
            <w:tcBorders>
              <w:top w:val="single" w:color="03A3A6" w:sz="4" w:space="0"/>
              <w:left w:val="single" w:color="03A3A6" w:sz="4" w:space="0"/>
              <w:bottom w:val="single" w:color="03A3A6" w:sz="4" w:space="0"/>
              <w:right w:val="single" w:color="03A3A6" w:sz="4" w:space="0"/>
            </w:tcBorders>
          </w:tcPr>
          <w:p w:rsidR="006E6D7A" w:rsidRDefault="00B16C64" w14:paraId="6715718D" w14:textId="77777777">
            <w:pPr>
              <w:spacing w:before="100" w:after="100"/>
              <w:ind w:left="45"/>
            </w:pPr>
            <w:r>
              <w:rPr>
                <w:sz w:val="16"/>
                <w:szCs w:val="16"/>
              </w:rPr>
              <w:t>Ex_PE_17</w:t>
            </w:r>
          </w:p>
        </w:tc>
        <w:tc>
          <w:tcPr>
            <w:tcW w:w="8504" w:type="dxa"/>
            <w:tcBorders>
              <w:top w:val="single" w:color="03A3A6" w:sz="4" w:space="0"/>
              <w:left w:val="single" w:color="03A3A6" w:sz="4" w:space="0"/>
              <w:bottom w:val="single" w:color="03A3A6" w:sz="4" w:space="0"/>
              <w:right w:val="single" w:color="03A3A6" w:sz="4" w:space="0"/>
            </w:tcBorders>
          </w:tcPr>
          <w:p w:rsidR="006E6D7A" w:rsidRDefault="00B16C64" w14:paraId="6715718E" w14:textId="77777777">
            <w:pPr>
              <w:widowControl w:val="0"/>
            </w:pPr>
            <w:r>
              <w:t>Aucun jeu de données ou code source, qu'il soit de nature applicative ou produit par les outils de surveillance des systèmes informatiques, ne peut être extrait et confié à un tiers extérieur du présent accord-cadre, sans l'accord express du bénéficiaire (données applicatives, traces de navigation, statistiques de performance et de volumétrie, code source du développement de l'application, …).</w:t>
            </w:r>
          </w:p>
        </w:tc>
      </w:tr>
      <w:tr w:rsidR="006E6D7A" w14:paraId="67157192" w14:textId="77777777">
        <w:trPr>
          <w:trHeight w:val="60"/>
          <w:jc w:val="center"/>
        </w:trPr>
        <w:tc>
          <w:tcPr>
            <w:tcW w:w="846" w:type="dxa"/>
            <w:tcBorders>
              <w:top w:val="single" w:color="03A3A6" w:sz="4" w:space="0"/>
              <w:left w:val="single" w:color="03A3A6" w:sz="4" w:space="0"/>
              <w:bottom w:val="single" w:color="03A3A6" w:sz="4" w:space="0"/>
              <w:right w:val="single" w:color="03A3A6" w:sz="4" w:space="0"/>
            </w:tcBorders>
          </w:tcPr>
          <w:p w:rsidR="006E6D7A" w:rsidRDefault="00B16C64" w14:paraId="67157190" w14:textId="77777777">
            <w:pPr>
              <w:spacing w:before="100" w:after="100"/>
              <w:ind w:left="45"/>
            </w:pPr>
            <w:r>
              <w:rPr>
                <w:sz w:val="16"/>
                <w:szCs w:val="16"/>
              </w:rPr>
              <w:t>Ex_PE_18</w:t>
            </w:r>
          </w:p>
        </w:tc>
        <w:tc>
          <w:tcPr>
            <w:tcW w:w="8504" w:type="dxa"/>
            <w:tcBorders>
              <w:top w:val="single" w:color="03A3A6" w:sz="4" w:space="0"/>
              <w:left w:val="single" w:color="03A3A6" w:sz="4" w:space="0"/>
              <w:bottom w:val="single" w:color="03A3A6" w:sz="4" w:space="0"/>
              <w:right w:val="single" w:color="03A3A6" w:sz="4" w:space="0"/>
            </w:tcBorders>
          </w:tcPr>
          <w:p w:rsidR="006E6D7A" w:rsidRDefault="00B16C64" w14:paraId="67157191" w14:textId="77777777">
            <w:r>
              <w:t>Le titulaire doit respecter les règles de conformité en vigueur (RGI, RGAA, RGS, PSSIE, RGPD)</w:t>
            </w:r>
          </w:p>
        </w:tc>
      </w:tr>
      <w:tr w:rsidR="006E6D7A" w14:paraId="67157195" w14:textId="77777777">
        <w:trPr>
          <w:trHeight w:val="464"/>
          <w:jc w:val="center"/>
        </w:trPr>
        <w:tc>
          <w:tcPr>
            <w:tcW w:w="846" w:type="dxa"/>
            <w:tcBorders>
              <w:top w:val="single" w:color="03A3A6" w:sz="4" w:space="0"/>
              <w:left w:val="single" w:color="03A3A6" w:sz="4" w:space="0"/>
              <w:bottom w:val="single" w:color="03A3A6" w:sz="4" w:space="0"/>
              <w:right w:val="single" w:color="03A3A6" w:sz="4" w:space="0"/>
            </w:tcBorders>
          </w:tcPr>
          <w:p w:rsidR="006E6D7A" w:rsidRDefault="00B16C64" w14:paraId="67157193" w14:textId="77777777">
            <w:pPr>
              <w:spacing w:before="100" w:after="100"/>
              <w:ind w:left="45"/>
            </w:pPr>
            <w:r>
              <w:rPr>
                <w:sz w:val="16"/>
                <w:szCs w:val="16"/>
              </w:rPr>
              <w:t>Ex_PE_19</w:t>
            </w:r>
          </w:p>
        </w:tc>
        <w:tc>
          <w:tcPr>
            <w:tcW w:w="8504" w:type="dxa"/>
            <w:tcBorders>
              <w:top w:val="single" w:color="03A3A6" w:sz="4" w:space="0"/>
              <w:left w:val="single" w:color="03A3A6" w:sz="4" w:space="0"/>
              <w:bottom w:val="single" w:color="03A3A6" w:sz="4" w:space="0"/>
              <w:right w:val="single" w:color="03A3A6" w:sz="4" w:space="0"/>
            </w:tcBorders>
          </w:tcPr>
          <w:p w:rsidR="006E6D7A" w:rsidRDefault="00B16C64" w14:paraId="67157194" w14:textId="77777777">
            <w:r>
              <w:t>Le titulaire doit respecter les règles de la charte informatique INRAE</w:t>
            </w:r>
          </w:p>
        </w:tc>
      </w:tr>
      <w:tr w:rsidR="006E6D7A" w14:paraId="67157198" w14:textId="77777777">
        <w:trPr>
          <w:trHeight w:val="464"/>
          <w:jc w:val="center"/>
        </w:trPr>
        <w:tc>
          <w:tcPr>
            <w:tcW w:w="846" w:type="dxa"/>
            <w:tcBorders>
              <w:top w:val="single" w:color="03A3A6" w:sz="4" w:space="0"/>
              <w:left w:val="single" w:color="03A3A6" w:sz="4" w:space="0"/>
              <w:bottom w:val="single" w:color="03A3A6" w:sz="4" w:space="0"/>
              <w:right w:val="single" w:color="03A3A6" w:sz="4" w:space="0"/>
            </w:tcBorders>
          </w:tcPr>
          <w:p w:rsidR="006E6D7A" w:rsidRDefault="00B16C64" w14:paraId="67157196" w14:textId="77777777">
            <w:pPr>
              <w:spacing w:before="100" w:after="100"/>
              <w:ind w:left="45"/>
            </w:pPr>
            <w:r>
              <w:rPr>
                <w:sz w:val="16"/>
                <w:szCs w:val="16"/>
              </w:rPr>
              <w:t>Ex_PE_20</w:t>
            </w:r>
          </w:p>
        </w:tc>
        <w:tc>
          <w:tcPr>
            <w:tcW w:w="8504" w:type="dxa"/>
            <w:tcBorders>
              <w:top w:val="single" w:color="03A3A6" w:sz="4" w:space="0"/>
              <w:left w:val="single" w:color="03A3A6" w:sz="4" w:space="0"/>
              <w:bottom w:val="single" w:color="03A3A6" w:sz="4" w:space="0"/>
              <w:right w:val="single" w:color="03A3A6" w:sz="4" w:space="0"/>
            </w:tcBorders>
          </w:tcPr>
          <w:p w:rsidR="006E6D7A" w:rsidRDefault="00B16C64" w14:paraId="67157197" w14:textId="77777777">
            <w:r>
              <w:t>Le titulaire doit respecter le Règlement Intérieur de INRAE lorsque les prestations s’effectuent dans les locaux de INRAE.</w:t>
            </w:r>
          </w:p>
        </w:tc>
      </w:tr>
    </w:tbl>
    <w:p w:rsidR="006E6D7A" w:rsidRDefault="006E6D7A" w14:paraId="67157199" w14:textId="77777777"/>
    <w:p w:rsidR="006E6D7A" w:rsidRDefault="00B16C64" w14:paraId="6715719A" w14:textId="77777777">
      <w:pPr>
        <w:ind w:left="360"/>
      </w:pPr>
      <w:r>
        <w:t xml:space="preserve">Le PAS pourra évoluer pendant la durée de l’accord-cadre afin de présenter au minimum les mesures de sécurisation concernant : </w:t>
      </w:r>
    </w:p>
    <w:p w:rsidR="006E6D7A" w:rsidRDefault="00B16C64" w14:paraId="6715719B" w14:textId="77777777">
      <w:pPr>
        <w:pStyle w:val="Puce1"/>
        <w:numPr>
          <w:ilvl w:val="0"/>
          <w:numId w:val="30"/>
        </w:numPr>
        <w:ind w:left="714" w:hanging="357"/>
        <w:rPr>
          <w:rFonts w:asciiTheme="minorHAnsi" w:hAnsiTheme="minorHAnsi" w:cstheme="minorHAnsi"/>
        </w:rPr>
      </w:pPr>
      <w:r>
        <w:rPr>
          <w:rFonts w:cstheme="minorHAnsi"/>
        </w:rPr>
        <w:t>La sensibilisation et la formation des personnels et autres mesures de sécurité organisationnelles</w:t>
      </w:r>
    </w:p>
    <w:p w:rsidR="006E6D7A" w:rsidRDefault="00B16C64" w14:paraId="6715719C" w14:textId="77777777">
      <w:pPr>
        <w:pStyle w:val="Puce1"/>
        <w:numPr>
          <w:ilvl w:val="0"/>
          <w:numId w:val="30"/>
        </w:numPr>
        <w:ind w:left="714" w:hanging="357"/>
        <w:rPr>
          <w:rFonts w:asciiTheme="minorHAnsi" w:hAnsiTheme="minorHAnsi" w:cstheme="minorHAnsi"/>
        </w:rPr>
      </w:pPr>
      <w:r>
        <w:rPr>
          <w:rFonts w:cstheme="minorHAnsi"/>
        </w:rPr>
        <w:t>Les développements spécifiques</w:t>
      </w:r>
    </w:p>
    <w:p w:rsidR="006E6D7A" w:rsidRDefault="00B16C64" w14:paraId="6715719D" w14:textId="77777777">
      <w:pPr>
        <w:pStyle w:val="Puce1"/>
        <w:numPr>
          <w:ilvl w:val="0"/>
          <w:numId w:val="30"/>
        </w:numPr>
        <w:ind w:left="714" w:hanging="357"/>
        <w:rPr>
          <w:rFonts w:asciiTheme="minorHAnsi" w:hAnsiTheme="minorHAnsi" w:cstheme="minorHAnsi"/>
        </w:rPr>
      </w:pPr>
      <w:r>
        <w:rPr>
          <w:rFonts w:cstheme="minorHAnsi"/>
        </w:rPr>
        <w:t>L’hébergement des données et des services</w:t>
      </w:r>
    </w:p>
    <w:p w:rsidR="006E6D7A" w:rsidRDefault="00B16C64" w14:paraId="6715719E" w14:textId="77777777">
      <w:pPr>
        <w:pStyle w:val="Puce1"/>
        <w:numPr>
          <w:ilvl w:val="0"/>
          <w:numId w:val="30"/>
        </w:numPr>
        <w:ind w:left="714" w:hanging="357"/>
        <w:rPr>
          <w:rFonts w:asciiTheme="minorHAnsi" w:hAnsiTheme="minorHAnsi" w:cstheme="minorHAnsi"/>
        </w:rPr>
      </w:pPr>
      <w:r>
        <w:rPr>
          <w:rFonts w:cstheme="minorHAnsi"/>
        </w:rPr>
        <w:t>La gestion des incidents de sécurité du titulaire</w:t>
      </w:r>
    </w:p>
    <w:p w:rsidR="006E6D7A" w:rsidRDefault="00B16C64" w14:paraId="6715719F" w14:textId="77777777">
      <w:pPr>
        <w:pStyle w:val="Puce1"/>
        <w:numPr>
          <w:ilvl w:val="0"/>
          <w:numId w:val="30"/>
        </w:numPr>
        <w:ind w:left="714" w:hanging="357"/>
        <w:rPr>
          <w:rFonts w:asciiTheme="minorHAnsi" w:hAnsiTheme="minorHAnsi" w:cstheme="minorHAnsi"/>
        </w:rPr>
      </w:pPr>
      <w:r>
        <w:rPr>
          <w:rFonts w:cstheme="minorHAnsi"/>
        </w:rPr>
        <w:t>Le maintien en condition de sécurité</w:t>
      </w:r>
    </w:p>
    <w:p w:rsidR="006E6D7A" w:rsidRDefault="00B16C64" w14:paraId="671571A0" w14:textId="77777777">
      <w:pPr>
        <w:pStyle w:val="Puce1"/>
        <w:numPr>
          <w:ilvl w:val="0"/>
          <w:numId w:val="30"/>
        </w:numPr>
        <w:ind w:left="714" w:hanging="357"/>
        <w:rPr>
          <w:rFonts w:asciiTheme="minorHAnsi" w:hAnsiTheme="minorHAnsi" w:cstheme="minorHAnsi"/>
        </w:rPr>
      </w:pPr>
      <w:r>
        <w:rPr>
          <w:rFonts w:cstheme="minorHAnsi"/>
        </w:rPr>
        <w:t>La politique de gestion des postes de travail des intervenants de la prestation objet de l’accord-cadre</w:t>
      </w:r>
    </w:p>
    <w:p w:rsidR="006E6D7A" w:rsidRDefault="00B16C64" w14:paraId="671571A1" w14:textId="77777777">
      <w:pPr>
        <w:pStyle w:val="Puce1"/>
        <w:numPr>
          <w:ilvl w:val="0"/>
          <w:numId w:val="30"/>
        </w:numPr>
        <w:ind w:left="714" w:hanging="357"/>
        <w:rPr>
          <w:rFonts w:asciiTheme="minorHAnsi" w:hAnsiTheme="minorHAnsi" w:cstheme="minorHAnsi"/>
        </w:rPr>
      </w:pPr>
      <w:r>
        <w:rPr>
          <w:rFonts w:cstheme="minorHAnsi"/>
        </w:rPr>
        <w:t>La conformité et les démarches de contrôle interne</w:t>
      </w:r>
    </w:p>
    <w:p w:rsidR="006E6D7A" w:rsidRDefault="00B16C64" w14:paraId="671571A2" w14:textId="77777777">
      <w:pPr>
        <w:pStyle w:val="Titre3"/>
        <w:numPr>
          <w:ilvl w:val="3"/>
          <w:numId w:val="3"/>
        </w:numPr>
        <w:rPr>
          <w:szCs w:val="24"/>
        </w:rPr>
      </w:pPr>
      <w:bookmarkStart w:name="_Toc221095528" w:id="103"/>
      <w:r>
        <w:t>Exigences RSE</w:t>
      </w:r>
      <w:bookmarkEnd w:id="103"/>
    </w:p>
    <w:p w:rsidR="006E6D7A" w:rsidRDefault="006E6D7A" w14:paraId="671571A3" w14:textId="77777777"/>
    <w:p w:rsidR="006E6D7A" w:rsidRDefault="00B16C64" w14:paraId="671571A4" w14:textId="77777777">
      <w:r>
        <w:rPr>
          <w:szCs w:val="24"/>
        </w:rPr>
        <w:lastRenderedPageBreak/>
        <w:t>INRAE est engagé dans une démarche de responsabilité sociétale et environnementale.</w:t>
      </w:r>
    </w:p>
    <w:p w:rsidR="006E6D7A" w:rsidRDefault="00B16C64" w14:paraId="671571A5" w14:textId="77777777">
      <w:r>
        <w:rPr>
          <w:szCs w:val="24"/>
        </w:rPr>
        <w:t xml:space="preserve">Le titulaire s’engage à mettre en place des actions de minimisation de son impact environnemental. </w:t>
      </w:r>
    </w:p>
    <w:tbl>
      <w:tblPr>
        <w:tblpPr w:leftFromText="141" w:rightFromText="141" w:vertAnchor="text" w:horzAnchor="margin" w:tblpY="157"/>
        <w:tblW w:w="9675" w:type="dxa"/>
        <w:tblLayout w:type="fixed"/>
        <w:tblCellMar>
          <w:left w:w="71" w:type="dxa"/>
          <w:right w:w="71" w:type="dxa"/>
        </w:tblCellMar>
        <w:tblLook w:val="0000" w:firstRow="0" w:lastRow="0" w:firstColumn="0" w:lastColumn="0" w:noHBand="0" w:noVBand="0"/>
      </w:tblPr>
      <w:tblGrid>
        <w:gridCol w:w="986"/>
        <w:gridCol w:w="8689"/>
      </w:tblGrid>
      <w:tr w:rsidR="006E6D7A" w14:paraId="671571A8" w14:textId="77777777">
        <w:trPr>
          <w:tblHeader/>
        </w:trPr>
        <w:tc>
          <w:tcPr>
            <w:tcW w:w="986" w:type="dxa"/>
            <w:tcBorders>
              <w:top w:val="single" w:color="000000" w:sz="4" w:space="0"/>
              <w:left w:val="single" w:color="000000" w:sz="4" w:space="0"/>
            </w:tcBorders>
            <w:shd w:val="clear" w:color="FFFFFF" w:fill="03A3A6"/>
            <w:vAlign w:val="center"/>
          </w:tcPr>
          <w:p w:rsidR="006E6D7A" w:rsidRDefault="00B16C64" w14:paraId="671571A6" w14:textId="77777777">
            <w:pPr>
              <w:rPr>
                <w:b/>
                <w:bCs/>
                <w:color w:val="FFFFFF" w:themeColor="background1"/>
              </w:rPr>
            </w:pPr>
            <w:r>
              <w:rPr>
                <w:b/>
                <w:bCs/>
                <w:color w:val="FFFFFF" w:themeColor="background1"/>
              </w:rPr>
              <w:t>Réf.</w:t>
            </w:r>
          </w:p>
        </w:tc>
        <w:tc>
          <w:tcPr>
            <w:tcW w:w="8688" w:type="dxa"/>
            <w:tcBorders>
              <w:top w:val="single" w:color="000000" w:sz="4" w:space="0"/>
              <w:left w:val="single" w:color="000000" w:sz="4" w:space="0"/>
              <w:right w:val="single" w:color="000000" w:sz="4" w:space="0"/>
            </w:tcBorders>
            <w:shd w:val="clear" w:color="FFFFFF" w:fill="03A3A6"/>
            <w:vAlign w:val="center"/>
          </w:tcPr>
          <w:p w:rsidR="006E6D7A" w:rsidRDefault="00B16C64" w14:paraId="671571A7" w14:textId="77777777">
            <w:pPr>
              <w:rPr>
                <w:b/>
                <w:bCs/>
                <w:color w:val="FFFFFF" w:themeColor="background1"/>
              </w:rPr>
            </w:pPr>
            <w:r>
              <w:rPr>
                <w:b/>
                <w:bCs/>
                <w:color w:val="FFFFFF" w:themeColor="background1"/>
              </w:rPr>
              <w:t>Exigence</w:t>
            </w:r>
          </w:p>
        </w:tc>
      </w:tr>
      <w:tr w:rsidR="006E6D7A" w14:paraId="671571AB" w14:textId="77777777">
        <w:tc>
          <w:tcPr>
            <w:tcW w:w="986" w:type="dxa"/>
            <w:tcBorders>
              <w:top w:val="single" w:color="000000" w:sz="4" w:space="0"/>
              <w:left w:val="single" w:color="000000" w:sz="4" w:space="0"/>
              <w:bottom w:val="single" w:color="000000" w:sz="4" w:space="0"/>
              <w:right w:val="single" w:color="000000" w:sz="4" w:space="0"/>
            </w:tcBorders>
          </w:tcPr>
          <w:p w:rsidR="006E6D7A" w:rsidRDefault="00B16C64" w14:paraId="671571A9" w14:textId="77777777">
            <w:pPr>
              <w:spacing w:before="100" w:after="100"/>
              <w:ind w:left="45"/>
            </w:pPr>
            <w:r>
              <w:rPr>
                <w:sz w:val="16"/>
                <w:szCs w:val="16"/>
              </w:rPr>
              <w:t>Ex_RSE_01</w:t>
            </w:r>
          </w:p>
        </w:tc>
        <w:tc>
          <w:tcPr>
            <w:tcW w:w="8688" w:type="dxa"/>
            <w:tcBorders>
              <w:top w:val="single" w:color="000000" w:sz="4" w:space="0"/>
              <w:left w:val="single" w:color="000000" w:sz="4" w:space="0"/>
              <w:bottom w:val="single" w:color="000000" w:sz="4" w:space="0"/>
              <w:right w:val="single" w:color="000000" w:sz="4" w:space="0"/>
            </w:tcBorders>
          </w:tcPr>
          <w:p w:rsidR="006E6D7A" w:rsidRDefault="00B16C64" w14:paraId="671571AA" w14:textId="77777777">
            <w:r>
              <w:t>Le titulaire dispose d’une gestion des postes de travail de ses agents, intervenant dans le cadre de cette prestation, sur tout leur cycle de vie permettant de s’assurer d’un impact environnemental raisonnable. Quand cela est possible, le titulaire utilise du matériel affichant un écolabel.</w:t>
            </w:r>
          </w:p>
        </w:tc>
      </w:tr>
      <w:tr w:rsidR="006E6D7A" w14:paraId="671571AF" w14:textId="77777777">
        <w:tc>
          <w:tcPr>
            <w:tcW w:w="986" w:type="dxa"/>
            <w:tcBorders>
              <w:top w:val="single" w:color="000000" w:sz="4" w:space="0"/>
              <w:left w:val="single" w:color="000000" w:sz="4" w:space="0"/>
              <w:bottom w:val="single" w:color="000000" w:sz="4" w:space="0"/>
              <w:right w:val="single" w:color="000000" w:sz="4" w:space="0"/>
            </w:tcBorders>
          </w:tcPr>
          <w:p w:rsidR="006E6D7A" w:rsidRDefault="00B16C64" w14:paraId="671571AC" w14:textId="77777777">
            <w:pPr>
              <w:spacing w:before="100" w:after="100"/>
              <w:ind w:left="45"/>
            </w:pPr>
            <w:r>
              <w:rPr>
                <w:sz w:val="16"/>
                <w:szCs w:val="16"/>
              </w:rPr>
              <w:t>Ex_RSE_02</w:t>
            </w:r>
          </w:p>
          <w:p w:rsidR="006E6D7A" w:rsidRDefault="006E6D7A" w14:paraId="671571AD" w14:textId="77777777"/>
        </w:tc>
        <w:tc>
          <w:tcPr>
            <w:tcW w:w="8688" w:type="dxa"/>
            <w:tcBorders>
              <w:top w:val="single" w:color="000000" w:sz="4" w:space="0"/>
              <w:left w:val="single" w:color="000000" w:sz="4" w:space="0"/>
              <w:bottom w:val="single" w:color="000000" w:sz="4" w:space="0"/>
              <w:right w:val="single" w:color="000000" w:sz="4" w:space="0"/>
            </w:tcBorders>
            <w:vAlign w:val="center"/>
          </w:tcPr>
          <w:p w:rsidR="006E6D7A" w:rsidRDefault="00B16C64" w14:paraId="671571AE" w14:textId="77777777">
            <w:r>
              <w:t xml:space="preserve">Le titulaire s’engage à disposer d’un plan de mobilité employeur de manière à limiter l’impact sociétal des déplacements de ses agents intervenants dans le cadre de cette prestation. </w:t>
            </w:r>
          </w:p>
        </w:tc>
      </w:tr>
      <w:tr w:rsidR="006E6D7A" w14:paraId="671571B2" w14:textId="77777777">
        <w:trPr>
          <w:trHeight w:val="295"/>
        </w:trPr>
        <w:tc>
          <w:tcPr>
            <w:tcW w:w="986" w:type="dxa"/>
            <w:vMerge w:val="restart"/>
            <w:tcBorders>
              <w:top w:val="single" w:color="000000" w:sz="4" w:space="0"/>
              <w:left w:val="single" w:color="000000" w:sz="4" w:space="0"/>
              <w:bottom w:val="single" w:color="000000" w:sz="4" w:space="0"/>
              <w:right w:val="single" w:color="000000" w:sz="4" w:space="0"/>
            </w:tcBorders>
          </w:tcPr>
          <w:p w:rsidR="006E6D7A" w:rsidRDefault="00B16C64" w14:paraId="671571B0" w14:textId="77777777">
            <w:pPr>
              <w:spacing w:before="100" w:after="100"/>
              <w:ind w:left="45"/>
              <w:rPr>
                <w:sz w:val="16"/>
                <w:szCs w:val="16"/>
              </w:rPr>
            </w:pPr>
            <w:r>
              <w:rPr>
                <w:sz w:val="16"/>
                <w:szCs w:val="16"/>
              </w:rPr>
              <w:t>Ex_RSE_03</w:t>
            </w:r>
          </w:p>
        </w:tc>
        <w:tc>
          <w:tcPr>
            <w:tcW w:w="8688" w:type="dxa"/>
            <w:vMerge w:val="restart"/>
            <w:tcBorders>
              <w:top w:val="single" w:color="000000" w:sz="4" w:space="0"/>
              <w:left w:val="single" w:color="000000" w:sz="4" w:space="0"/>
              <w:bottom w:val="single" w:color="000000" w:sz="4" w:space="0"/>
              <w:right w:val="single" w:color="000000" w:sz="4" w:space="0"/>
            </w:tcBorders>
            <w:vAlign w:val="center"/>
          </w:tcPr>
          <w:p w:rsidR="006E6D7A" w:rsidRDefault="00B16C64" w14:paraId="671571B1" w14:textId="77777777">
            <w:r>
              <w:t xml:space="preserve">L'utilisation d'un espace de travail collaboratif pour le partage d'information et de documentation est mise en place, limitant ainsi l'échange de mails et le volume des données échangés. Pour le suivi des prestations, le titulaire utilise, sauf nécessité dûment justifiée, les échanges par voie dématérialisée (Espace collaboratif, courriel, vidéoconférence, audioconférence, etc.) </w:t>
            </w:r>
          </w:p>
        </w:tc>
      </w:tr>
      <w:tr w:rsidR="006E6D7A" w14:paraId="671571B5" w14:textId="77777777">
        <w:trPr>
          <w:trHeight w:val="295"/>
        </w:trPr>
        <w:tc>
          <w:tcPr>
            <w:tcW w:w="986" w:type="dxa"/>
            <w:vMerge w:val="restart"/>
            <w:tcBorders>
              <w:top w:val="single" w:color="000000" w:sz="4" w:space="0"/>
              <w:left w:val="single" w:color="000000" w:sz="4" w:space="0"/>
              <w:bottom w:val="single" w:color="000000" w:sz="4" w:space="0"/>
              <w:right w:val="single" w:color="000000" w:sz="4" w:space="0"/>
            </w:tcBorders>
          </w:tcPr>
          <w:p w:rsidR="006E6D7A" w:rsidRDefault="00B16C64" w14:paraId="671571B3" w14:textId="77777777">
            <w:pPr>
              <w:spacing w:before="100" w:after="100"/>
              <w:ind w:left="45"/>
              <w:rPr>
                <w:sz w:val="16"/>
                <w:szCs w:val="16"/>
              </w:rPr>
            </w:pPr>
            <w:r>
              <w:rPr>
                <w:sz w:val="16"/>
                <w:szCs w:val="16"/>
              </w:rPr>
              <w:t>Ex_RSE_04</w:t>
            </w:r>
          </w:p>
        </w:tc>
        <w:tc>
          <w:tcPr>
            <w:tcW w:w="8688" w:type="dxa"/>
            <w:vMerge w:val="restart"/>
            <w:tcBorders>
              <w:top w:val="single" w:color="000000" w:sz="4" w:space="0"/>
              <w:left w:val="single" w:color="000000" w:sz="4" w:space="0"/>
              <w:bottom w:val="single" w:color="000000" w:sz="4" w:space="0"/>
              <w:right w:val="single" w:color="000000" w:sz="4" w:space="0"/>
            </w:tcBorders>
            <w:vAlign w:val="center"/>
          </w:tcPr>
          <w:p w:rsidR="006E6D7A" w:rsidRDefault="00B16C64" w14:paraId="671571B4" w14:textId="77777777">
            <w:r>
              <w:t xml:space="preserve">S’il y est soumis, le titulaire communique à </w:t>
            </w:r>
            <w:proofErr w:type="spellStart"/>
            <w:r>
              <w:t>Inrae</w:t>
            </w:r>
            <w:proofErr w:type="spellEnd"/>
            <w:r>
              <w:t xml:space="preserve"> son BEGES conformément à l’article L.229-25 du code de l'environnement </w:t>
            </w:r>
          </w:p>
        </w:tc>
      </w:tr>
      <w:tr w:rsidR="006E6D7A" w14:paraId="671571B8" w14:textId="77777777">
        <w:trPr>
          <w:trHeight w:val="295"/>
        </w:trPr>
        <w:tc>
          <w:tcPr>
            <w:tcW w:w="986" w:type="dxa"/>
            <w:vMerge w:val="restart"/>
            <w:tcBorders>
              <w:top w:val="single" w:color="000000" w:sz="4" w:space="0"/>
              <w:left w:val="single" w:color="000000" w:sz="4" w:space="0"/>
              <w:bottom w:val="single" w:color="000000" w:sz="4" w:space="0"/>
              <w:right w:val="single" w:color="000000" w:sz="4" w:space="0"/>
            </w:tcBorders>
          </w:tcPr>
          <w:p w:rsidR="006E6D7A" w:rsidRDefault="00B16C64" w14:paraId="671571B6" w14:textId="77777777">
            <w:pPr>
              <w:spacing w:before="100" w:after="100"/>
              <w:ind w:left="45"/>
              <w:rPr>
                <w:sz w:val="16"/>
                <w:szCs w:val="16"/>
              </w:rPr>
            </w:pPr>
            <w:r>
              <w:rPr>
                <w:sz w:val="16"/>
                <w:szCs w:val="16"/>
              </w:rPr>
              <w:t>Ex_RSE_05</w:t>
            </w:r>
          </w:p>
        </w:tc>
        <w:tc>
          <w:tcPr>
            <w:tcW w:w="8688" w:type="dxa"/>
            <w:vMerge w:val="restart"/>
            <w:tcBorders>
              <w:top w:val="single" w:color="000000" w:sz="4" w:space="0"/>
              <w:left w:val="single" w:color="000000" w:sz="4" w:space="0"/>
              <w:bottom w:val="single" w:color="000000" w:sz="4" w:space="0"/>
              <w:right w:val="single" w:color="000000" w:sz="4" w:space="0"/>
            </w:tcBorders>
            <w:vAlign w:val="center"/>
          </w:tcPr>
          <w:p w:rsidR="006E6D7A" w:rsidRDefault="00B16C64" w14:paraId="671571B7" w14:textId="77777777">
            <w:r>
              <w:t xml:space="preserve">S’il y est soumis, le titulaire communique à </w:t>
            </w:r>
            <w:proofErr w:type="spellStart"/>
            <w:r>
              <w:t>Inrae</w:t>
            </w:r>
            <w:proofErr w:type="spellEnd"/>
            <w:r>
              <w:t xml:space="preserve"> son index d’égalité professionnelle femme/homme</w:t>
            </w:r>
          </w:p>
        </w:tc>
      </w:tr>
    </w:tbl>
    <w:p w:rsidR="006E6D7A" w:rsidRDefault="006E6D7A" w14:paraId="671571B9" w14:textId="77777777"/>
    <w:p w:rsidR="006E6D7A" w:rsidRDefault="006E6D7A" w14:paraId="671571BA" w14:textId="77777777">
      <w:pPr>
        <w:rPr>
          <w:szCs w:val="24"/>
        </w:rPr>
      </w:pPr>
    </w:p>
    <w:p w:rsidR="006E6D7A" w:rsidRDefault="006E6D7A" w14:paraId="671571BB" w14:textId="77777777">
      <w:pPr>
        <w:pStyle w:val="Puce1"/>
        <w:numPr>
          <w:ilvl w:val="0"/>
          <w:numId w:val="0"/>
        </w:numPr>
        <w:rPr>
          <w:rFonts w:asciiTheme="minorHAnsi" w:hAnsiTheme="minorHAnsi" w:cstheme="minorHAnsi"/>
        </w:rPr>
      </w:pPr>
    </w:p>
    <w:p w:rsidR="006E6D7A" w:rsidRDefault="00B16C64" w14:paraId="671571BC" w14:textId="77777777">
      <w:pPr>
        <w:pStyle w:val="Titre2"/>
      </w:pPr>
      <w:bookmarkStart w:name="_Toc221095529" w:id="104"/>
      <w:r>
        <w:t>Pilotage et coordination</w:t>
      </w:r>
      <w:bookmarkEnd w:id="104"/>
    </w:p>
    <w:p w:rsidR="006E6D7A" w:rsidRDefault="00B16C64" w14:paraId="671571BD" w14:textId="77777777">
      <w:r>
        <w:t>L’organisation décrite à date de rédaction de cet accord-cadre est susceptible d’évoluer. Aussi, les principes présentés ci-après peuvent évoluer pendant la durée d’exécution de l’accord-cadre. Par ailleurs, il est entendu que le titulaire adapte la gouvernance en fonction de l’actualité (besoin d’un suivi plus resserré ou non).</w:t>
      </w:r>
    </w:p>
    <w:p w:rsidR="006E6D7A" w:rsidRDefault="00B16C64" w14:paraId="671571BE" w14:textId="77777777">
      <w:r>
        <w:t>Il s’agit pour le titulaire de conduire toutes les actions en lien avec les prestations concernées permettant à la fois de garantir l’atteinte des résultats attendus et la transparence de son déroulement à l’égard d‘INRAE, notamment au sein de sa société (formation, gestion des intervenants et de leur carrière …).</w:t>
      </w:r>
    </w:p>
    <w:tbl>
      <w:tblPr>
        <w:tblpPr w:leftFromText="141" w:rightFromText="141" w:vertAnchor="text" w:horzAnchor="margin" w:tblpY="157"/>
        <w:tblW w:w="9675" w:type="dxa"/>
        <w:tblLayout w:type="fixed"/>
        <w:tblCellMar>
          <w:left w:w="71" w:type="dxa"/>
          <w:right w:w="71" w:type="dxa"/>
        </w:tblCellMar>
        <w:tblLook w:val="0000" w:firstRow="0" w:lastRow="0" w:firstColumn="0" w:lastColumn="0" w:noHBand="0" w:noVBand="0"/>
      </w:tblPr>
      <w:tblGrid>
        <w:gridCol w:w="986"/>
        <w:gridCol w:w="8689"/>
      </w:tblGrid>
      <w:tr w:rsidR="006E6D7A" w14:paraId="671571C1" w14:textId="77777777">
        <w:trPr>
          <w:tblHeader/>
        </w:trPr>
        <w:tc>
          <w:tcPr>
            <w:tcW w:w="986" w:type="dxa"/>
            <w:tcBorders>
              <w:top w:val="single" w:color="000000" w:sz="4" w:space="0"/>
              <w:left w:val="single" w:color="000000" w:sz="4" w:space="0"/>
            </w:tcBorders>
            <w:shd w:val="clear" w:color="auto" w:fill="03A3A6"/>
            <w:vAlign w:val="center"/>
          </w:tcPr>
          <w:p w:rsidR="006E6D7A" w:rsidRDefault="00B16C64" w14:paraId="671571BF" w14:textId="77777777">
            <w:pPr>
              <w:rPr>
                <w:b/>
                <w:bCs/>
                <w:color w:val="FFFFFF" w:themeColor="background1"/>
              </w:rPr>
            </w:pPr>
            <w:r>
              <w:rPr>
                <w:b/>
                <w:bCs/>
                <w:color w:val="FFFFFF" w:themeColor="background1"/>
              </w:rPr>
              <w:t>Réf.</w:t>
            </w:r>
          </w:p>
        </w:tc>
        <w:tc>
          <w:tcPr>
            <w:tcW w:w="8688" w:type="dxa"/>
            <w:tcBorders>
              <w:top w:val="single" w:color="000000" w:sz="4" w:space="0"/>
              <w:left w:val="single" w:color="000000" w:sz="4" w:space="0"/>
              <w:right w:val="single" w:color="000000" w:sz="4" w:space="0"/>
            </w:tcBorders>
            <w:shd w:val="clear" w:color="auto" w:fill="03A3A6"/>
            <w:vAlign w:val="center"/>
          </w:tcPr>
          <w:p w:rsidR="006E6D7A" w:rsidRDefault="00B16C64" w14:paraId="671571C0" w14:textId="77777777">
            <w:pPr>
              <w:rPr>
                <w:b/>
                <w:bCs/>
                <w:color w:val="FFFFFF" w:themeColor="background1"/>
              </w:rPr>
            </w:pPr>
            <w:r>
              <w:rPr>
                <w:b/>
                <w:bCs/>
                <w:color w:val="FFFFFF" w:themeColor="background1"/>
              </w:rPr>
              <w:t>Exigence</w:t>
            </w:r>
          </w:p>
        </w:tc>
      </w:tr>
      <w:tr w:rsidR="006E6D7A" w14:paraId="671571C4" w14:textId="77777777">
        <w:tc>
          <w:tcPr>
            <w:tcW w:w="986" w:type="dxa"/>
            <w:tcBorders>
              <w:top w:val="single" w:color="000000" w:sz="4" w:space="0"/>
              <w:left w:val="single" w:color="000000" w:sz="4" w:space="0"/>
              <w:bottom w:val="single" w:color="000000" w:sz="4" w:space="0"/>
              <w:right w:val="single" w:color="000000" w:sz="4" w:space="0"/>
            </w:tcBorders>
          </w:tcPr>
          <w:p w:rsidR="006E6D7A" w:rsidRDefault="00B16C64" w14:paraId="671571C2" w14:textId="77777777">
            <w:pPr>
              <w:spacing w:before="100" w:after="100"/>
              <w:ind w:left="45"/>
            </w:pPr>
            <w:r>
              <w:rPr>
                <w:sz w:val="16"/>
                <w:szCs w:val="16"/>
              </w:rPr>
              <w:t>Ex_PC_01</w:t>
            </w:r>
          </w:p>
        </w:tc>
        <w:tc>
          <w:tcPr>
            <w:tcW w:w="8688" w:type="dxa"/>
            <w:tcBorders>
              <w:top w:val="single" w:color="000000" w:sz="4" w:space="0"/>
              <w:left w:val="single" w:color="000000" w:sz="4" w:space="0"/>
              <w:bottom w:val="single" w:color="000000" w:sz="4" w:space="0"/>
              <w:right w:val="single" w:color="000000" w:sz="4" w:space="0"/>
            </w:tcBorders>
          </w:tcPr>
          <w:p w:rsidR="006E6D7A" w:rsidRDefault="00B16C64" w14:paraId="671571C3" w14:textId="77777777">
            <w:r>
              <w:t>Le pilotage des prestations par le titulaire inclut les activités liées aux réunions de pilotage et de contrôle puis les activités de maîtrise de la prestation et de la qualité de service.</w:t>
            </w:r>
          </w:p>
        </w:tc>
      </w:tr>
      <w:tr w:rsidR="006E6D7A" w14:paraId="671571C7" w14:textId="77777777">
        <w:tc>
          <w:tcPr>
            <w:tcW w:w="986" w:type="dxa"/>
            <w:tcBorders>
              <w:top w:val="single" w:color="000000" w:sz="4" w:space="0"/>
              <w:left w:val="single" w:color="000000" w:sz="4" w:space="0"/>
              <w:bottom w:val="single" w:color="000000" w:sz="4" w:space="0"/>
              <w:right w:val="single" w:color="000000" w:sz="4" w:space="0"/>
            </w:tcBorders>
          </w:tcPr>
          <w:p w:rsidR="006E6D7A" w:rsidRDefault="00B16C64" w14:paraId="671571C5" w14:textId="77777777">
            <w:pPr>
              <w:spacing w:before="100" w:after="100"/>
              <w:ind w:left="45"/>
            </w:pPr>
            <w:r>
              <w:rPr>
                <w:sz w:val="16"/>
                <w:szCs w:val="16"/>
              </w:rPr>
              <w:t>Ex_PC_02</w:t>
            </w:r>
          </w:p>
        </w:tc>
        <w:tc>
          <w:tcPr>
            <w:tcW w:w="8688" w:type="dxa"/>
            <w:tcBorders>
              <w:top w:val="single" w:color="000000" w:sz="4" w:space="0"/>
              <w:left w:val="single" w:color="000000" w:sz="4" w:space="0"/>
              <w:bottom w:val="single" w:color="000000" w:sz="4" w:space="0"/>
              <w:right w:val="single" w:color="000000" w:sz="4" w:space="0"/>
            </w:tcBorders>
            <w:vAlign w:val="center"/>
          </w:tcPr>
          <w:p w:rsidR="006E6D7A" w:rsidRDefault="00B16C64" w14:paraId="671571C6" w14:textId="77777777">
            <w:r>
              <w:t>Sauf mention contraire, les activités de pilotage s’appliquent à chacune des prestations commandées ou prises en charge par le titulaire. Elles font partie intégrante des activités à accomplir par le titulaire sans qu’il soit nécessaire de déclencher une commande complémentaire.</w:t>
            </w:r>
          </w:p>
        </w:tc>
      </w:tr>
    </w:tbl>
    <w:p w:rsidR="006E6D7A" w:rsidRDefault="006E6D7A" w14:paraId="671571C8" w14:textId="77777777"/>
    <w:p w:rsidR="006E6D7A" w:rsidRDefault="00B16C64" w14:paraId="671571C9" w14:textId="77777777">
      <w:r>
        <w:t xml:space="preserve">Ces actions de pilotage s’inscrivent dans les thématiques suivantes : </w:t>
      </w:r>
    </w:p>
    <w:p w:rsidR="006E6D7A" w:rsidRDefault="00B16C64" w14:paraId="671571CA" w14:textId="77777777">
      <w:pPr>
        <w:pStyle w:val="Puce1"/>
        <w:numPr>
          <w:ilvl w:val="0"/>
          <w:numId w:val="30"/>
        </w:numPr>
        <w:ind w:left="714" w:hanging="357"/>
        <w:rPr>
          <w:rFonts w:asciiTheme="minorHAnsi" w:hAnsiTheme="minorHAnsi" w:cstheme="minorHAnsi"/>
        </w:rPr>
      </w:pPr>
      <w:r>
        <w:rPr>
          <w:rFonts w:cstheme="minorHAnsi"/>
        </w:rPr>
        <w:t>La gestion des intervenants et des compétences sur les activités unités utilisatrices</w:t>
      </w:r>
    </w:p>
    <w:p w:rsidR="006E6D7A" w:rsidRDefault="00B16C64" w14:paraId="671571CB" w14:textId="77777777">
      <w:pPr>
        <w:pStyle w:val="Puce1"/>
        <w:numPr>
          <w:ilvl w:val="0"/>
          <w:numId w:val="30"/>
        </w:numPr>
        <w:ind w:left="714" w:hanging="357"/>
        <w:rPr>
          <w:rFonts w:asciiTheme="minorHAnsi" w:hAnsiTheme="minorHAnsi" w:cstheme="minorHAnsi"/>
        </w:rPr>
      </w:pPr>
      <w:r>
        <w:rPr>
          <w:rFonts w:cstheme="minorHAnsi"/>
        </w:rPr>
        <w:t>Le pilotage opérationnel par sprint</w:t>
      </w:r>
    </w:p>
    <w:p w:rsidR="006E6D7A" w:rsidRDefault="00B16C64" w14:paraId="671571CC" w14:textId="77777777">
      <w:pPr>
        <w:pStyle w:val="Puce1"/>
        <w:numPr>
          <w:ilvl w:val="0"/>
          <w:numId w:val="30"/>
        </w:numPr>
        <w:ind w:left="714" w:hanging="357"/>
        <w:rPr>
          <w:rFonts w:asciiTheme="minorHAnsi" w:hAnsiTheme="minorHAnsi" w:cstheme="minorHAnsi"/>
        </w:rPr>
      </w:pPr>
      <w:r>
        <w:rPr>
          <w:rFonts w:cstheme="minorHAnsi"/>
        </w:rPr>
        <w:t>Le pilotage, la coordination et le suivi contractuel avec les porteurs d’offre de service DSI ou de toute autre unité utilisatrice du marché.</w:t>
      </w:r>
    </w:p>
    <w:p w:rsidR="006E6D7A" w:rsidRDefault="006E6D7A" w14:paraId="671571CD" w14:textId="77777777">
      <w:pPr>
        <w:pStyle w:val="Puce1"/>
        <w:numPr>
          <w:ilvl w:val="0"/>
          <w:numId w:val="0"/>
        </w:numPr>
        <w:ind w:left="720" w:hanging="360"/>
        <w:rPr>
          <w:rFonts w:asciiTheme="minorHAnsi" w:hAnsiTheme="minorHAnsi" w:cstheme="minorHAnsi"/>
        </w:rPr>
      </w:pPr>
    </w:p>
    <w:p w:rsidR="006E6D7A" w:rsidRDefault="00B16C64" w14:paraId="671571CE" w14:textId="77777777">
      <w:r>
        <w:lastRenderedPageBreak/>
        <w:t xml:space="preserve">Les articles suivants détaillent les attendus pour les projets DSI. </w:t>
      </w:r>
    </w:p>
    <w:p w:rsidR="006E6D7A" w:rsidRDefault="00B16C64" w14:paraId="671571CF" w14:textId="77777777">
      <w:r>
        <w:t>Ils servent de standard à la qualité de pilotage attendue. Ils peuvent être repris en l’état ou détaillés pour d’autres projets dans le cadre de marchés subséquents éventuels.</w:t>
      </w:r>
    </w:p>
    <w:p w:rsidR="006E6D7A" w:rsidRDefault="00B16C64" w14:paraId="671571D0" w14:textId="77777777">
      <w:pPr>
        <w:pStyle w:val="Titre3"/>
        <w:numPr>
          <w:ilvl w:val="3"/>
          <w:numId w:val="3"/>
        </w:numPr>
      </w:pPr>
      <w:bookmarkStart w:name="_Toc221095530" w:id="105"/>
      <w:r>
        <w:t>La gestion des intervenants et des compétences</w:t>
      </w:r>
      <w:bookmarkEnd w:id="105"/>
    </w:p>
    <w:p w:rsidR="006E6D7A" w:rsidRDefault="00B16C64" w14:paraId="671571D1" w14:textId="77777777">
      <w:pPr>
        <w:pStyle w:val="Titre4"/>
        <w:numPr>
          <w:ilvl w:val="4"/>
          <w:numId w:val="3"/>
        </w:numPr>
      </w:pPr>
      <w:r>
        <w:t>Gestion des intervenants</w:t>
      </w:r>
    </w:p>
    <w:p w:rsidR="006E6D7A" w:rsidRDefault="00B16C64" w14:paraId="671571D2" w14:textId="77777777">
      <w:r>
        <w:t xml:space="preserve">Pour la réussite du projet, le pouvoir adjudicateur estime que la stabilité des équipes dans la durée, notamment de tous les intervenants ayant un rôle clé est primordiale. Il est donc attendu du titulaire qu’il mette en place les dispositifs nécessaires pour assurer la pérennité des ressources et le maintien de leur motivation. </w:t>
      </w:r>
    </w:p>
    <w:p w:rsidR="006E6D7A" w:rsidRDefault="00B16C64" w14:paraId="671571D3" w14:textId="77777777">
      <w:r>
        <w:t>En ce qui concerne les prestations pour lesquelles le titulaire affecte des intervenants :</w:t>
      </w:r>
    </w:p>
    <w:p w:rsidR="006E6D7A" w:rsidRDefault="00B16C64" w14:paraId="671571D4" w14:textId="77777777">
      <w:pPr>
        <w:pStyle w:val="Puce1"/>
        <w:numPr>
          <w:ilvl w:val="0"/>
          <w:numId w:val="30"/>
        </w:numPr>
        <w:ind w:left="714" w:hanging="357"/>
        <w:rPr>
          <w:rFonts w:asciiTheme="minorHAnsi" w:hAnsiTheme="minorHAnsi" w:cstheme="minorHAnsi"/>
        </w:rPr>
      </w:pPr>
      <w:r>
        <w:rPr>
          <w:rFonts w:cstheme="minorHAnsi"/>
        </w:rPr>
        <w:t>Le titulaire transmet à INRAE les CV des personnels qui interviennent. Ces CV doivent être conformes aux profils contractualisés dans son offre ; Le titulaire s’engage à mettre à disposition de INRAE des intervenants compétents par rapport aux besoins exprimés.</w:t>
      </w:r>
    </w:p>
    <w:p w:rsidR="006E6D7A" w:rsidRDefault="00B16C64" w14:paraId="671571D5" w14:textId="77777777">
      <w:pPr>
        <w:pStyle w:val="Puce1"/>
        <w:numPr>
          <w:ilvl w:val="0"/>
          <w:numId w:val="30"/>
        </w:numPr>
        <w:ind w:left="714" w:hanging="357"/>
        <w:rPr>
          <w:rFonts w:asciiTheme="minorHAnsi" w:hAnsiTheme="minorHAnsi" w:cstheme="minorHAnsi"/>
        </w:rPr>
      </w:pPr>
      <w:r>
        <w:rPr>
          <w:rFonts w:cstheme="minorHAnsi"/>
        </w:rPr>
        <w:t>INRAE présente au futur intervenant le contexte de sa mission et les enjeux associés.</w:t>
      </w:r>
    </w:p>
    <w:p w:rsidR="006E6D7A" w:rsidRDefault="00B16C64" w14:paraId="671571D6" w14:textId="77777777">
      <w:pPr>
        <w:pStyle w:val="Puce1"/>
        <w:numPr>
          <w:ilvl w:val="0"/>
          <w:numId w:val="30"/>
        </w:numPr>
        <w:ind w:left="714" w:hanging="357"/>
        <w:rPr>
          <w:rFonts w:asciiTheme="minorHAnsi" w:hAnsiTheme="minorHAnsi" w:cstheme="minorHAnsi"/>
        </w:rPr>
      </w:pPr>
      <w:r>
        <w:rPr>
          <w:rFonts w:asciiTheme="minorHAnsi" w:hAnsiTheme="minorHAnsi" w:cstheme="minorHAnsi"/>
        </w:rPr>
        <w:t>INRAE valide la personne proposée.</w:t>
      </w:r>
    </w:p>
    <w:p w:rsidR="006E6D7A" w:rsidRDefault="00B16C64" w14:paraId="671571D7" w14:textId="77777777">
      <w:pPr>
        <w:pStyle w:val="Puce1"/>
        <w:numPr>
          <w:ilvl w:val="0"/>
          <w:numId w:val="30"/>
        </w:numPr>
        <w:ind w:left="714" w:hanging="357"/>
        <w:rPr>
          <w:rFonts w:asciiTheme="minorHAnsi" w:hAnsiTheme="minorHAnsi" w:cstheme="minorHAnsi"/>
        </w:rPr>
      </w:pPr>
      <w:r>
        <w:rPr>
          <w:rFonts w:cstheme="minorHAnsi"/>
        </w:rPr>
        <w:t xml:space="preserve">Le titulaire informe INRAE de l’évolution de ses intervenants et notamment les arrivées / départs. </w:t>
      </w:r>
    </w:p>
    <w:p w:rsidR="006E6D7A" w:rsidRDefault="00B16C64" w14:paraId="671571D8" w14:textId="77777777">
      <w:pPr>
        <w:pStyle w:val="Puce2"/>
        <w:numPr>
          <w:ilvl w:val="1"/>
          <w:numId w:val="32"/>
        </w:numPr>
        <w:ind w:left="890" w:hanging="357"/>
        <w:rPr>
          <w:rFonts w:asciiTheme="minorHAnsi" w:hAnsiTheme="minorHAnsi" w:cstheme="minorHAnsi"/>
        </w:rPr>
      </w:pPr>
      <w:r>
        <w:rPr>
          <w:rFonts w:cstheme="minorHAnsi"/>
        </w:rPr>
        <w:t>Le changement d’intervenant doit se réaliser lors d’un changement de sprint sauf accord INRAE et titulaire concerné.</w:t>
      </w:r>
    </w:p>
    <w:p w:rsidR="006E6D7A" w:rsidRDefault="00B16C64" w14:paraId="671571D9" w14:textId="77777777">
      <w:pPr>
        <w:pStyle w:val="Puce2"/>
        <w:numPr>
          <w:ilvl w:val="1"/>
          <w:numId w:val="32"/>
        </w:numPr>
        <w:ind w:left="890" w:hanging="357"/>
        <w:rPr>
          <w:rFonts w:asciiTheme="minorHAnsi" w:hAnsiTheme="minorHAnsi" w:cstheme="minorHAnsi"/>
        </w:rPr>
      </w:pPr>
      <w:r>
        <w:rPr>
          <w:rFonts w:cstheme="minorHAnsi"/>
        </w:rPr>
        <w:t>Il est demandé au titulaire d’informer le responsable d’enjeu au moins 2 mois avant la date de départ.</w:t>
      </w:r>
    </w:p>
    <w:p w:rsidR="006E6D7A" w:rsidRDefault="00B16C64" w14:paraId="671571DA" w14:textId="77777777">
      <w:pPr>
        <w:pStyle w:val="Puce2"/>
        <w:numPr>
          <w:ilvl w:val="1"/>
          <w:numId w:val="32"/>
        </w:numPr>
        <w:ind w:left="890" w:hanging="357"/>
        <w:rPr>
          <w:rFonts w:asciiTheme="minorHAnsi" w:hAnsiTheme="minorHAnsi" w:cstheme="minorHAnsi"/>
        </w:rPr>
      </w:pPr>
      <w:r>
        <w:rPr>
          <w:rFonts w:cstheme="minorHAnsi"/>
        </w:rPr>
        <w:t>En cas de remplacement de son (ses) responsable(s) de pilotage, le titulaire doit en informer INRAE au moins 3 mois avant la date de départ afin d’assurer une période de recouvrement d’au moins une release.</w:t>
      </w:r>
    </w:p>
    <w:p w:rsidR="006E6D7A" w:rsidRDefault="00B16C64" w14:paraId="671571DB" w14:textId="77777777">
      <w:pPr>
        <w:pStyle w:val="Puce1"/>
      </w:pPr>
      <w:r>
        <w:t>Le cas échéant, INRAE informe le titulaire au moins 1 mois avant l’arrêt de prestation d’un intervenant (notamment pour cause d’arrêt immédiat d’un projet ou en cas de problèmes relationnels forts avec d’autres intervenants).</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1129"/>
        <w:gridCol w:w="8546"/>
      </w:tblGrid>
      <w:tr w:rsidR="006E6D7A" w14:paraId="671571DE" w14:textId="77777777">
        <w:trPr>
          <w:tblHeader/>
        </w:trPr>
        <w:tc>
          <w:tcPr>
            <w:tcW w:w="1129" w:type="dxa"/>
            <w:tcBorders>
              <w:top w:val="single" w:color="000000" w:sz="4" w:space="0"/>
              <w:left w:val="single" w:color="000000" w:sz="4" w:space="0"/>
            </w:tcBorders>
            <w:shd w:val="clear" w:color="auto" w:fill="03A3A6"/>
            <w:vAlign w:val="center"/>
          </w:tcPr>
          <w:p w:rsidR="006E6D7A" w:rsidRDefault="00B16C64" w14:paraId="671571DC" w14:textId="77777777">
            <w:pPr>
              <w:rPr>
                <w:b/>
                <w:bCs/>
                <w:color w:val="FFFFFF" w:themeColor="background1"/>
              </w:rPr>
            </w:pPr>
            <w:r>
              <w:rPr>
                <w:b/>
                <w:bCs/>
                <w:color w:val="FFFFFF" w:themeColor="background1"/>
              </w:rPr>
              <w:t>Réf.</w:t>
            </w:r>
          </w:p>
        </w:tc>
        <w:tc>
          <w:tcPr>
            <w:tcW w:w="8545" w:type="dxa"/>
            <w:tcBorders>
              <w:top w:val="single" w:color="000000" w:sz="4" w:space="0"/>
              <w:left w:val="single" w:color="000000" w:sz="4" w:space="0"/>
              <w:right w:val="single" w:color="000000" w:sz="4" w:space="0"/>
            </w:tcBorders>
            <w:shd w:val="clear" w:color="auto" w:fill="03A3A6"/>
            <w:vAlign w:val="center"/>
          </w:tcPr>
          <w:p w:rsidR="006E6D7A" w:rsidRDefault="00B16C64" w14:paraId="671571DD" w14:textId="77777777">
            <w:pPr>
              <w:rPr>
                <w:b/>
                <w:bCs/>
                <w:color w:val="FFFFFF" w:themeColor="background1"/>
              </w:rPr>
            </w:pPr>
            <w:r>
              <w:rPr>
                <w:b/>
                <w:bCs/>
                <w:color w:val="FFFFFF" w:themeColor="background1"/>
              </w:rPr>
              <w:t>Exigence</w:t>
            </w:r>
          </w:p>
        </w:tc>
      </w:tr>
      <w:tr w:rsidR="006E6D7A" w14:paraId="671571E1"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1DF" w14:textId="77777777">
            <w:pPr>
              <w:spacing w:before="100" w:after="100"/>
              <w:ind w:left="45"/>
              <w:rPr>
                <w:color w:val="FF0000"/>
              </w:rPr>
            </w:pPr>
            <w:r>
              <w:rPr>
                <w:sz w:val="16"/>
                <w:szCs w:val="16"/>
              </w:rPr>
              <w:t>Ex_PC_03</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1E0" w14:textId="77777777">
            <w:pPr>
              <w:rPr>
                <w:color w:val="FF0000"/>
              </w:rPr>
            </w:pPr>
            <w:r>
              <w:t>Le titulaire désigne les intervenants en charge de réaliser les travaux, en conformité avec les engagements de compétences pris dans son offre et exigés, le cas échéant, spécifiquement dans les marchés subséquents ou les bons de commande.</w:t>
            </w:r>
          </w:p>
        </w:tc>
      </w:tr>
      <w:tr w:rsidR="006E6D7A" w14:paraId="671571E4"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1E2" w14:textId="77777777">
            <w:pPr>
              <w:spacing w:before="100" w:after="100"/>
              <w:ind w:left="45"/>
              <w:rPr>
                <w:color w:val="FF0000"/>
              </w:rPr>
            </w:pPr>
            <w:r>
              <w:rPr>
                <w:sz w:val="16"/>
                <w:szCs w:val="16"/>
              </w:rPr>
              <w:t>Ex_PC_04</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1E3" w14:textId="77777777">
            <w:r>
              <w:t>Dans l’hypothèse où les intervenants proposés ne correspondent pas aux profils contractualisés ou ne rendent pas un service à la hauteur des engagements contractuels pris par le titulaire au titre du présent accord-cadre, le titulaire réserve à INRAE la possibilité d’en demander le remplacement dans un délai maximum d’un mois sans que cela ne contrevienne à la possibilité pour INRAE d’appliquer des pénalités éventuelles.</w:t>
            </w:r>
          </w:p>
        </w:tc>
      </w:tr>
      <w:tr w:rsidR="006E6D7A" w14:paraId="671571E7"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1E5" w14:textId="77777777">
            <w:pPr>
              <w:spacing w:before="100" w:after="100"/>
              <w:ind w:left="45"/>
              <w:rPr>
                <w:color w:val="FF0000"/>
              </w:rPr>
            </w:pPr>
            <w:r>
              <w:rPr>
                <w:sz w:val="16"/>
                <w:szCs w:val="16"/>
              </w:rPr>
              <w:t>Ex_PC_05</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1E6" w14:textId="77777777">
            <w:r>
              <w:t xml:space="preserve">Le titulaire installe, met en place et maintient les moyens nécessaires à l’exécution des travaux par ses intervenants (par exemple pour les </w:t>
            </w:r>
            <w:proofErr w:type="spellStart"/>
            <w:r>
              <w:t>daily</w:t>
            </w:r>
            <w:proofErr w:type="spellEnd"/>
            <w:r>
              <w:t xml:space="preserve"> : réunion importante quotidienne, un bureau sans bruit excessif accessible, casque audio et connexion de </w:t>
            </w:r>
            <w:proofErr w:type="gramStart"/>
            <w:r>
              <w:t>qualité )</w:t>
            </w:r>
            <w:proofErr w:type="gramEnd"/>
            <w:r>
              <w:t>. Il est notamment exigé un casque de très bonne qualité, un PC adapté pour le développement et la garantie d’un accès internet de qualité.</w:t>
            </w:r>
          </w:p>
        </w:tc>
      </w:tr>
      <w:tr w:rsidR="006E6D7A" w14:paraId="671571EA"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1E8" w14:textId="77777777">
            <w:pPr>
              <w:spacing w:before="100" w:after="100"/>
              <w:ind w:left="45"/>
              <w:rPr>
                <w:color w:val="FF0000"/>
              </w:rPr>
            </w:pPr>
            <w:r>
              <w:rPr>
                <w:sz w:val="16"/>
                <w:szCs w:val="16"/>
              </w:rPr>
              <w:t>Ex_PC_06</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1E9" w14:textId="77777777">
            <w:r>
              <w:t>Le titulaire met en œuvre les plans d’action permettant d’assurer que les intervenants connaissent et respectent les processus, les pratiques, la qualité attendue des travaux par rapport aux standards qualité par l’ensemble de ses ressources.</w:t>
            </w:r>
          </w:p>
        </w:tc>
      </w:tr>
      <w:tr w:rsidR="006E6D7A" w14:paraId="671571ED"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1EB" w14:textId="77777777">
            <w:pPr>
              <w:spacing w:before="100" w:after="100"/>
              <w:ind w:left="45"/>
              <w:rPr>
                <w:color w:val="FF0000"/>
              </w:rPr>
            </w:pPr>
            <w:r>
              <w:rPr>
                <w:sz w:val="16"/>
                <w:szCs w:val="16"/>
              </w:rPr>
              <w:t>Ex_PC_07</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1EC" w14:textId="77777777">
            <w:r>
              <w:t xml:space="preserve">Le titulaire organise le déplacement des intervenants jusqu’à trois fois par an pour les séminaires des équipes d’accueil INRAE (sur le site d’Avignon en général pour SOLAIRE, sur des sites </w:t>
            </w:r>
            <w:r>
              <w:lastRenderedPageBreak/>
              <w:t>de France métropolitaine à définir pour les autres équipes de la DSI). Il n’existe pas d’autres contraintes géographiques spécifiques.</w:t>
            </w:r>
          </w:p>
        </w:tc>
      </w:tr>
      <w:tr w:rsidR="006E6D7A" w14:paraId="671571F0"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1EE" w14:textId="77777777">
            <w:pPr>
              <w:spacing w:before="100" w:after="100"/>
              <w:ind w:left="45"/>
              <w:rPr>
                <w:color w:val="FF0000"/>
              </w:rPr>
            </w:pPr>
            <w:r>
              <w:rPr>
                <w:sz w:val="16"/>
                <w:szCs w:val="16"/>
              </w:rPr>
              <w:lastRenderedPageBreak/>
              <w:t>Ex_PC_08</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1EF" w14:textId="77777777">
            <w:r>
              <w:t>Le titulaire s’assure que les intervenants sont systématiquement disponibles sur les jours travaillés pour garantir collectivement la période de 8h à 12h et 13h30 à 19h - heures métropolitaines françaises) et lors des cérémoniaux d’équipe quotidiens.</w:t>
            </w:r>
          </w:p>
        </w:tc>
      </w:tr>
      <w:tr w:rsidR="006E6D7A" w14:paraId="671571F3"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1F1" w14:textId="77777777">
            <w:pPr>
              <w:spacing w:before="100" w:after="100"/>
              <w:ind w:left="45"/>
              <w:rPr>
                <w:color w:val="FF0000"/>
              </w:rPr>
            </w:pPr>
            <w:r>
              <w:rPr>
                <w:sz w:val="16"/>
                <w:szCs w:val="16"/>
              </w:rPr>
              <w:t>Ex_PC_09</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1F2" w14:textId="77777777">
            <w:r>
              <w:t xml:space="preserve">Le titulaire s’engage à la plus grande stabilité de l’équipe dédiée et à garantir (hors </w:t>
            </w:r>
            <w:proofErr w:type="gramStart"/>
            <w:r>
              <w:t>situation  imprévisible</w:t>
            </w:r>
            <w:proofErr w:type="gramEnd"/>
            <w:r>
              <w:t xml:space="preserve"> par le titulaire) une stabilité minimale d’un an de ses intervenants au sein des projets de long terme d’INRAE sous peine d’être susceptible de se voir appliquer les pénalités prévues au présent accord-cadre.</w:t>
            </w:r>
          </w:p>
        </w:tc>
      </w:tr>
      <w:tr w:rsidR="006E6D7A" w14:paraId="671571F6"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1F4" w14:textId="77777777">
            <w:pPr>
              <w:spacing w:before="100" w:after="100"/>
              <w:ind w:left="45"/>
              <w:rPr>
                <w:color w:val="FF0000"/>
              </w:rPr>
            </w:pPr>
            <w:r>
              <w:rPr>
                <w:sz w:val="16"/>
                <w:szCs w:val="16"/>
              </w:rPr>
              <w:t>Ex_PC_10</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1F5" w14:textId="77777777">
            <w:r>
              <w:t>Le titulaire présente les tableaux de bords permettant de suivre et mesurer la qualité de service et de la gestion des intervenants.</w:t>
            </w:r>
          </w:p>
        </w:tc>
      </w:tr>
    </w:tbl>
    <w:p w:rsidR="006E6D7A" w:rsidRDefault="00B16C64" w14:paraId="671571F7" w14:textId="77777777">
      <w:pPr>
        <w:pStyle w:val="Titre4"/>
        <w:numPr>
          <w:ilvl w:val="4"/>
          <w:numId w:val="3"/>
        </w:numPr>
      </w:pPr>
      <w:r>
        <w:t>Gestion des compétences</w:t>
      </w:r>
    </w:p>
    <w:p w:rsidR="006E6D7A" w:rsidRDefault="00B16C64" w14:paraId="671571F8" w14:textId="77777777">
      <w:r>
        <w:t>La qualité des prestations repose en grande partie sur la capacité du titulaire à mobiliser des intervenants disposant des compétences requises et à les maintenir dans la durée.</w:t>
      </w:r>
    </w:p>
    <w:p w:rsidR="006E6D7A" w:rsidRDefault="00B16C64" w14:paraId="671571F9" w14:textId="77777777">
      <w:r>
        <w:t>Dans toute situation d’évolution de ses intervenants, le titulaire veille au maintien des compétences pour assurer les prestations convenues. En cas de départ / remplacement de personnels, une période de recouvrement et de montée en compétences doit être assurée sans investissement (coût / temps) par INRAE et sans risque sur les activités et les engagements du titulaire (continuité et qualité de service).</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1129"/>
        <w:gridCol w:w="8546"/>
      </w:tblGrid>
      <w:tr w:rsidR="006E6D7A" w14:paraId="671571FC" w14:textId="77777777">
        <w:trPr>
          <w:tblHeader/>
        </w:trPr>
        <w:tc>
          <w:tcPr>
            <w:tcW w:w="1129" w:type="dxa"/>
            <w:tcBorders>
              <w:top w:val="single" w:color="000000" w:sz="4" w:space="0"/>
              <w:left w:val="single" w:color="000000" w:sz="4" w:space="0"/>
            </w:tcBorders>
            <w:shd w:val="clear" w:color="auto" w:fill="03A3A6"/>
            <w:vAlign w:val="center"/>
          </w:tcPr>
          <w:p w:rsidR="006E6D7A" w:rsidRDefault="00B16C64" w14:paraId="671571FA" w14:textId="77777777">
            <w:pPr>
              <w:rPr>
                <w:b/>
                <w:bCs/>
                <w:color w:val="FFFFFF" w:themeColor="background1"/>
              </w:rPr>
            </w:pPr>
            <w:r>
              <w:rPr>
                <w:b/>
                <w:bCs/>
                <w:color w:val="FFFFFF" w:themeColor="background1"/>
              </w:rPr>
              <w:t>Réf.</w:t>
            </w:r>
          </w:p>
        </w:tc>
        <w:tc>
          <w:tcPr>
            <w:tcW w:w="8545" w:type="dxa"/>
            <w:tcBorders>
              <w:top w:val="single" w:color="000000" w:sz="4" w:space="0"/>
              <w:left w:val="single" w:color="000000" w:sz="4" w:space="0"/>
              <w:right w:val="single" w:color="000000" w:sz="4" w:space="0"/>
            </w:tcBorders>
            <w:shd w:val="clear" w:color="auto" w:fill="03A3A6"/>
            <w:vAlign w:val="center"/>
          </w:tcPr>
          <w:p w:rsidR="006E6D7A" w:rsidRDefault="00B16C64" w14:paraId="671571FB" w14:textId="77777777">
            <w:pPr>
              <w:rPr>
                <w:b/>
                <w:bCs/>
                <w:color w:val="FFFFFF" w:themeColor="background1"/>
              </w:rPr>
            </w:pPr>
            <w:r>
              <w:rPr>
                <w:b/>
                <w:bCs/>
                <w:color w:val="FFFFFF" w:themeColor="background1"/>
              </w:rPr>
              <w:t>Exigence</w:t>
            </w:r>
          </w:p>
        </w:tc>
      </w:tr>
      <w:tr w:rsidR="006E6D7A" w14:paraId="671571FF"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1FD" w14:textId="77777777">
            <w:pPr>
              <w:spacing w:before="100" w:after="100"/>
              <w:ind w:left="45"/>
              <w:rPr>
                <w:color w:val="FF0000"/>
              </w:rPr>
            </w:pPr>
            <w:r>
              <w:rPr>
                <w:sz w:val="16"/>
                <w:szCs w:val="16"/>
              </w:rPr>
              <w:t>Ex_PC_11</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1FE" w14:textId="77777777">
            <w:pPr>
              <w:rPr>
                <w:color w:val="FF0000"/>
              </w:rPr>
            </w:pPr>
            <w:r>
              <w:t xml:space="preserve">Concernant les projets DSI, le titulaire s’engage à ne proposer que des intervenants formés au </w:t>
            </w:r>
            <w:proofErr w:type="spellStart"/>
            <w:r>
              <w:t>DevSecOps</w:t>
            </w:r>
            <w:proofErr w:type="spellEnd"/>
            <w:r>
              <w:t xml:space="preserve"> (lot 1 indispensable, lot 2 et 3 souhaité) et de préférence disposant d’une expérience réelle avec les méthodes de développement lorsque l’intervenant doit intégrer une équipe Agile.</w:t>
            </w:r>
          </w:p>
        </w:tc>
      </w:tr>
      <w:tr w:rsidR="006E6D7A" w14:paraId="67157202"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200" w14:textId="77777777">
            <w:pPr>
              <w:spacing w:before="100" w:after="100"/>
              <w:ind w:left="45"/>
              <w:rPr>
                <w:color w:val="FF0000"/>
              </w:rPr>
            </w:pPr>
            <w:r>
              <w:rPr>
                <w:sz w:val="16"/>
                <w:szCs w:val="16"/>
              </w:rPr>
              <w:t>Ex_PC_12</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201" w14:textId="77777777">
            <w:r>
              <w:t xml:space="preserve">Le titulaire s’assure que chaque intervenant proposé, et plus particulièrement pour les profils </w:t>
            </w:r>
            <w:proofErr w:type="spellStart"/>
            <w:r>
              <w:t>DevSecOps</w:t>
            </w:r>
            <w:proofErr w:type="spellEnd"/>
            <w:r>
              <w:t>, ait été formé aux outils utilisés par INRAE dans le cadre de son périmètre d’intervention et les ait de préférence expérimentés.</w:t>
            </w:r>
          </w:p>
        </w:tc>
      </w:tr>
      <w:tr w:rsidR="006E6D7A" w14:paraId="67157205"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203" w14:textId="77777777">
            <w:pPr>
              <w:spacing w:before="100" w:after="100"/>
              <w:ind w:left="45"/>
              <w:rPr>
                <w:color w:val="FF0000"/>
              </w:rPr>
            </w:pPr>
            <w:r>
              <w:rPr>
                <w:sz w:val="16"/>
                <w:szCs w:val="16"/>
              </w:rPr>
              <w:t>Ex_PC_13</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204" w14:textId="77777777">
            <w:r>
              <w:t>Le titulaire s’assure que chaque intervenant proposé soit acculturé au développement dans un environnement en mode PaaS / SaaS (conteneurisé) et coutumier des systèmes interopérables par API notamment.</w:t>
            </w:r>
          </w:p>
        </w:tc>
      </w:tr>
      <w:tr w:rsidR="006E6D7A" w14:paraId="67157208"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206" w14:textId="77777777">
            <w:pPr>
              <w:spacing w:before="100" w:after="100"/>
              <w:ind w:left="45"/>
              <w:rPr>
                <w:color w:val="FF0000"/>
              </w:rPr>
            </w:pPr>
            <w:r>
              <w:rPr>
                <w:sz w:val="16"/>
                <w:szCs w:val="16"/>
              </w:rPr>
              <w:t>Ex_PC_14</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207" w14:textId="77777777">
            <w:r>
              <w:t>Le titulaire assure la montée en compétences des intervenants et veille tout au long de la durée des travaux au maintien de ces compétences et à l’acquisition des compétences en cohérence avec les nouveaux besoins à venir.</w:t>
            </w:r>
          </w:p>
        </w:tc>
      </w:tr>
      <w:tr w:rsidR="006E6D7A" w14:paraId="6715720B" w14:textId="77777777">
        <w:tc>
          <w:tcPr>
            <w:tcW w:w="1129" w:type="dxa"/>
            <w:tcBorders>
              <w:top w:val="single" w:color="000000" w:sz="4" w:space="0"/>
              <w:left w:val="single" w:color="000000" w:sz="4" w:space="0"/>
              <w:bottom w:val="single" w:color="000000" w:sz="4" w:space="0"/>
              <w:right w:val="single" w:color="000000" w:sz="4" w:space="0"/>
            </w:tcBorders>
          </w:tcPr>
          <w:p w:rsidR="006E6D7A" w:rsidRDefault="00B16C64" w14:paraId="67157209" w14:textId="77777777">
            <w:pPr>
              <w:spacing w:before="100" w:after="100"/>
              <w:ind w:left="45"/>
              <w:rPr>
                <w:color w:val="FF0000"/>
              </w:rPr>
            </w:pPr>
            <w:r>
              <w:rPr>
                <w:sz w:val="16"/>
                <w:szCs w:val="16"/>
              </w:rPr>
              <w:t>Ex_PC_15</w:t>
            </w:r>
          </w:p>
        </w:tc>
        <w:tc>
          <w:tcPr>
            <w:tcW w:w="8545" w:type="dxa"/>
            <w:tcBorders>
              <w:top w:val="single" w:color="000000" w:sz="4" w:space="0"/>
              <w:left w:val="single" w:color="000000" w:sz="4" w:space="0"/>
              <w:bottom w:val="single" w:color="000000" w:sz="4" w:space="0"/>
              <w:right w:val="single" w:color="000000" w:sz="4" w:space="0"/>
            </w:tcBorders>
          </w:tcPr>
          <w:p w:rsidR="006E6D7A" w:rsidRDefault="00B16C64" w14:paraId="6715720A" w14:textId="77777777">
            <w:r>
              <w:t>Concernant les projets DSI, pour optimiser le maintien en compétence de ses intervenants et accompagner les évolutions technologiques du SI de INRAE, le titulaire s’engage à coordonner tout ou partie du plan de formation de ses intervenants avec celui des collaborateurs de la DSI INRAE au travers notamment de sessions de formation communes.</w:t>
            </w:r>
          </w:p>
        </w:tc>
      </w:tr>
    </w:tbl>
    <w:p w:rsidR="006E6D7A" w:rsidRDefault="00B16C64" w14:paraId="6715720C" w14:textId="77777777">
      <w:pPr>
        <w:pStyle w:val="Titre3"/>
        <w:numPr>
          <w:ilvl w:val="3"/>
          <w:numId w:val="3"/>
        </w:numPr>
      </w:pPr>
      <w:bookmarkStart w:name="_Toc221095531" w:id="106"/>
      <w:r>
        <w:t>Pilotage opérationnel par sprint</w:t>
      </w:r>
      <w:bookmarkEnd w:id="106"/>
    </w:p>
    <w:p w:rsidR="006E6D7A" w:rsidRDefault="00B16C64" w14:paraId="6715720D" w14:textId="77777777">
      <w:bookmarkStart w:name="_Hlk115202662" w:id="107"/>
      <w:r>
        <w:t xml:space="preserve">Pour les équipes </w:t>
      </w:r>
      <w:proofErr w:type="spellStart"/>
      <w:r>
        <w:t>scrums</w:t>
      </w:r>
      <w:proofErr w:type="spellEnd"/>
      <w:r>
        <w:t xml:space="preserve">, les </w:t>
      </w:r>
      <w:bookmarkEnd w:id="107"/>
      <w:r>
        <w:t>cérémoniaux classiques sont opérés au cours de chaque sprint : les intervenants du titulaire se mobilisent pour la préparation et le bon déroulement de ces instances.</w:t>
      </w:r>
    </w:p>
    <w:p w:rsidR="006E6D7A" w:rsidRDefault="00B16C64" w14:paraId="6715720E" w14:textId="77777777">
      <w:pPr>
        <w:pStyle w:val="Puce1"/>
      </w:pPr>
      <w:r>
        <w:t xml:space="preserve">Daily  </w:t>
      </w:r>
    </w:p>
    <w:p w:rsidR="006E6D7A" w:rsidRDefault="00B16C64" w14:paraId="6715720F" w14:textId="77777777">
      <w:pPr>
        <w:pStyle w:val="Puce1"/>
      </w:pPr>
      <w:r>
        <w:t>Revue</w:t>
      </w:r>
    </w:p>
    <w:p w:rsidR="006E6D7A" w:rsidRDefault="00B16C64" w14:paraId="67157210" w14:textId="77777777">
      <w:pPr>
        <w:pStyle w:val="Puce1"/>
      </w:pPr>
      <w:r>
        <w:lastRenderedPageBreak/>
        <w:t xml:space="preserve">Rétrospective </w:t>
      </w:r>
    </w:p>
    <w:p w:rsidR="006E6D7A" w:rsidRDefault="00B16C64" w14:paraId="67157211" w14:textId="77777777">
      <w:pPr>
        <w:pStyle w:val="Puce1"/>
      </w:pPr>
      <w:r>
        <w:t xml:space="preserve">Sprint planning </w:t>
      </w:r>
    </w:p>
    <w:p w:rsidR="006E6D7A" w:rsidRDefault="00B16C64" w14:paraId="67157212" w14:textId="77777777">
      <w:pPr>
        <w:pStyle w:val="Puce1"/>
      </w:pPr>
      <w:r>
        <w:t xml:space="preserve">Affinage </w:t>
      </w:r>
      <w:proofErr w:type="spellStart"/>
      <w:r>
        <w:t>Backlog</w:t>
      </w:r>
      <w:proofErr w:type="spellEnd"/>
      <w:r>
        <w:t xml:space="preserve">  </w:t>
      </w:r>
    </w:p>
    <w:p w:rsidR="006E6D7A" w:rsidRDefault="00B16C64" w14:paraId="67157213" w14:textId="77777777">
      <w:r>
        <w:t>Le pilotage s’inscrit également sous les actions suivantes :</w:t>
      </w:r>
    </w:p>
    <w:p w:rsidR="006E6D7A" w:rsidRDefault="00B16C64" w14:paraId="67157214" w14:textId="77777777">
      <w:pPr>
        <w:pStyle w:val="Puce1"/>
      </w:pPr>
      <w:r>
        <w:t>Coordination des équipes au sein de la DSI : les intervenants du titulaire se mobilisent pour la préparation et le bon déroulement de ces instances.</w:t>
      </w:r>
    </w:p>
    <w:p w:rsidR="006E6D7A" w:rsidRDefault="00B16C64" w14:paraId="67157215" w14:textId="77777777">
      <w:pPr>
        <w:pStyle w:val="Puce1"/>
      </w:pPr>
      <w:r>
        <w:t>Pilotage INRAE et DSI (non décrites ici) auxquelles participent les chefs de projets informatique (en général les responsables d’enjeu DSI ou PO selon les projets et instances)</w:t>
      </w:r>
    </w:p>
    <w:p w:rsidR="006E6D7A" w:rsidRDefault="00B16C64" w14:paraId="67157216" w14:textId="77777777">
      <w:pPr>
        <w:pStyle w:val="Titre4"/>
        <w:numPr>
          <w:ilvl w:val="4"/>
          <w:numId w:val="3"/>
        </w:numPr>
      </w:pPr>
      <w:r>
        <w:t>Daily Stand-Up</w:t>
      </w:r>
    </w:p>
    <w:p w:rsidR="006E6D7A" w:rsidRDefault="00B16C64" w14:paraId="67157217" w14:textId="77777777">
      <w:r>
        <w:t>L’enjeu consiste à partager de manière transparente chaque jour au sein de chaque équipe.</w:t>
      </w:r>
    </w:p>
    <w:p w:rsidR="006E6D7A" w:rsidRDefault="00B16C64" w14:paraId="67157218" w14:textId="77777777">
      <w:r>
        <w:t xml:space="preserve">Les participants pour le </w:t>
      </w:r>
      <w:proofErr w:type="spellStart"/>
      <w:r>
        <w:t>daily</w:t>
      </w:r>
      <w:proofErr w:type="spellEnd"/>
      <w:r>
        <w:t xml:space="preserve"> d’une équipe sont : </w:t>
      </w:r>
    </w:p>
    <w:p w:rsidR="006E6D7A" w:rsidRDefault="00B16C64" w14:paraId="67157219" w14:textId="77777777">
      <w:pPr>
        <w:pStyle w:val="Puce1"/>
      </w:pPr>
      <w:r>
        <w:t>Le SM, l’ensemble des intervenants (qu’ils émanent du titulaire ou de INRAE)</w:t>
      </w:r>
    </w:p>
    <w:p w:rsidR="006E6D7A" w:rsidRDefault="00B16C64" w14:paraId="6715721A" w14:textId="77777777">
      <w:pPr>
        <w:pStyle w:val="Puce1"/>
      </w:pPr>
      <w:r>
        <w:t>De temps à autre : Le PO</w:t>
      </w:r>
    </w:p>
    <w:p w:rsidR="006E6D7A" w:rsidRDefault="00B16C64" w14:paraId="6715721B" w14:textId="77777777">
      <w:pPr>
        <w:rPr>
          <w:u w:val="single"/>
        </w:rPr>
      </w:pPr>
      <w:r>
        <w:rPr>
          <w:u w:val="single"/>
        </w:rPr>
        <w:t xml:space="preserve">Les livrables minimaux attendus pour le </w:t>
      </w:r>
      <w:proofErr w:type="spellStart"/>
      <w:r>
        <w:rPr>
          <w:u w:val="single"/>
        </w:rPr>
        <w:t>daily</w:t>
      </w:r>
      <w:proofErr w:type="spellEnd"/>
      <w:r>
        <w:rPr>
          <w:u w:val="single"/>
        </w:rPr>
        <w:t xml:space="preserve"> sont :</w:t>
      </w:r>
    </w:p>
    <w:p w:rsidR="006E6D7A" w:rsidRDefault="00B16C64" w14:paraId="6715721C" w14:textId="77777777">
      <w:pPr>
        <w:pStyle w:val="Puce1"/>
      </w:pPr>
      <w:r>
        <w:t>Le partage des tâches réalisées la veille</w:t>
      </w:r>
    </w:p>
    <w:p w:rsidR="006E6D7A" w:rsidRDefault="00B16C64" w14:paraId="6715721D" w14:textId="77777777">
      <w:pPr>
        <w:pStyle w:val="Puce1"/>
      </w:pPr>
      <w:r>
        <w:t>Le partage des tâches sur lesquelles sont engagés les intervenants pour la journée</w:t>
      </w:r>
    </w:p>
    <w:p w:rsidR="006E6D7A" w:rsidRDefault="00B16C64" w14:paraId="6715721E" w14:textId="77777777">
      <w:pPr>
        <w:pStyle w:val="Puce1"/>
      </w:pPr>
      <w:r>
        <w:t>Les obstacles éventuels que devra lever le SM</w:t>
      </w:r>
    </w:p>
    <w:p w:rsidR="006E6D7A" w:rsidRDefault="00B16C64" w14:paraId="6715721F" w14:textId="77777777">
      <w:pPr>
        <w:contextualSpacing/>
      </w:pPr>
      <w:r>
        <w:t>Il est indispensable que chaque intervenant respecte la discipline et soit présent à l’heure fixée ensemble lors du sprint 0.</w:t>
      </w:r>
    </w:p>
    <w:p w:rsidR="006E6D7A" w:rsidRDefault="006E6D7A" w14:paraId="67157220" w14:textId="77777777">
      <w:pPr>
        <w:contextualSpacing/>
      </w:pPr>
    </w:p>
    <w:p w:rsidR="006E6D7A" w:rsidRDefault="00B16C64" w14:paraId="67157221" w14:textId="77777777">
      <w:pPr>
        <w:contextualSpacing/>
        <w:rPr>
          <w:i/>
        </w:rPr>
      </w:pPr>
      <w:r>
        <w:rPr>
          <w:i/>
        </w:rPr>
        <w:t>Nous ne détaillons pas spécifiquement ce cérémonial que nous considérons comme devant être maîtrisé par le titulaire pour tous les intervenants.</w:t>
      </w:r>
    </w:p>
    <w:p w:rsidR="006E6D7A" w:rsidRDefault="00B16C64" w14:paraId="67157222" w14:textId="77777777">
      <w:pPr>
        <w:pStyle w:val="Titre4"/>
        <w:numPr>
          <w:ilvl w:val="4"/>
          <w:numId w:val="3"/>
        </w:numPr>
      </w:pPr>
      <w:r>
        <w:t>Revue</w:t>
      </w:r>
    </w:p>
    <w:p w:rsidR="006E6D7A" w:rsidRDefault="00B16C64" w14:paraId="67157223" w14:textId="77777777">
      <w:r>
        <w:t>L’enjeu est de voir de manière factuelle la valeur fournie par l’équipe, une démonstration du produit réalisé, de partager différents métriques (développement, pilotage).</w:t>
      </w:r>
    </w:p>
    <w:p w:rsidR="006E6D7A" w:rsidRDefault="00B16C64" w14:paraId="67157224" w14:textId="77777777">
      <w:r>
        <w:t xml:space="preserve">Les participants pour la Revue d’une équipe sont : </w:t>
      </w:r>
    </w:p>
    <w:p w:rsidR="006E6D7A" w:rsidRDefault="00B16C64" w14:paraId="67157225" w14:textId="77777777">
      <w:pPr>
        <w:pStyle w:val="Puce1"/>
      </w:pPr>
      <w:r>
        <w:t>Le PO, le SM, l’ensemble des intervenants (qu’ils émanent du titulaire ou de INRAE)</w:t>
      </w:r>
    </w:p>
    <w:p w:rsidR="006E6D7A" w:rsidRDefault="00B16C64" w14:paraId="67157226" w14:textId="77777777">
      <w:pPr>
        <w:pStyle w:val="Puce1"/>
      </w:pPr>
      <w:r>
        <w:t>Très souvent le responsable du service et/ou de l’entité concernée</w:t>
      </w:r>
    </w:p>
    <w:p w:rsidR="006E6D7A" w:rsidRDefault="00B16C64" w14:paraId="67157227" w14:textId="77777777">
      <w:pPr>
        <w:pStyle w:val="Puce1"/>
      </w:pPr>
      <w:r>
        <w:t>Des invités éventuels : La MOA, Des experts ayant contribué au sprint.</w:t>
      </w:r>
    </w:p>
    <w:p w:rsidR="006E6D7A" w:rsidRDefault="00B16C64" w14:paraId="67157228" w14:textId="77777777">
      <w:pPr>
        <w:rPr>
          <w:u w:val="single"/>
        </w:rPr>
      </w:pPr>
      <w:r>
        <w:rPr>
          <w:u w:val="single"/>
        </w:rPr>
        <w:t>Les livrables minimaux attendus pour la Revue sont :</w:t>
      </w:r>
    </w:p>
    <w:p w:rsidR="006E6D7A" w:rsidRDefault="00B16C64" w14:paraId="67157229" w14:textId="77777777">
      <w:pPr>
        <w:pStyle w:val="Puce1"/>
      </w:pPr>
      <w:r>
        <w:t xml:space="preserve">Un support numérique de Revue actualisé (ce dont s’assure le SM) intégrant les indicateurs collectifs demandés à l’ensemble des équipes </w:t>
      </w:r>
    </w:p>
    <w:p w:rsidR="006E6D7A" w:rsidRDefault="00B16C64" w14:paraId="6715722A" w14:textId="77777777">
      <w:pPr>
        <w:pStyle w:val="Puce1"/>
      </w:pPr>
      <w:r>
        <w:t>Une démonstration au PO des stories finalisées (à réaliser par l’équipe)</w:t>
      </w:r>
    </w:p>
    <w:p w:rsidR="006E6D7A" w:rsidRDefault="006E6D7A" w14:paraId="6715722B" w14:textId="77777777">
      <w:pPr>
        <w:contextualSpacing/>
      </w:pPr>
    </w:p>
    <w:p w:rsidR="006E6D7A" w:rsidRDefault="00B16C64" w14:paraId="6715722C" w14:textId="77777777">
      <w:pPr>
        <w:contextualSpacing/>
        <w:rPr>
          <w:i/>
        </w:rPr>
      </w:pPr>
      <w:r>
        <w:rPr>
          <w:i/>
        </w:rPr>
        <w:t>Nous ne détaillons pas spécifiquement ce cérémonial que nous considérons comme devant être maîtrisé par le titulaire pour les intervenants pouvant être des SM.</w:t>
      </w:r>
    </w:p>
    <w:p w:rsidR="006E6D7A" w:rsidRDefault="00B16C64" w14:paraId="6715722D" w14:textId="77777777">
      <w:pPr>
        <w:pStyle w:val="Titre4"/>
        <w:numPr>
          <w:ilvl w:val="4"/>
          <w:numId w:val="3"/>
        </w:numPr>
      </w:pPr>
      <w:r>
        <w:t>Rétrospective</w:t>
      </w:r>
    </w:p>
    <w:p w:rsidR="006E6D7A" w:rsidRDefault="00B16C64" w14:paraId="6715722E" w14:textId="77777777">
      <w:pPr>
        <w:contextualSpacing/>
      </w:pPr>
      <w:r>
        <w:t xml:space="preserve">L’enjeu est d’améliorer le processus de fonctionnement au sein de chaque équipe. </w:t>
      </w:r>
    </w:p>
    <w:p w:rsidR="006E6D7A" w:rsidRDefault="00B16C64" w14:paraId="6715722F" w14:textId="77777777">
      <w:pPr>
        <w:contextualSpacing/>
      </w:pPr>
      <w:r>
        <w:t>Ce cérémonial permet de recueillir les faits, de partager collectivement une vision des axes d’amélioration et de concrétiser cela par une action concrète dont les effets seront suivis au cours des sprints suivants.</w:t>
      </w:r>
    </w:p>
    <w:p w:rsidR="006E6D7A" w:rsidRDefault="006E6D7A" w14:paraId="67157230" w14:textId="77777777">
      <w:pPr>
        <w:contextualSpacing/>
      </w:pPr>
    </w:p>
    <w:p w:rsidR="006E6D7A" w:rsidRDefault="00B16C64" w14:paraId="67157231" w14:textId="77777777">
      <w:r>
        <w:t xml:space="preserve">Les participants pour la Rétrospective d’une équipe sont : </w:t>
      </w:r>
    </w:p>
    <w:p w:rsidR="006E6D7A" w:rsidRDefault="00B16C64" w14:paraId="67157232" w14:textId="77777777">
      <w:pPr>
        <w:pStyle w:val="Puce1"/>
      </w:pPr>
      <w:r>
        <w:t>Le PO, le SM, l’ensemble des intervenants (qu’ils émanent du titulaire ou d’INRAE)</w:t>
      </w:r>
    </w:p>
    <w:p w:rsidR="006E6D7A" w:rsidRDefault="00B16C64" w14:paraId="67157233" w14:textId="77777777">
      <w:pPr>
        <w:rPr>
          <w:u w:val="single"/>
        </w:rPr>
      </w:pPr>
      <w:r>
        <w:rPr>
          <w:u w:val="single"/>
        </w:rPr>
        <w:lastRenderedPageBreak/>
        <w:t>Les livrables minimaux attendus pour la rétrospective sont :</w:t>
      </w:r>
    </w:p>
    <w:p w:rsidR="006E6D7A" w:rsidRDefault="00B16C64" w14:paraId="67157234" w14:textId="77777777">
      <w:pPr>
        <w:pStyle w:val="Puce1"/>
      </w:pPr>
      <w:r>
        <w:t>Une préparation variée et différente dans le temps préparée par le SM</w:t>
      </w:r>
    </w:p>
    <w:p w:rsidR="006E6D7A" w:rsidRDefault="00B16C64" w14:paraId="67157235" w14:textId="77777777">
      <w:pPr>
        <w:pStyle w:val="Puce1"/>
      </w:pPr>
      <w:r>
        <w:t xml:space="preserve">Un support numérique de la synthèse de la rétrospective </w:t>
      </w:r>
    </w:p>
    <w:p w:rsidR="006E6D7A" w:rsidRDefault="006E6D7A" w14:paraId="67157236" w14:textId="77777777">
      <w:pPr>
        <w:contextualSpacing/>
        <w:rPr>
          <w:i/>
        </w:rPr>
      </w:pPr>
    </w:p>
    <w:p w:rsidR="006E6D7A" w:rsidRDefault="00B16C64" w14:paraId="67157237" w14:textId="77777777">
      <w:pPr>
        <w:contextualSpacing/>
        <w:rPr>
          <w:i/>
        </w:rPr>
      </w:pPr>
      <w:r>
        <w:rPr>
          <w:i/>
        </w:rPr>
        <w:t>Nous ne détaillons pas spécifiquement ce cérémonial que nous considérons comme devant être maîtrisé par le titulaire pour les intervenants pouvant être des SM.</w:t>
      </w:r>
    </w:p>
    <w:p w:rsidR="006E6D7A" w:rsidRDefault="00B16C64" w14:paraId="67157238" w14:textId="77777777">
      <w:pPr>
        <w:pStyle w:val="Titre4"/>
        <w:numPr>
          <w:ilvl w:val="4"/>
          <w:numId w:val="3"/>
        </w:numPr>
      </w:pPr>
      <w:r>
        <w:t>Sprint planning</w:t>
      </w:r>
    </w:p>
    <w:p w:rsidR="006E6D7A" w:rsidRDefault="00B16C64" w14:paraId="67157239" w14:textId="77777777">
      <w:r>
        <w:t xml:space="preserve">L’enjeu principal est, sur la base d’un partage de la roadmap et du </w:t>
      </w:r>
      <w:proofErr w:type="spellStart"/>
      <w:r>
        <w:t>Backlog</w:t>
      </w:r>
      <w:proofErr w:type="spellEnd"/>
      <w:r>
        <w:t xml:space="preserve"> par le PO à l’équipe, de définir, par l’équipe, le contenu de l’itération à venir (en explicitant les différentes tâches à accomplir par story). </w:t>
      </w:r>
    </w:p>
    <w:p w:rsidR="006E6D7A" w:rsidRDefault="00B16C64" w14:paraId="6715723A" w14:textId="77777777">
      <w:r>
        <w:t xml:space="preserve">Les participants pour le sprint planning d’une équipe sont : </w:t>
      </w:r>
    </w:p>
    <w:p w:rsidR="006E6D7A" w:rsidRDefault="00B16C64" w14:paraId="6715723B" w14:textId="77777777">
      <w:pPr>
        <w:pStyle w:val="Puce1"/>
      </w:pPr>
      <w:r>
        <w:t>Le PO, le SM, l’ensemble des intervenants (qu’ils émanent du titulaire ou d’INRAE)</w:t>
      </w:r>
    </w:p>
    <w:p w:rsidR="006E6D7A" w:rsidRDefault="00B16C64" w14:paraId="6715723C" w14:textId="77777777">
      <w:pPr>
        <w:pStyle w:val="Puce1"/>
      </w:pPr>
      <w:r>
        <w:t xml:space="preserve">Des invités éventuels : Architecte transverse, Exploitant / </w:t>
      </w:r>
      <w:proofErr w:type="spellStart"/>
      <w:r>
        <w:t>co</w:t>
      </w:r>
      <w:proofErr w:type="spellEnd"/>
      <w:r>
        <w:t xml:space="preserve">-intervenant </w:t>
      </w:r>
      <w:proofErr w:type="spellStart"/>
      <w:r>
        <w:t>DevSecOps</w:t>
      </w:r>
      <w:proofErr w:type="spellEnd"/>
      <w:r>
        <w:t xml:space="preserve"> … selon ce qui a été vu en affinage </w:t>
      </w:r>
      <w:proofErr w:type="spellStart"/>
      <w:r>
        <w:t>Backlog</w:t>
      </w:r>
      <w:proofErr w:type="spellEnd"/>
    </w:p>
    <w:p w:rsidR="006E6D7A" w:rsidRDefault="00B16C64" w14:paraId="6715723D" w14:textId="77777777">
      <w:pPr>
        <w:contextualSpacing/>
        <w:rPr>
          <w:u w:val="single"/>
        </w:rPr>
      </w:pPr>
      <w:r>
        <w:rPr>
          <w:u w:val="single"/>
        </w:rPr>
        <w:t>Les livrables minimaux attendus pour le sprint planning sont :</w:t>
      </w:r>
    </w:p>
    <w:p w:rsidR="006E6D7A" w:rsidRDefault="00B16C64" w14:paraId="6715723E" w14:textId="77777777">
      <w:pPr>
        <w:pStyle w:val="Puce1"/>
      </w:pPr>
      <w:r>
        <w:t xml:space="preserve">Un engagement de sprint (sprint </w:t>
      </w:r>
      <w:proofErr w:type="spellStart"/>
      <w:r>
        <w:t>Backlog</w:t>
      </w:r>
      <w:proofErr w:type="spellEnd"/>
      <w:r>
        <w:t>)</w:t>
      </w:r>
    </w:p>
    <w:p w:rsidR="006E6D7A" w:rsidRDefault="00B16C64" w14:paraId="6715723F" w14:textId="77777777">
      <w:pPr>
        <w:pStyle w:val="Puce1"/>
      </w:pPr>
      <w:r>
        <w:t>Une liste des tâches à accomplir par story</w:t>
      </w:r>
    </w:p>
    <w:p w:rsidR="006E6D7A" w:rsidRDefault="00B16C64" w14:paraId="67157240" w14:textId="77777777">
      <w:pPr>
        <w:pStyle w:val="Puce1"/>
      </w:pPr>
      <w:r>
        <w:t>Les points de danger / risques en interaction avec les autres équipes / autres acteurs sont à remonter au PO et aux responsables d’enjeu concernés</w:t>
      </w:r>
    </w:p>
    <w:p w:rsidR="006E6D7A" w:rsidRDefault="006E6D7A" w14:paraId="67157241" w14:textId="77777777">
      <w:pPr>
        <w:contextualSpacing/>
        <w:rPr>
          <w:i/>
        </w:rPr>
      </w:pPr>
    </w:p>
    <w:p w:rsidR="006E6D7A" w:rsidRDefault="00B16C64" w14:paraId="67157242" w14:textId="77777777">
      <w:pPr>
        <w:contextualSpacing/>
        <w:rPr>
          <w:i/>
        </w:rPr>
      </w:pPr>
      <w:r>
        <w:rPr>
          <w:i/>
        </w:rPr>
        <w:t>Nous ne détaillons pas spécifiquement ce cérémonial que nous considérons comme devant être maîtrisé par le titulaire.</w:t>
      </w:r>
    </w:p>
    <w:p w:rsidR="006E6D7A" w:rsidRDefault="00B16C64" w14:paraId="67157243" w14:textId="77777777">
      <w:pPr>
        <w:pStyle w:val="Titre4"/>
        <w:numPr>
          <w:ilvl w:val="4"/>
          <w:numId w:val="3"/>
        </w:numPr>
      </w:pPr>
      <w:r>
        <w:t xml:space="preserve">Affinage </w:t>
      </w:r>
      <w:proofErr w:type="spellStart"/>
      <w:r>
        <w:t>Backlog</w:t>
      </w:r>
      <w:proofErr w:type="spellEnd"/>
    </w:p>
    <w:p w:rsidR="006E6D7A" w:rsidRDefault="00B16C64" w14:paraId="67157244" w14:textId="77777777">
      <w:r>
        <w:t>L’enjeu principal consiste à ce que le PO fournisse un premier partage des futures stories qui seront présentées en détail lors du sprint planning.</w:t>
      </w:r>
    </w:p>
    <w:p w:rsidR="006E6D7A" w:rsidRDefault="00B16C64" w14:paraId="67157245" w14:textId="77777777">
      <w:r>
        <w:t xml:space="preserve">Les participants pour l’affinage </w:t>
      </w:r>
      <w:proofErr w:type="spellStart"/>
      <w:r>
        <w:t>Backlog</w:t>
      </w:r>
      <w:proofErr w:type="spellEnd"/>
      <w:r>
        <w:t> :</w:t>
      </w:r>
    </w:p>
    <w:p w:rsidR="006E6D7A" w:rsidRDefault="00B16C64" w14:paraId="67157246" w14:textId="77777777">
      <w:pPr>
        <w:pStyle w:val="Puce1"/>
      </w:pPr>
      <w:r>
        <w:t>Le PO, le SM, l’ensemble des intervenants (qu’ils émanent du titulaire ou de INRAE)</w:t>
      </w:r>
    </w:p>
    <w:p w:rsidR="006E6D7A" w:rsidRDefault="00B16C64" w14:paraId="67157247" w14:textId="77777777">
      <w:pPr>
        <w:rPr>
          <w:u w:val="single"/>
        </w:rPr>
      </w:pPr>
      <w:r>
        <w:rPr>
          <w:u w:val="single"/>
        </w:rPr>
        <w:t xml:space="preserve">Les livrables attendus pour l’affinage </w:t>
      </w:r>
      <w:proofErr w:type="spellStart"/>
      <w:r>
        <w:rPr>
          <w:u w:val="single"/>
        </w:rPr>
        <w:t>Backlog</w:t>
      </w:r>
      <w:proofErr w:type="spellEnd"/>
    </w:p>
    <w:p w:rsidR="006E6D7A" w:rsidRDefault="00B16C64" w14:paraId="67157248" w14:textId="77777777">
      <w:pPr>
        <w:pStyle w:val="Puce1"/>
      </w:pPr>
      <w:r>
        <w:t xml:space="preserve">Une anticipation des adhérences éventuelles avec d’autres produits / équipes à remonter au </w:t>
      </w:r>
      <w:proofErr w:type="spellStart"/>
      <w:r>
        <w:t>scrum</w:t>
      </w:r>
      <w:proofErr w:type="spellEnd"/>
      <w:r>
        <w:t xml:space="preserve"> de </w:t>
      </w:r>
      <w:proofErr w:type="spellStart"/>
      <w:r>
        <w:t>scrum</w:t>
      </w:r>
      <w:proofErr w:type="spellEnd"/>
      <w:r>
        <w:t>.</w:t>
      </w:r>
    </w:p>
    <w:p w:rsidR="006E6D7A" w:rsidRDefault="00B16C64" w14:paraId="67157249" w14:textId="77777777">
      <w:pPr>
        <w:pStyle w:val="Titre4"/>
        <w:numPr>
          <w:ilvl w:val="4"/>
          <w:numId w:val="3"/>
        </w:numPr>
      </w:pPr>
      <w:r>
        <w:t xml:space="preserve">Coordination générale des équipes </w:t>
      </w:r>
    </w:p>
    <w:p w:rsidR="006E6D7A" w:rsidRDefault="00B16C64" w14:paraId="6715724A" w14:textId="77777777">
      <w:pPr>
        <w:pStyle w:val="Puce1"/>
        <w:rPr>
          <w:rFonts w:asciiTheme="minorHAnsi" w:hAnsiTheme="minorHAnsi" w:cstheme="minorHAnsi"/>
        </w:rPr>
      </w:pPr>
      <w:r>
        <w:rPr>
          <w:rFonts w:cstheme="minorHAnsi"/>
        </w:rPr>
        <w:t>Coordination au sein d’une équipe</w:t>
      </w:r>
    </w:p>
    <w:p w:rsidR="006E6D7A" w:rsidRDefault="00B16C64" w14:paraId="6715724B" w14:textId="77777777">
      <w:pPr>
        <w:pStyle w:val="Puce2"/>
      </w:pPr>
      <w:r>
        <w:t>La relation est privilégiée est celle entre le SM et le PO d’une équipe.</w:t>
      </w:r>
    </w:p>
    <w:p w:rsidR="006E6D7A" w:rsidRDefault="00B16C64" w14:paraId="6715724C" w14:textId="77777777">
      <w:pPr>
        <w:pStyle w:val="Puce2"/>
      </w:pPr>
      <w:r>
        <w:t>Fréquence : au fil de l’eau</w:t>
      </w:r>
    </w:p>
    <w:p w:rsidR="006E6D7A" w:rsidRDefault="00B16C64" w14:paraId="6715724D" w14:textId="77777777">
      <w:pPr>
        <w:pStyle w:val="Puce1"/>
      </w:pPr>
      <w:r>
        <w:t>Coordination des interactions techniques entre les équipes DSI</w:t>
      </w:r>
    </w:p>
    <w:p w:rsidR="006E6D7A" w:rsidRDefault="00B16C64" w14:paraId="6715724E" w14:textId="77777777">
      <w:pPr>
        <w:pStyle w:val="Puce2"/>
      </w:pPr>
      <w:r>
        <w:t xml:space="preserve">Les porteurs des pôles (ou leurs représentants) traitent – ou s’assurent du traitement - des obstacles remontés par les équipes </w:t>
      </w:r>
    </w:p>
    <w:p w:rsidR="006E6D7A" w:rsidRDefault="00B16C64" w14:paraId="6715724F" w14:textId="77777777">
      <w:pPr>
        <w:pStyle w:val="Puce2"/>
      </w:pPr>
      <w:r>
        <w:t>Fréquence : hebdomadaire</w:t>
      </w:r>
    </w:p>
    <w:p w:rsidR="006E6D7A" w:rsidRDefault="00B16C64" w14:paraId="67157250" w14:textId="77777777">
      <w:pPr>
        <w:pStyle w:val="Puce1"/>
      </w:pPr>
      <w:r>
        <w:t>Coordination des besoins entre produits</w:t>
      </w:r>
    </w:p>
    <w:p w:rsidR="006E6D7A" w:rsidRDefault="00B16C64" w14:paraId="67157251" w14:textId="77777777">
      <w:pPr>
        <w:pStyle w:val="Puce2"/>
      </w:pPr>
      <w:r>
        <w:t>Coordination entre les équipes impactées</w:t>
      </w:r>
    </w:p>
    <w:p w:rsidR="006E6D7A" w:rsidRDefault="00B16C64" w14:paraId="67157252" w14:textId="77777777">
      <w:pPr>
        <w:pStyle w:val="Puce2"/>
      </w:pPr>
      <w:r>
        <w:t>Fréquence : ad hoc</w:t>
      </w:r>
    </w:p>
    <w:p w:rsidR="006E6D7A" w:rsidRDefault="00B16C64" w14:paraId="67157253" w14:textId="77777777">
      <w:pPr>
        <w:pStyle w:val="Puce1"/>
      </w:pPr>
      <w:r>
        <w:t>Coordination des communautés par profil</w:t>
      </w:r>
    </w:p>
    <w:p w:rsidR="006E6D7A" w:rsidRDefault="00B16C64" w14:paraId="67157254" w14:textId="77777777">
      <w:pPr>
        <w:pStyle w:val="Puce2"/>
      </w:pPr>
      <w:r>
        <w:lastRenderedPageBreak/>
        <w:t>Coordination pour définir trajectoires, roadmap de la communauté, problèmes éventuels entre les animateurs de la communauté (qui sont des intervenants INRAE ou du titulaire des lots) et les PO/ responsables d’enjeux/responsables DSI</w:t>
      </w:r>
    </w:p>
    <w:p w:rsidR="006E6D7A" w:rsidRDefault="00B16C64" w14:paraId="67157255" w14:textId="77777777">
      <w:pPr>
        <w:pStyle w:val="Puce2"/>
      </w:pPr>
      <w:r>
        <w:t>Fréquence : mensuelle</w:t>
      </w:r>
    </w:p>
    <w:p w:rsidR="006E6D7A" w:rsidRDefault="00B16C64" w14:paraId="67157256" w14:textId="77777777">
      <w:pPr>
        <w:pStyle w:val="Titre3"/>
        <w:numPr>
          <w:ilvl w:val="3"/>
          <w:numId w:val="3"/>
        </w:numPr>
      </w:pPr>
      <w:bookmarkStart w:name="_Toc221095532" w:id="108"/>
      <w:r>
        <w:t>Le pilotage, la coordination et le suivi contractuel avec les responsables d’enjeux ou responsables de pôle</w:t>
      </w:r>
      <w:bookmarkEnd w:id="108"/>
      <w:r>
        <w:t xml:space="preserve"> </w:t>
      </w:r>
    </w:p>
    <w:p w:rsidR="006E6D7A" w:rsidRDefault="00B16C64" w14:paraId="67157257" w14:textId="77777777">
      <w:pPr>
        <w:pStyle w:val="Titre4"/>
        <w:numPr>
          <w:ilvl w:val="4"/>
          <w:numId w:val="3"/>
        </w:numPr>
      </w:pPr>
      <w:r>
        <w:t>Comité contractuel</w:t>
      </w:r>
    </w:p>
    <w:p w:rsidR="006E6D7A" w:rsidRDefault="00B16C64" w14:paraId="67157258" w14:textId="77777777">
      <w:r>
        <w:t>Il s’agit d’un comité trimestriel organisé par le titulaire.</w:t>
      </w:r>
    </w:p>
    <w:p w:rsidR="006E6D7A" w:rsidRDefault="00B16C64" w14:paraId="67157259" w14:textId="77777777">
      <w:r>
        <w:t>Ses membres sont :</w:t>
      </w:r>
    </w:p>
    <w:p w:rsidR="006E6D7A" w:rsidRDefault="00B16C64" w14:paraId="6715725A" w14:textId="77777777">
      <w:pPr>
        <w:pStyle w:val="Puce1"/>
      </w:pPr>
      <w:r>
        <w:t>Les managers et responsables commerciaux du lot de cet accord-cadre</w:t>
      </w:r>
    </w:p>
    <w:p w:rsidR="006E6D7A" w:rsidRDefault="0031145B" w14:paraId="6715725B" w14:textId="0E83CA5C">
      <w:pPr>
        <w:pStyle w:val="Puce1"/>
      </w:pPr>
      <w:r>
        <w:t>Le représentant du pôle</w:t>
      </w:r>
      <w:r w:rsidR="00B16C64">
        <w:t xml:space="preserve"> achats informatiques (service des achats de la Direction du financement et des achats</w:t>
      </w:r>
      <w:r w:rsidRPr="0031145B">
        <w:t xml:space="preserve"> </w:t>
      </w:r>
      <w:r>
        <w:t>d’INRAE</w:t>
      </w:r>
      <w:r w:rsidR="00B16C64">
        <w:t>)</w:t>
      </w:r>
      <w:r>
        <w:t xml:space="preserve"> participe au moins de manière annuelle et en cas de besoin</w:t>
      </w:r>
    </w:p>
    <w:p w:rsidR="006E6D7A" w:rsidRDefault="00B16C64" w14:paraId="6715725C" w14:textId="77777777">
      <w:pPr>
        <w:pStyle w:val="Puce1"/>
      </w:pPr>
      <w:r>
        <w:t>La responsable du suivi budgétaire de la DSI (responsable du GAPI)</w:t>
      </w:r>
    </w:p>
    <w:p w:rsidR="006E6D7A" w:rsidRDefault="00B16C64" w14:paraId="6715725D" w14:textId="77777777">
      <w:pPr>
        <w:pStyle w:val="Puce1"/>
      </w:pPr>
      <w:r>
        <w:t>La gestionnaire du pôle SOLAIRE ou INFRASTRUCTURE en charge du suivi budgétaire</w:t>
      </w:r>
    </w:p>
    <w:p w:rsidR="006E6D7A" w:rsidRDefault="00B16C64" w14:paraId="6715725E" w14:textId="78578FBB">
      <w:pPr>
        <w:pStyle w:val="Puce1"/>
      </w:pPr>
      <w:r>
        <w:t>Les responsables des services concernés</w:t>
      </w:r>
    </w:p>
    <w:p w:rsidR="006E6D7A" w:rsidRDefault="00B16C64" w14:paraId="6715725F" w14:textId="5231F5FD">
      <w:pPr>
        <w:pStyle w:val="Puce1"/>
      </w:pPr>
      <w:r>
        <w:t>Le responsable des pôles de la DSI SOLAIRE, INFRASTRUCTURE et Ins</w:t>
      </w:r>
      <w:r>
        <w:rPr>
          <w:vertAlign w:val="superscript"/>
        </w:rPr>
        <w:t>2</w:t>
      </w:r>
      <w:r>
        <w:t>pire (ou leurs représentants)</w:t>
      </w:r>
    </w:p>
    <w:p w:rsidR="006E6D7A" w:rsidRDefault="00B16C64" w14:paraId="67157260" w14:textId="70F6E065">
      <w:pPr>
        <w:pStyle w:val="Puce1"/>
      </w:pPr>
      <w:r>
        <w:t>L</w:t>
      </w:r>
      <w:r w:rsidR="0031145B">
        <w:t>e cas échéant, l</w:t>
      </w:r>
      <w:r>
        <w:t>es représentants des bénéficiaires de marchés subséquents (</w:t>
      </w:r>
      <w:proofErr w:type="spellStart"/>
      <w:r>
        <w:t>DirCom</w:t>
      </w:r>
      <w:proofErr w:type="spellEnd"/>
      <w:r>
        <w:t>, DRH...)</w:t>
      </w:r>
    </w:p>
    <w:p w:rsidR="006E6D7A" w:rsidRDefault="00B16C64" w14:paraId="67157261" w14:textId="77777777">
      <w:r>
        <w:t>Sa durée oscille entre 1H et 2h selon les sujets.</w:t>
      </w:r>
    </w:p>
    <w:p w:rsidR="006E6D7A" w:rsidRDefault="00B16C64" w14:paraId="67157262" w14:textId="77777777">
      <w:r>
        <w:t xml:space="preserve">L’enjeu consiste à faire notamment un point factuel sur l’exécution de l’accord cadre, les futurs besoins, le suivi contractuel, </w:t>
      </w:r>
      <w:bookmarkStart w:name="_Hlk121904896" w:id="109"/>
      <w:r>
        <w:t xml:space="preserve">le suivi des prestations complémentaires des marchés subséquents, </w:t>
      </w:r>
      <w:bookmarkEnd w:id="109"/>
      <w:r>
        <w:t>le suivi des indicateurs.</w:t>
      </w:r>
    </w:p>
    <w:p w:rsidR="006E6D7A" w:rsidRDefault="00B16C64" w14:paraId="67157263" w14:textId="77777777">
      <w:r>
        <w:t>Les livrables attendus sont :</w:t>
      </w:r>
    </w:p>
    <w:p w:rsidR="006E6D7A" w:rsidRDefault="00B16C64" w14:paraId="67157264" w14:textId="77777777">
      <w:pPr>
        <w:pStyle w:val="Puce1"/>
      </w:pPr>
      <w:r>
        <w:t>Présentation remise par le titulaire au plus tard 2 jours avant le comité contractuel d’un état des projets et intervenants ainsi qu’une synthèse des indicateurs de performance du marché</w:t>
      </w:r>
    </w:p>
    <w:p w:rsidR="006E6D7A" w:rsidRDefault="00B16C64" w14:paraId="67157265" w14:textId="77777777">
      <w:pPr>
        <w:pStyle w:val="Puce1"/>
      </w:pPr>
      <w:r>
        <w:t>Document préparatoire alimenté par chaque participant du cocon</w:t>
      </w:r>
    </w:p>
    <w:p w:rsidR="006E6D7A" w:rsidRDefault="00B16C64" w14:paraId="67157266" w14:textId="77777777">
      <w:pPr>
        <w:pStyle w:val="Puce1"/>
      </w:pPr>
      <w:r>
        <w:t>Compte-rendu et relevé de décision présentée par le titulaire au plus tard 5 jours après le cocon.</w:t>
      </w:r>
    </w:p>
    <w:p w:rsidR="006E6D7A" w:rsidRDefault="00B16C64" w14:paraId="67157267" w14:textId="77777777">
      <w:pPr>
        <w:pStyle w:val="Titre4"/>
        <w:numPr>
          <w:ilvl w:val="4"/>
          <w:numId w:val="3"/>
        </w:numPr>
      </w:pPr>
      <w:r>
        <w:t>Échanges ad hoc</w:t>
      </w:r>
    </w:p>
    <w:p w:rsidR="006E6D7A" w:rsidRDefault="00B16C64" w14:paraId="67157268" w14:textId="77777777">
      <w:r>
        <w:t>Entre 2 cocons, les responsables d’enjeux DSI impliquant des intervenants du titulaire ont des points d’échange par opportunité (téléphonique, mail, visioconférence) avec les responsables des intervenants du titulaire concernés.</w:t>
      </w:r>
    </w:p>
    <w:p w:rsidR="006E6D7A" w:rsidRDefault="00B16C64" w14:paraId="67157269" w14:textId="77777777">
      <w:pPr>
        <w:pStyle w:val="Titre4"/>
        <w:numPr>
          <w:ilvl w:val="4"/>
          <w:numId w:val="3"/>
        </w:numPr>
      </w:pPr>
      <w:r>
        <w:t>Escalade et gestion de crise</w:t>
      </w:r>
    </w:p>
    <w:p w:rsidR="006E6D7A" w:rsidRDefault="00B16C64" w14:paraId="6715726A" w14:textId="77777777">
      <w:pPr>
        <w:pStyle w:val="Puce1"/>
        <w:numPr>
          <w:ilvl w:val="0"/>
          <w:numId w:val="0"/>
        </w:numPr>
        <w:ind w:left="284" w:hanging="284"/>
        <w:rPr>
          <w:rFonts w:asciiTheme="minorHAnsi" w:hAnsiTheme="minorHAnsi" w:cstheme="minorHAnsi"/>
        </w:rPr>
      </w:pPr>
      <w:r>
        <w:rPr>
          <w:rFonts w:cstheme="minorHAnsi"/>
        </w:rPr>
        <w:t>Une situation de crise peut se déclencher notamment pour une des raisons suivantes :</w:t>
      </w:r>
    </w:p>
    <w:p w:rsidR="006E6D7A" w:rsidRDefault="00B16C64" w14:paraId="6715726B" w14:textId="77777777">
      <w:pPr>
        <w:pStyle w:val="Puce1"/>
      </w:pPr>
      <w:r>
        <w:t>Situation dégradée durable dans l’organisation, les équipes ou dans le fonctionnement d’un composant du périmètre ;</w:t>
      </w:r>
    </w:p>
    <w:p w:rsidR="006E6D7A" w:rsidRDefault="00B16C64" w14:paraId="6715726C" w14:textId="77777777">
      <w:pPr>
        <w:pStyle w:val="Puce1"/>
      </w:pPr>
      <w:r>
        <w:t>Problème spécifique avec un intervenant (difficulté d’interaction avec une équipe, compétence insuffisante)</w:t>
      </w:r>
    </w:p>
    <w:p w:rsidR="006E6D7A" w:rsidRDefault="00B16C64" w14:paraId="6715726D" w14:textId="77777777">
      <w:r>
        <w:t>Dans une telle situation, une réunion spécifique pourra être organisée à la demande de l’une des deux parties (INRAE, titulaire) pour résoudre le dysfonctionnement.</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844"/>
        <w:gridCol w:w="8831"/>
      </w:tblGrid>
      <w:tr w:rsidR="006E6D7A" w14:paraId="67157270" w14:textId="77777777">
        <w:trPr>
          <w:tblHeader/>
        </w:trPr>
        <w:tc>
          <w:tcPr>
            <w:tcW w:w="844" w:type="dxa"/>
            <w:tcBorders>
              <w:top w:val="single" w:color="06A6A3" w:sz="4" w:space="0"/>
              <w:left w:val="single" w:color="06A6A3" w:sz="4" w:space="0"/>
              <w:bottom w:val="single" w:color="06A6A3" w:sz="4" w:space="0"/>
              <w:right w:val="single" w:color="06A6A3" w:sz="4" w:space="0"/>
            </w:tcBorders>
            <w:shd w:val="clear" w:color="auto" w:fill="03A3A6"/>
            <w:vAlign w:val="center"/>
          </w:tcPr>
          <w:p w:rsidR="006E6D7A" w:rsidRDefault="00B16C64" w14:paraId="6715726E" w14:textId="77777777">
            <w:pPr>
              <w:rPr>
                <w:b/>
                <w:bCs/>
                <w:color w:val="FFFFFF" w:themeColor="background1"/>
              </w:rPr>
            </w:pPr>
            <w:r>
              <w:rPr>
                <w:b/>
                <w:bCs/>
                <w:color w:val="FFFFFF" w:themeColor="background1"/>
              </w:rPr>
              <w:t>Réf.</w:t>
            </w:r>
          </w:p>
        </w:tc>
        <w:tc>
          <w:tcPr>
            <w:tcW w:w="8830" w:type="dxa"/>
            <w:tcBorders>
              <w:top w:val="single" w:color="06A6A3" w:sz="4" w:space="0"/>
              <w:left w:val="single" w:color="06A6A3" w:sz="4" w:space="0"/>
              <w:bottom w:val="single" w:color="06A6A3" w:sz="4" w:space="0"/>
              <w:right w:val="single" w:color="06A6A3" w:sz="4" w:space="0"/>
            </w:tcBorders>
            <w:shd w:val="clear" w:color="auto" w:fill="03A3A6"/>
            <w:vAlign w:val="center"/>
          </w:tcPr>
          <w:p w:rsidR="006E6D7A" w:rsidRDefault="00B16C64" w14:paraId="6715726F" w14:textId="77777777">
            <w:pPr>
              <w:rPr>
                <w:b/>
                <w:bCs/>
                <w:color w:val="FFFFFF" w:themeColor="background1"/>
              </w:rPr>
            </w:pPr>
            <w:r>
              <w:rPr>
                <w:b/>
                <w:bCs/>
                <w:color w:val="FFFFFF" w:themeColor="background1"/>
              </w:rPr>
              <w:t>Exigence</w:t>
            </w:r>
          </w:p>
        </w:tc>
      </w:tr>
      <w:tr w:rsidR="006E6D7A" w14:paraId="67157273" w14:textId="77777777">
        <w:tc>
          <w:tcPr>
            <w:tcW w:w="844" w:type="dxa"/>
            <w:tcBorders>
              <w:top w:val="single" w:color="06A6A3" w:sz="4" w:space="0"/>
              <w:left w:val="single" w:color="06A6A3" w:sz="4" w:space="0"/>
              <w:bottom w:val="single" w:color="06A6A3" w:sz="4" w:space="0"/>
              <w:right w:val="single" w:color="06A6A3" w:sz="4" w:space="0"/>
            </w:tcBorders>
          </w:tcPr>
          <w:p w:rsidR="006E6D7A" w:rsidRDefault="00B16C64" w14:paraId="67157271" w14:textId="77777777">
            <w:pPr>
              <w:spacing w:before="100" w:after="100"/>
              <w:ind w:left="45"/>
              <w:rPr>
                <w:color w:val="FF0000"/>
              </w:rPr>
            </w:pPr>
            <w:r>
              <w:rPr>
                <w:sz w:val="16"/>
                <w:szCs w:val="16"/>
              </w:rPr>
              <w:t>Ex_PC_16</w:t>
            </w:r>
          </w:p>
        </w:tc>
        <w:tc>
          <w:tcPr>
            <w:tcW w:w="8830" w:type="dxa"/>
            <w:tcBorders>
              <w:top w:val="single" w:color="06A6A3" w:sz="4" w:space="0"/>
              <w:left w:val="single" w:color="06A6A3" w:sz="4" w:space="0"/>
              <w:bottom w:val="single" w:color="06A6A3" w:sz="4" w:space="0"/>
              <w:right w:val="single" w:color="06A6A3" w:sz="4" w:space="0"/>
            </w:tcBorders>
          </w:tcPr>
          <w:p w:rsidR="006E6D7A" w:rsidRDefault="00B16C64" w14:paraId="67157272" w14:textId="77777777">
            <w:r>
              <w:t>Le titulaire s’engage à être force de proposition pour la mise en place, la production et l’analyse d’indicateurs de performance adaptés au contexte.</w:t>
            </w:r>
          </w:p>
        </w:tc>
      </w:tr>
    </w:tbl>
    <w:p w:rsidR="006E6D7A" w:rsidRDefault="00B16C64" w14:paraId="67157274" w14:textId="77777777">
      <w:pPr>
        <w:pStyle w:val="Titre2"/>
      </w:pPr>
      <w:bookmarkStart w:name="_Toc221095533" w:id="110"/>
      <w:r>
        <w:lastRenderedPageBreak/>
        <w:t>Localisation des intervenants / fournitures attendues</w:t>
      </w:r>
      <w:bookmarkEnd w:id="110"/>
    </w:p>
    <w:p w:rsidR="006E6D7A" w:rsidRDefault="00B16C64" w14:paraId="67157275" w14:textId="77777777">
      <w:r>
        <w:t xml:space="preserve">Les équipes du pole SOLAIRE d’INRAE sont réparties principalement sur les sites d’Avignon, de Montpellier, de Lyon, de Versailles, de Toulouse, de Paris, de Jouy à la date de rédaction du document. Les équipes du pôle </w:t>
      </w:r>
      <w:proofErr w:type="gramStart"/>
      <w:r>
        <w:t>INFRASTRUCTURES  d’INRAE</w:t>
      </w:r>
      <w:proofErr w:type="gramEnd"/>
      <w:r>
        <w:t xml:space="preserve"> sont dispersées sur la France métropolitaine mais présentes principalement à </w:t>
      </w:r>
      <w:proofErr w:type="spellStart"/>
      <w:r>
        <w:t>Toulouse,Jouy</w:t>
      </w:r>
      <w:proofErr w:type="spellEnd"/>
      <w:r>
        <w:t xml:space="preserve">-en-Josas, Versailles et Bordeaux. Dans le cadre de l’élargissement des activités du domaine, des personnels des autres centres INRAE pourront travailler au sein de ces équipes. </w:t>
      </w:r>
    </w:p>
    <w:p w:rsidR="006E6D7A" w:rsidRDefault="00B16C64" w14:paraId="67157276" w14:textId="77777777">
      <w:r>
        <w:t>Le pouvoir adjudicateur n’impose pas de localisation permanente pour toutes les équipes du titulaire pour le présent accord-cadre</w:t>
      </w:r>
      <w:r>
        <w:rPr>
          <w:b/>
        </w:rPr>
        <w:t>.</w:t>
      </w:r>
      <w:r>
        <w:t xml:space="preserve"> INRAE attend du titulaire un haut niveau de proximité et de collaboration, en particulier pour les travaux relatifs à : </w:t>
      </w:r>
    </w:p>
    <w:p w:rsidR="006E6D7A" w:rsidRDefault="00B16C64" w14:paraId="67157277" w14:textId="77777777">
      <w:pPr>
        <w:pStyle w:val="Puce1"/>
      </w:pPr>
      <w:r>
        <w:t xml:space="preserve">L’installation et la montée en compétences ; </w:t>
      </w:r>
    </w:p>
    <w:p w:rsidR="006E6D7A" w:rsidRDefault="00B16C64" w14:paraId="67157278" w14:textId="77777777">
      <w:pPr>
        <w:pStyle w:val="Puce1"/>
      </w:pPr>
      <w:r>
        <w:t>La réalisation des produits ;</w:t>
      </w:r>
    </w:p>
    <w:p w:rsidR="006E6D7A" w:rsidRDefault="00B16C64" w14:paraId="67157279" w14:textId="77777777">
      <w:pPr>
        <w:pStyle w:val="Puce1"/>
      </w:pPr>
      <w:r>
        <w:t>L’exploitation des produits ;</w:t>
      </w:r>
    </w:p>
    <w:p w:rsidR="006E6D7A" w:rsidRDefault="00B16C64" w14:paraId="6715727A" w14:textId="77777777">
      <w:pPr>
        <w:pStyle w:val="Puce1"/>
      </w:pPr>
      <w:r>
        <w:t xml:space="preserve">La réversibilité. </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844"/>
        <w:gridCol w:w="8831"/>
      </w:tblGrid>
      <w:tr w:rsidR="006E6D7A" w14:paraId="6715727D" w14:textId="77777777">
        <w:trPr>
          <w:tblHeader/>
        </w:trPr>
        <w:tc>
          <w:tcPr>
            <w:tcW w:w="844" w:type="dxa"/>
            <w:tcBorders>
              <w:top w:val="single" w:color="06A6A3" w:sz="4" w:space="0"/>
              <w:left w:val="single" w:color="06A6A3" w:sz="4" w:space="0"/>
              <w:bottom w:val="single" w:color="06A6A3" w:sz="4" w:space="0"/>
              <w:right w:val="single" w:color="06A6A3" w:sz="4" w:space="0"/>
            </w:tcBorders>
            <w:shd w:val="clear" w:color="auto" w:fill="03A3A6"/>
            <w:vAlign w:val="center"/>
          </w:tcPr>
          <w:p w:rsidR="006E6D7A" w:rsidRDefault="00B16C64" w14:paraId="6715727B" w14:textId="77777777">
            <w:pPr>
              <w:rPr>
                <w:b/>
                <w:bCs/>
                <w:color w:val="FFFFFF" w:themeColor="background1"/>
              </w:rPr>
            </w:pPr>
            <w:r>
              <w:rPr>
                <w:b/>
                <w:bCs/>
                <w:color w:val="FFFFFF" w:themeColor="background1"/>
              </w:rPr>
              <w:t>Réf.</w:t>
            </w:r>
          </w:p>
        </w:tc>
        <w:tc>
          <w:tcPr>
            <w:tcW w:w="8830" w:type="dxa"/>
            <w:tcBorders>
              <w:top w:val="single" w:color="06A6A3" w:sz="4" w:space="0"/>
              <w:left w:val="single" w:color="06A6A3" w:sz="4" w:space="0"/>
              <w:bottom w:val="single" w:color="06A6A3" w:sz="4" w:space="0"/>
              <w:right w:val="single" w:color="06A6A3" w:sz="4" w:space="0"/>
            </w:tcBorders>
            <w:shd w:val="clear" w:color="auto" w:fill="03A3A6"/>
            <w:vAlign w:val="center"/>
          </w:tcPr>
          <w:p w:rsidR="006E6D7A" w:rsidRDefault="00B16C64" w14:paraId="6715727C" w14:textId="77777777">
            <w:pPr>
              <w:rPr>
                <w:b/>
                <w:bCs/>
                <w:color w:val="FFFFFF" w:themeColor="background1"/>
              </w:rPr>
            </w:pPr>
            <w:r>
              <w:rPr>
                <w:b/>
                <w:bCs/>
                <w:color w:val="FFFFFF" w:themeColor="background1"/>
              </w:rPr>
              <w:t>Exigence</w:t>
            </w:r>
          </w:p>
        </w:tc>
      </w:tr>
      <w:tr w:rsidR="006E6D7A" w14:paraId="67157280" w14:textId="77777777">
        <w:tc>
          <w:tcPr>
            <w:tcW w:w="844" w:type="dxa"/>
            <w:tcBorders>
              <w:top w:val="single" w:color="06A6A3" w:sz="4" w:space="0"/>
              <w:left w:val="single" w:color="06A6A3" w:sz="4" w:space="0"/>
              <w:bottom w:val="single" w:color="06A6A3" w:sz="4" w:space="0"/>
              <w:right w:val="single" w:color="06A6A3" w:sz="4" w:space="0"/>
            </w:tcBorders>
          </w:tcPr>
          <w:p w:rsidR="006E6D7A" w:rsidRDefault="00B16C64" w14:paraId="6715727E" w14:textId="77777777">
            <w:pPr>
              <w:spacing w:before="100" w:after="100"/>
              <w:ind w:left="45"/>
              <w:rPr>
                <w:color w:val="FF0000"/>
              </w:rPr>
            </w:pPr>
            <w:r>
              <w:rPr>
                <w:sz w:val="16"/>
                <w:szCs w:val="16"/>
              </w:rPr>
              <w:t>Ex_PC_17</w:t>
            </w:r>
          </w:p>
        </w:tc>
        <w:tc>
          <w:tcPr>
            <w:tcW w:w="8830" w:type="dxa"/>
            <w:tcBorders>
              <w:top w:val="single" w:color="06A6A3" w:sz="4" w:space="0"/>
              <w:left w:val="single" w:color="06A6A3" w:sz="4" w:space="0"/>
              <w:bottom w:val="single" w:color="06A6A3" w:sz="4" w:space="0"/>
              <w:right w:val="single" w:color="06A6A3" w:sz="4" w:space="0"/>
            </w:tcBorders>
          </w:tcPr>
          <w:p w:rsidR="006E6D7A" w:rsidRDefault="00B16C64" w14:paraId="6715727F" w14:textId="77777777">
            <w:r>
              <w:t>Sauf mention contraire, les prestations des intervenants sont exécutées dans les locaux du titulaire.</w:t>
            </w:r>
          </w:p>
        </w:tc>
      </w:tr>
    </w:tbl>
    <w:p w:rsidR="006E6D7A" w:rsidRDefault="00B16C64" w14:paraId="67157281" w14:textId="77777777">
      <w:pPr>
        <w:pStyle w:val="Titre3"/>
        <w:numPr>
          <w:ilvl w:val="3"/>
          <w:numId w:val="3"/>
        </w:numPr>
      </w:pPr>
      <w:bookmarkStart w:name="_Toc221095534" w:id="111"/>
      <w:r>
        <w:t>Activités de développement, d’exploitation, d’intégration et mises en production</w:t>
      </w:r>
      <w:bookmarkEnd w:id="111"/>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986"/>
        <w:gridCol w:w="8689"/>
      </w:tblGrid>
      <w:tr w:rsidR="006E6D7A" w14:paraId="67157284" w14:textId="77777777">
        <w:trPr>
          <w:tblHeader/>
        </w:trPr>
        <w:tc>
          <w:tcPr>
            <w:tcW w:w="986" w:type="dxa"/>
            <w:tcBorders>
              <w:top w:val="single" w:color="06A6A3" w:sz="4" w:space="0"/>
              <w:left w:val="single" w:color="06A6A3" w:sz="4" w:space="0"/>
              <w:bottom w:val="single" w:color="06A6A3" w:sz="4" w:space="0"/>
              <w:right w:val="single" w:color="06A6A3" w:sz="4" w:space="0"/>
            </w:tcBorders>
            <w:shd w:val="clear" w:color="auto" w:fill="03A3A6"/>
            <w:vAlign w:val="center"/>
          </w:tcPr>
          <w:p w:rsidR="006E6D7A" w:rsidRDefault="00B16C64" w14:paraId="67157282" w14:textId="77777777">
            <w:pPr>
              <w:rPr>
                <w:b/>
                <w:bCs/>
                <w:color w:val="FFFFFF" w:themeColor="background1"/>
              </w:rPr>
            </w:pPr>
            <w:r>
              <w:rPr>
                <w:b/>
                <w:bCs/>
                <w:color w:val="FFFFFF" w:themeColor="background1"/>
              </w:rPr>
              <w:t>Réf.</w:t>
            </w:r>
          </w:p>
        </w:tc>
        <w:tc>
          <w:tcPr>
            <w:tcW w:w="8688" w:type="dxa"/>
            <w:tcBorders>
              <w:top w:val="single" w:color="06A6A3" w:sz="4" w:space="0"/>
              <w:left w:val="single" w:color="06A6A3" w:sz="4" w:space="0"/>
              <w:bottom w:val="single" w:color="06A6A3" w:sz="4" w:space="0"/>
              <w:right w:val="single" w:color="06A6A3" w:sz="4" w:space="0"/>
            </w:tcBorders>
            <w:shd w:val="clear" w:color="auto" w:fill="03A3A6"/>
            <w:vAlign w:val="center"/>
          </w:tcPr>
          <w:p w:rsidR="006E6D7A" w:rsidRDefault="00B16C64" w14:paraId="67157283" w14:textId="77777777">
            <w:pPr>
              <w:rPr>
                <w:b/>
                <w:bCs/>
                <w:color w:val="FFFFFF" w:themeColor="background1"/>
              </w:rPr>
            </w:pPr>
            <w:r>
              <w:rPr>
                <w:b/>
                <w:bCs/>
                <w:color w:val="FFFFFF" w:themeColor="background1"/>
              </w:rPr>
              <w:t>Exigence</w:t>
            </w:r>
          </w:p>
        </w:tc>
      </w:tr>
      <w:tr w:rsidR="006E6D7A" w14:paraId="6715728B" w14:textId="77777777">
        <w:tc>
          <w:tcPr>
            <w:tcW w:w="986" w:type="dxa"/>
            <w:tcBorders>
              <w:top w:val="single" w:color="06A6A3" w:sz="4" w:space="0"/>
              <w:left w:val="single" w:color="06A6A3" w:sz="4" w:space="0"/>
              <w:bottom w:val="single" w:color="06A6A3" w:sz="4" w:space="0"/>
              <w:right w:val="single" w:color="06A6A3" w:sz="4" w:space="0"/>
            </w:tcBorders>
          </w:tcPr>
          <w:p w:rsidR="006E6D7A" w:rsidRDefault="00B16C64" w14:paraId="67157285" w14:textId="77777777">
            <w:pPr>
              <w:spacing w:before="100" w:after="100"/>
              <w:ind w:left="45"/>
              <w:rPr>
                <w:color w:val="FF0000"/>
              </w:rPr>
            </w:pPr>
            <w:r>
              <w:rPr>
                <w:sz w:val="16"/>
                <w:szCs w:val="16"/>
              </w:rPr>
              <w:t>Ex_PC_18</w:t>
            </w:r>
          </w:p>
        </w:tc>
        <w:tc>
          <w:tcPr>
            <w:tcW w:w="8688" w:type="dxa"/>
            <w:tcBorders>
              <w:top w:val="single" w:color="06A6A3" w:sz="4" w:space="0"/>
              <w:left w:val="single" w:color="06A6A3" w:sz="4" w:space="0"/>
              <w:bottom w:val="single" w:color="06A6A3" w:sz="4" w:space="0"/>
              <w:right w:val="single" w:color="06A6A3" w:sz="4" w:space="0"/>
            </w:tcBorders>
          </w:tcPr>
          <w:p w:rsidR="006E6D7A" w:rsidRDefault="00B16C64" w14:paraId="67157286" w14:textId="77777777">
            <w:pPr>
              <w:pStyle w:val="Tableau-Normal"/>
              <w:rPr>
                <w:rFonts w:asciiTheme="minorHAnsi" w:hAnsiTheme="minorHAnsi" w:cstheme="minorHAnsi"/>
                <w:szCs w:val="28"/>
              </w:rPr>
            </w:pPr>
            <w:r>
              <w:rPr>
                <w:rFonts w:cstheme="minorHAnsi"/>
                <w:szCs w:val="28"/>
              </w:rPr>
              <w:t>Les prestations d’exploitation, d’intégration et de mises en production pourront être opérées dans un ou plusieurs centres de services organisés dans les locaux du titulaire, sous réserve que ce dernier respecte les contraintes suivantes :</w:t>
            </w:r>
          </w:p>
          <w:p w:rsidR="006E6D7A" w:rsidRDefault="00B16C64" w14:paraId="67157287" w14:textId="77777777">
            <w:pPr>
              <w:pStyle w:val="Puce1"/>
            </w:pPr>
            <w:r>
              <w:t>Locaux situés en France métropolitaine ou compatibles en termes horaires avec la France (en comprenant la nécessité de venir 2 à 3 fois par an sur le centre d’Avignon pour Solaire, de Toulouse pour Infrastructures)</w:t>
            </w:r>
          </w:p>
          <w:p w:rsidR="006E6D7A" w:rsidRDefault="00B16C64" w14:paraId="67157288" w14:textId="77777777">
            <w:pPr>
              <w:pStyle w:val="Puce1"/>
            </w:pPr>
            <w:r>
              <w:t xml:space="preserve">Équipiers joignables individuellement au </w:t>
            </w:r>
            <w:proofErr w:type="gramStart"/>
            <w:r>
              <w:t>téléphone  par</w:t>
            </w:r>
            <w:proofErr w:type="gramEnd"/>
            <w:r>
              <w:t xml:space="preserve"> un / des numéros non surtaxé(s) </w:t>
            </w:r>
            <w:r>
              <w:rPr>
                <w:b/>
                <w:bCs/>
              </w:rPr>
              <w:t>et</w:t>
            </w:r>
            <w:r>
              <w:t xml:space="preserve"> en visio-conférence ( ou par chat via les outils préconisés par la DSI </w:t>
            </w:r>
            <w:proofErr w:type="spellStart"/>
            <w:r>
              <w:t>Inrae</w:t>
            </w:r>
            <w:proofErr w:type="spellEnd"/>
            <w:r>
              <w:t>. (A date :  zoom</w:t>
            </w:r>
            <w:proofErr w:type="gramStart"/>
            <w:r>
              <w:t>, ,</w:t>
            </w:r>
            <w:proofErr w:type="gramEnd"/>
            <w:r>
              <w:t xml:space="preserve"> webinaire numérique de l’état, </w:t>
            </w:r>
            <w:proofErr w:type="spellStart"/>
            <w:r>
              <w:t>Mattermost</w:t>
            </w:r>
            <w:proofErr w:type="spellEnd"/>
            <w:r>
              <w:t>).</w:t>
            </w:r>
          </w:p>
          <w:p w:rsidR="006E6D7A" w:rsidRDefault="006E6D7A" w14:paraId="67157289" w14:textId="77777777">
            <w:pPr>
              <w:pStyle w:val="Puce1"/>
              <w:numPr>
                <w:ilvl w:val="0"/>
                <w:numId w:val="0"/>
              </w:numPr>
            </w:pPr>
          </w:p>
          <w:p w:rsidR="006E6D7A" w:rsidRDefault="006E6D7A" w14:paraId="6715728A" w14:textId="77777777">
            <w:pPr>
              <w:pStyle w:val="Puce1"/>
              <w:numPr>
                <w:ilvl w:val="0"/>
                <w:numId w:val="0"/>
              </w:numPr>
            </w:pPr>
          </w:p>
        </w:tc>
      </w:tr>
      <w:tr w:rsidR="006E6D7A" w14:paraId="6715728E" w14:textId="77777777">
        <w:tc>
          <w:tcPr>
            <w:tcW w:w="986" w:type="dxa"/>
            <w:tcBorders>
              <w:top w:val="single" w:color="06A6A3" w:sz="4" w:space="0"/>
              <w:left w:val="single" w:color="06A6A3" w:sz="4" w:space="0"/>
              <w:bottom w:val="single" w:color="06A6A3" w:sz="4" w:space="0"/>
              <w:right w:val="single" w:color="06A6A3" w:sz="4" w:space="0"/>
            </w:tcBorders>
          </w:tcPr>
          <w:p w:rsidR="006E6D7A" w:rsidRDefault="00B16C64" w14:paraId="6715728C" w14:textId="77777777">
            <w:pPr>
              <w:spacing w:before="100" w:after="100"/>
              <w:ind w:left="45"/>
              <w:rPr>
                <w:color w:val="FF0000"/>
              </w:rPr>
            </w:pPr>
            <w:r>
              <w:rPr>
                <w:sz w:val="16"/>
                <w:szCs w:val="16"/>
              </w:rPr>
              <w:t>Ex_PC_19</w:t>
            </w:r>
          </w:p>
        </w:tc>
        <w:tc>
          <w:tcPr>
            <w:tcW w:w="8688" w:type="dxa"/>
            <w:tcBorders>
              <w:top w:val="single" w:color="06A6A3" w:sz="4" w:space="0"/>
              <w:left w:val="single" w:color="06A6A3" w:sz="4" w:space="0"/>
              <w:bottom w:val="single" w:color="06A6A3" w:sz="4" w:space="0"/>
              <w:right w:val="single" w:color="06A6A3" w:sz="4" w:space="0"/>
            </w:tcBorders>
          </w:tcPr>
          <w:p w:rsidR="006E6D7A" w:rsidRDefault="00B16C64" w14:paraId="6715728D" w14:textId="77777777">
            <w:pPr>
              <w:pStyle w:val="Tableau-Normal"/>
              <w:rPr>
                <w:rFonts w:asciiTheme="minorHAnsi" w:hAnsiTheme="minorHAnsi" w:cstheme="minorHAnsi"/>
                <w:szCs w:val="28"/>
              </w:rPr>
            </w:pPr>
            <w:r>
              <w:rPr>
                <w:rFonts w:cstheme="minorHAnsi"/>
                <w:szCs w:val="28"/>
              </w:rPr>
              <w:t>A la mise en place de l’accord-cadre, le titulaire devra présenter à INRAE son/ses centres de services et son organisation. INRAE se réservera le droit, durant la durée de l’accord-cadre, de solliciter une visite annuelle du/des centres de services.</w:t>
            </w:r>
          </w:p>
        </w:tc>
      </w:tr>
    </w:tbl>
    <w:p w:rsidR="006E6D7A" w:rsidRDefault="00B16C64" w14:paraId="6715728F" w14:textId="77777777">
      <w:pPr>
        <w:pStyle w:val="Titre3"/>
        <w:numPr>
          <w:ilvl w:val="3"/>
          <w:numId w:val="3"/>
        </w:numPr>
      </w:pPr>
      <w:bookmarkStart w:name="_Toc221095535" w:id="112"/>
      <w:r>
        <w:t>Montée en compétences et réversibilité</w:t>
      </w:r>
      <w:bookmarkEnd w:id="112"/>
    </w:p>
    <w:p w:rsidR="006E6D7A" w:rsidRDefault="00B16C64" w14:paraId="67157290" w14:textId="77777777">
      <w:r>
        <w:t>Dans les situations, respectivement, d’une montée en compétences ou de réversibilité, les équipes du titulaire doivent potentiellement se trouver sur site INRAE en proximité des personnels chargés du transfert ou engagés dans la montée en compétences (INRAE ou partenaire). INRAE mettra à la disposition des intervenants du titulaire les ressources nécessaires pour assurer ces activités.</w:t>
      </w:r>
    </w:p>
    <w:p w:rsidR="006E6D7A" w:rsidRDefault="00B16C64" w14:paraId="67157291" w14:textId="77777777">
      <w:r>
        <w:t>Après une montée en compétences, les équipes du titulaire resteront potentiellement sur site INRAE sur une durée suffisante pour leur permettre d’acquérir une parfaite autonomie, et pourront ensuite réintégrer les locaux du titulaire.</w:t>
      </w:r>
    </w:p>
    <w:p w:rsidR="006E6D7A" w:rsidRDefault="00B16C64" w14:paraId="67157292" w14:textId="77777777">
      <w:pPr>
        <w:pStyle w:val="Titre3"/>
        <w:numPr>
          <w:ilvl w:val="3"/>
          <w:numId w:val="3"/>
        </w:numPr>
      </w:pPr>
      <w:bookmarkStart w:name="_Toc221095536" w:id="113"/>
      <w:r>
        <w:lastRenderedPageBreak/>
        <w:t>Lancement de release</w:t>
      </w:r>
      <w:bookmarkEnd w:id="113"/>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986"/>
        <w:gridCol w:w="8689"/>
      </w:tblGrid>
      <w:tr w:rsidR="006E6D7A" w14:paraId="67157295" w14:textId="77777777">
        <w:trPr>
          <w:tblHeader/>
        </w:trPr>
        <w:tc>
          <w:tcPr>
            <w:tcW w:w="986" w:type="dxa"/>
            <w:tcBorders>
              <w:top w:val="single" w:color="000000" w:sz="4" w:space="0"/>
              <w:left w:val="single" w:color="000000" w:sz="4" w:space="0"/>
            </w:tcBorders>
            <w:shd w:val="clear" w:color="auto" w:fill="03A3A6"/>
            <w:vAlign w:val="center"/>
          </w:tcPr>
          <w:p w:rsidR="006E6D7A" w:rsidRDefault="00B16C64" w14:paraId="67157293" w14:textId="77777777">
            <w:pPr>
              <w:rPr>
                <w:b/>
                <w:bCs/>
                <w:color w:val="FFFFFF" w:themeColor="background1"/>
              </w:rPr>
            </w:pPr>
            <w:r>
              <w:rPr>
                <w:b/>
                <w:bCs/>
                <w:color w:val="FFFFFF" w:themeColor="background1"/>
              </w:rPr>
              <w:t>Réf.</w:t>
            </w:r>
          </w:p>
        </w:tc>
        <w:tc>
          <w:tcPr>
            <w:tcW w:w="8688" w:type="dxa"/>
            <w:tcBorders>
              <w:top w:val="single" w:color="000000" w:sz="4" w:space="0"/>
              <w:left w:val="single" w:color="000000" w:sz="4" w:space="0"/>
              <w:right w:val="single" w:color="000000" w:sz="4" w:space="0"/>
            </w:tcBorders>
            <w:shd w:val="clear" w:color="auto" w:fill="03A3A6"/>
            <w:vAlign w:val="center"/>
          </w:tcPr>
          <w:p w:rsidR="006E6D7A" w:rsidRDefault="00B16C64" w14:paraId="67157294" w14:textId="77777777">
            <w:pPr>
              <w:rPr>
                <w:b/>
                <w:bCs/>
                <w:color w:val="FFFFFF" w:themeColor="background1"/>
              </w:rPr>
            </w:pPr>
            <w:r>
              <w:rPr>
                <w:b/>
                <w:bCs/>
                <w:color w:val="FFFFFF" w:themeColor="background1"/>
              </w:rPr>
              <w:t>Exigence</w:t>
            </w:r>
          </w:p>
        </w:tc>
      </w:tr>
      <w:tr w:rsidR="006E6D7A" w14:paraId="67157298" w14:textId="77777777">
        <w:tc>
          <w:tcPr>
            <w:tcW w:w="986" w:type="dxa"/>
            <w:tcBorders>
              <w:top w:val="single" w:color="000000" w:sz="4" w:space="0"/>
              <w:left w:val="single" w:color="000000" w:sz="4" w:space="0"/>
              <w:bottom w:val="single" w:color="000000" w:sz="4" w:space="0"/>
              <w:right w:val="single" w:color="000000" w:sz="4" w:space="0"/>
            </w:tcBorders>
          </w:tcPr>
          <w:p w:rsidR="006E6D7A" w:rsidRDefault="00B16C64" w14:paraId="67157296" w14:textId="77777777">
            <w:pPr>
              <w:spacing w:before="100" w:after="100"/>
              <w:ind w:left="45"/>
              <w:rPr>
                <w:color w:val="FF0000"/>
              </w:rPr>
            </w:pPr>
            <w:r>
              <w:rPr>
                <w:sz w:val="16"/>
                <w:szCs w:val="16"/>
              </w:rPr>
              <w:t>Ex_PC_20</w:t>
            </w:r>
            <w:r>
              <w:rPr>
                <w:rStyle w:val="Appelnotedebasdep"/>
                <w:szCs w:val="16"/>
              </w:rPr>
              <w:footnoteReference w:customMarkFollows="1" w:id="3"/>
              <w:t>*</w:t>
            </w:r>
          </w:p>
        </w:tc>
        <w:tc>
          <w:tcPr>
            <w:tcW w:w="8688" w:type="dxa"/>
            <w:tcBorders>
              <w:top w:val="single" w:color="000000" w:sz="4" w:space="0"/>
              <w:left w:val="single" w:color="000000" w:sz="4" w:space="0"/>
              <w:bottom w:val="single" w:color="000000" w:sz="4" w:space="0"/>
              <w:right w:val="single" w:color="000000" w:sz="4" w:space="0"/>
            </w:tcBorders>
          </w:tcPr>
          <w:p w:rsidR="006E6D7A" w:rsidRDefault="00B16C64" w14:paraId="67157297" w14:textId="77777777">
            <w:pPr>
              <w:pStyle w:val="Tableau-Normal"/>
            </w:pPr>
            <w:r>
              <w:rPr>
                <w:rFonts w:cstheme="minorHAnsi"/>
                <w:szCs w:val="28"/>
              </w:rPr>
              <w:t>Lors de chaque lancement de release, dans les cas de changement de périmètre ou de nouveaux projets majeurs, les intervenants du titulaire doivent se trouver sur le site INRAE pour la première semaine du sprint 0.</w:t>
            </w:r>
          </w:p>
        </w:tc>
      </w:tr>
    </w:tbl>
    <w:p w:rsidR="006E6D7A" w:rsidRDefault="00B16C64" w14:paraId="67157299" w14:textId="77777777">
      <w:pPr>
        <w:pStyle w:val="Titre3"/>
        <w:numPr>
          <w:ilvl w:val="3"/>
          <w:numId w:val="3"/>
        </w:numPr>
      </w:pPr>
      <w:bookmarkStart w:name="_Hlk115195949" w:id="114"/>
      <w:bookmarkStart w:name="_Toc221095537" w:id="115"/>
      <w:bookmarkEnd w:id="114"/>
      <w:r>
        <w:t>Séminaire DES POLES OU PROJETS DSI</w:t>
      </w:r>
      <w:bookmarkEnd w:id="115"/>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986"/>
        <w:gridCol w:w="8689"/>
      </w:tblGrid>
      <w:tr w:rsidR="006E6D7A" w14:paraId="6715729C" w14:textId="77777777">
        <w:trPr>
          <w:tblHeader/>
        </w:trPr>
        <w:tc>
          <w:tcPr>
            <w:tcW w:w="986" w:type="dxa"/>
            <w:tcBorders>
              <w:top w:val="single" w:color="000000" w:sz="4" w:space="0"/>
              <w:left w:val="single" w:color="000000" w:sz="4" w:space="0"/>
            </w:tcBorders>
            <w:shd w:val="clear" w:color="auto" w:fill="03A3A6"/>
            <w:vAlign w:val="center"/>
          </w:tcPr>
          <w:p w:rsidR="006E6D7A" w:rsidRDefault="00B16C64" w14:paraId="6715729A" w14:textId="77777777">
            <w:pPr>
              <w:rPr>
                <w:b/>
                <w:bCs/>
                <w:color w:val="FFFFFF" w:themeColor="background1"/>
              </w:rPr>
            </w:pPr>
            <w:r>
              <w:rPr>
                <w:b/>
                <w:bCs/>
                <w:color w:val="FFFFFF" w:themeColor="background1"/>
              </w:rPr>
              <w:t>Réf.</w:t>
            </w:r>
          </w:p>
        </w:tc>
        <w:tc>
          <w:tcPr>
            <w:tcW w:w="8688" w:type="dxa"/>
            <w:tcBorders>
              <w:top w:val="single" w:color="000000" w:sz="4" w:space="0"/>
              <w:left w:val="single" w:color="000000" w:sz="4" w:space="0"/>
              <w:right w:val="single" w:color="000000" w:sz="4" w:space="0"/>
            </w:tcBorders>
            <w:shd w:val="clear" w:color="auto" w:fill="03A3A6"/>
            <w:vAlign w:val="center"/>
          </w:tcPr>
          <w:p w:rsidR="006E6D7A" w:rsidRDefault="00B16C64" w14:paraId="6715729B" w14:textId="77777777">
            <w:pPr>
              <w:rPr>
                <w:b/>
                <w:bCs/>
                <w:color w:val="FFFFFF" w:themeColor="background1"/>
              </w:rPr>
            </w:pPr>
            <w:r>
              <w:rPr>
                <w:b/>
                <w:bCs/>
                <w:color w:val="FFFFFF" w:themeColor="background1"/>
              </w:rPr>
              <w:t>Exigence</w:t>
            </w:r>
          </w:p>
        </w:tc>
      </w:tr>
      <w:tr w:rsidR="006E6D7A" w14:paraId="671572A0" w14:textId="77777777">
        <w:tc>
          <w:tcPr>
            <w:tcW w:w="986" w:type="dxa"/>
            <w:tcBorders>
              <w:top w:val="single" w:color="000000" w:sz="4" w:space="0"/>
              <w:left w:val="single" w:color="000000" w:sz="4" w:space="0"/>
              <w:bottom w:val="single" w:color="000000" w:sz="4" w:space="0"/>
              <w:right w:val="single" w:color="000000" w:sz="4" w:space="0"/>
            </w:tcBorders>
          </w:tcPr>
          <w:p w:rsidR="006E6D7A" w:rsidRDefault="00B16C64" w14:paraId="6715729D" w14:textId="77777777">
            <w:pPr>
              <w:spacing w:before="100" w:after="100"/>
              <w:ind w:left="45"/>
              <w:rPr>
                <w:color w:val="FF0000"/>
              </w:rPr>
            </w:pPr>
            <w:r>
              <w:rPr>
                <w:sz w:val="16"/>
                <w:szCs w:val="16"/>
              </w:rPr>
              <w:t>Ex_PC_21*</w:t>
            </w:r>
          </w:p>
        </w:tc>
        <w:tc>
          <w:tcPr>
            <w:tcW w:w="8688" w:type="dxa"/>
            <w:tcBorders>
              <w:top w:val="single" w:color="000000" w:sz="4" w:space="0"/>
              <w:left w:val="single" w:color="000000" w:sz="4" w:space="0"/>
              <w:bottom w:val="single" w:color="000000" w:sz="4" w:space="0"/>
              <w:right w:val="single" w:color="000000" w:sz="4" w:space="0"/>
            </w:tcBorders>
          </w:tcPr>
          <w:p w:rsidR="006E6D7A" w:rsidRDefault="00B16C64" w14:paraId="6715729E" w14:textId="77777777">
            <w:r>
              <w:t xml:space="preserve">Lors de ces cérémoniaux (1 à 2 fois par an), la présence physique de tout intervenant du </w:t>
            </w:r>
            <w:proofErr w:type="gramStart"/>
            <w:r>
              <w:t>titulaire  au</w:t>
            </w:r>
            <w:proofErr w:type="gramEnd"/>
            <w:r>
              <w:t xml:space="preserve"> sein de ces séminaires peut être souhaitée.</w:t>
            </w:r>
            <w:r>
              <w:rPr>
                <w:i/>
                <w:iCs/>
              </w:rPr>
              <w:t xml:space="preserve"> (</w:t>
            </w:r>
            <w:proofErr w:type="gramStart"/>
            <w:r>
              <w:rPr>
                <w:i/>
                <w:iCs/>
              </w:rPr>
              <w:t>coûts</w:t>
            </w:r>
            <w:proofErr w:type="gramEnd"/>
            <w:r>
              <w:rPr>
                <w:i/>
                <w:iCs/>
              </w:rPr>
              <w:t xml:space="preserve"> intégrés dans la prestation demandée).</w:t>
            </w:r>
          </w:p>
          <w:p w:rsidR="006E6D7A" w:rsidRDefault="00B16C64" w14:paraId="6715729F" w14:textId="77777777">
            <w:pPr>
              <w:rPr>
                <w:color w:val="FF0000"/>
              </w:rPr>
            </w:pPr>
            <w:r>
              <w:t>Un intervenant absent s’il est mobilisé par le pôle ne travaille pas ces jours pour INRAE.</w:t>
            </w:r>
          </w:p>
        </w:tc>
      </w:tr>
    </w:tbl>
    <w:p w:rsidR="006E6D7A" w:rsidRDefault="00B16C64" w14:paraId="671572A1" w14:textId="77777777">
      <w:pPr>
        <w:pStyle w:val="Titre3"/>
        <w:numPr>
          <w:ilvl w:val="3"/>
          <w:numId w:val="3"/>
        </w:numPr>
      </w:pPr>
      <w:bookmarkStart w:name="_Toc221095538" w:id="116"/>
      <w:r>
        <w:t>Autres prestations</w:t>
      </w:r>
      <w:bookmarkEnd w:id="116"/>
    </w:p>
    <w:p w:rsidR="006E6D7A" w:rsidRDefault="00B16C64" w14:paraId="671572A2" w14:textId="77777777">
      <w:r>
        <w:t>Les autres travaux pourront se dérouler dans les locaux du titulaire.</w:t>
      </w:r>
    </w:p>
    <w:p w:rsidR="006E6D7A" w:rsidRDefault="00B16C64" w14:paraId="671572A3" w14:textId="77777777">
      <w:pPr>
        <w:pStyle w:val="Titre2"/>
      </w:pPr>
      <w:bookmarkStart w:name="_Toc221095539" w:id="117"/>
      <w:r>
        <w:t>Communautés et autres collectifs</w:t>
      </w:r>
      <w:bookmarkEnd w:id="117"/>
    </w:p>
    <w:p w:rsidR="006E6D7A" w:rsidRDefault="00B16C64" w14:paraId="671572A4" w14:textId="77777777">
      <w:r>
        <w:t xml:space="preserve">Au sein de l’établissement, des CATI 4G sont en cours d’élaboration autour des thématiques d’infrastructure, de sécurité, d’ingénierie logicielle et de </w:t>
      </w:r>
      <w:proofErr w:type="spellStart"/>
      <w:r>
        <w:t>devSecOps</w:t>
      </w:r>
      <w:proofErr w:type="spellEnd"/>
      <w:r>
        <w:t xml:space="preserve"> notamment.</w:t>
      </w:r>
    </w:p>
    <w:p w:rsidR="006E6D7A" w:rsidRDefault="006E6D7A" w14:paraId="671572A5" w14:textId="77777777"/>
    <w:p w:rsidR="006E6D7A" w:rsidRDefault="00B16C64" w14:paraId="671572A6" w14:textId="77777777">
      <w:r>
        <w:t>Au sein de la DSI, des communautés de pratiques sont mises en place afin de partager des problématiques communes, les solutions à partager et aider à la trajectoire (notamment méthodes et outils) pour les activités associées au thème de leur communauté.</w:t>
      </w:r>
    </w:p>
    <w:p w:rsidR="006E6D7A" w:rsidRDefault="00B16C64" w14:paraId="671572A7" w14:textId="77777777">
      <w:r>
        <w:t>A date de rédaction du présent accord-cadre, il existe notamment 3 communautés en lien direct avec cette procédure :</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7226"/>
        <w:gridCol w:w="2449"/>
      </w:tblGrid>
      <w:tr w:rsidR="006E6D7A" w14:paraId="671572AA" w14:textId="77777777">
        <w:trPr>
          <w:tblHeader/>
        </w:trPr>
        <w:tc>
          <w:tcPr>
            <w:tcW w:w="7225" w:type="dxa"/>
            <w:tcBorders>
              <w:top w:val="single" w:color="06A6A3" w:sz="4" w:space="0"/>
              <w:left w:val="single" w:color="06A6A3" w:sz="4" w:space="0"/>
              <w:bottom w:val="single" w:color="06A6A3" w:sz="4" w:space="0"/>
              <w:right w:val="single" w:color="06A6A3" w:sz="4" w:space="0"/>
            </w:tcBorders>
            <w:shd w:val="clear" w:color="auto" w:fill="03A3A6"/>
            <w:vAlign w:val="center"/>
          </w:tcPr>
          <w:p w:rsidR="006E6D7A" w:rsidRDefault="00B16C64" w14:paraId="671572A8" w14:textId="77777777">
            <w:pPr>
              <w:rPr>
                <w:b/>
                <w:bCs/>
                <w:color w:val="FFFFFF" w:themeColor="background1"/>
              </w:rPr>
            </w:pPr>
            <w:r>
              <w:rPr>
                <w:b/>
                <w:bCs/>
                <w:color w:val="FFFFFF" w:themeColor="background1"/>
              </w:rPr>
              <w:t>Communauté</w:t>
            </w:r>
          </w:p>
        </w:tc>
        <w:tc>
          <w:tcPr>
            <w:tcW w:w="2449" w:type="dxa"/>
            <w:tcBorders>
              <w:top w:val="single" w:color="06A6A3" w:sz="4" w:space="0"/>
              <w:left w:val="single" w:color="06A6A3" w:sz="4" w:space="0"/>
              <w:bottom w:val="single" w:color="06A6A3" w:sz="4" w:space="0"/>
              <w:right w:val="single" w:color="06A6A3" w:sz="4" w:space="0"/>
            </w:tcBorders>
            <w:shd w:val="clear" w:color="auto" w:fill="03A3A6"/>
            <w:vAlign w:val="center"/>
          </w:tcPr>
          <w:p w:rsidR="006E6D7A" w:rsidRDefault="00B16C64" w14:paraId="671572A9" w14:textId="77777777">
            <w:pPr>
              <w:rPr>
                <w:b/>
                <w:bCs/>
                <w:color w:val="FFFFFF" w:themeColor="background1"/>
              </w:rPr>
            </w:pPr>
            <w:r>
              <w:rPr>
                <w:b/>
                <w:bCs/>
                <w:color w:val="FFFFFF" w:themeColor="background1"/>
              </w:rPr>
              <w:t>Activité</w:t>
            </w:r>
          </w:p>
        </w:tc>
      </w:tr>
      <w:tr w:rsidR="006E6D7A" w14:paraId="671572AD" w14:textId="77777777">
        <w:tc>
          <w:tcPr>
            <w:tcW w:w="7225" w:type="dxa"/>
            <w:tcBorders>
              <w:top w:val="single" w:color="06A6A3" w:sz="4" w:space="0"/>
              <w:left w:val="single" w:color="06A6A3" w:sz="4" w:space="0"/>
              <w:bottom w:val="single" w:color="06A6A3" w:sz="4" w:space="0"/>
              <w:right w:val="single" w:color="06A6A3" w:sz="4" w:space="0"/>
            </w:tcBorders>
          </w:tcPr>
          <w:p w:rsidR="006E6D7A" w:rsidRDefault="00B16C64" w14:paraId="671572AB" w14:textId="77777777">
            <w:r>
              <w:t>Architectes</w:t>
            </w:r>
          </w:p>
        </w:tc>
        <w:tc>
          <w:tcPr>
            <w:tcW w:w="2449" w:type="dxa"/>
            <w:tcBorders>
              <w:top w:val="single" w:color="06A6A3" w:sz="4" w:space="0"/>
              <w:left w:val="single" w:color="06A6A3" w:sz="4" w:space="0"/>
              <w:bottom w:val="single" w:color="06A6A3" w:sz="4" w:space="0"/>
              <w:right w:val="single" w:color="06A6A3" w:sz="4" w:space="0"/>
            </w:tcBorders>
          </w:tcPr>
          <w:p w:rsidR="006E6D7A" w:rsidRDefault="00B16C64" w14:paraId="671572AC" w14:textId="77777777">
            <w:r>
              <w:t>+++</w:t>
            </w:r>
          </w:p>
        </w:tc>
      </w:tr>
      <w:tr w:rsidR="006E6D7A" w14:paraId="671572B0" w14:textId="77777777">
        <w:tc>
          <w:tcPr>
            <w:tcW w:w="7225" w:type="dxa"/>
            <w:tcBorders>
              <w:top w:val="single" w:color="06A6A3" w:sz="4" w:space="0"/>
              <w:left w:val="single" w:color="06A6A3" w:sz="4" w:space="0"/>
              <w:bottom w:val="single" w:color="06A6A3" w:sz="4" w:space="0"/>
              <w:right w:val="single" w:color="06A6A3" w:sz="4" w:space="0"/>
            </w:tcBorders>
          </w:tcPr>
          <w:p w:rsidR="006E6D7A" w:rsidRDefault="00B16C64" w14:paraId="671572AE" w14:textId="77777777">
            <w:proofErr w:type="spellStart"/>
            <w:r>
              <w:t>DevSecOps</w:t>
            </w:r>
            <w:proofErr w:type="spellEnd"/>
          </w:p>
        </w:tc>
        <w:tc>
          <w:tcPr>
            <w:tcW w:w="2449" w:type="dxa"/>
            <w:tcBorders>
              <w:top w:val="single" w:color="06A6A3" w:sz="4" w:space="0"/>
              <w:left w:val="single" w:color="06A6A3" w:sz="4" w:space="0"/>
              <w:bottom w:val="single" w:color="06A6A3" w:sz="4" w:space="0"/>
              <w:right w:val="single" w:color="06A6A3" w:sz="4" w:space="0"/>
            </w:tcBorders>
          </w:tcPr>
          <w:p w:rsidR="006E6D7A" w:rsidRDefault="00B16C64" w14:paraId="671572AF" w14:textId="77777777">
            <w:r>
              <w:t>++++</w:t>
            </w:r>
          </w:p>
        </w:tc>
      </w:tr>
      <w:tr w:rsidR="006E6D7A" w14:paraId="671572B3" w14:textId="77777777">
        <w:tc>
          <w:tcPr>
            <w:tcW w:w="7225" w:type="dxa"/>
            <w:tcBorders>
              <w:top w:val="single" w:color="06A6A3" w:sz="4" w:space="0"/>
              <w:left w:val="single" w:color="06A6A3" w:sz="4" w:space="0"/>
              <w:bottom w:val="single" w:color="06A6A3" w:sz="4" w:space="0"/>
              <w:right w:val="single" w:color="06A6A3" w:sz="4" w:space="0"/>
            </w:tcBorders>
          </w:tcPr>
          <w:p w:rsidR="006E6D7A" w:rsidRDefault="00B16C64" w14:paraId="671572B1" w14:textId="77777777">
            <w:r>
              <w:t>Sécurité</w:t>
            </w:r>
          </w:p>
        </w:tc>
        <w:tc>
          <w:tcPr>
            <w:tcW w:w="2449" w:type="dxa"/>
            <w:tcBorders>
              <w:top w:val="single" w:color="06A6A3" w:sz="4" w:space="0"/>
              <w:left w:val="single" w:color="06A6A3" w:sz="4" w:space="0"/>
              <w:bottom w:val="single" w:color="06A6A3" w:sz="4" w:space="0"/>
              <w:right w:val="single" w:color="06A6A3" w:sz="4" w:space="0"/>
            </w:tcBorders>
          </w:tcPr>
          <w:p w:rsidR="006E6D7A" w:rsidRDefault="00B16C64" w14:paraId="671572B2" w14:textId="77777777">
            <w:r>
              <w:t>++</w:t>
            </w:r>
          </w:p>
        </w:tc>
      </w:tr>
    </w:tbl>
    <w:p w:rsidR="006E6D7A" w:rsidRDefault="006E6D7A" w14:paraId="671572B4" w14:textId="77777777"/>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986"/>
        <w:gridCol w:w="8689"/>
      </w:tblGrid>
      <w:tr w:rsidR="006E6D7A" w14:paraId="671572B7" w14:textId="77777777">
        <w:trPr>
          <w:tblHeader/>
        </w:trPr>
        <w:tc>
          <w:tcPr>
            <w:tcW w:w="986" w:type="dxa"/>
            <w:tcBorders>
              <w:top w:val="single" w:color="000000" w:sz="4" w:space="0"/>
              <w:left w:val="single" w:color="000000" w:sz="4" w:space="0"/>
            </w:tcBorders>
            <w:shd w:val="clear" w:color="auto" w:fill="03A3A6"/>
            <w:vAlign w:val="center"/>
          </w:tcPr>
          <w:p w:rsidR="006E6D7A" w:rsidRDefault="00B16C64" w14:paraId="671572B5" w14:textId="77777777">
            <w:pPr>
              <w:rPr>
                <w:b/>
                <w:bCs/>
                <w:color w:val="FFFFFF" w:themeColor="background1"/>
              </w:rPr>
            </w:pPr>
            <w:r>
              <w:rPr>
                <w:b/>
                <w:bCs/>
                <w:color w:val="FFFFFF" w:themeColor="background1"/>
              </w:rPr>
              <w:t>Réf.</w:t>
            </w:r>
          </w:p>
        </w:tc>
        <w:tc>
          <w:tcPr>
            <w:tcW w:w="8688" w:type="dxa"/>
            <w:tcBorders>
              <w:top w:val="single" w:color="000000" w:sz="4" w:space="0"/>
              <w:left w:val="single" w:color="000000" w:sz="4" w:space="0"/>
              <w:right w:val="single" w:color="000000" w:sz="4" w:space="0"/>
            </w:tcBorders>
            <w:shd w:val="clear" w:color="auto" w:fill="03A3A6"/>
            <w:vAlign w:val="center"/>
          </w:tcPr>
          <w:p w:rsidR="006E6D7A" w:rsidRDefault="00B16C64" w14:paraId="671572B6" w14:textId="77777777">
            <w:pPr>
              <w:rPr>
                <w:b/>
                <w:bCs/>
                <w:color w:val="FFFFFF" w:themeColor="background1"/>
              </w:rPr>
            </w:pPr>
            <w:r>
              <w:rPr>
                <w:b/>
                <w:bCs/>
                <w:color w:val="FFFFFF" w:themeColor="background1"/>
              </w:rPr>
              <w:t>Exigence</w:t>
            </w:r>
          </w:p>
        </w:tc>
      </w:tr>
      <w:tr w:rsidR="006E6D7A" w14:paraId="671572BA" w14:textId="77777777">
        <w:tc>
          <w:tcPr>
            <w:tcW w:w="986" w:type="dxa"/>
            <w:tcBorders>
              <w:top w:val="single" w:color="000000" w:sz="4" w:space="0"/>
              <w:left w:val="single" w:color="000000" w:sz="4" w:space="0"/>
              <w:bottom w:val="single" w:color="000000" w:sz="4" w:space="0"/>
              <w:right w:val="single" w:color="000000" w:sz="4" w:space="0"/>
            </w:tcBorders>
          </w:tcPr>
          <w:p w:rsidR="006E6D7A" w:rsidRDefault="00B16C64" w14:paraId="671572B8" w14:textId="77777777">
            <w:pPr>
              <w:spacing w:before="100" w:after="100"/>
              <w:ind w:left="45"/>
              <w:rPr>
                <w:color w:val="FF0000"/>
              </w:rPr>
            </w:pPr>
            <w:r>
              <w:rPr>
                <w:sz w:val="16"/>
                <w:szCs w:val="16"/>
              </w:rPr>
              <w:t>Ex_PC_22</w:t>
            </w:r>
          </w:p>
        </w:tc>
        <w:tc>
          <w:tcPr>
            <w:tcW w:w="8688" w:type="dxa"/>
            <w:tcBorders>
              <w:top w:val="single" w:color="000000" w:sz="4" w:space="0"/>
              <w:left w:val="single" w:color="000000" w:sz="4" w:space="0"/>
              <w:bottom w:val="single" w:color="000000" w:sz="4" w:space="0"/>
              <w:right w:val="single" w:color="000000" w:sz="4" w:space="0"/>
            </w:tcBorders>
          </w:tcPr>
          <w:p w:rsidR="006E6D7A" w:rsidRDefault="00B16C64" w14:paraId="671572B9" w14:textId="77777777">
            <w:pPr>
              <w:rPr>
                <w:color w:val="FF0000"/>
              </w:rPr>
            </w:pPr>
            <w:r>
              <w:t>Le titulaire s’engage à une participation active, si INRAE le demande, de ses intervenants au sein des communautés et Catis.</w:t>
            </w:r>
          </w:p>
        </w:tc>
      </w:tr>
    </w:tbl>
    <w:p w:rsidR="006E6D7A" w:rsidRDefault="00B16C64" w14:paraId="671572BB" w14:textId="77777777">
      <w:pPr>
        <w:pStyle w:val="Titre2"/>
      </w:pPr>
      <w:bookmarkStart w:name="_Toc221095540" w:id="118"/>
      <w:r>
        <w:lastRenderedPageBreak/>
        <w:t>Développements en mode PaaS – SaaS</w:t>
      </w:r>
      <w:bookmarkEnd w:id="118"/>
    </w:p>
    <w:p w:rsidR="006E6D7A" w:rsidRDefault="00B16C64" w14:paraId="671572BC" w14:textId="77777777">
      <w:r>
        <w:t xml:space="preserve">Compte tenu des orientations de développement prises par INRAE, le titulaire s’assure de présenter des profils des profils </w:t>
      </w:r>
      <w:proofErr w:type="spellStart"/>
      <w:r>
        <w:t>devSecOps</w:t>
      </w:r>
      <w:proofErr w:type="spellEnd"/>
      <w:r>
        <w:t xml:space="preserve"> acculturés à la démarche </w:t>
      </w:r>
      <w:proofErr w:type="spellStart"/>
      <w:proofErr w:type="gramStart"/>
      <w:r>
        <w:t>devOps</w:t>
      </w:r>
      <w:proofErr w:type="spellEnd"/>
      <w:r>
        <w:t xml:space="preserve">  dans</w:t>
      </w:r>
      <w:proofErr w:type="gramEnd"/>
      <w:r>
        <w:t xml:space="preserve"> un environnement interne à </w:t>
      </w:r>
      <w:proofErr w:type="spellStart"/>
      <w:r>
        <w:t>Inrae</w:t>
      </w:r>
      <w:proofErr w:type="spellEnd"/>
      <w:r>
        <w:t xml:space="preserve"> ou externe conteneurisé. Les profils doivent être coutumiers des systèmes interopérables par API, </w:t>
      </w:r>
      <w:proofErr w:type="gramStart"/>
      <w:r>
        <w:t>des solution</w:t>
      </w:r>
      <w:proofErr w:type="gramEnd"/>
      <w:r>
        <w:t xml:space="preserve"> d’intégration et de déploiement continue, d’automatisation, de plateforme Cloud et d’orchestration de conteneurs</w:t>
      </w:r>
    </w:p>
    <w:p w:rsidR="006E6D7A" w:rsidRDefault="00B16C64" w14:paraId="671572BD" w14:textId="77777777">
      <w:pPr>
        <w:pStyle w:val="Titre2"/>
      </w:pPr>
      <w:bookmarkStart w:name="_Toc221095541" w:id="119"/>
      <w:r>
        <w:t>Sécurité</w:t>
      </w:r>
      <w:bookmarkEnd w:id="119"/>
    </w:p>
    <w:p w:rsidR="006E6D7A" w:rsidRDefault="00B16C64" w14:paraId="671572BE" w14:textId="77777777">
      <w:pPr>
        <w:pStyle w:val="Titre3"/>
        <w:numPr>
          <w:ilvl w:val="3"/>
          <w:numId w:val="3"/>
        </w:numPr>
      </w:pPr>
      <w:bookmarkStart w:name="_Toc221095542" w:id="120"/>
      <w:r>
        <w:t>Identification et authentification</w:t>
      </w:r>
      <w:bookmarkEnd w:id="120"/>
    </w:p>
    <w:p w:rsidR="006E6D7A" w:rsidRDefault="00B16C64" w14:paraId="671572BF" w14:textId="77777777">
      <w:r>
        <w:t xml:space="preserve">Le système de gestion des identités numériques et des rôles </w:t>
      </w:r>
      <w:proofErr w:type="gramStart"/>
      <w:r>
        <w:t>d’ INRAE</w:t>
      </w:r>
      <w:proofErr w:type="gramEnd"/>
      <w:r>
        <w:t xml:space="preserve">, fait l’objet d’un programme IAM qui s’appuie sur </w:t>
      </w:r>
      <w:hyperlink w:tooltip="#_Plateforme_IAM" w:history="1" w:anchor="_Plateforme_IAM">
        <w:r>
          <w:rPr>
            <w:rStyle w:val="Lienhypertexte"/>
          </w:rPr>
          <w:t>la plateforme IAM</w:t>
        </w:r>
      </w:hyperlink>
      <w:r>
        <w:t>.</w:t>
      </w:r>
    </w:p>
    <w:p w:rsidR="006E6D7A" w:rsidRDefault="00B16C64" w14:paraId="671572C0" w14:textId="77777777">
      <w:r>
        <w:t>La gestion des autorisations – droits internes à l'application – est quant à elle, de la responsabilité de chaque application mais peut s'appuyer sur des rôles existants dans l'institut.</w:t>
      </w:r>
    </w:p>
    <w:p w:rsidR="006E6D7A" w:rsidRDefault="00B16C64" w14:paraId="671572C1" w14:textId="77777777">
      <w:r>
        <w:t>A ce jour, 3 protocoles d’authentification sont permis au sein du SI INRAE :</w:t>
      </w:r>
    </w:p>
    <w:p w:rsidR="006E6D7A" w:rsidRDefault="00B16C64" w14:paraId="671572C2" w14:textId="77777777">
      <w:pPr>
        <w:pStyle w:val="Puce1"/>
      </w:pPr>
      <w:proofErr w:type="spellStart"/>
      <w:r>
        <w:t>OpenIdConnect</w:t>
      </w:r>
      <w:proofErr w:type="spellEnd"/>
    </w:p>
    <w:p w:rsidR="006E6D7A" w:rsidRDefault="00B16C64" w14:paraId="671572C3" w14:textId="77777777">
      <w:pPr>
        <w:pStyle w:val="Puce1"/>
      </w:pPr>
      <w:r>
        <w:t>SAML v2 (Shibboleth)</w:t>
      </w:r>
    </w:p>
    <w:p w:rsidR="006E6D7A" w:rsidRDefault="00B16C64" w14:paraId="671572C4" w14:textId="77777777">
      <w:pPr>
        <w:pStyle w:val="Puce1"/>
      </w:pPr>
      <w:r>
        <w:t>CAS (non recommandé pour les nouvelles applications)</w:t>
      </w:r>
    </w:p>
    <w:p w:rsidR="006E6D7A" w:rsidRDefault="00B16C64" w14:paraId="671572C5" w14:textId="77777777">
      <w:pPr>
        <w:pStyle w:val="Titre3"/>
        <w:numPr>
          <w:ilvl w:val="3"/>
          <w:numId w:val="3"/>
        </w:numPr>
      </w:pPr>
      <w:bookmarkStart w:name="_Toc221095543" w:id="121"/>
      <w:r>
        <w:t>Sécurité dans le développement d’applications</w:t>
      </w:r>
      <w:bookmarkEnd w:id="121"/>
    </w:p>
    <w:p w:rsidR="006E6D7A" w:rsidRDefault="00B16C64" w14:paraId="671572C6" w14:textId="77777777">
      <w:r>
        <w:t>La sécurité du SI entre progressivement dans les critères suivis et mesurés lors des développements d’applications et mise en œuvre de nouvelles solutions à la DSI.</w:t>
      </w:r>
    </w:p>
    <w:tbl>
      <w:tblPr>
        <w:tblpPr w:leftFromText="141" w:rightFromText="141" w:vertAnchor="text" w:horzAnchor="margin" w:tblpY="110"/>
        <w:tblW w:w="9675" w:type="dxa"/>
        <w:tblLayout w:type="fixed"/>
        <w:tblCellMar>
          <w:left w:w="71" w:type="dxa"/>
          <w:right w:w="71" w:type="dxa"/>
        </w:tblCellMar>
        <w:tblLook w:val="0000" w:firstRow="0" w:lastRow="0" w:firstColumn="0" w:lastColumn="0" w:noHBand="0" w:noVBand="0"/>
      </w:tblPr>
      <w:tblGrid>
        <w:gridCol w:w="844"/>
        <w:gridCol w:w="8831"/>
      </w:tblGrid>
      <w:tr w:rsidR="006E6D7A" w14:paraId="671572C9" w14:textId="77777777">
        <w:trPr>
          <w:tblHeader/>
        </w:trPr>
        <w:tc>
          <w:tcPr>
            <w:tcW w:w="844" w:type="dxa"/>
            <w:tcBorders>
              <w:top w:val="single" w:color="000000" w:sz="4" w:space="0"/>
              <w:left w:val="single" w:color="000000" w:sz="4" w:space="0"/>
            </w:tcBorders>
            <w:shd w:val="clear" w:color="auto" w:fill="03A3A6"/>
            <w:vAlign w:val="center"/>
          </w:tcPr>
          <w:p w:rsidR="006E6D7A" w:rsidRDefault="00B16C64" w14:paraId="671572C7" w14:textId="77777777">
            <w:pPr>
              <w:rPr>
                <w:b/>
                <w:bCs/>
                <w:color w:val="FFFFFF" w:themeColor="background1"/>
              </w:rPr>
            </w:pPr>
            <w:r>
              <w:rPr>
                <w:b/>
                <w:bCs/>
                <w:color w:val="FFFFFF" w:themeColor="background1"/>
              </w:rPr>
              <w:t>Réf.</w:t>
            </w:r>
          </w:p>
        </w:tc>
        <w:tc>
          <w:tcPr>
            <w:tcW w:w="8830" w:type="dxa"/>
            <w:tcBorders>
              <w:top w:val="single" w:color="000000" w:sz="4" w:space="0"/>
              <w:left w:val="single" w:color="000000" w:sz="4" w:space="0"/>
              <w:right w:val="single" w:color="000000" w:sz="4" w:space="0"/>
            </w:tcBorders>
            <w:shd w:val="clear" w:color="auto" w:fill="03A3A6"/>
            <w:vAlign w:val="center"/>
          </w:tcPr>
          <w:p w:rsidR="006E6D7A" w:rsidRDefault="00B16C64" w14:paraId="671572C8" w14:textId="77777777">
            <w:pPr>
              <w:rPr>
                <w:b/>
                <w:bCs/>
                <w:color w:val="FFFFFF" w:themeColor="background1"/>
              </w:rPr>
            </w:pPr>
            <w:r>
              <w:rPr>
                <w:b/>
                <w:bCs/>
                <w:color w:val="FFFFFF" w:themeColor="background1"/>
              </w:rPr>
              <w:t>Exigence</w:t>
            </w:r>
          </w:p>
        </w:tc>
      </w:tr>
      <w:tr w:rsidR="006E6D7A" w14:paraId="671572CC" w14:textId="77777777">
        <w:tc>
          <w:tcPr>
            <w:tcW w:w="844" w:type="dxa"/>
            <w:tcBorders>
              <w:top w:val="single" w:color="000000" w:sz="4" w:space="0"/>
              <w:left w:val="single" w:color="000000" w:sz="4" w:space="0"/>
              <w:bottom w:val="single" w:color="000000" w:sz="4" w:space="0"/>
              <w:right w:val="single" w:color="000000" w:sz="4" w:space="0"/>
            </w:tcBorders>
          </w:tcPr>
          <w:p w:rsidR="006E6D7A" w:rsidRDefault="00B16C64" w14:paraId="671572CA" w14:textId="77777777">
            <w:pPr>
              <w:spacing w:before="100" w:after="100"/>
              <w:ind w:left="45"/>
              <w:rPr>
                <w:color w:val="FF0000"/>
              </w:rPr>
            </w:pPr>
            <w:r>
              <w:rPr>
                <w:sz w:val="16"/>
                <w:szCs w:val="16"/>
              </w:rPr>
              <w:t>Ex_PC_23</w:t>
            </w:r>
          </w:p>
        </w:tc>
        <w:tc>
          <w:tcPr>
            <w:tcW w:w="8830" w:type="dxa"/>
            <w:tcBorders>
              <w:top w:val="single" w:color="000000" w:sz="4" w:space="0"/>
              <w:left w:val="single" w:color="000000" w:sz="4" w:space="0"/>
              <w:bottom w:val="single" w:color="000000" w:sz="4" w:space="0"/>
              <w:right w:val="single" w:color="000000" w:sz="4" w:space="0"/>
            </w:tcBorders>
          </w:tcPr>
          <w:p w:rsidR="006E6D7A" w:rsidRDefault="00B16C64" w14:paraId="671572CB" w14:textId="77777777">
            <w:pPr>
              <w:rPr>
                <w:color w:val="FF0000"/>
              </w:rPr>
            </w:pPr>
            <w:r>
              <w:t xml:space="preserve">Le titulaire s’engage </w:t>
            </w:r>
            <w:r>
              <w:rPr>
                <w:i/>
              </w:rPr>
              <w:t>au minimum</w:t>
            </w:r>
            <w:r>
              <w:t xml:space="preserve"> à ce que ses intervenants soient sensibilisés aux risques du développement logiciel – en termes de sécurité – et aux bonnes pratiques évoquées de </w:t>
            </w:r>
            <w:hyperlink w:tooltip="https://owasp.org/www-project-top-ten/" w:history="1" r:id="rId101">
              <w:r>
                <w:rPr>
                  <w:rStyle w:val="Lienhypertexte"/>
                </w:rPr>
                <w:t>l’Owasp</w:t>
              </w:r>
            </w:hyperlink>
            <w:r>
              <w:t>,  et sur le site de l’ANSSI (</w:t>
            </w:r>
            <w:hyperlink w:tooltip="https://www.ssi.gouv.fr/guide/agilite-et-securite-numeriques-methode-et-outils-a-lusage-des-equipes-projet/" w:history="1" r:id="rId102">
              <w:r>
                <w:rPr>
                  <w:rStyle w:val="Lienhypertexte"/>
                </w:rPr>
                <w:t>https://www.ssi.gouv.fr/guide/agilite-et-securite-numeriques-methode-et-outils-a-lusage-des-equipes-projet/</w:t>
              </w:r>
            </w:hyperlink>
            <w:r>
              <w:t>).</w:t>
            </w:r>
          </w:p>
        </w:tc>
      </w:tr>
    </w:tbl>
    <w:p w:rsidR="006E6D7A" w:rsidRDefault="006E6D7A" w14:paraId="671572CD" w14:textId="77777777"/>
    <w:p w:rsidR="006E6D7A" w:rsidRDefault="00B16C64" w14:paraId="671572CE" w14:textId="77777777">
      <w:r>
        <w:t xml:space="preserve">Pour chaque produit, une exigence non fonctionnelle « Sécurité » est rédigée et exprime les exigences liées à la sécurité relatives au produit. En fonction du type de produit (plateforme d’hébergement de données, plateforme de traitement, solution </w:t>
      </w:r>
      <w:proofErr w:type="gramStart"/>
      <w:r>
        <w:t>d’automatisation,...</w:t>
      </w:r>
      <w:proofErr w:type="gramEnd"/>
      <w:r>
        <w:t xml:space="preserve"> ) et de la sensibilité des données traitées, ces exigences peuvent varier.</w:t>
      </w:r>
    </w:p>
    <w:p w:rsidR="006E6D7A" w:rsidRDefault="00B16C64" w14:paraId="671572CF" w14:textId="77777777">
      <w:r>
        <w:t>De manière générale, ces exigences portent sur :</w:t>
      </w:r>
    </w:p>
    <w:p w:rsidR="006E6D7A" w:rsidRDefault="00B16C64" w14:paraId="671572D0" w14:textId="77777777">
      <w:pPr>
        <w:pStyle w:val="Puce1"/>
      </w:pPr>
      <w:proofErr w:type="gramStart"/>
      <w:r>
        <w:t>l'authentification</w:t>
      </w:r>
      <w:proofErr w:type="gramEnd"/>
      <w:r>
        <w:t xml:space="preserve"> et les contrôles d'accès</w:t>
      </w:r>
    </w:p>
    <w:p w:rsidR="006E6D7A" w:rsidRDefault="00B16C64" w14:paraId="671572D1" w14:textId="77777777">
      <w:pPr>
        <w:pStyle w:val="Puce1"/>
      </w:pPr>
      <w:proofErr w:type="gramStart"/>
      <w:r>
        <w:t>la</w:t>
      </w:r>
      <w:proofErr w:type="gramEnd"/>
      <w:r>
        <w:t xml:space="preserve"> validation et/ou le filtrage des entrées</w:t>
      </w:r>
    </w:p>
    <w:p w:rsidR="006E6D7A" w:rsidRDefault="00B16C64" w14:paraId="671572D2" w14:textId="77777777">
      <w:pPr>
        <w:pStyle w:val="Puce1"/>
      </w:pPr>
      <w:proofErr w:type="gramStart"/>
      <w:r>
        <w:t>l'encodage</w:t>
      </w:r>
      <w:proofErr w:type="gramEnd"/>
      <w:r>
        <w:t xml:space="preserve"> des entrées / sorties</w:t>
      </w:r>
    </w:p>
    <w:p w:rsidR="006E6D7A" w:rsidRDefault="00B16C64" w14:paraId="671572D3" w14:textId="77777777">
      <w:pPr>
        <w:pStyle w:val="Puce1"/>
      </w:pPr>
      <w:proofErr w:type="gramStart"/>
      <w:r>
        <w:t>le</w:t>
      </w:r>
      <w:proofErr w:type="gramEnd"/>
      <w:r>
        <w:t xml:space="preserve"> chiffrement des échanges (utilisation de SSL) dès l'ouverture d'une session</w:t>
      </w:r>
    </w:p>
    <w:p w:rsidR="006E6D7A" w:rsidRDefault="00B16C64" w14:paraId="671572D4" w14:textId="77777777">
      <w:pPr>
        <w:pStyle w:val="Puce1"/>
      </w:pPr>
      <w:proofErr w:type="gramStart"/>
      <w:r>
        <w:t>la</w:t>
      </w:r>
      <w:proofErr w:type="gramEnd"/>
      <w:r>
        <w:t xml:space="preserve"> </w:t>
      </w:r>
      <w:proofErr w:type="spellStart"/>
      <w:r>
        <w:t>tracabilité</w:t>
      </w:r>
      <w:proofErr w:type="spellEnd"/>
      <w:r>
        <w:t xml:space="preserve"> des activités</w:t>
      </w:r>
    </w:p>
    <w:p w:rsidR="006E6D7A" w:rsidRDefault="00B16C64" w14:paraId="671572D5" w14:textId="77777777">
      <w:r>
        <w:t>Les ENF sont (re)définies et revues annuellement pour chaque produit.</w:t>
      </w:r>
    </w:p>
    <w:p w:rsidR="006E6D7A" w:rsidRDefault="00B16C64" w14:paraId="671572D6" w14:textId="77777777">
      <w:r>
        <w:t xml:space="preserve">En complément et à intervalles réguliers choisis par l'équipe, il sera procédé à des audits automatisés des plateformes en s'appuyant sur les outils de détection de vulnérabilité. Les éventuelles menaces détectées pourront alors être intégrées dans le </w:t>
      </w:r>
      <w:proofErr w:type="spellStart"/>
      <w:r>
        <w:t>backlog</w:t>
      </w:r>
      <w:proofErr w:type="spellEnd"/>
      <w:r>
        <w:t xml:space="preserve"> et seront priorisées puis traitées comme des anomalies.</w:t>
      </w:r>
    </w:p>
    <w:p w:rsidR="006E6D7A" w:rsidRDefault="00B16C64" w14:paraId="671572D7" w14:textId="77777777">
      <w:pPr>
        <w:pStyle w:val="Titre2"/>
      </w:pPr>
      <w:bookmarkStart w:name="_Toc221095544" w:id="122"/>
      <w:r>
        <w:lastRenderedPageBreak/>
        <w:t>Hébergement</w:t>
      </w:r>
      <w:bookmarkEnd w:id="122"/>
    </w:p>
    <w:p w:rsidR="006E6D7A" w:rsidRDefault="00B16C64" w14:paraId="671572D8" w14:textId="77777777">
      <w:r>
        <w:t xml:space="preserve">La solution d’hébergement en termes d’infrastructure des solutions n’est pas à considérer dans le présent accord-cadre dans la mesure ou </w:t>
      </w:r>
      <w:proofErr w:type="spellStart"/>
      <w:r>
        <w:t>Inrae</w:t>
      </w:r>
      <w:proofErr w:type="spellEnd"/>
      <w:r>
        <w:t xml:space="preserve"> fournira ces solutions sur ses propres infrastructures ou via des partenariats souscrits par </w:t>
      </w:r>
      <w:proofErr w:type="spellStart"/>
      <w:r>
        <w:t>Inrae</w:t>
      </w:r>
      <w:proofErr w:type="spellEnd"/>
      <w:r>
        <w:t>.</w:t>
      </w:r>
    </w:p>
    <w:p w:rsidR="006E6D7A" w:rsidRDefault="00B16C64" w14:paraId="671572D9" w14:textId="77777777">
      <w:r>
        <w:t>Les prestations pourront dans certains cas relever de la fourniture de ces environnements et de leur automatisation.</w:t>
      </w:r>
    </w:p>
    <w:p w:rsidR="006E6D7A" w:rsidRDefault="00B16C64" w14:paraId="671572DA" w14:textId="77777777">
      <w:pPr>
        <w:pStyle w:val="Titre2"/>
      </w:pPr>
      <w:bookmarkStart w:name="_Toc221095545" w:id="123"/>
      <w:r>
        <w:t>Exigences non fonctionnelles (ENF)</w:t>
      </w:r>
      <w:bookmarkEnd w:id="123"/>
    </w:p>
    <w:p w:rsidR="006E6D7A" w:rsidRDefault="00B16C64" w14:paraId="671572DB" w14:textId="77777777">
      <w:r>
        <w:t>Les ENF DSI évoluent au fil du temps et selon les produits. Elles sont définies par les communautés.</w:t>
      </w:r>
    </w:p>
    <w:p w:rsidR="006E6D7A" w:rsidRDefault="00B16C64" w14:paraId="671572DC" w14:textId="77777777">
      <w:r>
        <w:t>A date de rédaction du présent accord-cadre les ENF étaient les suivantes :</w:t>
      </w:r>
    </w:p>
    <w:p w:rsidR="006E6D7A" w:rsidRDefault="00B16C64" w14:paraId="671572DD" w14:textId="77777777">
      <w:pPr>
        <w:pStyle w:val="Puce1"/>
      </w:pPr>
      <w:r>
        <w:t xml:space="preserve">Communauté </w:t>
      </w:r>
      <w:proofErr w:type="spellStart"/>
      <w:r>
        <w:t>DevSecOps</w:t>
      </w:r>
      <w:proofErr w:type="spellEnd"/>
      <w:r>
        <w:t> : Exploitabilité de la solution</w:t>
      </w:r>
    </w:p>
    <w:p w:rsidR="006E6D7A" w:rsidRDefault="00B16C64" w14:paraId="671572DE" w14:textId="77777777">
      <w:pPr>
        <w:pStyle w:val="Puce1"/>
      </w:pPr>
      <w:r>
        <w:t>Communauté d’architecture : Validation des composants d’architecture d’une solution</w:t>
      </w:r>
    </w:p>
    <w:p w:rsidR="006E6D7A" w:rsidRDefault="00B16C64" w14:paraId="671572DF" w14:textId="77777777">
      <w:pPr>
        <w:pStyle w:val="Puce1"/>
      </w:pPr>
      <w:r>
        <w:t>Communauté de tests : Automatisation des tests</w:t>
      </w:r>
    </w:p>
    <w:p w:rsidR="006E6D7A" w:rsidRDefault="00B16C64" w14:paraId="671572E0" w14:textId="77777777">
      <w:pPr>
        <w:pStyle w:val="Puce1"/>
      </w:pPr>
      <w:r>
        <w:t>Communauté Sécurité : mise en exergue d’un point précis majeur</w:t>
      </w:r>
    </w:p>
    <w:p w:rsidR="006E6D7A" w:rsidRDefault="00B16C64" w14:paraId="671572E1" w14:textId="77777777">
      <w:pPr>
        <w:pStyle w:val="Puce1"/>
      </w:pPr>
      <w:r>
        <w:t>Communauté Infra : liste des éléments d’obsolescence, d’exploitabilité et de sécurité infra</w:t>
      </w:r>
    </w:p>
    <w:p w:rsidR="006E6D7A" w:rsidRDefault="00B16C64" w14:paraId="671572E2" w14:textId="77777777">
      <w:r>
        <w:t xml:space="preserve">Deux exemples d’ENF sont fournis en </w:t>
      </w:r>
      <w:hyperlink w:tooltip="#_ENF" w:history="1" w:anchor="_ENF">
        <w:r>
          <w:rPr>
            <w:rStyle w:val="Lienhypertexte"/>
          </w:rPr>
          <w:t>annexe 2</w:t>
        </w:r>
      </w:hyperlink>
      <w:r>
        <w:t>.</w:t>
      </w:r>
    </w:p>
    <w:p w:rsidR="006E6D7A" w:rsidRDefault="00B16C64" w14:paraId="671572E3" w14:textId="77777777">
      <w:pPr>
        <w:pStyle w:val="Titre2"/>
      </w:pPr>
      <w:bookmarkStart w:name="_Toc221095546" w:id="124"/>
      <w:r>
        <w:t>Plan de qualité de service (PQS)</w:t>
      </w:r>
      <w:bookmarkEnd w:id="124"/>
    </w:p>
    <w:p w:rsidR="006E6D7A" w:rsidRDefault="00B16C64" w14:paraId="671572E4" w14:textId="77777777">
      <w:r>
        <w:t>Par défaut, ce plan de qualité de service sera finalisé lors du sprint 0 initialisant les prestations.</w:t>
      </w:r>
    </w:p>
    <w:p w:rsidR="006E6D7A" w:rsidRDefault="00B16C64" w14:paraId="671572E5" w14:textId="77777777">
      <w:pPr>
        <w:pStyle w:val="Titre3"/>
        <w:numPr>
          <w:ilvl w:val="3"/>
          <w:numId w:val="3"/>
        </w:numPr>
      </w:pPr>
      <w:bookmarkStart w:name="_Toc221095547" w:id="125"/>
      <w:r>
        <w:t xml:space="preserve">Notion de </w:t>
      </w:r>
      <w:proofErr w:type="spellStart"/>
      <w:r>
        <w:t>Ready</w:t>
      </w:r>
      <w:bookmarkEnd w:id="125"/>
      <w:proofErr w:type="spellEnd"/>
    </w:p>
    <w:p w:rsidR="006E6D7A" w:rsidRDefault="00B16C64" w14:paraId="671572E6" w14:textId="77777777">
      <w:r>
        <w:t xml:space="preserve">Nous utilisons notamment lorsque la vision du produit reste très challengée ou qu’elle implique d’autres produits cette notion pour déterminer quelles </w:t>
      </w:r>
      <w:proofErr w:type="spellStart"/>
      <w:r>
        <w:t>features</w:t>
      </w:r>
      <w:proofErr w:type="spellEnd"/>
      <w:r>
        <w:t xml:space="preserve"> ou stories sont susceptibles d’être intégrées dans un </w:t>
      </w:r>
      <w:proofErr w:type="spellStart"/>
      <w:r>
        <w:t>backlog</w:t>
      </w:r>
      <w:proofErr w:type="spellEnd"/>
      <w:r>
        <w:t>.</w:t>
      </w:r>
    </w:p>
    <w:p w:rsidR="006E6D7A" w:rsidRDefault="00B16C64" w14:paraId="671572E7" w14:textId="77777777">
      <w:pPr>
        <w:pStyle w:val="Titre3"/>
        <w:numPr>
          <w:ilvl w:val="3"/>
          <w:numId w:val="3"/>
        </w:numPr>
      </w:pPr>
      <w:bookmarkStart w:name="_Toc221095548" w:id="126"/>
      <w:r>
        <w:t xml:space="preserve">Notion de </w:t>
      </w:r>
      <w:proofErr w:type="spellStart"/>
      <w:r>
        <w:t>Done</w:t>
      </w:r>
      <w:bookmarkEnd w:id="126"/>
      <w:proofErr w:type="spellEnd"/>
    </w:p>
    <w:p w:rsidR="006E6D7A" w:rsidRDefault="00B16C64" w14:paraId="671572E8" w14:textId="77777777">
      <w:r>
        <w:t xml:space="preserve">Il existe un </w:t>
      </w:r>
      <w:proofErr w:type="spellStart"/>
      <w:r>
        <w:t>Done</w:t>
      </w:r>
      <w:proofErr w:type="spellEnd"/>
      <w:r>
        <w:t xml:space="preserve"> minimal à tous les produits portés par SOLAIRE.</w:t>
      </w:r>
    </w:p>
    <w:p w:rsidR="006E6D7A" w:rsidRDefault="00B16C64" w14:paraId="671572E9" w14:textId="77777777">
      <w:pPr>
        <w:pStyle w:val="Titre4"/>
        <w:numPr>
          <w:ilvl w:val="4"/>
          <w:numId w:val="3"/>
        </w:numPr>
      </w:pPr>
      <w:r>
        <w:t xml:space="preserve">Définition Of </w:t>
      </w:r>
      <w:proofErr w:type="spellStart"/>
      <w:r>
        <w:t>Done</w:t>
      </w:r>
      <w:proofErr w:type="spellEnd"/>
      <w:r>
        <w:t xml:space="preserve"> Story</w:t>
      </w:r>
    </w:p>
    <w:p w:rsidR="006E6D7A" w:rsidRDefault="00B16C64" w14:paraId="671572EA" w14:textId="77777777">
      <w:pPr>
        <w:pStyle w:val="Puce2"/>
      </w:pPr>
      <w:r>
        <w:t>Toutes les tâches définies pour la story sont réalisées</w:t>
      </w:r>
    </w:p>
    <w:p w:rsidR="006E6D7A" w:rsidRDefault="00B16C64" w14:paraId="671572EB" w14:textId="77777777">
      <w:pPr>
        <w:pStyle w:val="Puce2"/>
      </w:pPr>
      <w:r>
        <w:t>Les tests sont décrits dans le référentiel des tests hors tâches d’administration </w:t>
      </w:r>
    </w:p>
    <w:p w:rsidR="006E6D7A" w:rsidRDefault="00B16C64" w14:paraId="671572EC" w14:textId="77777777">
      <w:pPr>
        <w:pStyle w:val="Puce2"/>
      </w:pPr>
      <w:r>
        <w:t>La story est validée sur un environnement différent de celui du développeur (sur un environnement de test)</w:t>
      </w:r>
    </w:p>
    <w:p w:rsidR="006E6D7A" w:rsidRDefault="00B16C64" w14:paraId="671572ED" w14:textId="77777777">
      <w:pPr>
        <w:pStyle w:val="Puce2"/>
      </w:pPr>
      <w:r>
        <w:t>Des tests unitaires sont implémentés</w:t>
      </w:r>
    </w:p>
    <w:p w:rsidR="006E6D7A" w:rsidRDefault="00B16C64" w14:paraId="671572EE" w14:textId="77777777">
      <w:pPr>
        <w:pStyle w:val="Puce2"/>
      </w:pPr>
      <w:r>
        <w:t>Les indicateurs Sonar restent dans la tolérance SOLAIRE </w:t>
      </w:r>
    </w:p>
    <w:p w:rsidR="006E6D7A" w:rsidRDefault="00B16C64" w14:paraId="671572EF" w14:textId="77777777">
      <w:pPr>
        <w:pStyle w:val="Puce2"/>
      </w:pPr>
      <w:r>
        <w:t>La version est taguée pour tout développement</w:t>
      </w:r>
    </w:p>
    <w:p w:rsidR="006E6D7A" w:rsidRDefault="00B16C64" w14:paraId="671572F0" w14:textId="77777777">
      <w:pPr>
        <w:pStyle w:val="Puce2"/>
      </w:pPr>
      <w:r>
        <w:t xml:space="preserve">La version est disponible sur le gestionnaire d’artefact pour JAVA, </w:t>
      </w:r>
      <w:proofErr w:type="spellStart"/>
      <w:r>
        <w:t>JAVAScript</w:t>
      </w:r>
      <w:proofErr w:type="spellEnd"/>
      <w:r>
        <w:t>, Talend et Python</w:t>
      </w:r>
    </w:p>
    <w:p w:rsidR="006E6D7A" w:rsidRDefault="00B16C64" w14:paraId="671572F1" w14:textId="77777777">
      <w:pPr>
        <w:pStyle w:val="Puce2"/>
      </w:pPr>
      <w:r>
        <w:t>Documentation mise à jour (voir plus bas)</w:t>
      </w:r>
    </w:p>
    <w:p w:rsidR="006E6D7A" w:rsidRDefault="00B16C64" w14:paraId="671572F2" w14:textId="77777777">
      <w:pPr>
        <w:pStyle w:val="Puce1"/>
      </w:pPr>
      <w:proofErr w:type="spellStart"/>
      <w:proofErr w:type="gramStart"/>
      <w:r>
        <w:t>template</w:t>
      </w:r>
      <w:proofErr w:type="spellEnd"/>
      <w:proofErr w:type="gramEnd"/>
      <w:r>
        <w:t xml:space="preserve"> de check </w:t>
      </w:r>
      <w:proofErr w:type="spellStart"/>
      <w:r>
        <w:t>Done</w:t>
      </w:r>
      <w:proofErr w:type="spellEnd"/>
    </w:p>
    <w:p w:rsidR="006E6D7A" w:rsidRDefault="00B16C64" w14:paraId="671572F3" w14:textId="77777777">
      <w:pPr>
        <w:pStyle w:val="Puce1"/>
      </w:pPr>
      <w:r>
        <w:t>Wiki</w:t>
      </w:r>
    </w:p>
    <w:p w:rsidR="006E6D7A" w:rsidRDefault="00B16C64" w14:paraId="671572F4" w14:textId="77777777">
      <w:pPr>
        <w:pStyle w:val="Puce1"/>
      </w:pPr>
      <w:r>
        <w:t>Projets Git README</w:t>
      </w:r>
    </w:p>
    <w:p w:rsidR="006E6D7A" w:rsidRDefault="00B16C64" w14:paraId="671572F5" w14:textId="77777777">
      <w:pPr>
        <w:pStyle w:val="Puce1"/>
      </w:pPr>
      <w:r>
        <w:t>Release Note</w:t>
      </w:r>
    </w:p>
    <w:p w:rsidR="006E6D7A" w:rsidRDefault="00B16C64" w14:paraId="671572F6" w14:textId="77777777">
      <w:pPr>
        <w:pStyle w:val="Puce1"/>
      </w:pPr>
      <w:r>
        <w:t>Matrice des dépendances</w:t>
      </w:r>
    </w:p>
    <w:p w:rsidR="006E6D7A" w:rsidRDefault="00B16C64" w14:paraId="671572F7" w14:textId="77777777">
      <w:pPr>
        <w:pStyle w:val="Puce2"/>
      </w:pPr>
      <w:r>
        <w:lastRenderedPageBreak/>
        <w:t>Communiquer au PO les informations à mettre à jour dans la cartographie (</w:t>
      </w:r>
      <w:r>
        <w:rPr>
          <w:shd w:val="clear" w:color="auto" w:fill="FFFFFF"/>
        </w:rPr>
        <w:t>si on utilise un attribut qui n'était pas utilisé avant, par exemple le codique structure.)</w:t>
      </w:r>
    </w:p>
    <w:p w:rsidR="006E6D7A" w:rsidRDefault="00B16C64" w14:paraId="671572F8" w14:textId="77777777">
      <w:pPr>
        <w:pStyle w:val="Puce2"/>
      </w:pPr>
      <w:r>
        <w:t>Se coordonner avec les acteurs en charge pour effectuer les demandes d’ouverture de port et actions d’infrastructure en production et préproduction</w:t>
      </w:r>
    </w:p>
    <w:p w:rsidR="006E6D7A" w:rsidRDefault="00B16C64" w14:paraId="671572F9" w14:textId="77777777">
      <w:pPr>
        <w:pStyle w:val="Puce1"/>
        <w:ind w:left="714" w:hanging="357"/>
      </w:pPr>
      <w:proofErr w:type="spellStart"/>
      <w:r>
        <w:t>Definition</w:t>
      </w:r>
      <w:proofErr w:type="spellEnd"/>
      <w:r>
        <w:t xml:space="preserve"> Of </w:t>
      </w:r>
      <w:proofErr w:type="spellStart"/>
      <w:r>
        <w:t>Done</w:t>
      </w:r>
      <w:proofErr w:type="spellEnd"/>
      <w:r>
        <w:t xml:space="preserve"> de Sprint</w:t>
      </w:r>
    </w:p>
    <w:p w:rsidR="006E6D7A" w:rsidRDefault="00B16C64" w14:paraId="671572FA" w14:textId="77777777">
      <w:pPr>
        <w:pStyle w:val="Puce2"/>
      </w:pPr>
      <w:r>
        <w:t>L’ensemble des stories finies du sprint sont déployées sur un environnement d’intégration (ou de test, à défaut)</w:t>
      </w:r>
    </w:p>
    <w:p w:rsidR="006E6D7A" w:rsidRDefault="00B16C64" w14:paraId="671572FB" w14:textId="77777777">
      <w:pPr>
        <w:pStyle w:val="Puce2"/>
      </w:pPr>
      <w:r>
        <w:t>Indicateurs de la release/de produit/de sprint</w:t>
      </w:r>
    </w:p>
    <w:p w:rsidR="006E6D7A" w:rsidRDefault="00B16C64" w14:paraId="671572FC" w14:textId="77777777">
      <w:pPr>
        <w:pStyle w:val="Puce2"/>
      </w:pPr>
      <w:r>
        <w:t>Intégrer les migrations des technologies dès que cela est possible</w:t>
      </w:r>
    </w:p>
    <w:p w:rsidR="006E6D7A" w:rsidRDefault="00B16C64" w14:paraId="671572FD" w14:textId="77777777">
      <w:pPr>
        <w:pStyle w:val="Titre4"/>
        <w:numPr>
          <w:ilvl w:val="4"/>
          <w:numId w:val="3"/>
        </w:numPr>
      </w:pPr>
      <w:r>
        <w:t>Documentation</w:t>
      </w:r>
    </w:p>
    <w:p w:rsidR="006E6D7A" w:rsidRDefault="00B16C64" w14:paraId="671572FE" w14:textId="77777777">
      <w:r>
        <w:t>Pour une mise en production d’un produit, la documentation minimale (en privilégiant les aspects visuels &amp; KISS</w:t>
      </w:r>
      <w:r>
        <w:rPr>
          <w:rStyle w:val="Appelnotedebasdep"/>
          <w:rFonts w:asciiTheme="minorHAnsi" w:hAnsiTheme="minorHAnsi"/>
        </w:rPr>
        <w:footnoteReference w:id="4"/>
      </w:r>
      <w:r>
        <w:t>) pour laquelle une contribution du titulaire sera nécessaire est la suivante :</w:t>
      </w:r>
    </w:p>
    <w:p w:rsidR="006E6D7A" w:rsidRDefault="00000000" w14:paraId="671572FF" w14:textId="77777777">
      <w:pPr>
        <w:pStyle w:val="Puce1"/>
      </w:pPr>
      <w:hyperlink w:tooltip="https://drive.google.com/open?id=0B0zuN93ZT-35fmxUTmpiaFhfNmRubU1ZeTJoeFp4V2taRlIxTTBycG40TTI1NU9rYXRBR3M" w:history="1" r:id="rId103">
        <w:r w:rsidR="00B16C64">
          <w:rPr>
            <w:rFonts w:cstheme="minorHAnsi"/>
          </w:rPr>
          <w:t>Plan de MEP</w:t>
        </w:r>
      </w:hyperlink>
    </w:p>
    <w:p w:rsidR="006E6D7A" w:rsidRDefault="00000000" w14:paraId="67157300" w14:textId="77777777">
      <w:pPr>
        <w:pStyle w:val="Puce1"/>
      </w:pPr>
      <w:hyperlink w:tooltip="https://drive.google.com/open?id=0B0zuN93ZT-35M0xON3pDa1ZOa2s" w:history="1" r:id="rId104">
        <w:r w:rsidR="00B16C64">
          <w:rPr>
            <w:rFonts w:cstheme="minorHAnsi"/>
          </w:rPr>
          <w:t>Bordereau de livraison</w:t>
        </w:r>
      </w:hyperlink>
    </w:p>
    <w:p w:rsidR="006E6D7A" w:rsidRDefault="00000000" w14:paraId="67157301" w14:textId="77777777">
      <w:pPr>
        <w:pStyle w:val="Puce1"/>
      </w:pPr>
      <w:hyperlink w:tooltip="https://wiki.inra.fr/wiki/equipeproductionpils/templateXwiki/templateExpoitation" w:history="1" r:id="rId105">
        <w:r w:rsidR="00B16C64">
          <w:rPr>
            <w:rFonts w:cstheme="minorHAnsi"/>
          </w:rPr>
          <w:t>Fiches d’exploitation</w:t>
        </w:r>
      </w:hyperlink>
      <w:r w:rsidR="00B16C64">
        <w:t xml:space="preserve"> (environnement, exploitation, livrer une version)</w:t>
      </w:r>
    </w:p>
    <w:p w:rsidR="006E6D7A" w:rsidRDefault="00000000" w14:paraId="67157302" w14:textId="77777777">
      <w:pPr>
        <w:pStyle w:val="Puce1"/>
      </w:pPr>
      <w:hyperlink w:tooltip="https://docs.google.com/spreadsheets/d/1TnVNeNgeHm0MxA6qPf0PvCw_gZBapsO70Ei77-nCW3w/edit?usp=sharing" w:history="1" r:id="rId106">
        <w:r w:rsidR="00B16C64">
          <w:rPr>
            <w:rFonts w:cstheme="minorHAnsi"/>
          </w:rPr>
          <w:t>Suivi des environnements</w:t>
        </w:r>
      </w:hyperlink>
    </w:p>
    <w:p w:rsidR="006E6D7A" w:rsidRDefault="00000000" w14:paraId="67157303" w14:textId="77777777">
      <w:pPr>
        <w:pStyle w:val="Puce1"/>
      </w:pPr>
      <w:hyperlink w:tooltip="https://docs.google.com/spreadsheets/d/182JNBd06kLIEzS1sm455MhbEyJAL9309cVd-yqbmaNY/edit?usp=sharing" w:history="1" r:id="rId107">
        <w:r w:rsidR="00B16C64">
          <w:rPr>
            <w:rFonts w:cstheme="minorHAnsi"/>
          </w:rPr>
          <w:t>Suivi des composants</w:t>
        </w:r>
      </w:hyperlink>
      <w:r w:rsidR="00B16C64">
        <w:t xml:space="preserve"> (S’assurer que le document est à jour après la MEP)</w:t>
      </w:r>
    </w:p>
    <w:p w:rsidR="006E6D7A" w:rsidRDefault="00B16C64" w14:paraId="67157304" w14:textId="77777777">
      <w:r>
        <w:t xml:space="preserve">A titre d’exemple, un </w:t>
      </w:r>
      <w:hyperlink w:tooltip="#_Annexe_Plan_de" w:history="1" w:anchor="_Annexe_Plan_de">
        <w:r>
          <w:rPr>
            <w:rStyle w:val="Lienhypertexte"/>
          </w:rPr>
          <w:t>plan de MEP est fourni en annexe</w:t>
        </w:r>
      </w:hyperlink>
      <w:r>
        <w:t>.</w:t>
      </w:r>
    </w:p>
    <w:p w:rsidR="006E6D7A" w:rsidRDefault="00B16C64" w14:paraId="67157305" w14:textId="77777777">
      <w:r>
        <w:t>D’autres documents sont, par opportunité, à réaliser :</w:t>
      </w:r>
    </w:p>
    <w:p w:rsidR="006E6D7A" w:rsidRDefault="00B16C64" w14:paraId="67157306" w14:textId="77777777">
      <w:pPr>
        <w:pStyle w:val="Puce1"/>
      </w:pPr>
      <w:r>
        <w:t>Documentation d’architecture (logicielle et technique)</w:t>
      </w:r>
    </w:p>
    <w:p w:rsidR="006E6D7A" w:rsidRDefault="00B16C64" w14:paraId="67157307" w14:textId="77777777">
      <w:pPr>
        <w:pStyle w:val="Puce1"/>
      </w:pPr>
      <w:r>
        <w:t>Documentation de réversibilité des livrables (poste de développeur, techniques spécifiques)</w:t>
      </w:r>
    </w:p>
    <w:p w:rsidR="006E6D7A" w:rsidRDefault="00B16C64" w14:paraId="67157308" w14:textId="77777777">
      <w:pPr>
        <w:pStyle w:val="Titre4"/>
        <w:numPr>
          <w:ilvl w:val="4"/>
          <w:numId w:val="3"/>
        </w:numPr>
      </w:pPr>
      <w:r>
        <w:t>Liste de documents minimum pour chaque story</w:t>
      </w:r>
    </w:p>
    <w:p w:rsidR="006E6D7A" w:rsidRDefault="00B16C64" w14:paraId="67157309" w14:textId="77777777">
      <w:pPr>
        <w:pStyle w:val="NormalWeb"/>
        <w:spacing w:beforeAutospacing="0" w:after="0" w:afterAutospacing="0"/>
        <w:ind w:left="720"/>
      </w:pPr>
      <w:r>
        <w:rPr>
          <w:color w:val="000000"/>
        </w:rPr>
        <w:t xml:space="preserve">D1 </w:t>
      </w:r>
      <w:r>
        <w:t>ENF09 – Vie des produits</w:t>
      </w:r>
    </w:p>
    <w:p w:rsidR="006E6D7A" w:rsidRDefault="00B16C64" w14:paraId="6715730A" w14:textId="77777777">
      <w:pPr>
        <w:pStyle w:val="NormalWeb"/>
        <w:spacing w:beforeAutospacing="0" w:after="0" w:afterAutospacing="0"/>
        <w:ind w:left="720" w:firstLine="720"/>
      </w:pPr>
      <w:r>
        <w:rPr>
          <w:color w:val="000000"/>
        </w:rPr>
        <w:t xml:space="preserve">D1-1 </w:t>
      </w:r>
      <w:r>
        <w:t>Releases Notes</w:t>
      </w:r>
    </w:p>
    <w:p w:rsidR="006E6D7A" w:rsidRDefault="00B16C64" w14:paraId="6715730B" w14:textId="77777777">
      <w:pPr>
        <w:pStyle w:val="NormalWeb"/>
        <w:spacing w:beforeAutospacing="0" w:after="0" w:afterAutospacing="0"/>
        <w:ind w:left="720" w:firstLine="720"/>
      </w:pPr>
      <w:r>
        <w:rPr>
          <w:color w:val="000000"/>
        </w:rPr>
        <w:t xml:space="preserve">D1-2 </w:t>
      </w:r>
      <w:r>
        <w:t>Fichier des environnements</w:t>
      </w:r>
    </w:p>
    <w:p w:rsidR="006E6D7A" w:rsidRDefault="006E6D7A" w14:paraId="6715730C" w14:textId="77777777"/>
    <w:p w:rsidR="006E6D7A" w:rsidRDefault="00B16C64" w14:paraId="6715730D" w14:textId="77777777">
      <w:pPr>
        <w:pStyle w:val="NormalWeb"/>
        <w:spacing w:beforeAutospacing="0" w:after="0" w:afterAutospacing="0"/>
        <w:ind w:left="720"/>
      </w:pPr>
      <w:r>
        <w:rPr>
          <w:color w:val="000000"/>
        </w:rPr>
        <w:t xml:space="preserve">D2 </w:t>
      </w:r>
      <w:r>
        <w:t>ENF13 – Exploitabilité</w:t>
      </w:r>
    </w:p>
    <w:p w:rsidR="006E6D7A" w:rsidRDefault="00B16C64" w14:paraId="6715730E" w14:textId="77777777">
      <w:pPr>
        <w:pStyle w:val="NormalWeb"/>
        <w:spacing w:beforeAutospacing="0" w:after="0" w:afterAutospacing="0"/>
        <w:ind w:left="720" w:firstLine="720"/>
      </w:pPr>
      <w:r>
        <w:rPr>
          <w:color w:val="000000"/>
        </w:rPr>
        <w:t>D2-1 Suivi</w:t>
      </w:r>
      <w:r>
        <w:t xml:space="preserve"> de production</w:t>
      </w:r>
    </w:p>
    <w:p w:rsidR="006E6D7A" w:rsidRDefault="00B16C64" w14:paraId="6715730F" w14:textId="77777777">
      <w:pPr>
        <w:pStyle w:val="NormalWeb"/>
        <w:spacing w:beforeAutospacing="0" w:after="0" w:afterAutospacing="0"/>
        <w:ind w:left="720" w:firstLine="720"/>
      </w:pPr>
      <w:r>
        <w:rPr>
          <w:color w:val="000000"/>
        </w:rPr>
        <w:t>D2-2 Plan</w:t>
      </w:r>
      <w:r>
        <w:t xml:space="preserve"> de MEP</w:t>
      </w:r>
    </w:p>
    <w:p w:rsidR="006E6D7A" w:rsidRDefault="00B16C64" w14:paraId="67157310" w14:textId="77777777">
      <w:pPr>
        <w:pStyle w:val="NormalWeb"/>
        <w:spacing w:beforeAutospacing="0" w:after="0" w:afterAutospacing="0"/>
        <w:ind w:left="720" w:firstLine="720"/>
      </w:pPr>
      <w:r>
        <w:rPr>
          <w:color w:val="000000"/>
        </w:rPr>
        <w:t>D2-3 Fiches</w:t>
      </w:r>
      <w:r>
        <w:t xml:space="preserve"> d’exploitation</w:t>
      </w:r>
    </w:p>
    <w:p w:rsidR="006E6D7A" w:rsidRDefault="00B16C64" w14:paraId="67157311" w14:textId="77777777">
      <w:pPr>
        <w:pStyle w:val="NormalWeb"/>
        <w:spacing w:beforeAutospacing="0" w:after="0" w:afterAutospacing="0"/>
        <w:ind w:left="720" w:firstLine="720"/>
      </w:pPr>
      <w:r>
        <w:rPr>
          <w:color w:val="000000"/>
        </w:rPr>
        <w:t>D2-4</w:t>
      </w:r>
      <w:r>
        <w:rPr>
          <w:color w:val="EC4D4D"/>
        </w:rPr>
        <w:t xml:space="preserve"> </w:t>
      </w:r>
      <w:r>
        <w:rPr>
          <w:color w:val="000000"/>
        </w:rPr>
        <w:t>Matrice</w:t>
      </w:r>
      <w:r>
        <w:t xml:space="preserve"> des dépendances</w:t>
      </w:r>
      <w:r>
        <w:rPr>
          <w:color w:val="EC4D4D"/>
        </w:rPr>
        <w:t> </w:t>
      </w:r>
    </w:p>
    <w:p w:rsidR="006E6D7A" w:rsidRDefault="00B16C64" w14:paraId="67157312" w14:textId="77777777">
      <w:pPr>
        <w:pStyle w:val="NormalWeb"/>
        <w:spacing w:beforeAutospacing="0" w:after="0" w:afterAutospacing="0"/>
        <w:ind w:left="720" w:firstLine="720"/>
      </w:pPr>
      <w:r>
        <w:rPr>
          <w:color w:val="000000"/>
        </w:rPr>
        <w:t>D2-5 Procédures</w:t>
      </w:r>
      <w:r>
        <w:t xml:space="preserve"> arrêt Data Center</w:t>
      </w:r>
    </w:p>
    <w:p w:rsidR="006E6D7A" w:rsidRDefault="00B16C64" w14:paraId="67157313" w14:textId="77777777">
      <w:pPr>
        <w:pStyle w:val="NormalWeb"/>
        <w:spacing w:beforeAutospacing="0" w:after="0" w:afterAutospacing="0"/>
        <w:ind w:left="720" w:firstLine="720"/>
      </w:pPr>
      <w:r>
        <w:rPr>
          <w:color w:val="000000"/>
        </w:rPr>
        <w:t>D2-6 Plan</w:t>
      </w:r>
      <w:r>
        <w:t xml:space="preserve"> de Production</w:t>
      </w:r>
    </w:p>
    <w:p w:rsidR="006E6D7A" w:rsidRDefault="006E6D7A" w14:paraId="67157314" w14:textId="77777777"/>
    <w:p w:rsidR="006E6D7A" w:rsidRDefault="00B16C64" w14:paraId="67157315" w14:textId="77777777">
      <w:pPr>
        <w:pStyle w:val="NormalWeb"/>
        <w:spacing w:beforeAutospacing="0" w:after="0" w:afterAutospacing="0"/>
        <w:ind w:firstLine="720"/>
      </w:pPr>
      <w:r>
        <w:rPr>
          <w:color w:val="000000"/>
        </w:rPr>
        <w:t xml:space="preserve">D3 </w:t>
      </w:r>
      <w:r>
        <w:t>ENF01 – Partage Architecture</w:t>
      </w:r>
    </w:p>
    <w:p w:rsidR="006E6D7A" w:rsidRDefault="00B16C64" w14:paraId="67157316" w14:textId="77777777">
      <w:pPr>
        <w:pStyle w:val="NormalWeb"/>
        <w:spacing w:beforeAutospacing="0" w:after="0" w:afterAutospacing="0"/>
        <w:ind w:left="720" w:firstLine="720"/>
      </w:pPr>
      <w:r>
        <w:rPr>
          <w:color w:val="000000"/>
        </w:rPr>
        <w:t xml:space="preserve">D3-1 </w:t>
      </w:r>
      <w:r>
        <w:t>Schéma d’architecture</w:t>
      </w:r>
      <w:r>
        <w:rPr>
          <w:color w:val="000000"/>
        </w:rPr>
        <w:t> </w:t>
      </w:r>
    </w:p>
    <w:p w:rsidR="006E6D7A" w:rsidRDefault="006E6D7A" w14:paraId="67157317" w14:textId="77777777"/>
    <w:p w:rsidR="006E6D7A" w:rsidRDefault="00B16C64" w14:paraId="67157318" w14:textId="77777777">
      <w:pPr>
        <w:pStyle w:val="NormalWeb"/>
        <w:spacing w:beforeAutospacing="0" w:after="0" w:afterAutospacing="0"/>
        <w:ind w:firstLine="720"/>
      </w:pPr>
      <w:r>
        <w:rPr>
          <w:color w:val="000000"/>
        </w:rPr>
        <w:t xml:space="preserve">D4 </w:t>
      </w:r>
      <w:r>
        <w:t>ENF10 – Documentation</w:t>
      </w:r>
    </w:p>
    <w:p w:rsidR="006E6D7A" w:rsidRDefault="00B16C64" w14:paraId="67157319" w14:textId="77777777">
      <w:pPr>
        <w:pStyle w:val="NormalWeb"/>
        <w:spacing w:beforeAutospacing="0" w:after="0" w:afterAutospacing="0"/>
        <w:ind w:left="720" w:firstLine="720"/>
      </w:pPr>
      <w:r>
        <w:rPr>
          <w:color w:val="000000"/>
        </w:rPr>
        <w:t xml:space="preserve">D4-1 </w:t>
      </w:r>
      <w:r>
        <w:t>Suivi des composants</w:t>
      </w:r>
      <w:r>
        <w:rPr>
          <w:color w:val="000000"/>
        </w:rPr>
        <w:t> </w:t>
      </w:r>
    </w:p>
    <w:p w:rsidR="006E6D7A" w:rsidRDefault="006E6D7A" w14:paraId="6715731A" w14:textId="77777777"/>
    <w:p w:rsidR="006E6D7A" w:rsidRDefault="00B16C64" w14:paraId="6715731B" w14:textId="77777777">
      <w:pPr>
        <w:pStyle w:val="NormalWeb"/>
        <w:spacing w:beforeAutospacing="0" w:after="0" w:afterAutospacing="0"/>
        <w:ind w:firstLine="720"/>
      </w:pPr>
      <w:r>
        <w:rPr>
          <w:color w:val="000000"/>
        </w:rPr>
        <w:t xml:space="preserve">D5 </w:t>
      </w:r>
      <w:r>
        <w:t>Infra des applications</w:t>
      </w:r>
    </w:p>
    <w:p w:rsidR="006E6D7A" w:rsidRDefault="006E6D7A" w14:paraId="6715731C" w14:textId="77777777"/>
    <w:p w:rsidR="006E6D7A" w:rsidRDefault="00B16C64" w14:paraId="6715731D" w14:textId="77777777">
      <w:pPr>
        <w:pStyle w:val="NormalWeb"/>
        <w:spacing w:beforeAutospacing="0" w:after="0" w:afterAutospacing="0"/>
        <w:ind w:firstLine="720"/>
      </w:pPr>
      <w:r>
        <w:t>D6 API Manager </w:t>
      </w:r>
    </w:p>
    <w:p w:rsidR="006E6D7A" w:rsidRDefault="00B16C64" w14:paraId="6715731E" w14:textId="77777777">
      <w:pPr>
        <w:pStyle w:val="Titre3"/>
        <w:numPr>
          <w:ilvl w:val="3"/>
          <w:numId w:val="3"/>
        </w:numPr>
      </w:pPr>
      <w:bookmarkStart w:name="_Toc221095549" w:id="127"/>
      <w:r>
        <w:lastRenderedPageBreak/>
        <w:t>Indicateurs de sprint</w:t>
      </w:r>
      <w:bookmarkEnd w:id="127"/>
    </w:p>
    <w:p w:rsidR="006E6D7A" w:rsidRDefault="00B16C64" w14:paraId="6715731F" w14:textId="77777777">
      <w:r>
        <w:t>Les intervenants doivent contribuer aux indicateurs de sprint demandés à chaque équipe.</w:t>
      </w:r>
    </w:p>
    <w:p w:rsidR="006E6D7A" w:rsidRDefault="00B16C64" w14:paraId="67157320" w14:textId="77777777">
      <w:r>
        <w:t>Cela est synthétisé par les SM et les PO sur le tableau collectif des indicateurs.</w:t>
      </w:r>
    </w:p>
    <w:p w:rsidR="006E6D7A" w:rsidRDefault="00B16C64" w14:paraId="67157321" w14:textId="77777777">
      <w:r>
        <w:t>Ces indicateurs peuvent évoluer chaque année.</w:t>
      </w:r>
    </w:p>
    <w:p w:rsidR="006E6D7A" w:rsidRDefault="00B16C64" w14:paraId="67157322" w14:textId="77777777">
      <w:r>
        <w:t>Ces indicateurs mesurent l’état d’avancement sur les ENF, les feedbacks de l’équipe, les liens vers les revues/retro de sprint, etc.</w:t>
      </w:r>
    </w:p>
    <w:p w:rsidR="006E6D7A" w:rsidRDefault="006E6D7A" w14:paraId="67157323" w14:textId="77777777"/>
    <w:p w:rsidR="006E6D7A" w:rsidRDefault="006E6D7A" w14:paraId="67157324" w14:textId="77777777"/>
    <w:p w:rsidR="006E6D7A" w:rsidRDefault="00B16C64" w14:paraId="67157325" w14:textId="77777777">
      <w:pPr>
        <w:pStyle w:val="Titre3"/>
        <w:numPr>
          <w:ilvl w:val="3"/>
          <w:numId w:val="3"/>
        </w:numPr>
      </w:pPr>
      <w:bookmarkStart w:name="_Toc221095550" w:id="128"/>
      <w:r>
        <w:t>Indicateurs de pilotage</w:t>
      </w:r>
      <w:bookmarkEnd w:id="128"/>
      <w:r>
        <w:t xml:space="preserve"> </w:t>
      </w:r>
    </w:p>
    <w:p w:rsidR="006E6D7A" w:rsidRDefault="00B16C64" w14:paraId="67157326" w14:textId="77777777">
      <w:r>
        <w:t>Ces indicateurs sont notamment suivis par les équipes de développement lors des revues de sprint.</w:t>
      </w:r>
    </w:p>
    <w:tbl>
      <w:tblPr>
        <w:tblW w:w="9356" w:type="dxa"/>
        <w:tblInd w:w="-42" w:type="dxa"/>
        <w:tblLayout w:type="fixed"/>
        <w:tblCellMar>
          <w:top w:w="100" w:type="dxa"/>
          <w:left w:w="100" w:type="dxa"/>
          <w:bottom w:w="100" w:type="dxa"/>
          <w:right w:w="100" w:type="dxa"/>
        </w:tblCellMar>
        <w:tblLook w:val="0600" w:firstRow="0" w:lastRow="0" w:firstColumn="0" w:lastColumn="0" w:noHBand="1" w:noVBand="1"/>
      </w:tblPr>
      <w:tblGrid>
        <w:gridCol w:w="1830"/>
        <w:gridCol w:w="7526"/>
      </w:tblGrid>
      <w:tr w:rsidR="006E6D7A" w14:paraId="67157329" w14:textId="77777777">
        <w:trPr>
          <w:trHeight w:val="133"/>
        </w:trPr>
        <w:tc>
          <w:tcPr>
            <w:tcW w:w="1830" w:type="dxa"/>
            <w:tcBorders>
              <w:top w:val="single" w:color="000000" w:sz="8" w:space="0"/>
              <w:left w:val="single" w:color="000000" w:sz="8" w:space="0"/>
              <w:bottom w:val="single" w:color="000000" w:sz="8" w:space="0"/>
              <w:right w:val="single" w:color="000000" w:sz="8" w:space="0"/>
            </w:tcBorders>
            <w:shd w:val="clear" w:color="auto" w:fill="03A6A3"/>
            <w:vAlign w:val="center"/>
          </w:tcPr>
          <w:p w:rsidR="006E6D7A" w:rsidRDefault="00B16C64" w14:paraId="67157327" w14:textId="77777777">
            <w:pPr>
              <w:rPr>
                <w:rFonts w:eastAsia="Arial"/>
                <w:b/>
                <w:color w:val="FFFFFF" w:themeColor="background1"/>
              </w:rPr>
            </w:pPr>
            <w:r>
              <w:rPr>
                <w:rFonts w:eastAsia="Arial"/>
                <w:b/>
                <w:color w:val="FFFFFF" w:themeColor="background1"/>
              </w:rPr>
              <w:t>Critère</w:t>
            </w:r>
          </w:p>
        </w:tc>
        <w:tc>
          <w:tcPr>
            <w:tcW w:w="7525" w:type="dxa"/>
            <w:tcBorders>
              <w:top w:val="single" w:color="000000" w:sz="8" w:space="0"/>
              <w:left w:val="single" w:color="000000" w:sz="6" w:space="0"/>
              <w:bottom w:val="single" w:color="000000" w:sz="8" w:space="0"/>
              <w:right w:val="single" w:color="000000" w:sz="8" w:space="0"/>
            </w:tcBorders>
          </w:tcPr>
          <w:p w:rsidR="006E6D7A" w:rsidRDefault="00B16C64" w14:paraId="67157328" w14:textId="77777777">
            <w:pPr>
              <w:rPr>
                <w:rFonts w:eastAsia="Arial"/>
                <w:b/>
                <w:color w:val="000000"/>
              </w:rPr>
            </w:pPr>
            <w:r>
              <w:rPr>
                <w:rFonts w:eastAsia="Arial"/>
                <w:b/>
                <w:color w:val="000000"/>
              </w:rPr>
              <w:t>Vélocité</w:t>
            </w:r>
          </w:p>
        </w:tc>
      </w:tr>
      <w:tr w:rsidR="006E6D7A" w14:paraId="6715732C" w14:textId="77777777">
        <w:tc>
          <w:tcPr>
            <w:tcW w:w="1830"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2A" w14:textId="77777777">
            <w:pPr>
              <w:rPr>
                <w:rFonts w:eastAsia="Arial"/>
                <w:b/>
                <w:color w:val="FFFFFF" w:themeColor="background1"/>
              </w:rPr>
            </w:pPr>
            <w:r>
              <w:rPr>
                <w:rFonts w:eastAsia="Arial"/>
                <w:b/>
                <w:color w:val="FFFFFF" w:themeColor="background1"/>
              </w:rPr>
              <w:t>Objectif</w:t>
            </w:r>
          </w:p>
        </w:tc>
        <w:tc>
          <w:tcPr>
            <w:tcW w:w="7525" w:type="dxa"/>
            <w:tcBorders>
              <w:top w:val="single" w:color="000000" w:sz="6" w:space="0"/>
              <w:left w:val="single" w:color="000000" w:sz="6" w:space="0"/>
              <w:bottom w:val="single" w:color="000000" w:sz="8" w:space="0"/>
              <w:right w:val="single" w:color="000000" w:sz="8" w:space="0"/>
            </w:tcBorders>
          </w:tcPr>
          <w:p w:rsidR="006E6D7A" w:rsidRDefault="00B16C64" w14:paraId="6715732B" w14:textId="77777777">
            <w:pPr>
              <w:rPr>
                <w:rFonts w:eastAsia="Arial"/>
                <w:color w:val="000000"/>
              </w:rPr>
            </w:pPr>
            <w:r>
              <w:rPr>
                <w:rFonts w:eastAsia="Arial"/>
                <w:color w:val="000000"/>
              </w:rPr>
              <w:t>Suivre la vélocité de l’équipe de réalisation</w:t>
            </w:r>
          </w:p>
        </w:tc>
      </w:tr>
      <w:tr w:rsidR="006E6D7A" w14:paraId="6715732F" w14:textId="77777777">
        <w:tc>
          <w:tcPr>
            <w:tcW w:w="1830"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2D" w14:textId="77777777">
            <w:pPr>
              <w:rPr>
                <w:rFonts w:eastAsia="Arial"/>
                <w:b/>
                <w:color w:val="FFFFFF" w:themeColor="background1"/>
              </w:rPr>
            </w:pPr>
            <w:r>
              <w:rPr>
                <w:rFonts w:eastAsia="Arial"/>
                <w:b/>
                <w:color w:val="FFFFFF" w:themeColor="background1"/>
              </w:rPr>
              <w:t>Définition</w:t>
            </w:r>
          </w:p>
        </w:tc>
        <w:tc>
          <w:tcPr>
            <w:tcW w:w="7525" w:type="dxa"/>
            <w:tcBorders>
              <w:top w:val="single" w:color="000000" w:sz="6" w:space="0"/>
              <w:left w:val="single" w:color="000000" w:sz="6" w:space="0"/>
              <w:bottom w:val="single" w:color="000000" w:sz="8" w:space="0"/>
              <w:right w:val="single" w:color="000000" w:sz="8" w:space="0"/>
            </w:tcBorders>
          </w:tcPr>
          <w:p w:rsidR="006E6D7A" w:rsidRDefault="00B16C64" w14:paraId="6715732E" w14:textId="77777777">
            <w:pPr>
              <w:rPr>
                <w:rFonts w:eastAsia="Arial"/>
                <w:color w:val="000000"/>
              </w:rPr>
            </w:pPr>
            <w:r>
              <w:rPr>
                <w:rFonts w:eastAsia="Arial"/>
                <w:color w:val="000000"/>
              </w:rPr>
              <w:t>L’effort de l’équipe de réalisation sur les stories qui ont été implémentées dans un sprint.</w:t>
            </w:r>
          </w:p>
        </w:tc>
      </w:tr>
      <w:tr w:rsidR="006E6D7A" w14:paraId="67157333" w14:textId="77777777">
        <w:tc>
          <w:tcPr>
            <w:tcW w:w="1830"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30" w14:textId="77777777">
            <w:pPr>
              <w:rPr>
                <w:rFonts w:eastAsia="Arial"/>
                <w:b/>
                <w:color w:val="FFFFFF" w:themeColor="background1"/>
              </w:rPr>
            </w:pPr>
            <w:r>
              <w:rPr>
                <w:rFonts w:eastAsia="Arial"/>
                <w:b/>
                <w:color w:val="FFFFFF" w:themeColor="background1"/>
              </w:rPr>
              <w:t>Mesure</w:t>
            </w:r>
          </w:p>
        </w:tc>
        <w:tc>
          <w:tcPr>
            <w:tcW w:w="7525" w:type="dxa"/>
            <w:tcBorders>
              <w:top w:val="single" w:color="000000" w:sz="6" w:space="0"/>
              <w:left w:val="single" w:color="000000" w:sz="6" w:space="0"/>
              <w:bottom w:val="single" w:color="000000" w:sz="8" w:space="0"/>
              <w:right w:val="single" w:color="000000" w:sz="8" w:space="0"/>
            </w:tcBorders>
          </w:tcPr>
          <w:p w:rsidR="006E6D7A" w:rsidRDefault="00B16C64" w14:paraId="67157331" w14:textId="77777777">
            <w:pPr>
              <w:rPr>
                <w:rFonts w:eastAsia="Arial"/>
                <w:color w:val="000000"/>
              </w:rPr>
            </w:pPr>
            <w:r>
              <w:rPr>
                <w:rFonts w:eastAsia="Arial"/>
                <w:color w:val="000000"/>
              </w:rPr>
              <w:t>Somme de l’effort des « story points » correspondant aux fonctionnalités livrées et démontrées en fin d’itération.</w:t>
            </w:r>
          </w:p>
          <w:p w:rsidR="006E6D7A" w:rsidRDefault="00B16C64" w14:paraId="67157332" w14:textId="77777777">
            <w:pPr>
              <w:rPr>
                <w:rFonts w:eastAsia="Arial"/>
                <w:color w:val="000000"/>
              </w:rPr>
            </w:pPr>
            <w:r>
              <w:rPr>
                <w:rFonts w:eastAsia="Arial"/>
                <w:color w:val="000000"/>
              </w:rPr>
              <w:t>Cette vélocité est commune à l’équipe de réalisation incluant INRAE et titulaire</w:t>
            </w:r>
          </w:p>
        </w:tc>
      </w:tr>
      <w:tr w:rsidR="006E6D7A" w14:paraId="6715733E" w14:textId="77777777">
        <w:tc>
          <w:tcPr>
            <w:tcW w:w="1830"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34" w14:textId="77777777">
            <w:pPr>
              <w:rPr>
                <w:rFonts w:eastAsia="Arial"/>
                <w:b/>
                <w:color w:val="FFFFFF" w:themeColor="background1"/>
              </w:rPr>
            </w:pPr>
            <w:r>
              <w:rPr>
                <w:rFonts w:eastAsia="Arial"/>
                <w:b/>
                <w:color w:val="FFFFFF" w:themeColor="background1"/>
              </w:rPr>
              <w:t>Seuils</w:t>
            </w:r>
          </w:p>
          <w:p w:rsidR="006E6D7A" w:rsidRDefault="00B16C64" w14:paraId="67157335" w14:textId="77777777">
            <w:pPr>
              <w:rPr>
                <w:rFonts w:eastAsia="Arial"/>
                <w:b/>
                <w:color w:val="FFFFFF" w:themeColor="background1"/>
              </w:rPr>
            </w:pPr>
            <w:r>
              <w:rPr>
                <w:rFonts w:eastAsia="Arial"/>
                <w:b/>
                <w:color w:val="FFFFFF" w:themeColor="background1"/>
              </w:rPr>
              <w:t>(</w:t>
            </w:r>
            <w:proofErr w:type="gramStart"/>
            <w:r>
              <w:rPr>
                <w:rFonts w:eastAsia="Arial"/>
                <w:b/>
                <w:color w:val="FFFFFF" w:themeColor="background1"/>
              </w:rPr>
              <w:t>phase</w:t>
            </w:r>
            <w:proofErr w:type="gramEnd"/>
            <w:r>
              <w:rPr>
                <w:rFonts w:eastAsia="Arial"/>
                <w:b/>
                <w:color w:val="FFFFFF" w:themeColor="background1"/>
              </w:rPr>
              <w:t xml:space="preserve"> opérationnelle)</w:t>
            </w:r>
          </w:p>
        </w:tc>
        <w:tc>
          <w:tcPr>
            <w:tcW w:w="7525" w:type="dxa"/>
            <w:tcBorders>
              <w:top w:val="single" w:color="000000" w:sz="6" w:space="0"/>
              <w:left w:val="single" w:color="000000" w:sz="6" w:space="0"/>
              <w:bottom w:val="single" w:color="000000" w:sz="8" w:space="0"/>
              <w:right w:val="single" w:color="000000" w:sz="8" w:space="0"/>
            </w:tcBorders>
          </w:tcPr>
          <w:p w:rsidR="006E6D7A" w:rsidRDefault="006E6D7A" w14:paraId="67157336" w14:textId="77777777">
            <w:pPr>
              <w:rPr>
                <w:rFonts w:eastAsia="Arial"/>
                <w:color w:val="000000"/>
              </w:rPr>
            </w:pPr>
          </w:p>
          <w:tbl>
            <w:tblPr>
              <w:tblW w:w="6825" w:type="dxa"/>
              <w:tblLayout w:type="fixed"/>
              <w:tblCellMar>
                <w:top w:w="100" w:type="dxa"/>
                <w:left w:w="100" w:type="dxa"/>
                <w:bottom w:w="100" w:type="dxa"/>
                <w:right w:w="100" w:type="dxa"/>
              </w:tblCellMar>
              <w:tblLook w:val="0600" w:firstRow="0" w:lastRow="0" w:firstColumn="0" w:lastColumn="0" w:noHBand="1" w:noVBand="1"/>
            </w:tblPr>
            <w:tblGrid>
              <w:gridCol w:w="2399"/>
              <w:gridCol w:w="4426"/>
            </w:tblGrid>
            <w:tr w:rsidR="006E6D7A" w14:paraId="67157339" w14:textId="77777777">
              <w:tc>
                <w:tcPr>
                  <w:tcW w:w="2399" w:type="dxa"/>
                  <w:tcBorders>
                    <w:bottom w:val="single" w:color="000000" w:sz="8" w:space="0"/>
                    <w:right w:val="single" w:color="000000" w:sz="8" w:space="0"/>
                  </w:tcBorders>
                </w:tcPr>
                <w:p w:rsidR="006E6D7A" w:rsidRDefault="00B16C64" w14:paraId="67157337" w14:textId="77777777">
                  <w:pPr>
                    <w:rPr>
                      <w:rFonts w:eastAsia="Arial"/>
                      <w:color w:val="000000"/>
                    </w:rPr>
                  </w:pPr>
                  <w:r>
                    <w:rPr>
                      <w:rFonts w:eastAsia="Arial"/>
                      <w:color w:val="000000"/>
                    </w:rPr>
                    <w:t>Objectif</w:t>
                  </w:r>
                </w:p>
              </w:tc>
              <w:tc>
                <w:tcPr>
                  <w:tcW w:w="4425" w:type="dxa"/>
                  <w:tcBorders>
                    <w:bottom w:val="single" w:color="000000" w:sz="8" w:space="0"/>
                  </w:tcBorders>
                </w:tcPr>
                <w:p w:rsidR="006E6D7A" w:rsidRDefault="00B16C64" w14:paraId="67157338" w14:textId="77777777">
                  <w:pPr>
                    <w:rPr>
                      <w:rFonts w:eastAsia="Arial"/>
                      <w:color w:val="000000"/>
                    </w:rPr>
                  </w:pPr>
                  <w:r>
                    <w:rPr>
                      <w:rFonts w:eastAsia="Arial"/>
                      <w:color w:val="000000"/>
                    </w:rPr>
                    <w:t>A définir en sprint 0</w:t>
                  </w:r>
                </w:p>
              </w:tc>
            </w:tr>
            <w:tr w:rsidR="006E6D7A" w14:paraId="6715733C" w14:textId="77777777">
              <w:tc>
                <w:tcPr>
                  <w:tcW w:w="2399" w:type="dxa"/>
                  <w:tcBorders>
                    <w:right w:val="single" w:color="000000" w:sz="8" w:space="0"/>
                  </w:tcBorders>
                </w:tcPr>
                <w:p w:rsidR="006E6D7A" w:rsidRDefault="00B16C64" w14:paraId="6715733A" w14:textId="77777777">
                  <w:pPr>
                    <w:rPr>
                      <w:rFonts w:eastAsia="Arial"/>
                      <w:color w:val="000000"/>
                    </w:rPr>
                  </w:pPr>
                  <w:r>
                    <w:rPr>
                      <w:rFonts w:eastAsia="Arial"/>
                      <w:color w:val="000000"/>
                    </w:rPr>
                    <w:t>Alerte</w:t>
                  </w:r>
                </w:p>
              </w:tc>
              <w:tc>
                <w:tcPr>
                  <w:tcW w:w="4425" w:type="dxa"/>
                </w:tcPr>
                <w:p w:rsidR="006E6D7A" w:rsidRDefault="00B16C64" w14:paraId="6715733B" w14:textId="77777777">
                  <w:pPr>
                    <w:rPr>
                      <w:rFonts w:eastAsia="Arial"/>
                      <w:color w:val="000000"/>
                    </w:rPr>
                  </w:pPr>
                  <w:r>
                    <w:rPr>
                      <w:rFonts w:eastAsia="Arial"/>
                      <w:color w:val="000000"/>
                    </w:rPr>
                    <w:t>A définir en sprint 0</w:t>
                  </w:r>
                </w:p>
              </w:tc>
            </w:tr>
          </w:tbl>
          <w:p w:rsidR="006E6D7A" w:rsidRDefault="006E6D7A" w14:paraId="6715733D" w14:textId="77777777">
            <w:pPr>
              <w:rPr>
                <w:rFonts w:eastAsia="Arial"/>
                <w:color w:val="000000"/>
              </w:rPr>
            </w:pPr>
          </w:p>
        </w:tc>
      </w:tr>
    </w:tbl>
    <w:p w:rsidR="006E6D7A" w:rsidRDefault="00B16C64" w14:paraId="6715733F" w14:textId="77777777">
      <w:pPr>
        <w:ind w:left="720"/>
        <w:rPr>
          <w:rFonts w:eastAsia="Arial"/>
          <w:color w:val="000000"/>
        </w:rPr>
      </w:pPr>
      <w:r>
        <w:rPr>
          <w:rFonts w:eastAsia="Arial"/>
          <w:color w:val="000000"/>
        </w:rPr>
        <w:t xml:space="preserve"> </w:t>
      </w:r>
    </w:p>
    <w:tbl>
      <w:tblPr>
        <w:tblW w:w="9356" w:type="dxa"/>
        <w:tblInd w:w="-42" w:type="dxa"/>
        <w:tblLayout w:type="fixed"/>
        <w:tblCellMar>
          <w:top w:w="100" w:type="dxa"/>
          <w:left w:w="100" w:type="dxa"/>
          <w:bottom w:w="100" w:type="dxa"/>
          <w:right w:w="100" w:type="dxa"/>
        </w:tblCellMar>
        <w:tblLook w:val="0600" w:firstRow="0" w:lastRow="0" w:firstColumn="0" w:lastColumn="0" w:noHBand="1" w:noVBand="1"/>
      </w:tblPr>
      <w:tblGrid>
        <w:gridCol w:w="1902"/>
        <w:gridCol w:w="7454"/>
      </w:tblGrid>
      <w:tr w:rsidR="006E6D7A" w14:paraId="67157342" w14:textId="77777777">
        <w:trPr>
          <w:trHeight w:val="249"/>
        </w:trPr>
        <w:tc>
          <w:tcPr>
            <w:tcW w:w="1902" w:type="dxa"/>
            <w:tcBorders>
              <w:top w:val="single" w:color="000000" w:sz="8" w:space="0"/>
              <w:left w:val="single" w:color="000000" w:sz="8" w:space="0"/>
              <w:bottom w:val="single" w:color="000000" w:sz="8" w:space="0"/>
              <w:right w:val="single" w:color="000000" w:sz="8" w:space="0"/>
            </w:tcBorders>
            <w:shd w:val="clear" w:color="auto" w:fill="03A6A3"/>
            <w:vAlign w:val="center"/>
          </w:tcPr>
          <w:p w:rsidR="006E6D7A" w:rsidRDefault="00B16C64" w14:paraId="67157340" w14:textId="77777777">
            <w:pPr>
              <w:rPr>
                <w:rFonts w:eastAsia="Arial"/>
                <w:b/>
                <w:color w:val="FFFFFF" w:themeColor="background1"/>
              </w:rPr>
            </w:pPr>
            <w:r>
              <w:rPr>
                <w:rFonts w:eastAsia="Arial"/>
                <w:b/>
                <w:color w:val="FFFFFF" w:themeColor="background1"/>
              </w:rPr>
              <w:t>Critère</w:t>
            </w:r>
          </w:p>
        </w:tc>
        <w:tc>
          <w:tcPr>
            <w:tcW w:w="7453" w:type="dxa"/>
            <w:tcBorders>
              <w:top w:val="single" w:color="000000" w:sz="8" w:space="0"/>
              <w:left w:val="single" w:color="000000" w:sz="6" w:space="0"/>
              <w:bottom w:val="single" w:color="000000" w:sz="8" w:space="0"/>
              <w:right w:val="single" w:color="000000" w:sz="8" w:space="0"/>
            </w:tcBorders>
          </w:tcPr>
          <w:p w:rsidR="006E6D7A" w:rsidRDefault="00B16C64" w14:paraId="67157341" w14:textId="77777777">
            <w:pPr>
              <w:rPr>
                <w:rFonts w:eastAsia="Arial"/>
                <w:b/>
                <w:color w:val="000000"/>
              </w:rPr>
            </w:pPr>
            <w:r>
              <w:rPr>
                <w:rFonts w:eastAsia="Arial"/>
                <w:b/>
                <w:color w:val="000000"/>
              </w:rPr>
              <w:t>Pérennité de qualifications des profils affectés à l’exécution de l’accord-cadre</w:t>
            </w:r>
          </w:p>
        </w:tc>
      </w:tr>
      <w:tr w:rsidR="006E6D7A" w14:paraId="67157345" w14:textId="77777777">
        <w:trPr>
          <w:trHeight w:val="523"/>
        </w:trPr>
        <w:tc>
          <w:tcPr>
            <w:tcW w:w="1902"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43" w14:textId="77777777">
            <w:pPr>
              <w:rPr>
                <w:rFonts w:eastAsia="Arial"/>
                <w:b/>
                <w:color w:val="FFFFFF" w:themeColor="background1"/>
              </w:rPr>
            </w:pPr>
            <w:r>
              <w:rPr>
                <w:rFonts w:eastAsia="Arial"/>
                <w:b/>
                <w:color w:val="FFFFFF" w:themeColor="background1"/>
              </w:rPr>
              <w:t>Objectif</w:t>
            </w:r>
          </w:p>
        </w:tc>
        <w:tc>
          <w:tcPr>
            <w:tcW w:w="7453" w:type="dxa"/>
            <w:tcBorders>
              <w:top w:val="single" w:color="000000" w:sz="6" w:space="0"/>
              <w:left w:val="single" w:color="000000" w:sz="6" w:space="0"/>
              <w:bottom w:val="single" w:color="000000" w:sz="8" w:space="0"/>
              <w:right w:val="single" w:color="000000" w:sz="8" w:space="0"/>
            </w:tcBorders>
          </w:tcPr>
          <w:p w:rsidR="006E6D7A" w:rsidRDefault="00B16C64" w14:paraId="67157344" w14:textId="77777777">
            <w:pPr>
              <w:rPr>
                <w:rFonts w:eastAsia="Arial"/>
                <w:color w:val="000000"/>
              </w:rPr>
            </w:pPr>
            <w:r>
              <w:rPr>
                <w:rFonts w:eastAsia="Arial"/>
                <w:color w:val="000000"/>
              </w:rPr>
              <w:t>Garantir, sur la durée, une équipe du titulaire relativement stable lorsqu’elle donne satisfaction</w:t>
            </w:r>
          </w:p>
        </w:tc>
      </w:tr>
      <w:tr w:rsidR="006E6D7A" w14:paraId="67157348" w14:textId="77777777">
        <w:trPr>
          <w:trHeight w:val="538"/>
        </w:trPr>
        <w:tc>
          <w:tcPr>
            <w:tcW w:w="1902"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46" w14:textId="77777777">
            <w:pPr>
              <w:rPr>
                <w:rFonts w:eastAsia="Arial"/>
                <w:b/>
                <w:color w:val="FFFFFF" w:themeColor="background1"/>
              </w:rPr>
            </w:pPr>
            <w:r>
              <w:rPr>
                <w:rFonts w:eastAsia="Arial"/>
                <w:b/>
                <w:color w:val="FFFFFF" w:themeColor="background1"/>
              </w:rPr>
              <w:t>Définition</w:t>
            </w:r>
          </w:p>
        </w:tc>
        <w:tc>
          <w:tcPr>
            <w:tcW w:w="7453" w:type="dxa"/>
            <w:tcBorders>
              <w:top w:val="single" w:color="000000" w:sz="6" w:space="0"/>
              <w:left w:val="single" w:color="000000" w:sz="6" w:space="0"/>
              <w:bottom w:val="single" w:color="000000" w:sz="8" w:space="0"/>
              <w:right w:val="single" w:color="000000" w:sz="8" w:space="0"/>
            </w:tcBorders>
          </w:tcPr>
          <w:p w:rsidR="006E6D7A" w:rsidRDefault="00B16C64" w14:paraId="67157347" w14:textId="77777777">
            <w:pPr>
              <w:rPr>
                <w:rFonts w:eastAsia="Arial"/>
                <w:color w:val="000000"/>
              </w:rPr>
            </w:pPr>
            <w:r>
              <w:rPr>
                <w:rFonts w:eastAsia="Arial"/>
                <w:color w:val="000000"/>
              </w:rPr>
              <w:t>La stabilité en termes de compétence et de connaissance du contexte de l’équipe du soumissionnaire (règle souhaitée : tout intervenant est dédié pour un cycle minimal d’un an)</w:t>
            </w:r>
          </w:p>
        </w:tc>
      </w:tr>
      <w:tr w:rsidR="006E6D7A" w14:paraId="6715734E" w14:textId="77777777">
        <w:trPr>
          <w:trHeight w:val="523"/>
        </w:trPr>
        <w:tc>
          <w:tcPr>
            <w:tcW w:w="1902"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49" w14:textId="77777777">
            <w:pPr>
              <w:rPr>
                <w:rFonts w:eastAsia="Arial"/>
                <w:b/>
                <w:color w:val="FFFFFF" w:themeColor="background1"/>
              </w:rPr>
            </w:pPr>
            <w:r>
              <w:rPr>
                <w:rFonts w:eastAsia="Arial"/>
                <w:b/>
                <w:color w:val="FFFFFF" w:themeColor="background1"/>
              </w:rPr>
              <w:t>Mesure</w:t>
            </w:r>
          </w:p>
        </w:tc>
        <w:tc>
          <w:tcPr>
            <w:tcW w:w="7453" w:type="dxa"/>
            <w:tcBorders>
              <w:top w:val="single" w:color="000000" w:sz="6" w:space="0"/>
              <w:left w:val="single" w:color="000000" w:sz="6" w:space="0"/>
              <w:bottom w:val="single" w:color="000000" w:sz="8" w:space="0"/>
              <w:right w:val="single" w:color="000000" w:sz="8" w:space="0"/>
            </w:tcBorders>
          </w:tcPr>
          <w:p w:rsidR="006E6D7A" w:rsidRDefault="00B16C64" w14:paraId="6715734A" w14:textId="77777777">
            <w:pPr>
              <w:rPr>
                <w:rFonts w:eastAsia="Arial"/>
                <w:color w:val="000000"/>
              </w:rPr>
            </w:pPr>
            <w:r>
              <w:rPr>
                <w:rFonts w:eastAsia="Arial"/>
                <w:color w:val="000000"/>
              </w:rPr>
              <w:t>Mesure :</w:t>
            </w:r>
          </w:p>
          <w:p w:rsidR="006E6D7A" w:rsidRDefault="00B16C64" w14:paraId="6715734B" w14:textId="77777777">
            <w:pPr>
              <w:pStyle w:val="Paragraphedeliste"/>
              <w:numPr>
                <w:ilvl w:val="0"/>
                <w:numId w:val="28"/>
              </w:numPr>
              <w:spacing w:before="120" w:after="0" w:line="240" w:lineRule="auto"/>
              <w:rPr>
                <w:rFonts w:eastAsia="Arial" w:asciiTheme="minorHAnsi" w:hAnsiTheme="minorHAnsi" w:cstheme="minorHAnsi"/>
                <w:color w:val="000000"/>
              </w:rPr>
            </w:pPr>
            <w:r>
              <w:rPr>
                <w:rFonts w:eastAsia="Arial" w:cstheme="minorHAnsi"/>
                <w:color w:val="000000"/>
              </w:rPr>
              <w:t xml:space="preserve">Par intervenant, 10 points par mois de présence jusqu’à 60 points, -30 points lors d’un changement d’intervenant n’ayant pas le même profil en termes d’expérience technique, fonctionnelle et applicative et -10 si le </w:t>
            </w:r>
            <w:r>
              <w:rPr>
                <w:rFonts w:eastAsia="Arial" w:cstheme="minorHAnsi"/>
                <w:color w:val="000000"/>
              </w:rPr>
              <w:lastRenderedPageBreak/>
              <w:t>nouvel intervenant a le même profil en termes d’expérience technique, fonctionnelle et applicative</w:t>
            </w:r>
          </w:p>
          <w:p w:rsidR="006E6D7A" w:rsidRDefault="00B16C64" w14:paraId="6715734C" w14:textId="77777777">
            <w:pPr>
              <w:pStyle w:val="Paragraphedeliste"/>
              <w:numPr>
                <w:ilvl w:val="0"/>
                <w:numId w:val="28"/>
              </w:numPr>
              <w:spacing w:before="120" w:after="0" w:line="240" w:lineRule="auto"/>
              <w:rPr>
                <w:rFonts w:eastAsia="Arial"/>
                <w:color w:val="000000"/>
              </w:rPr>
            </w:pPr>
            <w:r>
              <w:rPr>
                <w:rFonts w:eastAsia="Arial" w:cstheme="minorHAnsi"/>
                <w:color w:val="000000"/>
              </w:rPr>
              <w:t>Ne pas dépasser 25% de changement d’intervenant par trimestre dans une équipe</w:t>
            </w:r>
          </w:p>
          <w:p w:rsidR="006E6D7A" w:rsidRDefault="00B16C64" w14:paraId="6715734D" w14:textId="77777777">
            <w:pPr>
              <w:pStyle w:val="Paragraphedeliste"/>
              <w:numPr>
                <w:ilvl w:val="0"/>
                <w:numId w:val="28"/>
              </w:numPr>
              <w:spacing w:before="120" w:after="0" w:line="240" w:lineRule="auto"/>
              <w:rPr>
                <w:rFonts w:eastAsia="Arial"/>
                <w:color w:val="000000"/>
              </w:rPr>
            </w:pPr>
            <w:r>
              <w:rPr>
                <w:rFonts w:eastAsia="Arial"/>
                <w:color w:val="000000"/>
              </w:rPr>
              <w:t>Passage en revue en COCON</w:t>
            </w:r>
          </w:p>
        </w:tc>
      </w:tr>
      <w:tr w:rsidR="006E6D7A" w14:paraId="67157359" w14:textId="77777777">
        <w:trPr>
          <w:trHeight w:val="1185"/>
        </w:trPr>
        <w:tc>
          <w:tcPr>
            <w:tcW w:w="1902"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4F" w14:textId="77777777">
            <w:pPr>
              <w:rPr>
                <w:rFonts w:eastAsia="Arial"/>
                <w:b/>
                <w:color w:val="FFFFFF" w:themeColor="background1"/>
              </w:rPr>
            </w:pPr>
            <w:r>
              <w:rPr>
                <w:rFonts w:eastAsia="Arial"/>
                <w:b/>
                <w:color w:val="FFFFFF" w:themeColor="background1"/>
              </w:rPr>
              <w:lastRenderedPageBreak/>
              <w:t>Seuils</w:t>
            </w:r>
          </w:p>
          <w:p w:rsidR="006E6D7A" w:rsidRDefault="00B16C64" w14:paraId="67157350" w14:textId="77777777">
            <w:pPr>
              <w:rPr>
                <w:rFonts w:eastAsia="Arial"/>
                <w:b/>
                <w:color w:val="FFFFFF" w:themeColor="background1"/>
              </w:rPr>
            </w:pPr>
            <w:r>
              <w:rPr>
                <w:rFonts w:eastAsia="Arial"/>
                <w:b/>
                <w:color w:val="FFFFFF" w:themeColor="background1"/>
              </w:rPr>
              <w:t>(</w:t>
            </w:r>
            <w:proofErr w:type="gramStart"/>
            <w:r>
              <w:rPr>
                <w:rFonts w:eastAsia="Arial"/>
                <w:b/>
                <w:color w:val="FFFFFF" w:themeColor="background1"/>
              </w:rPr>
              <w:t>phase</w:t>
            </w:r>
            <w:proofErr w:type="gramEnd"/>
            <w:r>
              <w:rPr>
                <w:rFonts w:eastAsia="Arial"/>
                <w:b/>
                <w:color w:val="FFFFFF" w:themeColor="background1"/>
              </w:rPr>
              <w:t xml:space="preserve"> opérationnelle)</w:t>
            </w:r>
          </w:p>
        </w:tc>
        <w:tc>
          <w:tcPr>
            <w:tcW w:w="7453" w:type="dxa"/>
            <w:tcBorders>
              <w:top w:val="single" w:color="000000" w:sz="6" w:space="0"/>
              <w:left w:val="single" w:color="000000" w:sz="6" w:space="0"/>
              <w:bottom w:val="single" w:color="000000" w:sz="8" w:space="0"/>
              <w:right w:val="single" w:color="000000" w:sz="8" w:space="0"/>
            </w:tcBorders>
          </w:tcPr>
          <w:p w:rsidR="006E6D7A" w:rsidRDefault="006E6D7A" w14:paraId="67157351" w14:textId="77777777">
            <w:pPr>
              <w:rPr>
                <w:rFonts w:eastAsia="Arial"/>
                <w:color w:val="000000"/>
              </w:rPr>
            </w:pPr>
          </w:p>
          <w:tbl>
            <w:tblPr>
              <w:tblW w:w="7212" w:type="dxa"/>
              <w:tblInd w:w="6" w:type="dxa"/>
              <w:tblLayout w:type="fixed"/>
              <w:tblCellMar>
                <w:top w:w="100" w:type="dxa"/>
                <w:left w:w="100" w:type="dxa"/>
                <w:bottom w:w="100" w:type="dxa"/>
                <w:right w:w="100" w:type="dxa"/>
              </w:tblCellMar>
              <w:tblLook w:val="0600" w:firstRow="0" w:lastRow="0" w:firstColumn="0" w:lastColumn="0" w:noHBand="1" w:noVBand="1"/>
            </w:tblPr>
            <w:tblGrid>
              <w:gridCol w:w="2535"/>
              <w:gridCol w:w="4677"/>
            </w:tblGrid>
            <w:tr w:rsidR="006E6D7A" w14:paraId="67157354" w14:textId="77777777">
              <w:trPr>
                <w:trHeight w:val="262"/>
              </w:trPr>
              <w:tc>
                <w:tcPr>
                  <w:tcW w:w="2535" w:type="dxa"/>
                  <w:tcBorders>
                    <w:bottom w:val="single" w:color="000000" w:sz="8" w:space="0"/>
                    <w:right w:val="single" w:color="000000" w:sz="8" w:space="0"/>
                  </w:tcBorders>
                </w:tcPr>
                <w:p w:rsidR="006E6D7A" w:rsidRDefault="00B16C64" w14:paraId="67157352" w14:textId="77777777">
                  <w:pPr>
                    <w:rPr>
                      <w:rFonts w:eastAsia="Arial"/>
                      <w:color w:val="000000"/>
                    </w:rPr>
                  </w:pPr>
                  <w:r>
                    <w:rPr>
                      <w:rFonts w:eastAsia="Arial"/>
                      <w:color w:val="000000"/>
                    </w:rPr>
                    <w:t>Objectif</w:t>
                  </w:r>
                </w:p>
              </w:tc>
              <w:tc>
                <w:tcPr>
                  <w:tcW w:w="4676" w:type="dxa"/>
                  <w:tcBorders>
                    <w:bottom w:val="single" w:color="000000" w:sz="8" w:space="0"/>
                  </w:tcBorders>
                </w:tcPr>
                <w:p w:rsidR="006E6D7A" w:rsidRDefault="00B16C64" w14:paraId="67157353" w14:textId="77777777">
                  <w:pPr>
                    <w:rPr>
                      <w:rFonts w:eastAsia="Arial"/>
                      <w:color w:val="000000"/>
                    </w:rPr>
                  </w:pPr>
                  <w:r>
                    <w:rPr>
                      <w:rFonts w:eastAsia="Arial"/>
                      <w:color w:val="000000"/>
                    </w:rPr>
                    <w:t>% de changement d’intervenant par trimestre dans une équipe &lt; à 25%</w:t>
                  </w:r>
                </w:p>
              </w:tc>
            </w:tr>
            <w:tr w:rsidR="006E6D7A" w14:paraId="67157357" w14:textId="77777777">
              <w:trPr>
                <w:trHeight w:val="262"/>
              </w:trPr>
              <w:tc>
                <w:tcPr>
                  <w:tcW w:w="2535" w:type="dxa"/>
                  <w:tcBorders>
                    <w:right w:val="single" w:color="000000" w:sz="8" w:space="0"/>
                  </w:tcBorders>
                </w:tcPr>
                <w:p w:rsidR="006E6D7A" w:rsidRDefault="00B16C64" w14:paraId="67157355" w14:textId="77777777">
                  <w:pPr>
                    <w:rPr>
                      <w:rFonts w:eastAsia="Arial"/>
                      <w:color w:val="000000"/>
                    </w:rPr>
                  </w:pPr>
                  <w:r>
                    <w:rPr>
                      <w:rFonts w:eastAsia="Arial"/>
                      <w:color w:val="000000"/>
                    </w:rPr>
                    <w:t>Alerte</w:t>
                  </w:r>
                </w:p>
              </w:tc>
              <w:tc>
                <w:tcPr>
                  <w:tcW w:w="4676" w:type="dxa"/>
                </w:tcPr>
                <w:p w:rsidR="006E6D7A" w:rsidRDefault="00B16C64" w14:paraId="67157356" w14:textId="77777777">
                  <w:pPr>
                    <w:rPr>
                      <w:rFonts w:eastAsia="Arial"/>
                      <w:color w:val="000000"/>
                    </w:rPr>
                  </w:pPr>
                  <w:r>
                    <w:rPr>
                      <w:rFonts w:eastAsia="Arial"/>
                      <w:color w:val="000000"/>
                    </w:rPr>
                    <w:t>15% de changement d’intervenant par trimestre dans une équipe</w:t>
                  </w:r>
                </w:p>
              </w:tc>
            </w:tr>
          </w:tbl>
          <w:p w:rsidR="006E6D7A" w:rsidRDefault="006E6D7A" w14:paraId="67157358" w14:textId="77777777">
            <w:pPr>
              <w:rPr>
                <w:rFonts w:eastAsia="Arial"/>
                <w:color w:val="000000"/>
              </w:rPr>
            </w:pPr>
          </w:p>
        </w:tc>
      </w:tr>
    </w:tbl>
    <w:p w:rsidR="006E6D7A" w:rsidRDefault="006E6D7A" w14:paraId="6715735A" w14:textId="77777777"/>
    <w:p w:rsidR="006E6D7A" w:rsidRDefault="00B16C64" w14:paraId="6715735B" w14:textId="77777777">
      <w:pPr>
        <w:rPr>
          <w:rFonts w:eastAsia="Arial"/>
          <w:color w:val="000000"/>
        </w:rPr>
      </w:pPr>
      <w:r>
        <w:rPr>
          <w:rFonts w:eastAsia="Arial"/>
          <w:color w:val="000000"/>
        </w:rPr>
        <w:t xml:space="preserve"> </w:t>
      </w:r>
    </w:p>
    <w:p w:rsidR="006E6D7A" w:rsidRDefault="00B16C64" w14:paraId="6715735C" w14:textId="77777777">
      <w:pPr>
        <w:rPr>
          <w:rFonts w:eastAsia="Arial"/>
          <w:color w:val="000000"/>
        </w:rPr>
      </w:pPr>
      <w:r>
        <w:rPr>
          <w:rFonts w:eastAsia="Arial"/>
          <w:color w:val="000000"/>
        </w:rPr>
        <w:t xml:space="preserve">  </w:t>
      </w:r>
    </w:p>
    <w:tbl>
      <w:tblPr>
        <w:tblW w:w="9356" w:type="dxa"/>
        <w:tblInd w:w="-42" w:type="dxa"/>
        <w:tblLayout w:type="fixed"/>
        <w:tblCellMar>
          <w:top w:w="100" w:type="dxa"/>
          <w:left w:w="100" w:type="dxa"/>
          <w:bottom w:w="100" w:type="dxa"/>
          <w:right w:w="100" w:type="dxa"/>
        </w:tblCellMar>
        <w:tblLook w:val="0600" w:firstRow="0" w:lastRow="0" w:firstColumn="0" w:lastColumn="0" w:noHBand="1" w:noVBand="1"/>
      </w:tblPr>
      <w:tblGrid>
        <w:gridCol w:w="1785"/>
        <w:gridCol w:w="7571"/>
      </w:tblGrid>
      <w:tr w:rsidR="006E6D7A" w14:paraId="6715735F" w14:textId="77777777">
        <w:tc>
          <w:tcPr>
            <w:tcW w:w="1785" w:type="dxa"/>
            <w:tcBorders>
              <w:top w:val="single" w:color="000000" w:sz="8" w:space="0"/>
              <w:left w:val="single" w:color="000000" w:sz="8" w:space="0"/>
              <w:bottom w:val="single" w:color="000000" w:sz="8" w:space="0"/>
              <w:right w:val="single" w:color="000000" w:sz="8" w:space="0"/>
            </w:tcBorders>
            <w:shd w:val="clear" w:color="auto" w:fill="03A6A3"/>
            <w:vAlign w:val="center"/>
          </w:tcPr>
          <w:p w:rsidR="006E6D7A" w:rsidRDefault="00B16C64" w14:paraId="6715735D" w14:textId="77777777">
            <w:pPr>
              <w:rPr>
                <w:rFonts w:eastAsia="Arial"/>
                <w:b/>
                <w:color w:val="FFFFFF" w:themeColor="background1"/>
              </w:rPr>
            </w:pPr>
            <w:r>
              <w:rPr>
                <w:rFonts w:eastAsia="Arial"/>
                <w:b/>
                <w:color w:val="FFFFFF" w:themeColor="background1"/>
              </w:rPr>
              <w:t>Critère</w:t>
            </w:r>
          </w:p>
        </w:tc>
        <w:tc>
          <w:tcPr>
            <w:tcW w:w="7570" w:type="dxa"/>
            <w:tcBorders>
              <w:top w:val="single" w:color="000000" w:sz="8" w:space="0"/>
              <w:left w:val="single" w:color="000000" w:sz="6" w:space="0"/>
              <w:bottom w:val="single" w:color="000000" w:sz="8" w:space="0"/>
              <w:right w:val="single" w:color="000000" w:sz="8" w:space="0"/>
            </w:tcBorders>
          </w:tcPr>
          <w:p w:rsidR="006E6D7A" w:rsidRDefault="00B16C64" w14:paraId="6715735E" w14:textId="77777777">
            <w:pPr>
              <w:ind w:left="-40"/>
              <w:rPr>
                <w:rFonts w:eastAsia="Arial"/>
                <w:b/>
                <w:color w:val="000000"/>
              </w:rPr>
            </w:pPr>
            <w:r>
              <w:rPr>
                <w:rFonts w:eastAsia="Arial"/>
                <w:b/>
                <w:color w:val="000000"/>
              </w:rPr>
              <w:t>Satisfaction client</w:t>
            </w:r>
          </w:p>
        </w:tc>
      </w:tr>
      <w:tr w:rsidR="006E6D7A" w14:paraId="67157362" w14:textId="77777777">
        <w:tc>
          <w:tcPr>
            <w:tcW w:w="1785"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60" w14:textId="77777777">
            <w:pPr>
              <w:rPr>
                <w:rFonts w:eastAsia="Arial"/>
                <w:b/>
                <w:color w:val="FFFFFF" w:themeColor="background1"/>
              </w:rPr>
            </w:pPr>
            <w:r>
              <w:rPr>
                <w:rFonts w:eastAsia="Arial"/>
                <w:b/>
                <w:color w:val="FFFFFF" w:themeColor="background1"/>
              </w:rPr>
              <w:t>Objectif</w:t>
            </w:r>
          </w:p>
        </w:tc>
        <w:tc>
          <w:tcPr>
            <w:tcW w:w="7570" w:type="dxa"/>
            <w:tcBorders>
              <w:top w:val="single" w:color="000000" w:sz="6" w:space="0"/>
              <w:left w:val="single" w:color="000000" w:sz="6" w:space="0"/>
              <w:bottom w:val="single" w:color="000000" w:sz="8" w:space="0"/>
              <w:right w:val="single" w:color="000000" w:sz="8" w:space="0"/>
            </w:tcBorders>
          </w:tcPr>
          <w:p w:rsidR="006E6D7A" w:rsidRDefault="00B16C64" w14:paraId="67157361" w14:textId="77777777">
            <w:pPr>
              <w:ind w:left="-40"/>
              <w:rPr>
                <w:rFonts w:eastAsia="Arial"/>
                <w:color w:val="000000"/>
              </w:rPr>
            </w:pPr>
            <w:r>
              <w:rPr>
                <w:rFonts w:eastAsia="Arial"/>
                <w:color w:val="000000"/>
              </w:rPr>
              <w:t>Mesurer la satisfaction du client</w:t>
            </w:r>
          </w:p>
        </w:tc>
      </w:tr>
      <w:tr w:rsidR="006E6D7A" w14:paraId="67157365" w14:textId="77777777">
        <w:tc>
          <w:tcPr>
            <w:tcW w:w="1785"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63" w14:textId="77777777">
            <w:pPr>
              <w:rPr>
                <w:rFonts w:eastAsia="Arial"/>
                <w:b/>
                <w:color w:val="FFFFFF" w:themeColor="background1"/>
              </w:rPr>
            </w:pPr>
            <w:r>
              <w:rPr>
                <w:rFonts w:eastAsia="Arial"/>
                <w:b/>
                <w:color w:val="FFFFFF" w:themeColor="background1"/>
              </w:rPr>
              <w:t>Définition</w:t>
            </w:r>
          </w:p>
        </w:tc>
        <w:tc>
          <w:tcPr>
            <w:tcW w:w="7570" w:type="dxa"/>
            <w:tcBorders>
              <w:top w:val="single" w:color="000000" w:sz="6" w:space="0"/>
              <w:left w:val="single" w:color="000000" w:sz="6" w:space="0"/>
              <w:bottom w:val="single" w:color="000000" w:sz="8" w:space="0"/>
              <w:right w:val="single" w:color="000000" w:sz="8" w:space="0"/>
            </w:tcBorders>
          </w:tcPr>
          <w:p w:rsidR="006E6D7A" w:rsidRDefault="00B16C64" w14:paraId="67157364" w14:textId="77777777">
            <w:pPr>
              <w:ind w:left="-40"/>
              <w:rPr>
                <w:rFonts w:eastAsia="Arial"/>
                <w:color w:val="000000"/>
              </w:rPr>
            </w:pPr>
            <w:r>
              <w:rPr>
                <w:rFonts w:eastAsia="Arial"/>
                <w:color w:val="000000"/>
              </w:rPr>
              <w:t>Une mesure de la capacité de l’équipe du soumissionnaire à répondre aux attentes du client.</w:t>
            </w:r>
          </w:p>
        </w:tc>
      </w:tr>
      <w:tr w:rsidR="006E6D7A" w14:paraId="6715736B" w14:textId="77777777">
        <w:tc>
          <w:tcPr>
            <w:tcW w:w="1785"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66" w14:textId="77777777">
            <w:pPr>
              <w:rPr>
                <w:rFonts w:eastAsia="Arial"/>
                <w:b/>
                <w:color w:val="FFFFFF" w:themeColor="background1"/>
              </w:rPr>
            </w:pPr>
            <w:r>
              <w:rPr>
                <w:rFonts w:eastAsia="Arial"/>
                <w:b/>
                <w:color w:val="FFFFFF" w:themeColor="background1"/>
              </w:rPr>
              <w:t>Mesure</w:t>
            </w:r>
          </w:p>
        </w:tc>
        <w:tc>
          <w:tcPr>
            <w:tcW w:w="7570" w:type="dxa"/>
            <w:tcBorders>
              <w:top w:val="single" w:color="000000" w:sz="6" w:space="0"/>
              <w:left w:val="single" w:color="000000" w:sz="6" w:space="0"/>
              <w:bottom w:val="single" w:color="000000" w:sz="8" w:space="0"/>
              <w:right w:val="single" w:color="000000" w:sz="8" w:space="0"/>
            </w:tcBorders>
          </w:tcPr>
          <w:p w:rsidR="006E6D7A" w:rsidRDefault="00B16C64" w14:paraId="67157367" w14:textId="77777777">
            <w:pPr>
              <w:ind w:left="-40"/>
              <w:rPr>
                <w:rFonts w:eastAsia="Arial"/>
              </w:rPr>
            </w:pPr>
            <w:r>
              <w:rPr>
                <w:rFonts w:eastAsia="Arial"/>
              </w:rPr>
              <w:t>En COCON, passage en revue :</w:t>
            </w:r>
          </w:p>
          <w:p w:rsidR="006E6D7A" w:rsidRDefault="00B16C64" w14:paraId="67157368" w14:textId="77777777">
            <w:pPr>
              <w:ind w:left="-40"/>
              <w:rPr>
                <w:rFonts w:eastAsia="Arial"/>
              </w:rPr>
            </w:pPr>
            <w:r>
              <w:rPr>
                <w:rFonts w:eastAsia="Arial"/>
              </w:rPr>
              <w:t>Du respect des règles de fonctionnement de l’accord-cadre ; se mesure par le nombre d’incidents (erreur dans les devis, erreurs dans le process, …) de fonctionnement par trimestre.</w:t>
            </w:r>
          </w:p>
          <w:p w:rsidR="006E6D7A" w:rsidRDefault="00B16C64" w14:paraId="67157369" w14:textId="77777777">
            <w:pPr>
              <w:ind w:left="-40"/>
              <w:rPr>
                <w:rFonts w:eastAsia="Arial"/>
              </w:rPr>
            </w:pPr>
            <w:r>
              <w:rPr>
                <w:rFonts w:eastAsia="Arial"/>
              </w:rPr>
              <w:t>De la réactivité face à la demande du bénéficiaire ; se mesure par le délai moyen entre la date de la demande et la date de réalisation de la demande.</w:t>
            </w:r>
          </w:p>
          <w:p w:rsidR="006E6D7A" w:rsidRDefault="00B16C64" w14:paraId="6715736A" w14:textId="77777777">
            <w:pPr>
              <w:ind w:left="-40"/>
              <w:rPr>
                <w:rFonts w:eastAsia="Arial"/>
                <w:color w:val="000000"/>
              </w:rPr>
            </w:pPr>
            <w:r>
              <w:rPr>
                <w:rFonts w:eastAsia="Arial"/>
              </w:rPr>
              <w:t>Du niveau de compétence par profil</w:t>
            </w:r>
          </w:p>
        </w:tc>
      </w:tr>
      <w:tr w:rsidR="006E6D7A" w14:paraId="6715736E" w14:textId="77777777">
        <w:tc>
          <w:tcPr>
            <w:tcW w:w="1785"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6C" w14:textId="77777777">
            <w:pPr>
              <w:rPr>
                <w:rFonts w:eastAsia="Arial"/>
                <w:b/>
                <w:color w:val="FFFFFF" w:themeColor="background1"/>
              </w:rPr>
            </w:pPr>
            <w:r>
              <w:rPr>
                <w:rFonts w:eastAsia="Arial"/>
                <w:b/>
                <w:color w:val="FFFFFF" w:themeColor="background1"/>
              </w:rPr>
              <w:t>Outil de mesure</w:t>
            </w:r>
          </w:p>
        </w:tc>
        <w:tc>
          <w:tcPr>
            <w:tcW w:w="7570" w:type="dxa"/>
            <w:tcBorders>
              <w:top w:val="single" w:color="000000" w:sz="6" w:space="0"/>
              <w:left w:val="single" w:color="000000" w:sz="6" w:space="0"/>
              <w:bottom w:val="single" w:color="000000" w:sz="8" w:space="0"/>
              <w:right w:val="single" w:color="000000" w:sz="8" w:space="0"/>
            </w:tcBorders>
          </w:tcPr>
          <w:p w:rsidR="006E6D7A" w:rsidRDefault="00B16C64" w14:paraId="6715736D" w14:textId="77777777">
            <w:pPr>
              <w:ind w:left="-40"/>
              <w:rPr>
                <w:rFonts w:eastAsia="Arial"/>
                <w:color w:val="000000"/>
              </w:rPr>
            </w:pPr>
            <w:r>
              <w:rPr>
                <w:rFonts w:eastAsia="Arial"/>
                <w:color w:val="000000"/>
              </w:rPr>
              <w:t>Moyenne des notes</w:t>
            </w:r>
          </w:p>
        </w:tc>
      </w:tr>
      <w:tr w:rsidR="006E6D7A" w14:paraId="67157371" w14:textId="77777777">
        <w:tc>
          <w:tcPr>
            <w:tcW w:w="1785"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6F" w14:textId="77777777">
            <w:pPr>
              <w:rPr>
                <w:rFonts w:eastAsia="Arial"/>
                <w:b/>
                <w:color w:val="FFFFFF" w:themeColor="background1"/>
              </w:rPr>
            </w:pPr>
            <w:r>
              <w:rPr>
                <w:rFonts w:eastAsia="Arial"/>
                <w:b/>
                <w:color w:val="FFFFFF" w:themeColor="background1"/>
              </w:rPr>
              <w:t>Unité de mesure</w:t>
            </w:r>
          </w:p>
        </w:tc>
        <w:tc>
          <w:tcPr>
            <w:tcW w:w="7570" w:type="dxa"/>
            <w:tcBorders>
              <w:top w:val="single" w:color="000000" w:sz="6" w:space="0"/>
              <w:left w:val="single" w:color="000000" w:sz="6" w:space="0"/>
              <w:bottom w:val="single" w:color="000000" w:sz="8" w:space="0"/>
              <w:right w:val="single" w:color="000000" w:sz="8" w:space="0"/>
            </w:tcBorders>
          </w:tcPr>
          <w:p w:rsidR="006E6D7A" w:rsidRDefault="00B16C64" w14:paraId="67157370" w14:textId="77777777">
            <w:pPr>
              <w:ind w:left="-40"/>
              <w:rPr>
                <w:rFonts w:eastAsia="Arial"/>
                <w:color w:val="000000"/>
              </w:rPr>
            </w:pPr>
            <w:r>
              <w:rPr>
                <w:rFonts w:eastAsia="Arial"/>
                <w:color w:val="000000"/>
              </w:rPr>
              <w:t>Notes de 0 à 5</w:t>
            </w:r>
          </w:p>
        </w:tc>
      </w:tr>
      <w:tr w:rsidR="006E6D7A" w14:paraId="67157374" w14:textId="77777777">
        <w:tc>
          <w:tcPr>
            <w:tcW w:w="1785" w:type="dxa"/>
            <w:tcBorders>
              <w:top w:val="single" w:color="000000" w:sz="6" w:space="0"/>
              <w:left w:val="single" w:color="000000" w:sz="8" w:space="0"/>
              <w:bottom w:val="single" w:color="000000" w:sz="8" w:space="0"/>
              <w:right w:val="single" w:color="000000" w:sz="8" w:space="0"/>
            </w:tcBorders>
            <w:shd w:val="clear" w:color="auto" w:fill="03A6A3"/>
            <w:vAlign w:val="center"/>
          </w:tcPr>
          <w:p w:rsidR="006E6D7A" w:rsidRDefault="00B16C64" w14:paraId="67157372" w14:textId="77777777">
            <w:pPr>
              <w:rPr>
                <w:rFonts w:eastAsia="Arial"/>
                <w:b/>
                <w:color w:val="FFFFFF" w:themeColor="background1"/>
              </w:rPr>
            </w:pPr>
            <w:r>
              <w:rPr>
                <w:rFonts w:eastAsia="Arial"/>
                <w:b/>
                <w:color w:val="FFFFFF" w:themeColor="background1"/>
              </w:rPr>
              <w:t>Objectif</w:t>
            </w:r>
          </w:p>
        </w:tc>
        <w:tc>
          <w:tcPr>
            <w:tcW w:w="7570" w:type="dxa"/>
            <w:tcBorders>
              <w:top w:val="single" w:color="000000" w:sz="6" w:space="0"/>
              <w:left w:val="single" w:color="000000" w:sz="6" w:space="0"/>
              <w:bottom w:val="single" w:color="000000" w:sz="8" w:space="0"/>
              <w:right w:val="single" w:color="000000" w:sz="8" w:space="0"/>
            </w:tcBorders>
          </w:tcPr>
          <w:p w:rsidR="006E6D7A" w:rsidRDefault="00B16C64" w14:paraId="67157373" w14:textId="77777777">
            <w:pPr>
              <w:ind w:left="-40"/>
              <w:rPr>
                <w:rFonts w:eastAsia="Arial"/>
                <w:color w:val="000000"/>
              </w:rPr>
            </w:pPr>
            <w:r>
              <w:rPr>
                <w:rFonts w:eastAsia="Arial"/>
                <w:color w:val="000000"/>
              </w:rPr>
              <w:t>&gt;= 4</w:t>
            </w:r>
          </w:p>
        </w:tc>
      </w:tr>
    </w:tbl>
    <w:p w:rsidR="006E6D7A" w:rsidRDefault="00B16C64" w14:paraId="67157375" w14:textId="77777777">
      <w:pPr>
        <w:rPr>
          <w:rFonts w:eastAsia="Arial"/>
          <w:color w:val="000000"/>
        </w:rPr>
      </w:pPr>
      <w:r>
        <w:rPr>
          <w:rFonts w:eastAsia="Arial"/>
          <w:color w:val="000000"/>
        </w:rPr>
        <w:t xml:space="preserve"> </w:t>
      </w:r>
    </w:p>
    <w:p w:rsidR="006E6D7A" w:rsidRDefault="00B16C64" w14:paraId="67157376" w14:textId="77777777">
      <w:r>
        <w:t>Le non-respect des seuils et objectifs des indicateurs peut entraîner l’application des pénalités prévues au présent accord-cadre.</w:t>
      </w:r>
    </w:p>
    <w:p w:rsidR="006E6D7A" w:rsidRDefault="006E6D7A" w14:paraId="67157377" w14:textId="77777777"/>
    <w:p w:rsidR="006E6D7A" w:rsidRDefault="00B16C64" w14:paraId="67157378" w14:textId="77777777">
      <w:pPr>
        <w:pStyle w:val="Titre1"/>
      </w:pPr>
      <w:bookmarkStart w:name="_Toc221095551" w:id="129"/>
      <w:r>
        <w:lastRenderedPageBreak/>
        <w:t>Description des prestations / services</w:t>
      </w:r>
      <w:bookmarkEnd w:id="129"/>
      <w:r>
        <w:t xml:space="preserve"> </w:t>
      </w:r>
    </w:p>
    <w:p w:rsidR="006E6D7A" w:rsidRDefault="00B16C64" w14:paraId="67157379" w14:textId="77777777">
      <w:pPr>
        <w:pStyle w:val="Titre2"/>
      </w:pPr>
      <w:bookmarkStart w:name="_L1" w:id="130"/>
      <w:bookmarkStart w:name="_PRESTATION3" w:id="131"/>
      <w:bookmarkStart w:name="_Toc221095552" w:id="132"/>
      <w:bookmarkEnd w:id="130"/>
      <w:bookmarkEnd w:id="131"/>
      <w:r>
        <w:t>Description générale des prestations</w:t>
      </w:r>
      <w:bookmarkEnd w:id="132"/>
    </w:p>
    <w:p w:rsidR="006E6D7A" w:rsidRDefault="00B16C64" w14:paraId="6715737A" w14:textId="77777777">
      <w:pPr>
        <w:rPr>
          <w:rFonts w:eastAsia="DejaVu Sans"/>
        </w:rPr>
      </w:pPr>
      <w:r>
        <w:rPr>
          <w:rFonts w:eastAsia="DejaVu Sans"/>
        </w:rPr>
        <w:t xml:space="preserve">Cet accord-cadre a pour objet la fourniture de prestations permettant à INRAE (notamment la DSI) de disposer de compétences en </w:t>
      </w:r>
      <w:proofErr w:type="spellStart"/>
      <w:r>
        <w:rPr>
          <w:rFonts w:eastAsia="DejaVu Sans"/>
        </w:rPr>
        <w:t>DevSecOps</w:t>
      </w:r>
      <w:proofErr w:type="spellEnd"/>
      <w:r>
        <w:rPr>
          <w:rFonts w:eastAsia="DejaVu Sans"/>
        </w:rPr>
        <w:t xml:space="preserve"> (lot 1</w:t>
      </w:r>
      <w:proofErr w:type="gramStart"/>
      <w:r>
        <w:rPr>
          <w:rFonts w:eastAsia="DejaVu Sans"/>
        </w:rPr>
        <w:t>) ,</w:t>
      </w:r>
      <w:proofErr w:type="gramEnd"/>
      <w:r>
        <w:rPr>
          <w:rFonts w:eastAsia="DejaVu Sans"/>
        </w:rPr>
        <w:t xml:space="preserve"> afin de pouvoir garantir l’exploitation de ses offres de service (lot 2) ou de permettre à la DSI de proposer des plateformes </w:t>
      </w:r>
      <w:proofErr w:type="spellStart"/>
      <w:r>
        <w:rPr>
          <w:rFonts w:eastAsia="DejaVu Sans"/>
        </w:rPr>
        <w:t>kubernetes</w:t>
      </w:r>
      <w:proofErr w:type="spellEnd"/>
      <w:r>
        <w:rPr>
          <w:rFonts w:eastAsia="DejaVu Sans"/>
        </w:rPr>
        <w:t xml:space="preserve"> à la demande (lot 3).</w:t>
      </w:r>
    </w:p>
    <w:p w:rsidR="006E6D7A" w:rsidRDefault="00B16C64" w14:paraId="6715737B" w14:textId="77777777">
      <w:pPr>
        <w:rPr>
          <w:rFonts w:eastAsia="DejaVu Sans"/>
        </w:rPr>
      </w:pPr>
      <w:r>
        <w:rPr>
          <w:rFonts w:eastAsia="DejaVu Sans"/>
        </w:rPr>
        <w:t xml:space="preserve">Pour cet accord-cadre, INRAE souhaite se doter d’un mode de gestion flexible permettant d’assurer l’ensemble des prestations. </w:t>
      </w:r>
    </w:p>
    <w:p w:rsidR="006E6D7A" w:rsidRDefault="00B16C64" w14:paraId="6715737C" w14:textId="77777777">
      <w:pPr>
        <w:rPr>
          <w:rFonts w:eastAsia="DejaVu Sans"/>
        </w:rPr>
      </w:pPr>
      <w:r>
        <w:rPr>
          <w:rFonts w:eastAsia="DejaVu Sans"/>
        </w:rPr>
        <w:t>Chacun des lots est indépendant, un soumissionnaire peut donc candidater uniquement à un des lots.</w:t>
      </w:r>
    </w:p>
    <w:p w:rsidR="006E6D7A" w:rsidRDefault="00B16C64" w14:paraId="6715737D" w14:textId="77777777">
      <w:pPr>
        <w:rPr>
          <w:rFonts w:eastAsia="DejaVu Sans"/>
        </w:rPr>
      </w:pPr>
      <w:r>
        <w:rPr>
          <w:rFonts w:eastAsia="DejaVu Sans"/>
        </w:rPr>
        <w:t>Celles-ci sont donc formalisées selon les demandes :</w:t>
      </w:r>
    </w:p>
    <w:p w:rsidR="006E6D7A" w:rsidRDefault="00B16C64" w14:paraId="6715737E" w14:textId="77777777">
      <w:pPr>
        <w:pStyle w:val="Paragraphedeliste"/>
        <w:numPr>
          <w:ilvl w:val="0"/>
          <w:numId w:val="124"/>
        </w:numPr>
        <w:rPr>
          <w:rFonts w:eastAsia="DejaVu Sans"/>
        </w:rPr>
      </w:pPr>
      <w:proofErr w:type="gramStart"/>
      <w:r>
        <w:rPr>
          <w:rFonts w:eastAsia="DejaVu Sans"/>
        </w:rPr>
        <w:t>par</w:t>
      </w:r>
      <w:proofErr w:type="gramEnd"/>
      <w:r>
        <w:rPr>
          <w:rFonts w:eastAsia="DejaVu Sans"/>
        </w:rPr>
        <w:t xml:space="preserve"> le biais d’Unités d’œuvre (UO) à bons de commande. Une prestation est chiffrée par le titulaire via les UO du bordereau des prix du marché, la commande par INRAE du devis correspondant forfaitise le prix et l’engagement de résultat de la prestation.</w:t>
      </w:r>
    </w:p>
    <w:p w:rsidR="006E6D7A" w:rsidRDefault="00B16C64" w14:paraId="6715737F" w14:textId="77777777">
      <w:pPr>
        <w:pStyle w:val="Paragraphedeliste"/>
        <w:numPr>
          <w:ilvl w:val="0"/>
          <w:numId w:val="124"/>
        </w:numPr>
        <w:rPr>
          <w:rFonts w:eastAsia="DejaVu Sans"/>
        </w:rPr>
      </w:pPr>
      <w:r>
        <w:rPr>
          <w:rFonts w:eastAsia="DejaVu Sans"/>
        </w:rPr>
        <w:t>Par le biais d’un forfait pour certaines prestations.</w:t>
      </w:r>
    </w:p>
    <w:p w:rsidR="006E6D7A" w:rsidRDefault="00B16C64" w14:paraId="67157380" w14:textId="77777777">
      <w:pPr>
        <w:rPr>
          <w:rFonts w:eastAsia="DejaVu Sans"/>
        </w:rPr>
      </w:pPr>
      <w:bookmarkStart w:name="_Hlk121905294" w:id="133"/>
      <w:r>
        <w:rPr>
          <w:rFonts w:eastAsia="DejaVu Sans"/>
        </w:rPr>
        <w:t>Les prestations sont décrites selon le prisme du besoin DSI, mais celles-ci pourraient subir des modifications non-substantielles, ou être complétées de nouvelles prestations non prévues dans l’accord cadre dans le cadre de projet d’autres directions ou unités INRAE qui feraient l’objet de marchés subséquents</w:t>
      </w:r>
      <w:bookmarkEnd w:id="133"/>
      <w:r>
        <w:rPr>
          <w:rFonts w:eastAsia="DejaVu Sans"/>
        </w:rPr>
        <w:t>.</w:t>
      </w:r>
    </w:p>
    <w:p w:rsidR="006E6D7A" w:rsidRDefault="00B16C64" w14:paraId="67157381" w14:textId="77777777">
      <w:pPr>
        <w:pStyle w:val="Titre3"/>
        <w:numPr>
          <w:ilvl w:val="3"/>
          <w:numId w:val="3"/>
        </w:numPr>
      </w:pPr>
      <w:bookmarkStart w:name="_Toc221095553" w:id="134"/>
      <w:r>
        <w:t>Les Unités d’Œuvre</w:t>
      </w:r>
      <w:bookmarkEnd w:id="134"/>
    </w:p>
    <w:p w:rsidR="006E6D7A" w:rsidRDefault="00B16C64" w14:paraId="67157382" w14:textId="77777777">
      <w:pPr>
        <w:rPr>
          <w:rFonts w:eastAsia="DejaVu Sans"/>
        </w:rPr>
      </w:pPr>
      <w:r>
        <w:rPr>
          <w:rFonts w:eastAsia="DejaVu Sans"/>
        </w:rPr>
        <w:t xml:space="preserve">Les UO sont de quatre types : </w:t>
      </w:r>
    </w:p>
    <w:p w:rsidR="006E6D7A" w:rsidRDefault="00B16C64" w14:paraId="67157383" w14:textId="77777777">
      <w:pPr>
        <w:pStyle w:val="Puce1"/>
      </w:pPr>
      <w:r>
        <w:t xml:space="preserve">Organisation  </w:t>
      </w:r>
    </w:p>
    <w:p w:rsidR="006E6D7A" w:rsidRDefault="00B16C64" w14:paraId="67157384" w14:textId="77777777">
      <w:pPr>
        <w:pStyle w:val="Puce1"/>
      </w:pPr>
      <w:proofErr w:type="spellStart"/>
      <w:r>
        <w:t>DevSecOps</w:t>
      </w:r>
      <w:proofErr w:type="spellEnd"/>
    </w:p>
    <w:p w:rsidR="006E6D7A" w:rsidRDefault="00B16C64" w14:paraId="67157385" w14:textId="77777777">
      <w:pPr>
        <w:pStyle w:val="Puce1"/>
      </w:pPr>
      <w:r>
        <w:t>Exploitation &amp; administration &amp; support</w:t>
      </w:r>
    </w:p>
    <w:p w:rsidR="006E6D7A" w:rsidRDefault="00B16C64" w14:paraId="67157386" w14:textId="77777777">
      <w:pPr>
        <w:pStyle w:val="Puce1"/>
      </w:pPr>
      <w:r>
        <w:t xml:space="preserve">Usine à plateformes </w:t>
      </w:r>
      <w:proofErr w:type="spellStart"/>
      <w:r>
        <w:t>kubernetes</w:t>
      </w:r>
      <w:proofErr w:type="spellEnd"/>
    </w:p>
    <w:p w:rsidR="006E6D7A" w:rsidRDefault="00B16C64" w14:paraId="67157387" w14:textId="77777777">
      <w:r>
        <w:t>INRAE considère les niveaux d’expertise suivants :</w:t>
      </w:r>
    </w:p>
    <w:p w:rsidR="006E6D7A" w:rsidRDefault="00B16C64" w14:paraId="67157388" w14:textId="77777777">
      <w:pPr>
        <w:pStyle w:val="Puce1"/>
      </w:pPr>
      <w:r>
        <w:t>Expert (Leader) : un senior qui dispose de capacité de leadership et d’empathie</w:t>
      </w:r>
    </w:p>
    <w:p w:rsidR="006E6D7A" w:rsidRDefault="00B16C64" w14:paraId="67157389" w14:textId="77777777">
      <w:pPr>
        <w:pStyle w:val="Puce1"/>
      </w:pPr>
      <w:r>
        <w:t xml:space="preserve">Senior : &gt; 7 ans dans le périmètre, autonome sur ses activités  </w:t>
      </w:r>
    </w:p>
    <w:p w:rsidR="006E6D7A" w:rsidRDefault="00B16C64" w14:paraId="6715738A" w14:textId="77777777">
      <w:pPr>
        <w:pStyle w:val="Puce1"/>
      </w:pPr>
      <w:r>
        <w:t>Confirmé : entre 3 et 7 ans dans le périmètre concerné, autonome sur ses activités.</w:t>
      </w:r>
    </w:p>
    <w:p w:rsidR="006E6D7A" w:rsidRDefault="00B16C64" w14:paraId="6715738B" w14:textId="77777777">
      <w:pPr>
        <w:pStyle w:val="Puce1"/>
      </w:pPr>
      <w:r>
        <w:t>Junior : &lt; 3 ans révolus sur le périmètre concerné</w:t>
      </w:r>
    </w:p>
    <w:p w:rsidR="006E6D7A" w:rsidRDefault="006E6D7A" w14:paraId="6715738C" w14:textId="77777777"/>
    <w:p w:rsidR="006E6D7A" w:rsidRDefault="00B16C64" w14:paraId="6715738D" w14:textId="77777777">
      <w:r>
        <w:t>Exemple :</w:t>
      </w:r>
    </w:p>
    <w:tbl>
      <w:tblPr>
        <w:tblStyle w:val="Grilledutableau"/>
        <w:tblW w:w="0" w:type="auto"/>
        <w:tblLayout w:type="fixed"/>
        <w:tblLook w:val="04A0" w:firstRow="1" w:lastRow="0" w:firstColumn="1" w:lastColumn="0" w:noHBand="0" w:noVBand="1"/>
      </w:tblPr>
      <w:tblGrid>
        <w:gridCol w:w="2126"/>
        <w:gridCol w:w="7512"/>
      </w:tblGrid>
      <w:tr w:rsidR="006E6D7A" w14:paraId="67157390" w14:textId="77777777">
        <w:tc>
          <w:tcPr>
            <w:tcW w:w="2126" w:type="dxa"/>
          </w:tcPr>
          <w:p w:rsidR="006E6D7A" w:rsidRDefault="00B16C64" w14:paraId="6715738E" w14:textId="77777777">
            <w:pPr>
              <w:rPr>
                <w:b/>
                <w:bCs/>
                <w:color w:val="1361FF" w:themeColor="text2" w:themeTint="99"/>
              </w:rPr>
            </w:pPr>
            <w:proofErr w:type="spellStart"/>
            <w:r>
              <w:rPr>
                <w:b/>
                <w:bCs/>
                <w:color w:val="1361FF" w:themeColor="text2" w:themeTint="99"/>
              </w:rPr>
              <w:t>DevSecOps</w:t>
            </w:r>
            <w:proofErr w:type="spellEnd"/>
          </w:p>
        </w:tc>
        <w:tc>
          <w:tcPr>
            <w:tcW w:w="7512" w:type="dxa"/>
          </w:tcPr>
          <w:p w:rsidR="006E6D7A" w:rsidRDefault="00B16C64" w14:paraId="6715738F" w14:textId="77777777">
            <w:pPr>
              <w:rPr>
                <w:b/>
                <w:bCs/>
                <w:color w:val="1361FF" w:themeColor="text2" w:themeTint="99"/>
              </w:rPr>
            </w:pPr>
            <w:r>
              <w:rPr>
                <w:b/>
                <w:bCs/>
                <w:color w:val="1361FF" w:themeColor="text2" w:themeTint="99"/>
              </w:rPr>
              <w:t>Capacité</w:t>
            </w:r>
          </w:p>
        </w:tc>
      </w:tr>
      <w:tr w:rsidR="006E6D7A" w14:paraId="67157393" w14:textId="77777777">
        <w:tc>
          <w:tcPr>
            <w:tcW w:w="2126" w:type="dxa"/>
          </w:tcPr>
          <w:p w:rsidR="006E6D7A" w:rsidRDefault="00B16C64" w14:paraId="67157391" w14:textId="77777777">
            <w:r>
              <w:t>Junior</w:t>
            </w:r>
          </w:p>
        </w:tc>
        <w:tc>
          <w:tcPr>
            <w:tcW w:w="7512" w:type="dxa"/>
          </w:tcPr>
          <w:p w:rsidR="006E6D7A" w:rsidRDefault="00B16C64" w14:paraId="67157392" w14:textId="77777777">
            <w:r>
              <w:t xml:space="preserve">Formation théorique sur </w:t>
            </w:r>
            <w:proofErr w:type="spellStart"/>
            <w:r>
              <w:t>devops</w:t>
            </w:r>
            <w:proofErr w:type="spellEnd"/>
            <w:r>
              <w:t xml:space="preserve"> / Des connaissances sur des outils fondamentaux / Peu autonome</w:t>
            </w:r>
          </w:p>
        </w:tc>
      </w:tr>
      <w:tr w:rsidR="006E6D7A" w14:paraId="67157396" w14:textId="77777777">
        <w:tc>
          <w:tcPr>
            <w:tcW w:w="2126" w:type="dxa"/>
          </w:tcPr>
          <w:p w:rsidR="006E6D7A" w:rsidRDefault="00B16C64" w14:paraId="67157394" w14:textId="77777777">
            <w:r>
              <w:t>Confirmé</w:t>
            </w:r>
          </w:p>
        </w:tc>
        <w:tc>
          <w:tcPr>
            <w:tcW w:w="7512" w:type="dxa"/>
          </w:tcPr>
          <w:p w:rsidR="006E6D7A" w:rsidRDefault="00B16C64" w14:paraId="67157395" w14:textId="77777777">
            <w:r>
              <w:t>Niveau Junior + Autonome / Maitrise des outils et concepts fondamentaux (</w:t>
            </w:r>
            <w:proofErr w:type="spellStart"/>
            <w:r>
              <w:t>Gitlab</w:t>
            </w:r>
            <w:proofErr w:type="spellEnd"/>
            <w:r>
              <w:t xml:space="preserve">, CI/CD, Conteneurisation, Docker...) / Connaissance en développements notamment langages de scripts </w:t>
            </w:r>
          </w:p>
        </w:tc>
      </w:tr>
      <w:tr w:rsidR="006E6D7A" w14:paraId="67157399" w14:textId="77777777">
        <w:tc>
          <w:tcPr>
            <w:tcW w:w="2126" w:type="dxa"/>
          </w:tcPr>
          <w:p w:rsidR="006E6D7A" w:rsidRDefault="00B16C64" w14:paraId="67157397" w14:textId="77777777">
            <w:r>
              <w:t>Senior</w:t>
            </w:r>
          </w:p>
        </w:tc>
        <w:tc>
          <w:tcPr>
            <w:tcW w:w="7512" w:type="dxa"/>
          </w:tcPr>
          <w:p w:rsidR="006E6D7A" w:rsidRDefault="00B16C64" w14:paraId="67157398" w14:textId="77777777">
            <w:r>
              <w:t xml:space="preserve">Niveau Confirmé + Expérience dans l’administration système + Modélisation d’infrastructure (ex </w:t>
            </w:r>
            <w:proofErr w:type="spellStart"/>
            <w:r>
              <w:t>Terraform</w:t>
            </w:r>
            <w:proofErr w:type="spellEnd"/>
            <w:r>
              <w:t>) + Expertise dans les outils</w:t>
            </w:r>
          </w:p>
        </w:tc>
      </w:tr>
      <w:tr w:rsidR="006E6D7A" w14:paraId="6715739C" w14:textId="77777777">
        <w:tc>
          <w:tcPr>
            <w:tcW w:w="2126" w:type="dxa"/>
          </w:tcPr>
          <w:p w:rsidR="006E6D7A" w:rsidRDefault="00B16C64" w14:paraId="6715739A" w14:textId="77777777">
            <w:r>
              <w:t>Expert</w:t>
            </w:r>
          </w:p>
        </w:tc>
        <w:tc>
          <w:tcPr>
            <w:tcW w:w="7512" w:type="dxa"/>
          </w:tcPr>
          <w:p w:rsidR="006E6D7A" w:rsidRDefault="00B16C64" w14:paraId="6715739B" w14:textId="77777777">
            <w:r>
              <w:t xml:space="preserve">Niveau sénior + Connaît des modèles </w:t>
            </w:r>
            <w:proofErr w:type="spellStart"/>
            <w:r>
              <w:t>DevSecOps</w:t>
            </w:r>
            <w:proofErr w:type="spellEnd"/>
            <w:r>
              <w:t xml:space="preserve"> (Gartner </w:t>
            </w:r>
            <w:proofErr w:type="spellStart"/>
            <w:r>
              <w:t>DevSecOps</w:t>
            </w:r>
            <w:proofErr w:type="spellEnd"/>
            <w:r>
              <w:t xml:space="preserve">, </w:t>
            </w:r>
            <w:proofErr w:type="spellStart"/>
            <w:r>
              <w:t>SonaType</w:t>
            </w:r>
            <w:proofErr w:type="spellEnd"/>
            <w:r>
              <w:t xml:space="preserve">, </w:t>
            </w:r>
            <w:proofErr w:type="spellStart"/>
            <w:r>
              <w:t>Bsimm</w:t>
            </w:r>
            <w:proofErr w:type="spellEnd"/>
            <w:proofErr w:type="gramStart"/>
            <w:r>
              <w:t xml:space="preserve"> ..</w:t>
            </w:r>
            <w:proofErr w:type="gramEnd"/>
            <w:r>
              <w:t xml:space="preserve">) et sait lesquels choisir pour l’établissement / Maîtrise les outils DevOps </w:t>
            </w:r>
            <w:r>
              <w:lastRenderedPageBreak/>
              <w:t xml:space="preserve">(du dev à l’infra)/ Maîtrise  la gestion des configurations (ex Ansible) / Capable de gérer l’approche CI/CD de l’établissement / Conçoit les écosystèmes informatiques / Compétences Soft </w:t>
            </w:r>
            <w:proofErr w:type="spellStart"/>
            <w:r>
              <w:t>skills</w:t>
            </w:r>
            <w:proofErr w:type="spellEnd"/>
            <w:r>
              <w:t xml:space="preserve"> avérées dans de multiples contextes /  </w:t>
            </w:r>
          </w:p>
        </w:tc>
      </w:tr>
    </w:tbl>
    <w:p w:rsidR="006E6D7A" w:rsidRDefault="006E6D7A" w14:paraId="6715739D" w14:textId="77777777"/>
    <w:p w:rsidR="006E6D7A" w:rsidRDefault="006E6D7A" w14:paraId="6715739E" w14:textId="77777777"/>
    <w:p w:rsidR="006E6D7A" w:rsidRDefault="006E6D7A" w14:paraId="6715739F" w14:textId="77777777"/>
    <w:tbl>
      <w:tblPr>
        <w:tblW w:w="9629" w:type="dxa"/>
        <w:tblLayout w:type="fixed"/>
        <w:tblCellMar>
          <w:left w:w="70" w:type="dxa"/>
          <w:right w:w="70" w:type="dxa"/>
        </w:tblCellMar>
        <w:tblLook w:val="04A0" w:firstRow="1" w:lastRow="0" w:firstColumn="1" w:lastColumn="0" w:noHBand="0" w:noVBand="1"/>
      </w:tblPr>
      <w:tblGrid>
        <w:gridCol w:w="2481"/>
        <w:gridCol w:w="45"/>
        <w:gridCol w:w="3398"/>
        <w:gridCol w:w="3705"/>
      </w:tblGrid>
      <w:tr w:rsidR="006E6D7A" w14:paraId="671573A2" w14:textId="77777777">
        <w:trPr>
          <w:trHeight w:val="300"/>
        </w:trPr>
        <w:tc>
          <w:tcPr>
            <w:tcW w:w="2835" w:type="dxa"/>
            <w:gridSpan w:val="2"/>
            <w:tcBorders>
              <w:top w:val="single" w:color="00A3A6" w:sz="8" w:space="0"/>
              <w:left w:val="single" w:color="00A3A6" w:sz="8" w:space="0"/>
              <w:bottom w:val="single" w:color="00A3A6" w:sz="8" w:space="0"/>
              <w:right w:val="single" w:color="00A3A6" w:sz="8" w:space="0"/>
            </w:tcBorders>
            <w:shd w:val="clear" w:color="000000" w:fill="03A3A6"/>
            <w:vAlign w:val="center"/>
          </w:tcPr>
          <w:p w:rsidR="006E6D7A" w:rsidRDefault="00B16C64" w14:paraId="671573A0" w14:textId="77777777">
            <w:pPr>
              <w:spacing w:after="0"/>
              <w:jc w:val="center"/>
              <w:rPr>
                <w:rFonts w:ascii="Calibri" w:hAnsi="Calibri" w:cs="Calibri"/>
                <w:b/>
                <w:bCs/>
                <w:color w:val="FFFFFF"/>
              </w:rPr>
            </w:pPr>
            <w:r>
              <w:rPr>
                <w:rFonts w:cs="Calibri"/>
                <w:b/>
                <w:bCs/>
                <w:color w:val="FFFFFF"/>
              </w:rPr>
              <w:t>Type</w:t>
            </w:r>
          </w:p>
        </w:tc>
        <w:tc>
          <w:tcPr>
            <w:tcW w:w="6794" w:type="dxa"/>
            <w:gridSpan w:val="2"/>
            <w:tcBorders>
              <w:top w:val="single" w:color="00A3A6" w:sz="8" w:space="0"/>
              <w:bottom w:val="single" w:color="00A3A6" w:sz="8" w:space="0"/>
              <w:right w:val="single" w:color="00A3A6" w:sz="8" w:space="0"/>
            </w:tcBorders>
            <w:shd w:val="clear" w:color="000000" w:fill="03A3A6"/>
            <w:vAlign w:val="center"/>
          </w:tcPr>
          <w:p w:rsidR="006E6D7A" w:rsidRDefault="00B16C64" w14:paraId="671573A1" w14:textId="77777777">
            <w:pPr>
              <w:spacing w:after="0"/>
              <w:jc w:val="center"/>
              <w:rPr>
                <w:rFonts w:ascii="Calibri" w:hAnsi="Calibri" w:cs="Calibri"/>
                <w:b/>
                <w:bCs/>
                <w:color w:val="FFFFFF"/>
              </w:rPr>
            </w:pPr>
            <w:r>
              <w:rPr>
                <w:rFonts w:cs="Calibri"/>
                <w:b/>
                <w:bCs/>
                <w:color w:val="FFFFFF"/>
              </w:rPr>
              <w:t>UO</w:t>
            </w:r>
          </w:p>
        </w:tc>
      </w:tr>
      <w:tr w:rsidR="006E6D7A" w14:paraId="671573A5" w14:textId="77777777">
        <w:trPr>
          <w:trHeight w:val="300"/>
        </w:trPr>
        <w:tc>
          <w:tcPr>
            <w:tcW w:w="2835" w:type="dxa"/>
            <w:gridSpan w:val="2"/>
            <w:vMerge w:val="restart"/>
            <w:tcBorders>
              <w:left w:val="single" w:color="00A3A6" w:sz="8" w:space="0"/>
              <w:bottom w:val="single" w:color="00A3A6" w:sz="8" w:space="0"/>
              <w:right w:val="single" w:color="00A3A6" w:sz="8" w:space="0"/>
            </w:tcBorders>
            <w:shd w:val="clear" w:color="auto" w:fill="auto"/>
            <w:vAlign w:val="center"/>
          </w:tcPr>
          <w:p w:rsidR="006E6D7A" w:rsidRDefault="00B16C64" w14:paraId="671573A3" w14:textId="77777777">
            <w:pPr>
              <w:spacing w:after="0"/>
              <w:jc w:val="center"/>
              <w:rPr>
                <w:rFonts w:ascii="Calibri" w:hAnsi="Calibri" w:cs="Calibri"/>
                <w:color w:val="000000"/>
              </w:rPr>
            </w:pPr>
            <w:r>
              <w:rPr>
                <w:rFonts w:cs="Calibri"/>
                <w:color w:val="000000"/>
              </w:rPr>
              <w:t>Organisation (initialisation et réversibilité, pilotage d’autres prestations)</w:t>
            </w:r>
          </w:p>
        </w:tc>
        <w:tc>
          <w:tcPr>
            <w:tcW w:w="6794" w:type="dxa"/>
            <w:gridSpan w:val="2"/>
            <w:tcBorders>
              <w:bottom w:val="single" w:color="00A3A6" w:sz="8" w:space="0"/>
              <w:right w:val="single" w:color="00A3A6" w:sz="8" w:space="0"/>
            </w:tcBorders>
            <w:shd w:val="clear" w:color="auto" w:fill="auto"/>
            <w:vAlign w:val="center"/>
          </w:tcPr>
          <w:p w:rsidR="006E6D7A" w:rsidRDefault="00B16C64" w14:paraId="671573A4" w14:textId="77777777">
            <w:pPr>
              <w:spacing w:after="0"/>
              <w:jc w:val="left"/>
              <w:rPr>
                <w:rFonts w:ascii="Calibri" w:hAnsi="Calibri" w:cs="Calibri"/>
                <w:color w:val="000000"/>
              </w:rPr>
            </w:pPr>
            <w:r>
              <w:rPr>
                <w:rFonts w:cs="Calibri"/>
                <w:color w:val="000000"/>
              </w:rPr>
              <w:t>ORG_DP</w:t>
            </w:r>
          </w:p>
        </w:tc>
      </w:tr>
      <w:tr w:rsidR="006E6D7A" w14:paraId="671573A8" w14:textId="77777777">
        <w:trPr>
          <w:trHeight w:val="300"/>
        </w:trPr>
        <w:tc>
          <w:tcPr>
            <w:tcW w:w="2835" w:type="dxa"/>
            <w:gridSpan w:val="2"/>
            <w:vMerge/>
            <w:tcBorders>
              <w:left w:val="single" w:color="00A3A6" w:sz="8" w:space="0"/>
              <w:bottom w:val="single" w:color="00A3A6" w:sz="8" w:space="0"/>
              <w:right w:val="single" w:color="00A3A6" w:sz="8" w:space="0"/>
            </w:tcBorders>
            <w:vAlign w:val="center"/>
          </w:tcPr>
          <w:p w:rsidR="006E6D7A" w:rsidRDefault="006E6D7A" w14:paraId="671573A6" w14:textId="77777777">
            <w:pPr>
              <w:spacing w:after="0"/>
              <w:jc w:val="left"/>
              <w:rPr>
                <w:rFonts w:ascii="Calibri" w:hAnsi="Calibri" w:cs="Calibri"/>
                <w:color w:val="000000"/>
              </w:rPr>
            </w:pPr>
          </w:p>
        </w:tc>
        <w:tc>
          <w:tcPr>
            <w:tcW w:w="6794" w:type="dxa"/>
            <w:gridSpan w:val="2"/>
            <w:tcBorders>
              <w:bottom w:val="single" w:color="00A3A6" w:sz="8" w:space="0"/>
              <w:right w:val="single" w:color="00A3A6" w:sz="8" w:space="0"/>
            </w:tcBorders>
            <w:shd w:val="clear" w:color="auto" w:fill="auto"/>
            <w:vAlign w:val="center"/>
          </w:tcPr>
          <w:p w:rsidR="006E6D7A" w:rsidRDefault="00B16C64" w14:paraId="671573A7" w14:textId="77777777">
            <w:pPr>
              <w:spacing w:after="0"/>
              <w:jc w:val="left"/>
              <w:rPr>
                <w:rFonts w:ascii="Calibri" w:hAnsi="Calibri" w:cs="Calibri"/>
                <w:color w:val="000000"/>
              </w:rPr>
            </w:pPr>
            <w:proofErr w:type="spellStart"/>
            <w:r>
              <w:rPr>
                <w:rFonts w:cs="Calibri"/>
                <w:color w:val="000000"/>
              </w:rPr>
              <w:t>ORG_CP_Senior</w:t>
            </w:r>
            <w:proofErr w:type="spellEnd"/>
          </w:p>
        </w:tc>
      </w:tr>
      <w:tr w:rsidR="006E6D7A" w14:paraId="671573AB" w14:textId="77777777">
        <w:trPr>
          <w:trHeight w:val="590"/>
        </w:trPr>
        <w:tc>
          <w:tcPr>
            <w:tcW w:w="2835" w:type="dxa"/>
            <w:gridSpan w:val="2"/>
            <w:vMerge/>
            <w:tcBorders>
              <w:left w:val="single" w:color="00A3A6" w:sz="8" w:space="0"/>
              <w:bottom w:val="single" w:color="00A3A6" w:sz="8" w:space="0"/>
              <w:right w:val="single" w:color="00A3A6" w:sz="8" w:space="0"/>
            </w:tcBorders>
            <w:vAlign w:val="center"/>
          </w:tcPr>
          <w:p w:rsidR="006E6D7A" w:rsidRDefault="006E6D7A" w14:paraId="671573A9" w14:textId="77777777">
            <w:pPr>
              <w:spacing w:after="0"/>
              <w:jc w:val="left"/>
              <w:rPr>
                <w:rFonts w:ascii="Calibri" w:hAnsi="Calibri" w:cs="Calibri"/>
                <w:color w:val="000000"/>
              </w:rPr>
            </w:pPr>
          </w:p>
        </w:tc>
        <w:tc>
          <w:tcPr>
            <w:tcW w:w="6794" w:type="dxa"/>
            <w:gridSpan w:val="2"/>
            <w:tcBorders>
              <w:bottom w:val="single" w:color="00A3A6" w:sz="8" w:space="0"/>
              <w:right w:val="single" w:color="00A3A6" w:sz="8" w:space="0"/>
            </w:tcBorders>
            <w:shd w:val="clear" w:color="auto" w:fill="auto"/>
            <w:vAlign w:val="center"/>
          </w:tcPr>
          <w:p w:rsidR="006E6D7A" w:rsidRDefault="00B16C64" w14:paraId="671573AA" w14:textId="77777777">
            <w:pPr>
              <w:spacing w:after="0"/>
              <w:jc w:val="left"/>
              <w:rPr>
                <w:rFonts w:ascii="Calibri" w:hAnsi="Calibri" w:cs="Calibri"/>
                <w:color w:val="000000"/>
              </w:rPr>
            </w:pPr>
            <w:proofErr w:type="spellStart"/>
            <w:r>
              <w:rPr>
                <w:rFonts w:cs="Calibri"/>
                <w:color w:val="000000"/>
              </w:rPr>
              <w:t>ORG_CP_Confirmé</w:t>
            </w:r>
            <w:proofErr w:type="spellEnd"/>
          </w:p>
        </w:tc>
      </w:tr>
      <w:tr w:rsidR="006E6D7A" w14:paraId="671573AF" w14:textId="77777777">
        <w:trPr>
          <w:trHeight w:val="590"/>
        </w:trPr>
        <w:tc>
          <w:tcPr>
            <w:tcW w:w="2835" w:type="dxa"/>
            <w:gridSpan w:val="2"/>
            <w:vMerge w:val="restart"/>
            <w:tcBorders>
              <w:left w:val="single" w:color="00A3A6" w:sz="8" w:space="0"/>
              <w:bottom w:val="single" w:color="00A3A6" w:sz="8" w:space="0"/>
              <w:right w:val="single" w:color="00A3A6" w:sz="8" w:space="0"/>
            </w:tcBorders>
            <w:shd w:val="clear" w:color="auto" w:fill="auto"/>
          </w:tcPr>
          <w:p w:rsidR="006E6D7A" w:rsidRDefault="00B16C64" w14:paraId="671573AC" w14:textId="77777777">
            <w:pPr>
              <w:spacing w:after="0"/>
              <w:jc w:val="left"/>
              <w:rPr>
                <w:rFonts w:ascii="Calibri" w:hAnsi="Calibri" w:cs="Calibri"/>
                <w:color w:val="000000"/>
              </w:rPr>
            </w:pPr>
            <w:proofErr w:type="spellStart"/>
            <w:r>
              <w:rPr>
                <w:rFonts w:cs="Calibri"/>
                <w:color w:val="000000"/>
              </w:rPr>
              <w:t>DevSecOps</w:t>
            </w:r>
            <w:proofErr w:type="spellEnd"/>
          </w:p>
          <w:p w:rsidR="006E6D7A" w:rsidRDefault="006E6D7A" w14:paraId="671573AD" w14:textId="77777777">
            <w:pPr>
              <w:spacing w:after="0"/>
              <w:jc w:val="left"/>
              <w:rPr>
                <w:rFonts w:ascii="Calibri" w:hAnsi="Calibri" w:cs="Calibri"/>
                <w:color w:val="000000"/>
              </w:rPr>
            </w:pPr>
          </w:p>
        </w:tc>
        <w:tc>
          <w:tcPr>
            <w:tcW w:w="6794" w:type="dxa"/>
            <w:gridSpan w:val="2"/>
            <w:tcBorders>
              <w:bottom w:val="single" w:color="00A3A6" w:sz="8" w:space="0"/>
              <w:right w:val="single" w:color="00A3A6" w:sz="8" w:space="0"/>
            </w:tcBorders>
            <w:shd w:val="clear" w:color="auto" w:fill="auto"/>
            <w:vAlign w:val="center"/>
          </w:tcPr>
          <w:p w:rsidR="006E6D7A" w:rsidRDefault="00B16C64" w14:paraId="671573AE" w14:textId="77777777">
            <w:pPr>
              <w:spacing w:after="0"/>
              <w:jc w:val="left"/>
              <w:rPr>
                <w:rFonts w:ascii="Calibri" w:hAnsi="Calibri" w:cs="Calibri"/>
                <w:color w:val="000000"/>
              </w:rPr>
            </w:pPr>
            <w:proofErr w:type="spellStart"/>
            <w:r>
              <w:rPr>
                <w:rFonts w:ascii="Calibri" w:hAnsi="Calibri" w:cs="Calibri"/>
                <w:color w:val="000000"/>
              </w:rPr>
              <w:t>DevSecOps_Expert</w:t>
            </w:r>
            <w:proofErr w:type="spellEnd"/>
          </w:p>
        </w:tc>
      </w:tr>
      <w:tr w:rsidR="006E6D7A" w14:paraId="671573B2" w14:textId="77777777">
        <w:trPr>
          <w:trHeight w:val="590"/>
        </w:trPr>
        <w:tc>
          <w:tcPr>
            <w:tcW w:w="2835" w:type="dxa"/>
            <w:gridSpan w:val="2"/>
            <w:vMerge/>
            <w:tcBorders>
              <w:left w:val="single" w:color="00A3A6" w:sz="8" w:space="0"/>
              <w:bottom w:val="single" w:color="00A3A6" w:sz="8" w:space="0"/>
              <w:right w:val="single" w:color="00A3A6" w:sz="8" w:space="0"/>
            </w:tcBorders>
            <w:vAlign w:val="center"/>
          </w:tcPr>
          <w:p w:rsidR="006E6D7A" w:rsidRDefault="006E6D7A" w14:paraId="671573B0" w14:textId="77777777">
            <w:pPr>
              <w:spacing w:after="0"/>
              <w:jc w:val="left"/>
              <w:rPr>
                <w:rFonts w:ascii="Calibri" w:hAnsi="Calibri" w:cs="Calibri"/>
                <w:color w:val="000000"/>
              </w:rPr>
            </w:pPr>
          </w:p>
        </w:tc>
        <w:tc>
          <w:tcPr>
            <w:tcW w:w="6794" w:type="dxa"/>
            <w:gridSpan w:val="2"/>
            <w:vMerge w:val="restart"/>
            <w:tcBorders>
              <w:bottom w:val="single" w:color="00A3A6" w:sz="8" w:space="0"/>
              <w:right w:val="single" w:color="00A3A6" w:sz="8" w:space="0"/>
            </w:tcBorders>
            <w:shd w:val="clear" w:color="FFFFFF" w:fill="FFFFFF"/>
            <w:vAlign w:val="center"/>
          </w:tcPr>
          <w:p w:rsidR="006E6D7A" w:rsidRDefault="00B16C64" w14:paraId="671573B1" w14:textId="77777777">
            <w:pPr>
              <w:spacing w:after="0"/>
              <w:jc w:val="left"/>
              <w:rPr>
                <w:rFonts w:ascii="Calibri" w:hAnsi="Calibri" w:cs="Calibri"/>
                <w:color w:val="000000"/>
              </w:rPr>
            </w:pPr>
            <w:proofErr w:type="spellStart"/>
            <w:r>
              <w:rPr>
                <w:rFonts w:ascii="Calibri" w:hAnsi="Calibri" w:cs="Calibri"/>
                <w:color w:val="000000"/>
              </w:rPr>
              <w:t>DevSecOps_Senior</w:t>
            </w:r>
            <w:proofErr w:type="spellEnd"/>
          </w:p>
        </w:tc>
      </w:tr>
      <w:tr w:rsidR="006E6D7A" w14:paraId="671573B5" w14:textId="77777777">
        <w:trPr>
          <w:trHeight w:val="590"/>
        </w:trPr>
        <w:tc>
          <w:tcPr>
            <w:tcW w:w="2835" w:type="dxa"/>
            <w:gridSpan w:val="2"/>
            <w:vMerge/>
            <w:tcBorders>
              <w:left w:val="single" w:color="00A3A6" w:sz="8" w:space="0"/>
              <w:bottom w:val="single" w:color="00A3A6" w:sz="8" w:space="0"/>
              <w:right w:val="single" w:color="00A3A6" w:sz="8" w:space="0"/>
            </w:tcBorders>
            <w:vAlign w:val="center"/>
          </w:tcPr>
          <w:p w:rsidR="006E6D7A" w:rsidRDefault="006E6D7A" w14:paraId="671573B3" w14:textId="77777777">
            <w:pPr>
              <w:spacing w:after="0"/>
              <w:jc w:val="left"/>
              <w:rPr>
                <w:rFonts w:ascii="Calibri" w:hAnsi="Calibri" w:cs="Calibri"/>
                <w:color w:val="000000"/>
              </w:rPr>
            </w:pPr>
          </w:p>
        </w:tc>
        <w:tc>
          <w:tcPr>
            <w:tcW w:w="6794" w:type="dxa"/>
            <w:gridSpan w:val="2"/>
            <w:vMerge w:val="restart"/>
            <w:tcBorders>
              <w:bottom w:val="single" w:color="00A3A6" w:sz="8" w:space="0"/>
              <w:right w:val="single" w:color="00A3A6" w:sz="8" w:space="0"/>
            </w:tcBorders>
            <w:shd w:val="clear" w:color="FFFFFF" w:fill="FFFFFF"/>
            <w:vAlign w:val="center"/>
          </w:tcPr>
          <w:p w:rsidR="006E6D7A" w:rsidRDefault="00B16C64" w14:paraId="671573B4" w14:textId="77777777">
            <w:pPr>
              <w:spacing w:after="0"/>
              <w:jc w:val="left"/>
              <w:rPr>
                <w:rFonts w:ascii="Calibri" w:hAnsi="Calibri" w:cs="Calibri"/>
                <w:color w:val="000000"/>
              </w:rPr>
            </w:pPr>
            <w:proofErr w:type="spellStart"/>
            <w:r>
              <w:rPr>
                <w:rFonts w:ascii="Calibri" w:hAnsi="Calibri" w:cs="Calibri"/>
                <w:color w:val="000000"/>
              </w:rPr>
              <w:t>DevSecOps_Confirmé</w:t>
            </w:r>
            <w:proofErr w:type="spellEnd"/>
          </w:p>
        </w:tc>
      </w:tr>
      <w:tr w:rsidR="006E6D7A" w14:paraId="671573B8" w14:textId="77777777">
        <w:trPr>
          <w:trHeight w:val="590"/>
        </w:trPr>
        <w:tc>
          <w:tcPr>
            <w:tcW w:w="2835" w:type="dxa"/>
            <w:gridSpan w:val="2"/>
            <w:vMerge/>
            <w:tcBorders>
              <w:left w:val="single" w:color="00A3A6" w:sz="8" w:space="0"/>
              <w:bottom w:val="single" w:color="00A3A6" w:sz="8" w:space="0"/>
              <w:right w:val="single" w:color="00A3A6" w:sz="8" w:space="0"/>
            </w:tcBorders>
            <w:vAlign w:val="center"/>
          </w:tcPr>
          <w:p w:rsidR="006E6D7A" w:rsidRDefault="006E6D7A" w14:paraId="671573B6" w14:textId="77777777"/>
        </w:tc>
        <w:tc>
          <w:tcPr>
            <w:tcW w:w="6794" w:type="dxa"/>
            <w:gridSpan w:val="2"/>
            <w:vMerge w:val="restart"/>
            <w:tcBorders>
              <w:bottom w:val="single" w:color="00A3A6" w:sz="8" w:space="0"/>
              <w:right w:val="single" w:color="00A3A6" w:sz="8" w:space="0"/>
            </w:tcBorders>
            <w:shd w:val="clear" w:color="FFFFFF" w:fill="FFFFFF"/>
            <w:vAlign w:val="center"/>
          </w:tcPr>
          <w:p w:rsidR="006E6D7A" w:rsidRDefault="00B16C64" w14:paraId="671573B7" w14:textId="77777777">
            <w:pPr>
              <w:spacing w:after="0"/>
              <w:jc w:val="left"/>
              <w:rPr>
                <w:rFonts w:ascii="Calibri" w:hAnsi="Calibri" w:cs="Calibri"/>
                <w:color w:val="000000"/>
              </w:rPr>
            </w:pPr>
            <w:proofErr w:type="spellStart"/>
            <w:r>
              <w:rPr>
                <w:rFonts w:ascii="Calibri" w:hAnsi="Calibri" w:cs="Calibri"/>
                <w:color w:val="000000"/>
              </w:rPr>
              <w:t>DevSecOps_Junior</w:t>
            </w:r>
            <w:proofErr w:type="spellEnd"/>
          </w:p>
        </w:tc>
      </w:tr>
      <w:tr w:rsidR="006E6D7A" w14:paraId="671573BC" w14:textId="77777777">
        <w:trPr>
          <w:trHeight w:val="590"/>
        </w:trPr>
        <w:tc>
          <w:tcPr>
            <w:tcW w:w="2835" w:type="dxa"/>
            <w:gridSpan w:val="2"/>
            <w:vMerge w:val="restart"/>
            <w:tcBorders>
              <w:left w:val="single" w:color="00A3A6" w:sz="8" w:space="0"/>
              <w:bottom w:val="single" w:color="00A3A6" w:sz="8" w:space="0"/>
              <w:right w:val="single" w:color="00A3A6" w:sz="8" w:space="0"/>
            </w:tcBorders>
            <w:vAlign w:val="center"/>
          </w:tcPr>
          <w:p w:rsidR="006E6D7A" w:rsidRDefault="00B16C64" w14:paraId="671573B9" w14:textId="77777777">
            <w:pPr>
              <w:spacing w:after="0"/>
              <w:jc w:val="left"/>
              <w:rPr>
                <w:rFonts w:ascii="Calibri" w:hAnsi="Calibri" w:cs="Calibri"/>
                <w:color w:val="000000"/>
              </w:rPr>
            </w:pPr>
            <w:r>
              <w:rPr>
                <w:rFonts w:ascii="Calibri" w:hAnsi="Calibri" w:cs="Calibri"/>
                <w:color w:val="000000"/>
              </w:rPr>
              <w:t>Exploitation, Administration &amp; Support</w:t>
            </w:r>
          </w:p>
          <w:p w:rsidR="006E6D7A" w:rsidRDefault="006E6D7A" w14:paraId="671573BA" w14:textId="77777777">
            <w:pPr>
              <w:spacing w:after="0"/>
              <w:jc w:val="left"/>
              <w:rPr>
                <w:rFonts w:ascii="Calibri" w:hAnsi="Calibri" w:cs="Calibri"/>
                <w:color w:val="000000"/>
              </w:rPr>
            </w:pPr>
          </w:p>
        </w:tc>
        <w:tc>
          <w:tcPr>
            <w:tcW w:w="6794" w:type="dxa"/>
            <w:gridSpan w:val="2"/>
            <w:vMerge w:val="restart"/>
            <w:tcBorders>
              <w:bottom w:val="single" w:color="00A3A6" w:sz="8" w:space="0"/>
              <w:right w:val="single" w:color="00A3A6" w:sz="8" w:space="0"/>
            </w:tcBorders>
            <w:shd w:val="clear" w:color="FFFFFF" w:fill="FFFFFF"/>
            <w:vAlign w:val="center"/>
          </w:tcPr>
          <w:p w:rsidR="006E6D7A" w:rsidRDefault="00B16C64" w14:paraId="671573BB" w14:textId="77777777">
            <w:pPr>
              <w:spacing w:after="0"/>
              <w:jc w:val="left"/>
              <w:rPr>
                <w:rFonts w:ascii="Calibri" w:hAnsi="Calibri" w:cs="Calibri"/>
                <w:color w:val="000000"/>
              </w:rPr>
            </w:pPr>
            <w:proofErr w:type="spellStart"/>
            <w:r>
              <w:rPr>
                <w:rFonts w:ascii="Calibri" w:hAnsi="Calibri" w:cs="Calibri"/>
                <w:color w:val="000000"/>
              </w:rPr>
              <w:t>Exploitant_Expert</w:t>
            </w:r>
            <w:proofErr w:type="spellEnd"/>
          </w:p>
        </w:tc>
      </w:tr>
      <w:tr w:rsidR="006E6D7A" w14:paraId="671573BF" w14:textId="77777777">
        <w:trPr>
          <w:trHeight w:val="590"/>
        </w:trPr>
        <w:tc>
          <w:tcPr>
            <w:tcW w:w="2835" w:type="dxa"/>
            <w:gridSpan w:val="2"/>
            <w:vMerge/>
            <w:tcBorders>
              <w:left w:val="single" w:color="00A3A6" w:sz="8" w:space="0"/>
              <w:bottom w:val="single" w:color="00A3A6" w:sz="8" w:space="0"/>
              <w:right w:val="single" w:color="00A3A6" w:sz="8" w:space="0"/>
            </w:tcBorders>
            <w:vAlign w:val="center"/>
          </w:tcPr>
          <w:p w:rsidR="006E6D7A" w:rsidRDefault="006E6D7A" w14:paraId="671573BD" w14:textId="77777777"/>
        </w:tc>
        <w:tc>
          <w:tcPr>
            <w:tcW w:w="6794" w:type="dxa"/>
            <w:gridSpan w:val="2"/>
            <w:vMerge w:val="restart"/>
            <w:tcBorders>
              <w:bottom w:val="single" w:color="00A3A6" w:sz="8" w:space="0"/>
              <w:right w:val="single" w:color="00A3A6" w:sz="8" w:space="0"/>
            </w:tcBorders>
            <w:shd w:val="clear" w:color="FFFFFF" w:fill="FFFFFF"/>
            <w:vAlign w:val="center"/>
          </w:tcPr>
          <w:p w:rsidR="006E6D7A" w:rsidRDefault="00B16C64" w14:paraId="671573BE" w14:textId="77777777">
            <w:pPr>
              <w:spacing w:after="0"/>
              <w:jc w:val="left"/>
              <w:rPr>
                <w:rFonts w:ascii="Calibri" w:hAnsi="Calibri" w:cs="Calibri"/>
                <w:color w:val="000000"/>
              </w:rPr>
            </w:pPr>
            <w:proofErr w:type="spellStart"/>
            <w:r>
              <w:rPr>
                <w:rFonts w:ascii="Calibri" w:hAnsi="Calibri" w:cs="Calibri"/>
                <w:color w:val="000000"/>
              </w:rPr>
              <w:t>Exploitant_Senior</w:t>
            </w:r>
            <w:proofErr w:type="spellEnd"/>
          </w:p>
        </w:tc>
      </w:tr>
      <w:tr w:rsidR="006E6D7A" w14:paraId="671573C2" w14:textId="77777777">
        <w:trPr>
          <w:trHeight w:val="590"/>
        </w:trPr>
        <w:tc>
          <w:tcPr>
            <w:tcW w:w="2835" w:type="dxa"/>
            <w:gridSpan w:val="2"/>
            <w:vMerge/>
            <w:tcBorders>
              <w:left w:val="single" w:color="00A3A6" w:sz="8" w:space="0"/>
              <w:bottom w:val="single" w:color="00A3A6" w:sz="8" w:space="0"/>
              <w:right w:val="single" w:color="00A3A6" w:sz="8" w:space="0"/>
            </w:tcBorders>
            <w:vAlign w:val="center"/>
          </w:tcPr>
          <w:p w:rsidR="006E6D7A" w:rsidRDefault="006E6D7A" w14:paraId="671573C0" w14:textId="77777777"/>
        </w:tc>
        <w:tc>
          <w:tcPr>
            <w:tcW w:w="6794" w:type="dxa"/>
            <w:gridSpan w:val="2"/>
            <w:vMerge w:val="restart"/>
            <w:tcBorders>
              <w:bottom w:val="single" w:color="00A3A6" w:sz="8" w:space="0"/>
              <w:right w:val="single" w:color="00A3A6" w:sz="8" w:space="0"/>
            </w:tcBorders>
            <w:shd w:val="clear" w:color="FFFFFF" w:fill="FFFFFF"/>
            <w:vAlign w:val="center"/>
          </w:tcPr>
          <w:p w:rsidR="006E6D7A" w:rsidRDefault="00B16C64" w14:paraId="671573C1" w14:textId="77777777">
            <w:pPr>
              <w:spacing w:after="0"/>
              <w:jc w:val="left"/>
              <w:rPr>
                <w:rFonts w:ascii="Calibri" w:hAnsi="Calibri" w:cs="Calibri"/>
                <w:color w:val="000000"/>
              </w:rPr>
            </w:pPr>
            <w:r>
              <w:rPr>
                <w:rFonts w:ascii="Calibri" w:hAnsi="Calibri" w:cs="Calibri"/>
                <w:color w:val="000000"/>
              </w:rPr>
              <w:t>Exploitant Confirmé</w:t>
            </w:r>
          </w:p>
        </w:tc>
      </w:tr>
      <w:tr w:rsidR="006E6D7A" w14:paraId="671573C5" w14:textId="77777777">
        <w:trPr>
          <w:trHeight w:val="590"/>
        </w:trPr>
        <w:tc>
          <w:tcPr>
            <w:tcW w:w="2835" w:type="dxa"/>
            <w:gridSpan w:val="2"/>
            <w:vMerge/>
            <w:tcBorders>
              <w:left w:val="single" w:color="00A3A6" w:sz="8" w:space="0"/>
              <w:bottom w:val="single" w:color="00A3A6" w:sz="8" w:space="0"/>
              <w:right w:val="single" w:color="00A3A6" w:sz="8" w:space="0"/>
            </w:tcBorders>
            <w:vAlign w:val="center"/>
          </w:tcPr>
          <w:p w:rsidR="006E6D7A" w:rsidRDefault="006E6D7A" w14:paraId="671573C3" w14:textId="77777777"/>
        </w:tc>
        <w:tc>
          <w:tcPr>
            <w:tcW w:w="6794" w:type="dxa"/>
            <w:gridSpan w:val="2"/>
            <w:vMerge w:val="restart"/>
            <w:tcBorders>
              <w:bottom w:val="single" w:color="00A3A6" w:sz="8" w:space="0"/>
              <w:right w:val="single" w:color="00A3A6" w:sz="8" w:space="0"/>
            </w:tcBorders>
            <w:shd w:val="clear" w:color="FFFFFF" w:fill="FFFFFF"/>
            <w:vAlign w:val="center"/>
          </w:tcPr>
          <w:p w:rsidR="006E6D7A" w:rsidRDefault="00B16C64" w14:paraId="671573C4" w14:textId="77777777">
            <w:pPr>
              <w:spacing w:after="0"/>
              <w:jc w:val="left"/>
              <w:rPr>
                <w:rFonts w:ascii="Calibri" w:hAnsi="Calibri" w:cs="Calibri"/>
                <w:color w:val="000000"/>
              </w:rPr>
            </w:pPr>
            <w:r>
              <w:rPr>
                <w:rFonts w:ascii="Calibri" w:hAnsi="Calibri" w:cs="Calibri"/>
                <w:color w:val="000000"/>
              </w:rPr>
              <w:t>Exploitant Junior</w:t>
            </w:r>
          </w:p>
        </w:tc>
      </w:tr>
      <w:tr w:rsidR="006E6D7A" w14:paraId="671573C8" w14:textId="77777777">
        <w:trPr>
          <w:gridAfter w:val="1"/>
          <w:wAfter w:w="4181" w:type="dxa"/>
          <w:trHeight w:val="590"/>
        </w:trPr>
        <w:tc>
          <w:tcPr>
            <w:tcW w:w="2785" w:type="dxa"/>
            <w:vMerge w:val="restart"/>
            <w:tcBorders>
              <w:left w:val="single" w:color="00A3A6" w:sz="8" w:space="0"/>
              <w:bottom w:val="single" w:color="00A3A6" w:sz="8" w:space="0"/>
              <w:right w:val="single" w:color="00A3A6" w:sz="8" w:space="0"/>
            </w:tcBorders>
            <w:vAlign w:val="center"/>
          </w:tcPr>
          <w:p w:rsidR="006E6D7A" w:rsidRDefault="00B16C64" w14:paraId="671573C6" w14:textId="77777777">
            <w:pPr>
              <w:spacing w:after="0"/>
              <w:jc w:val="left"/>
              <w:rPr>
                <w:rFonts w:ascii="Calibri" w:hAnsi="Calibri" w:cs="Calibri"/>
                <w:color w:val="000000"/>
              </w:rPr>
            </w:pPr>
            <w:r>
              <w:rPr>
                <w:rFonts w:ascii="Calibri" w:hAnsi="Calibri" w:cs="Calibri"/>
                <w:color w:val="000000"/>
              </w:rPr>
              <w:t xml:space="preserve">Usine à plateformes </w:t>
            </w:r>
            <w:proofErr w:type="spellStart"/>
            <w:r>
              <w:rPr>
                <w:rFonts w:ascii="Calibri" w:hAnsi="Calibri" w:cs="Calibri"/>
                <w:color w:val="000000"/>
              </w:rPr>
              <w:t>kubernetes</w:t>
            </w:r>
            <w:proofErr w:type="spellEnd"/>
          </w:p>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C7" w14:textId="5A4625C8">
            <w:r>
              <w:t>MeP_Usine_</w:t>
            </w:r>
            <w:r w:rsidR="00F60C30">
              <w:t>K8</w:t>
            </w:r>
            <w:r>
              <w:t>S</w:t>
            </w:r>
          </w:p>
        </w:tc>
      </w:tr>
      <w:tr w:rsidR="006E6D7A" w14:paraId="671573CB"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C9"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CA" w14:textId="19835938">
            <w:r>
              <w:t>Support_Exploitation_Usine_</w:t>
            </w:r>
            <w:r w:rsidR="00F60C30">
              <w:t>K8</w:t>
            </w:r>
            <w:r>
              <w:t>S</w:t>
            </w:r>
          </w:p>
        </w:tc>
      </w:tr>
      <w:tr w:rsidR="006E6D7A" w14:paraId="671573CE"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CC"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CD" w14:textId="7AEA67E6">
            <w:r>
              <w:t>Formation_Expl_Usine_</w:t>
            </w:r>
            <w:r w:rsidR="00F60C30">
              <w:t>K8</w:t>
            </w:r>
            <w:r>
              <w:t>S</w:t>
            </w:r>
          </w:p>
        </w:tc>
      </w:tr>
      <w:tr w:rsidR="006E6D7A" w14:paraId="671573D1"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CF"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D0" w14:textId="6DDAB8CF">
            <w:r>
              <w:t>Evol_Simple_Usine_</w:t>
            </w:r>
            <w:r w:rsidR="00F60C30">
              <w:t>K8</w:t>
            </w:r>
            <w:r>
              <w:t>S</w:t>
            </w:r>
          </w:p>
        </w:tc>
      </w:tr>
      <w:tr w:rsidR="006E6D7A" w14:paraId="671573D4"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D2"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D3" w14:textId="01CFD3C2">
            <w:r>
              <w:t>Evol_Complexe_Usine_</w:t>
            </w:r>
            <w:r w:rsidR="00F60C30">
              <w:t>K8</w:t>
            </w:r>
            <w:r>
              <w:t>S</w:t>
            </w:r>
          </w:p>
        </w:tc>
      </w:tr>
      <w:tr w:rsidR="006E6D7A" w14:paraId="671573D7"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D5"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D6" w14:textId="739E292D">
            <w:pPr>
              <w:spacing w:after="0"/>
              <w:jc w:val="left"/>
              <w:rPr>
                <w:rFonts w:ascii="Calibri" w:hAnsi="Calibri" w:cs="Calibri"/>
                <w:color w:val="000000"/>
              </w:rPr>
            </w:pPr>
            <w:r>
              <w:rPr>
                <w:rFonts w:ascii="Calibri" w:hAnsi="Calibri" w:cs="Calibri"/>
                <w:color w:val="000000"/>
              </w:rPr>
              <w:t>Evol_Majeure_Usine_</w:t>
            </w:r>
            <w:r w:rsidR="00F60C30">
              <w:rPr>
                <w:rFonts w:ascii="Calibri" w:hAnsi="Calibri" w:cs="Calibri"/>
                <w:color w:val="000000"/>
              </w:rPr>
              <w:t>K8</w:t>
            </w:r>
            <w:r>
              <w:rPr>
                <w:rFonts w:ascii="Calibri" w:hAnsi="Calibri" w:cs="Calibri"/>
                <w:color w:val="000000"/>
              </w:rPr>
              <w:t>S</w:t>
            </w:r>
          </w:p>
        </w:tc>
      </w:tr>
      <w:tr w:rsidR="006E6D7A" w14:paraId="671573DA"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D8"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D9" w14:textId="77777777">
            <w:pPr>
              <w:spacing w:after="0"/>
              <w:jc w:val="left"/>
              <w:rPr>
                <w:rFonts w:ascii="Calibri" w:hAnsi="Calibri" w:cs="Calibri"/>
                <w:color w:val="000000"/>
              </w:rPr>
            </w:pPr>
            <w:r>
              <w:rPr>
                <w:sz w:val="24"/>
                <w:szCs w:val="24"/>
              </w:rPr>
              <w:t>MCO/MCS Service PAAS simple</w:t>
            </w:r>
          </w:p>
        </w:tc>
      </w:tr>
      <w:tr w:rsidR="006E6D7A" w14:paraId="671573DE"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DB"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DC" w14:textId="77777777">
            <w:pPr>
              <w:spacing w:after="0"/>
              <w:jc w:val="left"/>
              <w:rPr>
                <w:sz w:val="24"/>
                <w:szCs w:val="24"/>
              </w:rPr>
            </w:pPr>
            <w:r>
              <w:rPr>
                <w:sz w:val="24"/>
                <w:szCs w:val="24"/>
              </w:rPr>
              <w:t>MCO/MCS Service PAAS complexe</w:t>
            </w:r>
          </w:p>
          <w:p w:rsidR="006E6D7A" w:rsidRDefault="006E6D7A" w14:paraId="671573DD" w14:textId="77777777">
            <w:pPr>
              <w:spacing w:after="0"/>
              <w:jc w:val="left"/>
              <w:rPr>
                <w:rFonts w:ascii="Calibri" w:hAnsi="Calibri" w:cs="Calibri"/>
                <w:color w:val="000000"/>
              </w:rPr>
            </w:pPr>
          </w:p>
        </w:tc>
      </w:tr>
      <w:tr w:rsidR="006E6D7A" w14:paraId="671573E2"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DF"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E0" w14:textId="77777777">
            <w:pPr>
              <w:spacing w:after="0"/>
              <w:jc w:val="left"/>
              <w:rPr>
                <w:sz w:val="24"/>
                <w:szCs w:val="24"/>
              </w:rPr>
            </w:pPr>
            <w:r>
              <w:rPr>
                <w:sz w:val="24"/>
                <w:szCs w:val="24"/>
              </w:rPr>
              <w:t>MCO/MCS Service PAAS très complexe</w:t>
            </w:r>
          </w:p>
          <w:p w:rsidR="006E6D7A" w:rsidRDefault="006E6D7A" w14:paraId="671573E1" w14:textId="77777777">
            <w:pPr>
              <w:spacing w:after="0"/>
              <w:jc w:val="left"/>
              <w:rPr>
                <w:rFonts w:ascii="Calibri" w:hAnsi="Calibri" w:cs="Calibri"/>
                <w:color w:val="000000"/>
              </w:rPr>
            </w:pPr>
          </w:p>
        </w:tc>
      </w:tr>
      <w:tr w:rsidR="006E6D7A" w14:paraId="671573E5"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E3"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E4" w14:textId="77777777">
            <w:pPr>
              <w:spacing w:after="0"/>
              <w:jc w:val="left"/>
              <w:rPr>
                <w:rFonts w:ascii="Calibri" w:hAnsi="Calibri" w:cs="Calibri"/>
                <w:color w:val="000000"/>
              </w:rPr>
            </w:pPr>
            <w:r>
              <w:rPr>
                <w:rFonts w:ascii="Calibri" w:hAnsi="Calibri" w:cs="Calibri"/>
                <w:color w:val="000000"/>
              </w:rPr>
              <w:t xml:space="preserve"> </w:t>
            </w:r>
            <w:proofErr w:type="gramStart"/>
            <w:r>
              <w:rPr>
                <w:rFonts w:ascii="Calibri" w:hAnsi="Calibri" w:cs="Calibri"/>
                <w:color w:val="000000"/>
              </w:rPr>
              <w:t>transfert</w:t>
            </w:r>
            <w:proofErr w:type="gramEnd"/>
            <w:r>
              <w:rPr>
                <w:rFonts w:ascii="Calibri" w:hAnsi="Calibri" w:cs="Calibri"/>
                <w:color w:val="000000"/>
              </w:rPr>
              <w:t xml:space="preserve"> de compétences sur service PAAS simple</w:t>
            </w:r>
          </w:p>
        </w:tc>
      </w:tr>
      <w:tr w:rsidR="006E6D7A" w14:paraId="671573E8"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E6"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E7" w14:textId="77777777">
            <w:pPr>
              <w:spacing w:after="0"/>
              <w:jc w:val="left"/>
              <w:rPr>
                <w:rFonts w:ascii="Calibri" w:hAnsi="Calibri" w:cs="Calibri"/>
                <w:color w:val="000000"/>
              </w:rPr>
            </w:pPr>
            <w:proofErr w:type="gramStart"/>
            <w:r>
              <w:rPr>
                <w:rFonts w:ascii="Calibri" w:hAnsi="Calibri" w:cs="Calibri"/>
                <w:color w:val="000000"/>
              </w:rPr>
              <w:t>transfert</w:t>
            </w:r>
            <w:proofErr w:type="gramEnd"/>
            <w:r>
              <w:rPr>
                <w:rFonts w:ascii="Calibri" w:hAnsi="Calibri" w:cs="Calibri"/>
                <w:color w:val="000000"/>
              </w:rPr>
              <w:t xml:space="preserve"> de compétences sur service PAAS complexe</w:t>
            </w:r>
          </w:p>
        </w:tc>
      </w:tr>
      <w:tr w:rsidR="006E6D7A" w14:paraId="671573EB" w14:textId="77777777">
        <w:trPr>
          <w:gridAfter w:val="1"/>
          <w:wAfter w:w="4181" w:type="dxa"/>
          <w:trHeight w:val="590"/>
        </w:trPr>
        <w:tc>
          <w:tcPr>
            <w:tcW w:w="1576" w:type="dxa"/>
            <w:vMerge/>
            <w:tcBorders>
              <w:left w:val="single" w:color="00A3A6" w:sz="8" w:space="0"/>
              <w:bottom w:val="single" w:color="00A3A6" w:sz="8" w:space="0"/>
              <w:right w:val="single" w:color="00A3A6" w:sz="8" w:space="0"/>
            </w:tcBorders>
            <w:vAlign w:val="center"/>
          </w:tcPr>
          <w:p w:rsidR="006E6D7A" w:rsidRDefault="006E6D7A" w14:paraId="671573E9" w14:textId="77777777"/>
        </w:tc>
        <w:tc>
          <w:tcPr>
            <w:tcW w:w="3872" w:type="dxa"/>
            <w:gridSpan w:val="2"/>
            <w:vMerge w:val="restart"/>
            <w:tcBorders>
              <w:bottom w:val="single" w:color="00A3A6" w:sz="8" w:space="0"/>
              <w:right w:val="single" w:color="00A3A6" w:sz="8" w:space="0"/>
            </w:tcBorders>
            <w:shd w:val="clear" w:color="FFFFFF" w:fill="FFFFFF"/>
            <w:vAlign w:val="center"/>
          </w:tcPr>
          <w:p w:rsidR="006E6D7A" w:rsidRDefault="00B16C64" w14:paraId="671573EA" w14:textId="77777777">
            <w:pPr>
              <w:spacing w:after="0"/>
              <w:jc w:val="left"/>
              <w:rPr>
                <w:rFonts w:ascii="Calibri" w:hAnsi="Calibri" w:cs="Calibri"/>
                <w:color w:val="000000"/>
              </w:rPr>
            </w:pPr>
            <w:proofErr w:type="gramStart"/>
            <w:r>
              <w:rPr>
                <w:rFonts w:ascii="Calibri" w:hAnsi="Calibri" w:cs="Calibri"/>
                <w:color w:val="000000"/>
              </w:rPr>
              <w:t>transfert</w:t>
            </w:r>
            <w:proofErr w:type="gramEnd"/>
            <w:r>
              <w:rPr>
                <w:rFonts w:ascii="Calibri" w:hAnsi="Calibri" w:cs="Calibri"/>
                <w:color w:val="000000"/>
              </w:rPr>
              <w:t xml:space="preserve"> de compétences sur  service PAAS très complexe</w:t>
            </w:r>
          </w:p>
        </w:tc>
      </w:tr>
    </w:tbl>
    <w:p w:rsidR="006E6D7A" w:rsidRDefault="006E6D7A" w14:paraId="671573EC" w14:textId="77777777"/>
    <w:p w:rsidR="006E6D7A" w:rsidRDefault="006E6D7A" w14:paraId="671573ED" w14:textId="77777777"/>
    <w:p w:rsidR="006E6D7A" w:rsidRDefault="00B16C64" w14:paraId="671573EE" w14:textId="77777777">
      <w:r>
        <w:t>En préalable à toute commande d’INRAE, le titulaire devra émettre un devis chiffré sur la base des unités d’œuvre de l’accord-cadre précisant chacun des types. Une prestation peut faire apparaître des unités d’œuvre de différents types.</w:t>
      </w:r>
    </w:p>
    <w:p w:rsidR="006E6D7A" w:rsidRDefault="00B16C64" w14:paraId="671573EF" w14:textId="77777777">
      <w:pPr>
        <w:pStyle w:val="Titre3"/>
        <w:numPr>
          <w:ilvl w:val="3"/>
          <w:numId w:val="3"/>
        </w:numPr>
      </w:pPr>
      <w:bookmarkStart w:name="_Toc221095554" w:id="135"/>
      <w:r>
        <w:t xml:space="preserve">Éléments </w:t>
      </w:r>
      <w:proofErr w:type="gramStart"/>
      <w:r>
        <w:t>communs  des</w:t>
      </w:r>
      <w:proofErr w:type="gramEnd"/>
      <w:r>
        <w:t xml:space="preserve"> prestations</w:t>
      </w:r>
      <w:bookmarkEnd w:id="135"/>
    </w:p>
    <w:p w:rsidR="006E6D7A" w:rsidRDefault="00B16C64" w14:paraId="671573F0" w14:textId="77777777">
      <w:pPr>
        <w:pStyle w:val="Titre3"/>
        <w:numPr>
          <w:ilvl w:val="4"/>
          <w:numId w:val="3"/>
        </w:numPr>
      </w:pPr>
      <w:bookmarkStart w:name="_Toc221095555" w:id="136"/>
      <w:r>
        <w:t>Explicitation de certains libellés</w:t>
      </w:r>
      <w:bookmarkEnd w:id="136"/>
    </w:p>
    <w:p w:rsidR="006E6D7A" w:rsidRDefault="00B16C64" w14:paraId="671573F1" w14:textId="77777777">
      <w:pPr>
        <w:numPr>
          <w:ilvl w:val="0"/>
          <w:numId w:val="194"/>
        </w:numPr>
        <w:spacing w:before="100" w:beforeAutospacing="1" w:after="100" w:afterAutospacing="1"/>
        <w:jc w:val="left"/>
        <w:rPr>
          <w:rFonts w:cs="Times New Roman"/>
          <w:sz w:val="24"/>
          <w:szCs w:val="24"/>
        </w:rPr>
      </w:pPr>
      <w:r>
        <w:rPr>
          <w:rFonts w:cs="Times New Roman"/>
          <w:b/>
          <w:bCs/>
          <w:sz w:val="24"/>
          <w:szCs w:val="24"/>
        </w:rPr>
        <w:t>Forfait initial</w:t>
      </w:r>
      <w:r>
        <w:rPr>
          <w:rFonts w:cs="Times New Roman"/>
          <w:sz w:val="24"/>
          <w:szCs w:val="24"/>
        </w:rPr>
        <w:t xml:space="preserve"> : Pour le déploiement et la configuration initiale.</w:t>
      </w:r>
    </w:p>
    <w:p w:rsidR="006E6D7A" w:rsidRDefault="00B16C64" w14:paraId="671573F2" w14:textId="77777777">
      <w:pPr>
        <w:numPr>
          <w:ilvl w:val="0"/>
          <w:numId w:val="194"/>
        </w:numPr>
        <w:spacing w:before="100" w:beforeAutospacing="1" w:after="100" w:afterAutospacing="1"/>
        <w:jc w:val="left"/>
        <w:rPr>
          <w:rFonts w:cs="Times New Roman"/>
          <w:sz w:val="24"/>
          <w:szCs w:val="24"/>
        </w:rPr>
      </w:pPr>
      <w:r>
        <w:rPr>
          <w:rFonts w:cs="Times New Roman"/>
          <w:b/>
          <w:bCs/>
          <w:sz w:val="24"/>
          <w:szCs w:val="24"/>
        </w:rPr>
        <w:t>Abonnement mensuel</w:t>
      </w:r>
      <w:r>
        <w:rPr>
          <w:rFonts w:cs="Times New Roman"/>
          <w:sz w:val="24"/>
          <w:szCs w:val="24"/>
        </w:rPr>
        <w:t xml:space="preserve"> </w:t>
      </w:r>
      <w:r>
        <w:rPr>
          <w:rFonts w:cs="Times New Roman"/>
          <w:b/>
          <w:bCs/>
          <w:sz w:val="24"/>
          <w:szCs w:val="24"/>
        </w:rPr>
        <w:t>et annuel</w:t>
      </w:r>
      <w:r>
        <w:rPr>
          <w:rFonts w:cs="Times New Roman"/>
          <w:sz w:val="24"/>
          <w:szCs w:val="24"/>
        </w:rPr>
        <w:t xml:space="preserve"> : Pour la maintenance, le support et les services récurrents.</w:t>
      </w:r>
    </w:p>
    <w:p w:rsidR="006E6D7A" w:rsidRDefault="00B16C64" w14:paraId="671573F3" w14:textId="77777777">
      <w:pPr>
        <w:numPr>
          <w:ilvl w:val="0"/>
          <w:numId w:val="194"/>
        </w:numPr>
        <w:spacing w:before="100" w:beforeAutospacing="1" w:after="100" w:afterAutospacing="1"/>
        <w:jc w:val="left"/>
        <w:rPr>
          <w:rFonts w:cs="Times New Roman"/>
          <w:sz w:val="24"/>
          <w:szCs w:val="24"/>
        </w:rPr>
      </w:pPr>
      <w:r>
        <w:rPr>
          <w:rFonts w:cs="Times New Roman"/>
          <w:b/>
          <w:bCs/>
          <w:sz w:val="24"/>
          <w:szCs w:val="24"/>
        </w:rPr>
        <w:t>Forfait par projet/session/jour</w:t>
      </w:r>
      <w:r>
        <w:rPr>
          <w:rFonts w:cs="Times New Roman"/>
          <w:sz w:val="24"/>
          <w:szCs w:val="24"/>
        </w:rPr>
        <w:t xml:space="preserve"> : Pour les accompagnements ponctuels </w:t>
      </w:r>
    </w:p>
    <w:p w:rsidR="006E6D7A" w:rsidRDefault="00B16C64" w14:paraId="671573F4" w14:textId="77777777">
      <w:pPr>
        <w:numPr>
          <w:ilvl w:val="0"/>
          <w:numId w:val="194"/>
        </w:numPr>
        <w:spacing w:before="100" w:beforeAutospacing="1" w:after="100" w:afterAutospacing="1"/>
        <w:jc w:val="left"/>
        <w:rPr>
          <w:rFonts w:cs="Times New Roman"/>
          <w:sz w:val="24"/>
          <w:szCs w:val="24"/>
        </w:rPr>
      </w:pPr>
      <w:r>
        <w:rPr>
          <w:rFonts w:cs="Times New Roman"/>
          <w:b/>
          <w:bCs/>
          <w:sz w:val="24"/>
          <w:szCs w:val="24"/>
        </w:rPr>
        <w:t>Heures Non Ouvrées</w:t>
      </w:r>
      <w:r>
        <w:rPr>
          <w:rFonts w:cs="Times New Roman"/>
          <w:sz w:val="24"/>
          <w:szCs w:val="24"/>
        </w:rPr>
        <w:t xml:space="preserve"> : </w:t>
      </w:r>
      <w:r>
        <w:rPr>
          <w:lang w:eastAsia="en-US"/>
        </w:rPr>
        <w:t xml:space="preserve">Sont considérées comme Heures Non Ouvrées les plages horaires de </w:t>
      </w:r>
      <w:commentRangeStart w:id="137"/>
      <w:r>
        <w:rPr>
          <w:lang w:eastAsia="en-US"/>
        </w:rPr>
        <w:t>19h00 à 08h00</w:t>
      </w:r>
      <w:commentRangeEnd w:id="137"/>
      <w:r>
        <w:commentReference w:id="137"/>
      </w:r>
      <w:r>
        <w:rPr>
          <w:lang w:eastAsia="en-US"/>
        </w:rPr>
        <w:t xml:space="preserve"> du lundi au vendredi ainsi que les week-end et jours fériés.</w:t>
      </w:r>
    </w:p>
    <w:p w:rsidR="006E6D7A" w:rsidRDefault="006E6D7A" w14:paraId="671573F5" w14:textId="77777777">
      <w:pPr>
        <w:numPr>
          <w:ilvl w:val="0"/>
          <w:numId w:val="194"/>
        </w:numPr>
        <w:spacing w:before="100" w:beforeAutospacing="1" w:after="100" w:afterAutospacing="1"/>
        <w:jc w:val="left"/>
        <w:rPr>
          <w:rFonts w:cs="Times New Roman"/>
          <w:sz w:val="24"/>
          <w:szCs w:val="24"/>
        </w:rPr>
      </w:pPr>
    </w:p>
    <w:p w:rsidR="006E6D7A" w:rsidRDefault="00B16C64" w14:paraId="671573F6" w14:textId="77777777">
      <w:pPr>
        <w:pStyle w:val="Titre3"/>
        <w:numPr>
          <w:ilvl w:val="4"/>
          <w:numId w:val="3"/>
        </w:numPr>
      </w:pPr>
      <w:bookmarkStart w:name="_Toc221095556" w:id="138"/>
      <w:r>
        <w:t>Remarques</w:t>
      </w:r>
      <w:bookmarkEnd w:id="138"/>
    </w:p>
    <w:p w:rsidR="006E6D7A" w:rsidRDefault="00B16C64" w14:paraId="671573F7" w14:textId="77777777">
      <w:pPr>
        <w:numPr>
          <w:ilvl w:val="0"/>
          <w:numId w:val="195"/>
        </w:numPr>
        <w:spacing w:before="100" w:beforeAutospacing="1" w:after="100" w:afterAutospacing="1"/>
        <w:jc w:val="left"/>
        <w:rPr>
          <w:rFonts w:cs="Times New Roman"/>
          <w:sz w:val="24"/>
          <w:szCs w:val="24"/>
        </w:rPr>
      </w:pPr>
      <w:r>
        <w:rPr>
          <w:rFonts w:cs="Times New Roman"/>
          <w:sz w:val="24"/>
          <w:szCs w:val="24"/>
        </w:rPr>
        <w:t>Les UO peuvent être combinées selon les besoins du client.</w:t>
      </w:r>
    </w:p>
    <w:p w:rsidR="006E6D7A" w:rsidRDefault="00B16C64" w14:paraId="671573F8" w14:textId="77777777">
      <w:pPr>
        <w:numPr>
          <w:ilvl w:val="0"/>
          <w:numId w:val="195"/>
        </w:numPr>
        <w:spacing w:before="100" w:beforeAutospacing="1" w:after="100" w:afterAutospacing="1"/>
        <w:jc w:val="left"/>
        <w:rPr>
          <w:rFonts w:eastAsia="DejaVu Sans"/>
        </w:rPr>
      </w:pPr>
      <w:r>
        <w:rPr>
          <w:rFonts w:cs="Times New Roman"/>
          <w:sz w:val="24"/>
          <w:szCs w:val="24"/>
        </w:rPr>
        <w:t>Les SLA et engagements de disponibilité s’appliquent à toutes les UO concernées.</w:t>
      </w:r>
    </w:p>
    <w:p w:rsidR="006E6D7A" w:rsidRDefault="00B16C64" w14:paraId="671573F9" w14:textId="77777777">
      <w:pPr>
        <w:pStyle w:val="Titre3"/>
        <w:numPr>
          <w:ilvl w:val="4"/>
          <w:numId w:val="3"/>
        </w:numPr>
      </w:pPr>
      <w:bookmarkStart w:name="_Toc221095557" w:id="139"/>
      <w:r>
        <w:t>Création de comptes</w:t>
      </w:r>
      <w:bookmarkEnd w:id="139"/>
    </w:p>
    <w:p w:rsidR="006E6D7A" w:rsidRDefault="00B16C64" w14:paraId="671573FA" w14:textId="77777777">
      <w:pPr>
        <w:pStyle w:val="Paragraphedeliste"/>
        <w:numPr>
          <w:ilvl w:val="0"/>
          <w:numId w:val="244"/>
        </w:numPr>
        <w:spacing w:before="100" w:beforeAutospacing="1" w:after="100" w:afterAutospacing="1"/>
        <w:jc w:val="left"/>
        <w:rPr>
          <w:rFonts w:cs="Times New Roman"/>
          <w:strike/>
          <w:sz w:val="24"/>
          <w:szCs w:val="24"/>
        </w:rPr>
      </w:pPr>
      <w:r>
        <w:rPr>
          <w:rFonts w:cs="Times New Roman"/>
          <w:sz w:val="24"/>
          <w:szCs w:val="24"/>
        </w:rPr>
        <w:t xml:space="preserve">Fournira les informations nécessaires au fonctionnaire sécurité défense de l’établissement afin qu’il valide la création des comptes informatiques et </w:t>
      </w:r>
      <w:proofErr w:type="gramStart"/>
      <w:r>
        <w:rPr>
          <w:rFonts w:cs="Times New Roman"/>
          <w:sz w:val="24"/>
          <w:szCs w:val="24"/>
        </w:rPr>
        <w:t>privilèges  pour</w:t>
      </w:r>
      <w:proofErr w:type="gramEnd"/>
      <w:r>
        <w:rPr>
          <w:rFonts w:cs="Times New Roman"/>
          <w:sz w:val="24"/>
          <w:szCs w:val="24"/>
        </w:rPr>
        <w:t xml:space="preserve"> permettre aux collaborateurs du titulaire d’intervenir sur  les services INRAE. Les intervenants devront être localisés dans un pays de l’Union européenne ou l’espace économique européen ou un pays en adéquation avec la politique de protection des données proposée par la CNIL (https://www.cnil.fr/</w:t>
      </w:r>
      <w:proofErr w:type="spellStart"/>
      <w:r>
        <w:rPr>
          <w:rFonts w:cs="Times New Roman"/>
          <w:sz w:val="24"/>
          <w:szCs w:val="24"/>
        </w:rPr>
        <w:t>fr</w:t>
      </w:r>
      <w:proofErr w:type="spellEnd"/>
      <w:r>
        <w:rPr>
          <w:rFonts w:cs="Times New Roman"/>
          <w:sz w:val="24"/>
          <w:szCs w:val="24"/>
        </w:rPr>
        <w:t>/la-protection-des-données-dans-le-monde)</w:t>
      </w:r>
    </w:p>
    <w:p w:rsidR="006E6D7A" w:rsidRDefault="00B16C64" w14:paraId="671573FB" w14:textId="77777777">
      <w:pPr>
        <w:pStyle w:val="Titre3"/>
        <w:numPr>
          <w:ilvl w:val="3"/>
          <w:numId w:val="3"/>
        </w:numPr>
      </w:pPr>
      <w:bookmarkStart w:name="_Toc221095558" w:id="140"/>
      <w:r>
        <w:t>Estimation potentielle des équivalents temps plein annuel pour les lots 1 et 2</w:t>
      </w:r>
      <w:bookmarkEnd w:id="140"/>
    </w:p>
    <w:p w:rsidR="006E6D7A" w:rsidRDefault="006E6D7A" w14:paraId="671573FC" w14:textId="77777777"/>
    <w:p w:rsidR="006E6D7A" w:rsidRDefault="00B16C64" w14:paraId="671573FD" w14:textId="77777777">
      <w:r>
        <w:lastRenderedPageBreak/>
        <w:t>Cette estimation est fournie à titre estimatif. Elle ne constitue pas un engagement mais à vocation à aider les soumissionnaires dans le calibrage de l’offre.</w:t>
      </w:r>
    </w:p>
    <w:p w:rsidR="006E6D7A" w:rsidRDefault="006E6D7A" w14:paraId="671573FE" w14:textId="77777777"/>
    <w:tbl>
      <w:tblPr>
        <w:tblStyle w:val="Grilledutableau"/>
        <w:tblW w:w="0" w:type="auto"/>
        <w:tblLayout w:type="fixed"/>
        <w:tblLook w:val="04A0" w:firstRow="1" w:lastRow="0" w:firstColumn="1" w:lastColumn="0" w:noHBand="0" w:noVBand="1"/>
      </w:tblPr>
      <w:tblGrid>
        <w:gridCol w:w="3213"/>
        <w:gridCol w:w="1323"/>
        <w:gridCol w:w="1417"/>
        <w:gridCol w:w="1417"/>
      </w:tblGrid>
      <w:tr w:rsidR="006E6D7A" w14:paraId="67157404" w14:textId="77777777">
        <w:tc>
          <w:tcPr>
            <w:tcW w:w="3213" w:type="dxa"/>
          </w:tcPr>
          <w:p w:rsidR="006E6D7A" w:rsidRDefault="00B16C64" w14:paraId="671573FF" w14:textId="77777777">
            <w:r>
              <w:t>Lot</w:t>
            </w:r>
          </w:p>
        </w:tc>
        <w:tc>
          <w:tcPr>
            <w:tcW w:w="1323" w:type="dxa"/>
          </w:tcPr>
          <w:p w:rsidR="006E6D7A" w:rsidRDefault="00B16C64" w14:paraId="67157400" w14:textId="77777777">
            <w:r>
              <w:t>Minimum estimé ETP annuel</w:t>
            </w:r>
          </w:p>
        </w:tc>
        <w:tc>
          <w:tcPr>
            <w:tcW w:w="1417" w:type="dxa"/>
          </w:tcPr>
          <w:p w:rsidR="006E6D7A" w:rsidRDefault="00B16C64" w14:paraId="67157401" w14:textId="77777777">
            <w:r>
              <w:t>Maximum estimé ETP annuel</w:t>
            </w:r>
          </w:p>
          <w:p w:rsidR="006E6D7A" w:rsidRDefault="006E6D7A" w14:paraId="67157402" w14:textId="77777777"/>
        </w:tc>
        <w:tc>
          <w:tcPr>
            <w:tcW w:w="1417" w:type="dxa"/>
          </w:tcPr>
          <w:p w:rsidR="006E6D7A" w:rsidRDefault="00B16C64" w14:paraId="67157403" w14:textId="77777777">
            <w:r>
              <w:t>Cible probable 1ère année</w:t>
            </w:r>
          </w:p>
        </w:tc>
      </w:tr>
      <w:tr w:rsidR="006E6D7A" w14:paraId="67157409" w14:textId="77777777">
        <w:tc>
          <w:tcPr>
            <w:tcW w:w="3213" w:type="dxa"/>
          </w:tcPr>
          <w:p w:rsidR="006E6D7A" w:rsidRDefault="00B16C64" w14:paraId="67157405" w14:textId="77777777">
            <w:r>
              <w:t xml:space="preserve">Lot 1 </w:t>
            </w:r>
            <w:proofErr w:type="spellStart"/>
            <w:r>
              <w:t>DevSecOps</w:t>
            </w:r>
            <w:proofErr w:type="spellEnd"/>
          </w:p>
        </w:tc>
        <w:tc>
          <w:tcPr>
            <w:tcW w:w="1323" w:type="dxa"/>
          </w:tcPr>
          <w:p w:rsidR="006E6D7A" w:rsidRDefault="00B16C64" w14:paraId="67157406" w14:textId="77777777">
            <w:r>
              <w:t>3</w:t>
            </w:r>
          </w:p>
        </w:tc>
        <w:tc>
          <w:tcPr>
            <w:tcW w:w="1417" w:type="dxa"/>
          </w:tcPr>
          <w:p w:rsidR="006E6D7A" w:rsidRDefault="00B16C64" w14:paraId="67157407" w14:textId="77777777">
            <w:r>
              <w:t>25</w:t>
            </w:r>
          </w:p>
        </w:tc>
        <w:tc>
          <w:tcPr>
            <w:tcW w:w="1417" w:type="dxa"/>
          </w:tcPr>
          <w:p w:rsidR="006E6D7A" w:rsidRDefault="00B16C64" w14:paraId="67157408" w14:textId="77777777">
            <w:r>
              <w:t>5</w:t>
            </w:r>
          </w:p>
        </w:tc>
      </w:tr>
      <w:tr w:rsidR="006E6D7A" w14:paraId="6715740E" w14:textId="77777777">
        <w:tc>
          <w:tcPr>
            <w:tcW w:w="3213" w:type="dxa"/>
          </w:tcPr>
          <w:p w:rsidR="006E6D7A" w:rsidRDefault="00B16C64" w14:paraId="6715740A" w14:textId="77777777">
            <w:r>
              <w:t>Lot 2 Exploitation</w:t>
            </w:r>
          </w:p>
        </w:tc>
        <w:tc>
          <w:tcPr>
            <w:tcW w:w="1323" w:type="dxa"/>
          </w:tcPr>
          <w:p w:rsidR="006E6D7A" w:rsidRDefault="00B16C64" w14:paraId="6715740B" w14:textId="77777777">
            <w:r>
              <w:t>5</w:t>
            </w:r>
          </w:p>
        </w:tc>
        <w:tc>
          <w:tcPr>
            <w:tcW w:w="1417" w:type="dxa"/>
          </w:tcPr>
          <w:p w:rsidR="006E6D7A" w:rsidRDefault="00B16C64" w14:paraId="6715740C" w14:textId="77777777">
            <w:r>
              <w:t>25</w:t>
            </w:r>
          </w:p>
        </w:tc>
        <w:tc>
          <w:tcPr>
            <w:tcW w:w="1417" w:type="dxa"/>
          </w:tcPr>
          <w:p w:rsidR="006E6D7A" w:rsidRDefault="00B16C64" w14:paraId="6715740D" w14:textId="77777777">
            <w:r>
              <w:t>7</w:t>
            </w:r>
          </w:p>
        </w:tc>
      </w:tr>
    </w:tbl>
    <w:p w:rsidR="006E6D7A" w:rsidRDefault="006E6D7A" w14:paraId="6715740F" w14:textId="77777777"/>
    <w:p w:rsidR="006E6D7A" w:rsidRDefault="00B16C64" w14:paraId="67157410" w14:textId="77777777">
      <w:pPr>
        <w:pStyle w:val="Titre2"/>
      </w:pPr>
      <w:bookmarkStart w:name="_Toc221095559" w:id="141"/>
      <w:r>
        <w:t>Les prestations attendues par Lot</w:t>
      </w:r>
      <w:bookmarkEnd w:id="141"/>
    </w:p>
    <w:p w:rsidR="006E6D7A" w:rsidRDefault="00B16C64" w14:paraId="67157411" w14:textId="77777777">
      <w:pPr>
        <w:pStyle w:val="Titre3"/>
        <w:numPr>
          <w:ilvl w:val="3"/>
          <w:numId w:val="3"/>
        </w:numPr>
      </w:pPr>
      <w:bookmarkStart w:name="_Toc221095560" w:id="142"/>
      <w:r>
        <w:t xml:space="preserve">Lot 1 - </w:t>
      </w:r>
      <w:proofErr w:type="spellStart"/>
      <w:r>
        <w:t>DevSecOps</w:t>
      </w:r>
      <w:bookmarkEnd w:id="142"/>
      <w:proofErr w:type="spellEnd"/>
    </w:p>
    <w:p w:rsidR="006E6D7A" w:rsidRDefault="00B16C64" w14:paraId="67157412" w14:textId="77777777">
      <w:pPr>
        <w:pStyle w:val="Titre4"/>
        <w:numPr>
          <w:ilvl w:val="4"/>
          <w:numId w:val="3"/>
        </w:numPr>
        <w:rPr>
          <w:rFonts w:ascii="Times New Roman" w:hAnsi="Times New Roman" w:cs="Times New Roman"/>
          <w:b/>
          <w:bCs/>
          <w:sz w:val="27"/>
          <w:szCs w:val="27"/>
        </w:rPr>
      </w:pPr>
      <w:r>
        <w:rPr>
          <w:rFonts w:ascii="Calibri" w:hAnsi="Calibri" w:cs="Calibri"/>
          <w:b/>
          <w:bCs/>
          <w:color w:val="03A3A6"/>
          <w:sz w:val="24"/>
          <w:szCs w:val="24"/>
        </w:rPr>
        <w:t>Synthèse des prestations</w:t>
      </w:r>
    </w:p>
    <w:p w:rsidR="006E6D7A" w:rsidRDefault="00B16C64" w14:paraId="67157413" w14:textId="77777777">
      <w:pPr>
        <w:rPr>
          <w:rFonts w:ascii="Times New Roman" w:hAnsi="Times New Roman" w:cs="Times New Roman"/>
          <w:sz w:val="24"/>
          <w:szCs w:val="24"/>
        </w:rPr>
      </w:pPr>
      <w:r>
        <w:rPr>
          <w:rFonts w:ascii="Calibri" w:hAnsi="Calibri" w:cs="Calibri"/>
          <w:color w:val="000000"/>
        </w:rPr>
        <w:t>Le tableau ci-après propose un classement détaillé des prestations selon la typologie indiquée. Sauf mention contraire, tous les lots sont concernés par la prestation.</w:t>
      </w:r>
    </w:p>
    <w:p w:rsidR="006E6D7A" w:rsidRDefault="00B16C64" w14:paraId="67157414" w14:textId="77777777">
      <w:pPr>
        <w:rPr>
          <w:rFonts w:ascii="Times New Roman" w:hAnsi="Times New Roman" w:cs="Times New Roman"/>
          <w:sz w:val="24"/>
          <w:szCs w:val="24"/>
        </w:rPr>
      </w:pPr>
      <w:r>
        <w:rPr>
          <w:rFonts w:ascii="Times New Roman" w:hAnsi="Times New Roman" w:cs="Times New Roman"/>
          <w:sz w:val="24"/>
          <w:szCs w:val="24"/>
        </w:rPr>
        <w:t> </w:t>
      </w:r>
    </w:p>
    <w:tbl>
      <w:tblPr>
        <w:tblW w:w="0" w:type="auto"/>
        <w:tblCellSpacing w:w="0" w:type="dxa"/>
        <w:tblCellMar>
          <w:top w:w="100" w:type="dxa"/>
          <w:left w:w="100" w:type="dxa"/>
          <w:bottom w:w="100" w:type="dxa"/>
          <w:right w:w="100" w:type="dxa"/>
        </w:tblCellMar>
        <w:tblLook w:val="04A0" w:firstRow="1" w:lastRow="0" w:firstColumn="1" w:lastColumn="0" w:noHBand="0" w:noVBand="1"/>
      </w:tblPr>
      <w:tblGrid>
        <w:gridCol w:w="619"/>
        <w:gridCol w:w="1666"/>
        <w:gridCol w:w="2940"/>
        <w:gridCol w:w="1666"/>
        <w:gridCol w:w="1632"/>
        <w:gridCol w:w="276"/>
      </w:tblGrid>
      <w:tr w:rsidR="006E6D7A" w14:paraId="6715741A" w14:textId="77777777">
        <w:trPr>
          <w:trHeight w:val="57"/>
          <w:tblCellSpacing w:w="0" w:type="dxa"/>
        </w:trPr>
        <w:tc>
          <w:tcPr>
            <w:tcW w:w="557" w:type="dxa"/>
            <w:tcBorders>
              <w:top w:val="single" w:color="03A6A3" w:sz="8" w:space="0"/>
              <w:left w:val="single" w:color="03A6A3" w:sz="8" w:space="0"/>
              <w:bottom w:val="single" w:color="03A6A3" w:sz="8" w:space="0"/>
              <w:right w:val="single" w:color="03A6A3" w:sz="8" w:space="0"/>
            </w:tcBorders>
            <w:shd w:val="clear" w:color="FFFFFF" w:fill="03A6A3"/>
            <w:tcMar>
              <w:top w:w="0" w:type="dxa"/>
              <w:left w:w="108" w:type="dxa"/>
              <w:bottom w:w="0" w:type="dxa"/>
              <w:right w:w="108" w:type="dxa"/>
            </w:tcMar>
            <w:vAlign w:val="center"/>
          </w:tcPr>
          <w:p w:rsidR="006E6D7A" w:rsidRDefault="00B16C64" w14:paraId="67157415" w14:textId="77777777">
            <w:pPr>
              <w:jc w:val="center"/>
              <w:rPr>
                <w:rFonts w:ascii="Times New Roman" w:hAnsi="Times New Roman" w:cs="Times New Roman"/>
                <w:sz w:val="24"/>
                <w:szCs w:val="24"/>
              </w:rPr>
            </w:pPr>
            <w:r>
              <w:rPr>
                <w:rFonts w:ascii="Calibri" w:hAnsi="Calibri" w:cs="Calibri"/>
                <w:b/>
                <w:bCs/>
                <w:color w:val="FFFFFF"/>
              </w:rPr>
              <w:t>Réf.</w:t>
            </w:r>
          </w:p>
        </w:tc>
        <w:tc>
          <w:tcPr>
            <w:tcW w:w="1666" w:type="dxa"/>
            <w:tcBorders>
              <w:top w:val="single" w:color="03A6A3" w:sz="8" w:space="0"/>
              <w:left w:val="single" w:color="03A6A3" w:sz="8" w:space="0"/>
              <w:bottom w:val="single" w:color="03A6A3" w:sz="8" w:space="0"/>
              <w:right w:val="single" w:color="03A6A3" w:sz="8" w:space="0"/>
            </w:tcBorders>
            <w:shd w:val="clear" w:color="FFFFFF" w:fill="03A6A3"/>
            <w:tcMar>
              <w:top w:w="0" w:type="dxa"/>
              <w:left w:w="108" w:type="dxa"/>
              <w:bottom w:w="0" w:type="dxa"/>
              <w:right w:w="108" w:type="dxa"/>
            </w:tcMar>
            <w:vAlign w:val="center"/>
          </w:tcPr>
          <w:p w:rsidR="006E6D7A" w:rsidRDefault="00B16C64" w14:paraId="67157416" w14:textId="77777777">
            <w:pPr>
              <w:jc w:val="center"/>
              <w:rPr>
                <w:rFonts w:ascii="Times New Roman" w:hAnsi="Times New Roman" w:cs="Times New Roman"/>
                <w:sz w:val="24"/>
                <w:szCs w:val="24"/>
              </w:rPr>
            </w:pPr>
            <w:r>
              <w:rPr>
                <w:rFonts w:ascii="Calibri" w:hAnsi="Calibri" w:cs="Calibri"/>
                <w:b/>
                <w:bCs/>
                <w:color w:val="FFFFFF"/>
              </w:rPr>
              <w:t>Type de prestations</w:t>
            </w:r>
          </w:p>
        </w:tc>
        <w:tc>
          <w:tcPr>
            <w:tcW w:w="2940" w:type="dxa"/>
            <w:tcBorders>
              <w:top w:val="single" w:color="03A6A3" w:sz="8" w:space="0"/>
              <w:left w:val="single" w:color="03A6A3" w:sz="8" w:space="0"/>
              <w:bottom w:val="single" w:color="03A6A3" w:sz="8" w:space="0"/>
              <w:right w:val="single" w:color="03A6A3" w:sz="8" w:space="0"/>
            </w:tcBorders>
            <w:shd w:val="clear" w:color="FFFFFF" w:fill="03A6A3"/>
            <w:tcMar>
              <w:top w:w="0" w:type="dxa"/>
              <w:left w:w="108" w:type="dxa"/>
              <w:bottom w:w="0" w:type="dxa"/>
              <w:right w:w="108" w:type="dxa"/>
            </w:tcMar>
            <w:vAlign w:val="center"/>
          </w:tcPr>
          <w:p w:rsidR="006E6D7A" w:rsidRDefault="00B16C64" w14:paraId="67157417" w14:textId="77777777">
            <w:pPr>
              <w:jc w:val="center"/>
              <w:rPr>
                <w:rFonts w:ascii="Times New Roman" w:hAnsi="Times New Roman" w:cs="Times New Roman"/>
                <w:sz w:val="24"/>
                <w:szCs w:val="24"/>
              </w:rPr>
            </w:pPr>
            <w:r>
              <w:rPr>
                <w:rFonts w:ascii="Calibri" w:hAnsi="Calibri" w:cs="Calibri"/>
                <w:b/>
                <w:bCs/>
                <w:color w:val="FFFFFF"/>
              </w:rPr>
              <w:t>Prestations</w:t>
            </w:r>
          </w:p>
        </w:tc>
        <w:tc>
          <w:tcPr>
            <w:tcW w:w="1666" w:type="dxa"/>
            <w:tcBorders>
              <w:top w:val="single" w:color="03A6A3" w:sz="8" w:space="0"/>
              <w:left w:val="single" w:color="03A6A3" w:sz="8" w:space="0"/>
              <w:bottom w:val="single" w:color="03A6A3" w:sz="8" w:space="0"/>
              <w:right w:val="single" w:color="03A6A3" w:sz="8" w:space="0"/>
            </w:tcBorders>
            <w:shd w:val="clear" w:color="FFFFFF" w:fill="03A6A3"/>
            <w:tcMar>
              <w:top w:w="0" w:type="dxa"/>
              <w:left w:w="108" w:type="dxa"/>
              <w:bottom w:w="0" w:type="dxa"/>
              <w:right w:w="108" w:type="dxa"/>
            </w:tcMar>
            <w:vAlign w:val="center"/>
          </w:tcPr>
          <w:p w:rsidR="006E6D7A" w:rsidRDefault="00B16C64" w14:paraId="67157418" w14:textId="77777777">
            <w:pPr>
              <w:jc w:val="center"/>
              <w:rPr>
                <w:rFonts w:ascii="Times New Roman" w:hAnsi="Times New Roman" w:cs="Times New Roman"/>
                <w:sz w:val="24"/>
                <w:szCs w:val="24"/>
              </w:rPr>
            </w:pPr>
            <w:r>
              <w:rPr>
                <w:rFonts w:ascii="Calibri" w:hAnsi="Calibri" w:cs="Calibri"/>
                <w:b/>
                <w:bCs/>
                <w:color w:val="FFFFFF"/>
              </w:rPr>
              <w:t>Nature des unités d’œuvre</w:t>
            </w:r>
          </w:p>
        </w:tc>
        <w:tc>
          <w:tcPr>
            <w:tcW w:w="1868" w:type="dxa"/>
            <w:gridSpan w:val="2"/>
            <w:tcBorders>
              <w:top w:val="single" w:color="03A6A3" w:sz="8" w:space="0"/>
              <w:left w:val="single" w:color="03A6A3" w:sz="8" w:space="0"/>
              <w:bottom w:val="single" w:color="03A6A3" w:sz="8" w:space="0"/>
              <w:right w:val="single" w:color="03A6A3" w:sz="8" w:space="0"/>
            </w:tcBorders>
            <w:shd w:val="clear" w:color="FFFFFF" w:fill="03A6A3"/>
            <w:tcMar>
              <w:top w:w="0" w:type="dxa"/>
              <w:left w:w="108" w:type="dxa"/>
              <w:bottom w:w="0" w:type="dxa"/>
              <w:right w:w="108" w:type="dxa"/>
            </w:tcMar>
            <w:vAlign w:val="center"/>
          </w:tcPr>
          <w:p w:rsidR="006E6D7A" w:rsidRDefault="00B16C64" w14:paraId="67157419" w14:textId="77777777">
            <w:pPr>
              <w:jc w:val="center"/>
              <w:rPr>
                <w:rFonts w:ascii="Times New Roman" w:hAnsi="Times New Roman" w:cs="Times New Roman"/>
                <w:sz w:val="24"/>
                <w:szCs w:val="24"/>
              </w:rPr>
            </w:pPr>
            <w:r>
              <w:rPr>
                <w:rFonts w:ascii="Calibri" w:hAnsi="Calibri" w:cs="Calibri"/>
                <w:b/>
                <w:bCs/>
                <w:color w:val="FFFFFF"/>
              </w:rPr>
              <w:t>Directions et unité(s) éligible(s)</w:t>
            </w:r>
          </w:p>
        </w:tc>
      </w:tr>
      <w:tr w:rsidR="006E6D7A" w14:paraId="67157421" w14:textId="77777777">
        <w:trPr>
          <w:trHeight w:val="164"/>
          <w:tblCellSpacing w:w="0" w:type="dxa"/>
        </w:trPr>
        <w:tc>
          <w:tcPr>
            <w:tcW w:w="557"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1B" w14:textId="77777777">
            <w:pPr>
              <w:rPr>
                <w:rFonts w:ascii="Times New Roman" w:hAnsi="Times New Roman" w:cs="Times New Roman"/>
                <w:sz w:val="24"/>
                <w:szCs w:val="24"/>
              </w:rPr>
            </w:pPr>
            <w:r>
              <w:rPr>
                <w:rFonts w:ascii="Calibri" w:hAnsi="Calibri" w:cs="Calibri"/>
                <w:color w:val="000000"/>
              </w:rPr>
              <w:t>A</w:t>
            </w:r>
          </w:p>
        </w:tc>
        <w:tc>
          <w:tcPr>
            <w:tcW w:w="1666"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1C" w14:textId="77777777">
            <w:pPr>
              <w:rPr>
                <w:rFonts w:ascii="Times New Roman" w:hAnsi="Times New Roman" w:cs="Times New Roman"/>
                <w:sz w:val="24"/>
                <w:szCs w:val="24"/>
              </w:rPr>
            </w:pPr>
            <w:r>
              <w:rPr>
                <w:rFonts w:ascii="Calibri" w:hAnsi="Calibri" w:cs="Calibri"/>
                <w:b/>
                <w:bCs/>
                <w:color w:val="000000"/>
              </w:rPr>
              <w:t>Prestations d’entrée</w:t>
            </w:r>
          </w:p>
        </w:tc>
        <w:tc>
          <w:tcPr>
            <w:tcW w:w="2940"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1D" w14:textId="77777777">
            <w:pPr>
              <w:rPr>
                <w:rFonts w:ascii="Times New Roman" w:hAnsi="Times New Roman" w:cs="Times New Roman"/>
                <w:sz w:val="24"/>
                <w:szCs w:val="24"/>
              </w:rPr>
            </w:pPr>
            <w:r>
              <w:rPr>
                <w:rFonts w:ascii="Calibri" w:hAnsi="Calibri" w:cs="Calibri"/>
                <w:b/>
                <w:bCs/>
                <w:color w:val="000000"/>
              </w:rPr>
              <w:t>Initialisation des prestations</w:t>
            </w:r>
          </w:p>
        </w:tc>
        <w:tc>
          <w:tcPr>
            <w:tcW w:w="1666"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1E" w14:textId="77777777">
            <w:pPr>
              <w:rPr>
                <w:rFonts w:ascii="Times New Roman" w:hAnsi="Times New Roman" w:cs="Times New Roman"/>
                <w:sz w:val="24"/>
                <w:szCs w:val="24"/>
              </w:rPr>
            </w:pPr>
            <w:r>
              <w:rPr>
                <w:rFonts w:ascii="Calibri" w:hAnsi="Calibri" w:cs="Calibri"/>
                <w:color w:val="000000"/>
              </w:rPr>
              <w:t>Forfaitaire (1 fois par lot pour la DSI)</w:t>
            </w:r>
          </w:p>
        </w:tc>
        <w:tc>
          <w:tcPr>
            <w:tcW w:w="1632"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1F" w14:textId="77777777">
            <w:pPr>
              <w:rPr>
                <w:rFonts w:ascii="Times New Roman" w:hAnsi="Times New Roman" w:cs="Times New Roman"/>
                <w:sz w:val="24"/>
                <w:szCs w:val="24"/>
              </w:rPr>
            </w:pPr>
            <w:r>
              <w:rPr>
                <w:rFonts w:ascii="Calibri" w:hAnsi="Calibri" w:cs="Calibri"/>
                <w:color w:val="000000"/>
              </w:rPr>
              <w:t>DSI, directions et unités INRAE</w:t>
            </w:r>
          </w:p>
        </w:tc>
        <w:tc>
          <w:tcPr>
            <w:tcW w:w="236" w:type="dxa"/>
            <w:tcBorders>
              <w:top w:val="none" w:color="000000" w:sz="4" w:space="0"/>
              <w:left w:val="none" w:color="000000" w:sz="4" w:space="0"/>
              <w:bottom w:val="none" w:color="000000" w:sz="4" w:space="0"/>
              <w:right w:val="none" w:color="000000" w:sz="4" w:space="0"/>
            </w:tcBorders>
            <w:tcMar>
              <w:top w:w="0" w:type="dxa"/>
              <w:left w:w="108" w:type="dxa"/>
              <w:bottom w:w="0" w:type="dxa"/>
              <w:right w:w="108" w:type="dxa"/>
            </w:tcMar>
            <w:vAlign w:val="center"/>
          </w:tcPr>
          <w:p w:rsidR="006E6D7A" w:rsidRDefault="00B16C64" w14:paraId="67157420" w14:textId="77777777">
            <w:pPr>
              <w:rPr>
                <w:rFonts w:ascii="Times New Roman" w:hAnsi="Times New Roman" w:cs="Times New Roman"/>
                <w:sz w:val="24"/>
                <w:szCs w:val="24"/>
              </w:rPr>
            </w:pPr>
            <w:r>
              <w:rPr>
                <w:rFonts w:ascii="Times New Roman" w:hAnsi="Times New Roman" w:cs="Times New Roman"/>
                <w:sz w:val="24"/>
                <w:szCs w:val="24"/>
              </w:rPr>
              <w:t> </w:t>
            </w:r>
          </w:p>
        </w:tc>
      </w:tr>
      <w:tr w:rsidR="006E6D7A" w14:paraId="67157428" w14:textId="77777777">
        <w:trPr>
          <w:trHeight w:val="20"/>
          <w:tblCellSpacing w:w="0" w:type="dxa"/>
        </w:trPr>
        <w:tc>
          <w:tcPr>
            <w:tcW w:w="557"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22" w14:textId="77777777">
            <w:pPr>
              <w:rPr>
                <w:rFonts w:ascii="Times New Roman" w:hAnsi="Times New Roman" w:cs="Times New Roman"/>
                <w:sz w:val="24"/>
                <w:szCs w:val="24"/>
              </w:rPr>
            </w:pPr>
            <w:r>
              <w:rPr>
                <w:rFonts w:ascii="Calibri" w:hAnsi="Calibri" w:cs="Calibri"/>
                <w:color w:val="000000"/>
              </w:rPr>
              <w:t>B</w:t>
            </w:r>
          </w:p>
        </w:tc>
        <w:tc>
          <w:tcPr>
            <w:tcW w:w="1666" w:type="dxa"/>
            <w:vMerge w:val="restart"/>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23" w14:textId="77777777">
            <w:pPr>
              <w:rPr>
                <w:rFonts w:ascii="Times New Roman" w:hAnsi="Times New Roman" w:cs="Times New Roman"/>
                <w:sz w:val="24"/>
                <w:szCs w:val="24"/>
              </w:rPr>
            </w:pPr>
            <w:r>
              <w:rPr>
                <w:rFonts w:ascii="Calibri" w:hAnsi="Calibri" w:cs="Calibri"/>
                <w:b/>
                <w:bCs/>
                <w:color w:val="000000"/>
              </w:rPr>
              <w:t xml:space="preserve">Prestations de Développement, d’Intégration </w:t>
            </w:r>
          </w:p>
        </w:tc>
        <w:tc>
          <w:tcPr>
            <w:tcW w:w="2940"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24" w14:textId="77777777">
            <w:pPr>
              <w:rPr>
                <w:rFonts w:ascii="Times New Roman" w:hAnsi="Times New Roman" w:cs="Times New Roman"/>
                <w:sz w:val="24"/>
                <w:szCs w:val="24"/>
              </w:rPr>
            </w:pPr>
            <w:r>
              <w:rPr>
                <w:rFonts w:ascii="Calibri" w:hAnsi="Calibri" w:cs="Calibri"/>
                <w:b/>
                <w:bCs/>
                <w:color w:val="000000"/>
              </w:rPr>
              <w:t>Sprint 0 des évolutions majeures et des Nouveaux Produits</w:t>
            </w:r>
          </w:p>
        </w:tc>
        <w:tc>
          <w:tcPr>
            <w:tcW w:w="1666"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25" w14:textId="77777777">
            <w:pPr>
              <w:rPr>
                <w:rFonts w:ascii="Times New Roman" w:hAnsi="Times New Roman" w:cs="Times New Roman"/>
                <w:sz w:val="24"/>
                <w:szCs w:val="24"/>
              </w:rPr>
            </w:pPr>
            <w:r>
              <w:rPr>
                <w:rFonts w:ascii="Calibri" w:hAnsi="Calibri" w:cs="Calibri"/>
                <w:color w:val="000000"/>
              </w:rPr>
              <w:t>Unités d’œuvre par profils d’intervenants (UO)</w:t>
            </w:r>
          </w:p>
        </w:tc>
        <w:tc>
          <w:tcPr>
            <w:tcW w:w="1632"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26" w14:textId="77777777">
            <w:pPr>
              <w:rPr>
                <w:rFonts w:ascii="Times New Roman" w:hAnsi="Times New Roman" w:cs="Times New Roman"/>
                <w:sz w:val="24"/>
                <w:szCs w:val="24"/>
              </w:rPr>
            </w:pPr>
            <w:r>
              <w:rPr>
                <w:rFonts w:ascii="Calibri" w:hAnsi="Calibri" w:cs="Calibri"/>
                <w:color w:val="000000"/>
              </w:rPr>
              <w:t>DSI, directions et unités INRAE</w:t>
            </w:r>
          </w:p>
        </w:tc>
        <w:tc>
          <w:tcPr>
            <w:tcW w:w="236" w:type="dxa"/>
            <w:tcBorders>
              <w:top w:val="none" w:color="000000" w:sz="4" w:space="0"/>
              <w:left w:val="none" w:color="000000" w:sz="4" w:space="0"/>
              <w:bottom w:val="none" w:color="000000" w:sz="4" w:space="0"/>
              <w:right w:val="none" w:color="000000" w:sz="4" w:space="0"/>
            </w:tcBorders>
            <w:tcMar>
              <w:top w:w="0" w:type="dxa"/>
              <w:left w:w="108" w:type="dxa"/>
              <w:bottom w:w="0" w:type="dxa"/>
              <w:right w:w="108" w:type="dxa"/>
            </w:tcMar>
            <w:vAlign w:val="center"/>
          </w:tcPr>
          <w:p w:rsidR="006E6D7A" w:rsidRDefault="00B16C64" w14:paraId="67157427" w14:textId="77777777">
            <w:pPr>
              <w:rPr>
                <w:rFonts w:ascii="Times New Roman" w:hAnsi="Times New Roman" w:cs="Times New Roman"/>
                <w:sz w:val="24"/>
                <w:szCs w:val="24"/>
              </w:rPr>
            </w:pPr>
            <w:r>
              <w:rPr>
                <w:rFonts w:ascii="Times New Roman" w:hAnsi="Times New Roman" w:cs="Times New Roman"/>
                <w:sz w:val="24"/>
                <w:szCs w:val="24"/>
              </w:rPr>
              <w:t> </w:t>
            </w:r>
          </w:p>
        </w:tc>
      </w:tr>
      <w:tr w:rsidR="006E6D7A" w14:paraId="6715742F" w14:textId="77777777">
        <w:trPr>
          <w:trHeight w:val="20"/>
          <w:tblCellSpacing w:w="0" w:type="dxa"/>
        </w:trPr>
        <w:tc>
          <w:tcPr>
            <w:tcW w:w="557"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29" w14:textId="77777777">
            <w:pPr>
              <w:rPr>
                <w:rFonts w:ascii="Times New Roman" w:hAnsi="Times New Roman" w:cs="Times New Roman"/>
                <w:sz w:val="24"/>
                <w:szCs w:val="24"/>
              </w:rPr>
            </w:pPr>
            <w:r>
              <w:rPr>
                <w:rFonts w:ascii="Calibri" w:hAnsi="Calibri" w:cs="Calibri"/>
                <w:color w:val="000000"/>
              </w:rPr>
              <w:t>C</w:t>
            </w:r>
          </w:p>
        </w:tc>
        <w:tc>
          <w:tcPr>
            <w:tcW w:w="0" w:type="auto"/>
            <w:vMerge/>
            <w:tcBorders>
              <w:top w:val="single" w:color="03A6A3" w:sz="8" w:space="0"/>
              <w:left w:val="single" w:color="03A6A3" w:sz="8" w:space="0"/>
              <w:bottom w:val="single" w:color="03A6A3" w:sz="8" w:space="0"/>
              <w:right w:val="single" w:color="03A6A3" w:sz="8" w:space="0"/>
            </w:tcBorders>
            <w:vAlign w:val="center"/>
          </w:tcPr>
          <w:p w:rsidR="006E6D7A" w:rsidRDefault="006E6D7A" w14:paraId="6715742A" w14:textId="77777777">
            <w:pPr>
              <w:spacing w:after="0"/>
              <w:rPr>
                <w:rFonts w:ascii="Times New Roman" w:hAnsi="Times New Roman" w:cs="Times New Roman"/>
                <w:sz w:val="24"/>
                <w:szCs w:val="24"/>
              </w:rPr>
            </w:pPr>
          </w:p>
        </w:tc>
        <w:tc>
          <w:tcPr>
            <w:tcW w:w="2940"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2B" w14:textId="77777777">
            <w:pPr>
              <w:rPr>
                <w:rFonts w:ascii="Times New Roman" w:hAnsi="Times New Roman" w:cs="Times New Roman"/>
                <w:sz w:val="24"/>
                <w:szCs w:val="24"/>
              </w:rPr>
            </w:pPr>
            <w:r>
              <w:rPr>
                <w:rFonts w:ascii="Calibri" w:hAnsi="Calibri" w:cs="Calibri"/>
                <w:b/>
                <w:bCs/>
                <w:color w:val="000000"/>
              </w:rPr>
              <w:t>Réalisation des évolutions majeures et des nouvelles plateformes et nouveaux Produits</w:t>
            </w:r>
          </w:p>
        </w:tc>
        <w:tc>
          <w:tcPr>
            <w:tcW w:w="1666"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2C" w14:textId="77777777">
            <w:pPr>
              <w:rPr>
                <w:rFonts w:ascii="Times New Roman" w:hAnsi="Times New Roman" w:cs="Times New Roman"/>
                <w:sz w:val="24"/>
                <w:szCs w:val="24"/>
              </w:rPr>
            </w:pPr>
            <w:r>
              <w:rPr>
                <w:rFonts w:ascii="Calibri" w:hAnsi="Calibri" w:cs="Calibri"/>
                <w:color w:val="000000"/>
              </w:rPr>
              <w:t>Unités d’œuvre par profils d’intervenants (UO)</w:t>
            </w:r>
          </w:p>
        </w:tc>
        <w:tc>
          <w:tcPr>
            <w:tcW w:w="1632"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2D" w14:textId="77777777">
            <w:pPr>
              <w:rPr>
                <w:rFonts w:ascii="Times New Roman" w:hAnsi="Times New Roman" w:cs="Times New Roman"/>
                <w:sz w:val="24"/>
                <w:szCs w:val="24"/>
              </w:rPr>
            </w:pPr>
            <w:r>
              <w:rPr>
                <w:rFonts w:ascii="Calibri" w:hAnsi="Calibri" w:cs="Calibri"/>
                <w:color w:val="000000"/>
              </w:rPr>
              <w:t>DSI, directions et unités INRAE</w:t>
            </w:r>
          </w:p>
        </w:tc>
        <w:tc>
          <w:tcPr>
            <w:tcW w:w="236" w:type="dxa"/>
            <w:tcBorders>
              <w:top w:val="none" w:color="000000" w:sz="4" w:space="0"/>
              <w:left w:val="none" w:color="000000" w:sz="4" w:space="0"/>
              <w:bottom w:val="none" w:color="000000" w:sz="4" w:space="0"/>
              <w:right w:val="none" w:color="000000" w:sz="4" w:space="0"/>
            </w:tcBorders>
            <w:tcMar>
              <w:top w:w="0" w:type="dxa"/>
              <w:left w:w="108" w:type="dxa"/>
              <w:bottom w:w="0" w:type="dxa"/>
              <w:right w:w="108" w:type="dxa"/>
            </w:tcMar>
            <w:vAlign w:val="center"/>
          </w:tcPr>
          <w:p w:rsidR="006E6D7A" w:rsidRDefault="00B16C64" w14:paraId="6715742E" w14:textId="77777777">
            <w:pPr>
              <w:rPr>
                <w:rFonts w:ascii="Times New Roman" w:hAnsi="Times New Roman" w:cs="Times New Roman"/>
                <w:sz w:val="24"/>
                <w:szCs w:val="24"/>
              </w:rPr>
            </w:pPr>
            <w:r>
              <w:rPr>
                <w:rFonts w:ascii="Times New Roman" w:hAnsi="Times New Roman" w:cs="Times New Roman"/>
                <w:sz w:val="24"/>
                <w:szCs w:val="24"/>
              </w:rPr>
              <w:t> </w:t>
            </w:r>
          </w:p>
        </w:tc>
      </w:tr>
      <w:tr w:rsidR="006E6D7A" w14:paraId="67157436" w14:textId="77777777">
        <w:trPr>
          <w:trHeight w:val="20"/>
          <w:tblCellSpacing w:w="0" w:type="dxa"/>
        </w:trPr>
        <w:tc>
          <w:tcPr>
            <w:tcW w:w="557"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0" w14:textId="77777777">
            <w:pPr>
              <w:rPr>
                <w:rFonts w:ascii="Times New Roman" w:hAnsi="Times New Roman" w:cs="Times New Roman"/>
                <w:sz w:val="24"/>
                <w:szCs w:val="24"/>
              </w:rPr>
            </w:pPr>
            <w:r>
              <w:rPr>
                <w:rFonts w:ascii="Calibri" w:hAnsi="Calibri" w:cs="Calibri"/>
                <w:color w:val="000000"/>
              </w:rPr>
              <w:t>D</w:t>
            </w:r>
          </w:p>
        </w:tc>
        <w:tc>
          <w:tcPr>
            <w:tcW w:w="0" w:type="auto"/>
            <w:vMerge/>
            <w:tcBorders>
              <w:top w:val="single" w:color="03A6A3" w:sz="8" w:space="0"/>
              <w:left w:val="single" w:color="03A6A3" w:sz="8" w:space="0"/>
              <w:bottom w:val="single" w:color="03A6A3" w:sz="8" w:space="0"/>
              <w:right w:val="single" w:color="03A6A3" w:sz="8" w:space="0"/>
            </w:tcBorders>
            <w:vAlign w:val="center"/>
          </w:tcPr>
          <w:p w:rsidR="006E6D7A" w:rsidRDefault="006E6D7A" w14:paraId="67157431" w14:textId="77777777">
            <w:pPr>
              <w:spacing w:after="0"/>
              <w:rPr>
                <w:rFonts w:ascii="Times New Roman" w:hAnsi="Times New Roman" w:cs="Times New Roman"/>
                <w:sz w:val="24"/>
                <w:szCs w:val="24"/>
              </w:rPr>
            </w:pPr>
          </w:p>
        </w:tc>
        <w:tc>
          <w:tcPr>
            <w:tcW w:w="2940"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2" w14:textId="77777777">
            <w:pPr>
              <w:rPr>
                <w:rFonts w:ascii="Times New Roman" w:hAnsi="Times New Roman" w:cs="Times New Roman"/>
                <w:sz w:val="24"/>
                <w:szCs w:val="24"/>
              </w:rPr>
            </w:pPr>
            <w:r>
              <w:rPr>
                <w:rFonts w:ascii="Calibri" w:hAnsi="Calibri" w:cs="Calibri"/>
                <w:b/>
                <w:bCs/>
                <w:color w:val="000000"/>
              </w:rPr>
              <w:t>Réalisation ou contribution à la maintenance et des évolutions mineures (produits existants)</w:t>
            </w:r>
          </w:p>
        </w:tc>
        <w:tc>
          <w:tcPr>
            <w:tcW w:w="1666"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3" w14:textId="77777777">
            <w:pPr>
              <w:rPr>
                <w:rFonts w:ascii="Times New Roman" w:hAnsi="Times New Roman" w:cs="Times New Roman"/>
                <w:sz w:val="24"/>
                <w:szCs w:val="24"/>
              </w:rPr>
            </w:pPr>
            <w:r>
              <w:rPr>
                <w:rFonts w:ascii="Calibri" w:hAnsi="Calibri" w:cs="Calibri"/>
                <w:color w:val="000000"/>
              </w:rPr>
              <w:t>Unités d’œuvre par profils d’intervenants (UO)</w:t>
            </w:r>
          </w:p>
        </w:tc>
        <w:tc>
          <w:tcPr>
            <w:tcW w:w="1632"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4" w14:textId="77777777">
            <w:pPr>
              <w:rPr>
                <w:rFonts w:ascii="Times New Roman" w:hAnsi="Times New Roman" w:cs="Times New Roman"/>
                <w:sz w:val="24"/>
                <w:szCs w:val="24"/>
              </w:rPr>
            </w:pPr>
            <w:r>
              <w:rPr>
                <w:rFonts w:ascii="Calibri" w:hAnsi="Calibri" w:cs="Calibri"/>
                <w:color w:val="000000"/>
              </w:rPr>
              <w:t>DSI, directions et unités INRAE</w:t>
            </w:r>
          </w:p>
        </w:tc>
        <w:tc>
          <w:tcPr>
            <w:tcW w:w="236" w:type="dxa"/>
            <w:tcBorders>
              <w:top w:val="none" w:color="000000" w:sz="4" w:space="0"/>
              <w:left w:val="none" w:color="000000" w:sz="4" w:space="0"/>
              <w:bottom w:val="none" w:color="000000" w:sz="4" w:space="0"/>
              <w:right w:val="none" w:color="000000" w:sz="4" w:space="0"/>
            </w:tcBorders>
            <w:tcMar>
              <w:top w:w="0" w:type="dxa"/>
              <w:left w:w="108" w:type="dxa"/>
              <w:bottom w:w="0" w:type="dxa"/>
              <w:right w:w="108" w:type="dxa"/>
            </w:tcMar>
            <w:vAlign w:val="center"/>
          </w:tcPr>
          <w:p w:rsidR="006E6D7A" w:rsidRDefault="00B16C64" w14:paraId="67157435" w14:textId="77777777">
            <w:pPr>
              <w:rPr>
                <w:rFonts w:ascii="Times New Roman" w:hAnsi="Times New Roman" w:cs="Times New Roman"/>
                <w:sz w:val="24"/>
                <w:szCs w:val="24"/>
              </w:rPr>
            </w:pPr>
            <w:r>
              <w:rPr>
                <w:rFonts w:ascii="Times New Roman" w:hAnsi="Times New Roman" w:cs="Times New Roman"/>
                <w:sz w:val="24"/>
                <w:szCs w:val="24"/>
              </w:rPr>
              <w:t> </w:t>
            </w:r>
          </w:p>
        </w:tc>
      </w:tr>
      <w:tr w:rsidR="006E6D7A" w14:paraId="6715743D" w14:textId="77777777">
        <w:trPr>
          <w:trHeight w:val="20"/>
          <w:tblCellSpacing w:w="0" w:type="dxa"/>
        </w:trPr>
        <w:tc>
          <w:tcPr>
            <w:tcW w:w="557"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7" w14:textId="77777777">
            <w:pPr>
              <w:rPr>
                <w:rFonts w:ascii="Times New Roman" w:hAnsi="Times New Roman" w:cs="Times New Roman"/>
                <w:sz w:val="24"/>
                <w:szCs w:val="24"/>
              </w:rPr>
            </w:pPr>
            <w:r>
              <w:rPr>
                <w:rFonts w:ascii="Calibri" w:hAnsi="Calibri" w:cs="Calibri"/>
                <w:color w:val="000000"/>
              </w:rPr>
              <w:t>E</w:t>
            </w:r>
          </w:p>
        </w:tc>
        <w:tc>
          <w:tcPr>
            <w:tcW w:w="1666" w:type="dxa"/>
            <w:vMerge w:val="restart"/>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8" w14:textId="77777777">
            <w:pPr>
              <w:rPr>
                <w:rFonts w:ascii="Times New Roman" w:hAnsi="Times New Roman" w:cs="Times New Roman"/>
                <w:sz w:val="24"/>
                <w:szCs w:val="24"/>
              </w:rPr>
            </w:pPr>
            <w:r>
              <w:rPr>
                <w:rFonts w:ascii="Calibri" w:hAnsi="Calibri" w:cs="Calibri"/>
                <w:b/>
                <w:bCs/>
                <w:color w:val="000000"/>
              </w:rPr>
              <w:t>Prestations d’expertise</w:t>
            </w:r>
          </w:p>
        </w:tc>
        <w:tc>
          <w:tcPr>
            <w:tcW w:w="2940"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9" w14:textId="77777777">
            <w:pPr>
              <w:rPr>
                <w:rFonts w:ascii="Times New Roman" w:hAnsi="Times New Roman" w:cs="Times New Roman"/>
                <w:sz w:val="24"/>
                <w:szCs w:val="24"/>
              </w:rPr>
            </w:pPr>
            <w:r>
              <w:rPr>
                <w:rFonts w:ascii="Calibri" w:hAnsi="Calibri" w:cs="Calibri"/>
                <w:b/>
                <w:bCs/>
                <w:color w:val="000000"/>
              </w:rPr>
              <w:t>Service à valeur ajoutée autour des méthodes et techniques (Automatisation, CI/</w:t>
            </w:r>
            <w:proofErr w:type="gramStart"/>
            <w:r>
              <w:rPr>
                <w:rFonts w:ascii="Calibri" w:hAnsi="Calibri" w:cs="Calibri"/>
                <w:b/>
                <w:bCs/>
                <w:color w:val="000000"/>
              </w:rPr>
              <w:t>CD,  intégration</w:t>
            </w:r>
            <w:proofErr w:type="gramEnd"/>
            <w:r>
              <w:rPr>
                <w:rFonts w:ascii="Calibri" w:hAnsi="Calibri" w:cs="Calibri"/>
                <w:b/>
                <w:bCs/>
                <w:color w:val="000000"/>
              </w:rPr>
              <w:t>, tests, …)</w:t>
            </w:r>
          </w:p>
        </w:tc>
        <w:tc>
          <w:tcPr>
            <w:tcW w:w="1666"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A" w14:textId="77777777">
            <w:pPr>
              <w:rPr>
                <w:rFonts w:ascii="Times New Roman" w:hAnsi="Times New Roman" w:cs="Times New Roman"/>
                <w:sz w:val="24"/>
                <w:szCs w:val="24"/>
              </w:rPr>
            </w:pPr>
            <w:r>
              <w:rPr>
                <w:rFonts w:ascii="Calibri" w:hAnsi="Calibri" w:cs="Calibri"/>
                <w:color w:val="000000"/>
              </w:rPr>
              <w:t>Unités d’œuvre par profils d’intervenants (UO)</w:t>
            </w:r>
          </w:p>
        </w:tc>
        <w:tc>
          <w:tcPr>
            <w:tcW w:w="1632"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B" w14:textId="77777777">
            <w:pPr>
              <w:rPr>
                <w:rFonts w:ascii="Times New Roman" w:hAnsi="Times New Roman" w:cs="Times New Roman"/>
                <w:sz w:val="24"/>
                <w:szCs w:val="24"/>
              </w:rPr>
            </w:pPr>
            <w:r>
              <w:rPr>
                <w:rFonts w:ascii="Calibri" w:hAnsi="Calibri" w:cs="Calibri"/>
                <w:color w:val="000000"/>
              </w:rPr>
              <w:t>DSI, directions et unités INRAE</w:t>
            </w:r>
          </w:p>
        </w:tc>
        <w:tc>
          <w:tcPr>
            <w:tcW w:w="236" w:type="dxa"/>
            <w:tcBorders>
              <w:top w:val="none" w:color="000000" w:sz="4" w:space="0"/>
              <w:left w:val="none" w:color="000000" w:sz="4" w:space="0"/>
              <w:bottom w:val="none" w:color="000000" w:sz="4" w:space="0"/>
              <w:right w:val="none" w:color="000000" w:sz="4" w:space="0"/>
            </w:tcBorders>
            <w:tcMar>
              <w:top w:w="0" w:type="dxa"/>
              <w:left w:w="108" w:type="dxa"/>
              <w:bottom w:w="0" w:type="dxa"/>
              <w:right w:w="108" w:type="dxa"/>
            </w:tcMar>
            <w:vAlign w:val="center"/>
          </w:tcPr>
          <w:p w:rsidR="006E6D7A" w:rsidRDefault="00B16C64" w14:paraId="6715743C" w14:textId="77777777">
            <w:pPr>
              <w:rPr>
                <w:rFonts w:ascii="Times New Roman" w:hAnsi="Times New Roman" w:cs="Times New Roman"/>
                <w:sz w:val="24"/>
                <w:szCs w:val="24"/>
              </w:rPr>
            </w:pPr>
            <w:r>
              <w:rPr>
                <w:rFonts w:ascii="Times New Roman" w:hAnsi="Times New Roman" w:cs="Times New Roman"/>
                <w:sz w:val="24"/>
                <w:szCs w:val="24"/>
              </w:rPr>
              <w:t> </w:t>
            </w:r>
          </w:p>
        </w:tc>
      </w:tr>
      <w:tr w:rsidR="006E6D7A" w14:paraId="67157444" w14:textId="77777777">
        <w:trPr>
          <w:trHeight w:val="828"/>
          <w:tblCellSpacing w:w="0" w:type="dxa"/>
        </w:trPr>
        <w:tc>
          <w:tcPr>
            <w:tcW w:w="557"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3E" w14:textId="77777777">
            <w:pPr>
              <w:rPr>
                <w:rFonts w:ascii="Times New Roman" w:hAnsi="Times New Roman" w:cs="Times New Roman"/>
                <w:sz w:val="24"/>
                <w:szCs w:val="24"/>
              </w:rPr>
            </w:pPr>
            <w:r>
              <w:rPr>
                <w:rFonts w:ascii="Calibri" w:hAnsi="Calibri" w:cs="Calibri"/>
                <w:color w:val="000000"/>
              </w:rPr>
              <w:lastRenderedPageBreak/>
              <w:t>F</w:t>
            </w:r>
          </w:p>
        </w:tc>
        <w:tc>
          <w:tcPr>
            <w:tcW w:w="0" w:type="auto"/>
            <w:vMerge/>
            <w:tcBorders>
              <w:top w:val="single" w:color="03A6A3" w:sz="8" w:space="0"/>
              <w:left w:val="single" w:color="03A6A3" w:sz="8" w:space="0"/>
              <w:bottom w:val="single" w:color="03A6A3" w:sz="8" w:space="0"/>
              <w:right w:val="single" w:color="03A6A3" w:sz="8" w:space="0"/>
            </w:tcBorders>
            <w:vAlign w:val="center"/>
          </w:tcPr>
          <w:p w:rsidR="006E6D7A" w:rsidRDefault="006E6D7A" w14:paraId="6715743F" w14:textId="77777777">
            <w:pPr>
              <w:spacing w:after="0"/>
              <w:rPr>
                <w:rFonts w:ascii="Times New Roman" w:hAnsi="Times New Roman" w:cs="Times New Roman"/>
                <w:sz w:val="24"/>
                <w:szCs w:val="24"/>
              </w:rPr>
            </w:pPr>
          </w:p>
        </w:tc>
        <w:tc>
          <w:tcPr>
            <w:tcW w:w="2940"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40" w14:textId="77777777">
            <w:pPr>
              <w:rPr>
                <w:rFonts w:ascii="Times New Roman" w:hAnsi="Times New Roman" w:cs="Times New Roman"/>
                <w:sz w:val="24"/>
                <w:szCs w:val="24"/>
              </w:rPr>
            </w:pPr>
            <w:r>
              <w:rPr>
                <w:rFonts w:ascii="Calibri" w:hAnsi="Calibri" w:cs="Calibri"/>
                <w:b/>
                <w:bCs/>
                <w:color w:val="000000"/>
              </w:rPr>
              <w:t>Expertise (Produit, Métier, Fonctionnelle)</w:t>
            </w:r>
          </w:p>
        </w:tc>
        <w:tc>
          <w:tcPr>
            <w:tcW w:w="1666"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41" w14:textId="77777777">
            <w:pPr>
              <w:rPr>
                <w:rFonts w:ascii="Times New Roman" w:hAnsi="Times New Roman" w:cs="Times New Roman"/>
                <w:sz w:val="24"/>
                <w:szCs w:val="24"/>
              </w:rPr>
            </w:pPr>
            <w:r>
              <w:rPr>
                <w:rFonts w:ascii="Calibri" w:hAnsi="Calibri" w:cs="Calibri"/>
                <w:color w:val="000000"/>
              </w:rPr>
              <w:t>Unités d’œuvre par profils d’intervenants (UO)</w:t>
            </w:r>
          </w:p>
        </w:tc>
        <w:tc>
          <w:tcPr>
            <w:tcW w:w="1632"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42" w14:textId="77777777">
            <w:pPr>
              <w:rPr>
                <w:rFonts w:ascii="Times New Roman" w:hAnsi="Times New Roman" w:cs="Times New Roman"/>
                <w:sz w:val="24"/>
                <w:szCs w:val="24"/>
              </w:rPr>
            </w:pPr>
            <w:r>
              <w:rPr>
                <w:rFonts w:ascii="Calibri" w:hAnsi="Calibri" w:cs="Calibri"/>
                <w:color w:val="000000"/>
              </w:rPr>
              <w:t>DSI, directions et unités INRAE</w:t>
            </w:r>
          </w:p>
        </w:tc>
        <w:tc>
          <w:tcPr>
            <w:tcW w:w="236" w:type="dxa"/>
            <w:tcBorders>
              <w:top w:val="none" w:color="000000" w:sz="4" w:space="0"/>
              <w:left w:val="none" w:color="000000" w:sz="4" w:space="0"/>
              <w:bottom w:val="none" w:color="000000" w:sz="4" w:space="0"/>
              <w:right w:val="none" w:color="000000" w:sz="4" w:space="0"/>
            </w:tcBorders>
            <w:tcMar>
              <w:top w:w="0" w:type="dxa"/>
              <w:left w:w="108" w:type="dxa"/>
              <w:bottom w:w="0" w:type="dxa"/>
              <w:right w:w="108" w:type="dxa"/>
            </w:tcMar>
            <w:vAlign w:val="center"/>
          </w:tcPr>
          <w:p w:rsidR="006E6D7A" w:rsidRDefault="00B16C64" w14:paraId="67157443" w14:textId="77777777">
            <w:pPr>
              <w:rPr>
                <w:rFonts w:ascii="Times New Roman" w:hAnsi="Times New Roman" w:cs="Times New Roman"/>
                <w:sz w:val="24"/>
                <w:szCs w:val="24"/>
              </w:rPr>
            </w:pPr>
            <w:r>
              <w:rPr>
                <w:rFonts w:ascii="Times New Roman" w:hAnsi="Times New Roman" w:cs="Times New Roman"/>
                <w:sz w:val="24"/>
                <w:szCs w:val="24"/>
              </w:rPr>
              <w:t> </w:t>
            </w:r>
          </w:p>
        </w:tc>
      </w:tr>
      <w:tr w:rsidR="006E6D7A" w14:paraId="6715744B" w14:textId="77777777">
        <w:trPr>
          <w:trHeight w:val="20"/>
          <w:tblCellSpacing w:w="0" w:type="dxa"/>
        </w:trPr>
        <w:tc>
          <w:tcPr>
            <w:tcW w:w="557"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45" w14:textId="77777777">
            <w:pPr>
              <w:rPr>
                <w:rFonts w:ascii="Times New Roman" w:hAnsi="Times New Roman" w:cs="Times New Roman"/>
                <w:sz w:val="24"/>
                <w:szCs w:val="24"/>
              </w:rPr>
            </w:pPr>
            <w:r>
              <w:rPr>
                <w:rFonts w:ascii="Calibri" w:hAnsi="Calibri" w:cs="Calibri"/>
                <w:color w:val="000000"/>
              </w:rPr>
              <w:t>G</w:t>
            </w:r>
          </w:p>
        </w:tc>
        <w:tc>
          <w:tcPr>
            <w:tcW w:w="1666"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46" w14:textId="77777777">
            <w:pPr>
              <w:rPr>
                <w:rFonts w:ascii="Times New Roman" w:hAnsi="Times New Roman" w:cs="Times New Roman"/>
                <w:sz w:val="24"/>
                <w:szCs w:val="24"/>
              </w:rPr>
            </w:pPr>
            <w:r>
              <w:rPr>
                <w:rFonts w:ascii="Calibri" w:hAnsi="Calibri" w:cs="Calibri"/>
                <w:b/>
                <w:bCs/>
                <w:color w:val="000000"/>
              </w:rPr>
              <w:t>Prestations de sortie</w:t>
            </w:r>
          </w:p>
        </w:tc>
        <w:tc>
          <w:tcPr>
            <w:tcW w:w="2940"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47" w14:textId="77777777">
            <w:pPr>
              <w:rPr>
                <w:rFonts w:ascii="Times New Roman" w:hAnsi="Times New Roman" w:cs="Times New Roman"/>
                <w:sz w:val="24"/>
                <w:szCs w:val="24"/>
              </w:rPr>
            </w:pPr>
            <w:r>
              <w:rPr>
                <w:rFonts w:ascii="Calibri" w:hAnsi="Calibri" w:cs="Calibri"/>
                <w:b/>
                <w:bCs/>
                <w:color w:val="000000"/>
              </w:rPr>
              <w:t>Réversibilité et transfert de compétences</w:t>
            </w:r>
          </w:p>
        </w:tc>
        <w:tc>
          <w:tcPr>
            <w:tcW w:w="1666"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48" w14:textId="77777777">
            <w:pPr>
              <w:rPr>
                <w:rFonts w:ascii="Times New Roman" w:hAnsi="Times New Roman" w:cs="Times New Roman"/>
                <w:sz w:val="24"/>
                <w:szCs w:val="24"/>
              </w:rPr>
            </w:pPr>
            <w:r>
              <w:rPr>
                <w:rFonts w:ascii="Calibri" w:hAnsi="Calibri" w:cs="Calibri"/>
                <w:color w:val="000000"/>
              </w:rPr>
              <w:t>Forfaitaire (1 fois)</w:t>
            </w:r>
          </w:p>
        </w:tc>
        <w:tc>
          <w:tcPr>
            <w:tcW w:w="1632" w:type="dxa"/>
            <w:tcBorders>
              <w:top w:val="single" w:color="03A6A3" w:sz="8" w:space="0"/>
              <w:left w:val="single" w:color="03A6A3" w:sz="8" w:space="0"/>
              <w:bottom w:val="single" w:color="03A6A3" w:sz="8" w:space="0"/>
              <w:right w:val="single" w:color="03A6A3" w:sz="8" w:space="0"/>
            </w:tcBorders>
            <w:tcMar>
              <w:top w:w="0" w:type="dxa"/>
              <w:left w:w="108" w:type="dxa"/>
              <w:bottom w:w="0" w:type="dxa"/>
              <w:right w:w="108" w:type="dxa"/>
            </w:tcMar>
            <w:vAlign w:val="center"/>
          </w:tcPr>
          <w:p w:rsidR="006E6D7A" w:rsidRDefault="00B16C64" w14:paraId="67157449" w14:textId="77777777">
            <w:pPr>
              <w:rPr>
                <w:rFonts w:ascii="Times New Roman" w:hAnsi="Times New Roman" w:cs="Times New Roman"/>
                <w:sz w:val="24"/>
                <w:szCs w:val="24"/>
              </w:rPr>
            </w:pPr>
            <w:r>
              <w:rPr>
                <w:rFonts w:ascii="Calibri" w:hAnsi="Calibri" w:cs="Calibri"/>
                <w:color w:val="000000"/>
              </w:rPr>
              <w:t>DSI, directions et unités INRAE</w:t>
            </w:r>
          </w:p>
        </w:tc>
        <w:tc>
          <w:tcPr>
            <w:tcW w:w="236" w:type="dxa"/>
            <w:tcBorders>
              <w:top w:val="none" w:color="000000" w:sz="4" w:space="0"/>
              <w:left w:val="none" w:color="000000" w:sz="4" w:space="0"/>
              <w:bottom w:val="none" w:color="000000" w:sz="4" w:space="0"/>
              <w:right w:val="none" w:color="000000" w:sz="4" w:space="0"/>
            </w:tcBorders>
            <w:tcMar>
              <w:top w:w="0" w:type="dxa"/>
              <w:left w:w="108" w:type="dxa"/>
              <w:bottom w:w="0" w:type="dxa"/>
              <w:right w:w="108" w:type="dxa"/>
            </w:tcMar>
            <w:vAlign w:val="center"/>
          </w:tcPr>
          <w:p w:rsidR="006E6D7A" w:rsidRDefault="00B16C64" w14:paraId="6715744A" w14:textId="77777777">
            <w:pPr>
              <w:rPr>
                <w:rFonts w:ascii="Times New Roman" w:hAnsi="Times New Roman" w:cs="Times New Roman"/>
                <w:sz w:val="24"/>
                <w:szCs w:val="24"/>
              </w:rPr>
            </w:pPr>
            <w:r>
              <w:rPr>
                <w:rFonts w:ascii="Times New Roman" w:hAnsi="Times New Roman" w:cs="Times New Roman"/>
                <w:sz w:val="24"/>
                <w:szCs w:val="24"/>
              </w:rPr>
              <w:t> </w:t>
            </w:r>
          </w:p>
        </w:tc>
      </w:tr>
    </w:tbl>
    <w:p w:rsidR="006E6D7A" w:rsidRDefault="00B16C64" w14:paraId="6715744C" w14:textId="77777777">
      <w:pPr>
        <w:pStyle w:val="Titre4"/>
        <w:numPr>
          <w:ilvl w:val="4"/>
          <w:numId w:val="3"/>
        </w:numPr>
        <w:rPr>
          <w:rFonts w:ascii="Times New Roman" w:hAnsi="Times New Roman" w:cs="Times New Roman"/>
          <w:b/>
          <w:bCs/>
          <w:sz w:val="36"/>
          <w:szCs w:val="36"/>
        </w:rPr>
      </w:pPr>
      <w:r>
        <w:rPr>
          <w:rFonts w:ascii="Calibri" w:hAnsi="Calibri" w:cs="Calibri"/>
          <w:b/>
          <w:bCs/>
          <w:color w:val="03A3A6"/>
          <w:sz w:val="28"/>
          <w:szCs w:val="28"/>
        </w:rPr>
        <w:t>Description détaillée des prestations</w:t>
      </w:r>
    </w:p>
    <w:p w:rsidR="006E6D7A" w:rsidRDefault="00A65D8D" w14:paraId="6715744E" w14:textId="0EB41919">
      <w:pPr>
        <w:pStyle w:val="Titre5"/>
        <w:numPr>
          <w:ilvl w:val="5"/>
          <w:numId w:val="3"/>
        </w:numPr>
        <w:rPr>
          <w:rFonts w:ascii="Times New Roman" w:hAnsi="Times New Roman" w:cs="Times New Roman"/>
          <w:bCs/>
          <w:sz w:val="27"/>
          <w:szCs w:val="27"/>
        </w:rPr>
      </w:pPr>
      <w:r w:rsidRPr="0083408A">
        <w:rPr>
          <w:rFonts w:ascii="Calibri" w:hAnsi="Calibri" w:cs="Calibri"/>
          <w:bCs/>
          <w:color w:val="03A3A6"/>
          <w:sz w:val="24"/>
          <w:szCs w:val="24"/>
        </w:rPr>
        <w:t>Initiali</w:t>
      </w:r>
      <w:r w:rsidRPr="0083408A" w:rsidR="00B16C64">
        <w:rPr>
          <w:rFonts w:ascii="Calibri" w:hAnsi="Calibri" w:cs="Calibri"/>
          <w:bCs/>
          <w:color w:val="03A3A6"/>
          <w:sz w:val="24"/>
          <w:szCs w:val="24"/>
        </w:rPr>
        <w:t>sation des</w:t>
      </w:r>
      <w:r w:rsidR="00B16C64">
        <w:rPr>
          <w:rFonts w:ascii="Calibri" w:hAnsi="Calibri" w:cs="Calibri"/>
          <w:bCs/>
          <w:color w:val="03A3A6"/>
          <w:sz w:val="24"/>
          <w:szCs w:val="24"/>
        </w:rPr>
        <w:t xml:space="preserve"> prestations</w:t>
      </w:r>
    </w:p>
    <w:p w:rsidR="006E6D7A" w:rsidRDefault="00B16C64" w14:paraId="6715744F" w14:textId="77777777">
      <w:pPr>
        <w:pStyle w:val="Titre6"/>
        <w:numPr>
          <w:ilvl w:val="6"/>
          <w:numId w:val="3"/>
        </w:numPr>
        <w:rPr>
          <w:rFonts w:ascii="Times New Roman" w:hAnsi="Times New Roman" w:cs="Times New Roman"/>
          <w:b/>
          <w:bCs/>
          <w:sz w:val="24"/>
          <w:szCs w:val="24"/>
        </w:rPr>
      </w:pPr>
      <w:r>
        <w:rPr>
          <w:rFonts w:ascii="Calibri" w:hAnsi="Calibri" w:cs="Calibri"/>
          <w:b/>
          <w:bCs/>
          <w:color w:val="03A6A3"/>
        </w:rPr>
        <w:t>Objectifs et contexte de la prestation</w:t>
      </w:r>
    </w:p>
    <w:p w:rsidR="006E6D7A" w:rsidRDefault="00B16C64" w14:paraId="67157450" w14:textId="77777777">
      <w:pPr>
        <w:spacing w:before="60"/>
        <w:rPr>
          <w:rFonts w:ascii="Times New Roman" w:hAnsi="Times New Roman" w:cs="Times New Roman"/>
          <w:sz w:val="24"/>
          <w:szCs w:val="24"/>
        </w:rPr>
      </w:pPr>
      <w:r>
        <w:rPr>
          <w:rFonts w:ascii="Calibri" w:hAnsi="Calibri" w:cs="Calibri"/>
          <w:color w:val="000000"/>
        </w:rPr>
        <w:t xml:space="preserve">Cette prestation a pour objet la réalisation d’activités d’initialisation des prestations du lot </w:t>
      </w:r>
      <w:proofErr w:type="spellStart"/>
      <w:r>
        <w:rPr>
          <w:rFonts w:ascii="Calibri" w:hAnsi="Calibri" w:cs="Calibri"/>
          <w:color w:val="000000"/>
        </w:rPr>
        <w:t>devsecops</w:t>
      </w:r>
      <w:proofErr w:type="spellEnd"/>
      <w:r>
        <w:rPr>
          <w:rFonts w:ascii="Calibri" w:hAnsi="Calibri" w:cs="Calibri"/>
          <w:color w:val="000000"/>
        </w:rPr>
        <w:t xml:space="preserve"> et le cas échéant de chaque marché subséquent du présent accord-cadre et d’installation des moyens et ressources requis pour assurer la bonne exécution des travaux à venir.</w:t>
      </w:r>
    </w:p>
    <w:p w:rsidR="006E6D7A" w:rsidRDefault="00B16C64" w14:paraId="67157451" w14:textId="77777777">
      <w:pPr>
        <w:rPr>
          <w:rFonts w:ascii="Times New Roman" w:hAnsi="Times New Roman" w:cs="Times New Roman"/>
          <w:sz w:val="24"/>
          <w:szCs w:val="24"/>
        </w:rPr>
      </w:pPr>
      <w:r>
        <w:rPr>
          <w:rFonts w:ascii="Calibri" w:hAnsi="Calibri" w:cs="Calibri"/>
          <w:color w:val="000000"/>
        </w:rPr>
        <w:t>L’objectif est qu’au terme de cette prestation, le titulaire ait défini et mis en place :</w:t>
      </w:r>
    </w:p>
    <w:p w:rsidR="006E6D7A" w:rsidRDefault="00B16C64" w14:paraId="67157452" w14:textId="77777777">
      <w:pPr>
        <w:numPr>
          <w:ilvl w:val="0"/>
          <w:numId w:val="130"/>
        </w:numPr>
        <w:tabs>
          <w:tab w:val="left" w:pos="0"/>
        </w:tabs>
        <w:ind w:left="1440"/>
        <w:rPr>
          <w:rFonts w:ascii="Times New Roman" w:hAnsi="Times New Roman" w:cs="Times New Roman"/>
          <w:sz w:val="24"/>
          <w:szCs w:val="24"/>
        </w:rPr>
      </w:pPr>
      <w:r>
        <w:rPr>
          <w:rFonts w:ascii="Calibri" w:hAnsi="Calibri" w:cs="Calibri"/>
          <w:color w:val="000000"/>
        </w:rPr>
        <w:t>D’une manière générale, toutes les conditions lui permettant d’exécuter pleinement l’ensemble des travaux dont il aura la charge ;</w:t>
      </w:r>
    </w:p>
    <w:p w:rsidR="006E6D7A" w:rsidRDefault="00B16C64" w14:paraId="67157453" w14:textId="77777777">
      <w:pPr>
        <w:numPr>
          <w:ilvl w:val="0"/>
          <w:numId w:val="130"/>
        </w:numPr>
        <w:tabs>
          <w:tab w:val="left" w:pos="0"/>
        </w:tabs>
        <w:ind w:left="1440"/>
        <w:rPr>
          <w:rFonts w:ascii="Times New Roman" w:hAnsi="Times New Roman" w:cs="Times New Roman"/>
          <w:sz w:val="24"/>
          <w:szCs w:val="24"/>
        </w:rPr>
      </w:pPr>
      <w:r>
        <w:rPr>
          <w:rFonts w:ascii="Calibri" w:hAnsi="Calibri" w:cs="Calibri"/>
          <w:color w:val="000000"/>
        </w:rPr>
        <w:t>L’ensemble des moyens (humains et techniques), les processus et l’organisation lui permettant d’exécuter pleinement l’ensemble des travaux demandés, conformément aux objectifs de qualité et de performance recherchés.</w:t>
      </w:r>
    </w:p>
    <w:p w:rsidR="006E6D7A" w:rsidRDefault="00B16C64" w14:paraId="67157454" w14:textId="77777777">
      <w:pPr>
        <w:spacing w:before="60"/>
        <w:rPr>
          <w:rFonts w:ascii="Times New Roman" w:hAnsi="Times New Roman" w:cs="Times New Roman"/>
          <w:sz w:val="24"/>
          <w:szCs w:val="24"/>
        </w:rPr>
      </w:pPr>
      <w:r>
        <w:rPr>
          <w:rFonts w:ascii="Calibri" w:hAnsi="Calibri" w:cs="Calibri"/>
          <w:color w:val="000000"/>
        </w:rPr>
        <w:t>Cette prestation a pour but d’installer le titulaire dans ses missions auprès d‘INRAE sur les différents axes suivants :</w:t>
      </w:r>
    </w:p>
    <w:p w:rsidR="006E6D7A" w:rsidRDefault="00B16C64" w14:paraId="67157455" w14:textId="77777777">
      <w:pPr>
        <w:numPr>
          <w:ilvl w:val="0"/>
          <w:numId w:val="131"/>
        </w:numPr>
        <w:tabs>
          <w:tab w:val="left" w:pos="0"/>
        </w:tabs>
        <w:ind w:left="1440"/>
        <w:rPr>
          <w:rFonts w:ascii="Times New Roman" w:hAnsi="Times New Roman" w:cs="Times New Roman"/>
          <w:sz w:val="24"/>
          <w:szCs w:val="24"/>
        </w:rPr>
      </w:pPr>
      <w:r>
        <w:rPr>
          <w:rFonts w:ascii="Calibri" w:hAnsi="Calibri" w:cs="Calibri"/>
          <w:color w:val="000000"/>
        </w:rPr>
        <w:t>La prise de connaissance globale du contexte et de ses évolutions prévisibles</w:t>
      </w:r>
    </w:p>
    <w:p w:rsidR="006E6D7A" w:rsidRDefault="00B16C64" w14:paraId="67157456" w14:textId="77777777">
      <w:pPr>
        <w:numPr>
          <w:ilvl w:val="0"/>
          <w:numId w:val="131"/>
        </w:numPr>
        <w:tabs>
          <w:tab w:val="left" w:pos="0"/>
        </w:tabs>
        <w:ind w:left="1440"/>
        <w:rPr>
          <w:rFonts w:ascii="Times New Roman" w:hAnsi="Times New Roman" w:cs="Times New Roman"/>
          <w:sz w:val="24"/>
          <w:szCs w:val="24"/>
        </w:rPr>
      </w:pPr>
      <w:r>
        <w:rPr>
          <w:rFonts w:ascii="Calibri" w:hAnsi="Calibri" w:cs="Calibri"/>
          <w:color w:val="000000"/>
        </w:rPr>
        <w:t>La prise en compte, l’analyse et l’appropriation des enjeux particuliers du domaine de prestations par le titulaire. Cela permet au titulaire de produire une synthèse des ajustements souhaitables de son point de vue pour maximiser l’efficience de ses prestations,</w:t>
      </w:r>
    </w:p>
    <w:p w:rsidR="006E6D7A" w:rsidRDefault="00B16C64" w14:paraId="67157457" w14:textId="77777777">
      <w:pPr>
        <w:numPr>
          <w:ilvl w:val="0"/>
          <w:numId w:val="131"/>
        </w:numPr>
        <w:tabs>
          <w:tab w:val="left" w:pos="0"/>
        </w:tabs>
        <w:ind w:left="1440"/>
        <w:rPr>
          <w:rFonts w:ascii="Times New Roman" w:hAnsi="Times New Roman" w:cs="Times New Roman"/>
          <w:sz w:val="24"/>
          <w:szCs w:val="24"/>
        </w:rPr>
      </w:pPr>
      <w:r>
        <w:rPr>
          <w:rFonts w:ascii="Calibri" w:hAnsi="Calibri" w:cs="Calibri"/>
          <w:color w:val="000000"/>
        </w:rPr>
        <w:t>La description des différentes prestations à mener et les modalités de mise en œuvre de ces prestations afin de pouvoir les assurer dans le respect de toutes les dispositions prévues,</w:t>
      </w:r>
    </w:p>
    <w:p w:rsidR="006E6D7A" w:rsidRDefault="00B16C64" w14:paraId="67157458" w14:textId="77777777">
      <w:pPr>
        <w:numPr>
          <w:ilvl w:val="0"/>
          <w:numId w:val="131"/>
        </w:numPr>
        <w:tabs>
          <w:tab w:val="left" w:pos="0"/>
        </w:tabs>
        <w:ind w:left="1440"/>
        <w:rPr>
          <w:rFonts w:ascii="Times New Roman" w:hAnsi="Times New Roman" w:cs="Times New Roman"/>
          <w:sz w:val="24"/>
          <w:szCs w:val="24"/>
        </w:rPr>
      </w:pPr>
      <w:r>
        <w:rPr>
          <w:rFonts w:ascii="Calibri" w:hAnsi="Calibri" w:cs="Calibri"/>
          <w:color w:val="000000"/>
        </w:rPr>
        <w:t>La mise en place effective de l’équipe du titulaire, des outils et des modalités d’interaction avec les équipes INRAE (méthodes, processus/outil, logistique…),</w:t>
      </w:r>
    </w:p>
    <w:p w:rsidR="006E6D7A" w:rsidRDefault="00B16C64" w14:paraId="67157459" w14:textId="77777777">
      <w:pPr>
        <w:spacing w:before="60"/>
        <w:rPr>
          <w:rFonts w:ascii="Times New Roman" w:hAnsi="Times New Roman" w:cs="Times New Roman"/>
          <w:sz w:val="24"/>
          <w:szCs w:val="24"/>
        </w:rPr>
      </w:pPr>
      <w:r>
        <w:rPr>
          <w:rFonts w:ascii="Calibri" w:hAnsi="Calibri" w:cs="Calibri"/>
          <w:color w:val="000000"/>
        </w:rPr>
        <w:t>Cette étape importante pose les fondements de la performance de l’exécution des travaux et de la relation de confiance à construire entre INRAE et le titulaire.</w:t>
      </w:r>
    </w:p>
    <w:p w:rsidR="006E6D7A" w:rsidRDefault="00B16C64" w14:paraId="6715745A" w14:textId="77777777">
      <w:pPr>
        <w:rPr>
          <w:rFonts w:ascii="Times New Roman" w:hAnsi="Times New Roman" w:cs="Times New Roman"/>
          <w:sz w:val="24"/>
          <w:szCs w:val="24"/>
        </w:rPr>
      </w:pPr>
      <w:r>
        <w:rPr>
          <w:rFonts w:ascii="Calibri" w:hAnsi="Calibri" w:cs="Calibri"/>
          <w:color w:val="000000"/>
        </w:rPr>
        <w:t>En particulier, lors de cette phase, le titulaire doit veiller à :</w:t>
      </w:r>
    </w:p>
    <w:p w:rsidR="006E6D7A" w:rsidRDefault="00B16C64" w14:paraId="6715745B" w14:textId="77777777">
      <w:pPr>
        <w:numPr>
          <w:ilvl w:val="0"/>
          <w:numId w:val="132"/>
        </w:numPr>
        <w:tabs>
          <w:tab w:val="left" w:pos="0"/>
        </w:tabs>
        <w:ind w:left="1440"/>
        <w:rPr>
          <w:rFonts w:ascii="Times New Roman" w:hAnsi="Times New Roman" w:cs="Times New Roman"/>
          <w:sz w:val="24"/>
          <w:szCs w:val="24"/>
        </w:rPr>
      </w:pPr>
      <w:r>
        <w:rPr>
          <w:rFonts w:ascii="Calibri" w:hAnsi="Calibri" w:cs="Calibri"/>
          <w:color w:val="000000"/>
        </w:rPr>
        <w:t>Être force de proposition (en matière d’organisation, de processus, de moyens, d’outillage) pour optimiser la performance des différents processus faisant l’objet du lot (amélioration de la qualité, des délais, industrialisation, automatisation…). En effet, au-delà d’une phase de transition permettant au titulaire de reprendre en charge les différents travaux, cette phase doit s’inscrire dans une véritable dynamique d’amélioration dans laquelle le titulaire doit être un acteur de premier plan ;</w:t>
      </w:r>
    </w:p>
    <w:p w:rsidR="006E6D7A" w:rsidRDefault="00B16C64" w14:paraId="6715745C" w14:textId="77777777">
      <w:pPr>
        <w:numPr>
          <w:ilvl w:val="0"/>
          <w:numId w:val="132"/>
        </w:numPr>
        <w:tabs>
          <w:tab w:val="left" w:pos="0"/>
        </w:tabs>
        <w:ind w:left="1440"/>
        <w:rPr>
          <w:rFonts w:ascii="Times New Roman" w:hAnsi="Times New Roman" w:cs="Times New Roman"/>
          <w:sz w:val="24"/>
          <w:szCs w:val="24"/>
        </w:rPr>
      </w:pPr>
      <w:r>
        <w:rPr>
          <w:rFonts w:ascii="Calibri" w:hAnsi="Calibri" w:cs="Calibri"/>
          <w:color w:val="000000"/>
        </w:rPr>
        <w:t>Prendre en compte le cadre qualité et d’amélioration continue mis en place par INRAE ainsi que les normes et standards qu’il doit respecter ;</w:t>
      </w:r>
    </w:p>
    <w:p w:rsidR="006E6D7A" w:rsidRDefault="00B16C64" w14:paraId="6715745D" w14:textId="77777777">
      <w:pPr>
        <w:numPr>
          <w:ilvl w:val="0"/>
          <w:numId w:val="132"/>
        </w:numPr>
        <w:tabs>
          <w:tab w:val="left" w:pos="0"/>
        </w:tabs>
        <w:ind w:left="1440"/>
        <w:rPr>
          <w:rFonts w:ascii="Times New Roman" w:hAnsi="Times New Roman" w:cs="Times New Roman"/>
          <w:sz w:val="24"/>
          <w:szCs w:val="24"/>
        </w:rPr>
      </w:pPr>
      <w:r>
        <w:rPr>
          <w:rFonts w:ascii="Calibri" w:hAnsi="Calibri" w:cs="Calibri"/>
          <w:color w:val="000000"/>
        </w:rPr>
        <w:t xml:space="preserve">Prendre en compte, organiser les articulations avec les différentes parties prenantes aux travaux dont il a la charge et/ou pour lesquels il contribue. Cela s’applique tout particulièrement </w:t>
      </w:r>
      <w:r>
        <w:rPr>
          <w:rFonts w:ascii="Calibri" w:hAnsi="Calibri" w:cs="Calibri"/>
          <w:color w:val="000000"/>
        </w:rPr>
        <w:lastRenderedPageBreak/>
        <w:t>avec les autres prestataires, et en premier lieu celui ou ceux en charge de travaux d’administration/exploitation/support ;</w:t>
      </w:r>
    </w:p>
    <w:p w:rsidR="006E6D7A" w:rsidRDefault="00B16C64" w14:paraId="6715745E" w14:textId="77777777">
      <w:pPr>
        <w:numPr>
          <w:ilvl w:val="0"/>
          <w:numId w:val="132"/>
        </w:numPr>
        <w:tabs>
          <w:tab w:val="left" w:pos="0"/>
        </w:tabs>
        <w:ind w:left="1440"/>
        <w:rPr>
          <w:rFonts w:ascii="Times New Roman" w:hAnsi="Times New Roman" w:cs="Times New Roman"/>
          <w:sz w:val="24"/>
          <w:szCs w:val="24"/>
        </w:rPr>
      </w:pPr>
      <w:r>
        <w:rPr>
          <w:rFonts w:ascii="Calibri" w:hAnsi="Calibri" w:cs="Calibri"/>
          <w:color w:val="000000"/>
        </w:rPr>
        <w:t>Engager avec INRAE le travail d’élaboration d’un plan de progrès.</w:t>
      </w:r>
    </w:p>
    <w:p w:rsidR="006E6D7A" w:rsidRDefault="00B16C64" w14:paraId="6715745F" w14:textId="77777777">
      <w:pPr>
        <w:tabs>
          <w:tab w:val="left" w:pos="0"/>
        </w:tabs>
        <w:rPr>
          <w:rFonts w:ascii="Times New Roman" w:hAnsi="Times New Roman" w:cs="Times New Roman"/>
          <w:sz w:val="24"/>
          <w:szCs w:val="24"/>
        </w:rPr>
      </w:pPr>
      <w:r>
        <w:rPr>
          <w:rFonts w:ascii="Calibri" w:hAnsi="Calibri" w:cs="Calibri"/>
          <w:color w:val="000000"/>
        </w:rPr>
        <w:t>La prestation débute à compter de la réception par le titulaire du bon de commande ou à la date indiquée par celui-ci et s’achève à l’admission de la prestation par procès-verbal de recette validé par le prescripteur INRAE.</w:t>
      </w:r>
    </w:p>
    <w:p w:rsidR="006E6D7A" w:rsidRDefault="00B16C64" w14:paraId="67157460" w14:textId="77777777">
      <w:pPr>
        <w:keepNext/>
        <w:numPr>
          <w:ilvl w:val="2"/>
          <w:numId w:val="133"/>
        </w:numPr>
        <w:tabs>
          <w:tab w:val="left" w:pos="567"/>
          <w:tab w:val="left" w:pos="1134"/>
        </w:tabs>
        <w:spacing w:before="240" w:after="60"/>
        <w:outlineLvl w:val="3"/>
        <w:rPr>
          <w:rFonts w:ascii="Times New Roman" w:hAnsi="Times New Roman" w:cs="Times New Roman"/>
          <w:b/>
          <w:bCs/>
          <w:sz w:val="24"/>
          <w:szCs w:val="24"/>
        </w:rPr>
      </w:pPr>
      <w:r>
        <w:rPr>
          <w:rFonts w:ascii="Calibri" w:hAnsi="Calibri" w:cs="Calibri"/>
          <w:b/>
          <w:bCs/>
          <w:color w:val="03A6A3"/>
        </w:rPr>
        <w:t>Descriptif de la prestation</w:t>
      </w:r>
    </w:p>
    <w:p w:rsidR="006E6D7A" w:rsidRDefault="00B16C64" w14:paraId="67157461" w14:textId="77777777">
      <w:pPr>
        <w:rPr>
          <w:rFonts w:ascii="Times New Roman" w:hAnsi="Times New Roman" w:cs="Times New Roman"/>
          <w:sz w:val="24"/>
          <w:szCs w:val="24"/>
        </w:rPr>
      </w:pPr>
      <w:r>
        <w:rPr>
          <w:rFonts w:ascii="Calibri" w:hAnsi="Calibri" w:cs="Calibri"/>
          <w:color w:val="000000"/>
        </w:rPr>
        <w:t>Il s’agit pour le titulaire de mettre en œuvre toutes les actions permettant l’atteinte des objectifs de la prestation :</w:t>
      </w:r>
    </w:p>
    <w:p w:rsidR="006E6D7A" w:rsidRDefault="00B16C64" w14:paraId="67157462"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La préparation, l’organisation et la synthèse de la réunion de lancement avec INRAE ;</w:t>
      </w:r>
    </w:p>
    <w:p w:rsidR="006E6D7A" w:rsidRDefault="00B16C64" w14:paraId="67157463"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L’immersion et l’appropriation du contexte et des enjeux globaux de INRAE et du domaine et, plus particulièrement des travaux faisant l’objet du présent accord-cadre :</w:t>
      </w:r>
    </w:p>
    <w:p w:rsidR="006E6D7A" w:rsidRDefault="00B16C64" w14:paraId="67157464" w14:textId="77777777">
      <w:pPr>
        <w:numPr>
          <w:ilvl w:val="0"/>
          <w:numId w:val="134"/>
        </w:numPr>
        <w:tabs>
          <w:tab w:val="left" w:pos="0"/>
        </w:tabs>
        <w:ind w:left="1611"/>
        <w:rPr>
          <w:rFonts w:ascii="Times New Roman" w:hAnsi="Times New Roman" w:cs="Times New Roman"/>
          <w:sz w:val="24"/>
          <w:szCs w:val="24"/>
        </w:rPr>
      </w:pPr>
      <w:r>
        <w:rPr>
          <w:rFonts w:ascii="Calibri" w:hAnsi="Calibri" w:cs="Calibri"/>
          <w:color w:val="000000"/>
        </w:rPr>
        <w:t>La participation aux présentations proposées par INRAE,</w:t>
      </w:r>
    </w:p>
    <w:p w:rsidR="006E6D7A" w:rsidRDefault="00B16C64" w14:paraId="67157465" w14:textId="77777777">
      <w:pPr>
        <w:numPr>
          <w:ilvl w:val="0"/>
          <w:numId w:val="134"/>
        </w:numPr>
        <w:tabs>
          <w:tab w:val="left" w:pos="0"/>
        </w:tabs>
        <w:ind w:left="1611"/>
        <w:rPr>
          <w:rFonts w:ascii="Times New Roman" w:hAnsi="Times New Roman" w:cs="Times New Roman"/>
          <w:sz w:val="24"/>
          <w:szCs w:val="24"/>
        </w:rPr>
      </w:pPr>
      <w:r>
        <w:rPr>
          <w:rFonts w:ascii="Calibri" w:hAnsi="Calibri" w:cs="Calibri"/>
          <w:color w:val="000000"/>
        </w:rPr>
        <w:t>L’élaboration d’un rapport d’étonnement sur l’état de l’existant (connaissances disponibles, documentations manquantes, …) et synthèse des ajustements souhaitables sur les processus et outillages du point de vue du titulaire pour maximiser l’efficience de ses prestations ;</w:t>
      </w:r>
    </w:p>
    <w:p w:rsidR="006E6D7A" w:rsidRDefault="00B16C64" w14:paraId="67157466"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La mise en place par le titulaire de ses intervenants et des moyens techniques :</w:t>
      </w:r>
    </w:p>
    <w:p w:rsidR="006E6D7A" w:rsidRDefault="00B16C64" w14:paraId="67157467" w14:textId="77777777">
      <w:pPr>
        <w:numPr>
          <w:ilvl w:val="0"/>
          <w:numId w:val="134"/>
        </w:numPr>
        <w:tabs>
          <w:tab w:val="left" w:pos="0"/>
        </w:tabs>
        <w:spacing w:before="120"/>
        <w:ind w:left="1611"/>
        <w:rPr>
          <w:rFonts w:ascii="Times New Roman" w:hAnsi="Times New Roman" w:cs="Times New Roman"/>
          <w:sz w:val="24"/>
          <w:szCs w:val="24"/>
        </w:rPr>
      </w:pPr>
      <w:r>
        <w:rPr>
          <w:rFonts w:ascii="Calibri" w:hAnsi="Calibri" w:cs="Calibri"/>
          <w:color w:val="000000"/>
        </w:rPr>
        <w:t>La mise en place des intervenants, du management et montée en compétence sur la compréhension générale du contexte</w:t>
      </w:r>
    </w:p>
    <w:p w:rsidR="006E6D7A" w:rsidRDefault="00B16C64" w14:paraId="67157468" w14:textId="77777777">
      <w:pPr>
        <w:numPr>
          <w:ilvl w:val="0"/>
          <w:numId w:val="134"/>
        </w:numPr>
        <w:tabs>
          <w:tab w:val="clear" w:pos="720"/>
          <w:tab w:val="left" w:pos="0"/>
        </w:tabs>
        <w:spacing w:before="120"/>
        <w:ind w:left="1611"/>
        <w:rPr>
          <w:rFonts w:ascii="Calibri" w:hAnsi="Calibri" w:cs="Calibri"/>
          <w:color w:val="000000"/>
        </w:rPr>
      </w:pPr>
      <w:r>
        <w:rPr>
          <w:rFonts w:ascii="Calibri" w:hAnsi="Calibri" w:cs="Calibri"/>
          <w:color w:val="000000"/>
        </w:rPr>
        <w:t>Leur intégration au sein d’équipes intégrées mixtes (comprenant des personnes INRAE et d’autres prestataires)</w:t>
      </w:r>
    </w:p>
    <w:p w:rsidR="006E6D7A" w:rsidRDefault="00B16C64" w14:paraId="67157469" w14:textId="77777777">
      <w:pPr>
        <w:numPr>
          <w:ilvl w:val="0"/>
          <w:numId w:val="134"/>
        </w:numPr>
        <w:tabs>
          <w:tab w:val="left" w:pos="0"/>
        </w:tabs>
        <w:ind w:left="1611"/>
        <w:rPr>
          <w:rFonts w:ascii="Times New Roman" w:hAnsi="Times New Roman" w:cs="Times New Roman"/>
          <w:sz w:val="24"/>
          <w:szCs w:val="24"/>
        </w:rPr>
      </w:pPr>
      <w:r>
        <w:rPr>
          <w:rFonts w:ascii="Calibri" w:hAnsi="Calibri" w:cs="Calibri"/>
          <w:color w:val="000000"/>
        </w:rPr>
        <w:t>La définition et la mise en place des dispositifs de gestion des ressources et des compétences du titulaire : identification et évaluation des compétences, modalités d’acquisition, de maintien et d’amélioration dans la durée des compétences, remplacement des ressources…,</w:t>
      </w:r>
    </w:p>
    <w:p w:rsidR="006E6D7A" w:rsidRDefault="00B16C64" w14:paraId="6715746A" w14:textId="77777777">
      <w:pPr>
        <w:numPr>
          <w:ilvl w:val="0"/>
          <w:numId w:val="134"/>
        </w:numPr>
        <w:tabs>
          <w:tab w:val="left" w:pos="0"/>
        </w:tabs>
        <w:ind w:left="1611"/>
        <w:rPr>
          <w:rFonts w:ascii="Times New Roman" w:hAnsi="Times New Roman" w:cs="Times New Roman"/>
          <w:sz w:val="24"/>
          <w:szCs w:val="24"/>
        </w:rPr>
      </w:pPr>
      <w:r>
        <w:rPr>
          <w:rFonts w:ascii="Calibri" w:hAnsi="Calibri" w:cs="Calibri"/>
          <w:color w:val="000000"/>
        </w:rPr>
        <w:t>La mise en place des différents moyens matériels et techniques nécessaires à la bonne exécution des travaux, conformes aux standards qualité et d’amélioration continue de INRAE et en respect des engagements définis dans le CCTP et/ou mis au point lors de cette phase de lancement,</w:t>
      </w:r>
    </w:p>
    <w:p w:rsidR="006E6D7A" w:rsidRDefault="00B16C64" w14:paraId="6715746B" w14:textId="77777777">
      <w:pPr>
        <w:numPr>
          <w:ilvl w:val="0"/>
          <w:numId w:val="134"/>
        </w:numPr>
        <w:tabs>
          <w:tab w:val="left" w:pos="0"/>
        </w:tabs>
        <w:ind w:left="1611"/>
        <w:rPr>
          <w:rFonts w:ascii="Times New Roman" w:hAnsi="Times New Roman" w:cs="Times New Roman"/>
          <w:sz w:val="24"/>
          <w:szCs w:val="24"/>
        </w:rPr>
      </w:pPr>
      <w:r>
        <w:rPr>
          <w:rFonts w:ascii="Calibri" w:hAnsi="Calibri" w:cs="Calibri"/>
          <w:color w:val="000000"/>
        </w:rPr>
        <w:t>En particulier, ces travaux couvrent la prise en main des solutions de gestion outillant les processus et la gestion de projet, nécessaire à l’exécution des prestations,</w:t>
      </w:r>
    </w:p>
    <w:p w:rsidR="006E6D7A" w:rsidRDefault="00B16C64" w14:paraId="6715746C" w14:textId="77777777">
      <w:pPr>
        <w:numPr>
          <w:ilvl w:val="0"/>
          <w:numId w:val="134"/>
        </w:numPr>
        <w:tabs>
          <w:tab w:val="left" w:pos="0"/>
        </w:tabs>
        <w:ind w:left="1611"/>
        <w:rPr>
          <w:rFonts w:ascii="Times New Roman" w:hAnsi="Times New Roman" w:cs="Times New Roman"/>
          <w:sz w:val="24"/>
          <w:szCs w:val="24"/>
        </w:rPr>
      </w:pPr>
      <w:r>
        <w:rPr>
          <w:rFonts w:ascii="Calibri" w:hAnsi="Calibri" w:cs="Calibri"/>
          <w:color w:val="000000"/>
        </w:rPr>
        <w:t>La mise au point des démarches et des méthodes de travail, en particulier les articulations avec les autres domaines SI ;</w:t>
      </w:r>
    </w:p>
    <w:p w:rsidR="006E6D7A" w:rsidRDefault="00B16C64" w14:paraId="6715746D"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La déclinaison du cadre et du plan de qualité de service et de sécurité :</w:t>
      </w:r>
    </w:p>
    <w:p w:rsidR="006E6D7A" w:rsidRDefault="00B16C64" w14:paraId="6715746E" w14:textId="77777777">
      <w:pPr>
        <w:numPr>
          <w:ilvl w:val="0"/>
          <w:numId w:val="134"/>
        </w:numPr>
        <w:tabs>
          <w:tab w:val="left" w:pos="0"/>
        </w:tabs>
        <w:spacing w:before="120"/>
        <w:ind w:left="1611"/>
        <w:rPr>
          <w:rFonts w:ascii="Times New Roman" w:hAnsi="Times New Roman" w:cs="Times New Roman"/>
          <w:sz w:val="24"/>
          <w:szCs w:val="24"/>
        </w:rPr>
      </w:pPr>
      <w:r>
        <w:rPr>
          <w:rFonts w:ascii="Calibri" w:hAnsi="Calibri" w:cs="Calibri"/>
          <w:color w:val="000000"/>
        </w:rPr>
        <w:t xml:space="preserve">La prise en main des normes et dispositifs qualité et sécurité en vigueur, la politique de sécurité à INRAE et de ses partenaires </w:t>
      </w:r>
    </w:p>
    <w:p w:rsidR="006E6D7A" w:rsidRDefault="00B16C64" w14:paraId="6715746F" w14:textId="77777777">
      <w:pPr>
        <w:numPr>
          <w:ilvl w:val="0"/>
          <w:numId w:val="134"/>
        </w:numPr>
        <w:tabs>
          <w:tab w:val="left" w:pos="0"/>
        </w:tabs>
        <w:ind w:left="1611"/>
        <w:rPr>
          <w:rFonts w:ascii="Times New Roman" w:hAnsi="Times New Roman" w:cs="Times New Roman"/>
          <w:sz w:val="24"/>
          <w:szCs w:val="24"/>
        </w:rPr>
      </w:pPr>
      <w:r>
        <w:rPr>
          <w:rFonts w:ascii="Calibri" w:hAnsi="Calibri" w:cs="Calibri"/>
          <w:color w:val="000000"/>
        </w:rPr>
        <w:t xml:space="preserve">L’adaptation du plan de qualité de service fourni </w:t>
      </w:r>
    </w:p>
    <w:p w:rsidR="006E6D7A" w:rsidRDefault="00B16C64" w14:paraId="67157470"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 xml:space="preserve">Participation à la mise en place de la méthodologie </w:t>
      </w:r>
      <w:proofErr w:type="spellStart"/>
      <w:r>
        <w:rPr>
          <w:rFonts w:ascii="Calibri" w:hAnsi="Calibri" w:cs="Calibri"/>
          <w:color w:val="000000"/>
        </w:rPr>
        <w:t>DevSecOps</w:t>
      </w:r>
      <w:proofErr w:type="spellEnd"/>
      <w:r>
        <w:rPr>
          <w:rFonts w:ascii="Calibri" w:hAnsi="Calibri" w:cs="Calibri"/>
          <w:color w:val="000000"/>
        </w:rPr>
        <w:t xml:space="preserve">, du mode d’organisation </w:t>
      </w:r>
    </w:p>
    <w:p w:rsidR="006E6D7A" w:rsidRDefault="00B16C64" w14:paraId="67157471"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 xml:space="preserve">Partage de la vision DSI </w:t>
      </w:r>
      <w:proofErr w:type="spellStart"/>
      <w:r>
        <w:rPr>
          <w:rFonts w:ascii="Calibri" w:hAnsi="Calibri" w:cs="Calibri"/>
          <w:color w:val="000000"/>
        </w:rPr>
        <w:t>Inrae</w:t>
      </w:r>
      <w:proofErr w:type="spellEnd"/>
    </w:p>
    <w:p w:rsidR="006E6D7A" w:rsidRDefault="00B16C64" w14:paraId="67157472"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 xml:space="preserve">Revue des produits de DSI </w:t>
      </w:r>
      <w:proofErr w:type="spellStart"/>
      <w:r>
        <w:rPr>
          <w:rFonts w:ascii="Calibri" w:hAnsi="Calibri" w:cs="Calibri"/>
          <w:color w:val="000000"/>
        </w:rPr>
        <w:t>Inrae</w:t>
      </w:r>
      <w:proofErr w:type="spellEnd"/>
    </w:p>
    <w:p w:rsidR="006E6D7A" w:rsidRDefault="00B16C64" w14:paraId="67157473"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 xml:space="preserve">Partage et appropriation des architectures </w:t>
      </w:r>
    </w:p>
    <w:p w:rsidR="006E6D7A" w:rsidRDefault="00B16C64" w14:paraId="67157474"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lastRenderedPageBreak/>
        <w:t>Établissement du plan de qualité de service (</w:t>
      </w:r>
      <w:proofErr w:type="spellStart"/>
      <w:r>
        <w:rPr>
          <w:rFonts w:ascii="Calibri" w:hAnsi="Calibri" w:cs="Calibri"/>
          <w:color w:val="000000"/>
        </w:rPr>
        <w:t>Ready</w:t>
      </w:r>
      <w:proofErr w:type="spellEnd"/>
      <w:r>
        <w:rPr>
          <w:rFonts w:ascii="Calibri" w:hAnsi="Calibri" w:cs="Calibri"/>
          <w:color w:val="000000"/>
        </w:rPr>
        <w:t xml:space="preserve"> / </w:t>
      </w:r>
      <w:proofErr w:type="spellStart"/>
      <w:r>
        <w:rPr>
          <w:rFonts w:ascii="Calibri" w:hAnsi="Calibri" w:cs="Calibri"/>
          <w:color w:val="000000"/>
        </w:rPr>
        <w:t>Done</w:t>
      </w:r>
      <w:proofErr w:type="spellEnd"/>
      <w:r>
        <w:rPr>
          <w:rFonts w:ascii="Calibri" w:hAnsi="Calibri" w:cs="Calibri"/>
          <w:color w:val="000000"/>
        </w:rPr>
        <w:t xml:space="preserve"> / Documentation / Indicateur sprint / Indicateur pilotage)</w:t>
      </w:r>
    </w:p>
    <w:p w:rsidR="006E6D7A" w:rsidRDefault="00B16C64" w14:paraId="67157475"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Mise en place des conditions techniques de réalisation</w:t>
      </w:r>
    </w:p>
    <w:p w:rsidR="006E6D7A" w:rsidRDefault="00B16C64" w14:paraId="67157476"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Partage et appropriation des grands concepts métiers des produits portés par SOLAIRE</w:t>
      </w:r>
    </w:p>
    <w:p w:rsidR="006E6D7A" w:rsidRDefault="00B16C64" w14:paraId="67157477"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 xml:space="preserve">Partage et appropriation des composants techniques </w:t>
      </w:r>
    </w:p>
    <w:p w:rsidR="006E6D7A" w:rsidRDefault="00B16C64" w14:paraId="67157478" w14:textId="77777777">
      <w:pPr>
        <w:numPr>
          <w:ilvl w:val="0"/>
          <w:numId w:val="134"/>
        </w:numPr>
        <w:tabs>
          <w:tab w:val="left" w:pos="0"/>
        </w:tabs>
        <w:ind w:left="1440"/>
        <w:rPr>
          <w:rFonts w:ascii="Times New Roman" w:hAnsi="Times New Roman" w:cs="Times New Roman"/>
          <w:sz w:val="24"/>
          <w:szCs w:val="24"/>
        </w:rPr>
      </w:pPr>
      <w:r>
        <w:rPr>
          <w:rFonts w:ascii="Calibri" w:hAnsi="Calibri" w:cs="Calibri"/>
          <w:color w:val="000000"/>
        </w:rPr>
        <w:t>Partage et appropriation des mécanismes d’exploitation</w:t>
      </w:r>
    </w:p>
    <w:p w:rsidR="006E6D7A" w:rsidRDefault="00B16C64" w14:paraId="67157479" w14:textId="77777777">
      <w:pPr>
        <w:keepNext/>
        <w:numPr>
          <w:ilvl w:val="2"/>
          <w:numId w:val="133"/>
        </w:numPr>
        <w:tabs>
          <w:tab w:val="clear" w:pos="2160"/>
          <w:tab w:val="left" w:pos="567"/>
          <w:tab w:val="left" w:pos="1134"/>
        </w:tabs>
        <w:spacing w:before="240" w:after="60"/>
        <w:outlineLvl w:val="3"/>
        <w:rPr>
          <w:rFonts w:ascii="Times New Roman" w:hAnsi="Times New Roman" w:cs="Times New Roman"/>
          <w:b/>
          <w:bCs/>
          <w:sz w:val="24"/>
          <w:szCs w:val="24"/>
        </w:rPr>
      </w:pPr>
      <w:r>
        <w:rPr>
          <w:rFonts w:ascii="Calibri" w:hAnsi="Calibri" w:cs="Calibri"/>
          <w:b/>
          <w:bCs/>
          <w:color w:val="03A6A3"/>
        </w:rPr>
        <w:t>Livrables</w:t>
      </w:r>
    </w:p>
    <w:tbl>
      <w:tblPr>
        <w:tblW w:w="0" w:type="auto"/>
        <w:tblCellSpacing w:w="0" w:type="dxa"/>
        <w:tblLook w:val="04A0" w:firstRow="1" w:lastRow="0" w:firstColumn="1" w:lastColumn="0" w:noHBand="0" w:noVBand="1"/>
      </w:tblPr>
      <w:tblGrid>
        <w:gridCol w:w="2498"/>
        <w:gridCol w:w="5171"/>
        <w:gridCol w:w="1949"/>
      </w:tblGrid>
      <w:tr w:rsidR="006E6D7A" w14:paraId="6715747D"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shd w:val="clear" w:color="FFFFFF" w:fill="00A3A6"/>
            <w:vAlign w:val="center"/>
          </w:tcPr>
          <w:p w:rsidR="006E6D7A" w:rsidRDefault="00B16C64" w14:paraId="6715747A" w14:textId="77777777">
            <w:pPr>
              <w:jc w:val="center"/>
              <w:rPr>
                <w:rFonts w:ascii="Times New Roman" w:hAnsi="Times New Roman" w:cs="Times New Roman"/>
                <w:sz w:val="24"/>
                <w:szCs w:val="24"/>
              </w:rPr>
            </w:pPr>
            <w:r>
              <w:rPr>
                <w:rFonts w:ascii="Calibri" w:hAnsi="Calibri" w:cs="Calibri"/>
                <w:b/>
                <w:bCs/>
                <w:color w:val="FFFFFF"/>
              </w:rPr>
              <w:t>Livrable</w:t>
            </w:r>
          </w:p>
        </w:tc>
        <w:tc>
          <w:tcPr>
            <w:tcW w:w="5247" w:type="dxa"/>
            <w:tcBorders>
              <w:top w:val="single" w:color="00A3A6" w:sz="8" w:space="0"/>
              <w:left w:val="single" w:color="00A3A6" w:sz="8" w:space="0"/>
              <w:bottom w:val="single" w:color="00A3A6" w:sz="8" w:space="0"/>
              <w:right w:val="single" w:color="00A3A6" w:sz="8" w:space="0"/>
            </w:tcBorders>
            <w:shd w:val="clear" w:color="FFFFFF" w:fill="00A3A6"/>
            <w:vAlign w:val="center"/>
          </w:tcPr>
          <w:p w:rsidR="006E6D7A" w:rsidRDefault="00B16C64" w14:paraId="6715747B" w14:textId="77777777">
            <w:pPr>
              <w:jc w:val="center"/>
              <w:rPr>
                <w:rFonts w:ascii="Times New Roman" w:hAnsi="Times New Roman" w:cs="Times New Roman"/>
                <w:sz w:val="24"/>
                <w:szCs w:val="24"/>
              </w:rPr>
            </w:pPr>
            <w:r>
              <w:rPr>
                <w:rFonts w:ascii="Calibri" w:hAnsi="Calibri" w:cs="Calibri"/>
                <w:b/>
                <w:bCs/>
                <w:color w:val="FFFFFF"/>
              </w:rPr>
              <w:t>Points d’attention</w:t>
            </w:r>
          </w:p>
        </w:tc>
        <w:tc>
          <w:tcPr>
            <w:tcW w:w="1984" w:type="dxa"/>
            <w:tcBorders>
              <w:top w:val="single" w:color="00A3A6" w:sz="8" w:space="0"/>
              <w:left w:val="single" w:color="00A3A6" w:sz="8" w:space="0"/>
              <w:bottom w:val="single" w:color="00A3A6" w:sz="8" w:space="0"/>
              <w:right w:val="single" w:color="00A3A6" w:sz="8" w:space="0"/>
            </w:tcBorders>
            <w:shd w:val="clear" w:color="FFFFFF" w:fill="00A3A6"/>
            <w:vAlign w:val="center"/>
          </w:tcPr>
          <w:p w:rsidR="006E6D7A" w:rsidRDefault="00B16C64" w14:paraId="6715747C" w14:textId="77777777">
            <w:pPr>
              <w:jc w:val="center"/>
              <w:rPr>
                <w:rFonts w:ascii="Times New Roman" w:hAnsi="Times New Roman" w:cs="Times New Roman"/>
                <w:sz w:val="24"/>
                <w:szCs w:val="24"/>
              </w:rPr>
            </w:pPr>
            <w:r>
              <w:rPr>
                <w:rFonts w:ascii="Calibri" w:hAnsi="Calibri" w:cs="Calibri"/>
                <w:b/>
                <w:bCs/>
                <w:color w:val="FFFFFF"/>
              </w:rPr>
              <w:t>Délai de livraison</w:t>
            </w:r>
          </w:p>
        </w:tc>
      </w:tr>
      <w:tr w:rsidR="006E6D7A" w14:paraId="67157481"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7E" w14:textId="77777777">
            <w:pPr>
              <w:rPr>
                <w:rFonts w:ascii="Times New Roman" w:hAnsi="Times New Roman" w:cs="Times New Roman"/>
                <w:sz w:val="24"/>
                <w:szCs w:val="24"/>
              </w:rPr>
            </w:pPr>
            <w:r>
              <w:rPr>
                <w:rFonts w:ascii="Calibri" w:hAnsi="Calibri" w:cs="Calibri"/>
                <w:color w:val="000000"/>
              </w:rPr>
              <w:t>Support de préparation du sprint 0</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7F" w14:textId="77777777">
            <w:pPr>
              <w:numPr>
                <w:ilvl w:val="0"/>
                <w:numId w:val="136"/>
              </w:numPr>
              <w:tabs>
                <w:tab w:val="left" w:pos="0"/>
              </w:tabs>
              <w:ind w:left="1440"/>
              <w:rPr>
                <w:rFonts w:ascii="Times New Roman" w:hAnsi="Times New Roman" w:cs="Times New Roman"/>
                <w:sz w:val="24"/>
                <w:szCs w:val="24"/>
              </w:rPr>
            </w:pPr>
            <w:r>
              <w:rPr>
                <w:rFonts w:ascii="Calibri" w:hAnsi="Calibri" w:cs="Calibri"/>
                <w:color w:val="000000"/>
              </w:rPr>
              <w:t xml:space="preserve">A </w:t>
            </w:r>
            <w:proofErr w:type="spellStart"/>
            <w:r>
              <w:rPr>
                <w:rFonts w:ascii="Calibri" w:hAnsi="Calibri" w:cs="Calibri"/>
                <w:color w:val="000000"/>
              </w:rPr>
              <w:t>réaliser</w:t>
            </w:r>
            <w:proofErr w:type="spellEnd"/>
            <w:r>
              <w:rPr>
                <w:rFonts w:ascii="Calibri" w:hAnsi="Calibri" w:cs="Calibri"/>
                <w:color w:val="000000"/>
              </w:rPr>
              <w:t xml:space="preserve"> conjointement avec INRAE</w:t>
            </w:r>
          </w:p>
        </w:tc>
        <w:tc>
          <w:tcPr>
            <w:tcW w:w="1984" w:type="dxa"/>
            <w:vMerge w:val="restart"/>
            <w:tcBorders>
              <w:top w:val="single" w:color="00A3A6" w:sz="8" w:space="0"/>
              <w:left w:val="single" w:color="00A3A6" w:sz="8" w:space="0"/>
              <w:bottom w:val="single" w:color="00A3A6" w:sz="8" w:space="0"/>
              <w:right w:val="single" w:color="00A3A6" w:sz="8" w:space="0"/>
            </w:tcBorders>
            <w:vAlign w:val="center"/>
          </w:tcPr>
          <w:p w:rsidR="006E6D7A" w:rsidRDefault="00B16C64" w14:paraId="67157480" w14:textId="77777777">
            <w:pPr>
              <w:rPr>
                <w:rFonts w:ascii="Times New Roman" w:hAnsi="Times New Roman" w:cs="Times New Roman"/>
                <w:sz w:val="24"/>
                <w:szCs w:val="24"/>
              </w:rPr>
            </w:pPr>
            <w:r>
              <w:rPr>
                <w:rFonts w:ascii="Calibri" w:hAnsi="Calibri" w:cs="Calibri"/>
                <w:color w:val="000000"/>
              </w:rPr>
              <w:t>Délai maximal d’exécution de la prestation : 1 mois</w:t>
            </w:r>
          </w:p>
        </w:tc>
      </w:tr>
      <w:tr w:rsidR="006E6D7A" w14:paraId="67157487"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82" w14:textId="77777777">
            <w:pPr>
              <w:rPr>
                <w:rFonts w:ascii="Times New Roman" w:hAnsi="Times New Roman" w:cs="Times New Roman"/>
                <w:sz w:val="24"/>
                <w:szCs w:val="24"/>
              </w:rPr>
            </w:pPr>
            <w:r>
              <w:rPr>
                <w:rFonts w:ascii="Calibri" w:hAnsi="Calibri" w:cs="Calibri"/>
                <w:color w:val="000000"/>
              </w:rPr>
              <w:t>Rapport d’étonnement qualitatif et quantitatif</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83" w14:textId="77777777">
            <w:pPr>
              <w:numPr>
                <w:ilvl w:val="0"/>
                <w:numId w:val="137"/>
              </w:numPr>
              <w:tabs>
                <w:tab w:val="left" w:pos="0"/>
              </w:tabs>
              <w:ind w:left="1440"/>
              <w:rPr>
                <w:rFonts w:ascii="Times New Roman" w:hAnsi="Times New Roman" w:cs="Times New Roman"/>
                <w:sz w:val="24"/>
                <w:szCs w:val="24"/>
              </w:rPr>
            </w:pPr>
            <w:r>
              <w:rPr>
                <w:rFonts w:ascii="Calibri" w:hAnsi="Calibri" w:cs="Calibri"/>
                <w:color w:val="000000"/>
              </w:rPr>
              <w:t>Analyse des méthodes / processus / outillages</w:t>
            </w:r>
          </w:p>
          <w:p w:rsidR="006E6D7A" w:rsidRDefault="00B16C64" w14:paraId="67157484" w14:textId="77777777">
            <w:pPr>
              <w:numPr>
                <w:ilvl w:val="0"/>
                <w:numId w:val="137"/>
              </w:numPr>
              <w:tabs>
                <w:tab w:val="left" w:pos="0"/>
              </w:tabs>
              <w:ind w:left="1440"/>
              <w:rPr>
                <w:rFonts w:ascii="Times New Roman" w:hAnsi="Times New Roman" w:cs="Times New Roman"/>
                <w:sz w:val="24"/>
                <w:szCs w:val="24"/>
              </w:rPr>
            </w:pPr>
            <w:r>
              <w:rPr>
                <w:rFonts w:ascii="Calibri" w:hAnsi="Calibri" w:cs="Calibri"/>
                <w:color w:val="000000"/>
              </w:rPr>
              <w:t>Documentations / connaissances</w:t>
            </w:r>
          </w:p>
          <w:p w:rsidR="006E6D7A" w:rsidRDefault="00B16C64" w14:paraId="67157485" w14:textId="77777777">
            <w:pPr>
              <w:numPr>
                <w:ilvl w:val="0"/>
                <w:numId w:val="137"/>
              </w:numPr>
              <w:tabs>
                <w:tab w:val="left" w:pos="0"/>
              </w:tabs>
              <w:ind w:left="1440"/>
              <w:rPr>
                <w:rFonts w:ascii="Times New Roman" w:hAnsi="Times New Roman" w:cs="Times New Roman"/>
                <w:sz w:val="24"/>
                <w:szCs w:val="24"/>
              </w:rPr>
            </w:pPr>
            <w:r>
              <w:rPr>
                <w:rFonts w:ascii="Calibri" w:hAnsi="Calibri" w:cs="Calibri"/>
                <w:color w:val="000000"/>
              </w:rPr>
              <w:t>Stratégies spécifiques</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486" w14:textId="77777777">
            <w:pPr>
              <w:spacing w:after="0"/>
              <w:rPr>
                <w:rFonts w:ascii="Times New Roman" w:hAnsi="Times New Roman" w:cs="Times New Roman"/>
                <w:sz w:val="24"/>
                <w:szCs w:val="24"/>
              </w:rPr>
            </w:pPr>
          </w:p>
        </w:tc>
      </w:tr>
      <w:tr w:rsidR="006E6D7A" w14:paraId="6715748D"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88" w14:textId="77777777">
            <w:pPr>
              <w:rPr>
                <w:rFonts w:ascii="Times New Roman" w:hAnsi="Times New Roman" w:cs="Times New Roman"/>
                <w:sz w:val="24"/>
                <w:szCs w:val="24"/>
              </w:rPr>
            </w:pPr>
            <w:r>
              <w:rPr>
                <w:rFonts w:ascii="Calibri" w:hAnsi="Calibri" w:cs="Calibri"/>
                <w:color w:val="000000"/>
              </w:rPr>
              <w:t>Outils à la charge du titulaire en place, testés et opérationnels</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89" w14:textId="77777777">
            <w:pPr>
              <w:rPr>
                <w:rFonts w:ascii="Times New Roman" w:hAnsi="Times New Roman" w:cs="Times New Roman"/>
                <w:sz w:val="24"/>
                <w:szCs w:val="24"/>
              </w:rPr>
            </w:pPr>
            <w:r>
              <w:rPr>
                <w:rFonts w:ascii="Calibri" w:hAnsi="Calibri" w:cs="Calibri"/>
                <w:color w:val="000000"/>
              </w:rPr>
              <w:t>Notamment :</w:t>
            </w:r>
          </w:p>
          <w:p w:rsidR="006E6D7A" w:rsidRDefault="00B16C64" w14:paraId="6715748A" w14:textId="77777777">
            <w:pPr>
              <w:numPr>
                <w:ilvl w:val="0"/>
                <w:numId w:val="138"/>
              </w:numPr>
              <w:tabs>
                <w:tab w:val="left" w:pos="0"/>
              </w:tabs>
              <w:ind w:left="1440"/>
              <w:rPr>
                <w:rFonts w:ascii="Times New Roman" w:hAnsi="Times New Roman" w:cs="Times New Roman"/>
                <w:sz w:val="24"/>
                <w:szCs w:val="24"/>
              </w:rPr>
            </w:pPr>
            <w:r>
              <w:rPr>
                <w:rFonts w:ascii="Calibri" w:hAnsi="Calibri" w:cs="Calibri"/>
                <w:color w:val="000000"/>
              </w:rPr>
              <w:t xml:space="preserve">Installation, configuration, accès aux outillages des processus </w:t>
            </w:r>
            <w:proofErr w:type="gramStart"/>
            <w:r>
              <w:rPr>
                <w:rFonts w:ascii="Calibri" w:hAnsi="Calibri" w:cs="Calibri"/>
                <w:color w:val="000000"/>
              </w:rPr>
              <w:t>INRAE(</w:t>
            </w:r>
            <w:proofErr w:type="gramEnd"/>
            <w:r>
              <w:rPr>
                <w:rFonts w:ascii="Calibri" w:hAnsi="Calibri" w:cs="Calibri"/>
                <w:color w:val="000000"/>
              </w:rPr>
              <w:t>clés MFA, VPN, ...)</w:t>
            </w:r>
          </w:p>
          <w:p w:rsidR="006E6D7A" w:rsidRDefault="00B16C64" w14:paraId="6715748B" w14:textId="77777777">
            <w:pPr>
              <w:numPr>
                <w:ilvl w:val="0"/>
                <w:numId w:val="138"/>
              </w:numPr>
              <w:tabs>
                <w:tab w:val="left" w:pos="0"/>
              </w:tabs>
              <w:ind w:left="1440"/>
              <w:rPr>
                <w:rFonts w:ascii="Times New Roman" w:hAnsi="Times New Roman" w:cs="Times New Roman"/>
                <w:sz w:val="24"/>
                <w:szCs w:val="24"/>
              </w:rPr>
            </w:pPr>
            <w:r>
              <w:rPr>
                <w:rFonts w:ascii="Calibri" w:hAnsi="Calibri" w:cs="Calibri"/>
                <w:color w:val="000000"/>
              </w:rPr>
              <w:t>Le cas échéant : outillage complémentaire prévu par le titulaire pour l’efficacité du domaine de prestation</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48C" w14:textId="77777777">
            <w:pPr>
              <w:spacing w:after="0"/>
              <w:rPr>
                <w:rFonts w:ascii="Times New Roman" w:hAnsi="Times New Roman" w:cs="Times New Roman"/>
                <w:sz w:val="24"/>
                <w:szCs w:val="24"/>
              </w:rPr>
            </w:pPr>
          </w:p>
        </w:tc>
      </w:tr>
      <w:tr w:rsidR="006E6D7A" w14:paraId="67157491"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8E" w14:textId="77777777">
            <w:pPr>
              <w:rPr>
                <w:rFonts w:ascii="Times New Roman" w:hAnsi="Times New Roman" w:cs="Times New Roman"/>
                <w:sz w:val="24"/>
                <w:szCs w:val="24"/>
              </w:rPr>
            </w:pPr>
            <w:r>
              <w:rPr>
                <w:rFonts w:ascii="Calibri" w:hAnsi="Calibri" w:cs="Calibri"/>
                <w:color w:val="000000"/>
              </w:rPr>
              <w:t>Plan d’assurance sécurité de l’accord-cadre</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8F" w14:textId="77777777">
            <w:pPr>
              <w:numPr>
                <w:ilvl w:val="0"/>
                <w:numId w:val="139"/>
              </w:numPr>
              <w:tabs>
                <w:tab w:val="left" w:pos="0"/>
              </w:tabs>
              <w:ind w:left="1440"/>
              <w:rPr>
                <w:rFonts w:ascii="Times New Roman" w:hAnsi="Times New Roman" w:cs="Times New Roman"/>
                <w:sz w:val="24"/>
                <w:szCs w:val="24"/>
              </w:rPr>
            </w:pPr>
            <w:r>
              <w:rPr>
                <w:rFonts w:ascii="Calibri" w:hAnsi="Calibri" w:cs="Calibri"/>
                <w:color w:val="000000"/>
              </w:rPr>
              <w:t>Conforme aux exigences SSI INRAE et RGS / RGPD</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490" w14:textId="77777777">
            <w:pPr>
              <w:spacing w:after="0"/>
              <w:rPr>
                <w:rFonts w:ascii="Times New Roman" w:hAnsi="Times New Roman" w:cs="Times New Roman"/>
                <w:sz w:val="24"/>
                <w:szCs w:val="24"/>
              </w:rPr>
            </w:pPr>
          </w:p>
        </w:tc>
      </w:tr>
      <w:tr w:rsidR="006E6D7A" w14:paraId="67157497"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92" w14:textId="77777777">
            <w:pPr>
              <w:rPr>
                <w:rFonts w:ascii="Times New Roman" w:hAnsi="Times New Roman" w:cs="Times New Roman"/>
                <w:sz w:val="24"/>
                <w:szCs w:val="24"/>
              </w:rPr>
            </w:pPr>
            <w:r>
              <w:rPr>
                <w:rFonts w:ascii="Calibri" w:hAnsi="Calibri" w:cs="Calibri"/>
                <w:color w:val="000000"/>
              </w:rPr>
              <w:t>Plan d’Assurance Qualité commun adapté à l’accord-cadre</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93" w14:textId="77777777">
            <w:pPr>
              <w:rPr>
                <w:rFonts w:ascii="Times New Roman" w:hAnsi="Times New Roman" w:cs="Times New Roman"/>
                <w:sz w:val="24"/>
                <w:szCs w:val="24"/>
              </w:rPr>
            </w:pPr>
            <w:r>
              <w:rPr>
                <w:rFonts w:ascii="Calibri" w:hAnsi="Calibri" w:cs="Calibri"/>
                <w:color w:val="000000"/>
              </w:rPr>
              <w:t>Notamment :</w:t>
            </w:r>
          </w:p>
          <w:p w:rsidR="006E6D7A" w:rsidRDefault="00B16C64" w14:paraId="67157494" w14:textId="77777777">
            <w:pPr>
              <w:numPr>
                <w:ilvl w:val="0"/>
                <w:numId w:val="140"/>
              </w:numPr>
              <w:tabs>
                <w:tab w:val="left" w:pos="0"/>
              </w:tabs>
              <w:ind w:left="1440"/>
              <w:rPr>
                <w:rFonts w:ascii="Times New Roman" w:hAnsi="Times New Roman" w:cs="Times New Roman"/>
                <w:sz w:val="24"/>
                <w:szCs w:val="24"/>
              </w:rPr>
            </w:pPr>
            <w:r>
              <w:rPr>
                <w:rFonts w:ascii="Calibri" w:hAnsi="Calibri" w:cs="Calibri"/>
                <w:color w:val="000000"/>
              </w:rPr>
              <w:t>Description des procédures, méthodologies, règles et plans à mettre en place pour assurer de délivrer le service dans les conditions optimales.</w:t>
            </w:r>
          </w:p>
          <w:p w:rsidR="006E6D7A" w:rsidRDefault="00B16C64" w14:paraId="67157495" w14:textId="77777777">
            <w:pPr>
              <w:numPr>
                <w:ilvl w:val="0"/>
                <w:numId w:val="140"/>
              </w:numPr>
              <w:tabs>
                <w:tab w:val="left" w:pos="0"/>
              </w:tabs>
              <w:ind w:left="1440"/>
              <w:rPr>
                <w:rFonts w:ascii="Times New Roman" w:hAnsi="Times New Roman" w:cs="Times New Roman"/>
                <w:sz w:val="24"/>
                <w:szCs w:val="24"/>
              </w:rPr>
            </w:pPr>
            <w:r>
              <w:rPr>
                <w:rFonts w:ascii="Calibri" w:hAnsi="Calibri" w:cs="Calibri"/>
                <w:color w:val="000000"/>
              </w:rPr>
              <w:t>Description du processus d’élaboration et de maintien à jour du Plan d’Assurance Qualité</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496" w14:textId="77777777">
            <w:pPr>
              <w:spacing w:after="0"/>
              <w:rPr>
                <w:rFonts w:ascii="Times New Roman" w:hAnsi="Times New Roman" w:cs="Times New Roman"/>
                <w:sz w:val="24"/>
                <w:szCs w:val="24"/>
              </w:rPr>
            </w:pPr>
          </w:p>
        </w:tc>
      </w:tr>
      <w:tr w:rsidR="006E6D7A" w14:paraId="671574A1"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98" w14:textId="77777777">
            <w:pPr>
              <w:rPr>
                <w:rFonts w:ascii="Times New Roman" w:hAnsi="Times New Roman" w:cs="Times New Roman"/>
                <w:sz w:val="24"/>
                <w:szCs w:val="24"/>
              </w:rPr>
            </w:pPr>
            <w:r>
              <w:rPr>
                <w:rFonts w:ascii="Calibri" w:hAnsi="Calibri" w:cs="Calibri"/>
                <w:color w:val="000000"/>
              </w:rPr>
              <w:t>État des lieux (sous forme de liste) des ressources nécessaires à l’activité du titulaire, types d’accès aux ressources mises à disposition du titulaire.</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99" w14:textId="77777777">
            <w:pPr>
              <w:rPr>
                <w:rFonts w:ascii="Times New Roman" w:hAnsi="Times New Roman" w:cs="Times New Roman"/>
                <w:sz w:val="24"/>
                <w:szCs w:val="24"/>
              </w:rPr>
            </w:pPr>
            <w:r>
              <w:rPr>
                <w:rFonts w:ascii="Calibri" w:hAnsi="Calibri" w:cs="Calibri"/>
                <w:color w:val="000000"/>
              </w:rPr>
              <w:t>Ce référentiel permettra au titulaire de rapidement effectuer les demandes d’accès au début de chaque phase de montée en compétences</w:t>
            </w:r>
          </w:p>
          <w:p w:rsidR="006E6D7A" w:rsidRDefault="00B16C64" w14:paraId="6715749A" w14:textId="77777777">
            <w:pPr>
              <w:rPr>
                <w:rFonts w:ascii="Times New Roman" w:hAnsi="Times New Roman" w:cs="Times New Roman"/>
                <w:sz w:val="24"/>
                <w:szCs w:val="24"/>
              </w:rPr>
            </w:pPr>
            <w:r>
              <w:rPr>
                <w:rFonts w:ascii="Calibri" w:hAnsi="Calibri" w:cs="Calibri"/>
                <w:color w:val="000000"/>
              </w:rPr>
              <w:t>L’état des lieux contient notamment :</w:t>
            </w:r>
          </w:p>
          <w:p w:rsidR="006E6D7A" w:rsidRDefault="00B16C64" w14:paraId="6715749B" w14:textId="77777777">
            <w:pPr>
              <w:numPr>
                <w:ilvl w:val="0"/>
                <w:numId w:val="141"/>
              </w:numPr>
              <w:tabs>
                <w:tab w:val="left" w:pos="0"/>
              </w:tabs>
              <w:ind w:left="1440"/>
              <w:rPr>
                <w:rFonts w:ascii="Times New Roman" w:hAnsi="Times New Roman" w:cs="Times New Roman"/>
                <w:sz w:val="24"/>
                <w:szCs w:val="24"/>
              </w:rPr>
            </w:pPr>
            <w:r>
              <w:rPr>
                <w:rFonts w:ascii="Calibri" w:hAnsi="Calibri" w:cs="Calibri"/>
                <w:color w:val="000000"/>
              </w:rPr>
              <w:t>Accès aux espace documentaire</w:t>
            </w:r>
          </w:p>
          <w:p w:rsidR="006E6D7A" w:rsidRDefault="00B16C64" w14:paraId="6715749C" w14:textId="77777777">
            <w:pPr>
              <w:numPr>
                <w:ilvl w:val="0"/>
                <w:numId w:val="141"/>
              </w:numPr>
              <w:tabs>
                <w:tab w:val="left" w:pos="0"/>
              </w:tabs>
              <w:ind w:left="1440"/>
              <w:rPr>
                <w:rFonts w:ascii="Times New Roman" w:hAnsi="Times New Roman" w:cs="Times New Roman"/>
                <w:sz w:val="24"/>
                <w:szCs w:val="24"/>
              </w:rPr>
            </w:pPr>
            <w:r>
              <w:rPr>
                <w:rFonts w:ascii="Calibri" w:hAnsi="Calibri" w:cs="Calibri"/>
                <w:color w:val="000000"/>
              </w:rPr>
              <w:t>Modalités d’accès aux environnements de production</w:t>
            </w:r>
          </w:p>
          <w:p w:rsidR="006E6D7A" w:rsidRDefault="00B16C64" w14:paraId="6715749D" w14:textId="77777777">
            <w:pPr>
              <w:numPr>
                <w:ilvl w:val="0"/>
                <w:numId w:val="141"/>
              </w:numPr>
              <w:tabs>
                <w:tab w:val="left" w:pos="0"/>
              </w:tabs>
              <w:ind w:left="1440"/>
              <w:rPr>
                <w:rFonts w:ascii="Times New Roman" w:hAnsi="Times New Roman" w:cs="Times New Roman"/>
                <w:sz w:val="24"/>
                <w:szCs w:val="24"/>
              </w:rPr>
            </w:pPr>
            <w:r>
              <w:rPr>
                <w:rFonts w:ascii="Calibri" w:hAnsi="Calibri" w:cs="Calibri"/>
                <w:color w:val="000000"/>
              </w:rPr>
              <w:lastRenderedPageBreak/>
              <w:t xml:space="preserve">Accès à l’outillage nécessaire à l’exécution des prestations du présent lot (outil de gestion du support Service </w:t>
            </w:r>
            <w:proofErr w:type="spellStart"/>
            <w:proofErr w:type="gramStart"/>
            <w:r>
              <w:rPr>
                <w:rFonts w:ascii="Calibri" w:hAnsi="Calibri" w:cs="Calibri"/>
                <w:color w:val="000000"/>
              </w:rPr>
              <w:t>Now</w:t>
            </w:r>
            <w:proofErr w:type="spellEnd"/>
            <w:r>
              <w:rPr>
                <w:rFonts w:ascii="Calibri" w:hAnsi="Calibri" w:cs="Calibri"/>
                <w:color w:val="000000"/>
              </w:rPr>
              <w:t>,…</w:t>
            </w:r>
            <w:proofErr w:type="gramEnd"/>
            <w:r>
              <w:rPr>
                <w:rFonts w:ascii="Calibri" w:hAnsi="Calibri" w:cs="Calibri"/>
                <w:color w:val="000000"/>
              </w:rPr>
              <w:t>)</w:t>
            </w:r>
          </w:p>
          <w:p w:rsidR="006E6D7A" w:rsidRDefault="00B16C64" w14:paraId="6715749E" w14:textId="77777777">
            <w:pPr>
              <w:numPr>
                <w:ilvl w:val="0"/>
                <w:numId w:val="141"/>
              </w:numPr>
              <w:tabs>
                <w:tab w:val="left" w:pos="0"/>
              </w:tabs>
              <w:ind w:left="1440"/>
              <w:rPr>
                <w:rFonts w:ascii="Times New Roman" w:hAnsi="Times New Roman" w:cs="Times New Roman"/>
                <w:sz w:val="24"/>
                <w:szCs w:val="24"/>
              </w:rPr>
            </w:pPr>
            <w:r>
              <w:rPr>
                <w:rFonts w:ascii="Calibri" w:hAnsi="Calibri" w:cs="Calibri"/>
                <w:color w:val="000000"/>
              </w:rPr>
              <w:t>Ressources informatiques (postes de travail, écrans, moyens de communication) des intervenants du titulaire</w:t>
            </w:r>
          </w:p>
          <w:p w:rsidR="006E6D7A" w:rsidRDefault="00B16C64" w14:paraId="6715749F" w14:textId="77777777">
            <w:pPr>
              <w:numPr>
                <w:ilvl w:val="0"/>
                <w:numId w:val="141"/>
              </w:numPr>
              <w:tabs>
                <w:tab w:val="left" w:pos="0"/>
              </w:tabs>
              <w:ind w:left="1440"/>
              <w:rPr>
                <w:rFonts w:ascii="Times New Roman" w:hAnsi="Times New Roman" w:cs="Times New Roman"/>
                <w:sz w:val="24"/>
                <w:szCs w:val="24"/>
              </w:rPr>
            </w:pPr>
            <w:r>
              <w:rPr>
                <w:rFonts w:ascii="Calibri" w:hAnsi="Calibri" w:cs="Calibri"/>
                <w:color w:val="000000"/>
              </w:rPr>
              <w:t>Badges d’accès aux sites de INRAE, le cas échéant.</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4A0" w14:textId="77777777">
            <w:pPr>
              <w:spacing w:after="0"/>
              <w:rPr>
                <w:rFonts w:ascii="Times New Roman" w:hAnsi="Times New Roman" w:cs="Times New Roman"/>
                <w:sz w:val="24"/>
                <w:szCs w:val="24"/>
              </w:rPr>
            </w:pPr>
          </w:p>
        </w:tc>
      </w:tr>
      <w:tr w:rsidR="006E6D7A" w14:paraId="671574A5"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A2" w14:textId="77777777">
            <w:pPr>
              <w:rPr>
                <w:rFonts w:ascii="Times New Roman" w:hAnsi="Times New Roman" w:cs="Times New Roman"/>
                <w:sz w:val="24"/>
                <w:szCs w:val="24"/>
              </w:rPr>
            </w:pPr>
            <w:r>
              <w:rPr>
                <w:rFonts w:ascii="Times New Roman" w:hAnsi="Times New Roman" w:cs="Times New Roman"/>
                <w:sz w:val="24"/>
                <w:szCs w:val="24"/>
              </w:rPr>
              <w:t> </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4A3" w14:textId="77777777">
            <w:pPr>
              <w:spacing w:before="60"/>
              <w:rPr>
                <w:rFonts w:ascii="Times New Roman" w:hAnsi="Times New Roman" w:cs="Times New Roman"/>
                <w:sz w:val="24"/>
                <w:szCs w:val="24"/>
              </w:rPr>
            </w:pPr>
            <w:r>
              <w:rPr>
                <w:rFonts w:ascii="Times New Roman" w:hAnsi="Times New Roman" w:cs="Times New Roman"/>
                <w:sz w:val="24"/>
                <w:szCs w:val="24"/>
              </w:rPr>
              <w:t> </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4A4" w14:textId="77777777">
            <w:pPr>
              <w:spacing w:after="0"/>
              <w:rPr>
                <w:rFonts w:ascii="Times New Roman" w:hAnsi="Times New Roman" w:cs="Times New Roman"/>
                <w:sz w:val="24"/>
                <w:szCs w:val="24"/>
              </w:rPr>
            </w:pPr>
          </w:p>
        </w:tc>
      </w:tr>
    </w:tbl>
    <w:p w:rsidR="006E6D7A" w:rsidRDefault="00B16C64" w14:paraId="671574A6" w14:textId="77777777">
      <w:pPr>
        <w:pStyle w:val="Titre5"/>
        <w:numPr>
          <w:ilvl w:val="5"/>
          <w:numId w:val="3"/>
        </w:numPr>
        <w:rPr>
          <w:rFonts w:ascii="Calibri" w:hAnsi="Calibri" w:cs="Calibri"/>
          <w:bCs/>
          <w:color w:val="03A3A6"/>
          <w:sz w:val="24"/>
          <w:szCs w:val="24"/>
        </w:rPr>
      </w:pPr>
      <w:r>
        <w:rPr>
          <w:rFonts w:ascii="Calibri" w:hAnsi="Calibri" w:cs="Calibri"/>
          <w:bCs/>
          <w:color w:val="03A3A6"/>
          <w:sz w:val="24"/>
          <w:szCs w:val="24"/>
        </w:rPr>
        <w:t xml:space="preserve"> – SPRINT 0 DES EVOLUTIONS MAJEURES ET DES NOUVEAUX PRODUITS</w:t>
      </w:r>
    </w:p>
    <w:p w:rsidR="006E6D7A" w:rsidRDefault="00B16C64" w14:paraId="671574A7" w14:textId="77777777">
      <w:pPr>
        <w:pStyle w:val="Titre6"/>
        <w:numPr>
          <w:ilvl w:val="6"/>
          <w:numId w:val="3"/>
        </w:numPr>
        <w:rPr>
          <w:rFonts w:ascii="Calibri" w:hAnsi="Calibri" w:cs="Calibri"/>
          <w:b/>
          <w:bCs/>
          <w:color w:val="03A6A3"/>
        </w:rPr>
      </w:pPr>
      <w:r>
        <w:rPr>
          <w:rFonts w:ascii="Calibri" w:hAnsi="Calibri" w:cs="Calibri"/>
          <w:b/>
          <w:bCs/>
          <w:color w:val="03A6A3"/>
        </w:rPr>
        <w:t xml:space="preserve"> Objectifs et contexte de la prestation</w:t>
      </w:r>
    </w:p>
    <w:p w:rsidR="006E6D7A" w:rsidRDefault="00B16C64" w14:paraId="671574A8" w14:textId="77777777">
      <w:r>
        <w:t xml:space="preserve">Dans le cadre d’un projet mené selon une méthode </w:t>
      </w:r>
      <w:proofErr w:type="spellStart"/>
      <w:r>
        <w:t>DevSecOps</w:t>
      </w:r>
      <w:proofErr w:type="spellEnd"/>
      <w:r>
        <w:t>, cette prestation a pour objet la préparation d’un lancement opérationnel de la réalisation d’une montée de version majeure d’un produit existant ou d’un nouveau produit.</w:t>
      </w:r>
    </w:p>
    <w:p w:rsidR="006E6D7A" w:rsidRDefault="00B16C64" w14:paraId="671574A9" w14:textId="77777777">
      <w:r>
        <w:t>Les objectifs sont :</w:t>
      </w:r>
    </w:p>
    <w:p w:rsidR="006E6D7A" w:rsidRDefault="00B16C64" w14:paraId="671574AA" w14:textId="77777777">
      <w:pPr>
        <w:spacing w:after="0"/>
        <w:ind w:left="709"/>
      </w:pPr>
      <w:r>
        <w:t>• La prise de connaissance globale du contexte et des enjeux particuliers du projet par l’ensemble des intervenants, notamment ceux du titulaire.</w:t>
      </w:r>
    </w:p>
    <w:p w:rsidR="006E6D7A" w:rsidRDefault="00B16C64" w14:paraId="671574AB" w14:textId="77777777">
      <w:pPr>
        <w:spacing w:after="0"/>
        <w:ind w:left="709"/>
      </w:pPr>
      <w:r>
        <w:t>• Identifier les intervenants (titulaire + INRAE) qui seront dédiés spécifiquement à ce produit</w:t>
      </w:r>
    </w:p>
    <w:p w:rsidR="006E6D7A" w:rsidRDefault="00B16C64" w14:paraId="671574AC" w14:textId="77777777">
      <w:pPr>
        <w:spacing w:after="0"/>
        <w:ind w:left="709"/>
      </w:pPr>
      <w:r>
        <w:t>• Présenter l’ensemble de l’équipe, et les rôles et périmètres associés (PO, SM, Équipiers, Manager), de l’organisation et du fonctionnement de l’équipe</w:t>
      </w:r>
    </w:p>
    <w:p w:rsidR="006E6D7A" w:rsidRDefault="00B16C64" w14:paraId="671574AD" w14:textId="77777777">
      <w:pPr>
        <w:spacing w:after="0"/>
        <w:ind w:left="709"/>
      </w:pPr>
      <w:r>
        <w:t>• Comprendre les attentes du client</w:t>
      </w:r>
    </w:p>
    <w:p w:rsidR="006E6D7A" w:rsidRDefault="00B16C64" w14:paraId="671574AE" w14:textId="77777777">
      <w:pPr>
        <w:tabs>
          <w:tab w:val="left" w:pos="5950"/>
        </w:tabs>
        <w:spacing w:after="0"/>
        <w:ind w:left="709"/>
      </w:pPr>
      <w:r>
        <w:t>• Comprendre les fondamentaux du métier du produit</w:t>
      </w:r>
      <w:r>
        <w:tab/>
      </w:r>
    </w:p>
    <w:p w:rsidR="006E6D7A" w:rsidRDefault="00B16C64" w14:paraId="671574AF" w14:textId="77777777">
      <w:pPr>
        <w:spacing w:after="0"/>
        <w:ind w:left="709"/>
      </w:pPr>
      <w:r>
        <w:t>• Comprendre les fondamentaux de l’architecture du produit</w:t>
      </w:r>
    </w:p>
    <w:p w:rsidR="006E6D7A" w:rsidRDefault="00B16C64" w14:paraId="671574B0" w14:textId="77777777">
      <w:pPr>
        <w:spacing w:after="0"/>
        <w:ind w:left="709"/>
      </w:pPr>
      <w:r>
        <w:t>• Partager les procédures d’exploitation existantes pour un produit existant</w:t>
      </w:r>
    </w:p>
    <w:p w:rsidR="006E6D7A" w:rsidRDefault="00B16C64" w14:paraId="671574B1" w14:textId="77777777">
      <w:pPr>
        <w:spacing w:after="0"/>
        <w:ind w:left="709"/>
      </w:pPr>
      <w:r>
        <w:t>• Définir les procédures d’exploitation à prévoir pour un nouveau produit</w:t>
      </w:r>
    </w:p>
    <w:p w:rsidR="006E6D7A" w:rsidRDefault="00B16C64" w14:paraId="671574B2" w14:textId="77777777">
      <w:pPr>
        <w:spacing w:after="0"/>
        <w:ind w:left="709"/>
      </w:pPr>
      <w:r>
        <w:t>• Partager la cible sur les axes métiers, techniques, exploitabilité</w:t>
      </w:r>
    </w:p>
    <w:p w:rsidR="006E6D7A" w:rsidRDefault="006E6D7A" w14:paraId="671574B3" w14:textId="77777777">
      <w:pPr>
        <w:spacing w:after="0"/>
        <w:ind w:left="709"/>
      </w:pPr>
    </w:p>
    <w:p w:rsidR="006E6D7A" w:rsidRDefault="006E6D7A" w14:paraId="671574B4" w14:textId="77777777">
      <w:pPr>
        <w:spacing w:after="0"/>
        <w:ind w:left="709"/>
      </w:pPr>
    </w:p>
    <w:p w:rsidR="006E6D7A" w:rsidRDefault="00B16C64" w14:paraId="671574B5" w14:textId="77777777">
      <w:r>
        <w:t>La prestation débute à compter de la réception par le titulaire du bon de commande ou à la date indiquée par celui-ci et s’achève à l’admission de la prestation par procès-verbal de recette validé par le prescripteur INRAE.</w:t>
      </w:r>
    </w:p>
    <w:p w:rsidR="006E6D7A" w:rsidRDefault="00B16C64" w14:paraId="671574B6" w14:textId="77777777">
      <w:pPr>
        <w:pStyle w:val="Titre6"/>
        <w:numPr>
          <w:ilvl w:val="6"/>
          <w:numId w:val="3"/>
        </w:numPr>
        <w:rPr>
          <w:rFonts w:ascii="Calibri" w:hAnsi="Calibri" w:cs="Calibri"/>
          <w:b/>
          <w:bCs/>
          <w:color w:val="03A6A3"/>
        </w:rPr>
      </w:pPr>
      <w:r>
        <w:rPr>
          <w:rFonts w:ascii="Calibri" w:hAnsi="Calibri" w:cs="Calibri"/>
          <w:b/>
          <w:bCs/>
          <w:color w:val="03A6A3"/>
        </w:rPr>
        <w:t>Périmètre technique</w:t>
      </w:r>
    </w:p>
    <w:p w:rsidR="006E6D7A" w:rsidRDefault="00B16C64" w14:paraId="671574B7" w14:textId="77777777">
      <w:r>
        <w:t>Le périmètre technique évolue au fil des évolutions technologiques. Pour connaître l’état en 2025 et les composants utilisés, se référer au Radar des technologies.</w:t>
      </w:r>
    </w:p>
    <w:p w:rsidR="006E6D7A" w:rsidRDefault="00B16C64" w14:paraId="671574B8" w14:textId="77777777">
      <w:pPr>
        <w:pStyle w:val="Titre6"/>
        <w:numPr>
          <w:ilvl w:val="6"/>
          <w:numId w:val="3"/>
        </w:numPr>
        <w:rPr>
          <w:rFonts w:ascii="Calibri" w:hAnsi="Calibri" w:cs="Calibri"/>
          <w:b/>
          <w:bCs/>
          <w:color w:val="03A6A3"/>
        </w:rPr>
      </w:pPr>
      <w:r>
        <w:rPr>
          <w:rFonts w:ascii="Calibri" w:hAnsi="Calibri" w:cs="Calibri"/>
          <w:b/>
          <w:bCs/>
          <w:color w:val="03A6A3"/>
        </w:rPr>
        <w:t>Descriptif de la prestation</w:t>
      </w:r>
    </w:p>
    <w:p w:rsidR="006E6D7A" w:rsidRDefault="00B16C64" w14:paraId="671574B9" w14:textId="77777777">
      <w:r>
        <w:t>Il s’agit pour le titulaire de mettre en œuvre toutes les actions concourant à l’atteinte des objectifs de la prestation :</w:t>
      </w:r>
    </w:p>
    <w:p w:rsidR="006E6D7A" w:rsidRDefault="00B16C64" w14:paraId="671574BA" w14:textId="77777777">
      <w:pPr>
        <w:spacing w:after="0"/>
        <w:ind w:left="709"/>
      </w:pPr>
      <w:r>
        <w:t>• Partage de la vision du produit</w:t>
      </w:r>
    </w:p>
    <w:p w:rsidR="006E6D7A" w:rsidRDefault="00B16C64" w14:paraId="671574BB" w14:textId="77777777">
      <w:pPr>
        <w:spacing w:after="0"/>
        <w:ind w:left="709"/>
      </w:pPr>
      <w:r>
        <w:t xml:space="preserve">• Partage de la roadmap sur la base d’un </w:t>
      </w:r>
      <w:proofErr w:type="spellStart"/>
      <w:r>
        <w:t>backlog</w:t>
      </w:r>
      <w:proofErr w:type="spellEnd"/>
      <w:r>
        <w:t xml:space="preserve"> priorisé affinant un MVP (Must, </w:t>
      </w:r>
      <w:proofErr w:type="spellStart"/>
      <w:r>
        <w:t>Should</w:t>
      </w:r>
      <w:proofErr w:type="spellEnd"/>
      <w:r>
        <w:t xml:space="preserve">, </w:t>
      </w:r>
      <w:proofErr w:type="spellStart"/>
      <w:r>
        <w:t>Could</w:t>
      </w:r>
      <w:proofErr w:type="spellEnd"/>
      <w:r>
        <w:t>)</w:t>
      </w:r>
    </w:p>
    <w:p w:rsidR="006E6D7A" w:rsidRDefault="00B16C64" w14:paraId="671574BC" w14:textId="77777777">
      <w:pPr>
        <w:spacing w:after="0"/>
        <w:ind w:left="709"/>
      </w:pPr>
      <w:r>
        <w:t>• Identification des points d’attention</w:t>
      </w:r>
    </w:p>
    <w:p w:rsidR="006E6D7A" w:rsidRDefault="00B16C64" w14:paraId="671574BD" w14:textId="77777777">
      <w:pPr>
        <w:spacing w:after="0"/>
        <w:ind w:left="709"/>
      </w:pPr>
      <w:r>
        <w:t>• Démonstration et Explicitation par INRAE de l’architecture mise en place</w:t>
      </w:r>
    </w:p>
    <w:p w:rsidR="006E6D7A" w:rsidRDefault="00B16C64" w14:paraId="671574BE" w14:textId="77777777">
      <w:pPr>
        <w:spacing w:after="0"/>
        <w:ind w:left="709"/>
      </w:pPr>
      <w:r>
        <w:t>• Affinage du mode de fonctionnement et de l’organisation</w:t>
      </w:r>
    </w:p>
    <w:p w:rsidR="006E6D7A" w:rsidRDefault="00B16C64" w14:paraId="671574BF" w14:textId="77777777">
      <w:pPr>
        <w:spacing w:after="0"/>
        <w:ind w:left="709"/>
      </w:pPr>
      <w:r>
        <w:t xml:space="preserve">• Rédaction de la charte du projet (Définition of </w:t>
      </w:r>
      <w:proofErr w:type="spellStart"/>
      <w:r>
        <w:t>Done</w:t>
      </w:r>
      <w:proofErr w:type="spellEnd"/>
      <w:r>
        <w:t xml:space="preserve"> / </w:t>
      </w:r>
      <w:proofErr w:type="spellStart"/>
      <w:r>
        <w:t>Ready</w:t>
      </w:r>
      <w:proofErr w:type="spellEnd"/>
      <w:r>
        <w:t>)</w:t>
      </w:r>
    </w:p>
    <w:p w:rsidR="006E6D7A" w:rsidRDefault="00B16C64" w14:paraId="671574C0" w14:textId="77777777">
      <w:pPr>
        <w:spacing w:after="0"/>
        <w:ind w:left="709"/>
      </w:pPr>
      <w:r>
        <w:t>• Eléments de conception générale</w:t>
      </w:r>
    </w:p>
    <w:p w:rsidR="006E6D7A" w:rsidRDefault="006E6D7A" w14:paraId="671574C1" w14:textId="77777777">
      <w:pPr>
        <w:spacing w:after="0"/>
        <w:ind w:left="709"/>
      </w:pPr>
    </w:p>
    <w:p w:rsidR="006E6D7A" w:rsidRDefault="006E6D7A" w14:paraId="671574C2" w14:textId="77777777">
      <w:pPr>
        <w:spacing w:after="0"/>
        <w:ind w:left="709"/>
      </w:pPr>
    </w:p>
    <w:p w:rsidR="006E6D7A" w:rsidRDefault="006E6D7A" w14:paraId="671574C3" w14:textId="77777777">
      <w:pPr>
        <w:spacing w:after="0"/>
        <w:ind w:left="709"/>
      </w:pPr>
    </w:p>
    <w:p w:rsidR="006E6D7A" w:rsidRDefault="00B16C64" w14:paraId="671574C4" w14:textId="77777777">
      <w:pPr>
        <w:pStyle w:val="Titre6"/>
        <w:numPr>
          <w:ilvl w:val="7"/>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Livrables</w:t>
      </w:r>
    </w:p>
    <w:tbl>
      <w:tblPr>
        <w:tblStyle w:val="Grilledutableau"/>
        <w:tblW w:w="0" w:type="auto"/>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ook w:val="04A0" w:firstRow="1" w:lastRow="0" w:firstColumn="1" w:lastColumn="0" w:noHBand="0" w:noVBand="1"/>
      </w:tblPr>
      <w:tblGrid>
        <w:gridCol w:w="6913"/>
        <w:gridCol w:w="2385"/>
      </w:tblGrid>
      <w:tr w:rsidR="006E6D7A" w14:paraId="671574C7" w14:textId="77777777">
        <w:tc>
          <w:tcPr>
            <w:tcW w:w="6913"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4C5"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Livrables attendus</w:t>
            </w:r>
          </w:p>
        </w:tc>
        <w:tc>
          <w:tcPr>
            <w:tcW w:w="2385"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4C6"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Délai de livraison</w:t>
            </w:r>
          </w:p>
        </w:tc>
      </w:tr>
      <w:tr w:rsidR="006E6D7A" w14:paraId="671574CA"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4C8"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Charte du projet (règles d’équipe)</w:t>
            </w:r>
          </w:p>
        </w:tc>
        <w:tc>
          <w:tcPr>
            <w:tcW w:w="2385"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B16C64" w14:paraId="671574C9" w14:textId="77777777">
            <w:pPr>
              <w:pBdr>
                <w:top w:val="none" w:color="000000" w:sz="4" w:space="0"/>
                <w:left w:val="none" w:color="000000" w:sz="4" w:space="0"/>
                <w:bottom w:val="none" w:color="000000" w:sz="4" w:space="0"/>
                <w:right w:val="none" w:color="000000" w:sz="4" w:space="0"/>
              </w:pBdr>
              <w:jc w:val="center"/>
            </w:pPr>
            <w:r>
              <w:rPr>
                <w:rFonts w:ascii="Calibri" w:hAnsi="Calibri" w:eastAsia="Calibri" w:cs="Calibri"/>
                <w:color w:val="000000"/>
              </w:rPr>
              <w:t xml:space="preserve">Délai maximal d’exécution de la prestation : durée de l’itération définie par l’équipe (1 mois en général au maximum) </w:t>
            </w:r>
          </w:p>
        </w:tc>
      </w:tr>
      <w:tr w:rsidR="006E6D7A" w14:paraId="671574CE"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4CB"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Publication du mode d’organisation et des dates clés (notamment des réunions régulières)</w:t>
            </w:r>
          </w:p>
          <w:p w:rsidR="006E6D7A" w:rsidRDefault="006E6D7A" w14:paraId="671574CC" w14:textId="77777777">
            <w:pPr>
              <w:pBdr>
                <w:top w:val="none" w:color="000000" w:sz="4" w:space="0"/>
                <w:left w:val="none" w:color="000000" w:sz="4" w:space="0"/>
                <w:bottom w:val="none" w:color="000000" w:sz="4" w:space="0"/>
                <w:right w:val="none" w:color="000000" w:sz="4" w:space="0"/>
              </w:pBdr>
            </w:pP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CD" w14:textId="77777777"/>
        </w:tc>
      </w:tr>
      <w:tr w:rsidR="006E6D7A" w14:paraId="671574D1"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4CF"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Schémas cibles d’architecture mis à jour (ou créés dans le cadre d’un nouveau produit) </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D0" w14:textId="77777777"/>
        </w:tc>
      </w:tr>
      <w:tr w:rsidR="006E6D7A" w14:paraId="671574D4"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4D2"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Éléments de MCO/MCS qui seront utilisés ou améliorés pour le projet</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D3" w14:textId="77777777"/>
        </w:tc>
      </w:tr>
      <w:tr w:rsidR="006E6D7A" w14:paraId="671574D7"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4D5"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Les conditions techniques de réalisation (accès, droits, environnements, outillage </w:t>
            </w:r>
            <w:proofErr w:type="gramStart"/>
            <w:r>
              <w:rPr>
                <w:rFonts w:ascii="Calibri" w:hAnsi="Calibri" w:eastAsia="Calibri" w:cs="Calibri"/>
                <w:color w:val="000000"/>
              </w:rPr>
              <w:t>collaboratif,  Intégration</w:t>
            </w:r>
            <w:proofErr w:type="gramEnd"/>
            <w:r>
              <w:rPr>
                <w:rFonts w:ascii="Calibri" w:hAnsi="Calibri" w:eastAsia="Calibri" w:cs="Calibri"/>
                <w:color w:val="000000"/>
              </w:rPr>
              <w:t xml:space="preserve"> et déploiement continus…) sont opérationnelles</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D6" w14:textId="77777777"/>
        </w:tc>
      </w:tr>
      <w:tr w:rsidR="006E6D7A" w14:paraId="671574DA"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4D8"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Valeurs de l’équipe</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D9" w14:textId="77777777"/>
        </w:tc>
      </w:tr>
      <w:tr w:rsidR="006E6D7A" w14:paraId="671574DD"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6E6D7A" w14:paraId="671574DB" w14:textId="77777777">
            <w:pPr>
              <w:pBdr>
                <w:top w:val="none" w:color="000000" w:sz="4" w:space="0"/>
                <w:left w:val="none" w:color="000000" w:sz="4" w:space="0"/>
                <w:bottom w:val="none" w:color="000000" w:sz="4" w:space="0"/>
                <w:right w:val="none" w:color="000000" w:sz="4" w:space="0"/>
              </w:pBdr>
              <w:rPr>
                <w:strike/>
              </w:rPr>
            </w:pP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DC" w14:textId="77777777"/>
        </w:tc>
      </w:tr>
      <w:tr w:rsidR="006E6D7A" w14:paraId="671574E0"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4DE"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Partage des processus métiers, Dictionnaire des données, </w:t>
            </w:r>
            <w:proofErr w:type="spellStart"/>
            <w:r>
              <w:rPr>
                <w:rFonts w:ascii="Calibri" w:hAnsi="Calibri" w:eastAsia="Calibri" w:cs="Calibri"/>
                <w:color w:val="000000"/>
              </w:rPr>
              <w:t>Features</w:t>
            </w:r>
            <w:proofErr w:type="spellEnd"/>
            <w:r>
              <w:rPr>
                <w:rFonts w:ascii="Calibri" w:hAnsi="Calibri" w:eastAsia="Calibri" w:cs="Calibri"/>
                <w:color w:val="000000"/>
              </w:rPr>
              <w:t xml:space="preserve"> du projet, </w:t>
            </w:r>
            <w:proofErr w:type="spellStart"/>
            <w:r>
              <w:rPr>
                <w:rFonts w:ascii="Calibri" w:hAnsi="Calibri" w:eastAsia="Calibri" w:cs="Calibri"/>
                <w:color w:val="000000"/>
              </w:rPr>
              <w:t>Backlog</w:t>
            </w:r>
            <w:proofErr w:type="spellEnd"/>
            <w:r>
              <w:rPr>
                <w:rFonts w:ascii="Calibri" w:hAnsi="Calibri" w:eastAsia="Calibri" w:cs="Calibri"/>
                <w:color w:val="000000"/>
              </w:rPr>
              <w:t xml:space="preserve"> du projet pour alimenter les 3 premières itérations, Glossaire, Identification des </w:t>
            </w:r>
            <w:proofErr w:type="spellStart"/>
            <w:r>
              <w:rPr>
                <w:rFonts w:ascii="Calibri" w:hAnsi="Calibri" w:eastAsia="Calibri" w:cs="Calibri"/>
                <w:color w:val="000000"/>
              </w:rPr>
              <w:t>Personas</w:t>
            </w:r>
            <w:proofErr w:type="spellEnd"/>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DF" w14:textId="77777777"/>
        </w:tc>
      </w:tr>
      <w:tr w:rsidR="006E6D7A" w14:paraId="671574E3"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4E1"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PQS décliné pour le projet (</w:t>
            </w:r>
            <w:r>
              <w:t>qui peut être élaboré</w:t>
            </w:r>
            <w:r>
              <w:rPr>
                <w:rFonts w:ascii="Calibri" w:hAnsi="Calibri" w:eastAsia="Calibri" w:cs="Calibri"/>
                <w:color w:val="000000"/>
              </w:rPr>
              <w:t xml:space="preserve"> sur les notions de </w:t>
            </w:r>
            <w:proofErr w:type="spellStart"/>
            <w:r>
              <w:rPr>
                <w:rFonts w:ascii="Calibri" w:hAnsi="Calibri" w:eastAsia="Calibri" w:cs="Calibri"/>
                <w:color w:val="000000"/>
              </w:rPr>
              <w:t>Done</w:t>
            </w:r>
            <w:proofErr w:type="spellEnd"/>
            <w:r>
              <w:rPr>
                <w:rFonts w:ascii="Calibri" w:hAnsi="Calibri" w:eastAsia="Calibri" w:cs="Calibri"/>
                <w:color w:val="000000"/>
              </w:rPr>
              <w:t xml:space="preserve"> Story/Sprint/Release – Documentation – Indicateurs)</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E2" w14:textId="77777777"/>
        </w:tc>
      </w:tr>
      <w:tr w:rsidR="006E6D7A" w14:paraId="671574E6"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4E4"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Contenu a minima de la première itération, dans l’idéal des 3 premières itérations est défini</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E5" w14:textId="77777777"/>
        </w:tc>
      </w:tr>
      <w:tr w:rsidR="006E6D7A" w14:paraId="671574E9"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6E6D7A" w14:paraId="671574E7" w14:textId="77777777"/>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E8" w14:textId="77777777"/>
        </w:tc>
      </w:tr>
      <w:tr w:rsidR="006E6D7A" w14:paraId="671574EC"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6E6D7A" w14:paraId="671574EA" w14:textId="77777777">
            <w:pPr>
              <w:pBdr>
                <w:top w:val="none" w:color="000000" w:sz="4" w:space="0"/>
                <w:left w:val="none" w:color="000000" w:sz="4" w:space="0"/>
                <w:bottom w:val="none" w:color="000000" w:sz="4" w:space="0"/>
                <w:right w:val="none" w:color="000000" w:sz="4" w:space="0"/>
              </w:pBdr>
            </w:pP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4EB" w14:textId="77777777"/>
        </w:tc>
      </w:tr>
    </w:tbl>
    <w:p w:rsidR="006E6D7A" w:rsidRDefault="00B16C64" w14:paraId="671574ED" w14:textId="77777777">
      <w:pPr>
        <w:pStyle w:val="Titre6"/>
        <w:numPr>
          <w:ilvl w:val="7"/>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Exigences</w:t>
      </w:r>
    </w:p>
    <w:tbl>
      <w:tblPr>
        <w:tblStyle w:val="Grilledutableau"/>
        <w:tblW w:w="0" w:type="auto"/>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ook w:val="04A0" w:firstRow="1" w:lastRow="0" w:firstColumn="1" w:lastColumn="0" w:noHBand="0" w:noVBand="1"/>
      </w:tblPr>
      <w:tblGrid>
        <w:gridCol w:w="1054"/>
        <w:gridCol w:w="8327"/>
      </w:tblGrid>
      <w:tr w:rsidR="006E6D7A" w14:paraId="671574F0" w14:textId="77777777">
        <w:tc>
          <w:tcPr>
            <w:tcW w:w="1027" w:type="dxa"/>
            <w:tcBorders>
              <w:top w:val="single" w:color="00A3A6" w:sz="8" w:space="0"/>
              <w:left w:val="single" w:color="00A3A6" w:sz="8" w:space="0"/>
              <w:bottom w:val="single" w:color="00A3A6" w:sz="8" w:space="0"/>
              <w:right w:val="single" w:color="00A3A6" w:sz="8" w:space="0"/>
            </w:tcBorders>
            <w:shd w:val="clear" w:color="03A3A6" w:fill="03A3A6"/>
            <w:tcMar>
              <w:top w:w="0" w:type="dxa"/>
              <w:left w:w="68" w:type="dxa"/>
              <w:bottom w:w="0" w:type="dxa"/>
              <w:right w:w="68" w:type="dxa"/>
            </w:tcMar>
            <w:vAlign w:val="center"/>
          </w:tcPr>
          <w:p w:rsidR="006E6D7A" w:rsidRDefault="00B16C64" w14:paraId="671574EE" w14:textId="77777777">
            <w:pPr>
              <w:pBdr>
                <w:top w:val="none" w:color="000000" w:sz="4" w:space="0"/>
                <w:left w:val="none" w:color="000000" w:sz="4" w:space="0"/>
                <w:bottom w:val="none" w:color="000000" w:sz="4" w:space="0"/>
                <w:right w:val="none" w:color="000000" w:sz="4" w:space="0"/>
              </w:pBdr>
              <w:shd w:val="clear" w:color="03A3A6" w:fill="03A3A6"/>
              <w:jc w:val="center"/>
            </w:pPr>
            <w:proofErr w:type="spellStart"/>
            <w:r>
              <w:rPr>
                <w:rFonts w:ascii="Calibri" w:hAnsi="Calibri" w:eastAsia="Calibri" w:cs="Calibri"/>
                <w:b/>
                <w:color w:val="FFFFFF"/>
              </w:rPr>
              <w:t>Ref</w:t>
            </w:r>
            <w:proofErr w:type="spellEnd"/>
            <w:r>
              <w:rPr>
                <w:rFonts w:ascii="Calibri" w:hAnsi="Calibri" w:eastAsia="Calibri" w:cs="Calibri"/>
                <w:b/>
                <w:color w:val="FFFFFF"/>
              </w:rPr>
              <w:t>. Exigence</w:t>
            </w:r>
          </w:p>
        </w:tc>
        <w:tc>
          <w:tcPr>
            <w:tcW w:w="8327" w:type="dxa"/>
            <w:tcBorders>
              <w:top w:val="single" w:color="00A3A6" w:sz="8" w:space="0"/>
              <w:bottom w:val="single" w:color="00A3A6" w:sz="8" w:space="0"/>
              <w:right w:val="single" w:color="00A3A6" w:sz="8" w:space="0"/>
            </w:tcBorders>
            <w:shd w:val="clear" w:color="03A3A6" w:fill="03A3A6"/>
            <w:tcMar>
              <w:top w:w="0" w:type="dxa"/>
              <w:left w:w="0" w:type="dxa"/>
              <w:bottom w:w="0" w:type="dxa"/>
              <w:right w:w="68" w:type="dxa"/>
            </w:tcMar>
            <w:vAlign w:val="center"/>
          </w:tcPr>
          <w:p w:rsidR="006E6D7A" w:rsidRDefault="00B16C64" w14:paraId="671574EF"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b/>
                <w:color w:val="FFFFFF"/>
              </w:rPr>
              <w:t>Exigence</w:t>
            </w:r>
          </w:p>
        </w:tc>
      </w:tr>
      <w:tr w:rsidR="006E6D7A" w14:paraId="671574F3" w14:textId="77777777">
        <w:tc>
          <w:tcPr>
            <w:tcW w:w="1027" w:type="dxa"/>
            <w:tcBorders>
              <w:left w:val="single" w:color="00A3A6" w:sz="8" w:space="0"/>
              <w:bottom w:val="single" w:color="00A3A6" w:sz="8" w:space="0"/>
              <w:right w:val="single" w:color="00A3A6" w:sz="8" w:space="0"/>
            </w:tcBorders>
            <w:tcMar>
              <w:top w:w="0" w:type="dxa"/>
              <w:left w:w="68" w:type="dxa"/>
              <w:bottom w:w="0" w:type="dxa"/>
              <w:right w:w="68" w:type="dxa"/>
            </w:tcMar>
            <w:vAlign w:val="center"/>
          </w:tcPr>
          <w:p w:rsidR="006E6D7A" w:rsidRDefault="00B16C64" w14:paraId="671574F1" w14:textId="77777777">
            <w:pPr>
              <w:pBdr>
                <w:top w:val="none" w:color="000000" w:sz="4" w:space="0"/>
                <w:left w:val="none" w:color="000000" w:sz="4" w:space="0"/>
                <w:bottom w:val="none" w:color="000000" w:sz="4" w:space="0"/>
                <w:right w:val="none" w:color="000000" w:sz="4" w:space="0"/>
              </w:pBdr>
            </w:pPr>
            <w:r>
              <w:rPr>
                <w:rFonts w:ascii="Arial" w:hAnsi="Arial" w:eastAsia="Arial" w:cs="Arial"/>
                <w:color w:val="000000"/>
                <w:sz w:val="20"/>
              </w:rPr>
              <w:t> </w:t>
            </w:r>
            <w:r>
              <w:rPr>
                <w:rFonts w:ascii="Calibri" w:hAnsi="Calibri" w:eastAsia="Calibri" w:cs="Calibri"/>
                <w:color w:val="000000"/>
                <w:sz w:val="20"/>
              </w:rPr>
              <w:t>Ex_DD_02</w:t>
            </w:r>
            <w:hyperlink w:tooltip="https://onlyoffice.dctlse.inrae.fr/8.3.3-fd847a554d6f2a7a04296daf7ee3cffc/web-apps/apps/documenteditor/main/index.html?_dc=8.3.3-18&amp;lang=fr&amp;customer=ONLYOFFICE&amp;type=desktop&amp;frameEditorId=iframeEditor&amp;isForm=false&amp;compact=true&amp;parentOrigin=https://nextcloud.inr" w:history="1" w:anchor="sdfootnote1sym" r:id="rId111">
              <w:r>
                <w:rPr>
                  <w:rStyle w:val="Lienhypertexte"/>
                  <w:rFonts w:ascii="Calibri" w:hAnsi="Calibri" w:eastAsia="Calibri" w:cs="Calibri"/>
                  <w:sz w:val="9"/>
                  <w:vertAlign w:val="superscript"/>
                </w:rPr>
                <w:t>*</w:t>
              </w:r>
            </w:hyperlink>
          </w:p>
        </w:tc>
        <w:tc>
          <w:tcPr>
            <w:tcW w:w="8327" w:type="dxa"/>
            <w:tcBorders>
              <w:bottom w:val="single" w:color="00A3A6" w:sz="8" w:space="0"/>
              <w:right w:val="single" w:color="00A3A6" w:sz="8" w:space="0"/>
            </w:tcBorders>
            <w:tcMar>
              <w:top w:w="0" w:type="dxa"/>
              <w:left w:w="0" w:type="dxa"/>
              <w:bottom w:w="0" w:type="dxa"/>
              <w:right w:w="68" w:type="dxa"/>
            </w:tcMar>
            <w:vAlign w:val="center"/>
          </w:tcPr>
          <w:p w:rsidR="006E6D7A" w:rsidRDefault="00B16C64" w14:paraId="671574F2"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Cette prestation pourra se dérouler dans les locaux INRAE, ceux du titulaire, ou, dans la majorité des cas, en </w:t>
            </w:r>
            <w:proofErr w:type="gramStart"/>
            <w:r>
              <w:rPr>
                <w:rFonts w:ascii="Calibri" w:hAnsi="Calibri" w:eastAsia="Calibri" w:cs="Calibri"/>
                <w:color w:val="000000"/>
              </w:rPr>
              <w:t>distanciel .</w:t>
            </w:r>
            <w:proofErr w:type="gramEnd"/>
            <w:r>
              <w:rPr>
                <w:rFonts w:ascii="Calibri" w:hAnsi="Calibri" w:eastAsia="Calibri" w:cs="Calibri"/>
                <w:color w:val="000000"/>
              </w:rPr>
              <w:t xml:space="preserve"> </w:t>
            </w:r>
          </w:p>
        </w:tc>
      </w:tr>
    </w:tbl>
    <w:p w:rsidR="006E6D7A" w:rsidRDefault="006E6D7A" w14:paraId="671574F4" w14:textId="77777777">
      <w:pPr>
        <w:pBdr>
          <w:top w:val="none" w:color="000000" w:sz="4" w:space="0"/>
          <w:left w:val="none" w:color="000000" w:sz="4" w:space="0"/>
          <w:bottom w:val="none" w:color="000000" w:sz="4" w:space="0"/>
          <w:right w:val="none" w:color="000000" w:sz="4" w:space="0"/>
        </w:pBdr>
      </w:pPr>
    </w:p>
    <w:p w:rsidR="006E6D7A" w:rsidRDefault="00B16C64" w14:paraId="671574F5" w14:textId="77777777">
      <w:pPr>
        <w:pStyle w:val="Titre5"/>
        <w:numPr>
          <w:ilvl w:val="5"/>
          <w:numId w:val="3"/>
        </w:numPr>
        <w:pBdr>
          <w:top w:val="none" w:color="000000" w:sz="4" w:space="0"/>
          <w:left w:val="none" w:color="000000" w:sz="4" w:space="0"/>
          <w:bottom w:val="none" w:color="000000" w:sz="4" w:space="0"/>
          <w:right w:val="none" w:color="000000" w:sz="4" w:space="0"/>
        </w:pBdr>
        <w:rPr>
          <w:rFonts w:ascii="Calibri" w:hAnsi="Calibri" w:cs="Calibri"/>
          <w:bCs/>
          <w:color w:val="03A3A6"/>
          <w:sz w:val="24"/>
          <w:szCs w:val="24"/>
        </w:rPr>
      </w:pPr>
      <w:r>
        <w:rPr>
          <w:rFonts w:ascii="Calibri" w:hAnsi="Calibri" w:cs="Calibri"/>
          <w:bCs/>
          <w:color w:val="03A3A6"/>
          <w:sz w:val="24"/>
          <w:szCs w:val="24"/>
        </w:rPr>
        <w:t xml:space="preserve"> REALISATION DES EVOLUTIONS MAJEURES ET DES NOUVELLES PLATEFORMES ET DES NOUVEAUX PRODUITS</w:t>
      </w:r>
    </w:p>
    <w:p w:rsidR="006E6D7A" w:rsidRDefault="00B16C64" w14:paraId="671574F6" w14:textId="77777777">
      <w:pPr>
        <w:pStyle w:val="Titre6"/>
        <w:numPr>
          <w:ilvl w:val="6"/>
          <w:numId w:val="3"/>
        </w:numPr>
        <w:rPr>
          <w:rFonts w:ascii="Calibri" w:hAnsi="Calibri" w:cs="Calibri"/>
          <w:b/>
          <w:bCs/>
          <w:color w:val="03A6A3"/>
        </w:rPr>
      </w:pPr>
      <w:r>
        <w:rPr>
          <w:rFonts w:ascii="Calibri" w:hAnsi="Calibri" w:cs="Calibri"/>
          <w:b/>
          <w:bCs/>
          <w:color w:val="03A6A3"/>
        </w:rPr>
        <w:t xml:space="preserve"> Objectifs et contexte de la prestation</w:t>
      </w:r>
    </w:p>
    <w:p w:rsidR="006E6D7A" w:rsidRDefault="00B16C64" w14:paraId="671574F7" w14:textId="77777777">
      <w:pPr>
        <w:pBdr>
          <w:top w:val="none" w:color="000000" w:sz="4" w:space="0"/>
          <w:left w:val="none" w:color="000000" w:sz="4" w:space="0"/>
          <w:bottom w:val="none" w:color="000000" w:sz="4" w:space="0"/>
          <w:right w:val="none" w:color="000000" w:sz="4" w:space="0"/>
        </w:pBdr>
      </w:pPr>
      <w:r>
        <w:t xml:space="preserve">Cette prestation a pour objet la mise en œuvre d’outils et de processus automatisés facilitant l’ensemble du cycle de vie d’une application en respectant la philosophie </w:t>
      </w:r>
      <w:proofErr w:type="spellStart"/>
      <w:r>
        <w:t>DevSecOps</w:t>
      </w:r>
      <w:proofErr w:type="spellEnd"/>
      <w:r>
        <w:t>.</w:t>
      </w:r>
    </w:p>
    <w:p w:rsidR="006E6D7A" w:rsidRDefault="00B16C64" w14:paraId="671574F8" w14:textId="77777777">
      <w:pPr>
        <w:pBdr>
          <w:top w:val="none" w:color="000000" w:sz="4" w:space="0"/>
          <w:left w:val="none" w:color="000000" w:sz="4" w:space="0"/>
          <w:bottom w:val="none" w:color="000000" w:sz="4" w:space="0"/>
          <w:right w:val="none" w:color="000000" w:sz="4" w:space="0"/>
        </w:pBdr>
      </w:pPr>
      <w:r>
        <w:t xml:space="preserve">Pour cela il sera nécessaire de faire évoluer les plateformes, produits et processus existants afin qu’ils respectent </w:t>
      </w:r>
      <w:proofErr w:type="spellStart"/>
      <w:r>
        <w:t>eux mêmes</w:t>
      </w:r>
      <w:proofErr w:type="spellEnd"/>
      <w:r>
        <w:t xml:space="preserve"> ces nouveaux standards. Mais il sera aussi nécessaire de développer ou d’intégrer de nouveaux produits ou processus automatisés, tout en maintenant les produits existants à jour.</w:t>
      </w:r>
    </w:p>
    <w:p w:rsidR="006E6D7A" w:rsidRDefault="00B16C64" w14:paraId="671574F9" w14:textId="77777777">
      <w:pPr>
        <w:pStyle w:val="Titre6"/>
        <w:numPr>
          <w:ilvl w:val="6"/>
          <w:numId w:val="3"/>
        </w:numPr>
        <w:pBdr>
          <w:top w:val="none" w:color="000000" w:sz="4" w:space="0"/>
          <w:left w:val="none" w:color="000000" w:sz="4" w:space="0"/>
          <w:bottom w:val="none" w:color="000000" w:sz="4" w:space="0"/>
          <w:right w:val="none" w:color="000000" w:sz="4" w:space="0"/>
        </w:pBdr>
        <w:tabs>
          <w:tab w:val="clear" w:pos="0"/>
        </w:tabs>
        <w:rPr>
          <w:rFonts w:ascii="Calibri" w:hAnsi="Calibri" w:cs="Calibri"/>
          <w:b/>
          <w:bCs/>
          <w:color w:val="03A6A3"/>
        </w:rPr>
      </w:pPr>
      <w:r>
        <w:rPr>
          <w:rFonts w:ascii="Calibri" w:hAnsi="Calibri" w:cs="Calibri"/>
          <w:b/>
          <w:bCs/>
          <w:color w:val="03A6A3"/>
        </w:rPr>
        <w:t xml:space="preserve">Descriptif de la prestation </w:t>
      </w:r>
    </w:p>
    <w:p w:rsidR="006E6D7A" w:rsidRDefault="00B16C64" w14:paraId="671574FA"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Il s’agit pour le titulaire de mettre en œuvre les prestations correspondant au contexte.</w:t>
      </w:r>
    </w:p>
    <w:p w:rsidR="006E6D7A" w:rsidRDefault="006E6D7A" w14:paraId="671574FB"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74FC"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Développement d’un nouveau produit / plateforme</w:t>
      </w:r>
    </w:p>
    <w:p w:rsidR="006E6D7A" w:rsidRDefault="00B16C64" w14:paraId="671574FD" w14:textId="77777777">
      <w:pPr>
        <w:pStyle w:val="Paragraphedeliste"/>
        <w:numPr>
          <w:ilvl w:val="0"/>
          <w:numId w:val="144"/>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lastRenderedPageBreak/>
        <w:t>Définir l’architecture et l’écosystème technique</w:t>
      </w:r>
    </w:p>
    <w:p w:rsidR="006E6D7A" w:rsidRDefault="00B16C64" w14:paraId="671574FE" w14:textId="77777777">
      <w:pPr>
        <w:pStyle w:val="Paragraphedeliste"/>
        <w:numPr>
          <w:ilvl w:val="0"/>
          <w:numId w:val="144"/>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Réaliser la conception, le développement et le packaging</w:t>
      </w:r>
    </w:p>
    <w:p w:rsidR="006E6D7A" w:rsidRDefault="00B16C64" w14:paraId="671574FF" w14:textId="77777777">
      <w:pPr>
        <w:pStyle w:val="Paragraphedeliste"/>
        <w:numPr>
          <w:ilvl w:val="0"/>
          <w:numId w:val="144"/>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 xml:space="preserve">Respect des bonnes pratiques </w:t>
      </w:r>
      <w:proofErr w:type="spellStart"/>
      <w:r>
        <w:rPr>
          <w:rFonts w:ascii="Times New Roman" w:hAnsi="Times New Roman" w:cs="Times New Roman"/>
          <w:color w:val="000000"/>
          <w:sz w:val="24"/>
        </w:rPr>
        <w:t>DevSecOps</w:t>
      </w:r>
      <w:proofErr w:type="spellEnd"/>
      <w:r>
        <w:rPr>
          <w:rFonts w:ascii="Times New Roman" w:hAnsi="Times New Roman" w:cs="Times New Roman"/>
          <w:color w:val="000000"/>
          <w:sz w:val="24"/>
        </w:rPr>
        <w:t xml:space="preserve"> (CI/CD, tests, analyse qualité…)</w:t>
      </w:r>
    </w:p>
    <w:p w:rsidR="006E6D7A" w:rsidRDefault="00B16C64" w14:paraId="67157500" w14:textId="77777777">
      <w:pPr>
        <w:pStyle w:val="Paragraphedeliste"/>
        <w:numPr>
          <w:ilvl w:val="0"/>
          <w:numId w:val="144"/>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Aider / Faciliter l’adoption du produit</w:t>
      </w:r>
    </w:p>
    <w:p w:rsidR="006E6D7A" w:rsidRDefault="00B16C64" w14:paraId="67157501"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Intégration d’un nouveau produit / plateforme</w:t>
      </w:r>
    </w:p>
    <w:p w:rsidR="006E6D7A" w:rsidRDefault="00B16C64" w14:paraId="67157502" w14:textId="77777777">
      <w:pPr>
        <w:pStyle w:val="Paragraphedeliste"/>
        <w:numPr>
          <w:ilvl w:val="0"/>
          <w:numId w:val="145"/>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Définir l’architecture et les besoins techniques</w:t>
      </w:r>
    </w:p>
    <w:p w:rsidR="006E6D7A" w:rsidRDefault="00B16C64" w14:paraId="67157503" w14:textId="77777777">
      <w:pPr>
        <w:pStyle w:val="Paragraphedeliste"/>
        <w:numPr>
          <w:ilvl w:val="0"/>
          <w:numId w:val="145"/>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Automatisation du déploiement et de la configuration</w:t>
      </w:r>
    </w:p>
    <w:p w:rsidR="006E6D7A" w:rsidRDefault="00B16C64" w14:paraId="67157504" w14:textId="77777777">
      <w:pPr>
        <w:pStyle w:val="Paragraphedeliste"/>
        <w:numPr>
          <w:ilvl w:val="0"/>
          <w:numId w:val="145"/>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 xml:space="preserve">Respect des bonnes pratiques </w:t>
      </w:r>
      <w:proofErr w:type="spellStart"/>
      <w:r>
        <w:rPr>
          <w:rFonts w:ascii="Times New Roman" w:hAnsi="Times New Roman" w:cs="Times New Roman"/>
          <w:color w:val="000000"/>
          <w:sz w:val="24"/>
        </w:rPr>
        <w:t>DevSecOps</w:t>
      </w:r>
      <w:proofErr w:type="spellEnd"/>
      <w:r>
        <w:rPr>
          <w:rFonts w:ascii="Times New Roman" w:hAnsi="Times New Roman" w:cs="Times New Roman"/>
          <w:color w:val="000000"/>
          <w:sz w:val="24"/>
        </w:rPr>
        <w:t xml:space="preserve"> (CI/CD, tests, analyse qualité…)</w:t>
      </w:r>
    </w:p>
    <w:p w:rsidR="006E6D7A" w:rsidRDefault="00B16C64" w14:paraId="67157505" w14:textId="77777777">
      <w:pPr>
        <w:pStyle w:val="Paragraphedeliste"/>
        <w:numPr>
          <w:ilvl w:val="0"/>
          <w:numId w:val="145"/>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Aider / Faciliter l’adoption du produit</w:t>
      </w:r>
    </w:p>
    <w:p w:rsidR="006E6D7A" w:rsidRDefault="00B16C64" w14:paraId="67157506"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Evolution Majeure d’un produit / plateforme</w:t>
      </w:r>
    </w:p>
    <w:p w:rsidR="006E6D7A" w:rsidRDefault="00B16C64" w14:paraId="67157507" w14:textId="77777777">
      <w:pPr>
        <w:pStyle w:val="Paragraphedeliste"/>
        <w:numPr>
          <w:ilvl w:val="0"/>
          <w:numId w:val="14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Définir et automatiser la procédure de migration</w:t>
      </w:r>
    </w:p>
    <w:p w:rsidR="006E6D7A" w:rsidRDefault="00B16C64" w14:paraId="67157508" w14:textId="77777777">
      <w:pPr>
        <w:pStyle w:val="Paragraphedeliste"/>
        <w:numPr>
          <w:ilvl w:val="0"/>
          <w:numId w:val="14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Minimiser l’impact utilisateur</w:t>
      </w:r>
    </w:p>
    <w:p w:rsidR="006E6D7A" w:rsidRDefault="00B16C64" w14:paraId="67157509" w14:textId="77777777">
      <w:pPr>
        <w:pStyle w:val="Paragraphedeliste"/>
        <w:numPr>
          <w:ilvl w:val="0"/>
          <w:numId w:val="14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Prévoir un scénario de retour arrière</w:t>
      </w:r>
    </w:p>
    <w:p w:rsidR="006E6D7A" w:rsidRDefault="00B16C64" w14:paraId="6715750A" w14:textId="77777777">
      <w:pPr>
        <w:pStyle w:val="Paragraphedeliste"/>
        <w:numPr>
          <w:ilvl w:val="0"/>
          <w:numId w:val="14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Communiquer et accompagner les utilisateurs</w:t>
      </w:r>
    </w:p>
    <w:p w:rsidR="006E6D7A" w:rsidRDefault="00B16C64" w14:paraId="6715750B"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Automatisation d’un processus</w:t>
      </w:r>
    </w:p>
    <w:p w:rsidR="006E6D7A" w:rsidRDefault="00B16C64" w14:paraId="6715750C" w14:textId="77777777">
      <w:pPr>
        <w:pStyle w:val="Paragraphedeliste"/>
        <w:numPr>
          <w:ilvl w:val="0"/>
          <w:numId w:val="147"/>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Conception et réalisation d’un processus automatisé</w:t>
      </w:r>
    </w:p>
    <w:p w:rsidR="006E6D7A" w:rsidRDefault="00B16C64" w14:paraId="6715750D" w14:textId="77777777">
      <w:pPr>
        <w:pStyle w:val="Paragraphedeliste"/>
        <w:numPr>
          <w:ilvl w:val="0"/>
          <w:numId w:val="147"/>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Communication</w:t>
      </w:r>
    </w:p>
    <w:p w:rsidR="006E6D7A" w:rsidRDefault="006E6D7A" w14:paraId="6715750E"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750F" w14:textId="77777777">
      <w:pPr>
        <w:pStyle w:val="Titre6"/>
        <w:numPr>
          <w:ilvl w:val="6"/>
          <w:numId w:val="3"/>
        </w:numPr>
        <w:pBdr>
          <w:top w:val="none" w:color="000000" w:sz="4" w:space="0"/>
          <w:left w:val="none" w:color="000000" w:sz="4" w:space="0"/>
          <w:bottom w:val="none" w:color="000000" w:sz="4" w:space="0"/>
          <w:right w:val="none" w:color="000000" w:sz="4" w:space="0"/>
        </w:pBdr>
        <w:tabs>
          <w:tab w:val="clear" w:pos="0"/>
        </w:tabs>
        <w:rPr>
          <w:rFonts w:ascii="Calibri" w:hAnsi="Calibri" w:cs="Calibri"/>
          <w:b/>
          <w:bCs/>
          <w:color w:val="03A6A3"/>
        </w:rPr>
      </w:pPr>
      <w:r>
        <w:rPr>
          <w:rFonts w:ascii="Calibri" w:hAnsi="Calibri" w:cs="Calibri"/>
          <w:b/>
          <w:bCs/>
          <w:color w:val="03A6A3"/>
        </w:rPr>
        <w:t>Livrables</w:t>
      </w:r>
    </w:p>
    <w:p w:rsidR="006E6D7A" w:rsidRDefault="006E6D7A" w14:paraId="67157510"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7511" w14:textId="77777777">
      <w:pPr>
        <w:pStyle w:val="Paragraphedeliste"/>
        <w:numPr>
          <w:ilvl w:val="0"/>
          <w:numId w:val="14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Un document détaillant l’architecture de la solution</w:t>
      </w:r>
    </w:p>
    <w:p w:rsidR="006E6D7A" w:rsidRDefault="00B16C64" w14:paraId="67157512" w14:textId="77777777">
      <w:pPr>
        <w:pStyle w:val="Paragraphedeliste"/>
        <w:numPr>
          <w:ilvl w:val="0"/>
          <w:numId w:val="14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Le livrable du produit / plateforme dans le cadre du développement d’un nouveau produit / plateforme</w:t>
      </w:r>
    </w:p>
    <w:p w:rsidR="006E6D7A" w:rsidRDefault="00B16C64" w14:paraId="67157513" w14:textId="77777777">
      <w:pPr>
        <w:pStyle w:val="Paragraphedeliste"/>
        <w:numPr>
          <w:ilvl w:val="0"/>
          <w:numId w:val="14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Configuration et documentation des pipelines CI/CD</w:t>
      </w:r>
    </w:p>
    <w:p w:rsidR="006E6D7A" w:rsidRDefault="00B16C64" w14:paraId="67157514" w14:textId="77777777">
      <w:pPr>
        <w:pStyle w:val="Paragraphedeliste"/>
        <w:numPr>
          <w:ilvl w:val="0"/>
          <w:numId w:val="14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Tout rapport permettant de justifier du respect des normes qualités (tests, d’analyse qualité, d’audit de sécurité…)</w:t>
      </w:r>
    </w:p>
    <w:p w:rsidR="006E6D7A" w:rsidRDefault="00B16C64" w14:paraId="67157515" w14:textId="77777777">
      <w:pPr>
        <w:pStyle w:val="Paragraphedeliste"/>
        <w:numPr>
          <w:ilvl w:val="0"/>
          <w:numId w:val="14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Documentation technique du produit / plateforme / processus</w:t>
      </w:r>
    </w:p>
    <w:p w:rsidR="006E6D7A" w:rsidRDefault="00B16C64" w14:paraId="67157516" w14:textId="77777777">
      <w:pPr>
        <w:pStyle w:val="Paragraphedeliste"/>
        <w:numPr>
          <w:ilvl w:val="0"/>
          <w:numId w:val="14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Documentation fonctionnelle du produit / plateforme / processus</w:t>
      </w:r>
    </w:p>
    <w:p w:rsidR="006E6D7A" w:rsidRDefault="00B16C64" w14:paraId="67157517" w14:textId="77777777">
      <w:pPr>
        <w:pStyle w:val="Paragraphedeliste"/>
        <w:numPr>
          <w:ilvl w:val="0"/>
          <w:numId w:val="14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Création de sondes, métriques et/ou rapports permettant l’exploitation du produit / plateforme / processus</w:t>
      </w:r>
    </w:p>
    <w:p w:rsidR="006E6D7A" w:rsidRDefault="00B16C64" w14:paraId="67157518" w14:textId="77777777">
      <w:pPr>
        <w:pStyle w:val="Paragraphedeliste"/>
        <w:numPr>
          <w:ilvl w:val="0"/>
          <w:numId w:val="14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Pour une évolution majeure : Un document détaillant la procédure de migration, l’impact utilisateur, les conditions de succès et les actions à mener en cas de retour arrière</w:t>
      </w:r>
    </w:p>
    <w:tbl>
      <w:tblPr>
        <w:tblStyle w:val="Grilledutableau"/>
        <w:tblW w:w="0" w:type="auto"/>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ayout w:type="fixed"/>
        <w:tblLook w:val="04A0" w:firstRow="1" w:lastRow="0" w:firstColumn="1" w:lastColumn="0" w:noHBand="0" w:noVBand="1"/>
      </w:tblPr>
      <w:tblGrid>
        <w:gridCol w:w="5670"/>
        <w:gridCol w:w="3402"/>
      </w:tblGrid>
      <w:tr w:rsidR="006E6D7A" w14:paraId="6715751B" w14:textId="77777777">
        <w:tc>
          <w:tcPr>
            <w:tcW w:w="5670"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519"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Livrables attendus</w:t>
            </w:r>
          </w:p>
        </w:tc>
        <w:tc>
          <w:tcPr>
            <w:tcW w:w="3402"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51A"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Délai de livraison</w:t>
            </w:r>
          </w:p>
        </w:tc>
      </w:tr>
      <w:tr w:rsidR="006E6D7A" w14:paraId="6715751E"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1C" w14:textId="77777777">
            <w:r>
              <w:t>Document d’architecture de la solution à jour</w:t>
            </w:r>
          </w:p>
        </w:tc>
        <w:tc>
          <w:tcPr>
            <w:tcW w:w="3402"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6E6D7A" w14:paraId="6715751D" w14:textId="77777777">
            <w:pPr>
              <w:pBdr>
                <w:top w:val="none" w:color="000000" w:sz="4" w:space="0"/>
                <w:left w:val="none" w:color="000000" w:sz="4" w:space="0"/>
                <w:bottom w:val="none" w:color="000000" w:sz="4" w:space="0"/>
                <w:right w:val="none" w:color="000000" w:sz="4" w:space="0"/>
              </w:pBdr>
              <w:jc w:val="center"/>
              <w:rPr>
                <w:rFonts w:ascii="Calibri" w:hAnsi="Calibri" w:eastAsia="Calibri" w:cs="Calibri"/>
                <w:color w:val="000000"/>
              </w:rPr>
            </w:pPr>
          </w:p>
        </w:tc>
      </w:tr>
      <w:tr w:rsidR="006E6D7A" w14:paraId="67157521"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1F" w14:textId="77777777">
            <w:r>
              <w:t>Livrable du produit/ de la plateforme (code, éléments de configuration technique)</w:t>
            </w:r>
          </w:p>
        </w:tc>
        <w:tc>
          <w:tcPr>
            <w:tcW w:w="3402"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B16C64" w14:paraId="67157520" w14:textId="77777777">
            <w:pPr>
              <w:pBdr>
                <w:top w:val="none" w:color="000000" w:sz="4" w:space="0"/>
                <w:left w:val="none" w:color="000000" w:sz="4" w:space="0"/>
                <w:bottom w:val="none" w:color="000000" w:sz="4" w:space="0"/>
                <w:right w:val="none" w:color="000000" w:sz="4" w:space="0"/>
              </w:pBdr>
              <w:jc w:val="center"/>
            </w:pPr>
            <w:r>
              <w:rPr>
                <w:rFonts w:ascii="Calibri" w:hAnsi="Calibri" w:eastAsia="Calibri" w:cs="Calibri"/>
                <w:color w:val="000000"/>
              </w:rPr>
              <w:t xml:space="preserve">Délai maximal d’exécution de la prestation : durée de l’itération définie par l’équipe (1 mois en général au maximum) </w:t>
            </w:r>
          </w:p>
        </w:tc>
      </w:tr>
      <w:tr w:rsidR="006E6D7A" w14:paraId="67157525"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22"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Configuration et documentation des pipelines CI/CD</w:t>
            </w:r>
          </w:p>
          <w:p w:rsidR="006E6D7A" w:rsidRDefault="00B16C64" w14:paraId="67157523" w14:textId="77777777">
            <w:r>
              <w:rPr>
                <w:rFonts w:ascii="Times New Roman" w:hAnsi="Times New Roman" w:cs="Times New Roman"/>
                <w:color w:val="000000"/>
                <w:sz w:val="24"/>
              </w:rPr>
              <w:t>Tout rapport permettant de justifier du respect des normes qualités (tests, d’analyse qualité, d’audit de sécurité…</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24" w14:textId="77777777"/>
        </w:tc>
      </w:tr>
      <w:tr w:rsidR="006E6D7A" w14:paraId="67157528"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26" w14:textId="77777777">
            <w:r>
              <w:t>Documentation technique</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27" w14:textId="77777777"/>
        </w:tc>
      </w:tr>
      <w:tr w:rsidR="006E6D7A" w14:paraId="6715752B"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29" w14:textId="77777777">
            <w:r>
              <w:t>Documentation fonctionnelle</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2A" w14:textId="77777777"/>
        </w:tc>
      </w:tr>
      <w:tr w:rsidR="006E6D7A" w14:paraId="6715752E"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2C" w14:textId="77777777">
            <w:r>
              <w:t>Sondes, métriques et tableaux de bords ou rapports permettant l’exploitation</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2D" w14:textId="77777777"/>
        </w:tc>
      </w:tr>
      <w:tr w:rsidR="006E6D7A" w14:paraId="67157530" w14:textId="77777777">
        <w:trPr>
          <w:gridAfter w:val="1"/>
          <w:wAfter w:w="3402" w:type="dxa"/>
          <w:trHeight w:val="389"/>
        </w:trPr>
        <w:tc>
          <w:tcPr>
            <w:tcW w:w="5670" w:type="dxa"/>
            <w:vMerge w:val="restart"/>
            <w:tcBorders>
              <w:top w:val="single" w:color="06A6A3" w:sz="6" w:space="0"/>
              <w:left w:val="single" w:color="06A6A3" w:sz="6" w:space="0"/>
              <w:bottom w:val="single" w:color="06A6A3" w:sz="6" w:space="0"/>
              <w:right w:val="single" w:color="06A6A3" w:sz="6" w:space="0"/>
            </w:tcBorders>
          </w:tcPr>
          <w:p w:rsidR="006E6D7A" w:rsidRDefault="00B16C64" w14:paraId="6715752F" w14:textId="77777777">
            <w:r>
              <w:t>LE cas échéant : procédure de migration, impact utilisateur, conditions d’accès et procédure de retour arrière</w:t>
            </w:r>
          </w:p>
        </w:tc>
      </w:tr>
      <w:tr w:rsidR="006E6D7A" w14:paraId="67157533"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31" w14:textId="77777777">
            <w:r>
              <w:t>Tests réalisés (description, et résultats)</w:t>
            </w:r>
          </w:p>
        </w:tc>
        <w:tc>
          <w:tcPr>
            <w:tcW w:w="3402" w:type="dxa"/>
            <w:vMerge w:val="restart"/>
            <w:tcBorders>
              <w:top w:val="single" w:color="06A6A3" w:sz="6" w:space="0"/>
              <w:left w:val="single" w:color="06A6A3" w:sz="6" w:space="0"/>
              <w:bottom w:val="single" w:color="06A6A3" w:sz="6" w:space="0"/>
              <w:right w:val="single" w:color="06A6A3" w:sz="6" w:space="0"/>
            </w:tcBorders>
          </w:tcPr>
          <w:p w:rsidR="006E6D7A" w:rsidRDefault="006E6D7A" w14:paraId="67157532" w14:textId="77777777"/>
        </w:tc>
      </w:tr>
      <w:tr w:rsidR="006E6D7A" w14:paraId="67157536"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34" w14:textId="77777777">
            <w:r>
              <w:lastRenderedPageBreak/>
              <w:t>Documentation projet (plannings, kanban, etc.)</w:t>
            </w:r>
          </w:p>
        </w:tc>
        <w:tc>
          <w:tcPr>
            <w:tcW w:w="3402" w:type="dxa"/>
            <w:vMerge w:val="restart"/>
            <w:tcBorders>
              <w:top w:val="single" w:color="06A6A3" w:sz="6" w:space="0"/>
              <w:left w:val="single" w:color="06A6A3" w:sz="6" w:space="0"/>
              <w:bottom w:val="single" w:color="06A6A3" w:sz="6" w:space="0"/>
              <w:right w:val="single" w:color="06A6A3" w:sz="6" w:space="0"/>
            </w:tcBorders>
          </w:tcPr>
          <w:p w:rsidR="006E6D7A" w:rsidRDefault="006E6D7A" w14:paraId="67157535" w14:textId="77777777"/>
        </w:tc>
      </w:tr>
      <w:tr w:rsidR="006E6D7A" w14:paraId="67157539"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37" w14:textId="77777777">
            <w:r>
              <w:t>Dossier d’exploitation</w:t>
            </w:r>
          </w:p>
        </w:tc>
        <w:tc>
          <w:tcPr>
            <w:tcW w:w="3402" w:type="dxa"/>
            <w:vMerge w:val="restart"/>
            <w:tcBorders>
              <w:top w:val="single" w:color="06A6A3" w:sz="6" w:space="0"/>
              <w:left w:val="single" w:color="06A6A3" w:sz="6" w:space="0"/>
              <w:bottom w:val="single" w:color="06A6A3" w:sz="6" w:space="0"/>
              <w:right w:val="single" w:color="06A6A3" w:sz="6" w:space="0"/>
            </w:tcBorders>
          </w:tcPr>
          <w:p w:rsidR="006E6D7A" w:rsidRDefault="006E6D7A" w14:paraId="67157538" w14:textId="77777777"/>
        </w:tc>
      </w:tr>
    </w:tbl>
    <w:p w:rsidR="006E6D7A" w:rsidRDefault="006E6D7A" w14:paraId="6715753A" w14:textId="77777777">
      <w:pPr>
        <w:pStyle w:val="Paragraphedeliste"/>
        <w:numPr>
          <w:ilvl w:val="0"/>
          <w:numId w:val="148"/>
        </w:numPr>
        <w:pBdr>
          <w:top w:val="none" w:color="000000" w:sz="4" w:space="0"/>
          <w:left w:val="none" w:color="000000" w:sz="4" w:space="0"/>
          <w:bottom w:val="none" w:color="000000" w:sz="4" w:space="0"/>
          <w:right w:val="none" w:color="000000" w:sz="4" w:space="0"/>
        </w:pBdr>
        <w:spacing w:after="0" w:line="240" w:lineRule="auto"/>
      </w:pPr>
    </w:p>
    <w:p w:rsidR="006E6D7A" w:rsidRDefault="00B16C64" w14:paraId="6715753B" w14:textId="77777777">
      <w:pPr>
        <w:pStyle w:val="Titre5"/>
        <w:numPr>
          <w:ilvl w:val="5"/>
          <w:numId w:val="3"/>
        </w:numPr>
        <w:pBdr>
          <w:top w:val="none" w:color="000000" w:sz="4" w:space="0"/>
          <w:left w:val="none" w:color="000000" w:sz="4" w:space="0"/>
          <w:bottom w:val="none" w:color="000000" w:sz="4" w:space="0"/>
          <w:right w:val="none" w:color="000000" w:sz="4" w:space="0"/>
        </w:pBdr>
        <w:rPr>
          <w:rFonts w:ascii="Calibri" w:hAnsi="Calibri" w:cs="Calibri"/>
          <w:bCs/>
          <w:color w:val="03A3A6"/>
          <w:sz w:val="24"/>
          <w:szCs w:val="24"/>
        </w:rPr>
      </w:pPr>
      <w:r>
        <w:rPr>
          <w:rFonts w:ascii="Calibri" w:hAnsi="Calibri" w:cs="Calibri"/>
          <w:bCs/>
          <w:color w:val="03A3A6"/>
          <w:sz w:val="24"/>
          <w:szCs w:val="24"/>
        </w:rPr>
        <w:t xml:space="preserve">Réalisation ou contribution à la maintenance et des évolutions mineures </w:t>
      </w:r>
    </w:p>
    <w:p w:rsidR="006E6D7A" w:rsidRDefault="00B16C64" w14:paraId="6715753C"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Objectif et contexte de la prestation</w:t>
      </w:r>
    </w:p>
    <w:p w:rsidR="006E6D7A" w:rsidRDefault="00B16C64" w14:paraId="6715753D" w14:textId="77777777">
      <w:r>
        <w:t>Cette prestation est demandée dans un contexte d’amélioration continue des applications.</w:t>
      </w:r>
    </w:p>
    <w:p w:rsidR="006E6D7A" w:rsidRDefault="00B16C64" w14:paraId="6715753E" w14:textId="77777777">
      <w:r>
        <w:t>INRAE développe ou fait développer un grand nombre d’applications qui doivent être conservées car utilisées, cependant ces dernières peuvent nécessiter de manière ponctuelle des adaptations ou corrections en fonction des besoins :</w:t>
      </w:r>
    </w:p>
    <w:p w:rsidR="006E6D7A" w:rsidRDefault="00B16C64" w14:paraId="6715753F" w14:textId="77777777">
      <w:pPr>
        <w:pStyle w:val="Paragraphedeliste"/>
        <w:numPr>
          <w:ilvl w:val="0"/>
          <w:numId w:val="152"/>
        </w:numPr>
      </w:pPr>
      <w:r>
        <w:t>Besoin métier : il s’agit de rajouter une fonctionnalité mineure ou de corriger des bugs pouvant apparaître</w:t>
      </w:r>
    </w:p>
    <w:p w:rsidR="006E6D7A" w:rsidRDefault="00B16C64" w14:paraId="67157540" w14:textId="77777777">
      <w:pPr>
        <w:pStyle w:val="Paragraphedeliste"/>
        <w:numPr>
          <w:ilvl w:val="0"/>
          <w:numId w:val="152"/>
        </w:numPr>
      </w:pPr>
      <w:r>
        <w:t xml:space="preserve">Besoin d’infrastructure : au fil du temps ces applications peuvent adopter un comportement différent que celui prévu au départ </w:t>
      </w:r>
      <w:proofErr w:type="gramStart"/>
      <w:r>
        <w:t>( ex</w:t>
      </w:r>
      <w:proofErr w:type="gramEnd"/>
      <w:r>
        <w:t> : un nombre plus important d’utilisateurs influençant sur des jobs de maintenance), il faut donc adapter les configurations ou scripts de maintenance.</w:t>
      </w:r>
    </w:p>
    <w:p w:rsidR="006E6D7A" w:rsidRDefault="00B16C64" w14:paraId="67157541" w14:textId="77777777">
      <w:pPr>
        <w:pStyle w:val="Paragraphedeliste"/>
        <w:numPr>
          <w:ilvl w:val="0"/>
          <w:numId w:val="152"/>
        </w:numPr>
      </w:pPr>
      <w:r>
        <w:t>Besoin de sécurité : des failles de sécurité peuvent apparaître pouvant compromettre l’intégrité et la fiabilité du SI</w:t>
      </w:r>
    </w:p>
    <w:p w:rsidR="006E6D7A" w:rsidRDefault="00B16C64" w14:paraId="67157542"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Descriptif de la prestation</w:t>
      </w:r>
    </w:p>
    <w:p w:rsidR="006E6D7A" w:rsidRDefault="006E6D7A" w14:paraId="67157543" w14:textId="77777777">
      <w:pPr>
        <w:pStyle w:val="Titre4"/>
        <w:numPr>
          <w:ilvl w:val="0"/>
          <w:numId w:val="0"/>
        </w:numPr>
      </w:pPr>
    </w:p>
    <w:p w:rsidR="006E6D7A" w:rsidRDefault="00B16C64" w14:paraId="67157544" w14:textId="77777777">
      <w:r>
        <w:t>L’objectif de la prestation est la réalisation d’action permettant</w:t>
      </w:r>
    </w:p>
    <w:p w:rsidR="006E6D7A" w:rsidRDefault="00B16C64" w14:paraId="67157545" w14:textId="77777777">
      <w:pPr>
        <w:pStyle w:val="Paragraphedeliste"/>
        <w:numPr>
          <w:ilvl w:val="0"/>
          <w:numId w:val="151"/>
        </w:numPr>
      </w:pPr>
      <w:proofErr w:type="gramStart"/>
      <w:r>
        <w:t>le</w:t>
      </w:r>
      <w:proofErr w:type="gramEnd"/>
      <w:r>
        <w:t xml:space="preserve"> maintien en condition opérationnelle et en sécurité des applications par</w:t>
      </w:r>
    </w:p>
    <w:p w:rsidR="006E6D7A" w:rsidRDefault="00B16C64" w14:paraId="67157546" w14:textId="77777777">
      <w:pPr>
        <w:pStyle w:val="Paragraphedeliste"/>
        <w:numPr>
          <w:ilvl w:val="1"/>
          <w:numId w:val="151"/>
        </w:numPr>
      </w:pPr>
      <w:proofErr w:type="gramStart"/>
      <w:r>
        <w:t>la</w:t>
      </w:r>
      <w:proofErr w:type="gramEnd"/>
      <w:r>
        <w:t xml:space="preserve"> production de code (patch) et leur déploiement</w:t>
      </w:r>
    </w:p>
    <w:p w:rsidR="006E6D7A" w:rsidRDefault="00B16C64" w14:paraId="67157547" w14:textId="77777777">
      <w:pPr>
        <w:pStyle w:val="Paragraphedeliste"/>
        <w:numPr>
          <w:ilvl w:val="1"/>
          <w:numId w:val="151"/>
        </w:numPr>
      </w:pPr>
      <w:proofErr w:type="gramStart"/>
      <w:r>
        <w:t>par</w:t>
      </w:r>
      <w:proofErr w:type="gramEnd"/>
      <w:r>
        <w:t xml:space="preserve"> la réalisation de tâches planifiées améliorant le RUN des applications</w:t>
      </w:r>
    </w:p>
    <w:p w:rsidR="006E6D7A" w:rsidRDefault="00B16C64" w14:paraId="67157548" w14:textId="77777777">
      <w:pPr>
        <w:pStyle w:val="Paragraphedeliste"/>
        <w:numPr>
          <w:ilvl w:val="1"/>
          <w:numId w:val="151"/>
        </w:numPr>
      </w:pPr>
      <w:r>
        <w:t>L’adaptation de configurations des moteurs d’applications ou de l’application en elle même</w:t>
      </w:r>
    </w:p>
    <w:p w:rsidR="006E6D7A" w:rsidRDefault="00B16C64" w14:paraId="67157549" w14:textId="77777777">
      <w:pPr>
        <w:pStyle w:val="Paragraphedeliste"/>
        <w:numPr>
          <w:ilvl w:val="0"/>
          <w:numId w:val="151"/>
        </w:numPr>
      </w:pPr>
      <w:r>
        <w:t xml:space="preserve">Le développement de fonctionnalités n’impactant pas </w:t>
      </w:r>
    </w:p>
    <w:p w:rsidR="006E6D7A" w:rsidRDefault="00B16C64" w14:paraId="6715754A" w14:textId="77777777">
      <w:pPr>
        <w:pStyle w:val="Paragraphedeliste"/>
        <w:numPr>
          <w:ilvl w:val="1"/>
          <w:numId w:val="151"/>
        </w:numPr>
      </w:pPr>
      <w:proofErr w:type="gramStart"/>
      <w:r>
        <w:t>le</w:t>
      </w:r>
      <w:proofErr w:type="gramEnd"/>
      <w:r>
        <w:t xml:space="preserve"> cœur des applications</w:t>
      </w:r>
    </w:p>
    <w:p w:rsidR="006E6D7A" w:rsidRDefault="00B16C64" w14:paraId="6715754B" w14:textId="77777777">
      <w:pPr>
        <w:pStyle w:val="Paragraphedeliste"/>
        <w:numPr>
          <w:ilvl w:val="1"/>
          <w:numId w:val="151"/>
        </w:numPr>
      </w:pPr>
      <w:proofErr w:type="gramStart"/>
      <w:r>
        <w:t>la</w:t>
      </w:r>
      <w:proofErr w:type="gramEnd"/>
      <w:r>
        <w:t xml:space="preserve"> compatibilité descendante des APIs</w:t>
      </w:r>
    </w:p>
    <w:p w:rsidR="006E6D7A" w:rsidRDefault="00B16C64" w14:paraId="6715754C" w14:textId="77777777">
      <w:pPr>
        <w:pStyle w:val="Paragraphedeliste"/>
        <w:numPr>
          <w:ilvl w:val="1"/>
          <w:numId w:val="151"/>
        </w:numPr>
      </w:pPr>
      <w:proofErr w:type="gramStart"/>
      <w:r>
        <w:t>la</w:t>
      </w:r>
      <w:proofErr w:type="gramEnd"/>
      <w:r>
        <w:t xml:space="preserve"> structure interne des données</w:t>
      </w:r>
    </w:p>
    <w:p w:rsidR="006E6D7A" w:rsidRDefault="006E6D7A" w14:paraId="6715754D" w14:textId="77777777">
      <w:pPr>
        <w:pStyle w:val="Titre4"/>
        <w:numPr>
          <w:ilvl w:val="0"/>
          <w:numId w:val="0"/>
        </w:numPr>
      </w:pPr>
    </w:p>
    <w:p w:rsidR="006E6D7A" w:rsidRDefault="00B16C64" w14:paraId="6715754E"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Livrables</w:t>
      </w:r>
    </w:p>
    <w:p w:rsidR="006E6D7A" w:rsidRDefault="00B16C64" w14:paraId="6715754F" w14:textId="77777777">
      <w:r>
        <w:t>Ces réalisations devront être livrées via les outils associés :</w:t>
      </w:r>
    </w:p>
    <w:p w:rsidR="006E6D7A" w:rsidRDefault="00B16C64" w14:paraId="67157550" w14:textId="77777777">
      <w:pPr>
        <w:pStyle w:val="Paragraphedeliste"/>
        <w:numPr>
          <w:ilvl w:val="0"/>
          <w:numId w:val="153"/>
        </w:numPr>
      </w:pPr>
      <w:r>
        <w:t xml:space="preserve">Forge pour tout type de script ou code avec du code écrit dans les règles de l’art </w:t>
      </w:r>
    </w:p>
    <w:p w:rsidR="006E6D7A" w:rsidRDefault="00B16C64" w14:paraId="67157551" w14:textId="77777777">
      <w:pPr>
        <w:pStyle w:val="Paragraphedeliste"/>
        <w:numPr>
          <w:ilvl w:val="1"/>
          <w:numId w:val="153"/>
        </w:numPr>
      </w:pPr>
      <w:r>
        <w:t>Documentation claire permettant de comprendre le code et script livrés</w:t>
      </w:r>
    </w:p>
    <w:p w:rsidR="006E6D7A" w:rsidRDefault="00B16C64" w14:paraId="67157552" w14:textId="77777777">
      <w:pPr>
        <w:pStyle w:val="Paragraphedeliste"/>
        <w:numPr>
          <w:ilvl w:val="1"/>
          <w:numId w:val="153"/>
        </w:numPr>
      </w:pPr>
      <w:proofErr w:type="spellStart"/>
      <w:r>
        <w:t>Versionning</w:t>
      </w:r>
      <w:proofErr w:type="spellEnd"/>
      <w:r>
        <w:t xml:space="preserve"> de code via git</w:t>
      </w:r>
    </w:p>
    <w:p w:rsidR="006E6D7A" w:rsidRDefault="00B16C64" w14:paraId="67157553" w14:textId="77777777">
      <w:pPr>
        <w:pStyle w:val="Paragraphedeliste"/>
        <w:numPr>
          <w:ilvl w:val="1"/>
          <w:numId w:val="153"/>
        </w:numPr>
      </w:pPr>
      <w:proofErr w:type="gramStart"/>
      <w:r>
        <w:t>création</w:t>
      </w:r>
      <w:proofErr w:type="gramEnd"/>
      <w:r>
        <w:t xml:space="preserve"> de « pull </w:t>
      </w:r>
      <w:proofErr w:type="spellStart"/>
      <w:r>
        <w:t>requesté</w:t>
      </w:r>
      <w:proofErr w:type="spellEnd"/>
      <w:r>
        <w:t> «  permettant de garantir une stricte séparation des évolutions de code livrées</w:t>
      </w:r>
    </w:p>
    <w:p w:rsidR="006E6D7A" w:rsidRDefault="00B16C64" w14:paraId="67157554" w14:textId="77777777">
      <w:pPr>
        <w:pStyle w:val="Paragraphedeliste"/>
        <w:numPr>
          <w:ilvl w:val="0"/>
          <w:numId w:val="153"/>
        </w:numPr>
      </w:pPr>
      <w:r>
        <w:t xml:space="preserve">Documentation pour tout type de procédure ne pouvant faire l’objet de développement </w:t>
      </w:r>
      <w:proofErr w:type="gramStart"/>
      <w:r>
        <w:t>( ex</w:t>
      </w:r>
      <w:proofErr w:type="gramEnd"/>
      <w:r>
        <w:t xml:space="preserve"> paramétrage)</w:t>
      </w:r>
    </w:p>
    <w:p w:rsidR="006E6D7A" w:rsidRDefault="00B16C64" w14:paraId="67157555" w14:textId="77777777">
      <w:r>
        <w:t>Chaque demande d’évolution devra faire l’objet d’un « ticket de suivi » définissant les tenants et aboutissants ainsi que les impacts potentiels</w:t>
      </w:r>
    </w:p>
    <w:p w:rsidR="006E6D7A" w:rsidRDefault="006E6D7A" w14:paraId="67157556" w14:textId="77777777">
      <w:pPr>
        <w:pBdr>
          <w:top w:val="none" w:color="000000" w:sz="4" w:space="0"/>
          <w:left w:val="none" w:color="000000" w:sz="4" w:space="0"/>
          <w:bottom w:val="none" w:color="000000" w:sz="4" w:space="0"/>
          <w:right w:val="none" w:color="000000" w:sz="4" w:space="0"/>
        </w:pBdr>
        <w:spacing w:after="0"/>
      </w:pPr>
    </w:p>
    <w:tbl>
      <w:tblPr>
        <w:tblStyle w:val="Grilledutableau"/>
        <w:tblW w:w="0" w:type="auto"/>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ayout w:type="fixed"/>
        <w:tblLook w:val="04A0" w:firstRow="1" w:lastRow="0" w:firstColumn="1" w:lastColumn="0" w:noHBand="0" w:noVBand="1"/>
      </w:tblPr>
      <w:tblGrid>
        <w:gridCol w:w="5670"/>
        <w:gridCol w:w="3402"/>
      </w:tblGrid>
      <w:tr w:rsidR="006E6D7A" w14:paraId="67157559" w14:textId="77777777">
        <w:tc>
          <w:tcPr>
            <w:tcW w:w="5670"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557"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lastRenderedPageBreak/>
              <w:t>Livrables attendus</w:t>
            </w:r>
          </w:p>
        </w:tc>
        <w:tc>
          <w:tcPr>
            <w:tcW w:w="3402"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558"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Délai de livraison</w:t>
            </w:r>
          </w:p>
        </w:tc>
      </w:tr>
      <w:tr w:rsidR="006E6D7A" w14:paraId="6715755C"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5A" w14:textId="77777777">
            <w:r>
              <w:t>Document d’architecture de la solution à jour</w:t>
            </w:r>
          </w:p>
        </w:tc>
        <w:tc>
          <w:tcPr>
            <w:tcW w:w="3402"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6E6D7A" w14:paraId="6715755B" w14:textId="77777777">
            <w:pPr>
              <w:pBdr>
                <w:top w:val="none" w:color="000000" w:sz="4" w:space="0"/>
                <w:left w:val="none" w:color="000000" w:sz="4" w:space="0"/>
                <w:bottom w:val="none" w:color="000000" w:sz="4" w:space="0"/>
                <w:right w:val="none" w:color="000000" w:sz="4" w:space="0"/>
              </w:pBdr>
              <w:jc w:val="center"/>
              <w:rPr>
                <w:rFonts w:ascii="Calibri" w:hAnsi="Calibri" w:eastAsia="Calibri" w:cs="Calibri"/>
                <w:color w:val="000000"/>
              </w:rPr>
            </w:pPr>
          </w:p>
        </w:tc>
      </w:tr>
      <w:tr w:rsidR="006E6D7A" w14:paraId="6715755F"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5D" w14:textId="77777777">
            <w:r>
              <w:t>Livrable du produit/ de la plateforme (code, éléments de configuration technique)</w:t>
            </w:r>
          </w:p>
        </w:tc>
        <w:tc>
          <w:tcPr>
            <w:tcW w:w="3402"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B16C64" w14:paraId="6715755E" w14:textId="77777777">
            <w:pPr>
              <w:pBdr>
                <w:top w:val="none" w:color="000000" w:sz="4" w:space="0"/>
                <w:left w:val="none" w:color="000000" w:sz="4" w:space="0"/>
                <w:bottom w:val="none" w:color="000000" w:sz="4" w:space="0"/>
                <w:right w:val="none" w:color="000000" w:sz="4" w:space="0"/>
              </w:pBdr>
              <w:jc w:val="center"/>
            </w:pPr>
            <w:r>
              <w:rPr>
                <w:rFonts w:ascii="Calibri" w:hAnsi="Calibri" w:eastAsia="Calibri" w:cs="Calibri"/>
                <w:color w:val="000000"/>
              </w:rPr>
              <w:t xml:space="preserve">Délai maximal d’exécution de la prestation : durée de l’itération définie par l’équipe (1 mois en général au maximum) </w:t>
            </w:r>
          </w:p>
        </w:tc>
      </w:tr>
      <w:tr w:rsidR="006E6D7A" w14:paraId="67157563"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60"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Configuration et documentation des pipelines CI/CD</w:t>
            </w:r>
          </w:p>
          <w:p w:rsidR="006E6D7A" w:rsidRDefault="00B16C64" w14:paraId="67157561" w14:textId="77777777">
            <w:r>
              <w:rPr>
                <w:rFonts w:ascii="Times New Roman" w:hAnsi="Times New Roman" w:cs="Times New Roman"/>
                <w:color w:val="000000"/>
                <w:sz w:val="24"/>
              </w:rPr>
              <w:t>Tout rapport permettant de justifier du respect des normes qualités (tests, d’analyse qualité, d’audit de sécurité…</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62" w14:textId="77777777"/>
        </w:tc>
      </w:tr>
      <w:tr w:rsidR="006E6D7A" w14:paraId="67157566"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64" w14:textId="77777777">
            <w:r>
              <w:t>Documentation technique</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65" w14:textId="77777777"/>
        </w:tc>
      </w:tr>
      <w:tr w:rsidR="006E6D7A" w14:paraId="67157569"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67" w14:textId="77777777">
            <w:r>
              <w:t>Documentation fonctionnelle</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68" w14:textId="77777777"/>
        </w:tc>
      </w:tr>
      <w:tr w:rsidR="006E6D7A" w14:paraId="6715756C"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6A" w14:textId="77777777">
            <w:r>
              <w:t>Sondes, métriques et tableaux de bords ou rapports permettant l’exploitation</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6B" w14:textId="77777777"/>
        </w:tc>
      </w:tr>
      <w:tr w:rsidR="006E6D7A" w14:paraId="6715756E" w14:textId="77777777">
        <w:trPr>
          <w:gridAfter w:val="1"/>
          <w:wAfter w:w="3402" w:type="dxa"/>
          <w:trHeight w:val="389"/>
        </w:trPr>
        <w:tc>
          <w:tcPr>
            <w:tcW w:w="5670" w:type="dxa"/>
            <w:vMerge w:val="restart"/>
            <w:tcBorders>
              <w:top w:val="single" w:color="06A6A3" w:sz="6" w:space="0"/>
              <w:left w:val="single" w:color="06A6A3" w:sz="6" w:space="0"/>
              <w:bottom w:val="single" w:color="06A6A3" w:sz="6" w:space="0"/>
              <w:right w:val="single" w:color="06A6A3" w:sz="6" w:space="0"/>
            </w:tcBorders>
          </w:tcPr>
          <w:p w:rsidR="006E6D7A" w:rsidRDefault="00B16C64" w14:paraId="6715756D" w14:textId="77777777">
            <w:r>
              <w:t>Le cas échéant : procédure de migration, impact utilisateur, conditions d’accès et procédure de retour arrière</w:t>
            </w:r>
          </w:p>
        </w:tc>
      </w:tr>
      <w:tr w:rsidR="006E6D7A" w14:paraId="67157571"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6F" w14:textId="77777777">
            <w:r>
              <w:t>Tests réalisés (description, et résultats)</w:t>
            </w:r>
          </w:p>
        </w:tc>
        <w:tc>
          <w:tcPr>
            <w:tcW w:w="3402" w:type="dxa"/>
            <w:vMerge w:val="restart"/>
            <w:tcBorders>
              <w:top w:val="single" w:color="06A6A3" w:sz="6" w:space="0"/>
              <w:left w:val="single" w:color="06A6A3" w:sz="6" w:space="0"/>
              <w:bottom w:val="single" w:color="06A6A3" w:sz="6" w:space="0"/>
              <w:right w:val="single" w:color="06A6A3" w:sz="6" w:space="0"/>
            </w:tcBorders>
          </w:tcPr>
          <w:p w:rsidR="006E6D7A" w:rsidRDefault="006E6D7A" w14:paraId="67157570" w14:textId="77777777"/>
        </w:tc>
      </w:tr>
      <w:tr w:rsidR="006E6D7A" w14:paraId="67157574"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72" w14:textId="77777777">
            <w:r>
              <w:t>Documentation projet (plannings, kanban, etc.)</w:t>
            </w:r>
          </w:p>
        </w:tc>
        <w:tc>
          <w:tcPr>
            <w:tcW w:w="3402" w:type="dxa"/>
            <w:vMerge w:val="restart"/>
            <w:tcBorders>
              <w:top w:val="single" w:color="06A6A3" w:sz="6" w:space="0"/>
              <w:left w:val="single" w:color="06A6A3" w:sz="6" w:space="0"/>
              <w:bottom w:val="single" w:color="06A6A3" w:sz="6" w:space="0"/>
              <w:right w:val="single" w:color="06A6A3" w:sz="6" w:space="0"/>
            </w:tcBorders>
          </w:tcPr>
          <w:p w:rsidR="006E6D7A" w:rsidRDefault="006E6D7A" w14:paraId="67157573" w14:textId="77777777"/>
        </w:tc>
      </w:tr>
      <w:tr w:rsidR="006E6D7A" w14:paraId="67157577"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75" w14:textId="77777777">
            <w:r>
              <w:t>Dossier d’exploitation</w:t>
            </w:r>
          </w:p>
        </w:tc>
        <w:tc>
          <w:tcPr>
            <w:tcW w:w="3402" w:type="dxa"/>
            <w:vMerge w:val="restart"/>
            <w:tcBorders>
              <w:top w:val="single" w:color="06A6A3" w:sz="6" w:space="0"/>
              <w:left w:val="single" w:color="06A6A3" w:sz="6" w:space="0"/>
              <w:bottom w:val="single" w:color="06A6A3" w:sz="6" w:space="0"/>
              <w:right w:val="single" w:color="06A6A3" w:sz="6" w:space="0"/>
            </w:tcBorders>
          </w:tcPr>
          <w:p w:rsidR="006E6D7A" w:rsidRDefault="006E6D7A" w14:paraId="67157576" w14:textId="77777777"/>
        </w:tc>
      </w:tr>
    </w:tbl>
    <w:p w:rsidR="006E6D7A" w:rsidRDefault="006E6D7A" w14:paraId="67157578" w14:textId="77777777"/>
    <w:p w:rsidR="006E6D7A" w:rsidRDefault="00B16C64" w14:paraId="67157579" w14:textId="77777777">
      <w:pPr>
        <w:pStyle w:val="Titre5"/>
        <w:numPr>
          <w:ilvl w:val="5"/>
          <w:numId w:val="3"/>
        </w:numPr>
        <w:pBdr>
          <w:top w:val="none" w:color="000000" w:sz="4" w:space="0"/>
          <w:left w:val="none" w:color="000000" w:sz="4" w:space="0"/>
          <w:bottom w:val="none" w:color="000000" w:sz="4" w:space="0"/>
          <w:right w:val="none" w:color="000000" w:sz="4" w:space="0"/>
        </w:pBdr>
        <w:rPr>
          <w:rFonts w:ascii="Calibri" w:hAnsi="Calibri" w:cs="Calibri"/>
          <w:bCs/>
          <w:color w:val="03A3A6"/>
          <w:sz w:val="24"/>
          <w:szCs w:val="24"/>
        </w:rPr>
      </w:pPr>
      <w:r>
        <w:rPr>
          <w:rFonts w:ascii="Calibri" w:hAnsi="Calibri" w:cs="Calibri"/>
          <w:bCs/>
          <w:color w:val="03A3A6"/>
          <w:sz w:val="24"/>
          <w:szCs w:val="24"/>
        </w:rPr>
        <w:t xml:space="preserve">Prestations d'expertise - Service à valeur ajoutée autour des méthodes et techniques (Automatisation, CI/CD, intégration, tests) </w:t>
      </w:r>
    </w:p>
    <w:p w:rsidR="006E6D7A" w:rsidRDefault="00B16C64" w14:paraId="6715757A"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 xml:space="preserve">Objectifs et contexte de la prestation </w:t>
      </w:r>
    </w:p>
    <w:p w:rsidR="006E6D7A" w:rsidRDefault="006E6D7A" w14:paraId="6715757B" w14:textId="77777777">
      <w:pPr>
        <w:pStyle w:val="Titre5"/>
        <w:numPr>
          <w:ilvl w:val="0"/>
          <w:numId w:val="0"/>
        </w:numPr>
        <w:pBdr>
          <w:top w:val="none" w:color="000000" w:sz="4" w:space="0"/>
          <w:left w:val="none" w:color="000000" w:sz="4" w:space="0"/>
          <w:bottom w:val="none" w:color="000000" w:sz="4" w:space="0"/>
          <w:right w:val="none" w:color="000000" w:sz="4" w:space="0"/>
        </w:pBdr>
        <w:rPr>
          <w:rFonts w:ascii="Times New Roman" w:hAnsi="Times New Roman" w:cs="Times New Roman"/>
          <w:color w:val="000000"/>
          <w:sz w:val="24"/>
          <w:szCs w:val="24"/>
        </w:rPr>
      </w:pPr>
    </w:p>
    <w:p w:rsidR="006E6D7A" w:rsidRDefault="00B16C64" w14:paraId="6715757C" w14:textId="77777777">
      <w:pPr>
        <w:pBdr>
          <w:top w:val="none" w:color="000000" w:sz="4" w:space="0"/>
          <w:left w:val="none" w:color="000000" w:sz="4" w:space="0"/>
          <w:bottom w:val="none" w:color="000000" w:sz="4" w:space="0"/>
          <w:right w:val="none" w:color="000000" w:sz="4" w:space="0"/>
        </w:pBdr>
        <w:rPr>
          <w:rFonts w:ascii="Times New Roman" w:hAnsi="Times New Roman" w:cs="Times New Roman"/>
          <w:color w:val="000000"/>
          <w:sz w:val="24"/>
          <w:szCs w:val="24"/>
        </w:rPr>
      </w:pPr>
      <w:r>
        <w:rPr>
          <w:rFonts w:ascii="Times New Roman" w:hAnsi="Times New Roman" w:cs="Times New Roman"/>
          <w:color w:val="000000"/>
          <w:sz w:val="24"/>
        </w:rPr>
        <w:t xml:space="preserve">Cette prestation a pour objectif de fournir des services à valeur ajoutée autour des méthodes et techniques modernes de développement logiciel. Elle vise à optimiser les processus de développement, d'intégration et de déploiement pour améliorer l'efficacité, la qualité et la rapidité des livraisons.  </w:t>
      </w:r>
    </w:p>
    <w:p w:rsidR="006E6D7A" w:rsidRDefault="00B16C64" w14:paraId="6715757D"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 xml:space="preserve"> Descriptif de la prestation </w:t>
      </w:r>
    </w:p>
    <w:p w:rsidR="006E6D7A" w:rsidRDefault="00B16C64" w14:paraId="6715757E" w14:textId="77777777">
      <w:p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Le titulaire doit fournir des prestations d’expertise pour mettre en œuvre les actions suivantes :</w:t>
      </w:r>
    </w:p>
    <w:p w:rsidR="006E6D7A" w:rsidRDefault="00B16C64" w14:paraId="6715757F" w14:textId="77777777">
      <w:pPr>
        <w:pStyle w:val="Paragraphedeliste"/>
        <w:numPr>
          <w:ilvl w:val="0"/>
          <w:numId w:val="155"/>
        </w:numPr>
        <w:pBdr>
          <w:top w:val="none" w:color="000000" w:sz="4" w:space="0"/>
          <w:left w:val="none" w:color="000000" w:sz="4" w:space="0"/>
          <w:bottom w:val="none" w:color="000000" w:sz="4" w:space="0"/>
          <w:right w:val="none" w:color="000000" w:sz="4" w:space="0"/>
        </w:pBdr>
        <w:rPr>
          <w:rFonts w:ascii="Times New Roman" w:hAnsi="Times New Roman" w:cs="Times New Roman"/>
          <w:color w:val="000000"/>
          <w:sz w:val="24"/>
          <w:szCs w:val="24"/>
        </w:rPr>
      </w:pPr>
      <w:r>
        <w:rPr>
          <w:rFonts w:ascii="Times New Roman" w:hAnsi="Times New Roman" w:cs="Times New Roman"/>
          <w:color w:val="000000"/>
          <w:sz w:val="24"/>
        </w:rPr>
        <w:t>Identifier et collecter les besoins d’automatisation, de configuration de CI/CD, d’intégration et d’exécution de tests automatisées auprès des équipes de développement,</w:t>
      </w:r>
    </w:p>
    <w:p w:rsidR="006E6D7A" w:rsidRDefault="00B16C64" w14:paraId="67157580" w14:textId="77777777">
      <w:pPr>
        <w:pStyle w:val="Paragraphedeliste"/>
        <w:numPr>
          <w:ilvl w:val="0"/>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En collaboration avec les équipes d’INRAE, concevoir une solution pour répondre à ces besoins dans le cadre des outils et contraintes propres à INRAE,</w:t>
      </w:r>
    </w:p>
    <w:p w:rsidR="006E6D7A" w:rsidRDefault="00B16C64" w14:paraId="67157581" w14:textId="77777777">
      <w:pPr>
        <w:pStyle w:val="Paragraphedeliste"/>
        <w:numPr>
          <w:ilvl w:val="0"/>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Être force de proposition sur des évolutions des outils existants,</w:t>
      </w:r>
    </w:p>
    <w:p w:rsidR="006E6D7A" w:rsidRDefault="00B16C64" w14:paraId="67157582" w14:textId="77777777">
      <w:pPr>
        <w:pStyle w:val="Paragraphedeliste"/>
        <w:numPr>
          <w:ilvl w:val="0"/>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Accompagner les équipes dans la mise en place et l’appropriation de la solution</w:t>
      </w:r>
    </w:p>
    <w:p w:rsidR="006E6D7A" w:rsidRDefault="00B16C64" w14:paraId="67157583" w14:textId="77777777">
      <w:p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Les solutions proposées pourront inclure, entre autres, les actions suivantes :</w:t>
      </w:r>
    </w:p>
    <w:p w:rsidR="006E6D7A" w:rsidRDefault="00B16C64" w14:paraId="67157584" w14:textId="77777777">
      <w:pPr>
        <w:pStyle w:val="Paragraphedeliste"/>
        <w:numPr>
          <w:ilvl w:val="0"/>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Automatisation</w:t>
      </w:r>
      <w:r>
        <w:rPr>
          <w:rFonts w:ascii="Times New Roman" w:hAnsi="Times New Roman" w:cs="Times New Roman"/>
          <w:color w:val="000000"/>
          <w:sz w:val="24"/>
        </w:rPr>
        <w:t xml:space="preserve"> : </w:t>
      </w:r>
    </w:p>
    <w:p w:rsidR="006E6D7A" w:rsidRDefault="00B16C64" w14:paraId="67157585"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Identifier les tâches répétitives et les processus pouvant être automatisés.</w:t>
      </w:r>
    </w:p>
    <w:p w:rsidR="006E6D7A" w:rsidRDefault="00B16C64" w14:paraId="67157586"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Mettre en place des scripts et des outils d'automatisation pour ces tâches.</w:t>
      </w:r>
    </w:p>
    <w:p w:rsidR="006E6D7A" w:rsidRDefault="00B16C64" w14:paraId="67157587"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Assurer la maintenance et l'amélioration continue des solutions d'automatisation.</w:t>
      </w:r>
    </w:p>
    <w:p w:rsidR="006E6D7A" w:rsidRDefault="00B16C64" w14:paraId="67157588" w14:textId="77777777">
      <w:pPr>
        <w:pStyle w:val="Paragraphedeliste"/>
        <w:numPr>
          <w:ilvl w:val="0"/>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CI/CD (Intégration Continue/Déploiement Continu)</w:t>
      </w:r>
      <w:r>
        <w:rPr>
          <w:rFonts w:ascii="Times New Roman" w:hAnsi="Times New Roman" w:cs="Times New Roman"/>
          <w:color w:val="000000"/>
          <w:sz w:val="24"/>
        </w:rPr>
        <w:t xml:space="preserve"> : </w:t>
      </w:r>
    </w:p>
    <w:p w:rsidR="006E6D7A" w:rsidRDefault="00B16C64" w14:paraId="67157589"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lastRenderedPageBreak/>
        <w:t>Configurer et optimiser les pipelines CI/CD pour permettre des intégrations et des déploiements fréquents et fiables.</w:t>
      </w:r>
    </w:p>
    <w:p w:rsidR="006E6D7A" w:rsidRDefault="00B16C64" w14:paraId="6715758A"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Mettre en place des outils de gestion de version et de </w:t>
      </w:r>
      <w:proofErr w:type="spellStart"/>
      <w:r>
        <w:rPr>
          <w:rFonts w:ascii="Times New Roman" w:hAnsi="Times New Roman" w:cs="Times New Roman"/>
          <w:color w:val="000000"/>
          <w:sz w:val="24"/>
        </w:rPr>
        <w:t>build</w:t>
      </w:r>
      <w:proofErr w:type="spellEnd"/>
      <w:r>
        <w:rPr>
          <w:rFonts w:ascii="Times New Roman" w:hAnsi="Times New Roman" w:cs="Times New Roman"/>
          <w:color w:val="000000"/>
          <w:sz w:val="24"/>
        </w:rPr>
        <w:t xml:space="preserve"> automatisés.</w:t>
      </w:r>
    </w:p>
    <w:p w:rsidR="006E6D7A" w:rsidRDefault="00B16C64" w14:paraId="6715758B"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Assurer la surveillance et le suivi des pipelines pour détecter et résoudre rapidement les problèmes.</w:t>
      </w:r>
    </w:p>
    <w:p w:rsidR="006E6D7A" w:rsidRDefault="00B16C64" w14:paraId="6715758C"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Identifier des éléments communs aux différents pipelines de CI/CD et mutualiser lorsque c’est possible en développant/utilisant des composants réutilisables fournis par les outils de CI/CD</w:t>
      </w:r>
    </w:p>
    <w:p w:rsidR="006E6D7A" w:rsidRDefault="00B16C64" w14:paraId="6715758D" w14:textId="77777777">
      <w:pPr>
        <w:pStyle w:val="Paragraphedeliste"/>
        <w:numPr>
          <w:ilvl w:val="0"/>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Intégration</w:t>
      </w:r>
      <w:r>
        <w:rPr>
          <w:rFonts w:ascii="Times New Roman" w:hAnsi="Times New Roman" w:cs="Times New Roman"/>
          <w:color w:val="000000"/>
          <w:sz w:val="24"/>
        </w:rPr>
        <w:t xml:space="preserve"> : </w:t>
      </w:r>
    </w:p>
    <w:p w:rsidR="006E6D7A" w:rsidRDefault="00B16C64" w14:paraId="6715758E"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Assurer l'intégration fluide des différentes composantes du système.</w:t>
      </w:r>
    </w:p>
    <w:p w:rsidR="006E6D7A" w:rsidRDefault="00B16C64" w14:paraId="6715758F"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Mettre en place des stratégies d'intégration pour garantir la cohérence et la compatibilité des différentes parties du système.</w:t>
      </w:r>
    </w:p>
    <w:p w:rsidR="006E6D7A" w:rsidRDefault="00B16C64" w14:paraId="67157590"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Gérer les dépendances entre les différents modules et composants.</w:t>
      </w:r>
    </w:p>
    <w:p w:rsidR="006E6D7A" w:rsidRDefault="00B16C64" w14:paraId="67157591" w14:textId="77777777">
      <w:pPr>
        <w:pStyle w:val="Paragraphedeliste"/>
        <w:numPr>
          <w:ilvl w:val="0"/>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Tests</w:t>
      </w:r>
      <w:r>
        <w:rPr>
          <w:rFonts w:ascii="Times New Roman" w:hAnsi="Times New Roman" w:cs="Times New Roman"/>
          <w:color w:val="000000"/>
          <w:sz w:val="24"/>
        </w:rPr>
        <w:t xml:space="preserve"> : </w:t>
      </w:r>
    </w:p>
    <w:p w:rsidR="006E6D7A" w:rsidRDefault="00B16C64" w14:paraId="67157592" w14:textId="77777777">
      <w:pPr>
        <w:pStyle w:val="Paragraphedeliste"/>
        <w:numPr>
          <w:ilvl w:val="1"/>
          <w:numId w:val="155"/>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Mettre en place des outils permettant des tests automatisés (non régression, montée en charge, pénétration ...) pour garantir la qualité des produits.</w:t>
      </w:r>
    </w:p>
    <w:tbl>
      <w:tblPr>
        <w:tblStyle w:val="Grilledutableau"/>
        <w:tblW w:w="0" w:type="auto"/>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ayout w:type="fixed"/>
        <w:tblLook w:val="04A0" w:firstRow="1" w:lastRow="0" w:firstColumn="1" w:lastColumn="0" w:noHBand="0" w:noVBand="1"/>
      </w:tblPr>
      <w:tblGrid>
        <w:gridCol w:w="5670"/>
        <w:gridCol w:w="3402"/>
      </w:tblGrid>
      <w:tr w:rsidR="006E6D7A" w14:paraId="67157595" w14:textId="77777777">
        <w:tc>
          <w:tcPr>
            <w:tcW w:w="5670"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593"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Livrables attendus</w:t>
            </w:r>
          </w:p>
        </w:tc>
        <w:tc>
          <w:tcPr>
            <w:tcW w:w="3402"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594"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Délai de livraison</w:t>
            </w:r>
          </w:p>
        </w:tc>
      </w:tr>
      <w:tr w:rsidR="006E6D7A" w14:paraId="67157598"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96" w14:textId="77777777">
            <w:r>
              <w:t>Dossier d’étude / rapport d’expertise</w:t>
            </w:r>
          </w:p>
        </w:tc>
        <w:tc>
          <w:tcPr>
            <w:tcW w:w="3402"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6E6D7A" w14:paraId="67157597" w14:textId="77777777">
            <w:pPr>
              <w:pBdr>
                <w:top w:val="none" w:color="000000" w:sz="4" w:space="0"/>
                <w:left w:val="none" w:color="000000" w:sz="4" w:space="0"/>
                <w:bottom w:val="none" w:color="000000" w:sz="4" w:space="0"/>
                <w:right w:val="none" w:color="000000" w:sz="4" w:space="0"/>
              </w:pBdr>
              <w:jc w:val="center"/>
              <w:rPr>
                <w:rFonts w:ascii="Calibri" w:hAnsi="Calibri" w:eastAsia="Calibri" w:cs="Calibri"/>
                <w:color w:val="000000"/>
              </w:rPr>
            </w:pPr>
          </w:p>
        </w:tc>
      </w:tr>
      <w:tr w:rsidR="006E6D7A" w14:paraId="6715759B"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99" w14:textId="77777777">
            <w:r>
              <w:t>Mise à jour des documents d’exploitation et d’architecture</w:t>
            </w:r>
          </w:p>
        </w:tc>
        <w:tc>
          <w:tcPr>
            <w:tcW w:w="3402"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6E6D7A" w14:paraId="6715759A" w14:textId="77777777"/>
        </w:tc>
      </w:tr>
      <w:tr w:rsidR="006E6D7A" w14:paraId="6715759E"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9C"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Mise à jour des processus</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9D" w14:textId="77777777"/>
        </w:tc>
      </w:tr>
    </w:tbl>
    <w:p w:rsidR="006E6D7A" w:rsidRDefault="006E6D7A" w14:paraId="6715759F" w14:textId="77777777">
      <w:pPr>
        <w:pBdr>
          <w:top w:val="none" w:color="000000" w:sz="4" w:space="0"/>
          <w:left w:val="none" w:color="000000" w:sz="4" w:space="0"/>
          <w:bottom w:val="none" w:color="000000" w:sz="4" w:space="0"/>
          <w:right w:val="none" w:color="000000" w:sz="4" w:space="0"/>
        </w:pBdr>
        <w:ind w:left="709"/>
      </w:pPr>
    </w:p>
    <w:p w:rsidR="006E6D7A" w:rsidRDefault="00B16C64" w14:paraId="671575A0" w14:textId="77777777">
      <w:pPr>
        <w:pStyle w:val="Titre5"/>
        <w:numPr>
          <w:ilvl w:val="5"/>
          <w:numId w:val="3"/>
        </w:numPr>
        <w:pBdr>
          <w:top w:val="none" w:color="000000" w:sz="4" w:space="0"/>
          <w:left w:val="none" w:color="000000" w:sz="4" w:space="0"/>
          <w:bottom w:val="none" w:color="000000" w:sz="4" w:space="0"/>
          <w:right w:val="none" w:color="000000" w:sz="4" w:space="0"/>
        </w:pBdr>
        <w:rPr>
          <w:rFonts w:ascii="Calibri" w:hAnsi="Calibri" w:cs="Calibri"/>
          <w:bCs/>
          <w:color w:val="03A3A6"/>
          <w:sz w:val="24"/>
          <w:szCs w:val="24"/>
        </w:rPr>
      </w:pPr>
      <w:r>
        <w:rPr>
          <w:rFonts w:ascii="Calibri" w:hAnsi="Calibri" w:cs="Calibri"/>
          <w:bCs/>
          <w:color w:val="03A3A6"/>
          <w:sz w:val="24"/>
          <w:szCs w:val="24"/>
        </w:rPr>
        <w:t xml:space="preserve"> Expertise (Produit, Métier, Fonctionnelle) </w:t>
      </w:r>
    </w:p>
    <w:p w:rsidR="006E6D7A" w:rsidRDefault="00B16C64" w14:paraId="671575A1"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 xml:space="preserve">Objectifs et contexte de la prestation </w:t>
      </w:r>
    </w:p>
    <w:p w:rsidR="006E6D7A" w:rsidRDefault="00B16C64" w14:paraId="671575A2" w14:textId="77777777">
      <w:p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Cette prestation vise à fournir une expertise spécifique sur les produits, les métiers et les aspects fonctionnels. L'objectif est d'assurer une compréhension approfondie des besoins et des enjeux pour optimiser les solutions proposées. Cette expertise permet de garantir que les produits développés répondent aux attentes des utilisateurs et des parties prenantes, tout en respectant les contraintes techniques et organisationnelles. </w:t>
      </w:r>
    </w:p>
    <w:p w:rsidR="006E6D7A" w:rsidRDefault="00B16C64" w14:paraId="671575A3"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 xml:space="preserve">Descriptif de la prestation </w:t>
      </w:r>
    </w:p>
    <w:p w:rsidR="006E6D7A" w:rsidRDefault="00B16C64" w14:paraId="671575A4" w14:textId="77777777">
      <w:p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Le titulaire doit fournir une expertise dans les domaines suivants : </w:t>
      </w:r>
    </w:p>
    <w:p w:rsidR="006E6D7A" w:rsidRDefault="00B16C64" w14:paraId="671575A5" w14:textId="77777777">
      <w:pPr>
        <w:pStyle w:val="Paragraphedeliste"/>
        <w:numPr>
          <w:ilvl w:val="0"/>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Produit</w:t>
      </w:r>
      <w:r>
        <w:rPr>
          <w:rFonts w:ascii="Times New Roman" w:hAnsi="Times New Roman" w:cs="Times New Roman"/>
          <w:color w:val="000000"/>
          <w:sz w:val="24"/>
        </w:rPr>
        <w:t xml:space="preserve"> : </w:t>
      </w:r>
    </w:p>
    <w:p w:rsidR="006E6D7A" w:rsidRDefault="00B16C64" w14:paraId="671575A6" w14:textId="77777777">
      <w:pPr>
        <w:pStyle w:val="Paragraphedeliste"/>
        <w:numPr>
          <w:ilvl w:val="1"/>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Analyser les produits existants et nouveaux pour identifier les améliorations possibles.</w:t>
      </w:r>
    </w:p>
    <w:p w:rsidR="006E6D7A" w:rsidRDefault="00B16C64" w14:paraId="671575A7" w14:textId="77777777">
      <w:pPr>
        <w:pStyle w:val="Paragraphedeliste"/>
        <w:numPr>
          <w:ilvl w:val="1"/>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Fournir des recommandations sur les fonctionnalités à ajouter, les améliorations à apporter et les optimisations à réaliser.</w:t>
      </w:r>
    </w:p>
    <w:p w:rsidR="006E6D7A" w:rsidRDefault="00B16C64" w14:paraId="671575A8" w14:textId="77777777">
      <w:pPr>
        <w:pStyle w:val="Paragraphedeliste"/>
        <w:numPr>
          <w:ilvl w:val="1"/>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Assurer la cohérence et la qualité des produits tout au long de leur cycle de vie.</w:t>
      </w:r>
    </w:p>
    <w:p w:rsidR="006E6D7A" w:rsidRDefault="00B16C64" w14:paraId="671575A9" w14:textId="77777777">
      <w:pPr>
        <w:pStyle w:val="Paragraphedeliste"/>
        <w:numPr>
          <w:ilvl w:val="0"/>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Métier</w:t>
      </w:r>
      <w:r>
        <w:rPr>
          <w:rFonts w:ascii="Times New Roman" w:hAnsi="Times New Roman" w:cs="Times New Roman"/>
          <w:color w:val="000000"/>
          <w:sz w:val="24"/>
        </w:rPr>
        <w:t xml:space="preserve"> : </w:t>
      </w:r>
    </w:p>
    <w:p w:rsidR="006E6D7A" w:rsidRDefault="00B16C64" w14:paraId="671575AA" w14:textId="77777777">
      <w:pPr>
        <w:pStyle w:val="Paragraphedeliste"/>
        <w:numPr>
          <w:ilvl w:val="1"/>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Comprendre les processus métiers et les besoins spécifiques des utilisateurs.</w:t>
      </w:r>
    </w:p>
    <w:p w:rsidR="006E6D7A" w:rsidRDefault="00B16C64" w14:paraId="671575AB" w14:textId="77777777">
      <w:pPr>
        <w:pStyle w:val="Paragraphedeliste"/>
        <w:numPr>
          <w:ilvl w:val="1"/>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Analyser les enjeux métiers et les contraintes organisationnelles.</w:t>
      </w:r>
    </w:p>
    <w:p w:rsidR="006E6D7A" w:rsidRDefault="00B16C64" w14:paraId="671575AC" w14:textId="77777777">
      <w:pPr>
        <w:pStyle w:val="Paragraphedeliste"/>
        <w:numPr>
          <w:ilvl w:val="1"/>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Fournir des recommandations pour optimiser les processus métiers et améliorer l'efficacité des solutions proposées.</w:t>
      </w:r>
    </w:p>
    <w:p w:rsidR="006E6D7A" w:rsidRDefault="00B16C64" w14:paraId="671575AD" w14:textId="77777777">
      <w:pPr>
        <w:pStyle w:val="Paragraphedeliste"/>
        <w:numPr>
          <w:ilvl w:val="0"/>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Fonctionnelle</w:t>
      </w:r>
      <w:r>
        <w:rPr>
          <w:rFonts w:ascii="Times New Roman" w:hAnsi="Times New Roman" w:cs="Times New Roman"/>
          <w:color w:val="000000"/>
          <w:sz w:val="24"/>
        </w:rPr>
        <w:t xml:space="preserve"> : </w:t>
      </w:r>
    </w:p>
    <w:p w:rsidR="006E6D7A" w:rsidRDefault="00B16C64" w14:paraId="671575AE" w14:textId="77777777">
      <w:pPr>
        <w:pStyle w:val="Paragraphedeliste"/>
        <w:numPr>
          <w:ilvl w:val="1"/>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Analyser les exigences fonctionnelles et les spécifications techniques.</w:t>
      </w:r>
    </w:p>
    <w:p w:rsidR="006E6D7A" w:rsidRDefault="00B16C64" w14:paraId="671575AF" w14:textId="77777777">
      <w:pPr>
        <w:pStyle w:val="Paragraphedeliste"/>
        <w:numPr>
          <w:ilvl w:val="1"/>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lastRenderedPageBreak/>
        <w:t xml:space="preserve"> Mettre en place des stratégies pour garantir que les solutions développées répondent aux exigences fonctionnelles.</w:t>
      </w:r>
    </w:p>
    <w:p w:rsidR="006E6D7A" w:rsidRDefault="00B16C64" w14:paraId="671575B0" w14:textId="77777777">
      <w:pPr>
        <w:pStyle w:val="Paragraphedeliste"/>
        <w:numPr>
          <w:ilvl w:val="1"/>
          <w:numId w:val="156"/>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Assurer la traçabilité des exigences et des spécifications tout au long du cycle de développement.</w:t>
      </w:r>
    </w:p>
    <w:p w:rsidR="006E6D7A" w:rsidRDefault="00B16C64" w14:paraId="671575B1"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 xml:space="preserve">Livrables de la prestation </w:t>
      </w:r>
    </w:p>
    <w:p w:rsidR="006E6D7A" w:rsidRDefault="00B16C64" w14:paraId="671575B2" w14:textId="77777777">
      <w:pPr>
        <w:pStyle w:val="Paragraphedeliste"/>
        <w:numPr>
          <w:ilvl w:val="0"/>
          <w:numId w:val="157"/>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Rapports d'expertise</w:t>
      </w:r>
      <w:r>
        <w:rPr>
          <w:rFonts w:ascii="Times New Roman" w:hAnsi="Times New Roman" w:cs="Times New Roman"/>
          <w:color w:val="000000"/>
          <w:sz w:val="24"/>
        </w:rPr>
        <w:t xml:space="preserve"> : </w:t>
      </w:r>
    </w:p>
    <w:p w:rsidR="006E6D7A" w:rsidRDefault="00B16C64" w14:paraId="671575B3" w14:textId="77777777">
      <w:pPr>
        <w:pStyle w:val="Paragraphedeliste"/>
        <w:numPr>
          <w:ilvl w:val="1"/>
          <w:numId w:val="157"/>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Documentation des analyses et recommandations, incluant les résultats des analyses, les recommandations et les justifications.</w:t>
      </w:r>
    </w:p>
    <w:p w:rsidR="006E6D7A" w:rsidRDefault="00B16C64" w14:paraId="671575B4" w14:textId="77777777">
      <w:pPr>
        <w:pStyle w:val="Paragraphedeliste"/>
        <w:numPr>
          <w:ilvl w:val="1"/>
          <w:numId w:val="157"/>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Rapports de suivi et de surveillance des recommandations, incluant les actions mises en œuvre et les résultats obtenus.</w:t>
      </w:r>
    </w:p>
    <w:p w:rsidR="006E6D7A" w:rsidRDefault="00B16C64" w14:paraId="671575B5" w14:textId="77777777">
      <w:pPr>
        <w:pStyle w:val="Paragraphedeliste"/>
        <w:numPr>
          <w:ilvl w:val="0"/>
          <w:numId w:val="157"/>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Recommandations</w:t>
      </w:r>
      <w:r>
        <w:rPr>
          <w:rFonts w:ascii="Times New Roman" w:hAnsi="Times New Roman" w:cs="Times New Roman"/>
          <w:color w:val="000000"/>
          <w:sz w:val="24"/>
        </w:rPr>
        <w:t xml:space="preserve"> : </w:t>
      </w:r>
    </w:p>
    <w:p w:rsidR="006E6D7A" w:rsidRDefault="00B16C64" w14:paraId="671575B6" w14:textId="77777777">
      <w:pPr>
        <w:pStyle w:val="Paragraphedeliste"/>
        <w:numPr>
          <w:ilvl w:val="1"/>
          <w:numId w:val="157"/>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Suggestions pour l'amélioration des produits et des processus, incluant les actions à mettre en œuvre, les priorités et les délais.</w:t>
      </w:r>
    </w:p>
    <w:p w:rsidR="006E6D7A" w:rsidRDefault="00B16C64" w14:paraId="671575B7" w14:textId="77777777">
      <w:pPr>
        <w:pStyle w:val="Paragraphedeliste"/>
        <w:numPr>
          <w:ilvl w:val="1"/>
          <w:numId w:val="157"/>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Rapports d'analyse des risques et des opportunités associés aux recommandations.</w:t>
      </w:r>
    </w:p>
    <w:p w:rsidR="006E6D7A" w:rsidRDefault="00B16C64" w14:paraId="671575B8" w14:textId="77777777">
      <w:pPr>
        <w:pStyle w:val="Paragraphedeliste"/>
        <w:numPr>
          <w:ilvl w:val="0"/>
          <w:numId w:val="157"/>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Spécifications fonctionnelles</w:t>
      </w:r>
      <w:r>
        <w:rPr>
          <w:rFonts w:ascii="Times New Roman" w:hAnsi="Times New Roman" w:cs="Times New Roman"/>
          <w:color w:val="000000"/>
          <w:sz w:val="24"/>
        </w:rPr>
        <w:t xml:space="preserve"> : </w:t>
      </w:r>
    </w:p>
    <w:p w:rsidR="006E6D7A" w:rsidRDefault="00B16C64" w14:paraId="671575B9" w14:textId="77777777">
      <w:pPr>
        <w:pStyle w:val="Paragraphedeliste"/>
        <w:numPr>
          <w:ilvl w:val="1"/>
          <w:numId w:val="157"/>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Documentation des exigences fonctionnelles et des spécifications techniques, incluant les cas d'utilisation, les scénarios d'utilisation et les spécifications détaillées.</w:t>
      </w:r>
    </w:p>
    <w:p w:rsidR="006E6D7A" w:rsidRDefault="00B16C64" w14:paraId="671575BA" w14:textId="77777777">
      <w:pPr>
        <w:pStyle w:val="Paragraphedeliste"/>
        <w:numPr>
          <w:ilvl w:val="1"/>
          <w:numId w:val="157"/>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Rapports de traçabilité des exigences et des spécifications, incluant les liens entre les exigences et les spécifications, ainsi que les liens entre les spécifications et les tests.</w:t>
      </w:r>
    </w:p>
    <w:tbl>
      <w:tblPr>
        <w:tblStyle w:val="Grilledutableau"/>
        <w:tblW w:w="0" w:type="auto"/>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ayout w:type="fixed"/>
        <w:tblLook w:val="04A0" w:firstRow="1" w:lastRow="0" w:firstColumn="1" w:lastColumn="0" w:noHBand="0" w:noVBand="1"/>
      </w:tblPr>
      <w:tblGrid>
        <w:gridCol w:w="5670"/>
        <w:gridCol w:w="3402"/>
      </w:tblGrid>
      <w:tr w:rsidR="006E6D7A" w14:paraId="671575BD" w14:textId="77777777">
        <w:tc>
          <w:tcPr>
            <w:tcW w:w="5670"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5BB"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Livrables attendus</w:t>
            </w:r>
          </w:p>
        </w:tc>
        <w:tc>
          <w:tcPr>
            <w:tcW w:w="3402"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5BC"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Délai de livraison</w:t>
            </w:r>
          </w:p>
        </w:tc>
      </w:tr>
      <w:tr w:rsidR="006E6D7A" w14:paraId="671575C0" w14:textId="77777777">
        <w:trPr>
          <w:trHeight w:val="389"/>
        </w:trPr>
        <w:tc>
          <w:tcPr>
            <w:tcW w:w="5670"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BE" w14:textId="77777777">
            <w:r>
              <w:t>Dossier d’étude / rapport d’expertise</w:t>
            </w:r>
          </w:p>
        </w:tc>
        <w:tc>
          <w:tcPr>
            <w:tcW w:w="3402"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6E6D7A" w14:paraId="671575BF" w14:textId="77777777">
            <w:pPr>
              <w:pBdr>
                <w:top w:val="none" w:color="000000" w:sz="4" w:space="0"/>
                <w:left w:val="none" w:color="000000" w:sz="4" w:space="0"/>
                <w:bottom w:val="none" w:color="000000" w:sz="4" w:space="0"/>
                <w:right w:val="none" w:color="000000" w:sz="4" w:space="0"/>
              </w:pBdr>
              <w:jc w:val="center"/>
              <w:rPr>
                <w:rFonts w:ascii="Calibri" w:hAnsi="Calibri" w:eastAsia="Calibri" w:cs="Calibri"/>
                <w:color w:val="000000"/>
              </w:rPr>
            </w:pPr>
          </w:p>
        </w:tc>
      </w:tr>
      <w:tr w:rsidR="006E6D7A" w14:paraId="671575C3"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C1" w14:textId="77777777">
            <w:r>
              <w:t>Mise à jour des documents d’exploitation et d’architecture</w:t>
            </w:r>
          </w:p>
        </w:tc>
        <w:tc>
          <w:tcPr>
            <w:tcW w:w="3402"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6E6D7A" w14:paraId="671575C2" w14:textId="77777777"/>
        </w:tc>
      </w:tr>
      <w:tr w:rsidR="006E6D7A" w14:paraId="671575C6"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C4"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Mise à jour des processus</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C5" w14:textId="77777777"/>
        </w:tc>
      </w:tr>
      <w:tr w:rsidR="006E6D7A" w14:paraId="671575C9"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5C7" w14:textId="77777777">
            <w:r>
              <w:t>Analyses d’impact / de risques</w:t>
            </w:r>
          </w:p>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C8" w14:textId="77777777"/>
        </w:tc>
      </w:tr>
      <w:tr w:rsidR="006E6D7A" w14:paraId="671575CC" w14:textId="77777777">
        <w:tc>
          <w:tcPr>
            <w:tcW w:w="5670"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6E6D7A" w14:paraId="671575CA" w14:textId="77777777"/>
        </w:tc>
        <w:tc>
          <w:tcPr>
            <w:tcW w:w="3402" w:type="dxa"/>
            <w:vMerge/>
            <w:tcBorders>
              <w:top w:val="single" w:color="06A6A3" w:sz="6" w:space="0"/>
              <w:left w:val="single" w:color="06A6A3" w:sz="6" w:space="0"/>
              <w:bottom w:val="single" w:color="06A6A3" w:sz="6" w:space="0"/>
              <w:right w:val="single" w:color="06A6A3" w:sz="6" w:space="0"/>
            </w:tcBorders>
          </w:tcPr>
          <w:p w:rsidR="006E6D7A" w:rsidRDefault="006E6D7A" w14:paraId="671575CB" w14:textId="77777777"/>
        </w:tc>
      </w:tr>
    </w:tbl>
    <w:p w:rsidR="006E6D7A" w:rsidRDefault="006E6D7A" w14:paraId="671575CD" w14:textId="77777777">
      <w:pPr>
        <w:keepNext/>
        <w:tabs>
          <w:tab w:val="left" w:pos="567"/>
          <w:tab w:val="left" w:pos="851"/>
        </w:tabs>
        <w:spacing w:before="480"/>
        <w:rPr>
          <w:rFonts w:ascii="Calibri" w:hAnsi="Calibri" w:cs="Calibri"/>
          <w:b/>
          <w:bCs/>
          <w:color w:val="03A3A6"/>
          <w:sz w:val="24"/>
          <w:szCs w:val="24"/>
        </w:rPr>
      </w:pPr>
    </w:p>
    <w:p w:rsidR="006E6D7A" w:rsidRDefault="00B16C64" w14:paraId="671575CE" w14:textId="77777777">
      <w:pPr>
        <w:pStyle w:val="Titre5"/>
        <w:numPr>
          <w:ilvl w:val="5"/>
          <w:numId w:val="3"/>
        </w:numPr>
        <w:pBdr>
          <w:top w:val="none" w:color="000000" w:sz="4" w:space="0"/>
          <w:left w:val="none" w:color="000000" w:sz="4" w:space="0"/>
          <w:bottom w:val="none" w:color="000000" w:sz="4" w:space="0"/>
          <w:right w:val="none" w:color="000000" w:sz="4" w:space="0"/>
        </w:pBdr>
        <w:rPr>
          <w:rFonts w:ascii="Calibri" w:hAnsi="Calibri" w:cs="Calibri"/>
          <w:bCs/>
          <w:color w:val="03A3A6"/>
          <w:sz w:val="24"/>
          <w:szCs w:val="24"/>
        </w:rPr>
      </w:pPr>
      <w:r>
        <w:rPr>
          <w:rFonts w:ascii="Calibri" w:hAnsi="Calibri" w:cs="Calibri"/>
          <w:bCs/>
          <w:color w:val="03A3A6"/>
          <w:sz w:val="24"/>
          <w:szCs w:val="24"/>
        </w:rPr>
        <w:t xml:space="preserve"> Réversibilité et transfert de compétences</w:t>
      </w:r>
    </w:p>
    <w:p w:rsidR="006E6D7A" w:rsidRDefault="00B16C64" w14:paraId="671575CF"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Objectifs et contexte de la prestation</w:t>
      </w:r>
    </w:p>
    <w:p w:rsidR="006E6D7A" w:rsidRDefault="00B16C64" w14:paraId="671575D0" w14:textId="77777777">
      <w:r>
        <w:rPr>
          <w:lang w:eastAsia="en-US"/>
        </w:rPr>
        <w:t xml:space="preserve">Cette prestation a pour objet </w:t>
      </w:r>
      <w:r>
        <w:t>la réalisation de l'ensemble des prestations nécessaires à la reprise des travaux à la charge du titulaire par un ou plusieurs tiers (INRAE ou prestataire), sans discontinuité de l’activité, défaut de connaissance de l’environnement de travail ou perte de qualité de service. Il s’agit donc d’une phase de transfert de compétences.</w:t>
      </w:r>
    </w:p>
    <w:p w:rsidR="006E6D7A" w:rsidRDefault="00B16C64" w14:paraId="671575D1" w14:textId="77777777">
      <w:r>
        <w:t>La phase d’accompagnement doit se dérouler tout au long de l’exécution de ce poste et ce jusqu’à complet basculement vers les équipes du tiers. La période de présence des deux équipes (celle du bénéficiaire de la réversibilité et celle du titulaire) simultanément ne doit pas dépasser une période de 4 mois.</w:t>
      </w:r>
    </w:p>
    <w:p w:rsidR="006E6D7A" w:rsidRDefault="00B16C64" w14:paraId="671575D2" w14:textId="77777777">
      <w:r>
        <w:t>A l’issue de la période de réversibilité, le bénéficiaire de la réversibilité doit pouvoir être autonome sur le périmètre d’action du titulaire.</w:t>
      </w:r>
    </w:p>
    <w:p w:rsidR="006E6D7A" w:rsidRDefault="00B16C64" w14:paraId="671575D3" w14:textId="77777777">
      <w:r>
        <w:t xml:space="preserve">INRAE conservera, après la fin de l’accord-cadre, la propriété de toute information obtenue, rédigée ou maintenue par le titulaire dans le cadre de ses prestations quel qu'en soit le support. INRAE conservera également </w:t>
      </w:r>
      <w:r>
        <w:lastRenderedPageBreak/>
        <w:t>les développements logiciels, procédures et modes opératoires conçus par le titulaire. Ces données doivent être intégralement restituées à INRAE sans surcoût.</w:t>
      </w:r>
    </w:p>
    <w:p w:rsidR="006E6D7A" w:rsidRDefault="00B16C64" w14:paraId="671575D4" w14:textId="77777777">
      <w:r>
        <w:t>La prestation débute à compter de la réception par le titulaire du bon de commande ou à la date indiquée par celui-ci et s’achève à la réception du procès-verbal de recette validé par le prescripteur INRAE.</w:t>
      </w:r>
    </w:p>
    <w:p w:rsidR="006E6D7A" w:rsidRDefault="00B16C64" w14:paraId="671575D5"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Descriptif de la prestation</w:t>
      </w:r>
    </w:p>
    <w:p w:rsidR="006E6D7A" w:rsidRDefault="00B16C64" w14:paraId="671575D6" w14:textId="77777777">
      <w:r>
        <w:t>Il s’agit pour le titulaire de garantir et mettre en œuvre à destination des équipes du tiers :</w:t>
      </w:r>
    </w:p>
    <w:p w:rsidR="006E6D7A" w:rsidRDefault="00B16C64" w14:paraId="671575D7" w14:textId="77777777">
      <w:pPr>
        <w:pStyle w:val="Puce1"/>
      </w:pPr>
      <w:r>
        <w:t>Le transfert des méthodes, procédures, outils, documentations et savoir-faire</w:t>
      </w:r>
    </w:p>
    <w:p w:rsidR="006E6D7A" w:rsidRDefault="00B16C64" w14:paraId="671575D8" w14:textId="77777777">
      <w:pPr>
        <w:pStyle w:val="Puce1"/>
      </w:pPr>
      <w:r>
        <w:t>La mise à niveau et l’accompagnement de la nouvelle équipe prenant en charge les activités objet de la réversibilité</w:t>
      </w:r>
    </w:p>
    <w:p w:rsidR="006E6D7A" w:rsidRDefault="00B16C64" w14:paraId="671575D9" w14:textId="77777777">
      <w:pPr>
        <w:pStyle w:val="Puce1"/>
      </w:pPr>
      <w:r>
        <w:t>La responsabilité des activités jusqu’à réception des prestations par le pouvoir adjudicateur</w:t>
      </w:r>
    </w:p>
    <w:p w:rsidR="006E6D7A" w:rsidRDefault="00B16C64" w14:paraId="671575DA" w14:textId="77777777">
      <w:r>
        <w:t>Plusieurs étapes sont requises pour garantir le succès de ce transfert :</w:t>
      </w:r>
    </w:p>
    <w:p w:rsidR="006E6D7A" w:rsidRDefault="00B16C64" w14:paraId="671575DB" w14:textId="77777777">
      <w:pPr>
        <w:pStyle w:val="Puce1"/>
      </w:pPr>
      <w:r>
        <w:t>Etape de préparation de la réversibilité : le titulaire en place prépare un plan de réversibilité. Ce document doit formaliser le cadrage de la période de réversibilité : planning détaillé, méthodologie de suivi, moyens utilisés.</w:t>
      </w:r>
    </w:p>
    <w:p w:rsidR="006E6D7A" w:rsidRDefault="00B16C64" w14:paraId="671575DC" w14:textId="77777777">
      <w:pPr>
        <w:pStyle w:val="Puce1"/>
      </w:pPr>
      <w:r>
        <w:t>Etape de transfert : le titulaire en place transmet au tiers le corpus documentaire et les éventuels outils associés. Il prévoit des sessions de présentation / démonstration / formation à destination des équipes du tiers bénéficiaires.</w:t>
      </w:r>
    </w:p>
    <w:p w:rsidR="006E6D7A" w:rsidRDefault="00B16C64" w14:paraId="671575DD" w14:textId="77777777">
      <w:pPr>
        <w:pStyle w:val="Puce1"/>
      </w:pPr>
      <w:r>
        <w:t>Etape d’accompagnement au cours de laquelle le titulaire délègue progressivement au Tiers l’exécution des travaux, tout en restant sous sa supervision. A l’issue de cette phase d’accompagnement, la responsabilité est alors transférée au nouvel acteur.</w:t>
      </w:r>
    </w:p>
    <w:p w:rsidR="006E6D7A" w:rsidRDefault="00B16C64" w14:paraId="671575DE" w14:textId="77777777">
      <w:pPr>
        <w:pStyle w:val="Puce1"/>
      </w:pPr>
      <w:r>
        <w:t>Etape de synthèse : le titulaire produit une note de synthèse correspondant au bilan des actions menées et à sa propre évaluation de la réversibilité.</w:t>
      </w:r>
    </w:p>
    <w:p w:rsidR="006E6D7A" w:rsidRDefault="00B16C64" w14:paraId="671575DF" w14:textId="77777777">
      <w:pPr>
        <w:pStyle w:val="Titre6"/>
        <w:numPr>
          <w:ilvl w:val="6"/>
          <w:numId w:val="3"/>
        </w:numPr>
        <w:pBdr>
          <w:top w:val="none" w:color="000000" w:sz="4" w:space="0"/>
          <w:left w:val="none" w:color="000000" w:sz="4" w:space="0"/>
          <w:bottom w:val="none" w:color="000000" w:sz="4" w:space="0"/>
          <w:right w:val="none" w:color="000000" w:sz="4" w:space="0"/>
        </w:pBdr>
        <w:rPr>
          <w:rFonts w:ascii="Calibri" w:hAnsi="Calibri" w:cs="Calibri"/>
          <w:b/>
          <w:bCs/>
          <w:color w:val="03A6A3"/>
        </w:rPr>
      </w:pPr>
      <w:r>
        <w:rPr>
          <w:rFonts w:ascii="Calibri" w:hAnsi="Calibri" w:cs="Calibri"/>
          <w:b/>
          <w:bCs/>
          <w:color w:val="03A6A3"/>
        </w:rPr>
        <w:t>Livrables</w:t>
      </w:r>
    </w:p>
    <w:tbl>
      <w:tblPr>
        <w:tblW w:w="9634" w:type="dxa"/>
        <w:tblLayout w:type="fixed"/>
        <w:tblCellMar>
          <w:left w:w="70" w:type="dxa"/>
          <w:right w:w="70" w:type="dxa"/>
        </w:tblCellMar>
        <w:tblLook w:val="04A0" w:firstRow="1" w:lastRow="0" w:firstColumn="1" w:lastColumn="0" w:noHBand="0" w:noVBand="1"/>
      </w:tblPr>
      <w:tblGrid>
        <w:gridCol w:w="5382"/>
        <w:gridCol w:w="4252"/>
      </w:tblGrid>
      <w:tr w:rsidR="006E6D7A" w14:paraId="671575E2" w14:textId="77777777">
        <w:trPr>
          <w:trHeight w:val="290"/>
          <w:tblHeader/>
        </w:trPr>
        <w:tc>
          <w:tcPr>
            <w:tcW w:w="5381"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5E0" w14:textId="77777777">
            <w:pPr>
              <w:jc w:val="center"/>
              <w:rPr>
                <w:rFonts w:ascii="Calibri" w:hAnsi="Calibri" w:cs="Calibri"/>
                <w:color w:val="FFFFFF"/>
              </w:rPr>
            </w:pPr>
            <w:r>
              <w:rPr>
                <w:rFonts w:cs="Calibri"/>
                <w:color w:val="FFFFFF"/>
              </w:rPr>
              <w:t>Livrable attendu</w:t>
            </w:r>
          </w:p>
        </w:tc>
        <w:tc>
          <w:tcPr>
            <w:tcW w:w="4252"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5E1" w14:textId="77777777">
            <w:pPr>
              <w:jc w:val="center"/>
              <w:rPr>
                <w:rFonts w:ascii="Calibri" w:hAnsi="Calibri" w:cs="Calibri"/>
                <w:color w:val="FFFFFF"/>
              </w:rPr>
            </w:pPr>
            <w:r>
              <w:rPr>
                <w:rFonts w:cs="Calibri"/>
                <w:color w:val="FFFFFF"/>
              </w:rPr>
              <w:t>Délai de livraison</w:t>
            </w:r>
          </w:p>
        </w:tc>
      </w:tr>
      <w:tr w:rsidR="006E6D7A" w14:paraId="671575E6"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5E3" w14:textId="77777777">
            <w:pPr>
              <w:pStyle w:val="Tableau-Normal"/>
            </w:pPr>
            <w:r>
              <w:t>Plan de réversibilité</w:t>
            </w:r>
          </w:p>
        </w:tc>
        <w:tc>
          <w:tcPr>
            <w:tcW w:w="4252" w:type="dxa"/>
            <w:vMerge w:val="restart"/>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5E4" w14:textId="77777777">
            <w:pPr>
              <w:pStyle w:val="Tableau-Normal"/>
            </w:pPr>
            <w:r>
              <w:t>Délai maximal d'exécution de la prestation : 4</w:t>
            </w:r>
          </w:p>
          <w:p w:rsidR="006E6D7A" w:rsidRDefault="00B16C64" w14:paraId="671575E5" w14:textId="77777777">
            <w:pPr>
              <w:pStyle w:val="Tableau-Normal"/>
            </w:pPr>
            <w:r>
              <w:t xml:space="preserve"> Mois</w:t>
            </w:r>
          </w:p>
        </w:tc>
      </w:tr>
      <w:tr w:rsidR="006E6D7A" w14:paraId="671575E9"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5E7" w14:textId="77777777">
            <w:pPr>
              <w:pStyle w:val="Tableau-Normal"/>
            </w:pPr>
            <w:r>
              <w:t>Accompagnement opérationnel des équipes reprenant en charge l’exploitation applicative</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5E8" w14:textId="77777777">
            <w:pPr>
              <w:pStyle w:val="Tableau-Normal"/>
            </w:pPr>
          </w:p>
        </w:tc>
      </w:tr>
      <w:tr w:rsidR="006E6D7A" w14:paraId="671575EC"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5EA" w14:textId="77777777">
            <w:pPr>
              <w:pStyle w:val="Tableau-Normal"/>
            </w:pPr>
            <w:r>
              <w:t>Supports de formation et de présentation</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5EB" w14:textId="77777777">
            <w:pPr>
              <w:pStyle w:val="Tableau-Normal"/>
            </w:pPr>
          </w:p>
        </w:tc>
      </w:tr>
      <w:tr w:rsidR="006E6D7A" w14:paraId="671575EF"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5ED" w14:textId="77777777">
            <w:pPr>
              <w:pStyle w:val="Tableau-Normal"/>
            </w:pPr>
            <w:r>
              <w:t xml:space="preserve">Documentation et outillage des développements et d’exploitation (configurations, </w:t>
            </w:r>
            <w:proofErr w:type="gramStart"/>
            <w:r>
              <w:t>procédures,...</w:t>
            </w:r>
            <w:proofErr w:type="gramEnd"/>
            <w:r>
              <w:t>), à jour, transférée</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5EE" w14:textId="77777777">
            <w:pPr>
              <w:pStyle w:val="Tableau-Normal"/>
            </w:pPr>
          </w:p>
        </w:tc>
      </w:tr>
      <w:tr w:rsidR="006E6D7A" w14:paraId="671575F2"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5F0" w14:textId="77777777">
            <w:pPr>
              <w:pStyle w:val="Tableau-Normal"/>
            </w:pPr>
            <w:r>
              <w:t>État des lieux des travaux en cours (</w:t>
            </w:r>
            <w:proofErr w:type="spellStart"/>
            <w:r>
              <w:t>backlog</w:t>
            </w:r>
            <w:proofErr w:type="spellEnd"/>
            <w:r>
              <w:t>) et des demandes (évolution, correction, support)</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5F1" w14:textId="77777777">
            <w:pPr>
              <w:pStyle w:val="Tableau-Normal"/>
            </w:pPr>
          </w:p>
        </w:tc>
      </w:tr>
      <w:tr w:rsidR="006E6D7A" w14:paraId="671575F5"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5F3" w14:textId="77777777">
            <w:pPr>
              <w:pStyle w:val="Tableau-Normal"/>
            </w:pPr>
            <w:r>
              <w:t>Note de synthèse de la phase de réversibilité incluant une note d’évaluation de la capacité du repreneur à maîtriser l’ensemble des outils et informations ayant fait l’objet de la réversibilité</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5F4" w14:textId="77777777">
            <w:pPr>
              <w:pStyle w:val="Tableau-Normal"/>
            </w:pPr>
          </w:p>
        </w:tc>
      </w:tr>
    </w:tbl>
    <w:p w:rsidR="006E6D7A" w:rsidRDefault="006E6D7A" w14:paraId="671575F6" w14:textId="77777777"/>
    <w:p w:rsidR="006E6D7A" w:rsidRDefault="00B16C64" w14:paraId="671575F7" w14:textId="77777777">
      <w:pPr>
        <w:pStyle w:val="Titre3"/>
        <w:numPr>
          <w:ilvl w:val="3"/>
          <w:numId w:val="3"/>
        </w:numPr>
        <w:tabs>
          <w:tab w:val="clear" w:pos="851"/>
        </w:tabs>
      </w:pPr>
      <w:bookmarkStart w:name="_Toc221095561" w:id="143"/>
      <w:r>
        <w:t>Lot 2 - Exploitation</w:t>
      </w:r>
      <w:bookmarkEnd w:id="143"/>
    </w:p>
    <w:p w:rsidR="006E6D7A" w:rsidRDefault="006E6D7A" w14:paraId="671575F8" w14:textId="77777777"/>
    <w:p w:rsidR="006E6D7A" w:rsidRDefault="00B16C64" w14:paraId="671575F9" w14:textId="77777777">
      <w:r>
        <w:t>Exemple prestations CEPH</w:t>
      </w:r>
    </w:p>
    <w:p w:rsidR="006E6D7A" w:rsidRDefault="00B16C64" w14:paraId="671575FA" w14:textId="77777777">
      <w:r>
        <w:t>Prérequis et compétences :</w:t>
      </w:r>
    </w:p>
    <w:p w:rsidR="006E6D7A" w:rsidRDefault="00B16C64" w14:paraId="671575FB" w14:textId="77777777">
      <w:pPr>
        <w:pStyle w:val="Paragraphedeliste"/>
        <w:numPr>
          <w:ilvl w:val="0"/>
          <w:numId w:val="196"/>
        </w:numPr>
      </w:pPr>
      <w:r>
        <w:lastRenderedPageBreak/>
        <w:t>Entreprise spécialisée en infrastructure open source, stockage distribué ou DevOps/SRE.</w:t>
      </w:r>
    </w:p>
    <w:p w:rsidR="006E6D7A" w:rsidRDefault="00B16C64" w14:paraId="671575FC" w14:textId="77777777">
      <w:pPr>
        <w:pStyle w:val="Paragraphedeliste"/>
        <w:numPr>
          <w:ilvl w:val="0"/>
          <w:numId w:val="196"/>
        </w:numPr>
      </w:pPr>
      <w:r>
        <w:t xml:space="preserve">Prestataires certifiés </w:t>
      </w:r>
      <w:proofErr w:type="spellStart"/>
      <w:r>
        <w:t>Ceph</w:t>
      </w:r>
      <w:proofErr w:type="spellEnd"/>
      <w:r>
        <w:t xml:space="preserve"> ou partenaires de Red Hat (pour </w:t>
      </w:r>
      <w:proofErr w:type="spellStart"/>
      <w:r>
        <w:t>RedHat</w:t>
      </w:r>
      <w:proofErr w:type="spellEnd"/>
      <w:r>
        <w:t xml:space="preserve"> </w:t>
      </w:r>
      <w:proofErr w:type="spellStart"/>
      <w:r>
        <w:t>Ceph</w:t>
      </w:r>
      <w:proofErr w:type="spellEnd"/>
      <w:r>
        <w:t xml:space="preserve"> Storage)</w:t>
      </w:r>
    </w:p>
    <w:p w:rsidR="006E6D7A" w:rsidRDefault="00B16C64" w14:paraId="671575FD" w14:textId="77777777">
      <w:r>
        <w:t>Activités de prestation</w:t>
      </w:r>
    </w:p>
    <w:p w:rsidR="006E6D7A" w:rsidRDefault="00B16C64" w14:paraId="671575FE" w14:textId="77777777">
      <w:pPr>
        <w:pStyle w:val="Paragraphedeliste"/>
        <w:numPr>
          <w:ilvl w:val="0"/>
          <w:numId w:val="196"/>
        </w:numPr>
      </w:pPr>
      <w:r>
        <w:t xml:space="preserve">Résolution des incidents critiques (perte de </w:t>
      </w:r>
      <w:proofErr w:type="gramStart"/>
      <w:r>
        <w:t>données,...</w:t>
      </w:r>
      <w:proofErr w:type="gramEnd"/>
      <w:r>
        <w:t>).</w:t>
      </w:r>
    </w:p>
    <w:p w:rsidR="006E6D7A" w:rsidRDefault="00B16C64" w14:paraId="671575FF" w14:textId="77777777">
      <w:pPr>
        <w:pStyle w:val="Paragraphedeliste"/>
        <w:numPr>
          <w:ilvl w:val="1"/>
          <w:numId w:val="196"/>
        </w:numPr>
      </w:pPr>
      <w:r>
        <w:t xml:space="preserve">Lien avec le support </w:t>
      </w:r>
      <w:proofErr w:type="spellStart"/>
      <w:r>
        <w:t>RedHat</w:t>
      </w:r>
      <w:proofErr w:type="spellEnd"/>
    </w:p>
    <w:p w:rsidR="006E6D7A" w:rsidRDefault="00B16C64" w14:paraId="67157600" w14:textId="77777777">
      <w:pPr>
        <w:pStyle w:val="Paragraphedeliste"/>
        <w:numPr>
          <w:ilvl w:val="0"/>
          <w:numId w:val="196"/>
        </w:numPr>
      </w:pPr>
      <w:r>
        <w:t>Analyse approfondie des logs et métriques, proactivité sur les événements</w:t>
      </w:r>
    </w:p>
    <w:p w:rsidR="006E6D7A" w:rsidRDefault="00B16C64" w14:paraId="67157601" w14:textId="77777777">
      <w:pPr>
        <w:pStyle w:val="Paragraphedeliste"/>
        <w:numPr>
          <w:ilvl w:val="0"/>
          <w:numId w:val="196"/>
        </w:numPr>
      </w:pPr>
      <w:r>
        <w:t>Optimisation du cluster (performance, capacité, tolérance aux pannes).</w:t>
      </w:r>
    </w:p>
    <w:p w:rsidR="006E6D7A" w:rsidRDefault="00B16C64" w14:paraId="67157602" w14:textId="77777777">
      <w:pPr>
        <w:pStyle w:val="Paragraphedeliste"/>
        <w:numPr>
          <w:ilvl w:val="0"/>
          <w:numId w:val="196"/>
        </w:numPr>
      </w:pPr>
      <w:r>
        <w:t xml:space="preserve">Mise à jour/montée de version de </w:t>
      </w:r>
      <w:proofErr w:type="spellStart"/>
      <w:r>
        <w:t>Ceph</w:t>
      </w:r>
      <w:proofErr w:type="spellEnd"/>
      <w:r>
        <w:t xml:space="preserve"> avec validation et tests en environnement de </w:t>
      </w:r>
      <w:proofErr w:type="spellStart"/>
      <w:r>
        <w:t>pré-production</w:t>
      </w:r>
      <w:proofErr w:type="spellEnd"/>
    </w:p>
    <w:p w:rsidR="006E6D7A" w:rsidRDefault="00B16C64" w14:paraId="67157603" w14:textId="77777777">
      <w:pPr>
        <w:pStyle w:val="Paragraphedeliste"/>
        <w:numPr>
          <w:ilvl w:val="0"/>
          <w:numId w:val="196"/>
        </w:numPr>
      </w:pPr>
      <w:r>
        <w:t>Planification de la montée en charge (scalabilité).</w:t>
      </w:r>
    </w:p>
    <w:p w:rsidR="006E6D7A" w:rsidRDefault="00B16C64" w14:paraId="67157604" w14:textId="77777777">
      <w:pPr>
        <w:pStyle w:val="Paragraphedeliste"/>
        <w:numPr>
          <w:ilvl w:val="0"/>
          <w:numId w:val="196"/>
        </w:numPr>
      </w:pPr>
      <w:r>
        <w:t>Maintenance préventive et curative :</w:t>
      </w:r>
    </w:p>
    <w:p w:rsidR="006E6D7A" w:rsidRDefault="00B16C64" w14:paraId="67157605" w14:textId="77777777">
      <w:pPr>
        <w:pStyle w:val="Paragraphedeliste"/>
        <w:numPr>
          <w:ilvl w:val="1"/>
          <w:numId w:val="196"/>
        </w:numPr>
      </w:pPr>
      <w:r>
        <w:t>Audit régulier de l'état de santé du cluster.</w:t>
      </w:r>
    </w:p>
    <w:p w:rsidR="006E6D7A" w:rsidRDefault="00B16C64" w14:paraId="67157606" w14:textId="77777777">
      <w:pPr>
        <w:pStyle w:val="Paragraphedeliste"/>
        <w:numPr>
          <w:ilvl w:val="0"/>
          <w:numId w:val="196"/>
        </w:numPr>
      </w:pPr>
      <w:r>
        <w:t>Maintien à l’état de l’art des composants d’architecture nécessaire en complément du cluster CEPH (</w:t>
      </w:r>
      <w:proofErr w:type="spellStart"/>
      <w:r>
        <w:t>HAProxy</w:t>
      </w:r>
      <w:proofErr w:type="spellEnd"/>
      <w:r>
        <w:t>, ...)</w:t>
      </w:r>
    </w:p>
    <w:p w:rsidR="006E6D7A" w:rsidRDefault="00B16C64" w14:paraId="67157607" w14:textId="77777777">
      <w:pPr>
        <w:pStyle w:val="Paragraphedeliste"/>
        <w:numPr>
          <w:ilvl w:val="0"/>
          <w:numId w:val="196"/>
        </w:numPr>
      </w:pPr>
      <w:r>
        <w:t>Maintien des scripts d’exploitation (python et ansible) et documentation</w:t>
      </w:r>
    </w:p>
    <w:p w:rsidR="006E6D7A" w:rsidRDefault="00B16C64" w14:paraId="67157608" w14:textId="77777777">
      <w:pPr>
        <w:pStyle w:val="Paragraphedeliste"/>
        <w:numPr>
          <w:ilvl w:val="0"/>
          <w:numId w:val="196"/>
        </w:numPr>
      </w:pPr>
      <w:r>
        <w:t>Maîtrise des API S3</w:t>
      </w:r>
    </w:p>
    <w:p w:rsidR="006E6D7A" w:rsidRDefault="00B16C64" w14:paraId="67157609" w14:textId="77777777">
      <w:r>
        <w:t xml:space="preserve">Ex prestations </w:t>
      </w:r>
      <w:proofErr w:type="spellStart"/>
      <w:r>
        <w:t>Nextcloud</w:t>
      </w:r>
      <w:proofErr w:type="spellEnd"/>
    </w:p>
    <w:p w:rsidR="006E6D7A" w:rsidRDefault="00B16C64" w14:paraId="6715760A" w14:textId="77777777">
      <w:pPr>
        <w:pStyle w:val="Titre3"/>
        <w:numPr>
          <w:ilvl w:val="4"/>
          <w:numId w:val="3"/>
        </w:numPr>
        <w:tabs>
          <w:tab w:val="clear" w:pos="1134"/>
        </w:tabs>
      </w:pPr>
      <w:bookmarkStart w:name="_Toc221095562" w:id="144"/>
      <w:r>
        <w:t>Objectifs et contexte de la prestation</w:t>
      </w:r>
      <w:bookmarkEnd w:id="144"/>
    </w:p>
    <w:p w:rsidR="006E6D7A" w:rsidRDefault="006E6D7A" w14:paraId="6715760B" w14:textId="77777777"/>
    <w:p w:rsidR="006E6D7A" w:rsidRDefault="00B16C64" w14:paraId="6715760C" w14:textId="77777777">
      <w:pPr>
        <w:spacing w:before="60"/>
        <w:rPr>
          <w:rFonts w:ascii="Times New Roman" w:hAnsi="Times New Roman" w:cs="Times New Roman"/>
          <w:sz w:val="24"/>
          <w:szCs w:val="24"/>
        </w:rPr>
      </w:pPr>
      <w:r>
        <w:rPr>
          <w:rFonts w:ascii="Calibri" w:hAnsi="Calibri" w:cs="Calibri"/>
          <w:color w:val="000000"/>
        </w:rPr>
        <w:t>Cette prestation a pour objet la réalisation d’activités d’initialisation des prestations</w:t>
      </w:r>
      <w:r>
        <w:t xml:space="preserve"> du lot </w:t>
      </w:r>
      <w:r>
        <w:rPr>
          <w:rFonts w:ascii="Calibri" w:hAnsi="Calibri" w:cs="Calibri"/>
          <w:color w:val="000000"/>
        </w:rPr>
        <w:t>« </w:t>
      </w:r>
      <w:proofErr w:type="gramStart"/>
      <w:r>
        <w:rPr>
          <w:rFonts w:ascii="Calibri" w:hAnsi="Calibri" w:cs="Calibri"/>
          <w:color w:val="000000"/>
        </w:rPr>
        <w:t>exploitation»</w:t>
      </w:r>
      <w:proofErr w:type="gramEnd"/>
      <w:r>
        <w:rPr>
          <w:rFonts w:ascii="Calibri" w:hAnsi="Calibri" w:cs="Calibri"/>
          <w:color w:val="000000"/>
        </w:rPr>
        <w:t xml:space="preserve"> et le cas échéant de chaque marché subséquent du présent accord-cadre et d’installation des moyens et ressources requis pour assurer la bonne exécution des travaux à venir.</w:t>
      </w:r>
    </w:p>
    <w:p w:rsidR="006E6D7A" w:rsidRDefault="00B16C64" w14:paraId="6715760D" w14:textId="77777777">
      <w:pPr>
        <w:rPr>
          <w:rFonts w:ascii="Times New Roman" w:hAnsi="Times New Roman" w:cs="Times New Roman"/>
          <w:sz w:val="24"/>
          <w:szCs w:val="24"/>
        </w:rPr>
      </w:pPr>
      <w:r>
        <w:rPr>
          <w:rFonts w:ascii="Calibri" w:hAnsi="Calibri" w:cs="Calibri"/>
          <w:color w:val="000000"/>
        </w:rPr>
        <w:t>L’objectif est qu’au terme de cette prestation, le titulaire ait défini et mis en place :</w:t>
      </w:r>
    </w:p>
    <w:p w:rsidR="006E6D7A" w:rsidRDefault="00B16C64" w14:paraId="6715760E" w14:textId="77777777">
      <w:pPr>
        <w:numPr>
          <w:ilvl w:val="0"/>
          <w:numId w:val="198"/>
        </w:numPr>
        <w:tabs>
          <w:tab w:val="left" w:pos="0"/>
        </w:tabs>
        <w:ind w:left="1440"/>
        <w:rPr>
          <w:rFonts w:ascii="Times New Roman" w:hAnsi="Times New Roman" w:cs="Times New Roman"/>
          <w:sz w:val="24"/>
          <w:szCs w:val="24"/>
        </w:rPr>
      </w:pPr>
      <w:r>
        <w:rPr>
          <w:rFonts w:ascii="Calibri" w:hAnsi="Calibri" w:cs="Calibri"/>
          <w:color w:val="000000"/>
        </w:rPr>
        <w:t>D’une manière générale, toutes les conditions lui permettant d’exécuter pleinement l’ensemble des travaux dont il aura la charge ;</w:t>
      </w:r>
    </w:p>
    <w:p w:rsidR="006E6D7A" w:rsidRDefault="00B16C64" w14:paraId="6715760F" w14:textId="77777777">
      <w:pPr>
        <w:numPr>
          <w:ilvl w:val="0"/>
          <w:numId w:val="198"/>
        </w:numPr>
        <w:tabs>
          <w:tab w:val="left" w:pos="0"/>
        </w:tabs>
        <w:ind w:left="1440"/>
        <w:rPr>
          <w:rFonts w:ascii="Times New Roman" w:hAnsi="Times New Roman" w:cs="Times New Roman"/>
          <w:sz w:val="24"/>
          <w:szCs w:val="24"/>
        </w:rPr>
      </w:pPr>
      <w:r>
        <w:rPr>
          <w:rFonts w:ascii="Calibri" w:hAnsi="Calibri" w:cs="Calibri"/>
          <w:color w:val="000000"/>
        </w:rPr>
        <w:t>L’ensemble des moyens (humains et techniques), les processus et l’organisation lui permettant d’exécuter pleinement l’ensemble des travaux demandés, conformément aux objectifs de qualité et de performance recherchés.</w:t>
      </w:r>
    </w:p>
    <w:p w:rsidR="006E6D7A" w:rsidRDefault="00B16C64" w14:paraId="67157610" w14:textId="77777777">
      <w:pPr>
        <w:spacing w:before="60"/>
        <w:rPr>
          <w:rFonts w:ascii="Times New Roman" w:hAnsi="Times New Roman" w:cs="Times New Roman"/>
          <w:sz w:val="24"/>
          <w:szCs w:val="24"/>
        </w:rPr>
      </w:pPr>
      <w:r>
        <w:rPr>
          <w:rFonts w:ascii="Calibri" w:hAnsi="Calibri" w:cs="Calibri"/>
          <w:color w:val="000000"/>
        </w:rPr>
        <w:t>Cette prestation a pour but d’installer le titulaire dans ses missions auprès de l’INRAE sur les différents axes suivants :</w:t>
      </w:r>
    </w:p>
    <w:p w:rsidR="006E6D7A" w:rsidRDefault="00B16C64" w14:paraId="67157611" w14:textId="77777777">
      <w:pPr>
        <w:numPr>
          <w:ilvl w:val="0"/>
          <w:numId w:val="199"/>
        </w:numPr>
        <w:tabs>
          <w:tab w:val="left" w:pos="0"/>
        </w:tabs>
        <w:ind w:left="1440"/>
        <w:rPr>
          <w:rFonts w:ascii="Times New Roman" w:hAnsi="Times New Roman" w:cs="Times New Roman"/>
          <w:sz w:val="24"/>
          <w:szCs w:val="24"/>
        </w:rPr>
      </w:pPr>
      <w:r>
        <w:rPr>
          <w:rFonts w:ascii="Calibri" w:hAnsi="Calibri" w:cs="Calibri"/>
          <w:color w:val="000000"/>
        </w:rPr>
        <w:t>La prise de connaissance globale du contexte et de ses évolutions prévisibles</w:t>
      </w:r>
    </w:p>
    <w:p w:rsidR="006E6D7A" w:rsidRDefault="00B16C64" w14:paraId="67157612" w14:textId="77777777">
      <w:pPr>
        <w:numPr>
          <w:ilvl w:val="0"/>
          <w:numId w:val="199"/>
        </w:numPr>
        <w:tabs>
          <w:tab w:val="left" w:pos="0"/>
        </w:tabs>
        <w:ind w:left="1440"/>
        <w:rPr>
          <w:rFonts w:ascii="Times New Roman" w:hAnsi="Times New Roman" w:cs="Times New Roman"/>
          <w:sz w:val="24"/>
          <w:szCs w:val="24"/>
        </w:rPr>
      </w:pPr>
      <w:r>
        <w:rPr>
          <w:rFonts w:ascii="Calibri" w:hAnsi="Calibri" w:cs="Calibri"/>
          <w:color w:val="000000"/>
        </w:rPr>
        <w:t>La prise en compte, l’analyse et l’appropriation des enjeux particuliers du domaine de prestations par le titulaire. Cela permet au titulaire de produire une synthèse des ajustements souhaitables de son point de vue pour maximiser l’efficience de ses prestations,</w:t>
      </w:r>
    </w:p>
    <w:p w:rsidR="006E6D7A" w:rsidRDefault="00B16C64" w14:paraId="67157613" w14:textId="77777777">
      <w:pPr>
        <w:numPr>
          <w:ilvl w:val="0"/>
          <w:numId w:val="199"/>
        </w:numPr>
        <w:tabs>
          <w:tab w:val="left" w:pos="0"/>
        </w:tabs>
        <w:ind w:left="1440"/>
        <w:rPr>
          <w:rFonts w:ascii="Times New Roman" w:hAnsi="Times New Roman" w:cs="Times New Roman"/>
          <w:sz w:val="24"/>
          <w:szCs w:val="24"/>
        </w:rPr>
      </w:pPr>
      <w:r>
        <w:rPr>
          <w:rFonts w:ascii="Calibri" w:hAnsi="Calibri" w:cs="Calibri"/>
          <w:color w:val="000000"/>
        </w:rPr>
        <w:t>La description des différentes prestations à mener et les modalités de mise en œuvre de ces prestations afin de pouvoir les assurer dans le respect de toutes les dispositions prévues,</w:t>
      </w:r>
    </w:p>
    <w:p w:rsidR="006E6D7A" w:rsidRDefault="00B16C64" w14:paraId="67157614" w14:textId="77777777">
      <w:pPr>
        <w:numPr>
          <w:ilvl w:val="0"/>
          <w:numId w:val="199"/>
        </w:numPr>
        <w:tabs>
          <w:tab w:val="left" w:pos="0"/>
        </w:tabs>
        <w:ind w:left="1440"/>
        <w:rPr>
          <w:rFonts w:ascii="Times New Roman" w:hAnsi="Times New Roman" w:cs="Times New Roman"/>
          <w:sz w:val="24"/>
          <w:szCs w:val="24"/>
        </w:rPr>
      </w:pPr>
      <w:r>
        <w:rPr>
          <w:rFonts w:ascii="Calibri" w:hAnsi="Calibri" w:cs="Calibri"/>
          <w:color w:val="000000"/>
        </w:rPr>
        <w:t>La mise en place effective de l’équipe du titulaire, des outils et des modalités d’interaction avec les équipes INRAE (méthodes, processus/outil, logistique…),</w:t>
      </w:r>
    </w:p>
    <w:p w:rsidR="006E6D7A" w:rsidRDefault="00B16C64" w14:paraId="67157615" w14:textId="77777777">
      <w:pPr>
        <w:spacing w:before="60"/>
        <w:rPr>
          <w:rFonts w:ascii="Times New Roman" w:hAnsi="Times New Roman" w:cs="Times New Roman"/>
          <w:sz w:val="24"/>
          <w:szCs w:val="24"/>
        </w:rPr>
      </w:pPr>
      <w:r>
        <w:rPr>
          <w:rFonts w:ascii="Calibri" w:hAnsi="Calibri" w:cs="Calibri"/>
          <w:color w:val="000000"/>
        </w:rPr>
        <w:t>Cette étape importante pose les fondements de la performance de l’exécution des travaux et de la relation de confiance à construire entre INRAE et le titulaire.</w:t>
      </w:r>
    </w:p>
    <w:p w:rsidR="006E6D7A" w:rsidRDefault="00B16C64" w14:paraId="67157616" w14:textId="77777777">
      <w:pPr>
        <w:rPr>
          <w:rFonts w:ascii="Times New Roman" w:hAnsi="Times New Roman" w:cs="Times New Roman"/>
          <w:sz w:val="24"/>
          <w:szCs w:val="24"/>
        </w:rPr>
      </w:pPr>
      <w:r>
        <w:rPr>
          <w:rFonts w:ascii="Calibri" w:hAnsi="Calibri" w:cs="Calibri"/>
          <w:color w:val="000000"/>
        </w:rPr>
        <w:t>En particulier, lors de cette phase, le titulaire doit veiller à :</w:t>
      </w:r>
    </w:p>
    <w:p w:rsidR="006E6D7A" w:rsidRDefault="00B16C64" w14:paraId="67157617" w14:textId="77777777">
      <w:pPr>
        <w:numPr>
          <w:ilvl w:val="0"/>
          <w:numId w:val="200"/>
        </w:numPr>
        <w:tabs>
          <w:tab w:val="left" w:pos="0"/>
        </w:tabs>
        <w:ind w:left="1440"/>
        <w:rPr>
          <w:rFonts w:ascii="Times New Roman" w:hAnsi="Times New Roman" w:cs="Times New Roman"/>
          <w:sz w:val="24"/>
          <w:szCs w:val="24"/>
        </w:rPr>
      </w:pPr>
      <w:r>
        <w:rPr>
          <w:rFonts w:ascii="Calibri" w:hAnsi="Calibri" w:cs="Calibri"/>
          <w:color w:val="000000"/>
        </w:rPr>
        <w:lastRenderedPageBreak/>
        <w:t>Être force de proposition (en matière d’organisation, de processus, de moyens, d’outillage) pour optimiser la performance des différents processus faisant l’objet du lot (amélioration de la qualité, des délais, industrialisation, automatisation…). En effet, au-delà d’une phase de transition permettant au titulaire de reprendre en charge les différents travaux, cette phase doit s’inscrire dans une véritable dynamique d’amélioration dans laquelle le titulaire doit être un acteur de premier plan ;</w:t>
      </w:r>
    </w:p>
    <w:p w:rsidR="006E6D7A" w:rsidRDefault="00B16C64" w14:paraId="67157618" w14:textId="77777777">
      <w:pPr>
        <w:numPr>
          <w:ilvl w:val="0"/>
          <w:numId w:val="200"/>
        </w:numPr>
        <w:tabs>
          <w:tab w:val="left" w:pos="0"/>
        </w:tabs>
        <w:ind w:left="1440"/>
        <w:rPr>
          <w:rFonts w:ascii="Times New Roman" w:hAnsi="Times New Roman" w:cs="Times New Roman"/>
          <w:sz w:val="24"/>
          <w:szCs w:val="24"/>
        </w:rPr>
      </w:pPr>
      <w:r>
        <w:rPr>
          <w:rFonts w:ascii="Calibri" w:hAnsi="Calibri" w:cs="Calibri"/>
          <w:color w:val="000000"/>
        </w:rPr>
        <w:t>Prendre en compte le cadre qualité et d’amélioration continue mis en place par INRAE ainsi que les normes et standards qu’il doit respecter ;</w:t>
      </w:r>
    </w:p>
    <w:p w:rsidR="006E6D7A" w:rsidRDefault="00B16C64" w14:paraId="67157619" w14:textId="77777777">
      <w:pPr>
        <w:numPr>
          <w:ilvl w:val="0"/>
          <w:numId w:val="200"/>
        </w:numPr>
        <w:tabs>
          <w:tab w:val="left" w:pos="0"/>
        </w:tabs>
        <w:ind w:left="1440"/>
        <w:rPr>
          <w:rFonts w:ascii="Times New Roman" w:hAnsi="Times New Roman" w:cs="Times New Roman"/>
          <w:sz w:val="24"/>
          <w:szCs w:val="24"/>
        </w:rPr>
      </w:pPr>
      <w:r>
        <w:rPr>
          <w:rFonts w:ascii="Calibri" w:hAnsi="Calibri" w:cs="Calibri"/>
          <w:color w:val="000000"/>
        </w:rPr>
        <w:t>Prendre en compte, organiser les articulations avec les différentes parties prenantes aux travaux dont il a la charge et/ou pour lesquels il contribue. Cela s’applique tout particulièrement avec les autres prestataires, et en premier lieu celui ou ceux en charge de travaux d’administration/exploitation/support ;</w:t>
      </w:r>
    </w:p>
    <w:p w:rsidR="006E6D7A" w:rsidRDefault="00B16C64" w14:paraId="6715761A" w14:textId="77777777">
      <w:pPr>
        <w:numPr>
          <w:ilvl w:val="0"/>
          <w:numId w:val="200"/>
        </w:numPr>
        <w:tabs>
          <w:tab w:val="left" w:pos="0"/>
        </w:tabs>
        <w:ind w:left="1440"/>
        <w:rPr>
          <w:rFonts w:ascii="Times New Roman" w:hAnsi="Times New Roman" w:cs="Times New Roman"/>
          <w:sz w:val="24"/>
          <w:szCs w:val="24"/>
        </w:rPr>
      </w:pPr>
      <w:r>
        <w:rPr>
          <w:rFonts w:ascii="Calibri" w:hAnsi="Calibri" w:cs="Calibri"/>
          <w:color w:val="000000"/>
        </w:rPr>
        <w:t>Engager avec INRAE le travail d’élaboration d’un plan de progrès.</w:t>
      </w:r>
    </w:p>
    <w:p w:rsidR="006E6D7A" w:rsidRDefault="00B16C64" w14:paraId="6715761B" w14:textId="77777777">
      <w:pPr>
        <w:tabs>
          <w:tab w:val="left" w:pos="0"/>
        </w:tabs>
        <w:rPr>
          <w:rFonts w:ascii="Times New Roman" w:hAnsi="Times New Roman" w:cs="Times New Roman"/>
          <w:sz w:val="24"/>
          <w:szCs w:val="24"/>
        </w:rPr>
      </w:pPr>
      <w:r>
        <w:rPr>
          <w:rFonts w:ascii="Calibri" w:hAnsi="Calibri" w:cs="Calibri"/>
          <w:color w:val="000000"/>
        </w:rPr>
        <w:t>La prestation débute à compter de la réception par le titulaire du bon de commande ou à la date indiquée par celui-ci et s’achève à l’admission de la prestation par procès-verbal de recette validé par le prescripteur INRAE.</w:t>
      </w:r>
    </w:p>
    <w:p w:rsidR="006E6D7A" w:rsidRDefault="00B16C64" w14:paraId="6715761C" w14:textId="77777777">
      <w:pPr>
        <w:pStyle w:val="Titre3"/>
        <w:numPr>
          <w:ilvl w:val="5"/>
          <w:numId w:val="3"/>
        </w:numPr>
      </w:pPr>
      <w:bookmarkStart w:name="_Toc221095563" w:id="145"/>
      <w:r>
        <w:t>Descriptif de la prestation</w:t>
      </w:r>
      <w:bookmarkEnd w:id="145"/>
    </w:p>
    <w:p w:rsidR="006E6D7A" w:rsidRDefault="00B16C64" w14:paraId="6715761D" w14:textId="77777777">
      <w:pPr>
        <w:rPr>
          <w:rFonts w:ascii="Times New Roman" w:hAnsi="Times New Roman" w:cs="Times New Roman"/>
          <w:sz w:val="24"/>
          <w:szCs w:val="24"/>
        </w:rPr>
      </w:pPr>
      <w:r>
        <w:rPr>
          <w:rFonts w:ascii="Calibri" w:hAnsi="Calibri" w:cs="Calibri"/>
          <w:color w:val="000000"/>
        </w:rPr>
        <w:t>Il s’agit pour le titulaire de mettre en œuvre toutes les actions permettant l’atteinte des objectifs de la prestation :</w:t>
      </w:r>
    </w:p>
    <w:p w:rsidR="006E6D7A" w:rsidRDefault="00B16C64" w14:paraId="6715761E"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La préparation, l’organisation et la synthèse de la réunion de lancement avec INRAE ;</w:t>
      </w:r>
    </w:p>
    <w:p w:rsidR="006E6D7A" w:rsidRDefault="00B16C64" w14:paraId="6715761F"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L’immersion et l’appropriation du contexte et des enjeux globaux de INRAE et du domaine et, plus particulièrement des travaux faisant l’objet du présent accord-cadre :</w:t>
      </w:r>
    </w:p>
    <w:p w:rsidR="006E6D7A" w:rsidRDefault="00B16C64" w14:paraId="67157620" w14:textId="77777777">
      <w:pPr>
        <w:numPr>
          <w:ilvl w:val="2"/>
          <w:numId w:val="201"/>
        </w:numPr>
        <w:tabs>
          <w:tab w:val="left" w:pos="0"/>
        </w:tabs>
        <w:rPr>
          <w:rFonts w:ascii="Times New Roman" w:hAnsi="Times New Roman" w:cs="Times New Roman"/>
          <w:sz w:val="24"/>
          <w:szCs w:val="24"/>
        </w:rPr>
      </w:pPr>
      <w:r>
        <w:rPr>
          <w:rFonts w:ascii="Calibri" w:hAnsi="Calibri" w:cs="Calibri"/>
          <w:color w:val="000000"/>
        </w:rPr>
        <w:t>La participation aux présentations proposées par INRAE,</w:t>
      </w:r>
    </w:p>
    <w:p w:rsidR="006E6D7A" w:rsidRDefault="00B16C64" w14:paraId="67157621" w14:textId="77777777">
      <w:pPr>
        <w:pStyle w:val="Paragraphedeliste"/>
        <w:numPr>
          <w:ilvl w:val="2"/>
          <w:numId w:val="201"/>
        </w:numPr>
        <w:tabs>
          <w:tab w:val="left" w:pos="0"/>
        </w:tabs>
        <w:spacing w:after="120" w:line="240" w:lineRule="auto"/>
        <w:rPr>
          <w:rFonts w:ascii="Times New Roman" w:hAnsi="Times New Roman" w:cs="Times New Roman"/>
          <w:sz w:val="24"/>
          <w:szCs w:val="24"/>
        </w:rPr>
      </w:pPr>
      <w:r>
        <w:rPr>
          <w:rFonts w:cs="Calibri"/>
          <w:color w:val="000000"/>
        </w:rPr>
        <w:t>L’élaboration d’un rapport d’étonnement sur l’état de l’existant (connaissances disponibles, documentations manquantes, …) et synthèse des ajustements souhaitables sur les processus et outillages du point de vue du titulaire pour maximiser l’efficience de ses prestations ;</w:t>
      </w:r>
    </w:p>
    <w:p w:rsidR="006E6D7A" w:rsidRDefault="00B16C64" w14:paraId="67157622"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La mise en place par le titulaire de ses intervenants et des moyens techniques :</w:t>
      </w:r>
    </w:p>
    <w:p w:rsidR="006E6D7A" w:rsidRDefault="00B16C64" w14:paraId="67157623" w14:textId="77777777">
      <w:pPr>
        <w:numPr>
          <w:ilvl w:val="2"/>
          <w:numId w:val="201"/>
        </w:numPr>
        <w:tabs>
          <w:tab w:val="left" w:pos="0"/>
        </w:tabs>
        <w:spacing w:before="120"/>
        <w:rPr>
          <w:rFonts w:ascii="Times New Roman" w:hAnsi="Times New Roman" w:cs="Times New Roman"/>
          <w:sz w:val="24"/>
          <w:szCs w:val="24"/>
        </w:rPr>
      </w:pPr>
      <w:r>
        <w:rPr>
          <w:rFonts w:ascii="Calibri" w:hAnsi="Calibri" w:cs="Calibri"/>
          <w:color w:val="000000"/>
        </w:rPr>
        <w:t>La mise en place des intervenants, du management et montée en compétence sur la compréhension générale du contexte</w:t>
      </w:r>
    </w:p>
    <w:p w:rsidR="006E6D7A" w:rsidRDefault="00B16C64" w14:paraId="67157624" w14:textId="77777777">
      <w:pPr>
        <w:numPr>
          <w:ilvl w:val="2"/>
          <w:numId w:val="201"/>
        </w:numPr>
        <w:tabs>
          <w:tab w:val="left" w:pos="0"/>
        </w:tabs>
        <w:rPr>
          <w:rFonts w:ascii="Times New Roman" w:hAnsi="Times New Roman" w:cs="Times New Roman"/>
          <w:sz w:val="24"/>
          <w:szCs w:val="24"/>
        </w:rPr>
      </w:pPr>
      <w:r>
        <w:rPr>
          <w:rFonts w:ascii="Calibri" w:hAnsi="Calibri" w:cs="Calibri"/>
          <w:color w:val="000000"/>
        </w:rPr>
        <w:t>La définition et la mise en place des dispositifs de gestion des ressources et des compétences du titulaire : identification et évaluation des compétences, modalités d’acquisition, de maintien et d’amélioration dans la durée des compétences, remplacement des ressources…,</w:t>
      </w:r>
    </w:p>
    <w:p w:rsidR="006E6D7A" w:rsidRDefault="00B16C64" w14:paraId="67157625" w14:textId="77777777">
      <w:pPr>
        <w:numPr>
          <w:ilvl w:val="2"/>
          <w:numId w:val="201"/>
        </w:numPr>
        <w:tabs>
          <w:tab w:val="left" w:pos="0"/>
        </w:tabs>
        <w:rPr>
          <w:rFonts w:ascii="Times New Roman" w:hAnsi="Times New Roman" w:cs="Times New Roman"/>
          <w:sz w:val="24"/>
          <w:szCs w:val="24"/>
        </w:rPr>
      </w:pPr>
      <w:r>
        <w:rPr>
          <w:rFonts w:ascii="Calibri" w:hAnsi="Calibri" w:cs="Calibri"/>
          <w:color w:val="000000"/>
        </w:rPr>
        <w:t>La mise en place des différents moyens matériels et techniques nécessaires à la bonne exécution des travaux, conformes aux standards qualité et d’amélioration continue de INRAE et en respect des engagements définis dans le CCTP et/ou mis au point lors de cette phase de lancement,</w:t>
      </w:r>
    </w:p>
    <w:p w:rsidR="006E6D7A" w:rsidRDefault="00B16C64" w14:paraId="67157626" w14:textId="77777777">
      <w:pPr>
        <w:numPr>
          <w:ilvl w:val="2"/>
          <w:numId w:val="201"/>
        </w:numPr>
        <w:tabs>
          <w:tab w:val="left" w:pos="0"/>
        </w:tabs>
        <w:rPr>
          <w:rFonts w:ascii="Times New Roman" w:hAnsi="Times New Roman" w:cs="Times New Roman"/>
          <w:sz w:val="24"/>
          <w:szCs w:val="24"/>
        </w:rPr>
      </w:pPr>
      <w:r>
        <w:rPr>
          <w:rFonts w:ascii="Calibri" w:hAnsi="Calibri" w:cs="Calibri"/>
          <w:color w:val="000000"/>
        </w:rPr>
        <w:t>En particulier, ces travaux couvrent la prise en main des solutions de gestion outillant les processus et la gestion de projet, nécessaire à l’exécution des prestations,</w:t>
      </w:r>
    </w:p>
    <w:p w:rsidR="006E6D7A" w:rsidRDefault="00B16C64" w14:paraId="67157627" w14:textId="77777777">
      <w:pPr>
        <w:numPr>
          <w:ilvl w:val="2"/>
          <w:numId w:val="201"/>
        </w:numPr>
        <w:tabs>
          <w:tab w:val="left" w:pos="0"/>
        </w:tabs>
        <w:rPr>
          <w:rFonts w:ascii="Times New Roman" w:hAnsi="Times New Roman" w:cs="Times New Roman"/>
          <w:sz w:val="24"/>
          <w:szCs w:val="24"/>
        </w:rPr>
      </w:pPr>
      <w:r>
        <w:rPr>
          <w:rFonts w:ascii="Calibri" w:hAnsi="Calibri" w:cs="Calibri"/>
          <w:color w:val="000000"/>
        </w:rPr>
        <w:t>La mise au point des démarches et des méthodes de travail, en particulier les articulations avec les autres domaines SI ;</w:t>
      </w:r>
    </w:p>
    <w:p w:rsidR="006E6D7A" w:rsidRDefault="00B16C64" w14:paraId="67157628"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La déclinaison du cadre et du plan de qualité de service et de sécurité :</w:t>
      </w:r>
    </w:p>
    <w:p w:rsidR="006E6D7A" w:rsidRDefault="00B16C64" w14:paraId="67157629" w14:textId="77777777">
      <w:pPr>
        <w:numPr>
          <w:ilvl w:val="2"/>
          <w:numId w:val="201"/>
        </w:numPr>
        <w:tabs>
          <w:tab w:val="left" w:pos="0"/>
        </w:tabs>
        <w:spacing w:before="120"/>
        <w:rPr>
          <w:rFonts w:ascii="Times New Roman" w:hAnsi="Times New Roman" w:cs="Times New Roman"/>
          <w:sz w:val="24"/>
          <w:szCs w:val="24"/>
        </w:rPr>
      </w:pPr>
      <w:r>
        <w:rPr>
          <w:rFonts w:ascii="Calibri" w:hAnsi="Calibri" w:cs="Calibri"/>
          <w:color w:val="000000"/>
        </w:rPr>
        <w:lastRenderedPageBreak/>
        <w:t xml:space="preserve">La prise en main des normes et dispositifs qualité et sécurité en vigueur, la politique de sécurité à INRAE et de ses partenaires </w:t>
      </w:r>
    </w:p>
    <w:p w:rsidR="006E6D7A" w:rsidRDefault="00B16C64" w14:paraId="6715762A" w14:textId="77777777">
      <w:pPr>
        <w:numPr>
          <w:ilvl w:val="2"/>
          <w:numId w:val="201"/>
        </w:numPr>
        <w:tabs>
          <w:tab w:val="left" w:pos="0"/>
        </w:tabs>
        <w:rPr>
          <w:rFonts w:ascii="Times New Roman" w:hAnsi="Times New Roman" w:cs="Times New Roman"/>
          <w:sz w:val="24"/>
          <w:szCs w:val="24"/>
        </w:rPr>
      </w:pPr>
      <w:r>
        <w:rPr>
          <w:rFonts w:ascii="Calibri" w:hAnsi="Calibri" w:cs="Calibri"/>
          <w:color w:val="000000"/>
        </w:rPr>
        <w:t xml:space="preserve">L’adaptation du plan de qualité de service fourni </w:t>
      </w:r>
    </w:p>
    <w:p w:rsidR="006E6D7A" w:rsidRDefault="00B16C64" w14:paraId="6715762B"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 xml:space="preserve">Mise en place de la méthodologie </w:t>
      </w:r>
      <w:proofErr w:type="spellStart"/>
      <w:r>
        <w:rPr>
          <w:rFonts w:ascii="Calibri" w:hAnsi="Calibri" w:cs="Calibri"/>
          <w:color w:val="000000"/>
        </w:rPr>
        <w:t>DevSecOps</w:t>
      </w:r>
      <w:proofErr w:type="spellEnd"/>
      <w:r>
        <w:rPr>
          <w:rFonts w:ascii="Calibri" w:hAnsi="Calibri" w:cs="Calibri"/>
          <w:color w:val="000000"/>
        </w:rPr>
        <w:t xml:space="preserve">, du mode d’organisation </w:t>
      </w:r>
    </w:p>
    <w:p w:rsidR="006E6D7A" w:rsidRDefault="00B16C64" w14:paraId="6715762C"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 xml:space="preserve">Partage de la vision DSI </w:t>
      </w:r>
      <w:proofErr w:type="spellStart"/>
      <w:r>
        <w:rPr>
          <w:rFonts w:ascii="Calibri" w:hAnsi="Calibri" w:cs="Calibri"/>
          <w:color w:val="000000"/>
        </w:rPr>
        <w:t>Inrae</w:t>
      </w:r>
      <w:proofErr w:type="spellEnd"/>
    </w:p>
    <w:p w:rsidR="006E6D7A" w:rsidRDefault="00B16C64" w14:paraId="6715762D"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 xml:space="preserve">Revue des produits de DSI </w:t>
      </w:r>
      <w:proofErr w:type="spellStart"/>
      <w:r>
        <w:rPr>
          <w:rFonts w:ascii="Calibri" w:hAnsi="Calibri" w:cs="Calibri"/>
          <w:color w:val="000000"/>
        </w:rPr>
        <w:t>Inrae</w:t>
      </w:r>
      <w:proofErr w:type="spellEnd"/>
    </w:p>
    <w:p w:rsidR="006E6D7A" w:rsidRDefault="00B16C64" w14:paraId="6715762E"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 xml:space="preserve">Partage et appropriation des architectures </w:t>
      </w:r>
    </w:p>
    <w:p w:rsidR="006E6D7A" w:rsidRDefault="00B16C64" w14:paraId="6715762F"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Établissement du plan de qualité de service (</w:t>
      </w:r>
      <w:proofErr w:type="spellStart"/>
      <w:r>
        <w:rPr>
          <w:rFonts w:ascii="Calibri" w:hAnsi="Calibri" w:cs="Calibri"/>
          <w:color w:val="000000"/>
        </w:rPr>
        <w:t>Ready</w:t>
      </w:r>
      <w:proofErr w:type="spellEnd"/>
      <w:r>
        <w:rPr>
          <w:rFonts w:ascii="Calibri" w:hAnsi="Calibri" w:cs="Calibri"/>
          <w:color w:val="000000"/>
        </w:rPr>
        <w:t xml:space="preserve"> / </w:t>
      </w:r>
      <w:proofErr w:type="spellStart"/>
      <w:r>
        <w:rPr>
          <w:rFonts w:ascii="Calibri" w:hAnsi="Calibri" w:cs="Calibri"/>
          <w:color w:val="000000"/>
        </w:rPr>
        <w:t>Done</w:t>
      </w:r>
      <w:proofErr w:type="spellEnd"/>
      <w:r>
        <w:rPr>
          <w:rFonts w:ascii="Calibri" w:hAnsi="Calibri" w:cs="Calibri"/>
          <w:color w:val="000000"/>
        </w:rPr>
        <w:t xml:space="preserve"> / Documentation / Indicateur sprint / Indicateur pilotage)</w:t>
      </w:r>
    </w:p>
    <w:p w:rsidR="006E6D7A" w:rsidRDefault="00B16C64" w14:paraId="67157630"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Mise en place des conditions techniques de réalisation</w:t>
      </w:r>
    </w:p>
    <w:p w:rsidR="006E6D7A" w:rsidRDefault="00B16C64" w14:paraId="67157631"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Partage et appropriation des grands concepts métiers des produits portés par SOLAPP</w:t>
      </w:r>
    </w:p>
    <w:p w:rsidR="006E6D7A" w:rsidRDefault="00B16C64" w14:paraId="67157632"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 xml:space="preserve">Partage et appropriation des composants techniques </w:t>
      </w:r>
    </w:p>
    <w:p w:rsidR="006E6D7A" w:rsidRDefault="00B16C64" w14:paraId="67157633" w14:textId="77777777">
      <w:pPr>
        <w:numPr>
          <w:ilvl w:val="0"/>
          <w:numId w:val="201"/>
        </w:numPr>
        <w:tabs>
          <w:tab w:val="left" w:pos="0"/>
        </w:tabs>
        <w:ind w:left="1440"/>
        <w:rPr>
          <w:rFonts w:ascii="Times New Roman" w:hAnsi="Times New Roman" w:cs="Times New Roman"/>
          <w:sz w:val="24"/>
          <w:szCs w:val="24"/>
        </w:rPr>
      </w:pPr>
      <w:r>
        <w:rPr>
          <w:rFonts w:ascii="Calibri" w:hAnsi="Calibri" w:cs="Calibri"/>
          <w:color w:val="000000"/>
        </w:rPr>
        <w:t>Partage et appropriation des mécanismes d’exploitation</w:t>
      </w:r>
    </w:p>
    <w:p w:rsidR="006E6D7A" w:rsidRDefault="00B16C64" w14:paraId="67157634" w14:textId="77777777">
      <w:pPr>
        <w:pStyle w:val="Titre3"/>
        <w:numPr>
          <w:ilvl w:val="5"/>
          <w:numId w:val="3"/>
        </w:numPr>
      </w:pPr>
      <w:bookmarkStart w:name="_Toc221095564" w:id="146"/>
      <w:r>
        <w:t>Livrables</w:t>
      </w:r>
      <w:bookmarkEnd w:id="146"/>
    </w:p>
    <w:tbl>
      <w:tblPr>
        <w:tblW w:w="0" w:type="auto"/>
        <w:tblCellSpacing w:w="0" w:type="dxa"/>
        <w:tblLook w:val="04A0" w:firstRow="1" w:lastRow="0" w:firstColumn="1" w:lastColumn="0" w:noHBand="0" w:noVBand="1"/>
      </w:tblPr>
      <w:tblGrid>
        <w:gridCol w:w="2498"/>
        <w:gridCol w:w="5171"/>
        <w:gridCol w:w="1949"/>
      </w:tblGrid>
      <w:tr w:rsidR="006E6D7A" w14:paraId="67157638"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shd w:val="clear" w:color="FFFFFF" w:fill="00A3A6"/>
            <w:vAlign w:val="center"/>
          </w:tcPr>
          <w:p w:rsidR="006E6D7A" w:rsidRDefault="00B16C64" w14:paraId="67157635" w14:textId="77777777">
            <w:pPr>
              <w:jc w:val="center"/>
              <w:rPr>
                <w:rFonts w:ascii="Times New Roman" w:hAnsi="Times New Roman" w:cs="Times New Roman"/>
                <w:sz w:val="24"/>
                <w:szCs w:val="24"/>
              </w:rPr>
            </w:pPr>
            <w:r>
              <w:rPr>
                <w:rFonts w:ascii="Calibri" w:hAnsi="Calibri" w:cs="Calibri"/>
                <w:b/>
                <w:bCs/>
                <w:color w:val="FFFFFF"/>
              </w:rPr>
              <w:t>Livrable</w:t>
            </w:r>
          </w:p>
        </w:tc>
        <w:tc>
          <w:tcPr>
            <w:tcW w:w="5247" w:type="dxa"/>
            <w:tcBorders>
              <w:top w:val="single" w:color="00A3A6" w:sz="8" w:space="0"/>
              <w:left w:val="single" w:color="00A3A6" w:sz="8" w:space="0"/>
              <w:bottom w:val="single" w:color="00A3A6" w:sz="8" w:space="0"/>
              <w:right w:val="single" w:color="00A3A6" w:sz="8" w:space="0"/>
            </w:tcBorders>
            <w:shd w:val="clear" w:color="FFFFFF" w:fill="00A3A6"/>
            <w:vAlign w:val="center"/>
          </w:tcPr>
          <w:p w:rsidR="006E6D7A" w:rsidRDefault="00B16C64" w14:paraId="67157636" w14:textId="77777777">
            <w:pPr>
              <w:jc w:val="center"/>
              <w:rPr>
                <w:rFonts w:ascii="Times New Roman" w:hAnsi="Times New Roman" w:cs="Times New Roman"/>
                <w:sz w:val="24"/>
                <w:szCs w:val="24"/>
              </w:rPr>
            </w:pPr>
            <w:r>
              <w:rPr>
                <w:rFonts w:ascii="Calibri" w:hAnsi="Calibri" w:cs="Calibri"/>
                <w:b/>
                <w:bCs/>
                <w:color w:val="FFFFFF"/>
              </w:rPr>
              <w:t>Points d’attention</w:t>
            </w:r>
          </w:p>
        </w:tc>
        <w:tc>
          <w:tcPr>
            <w:tcW w:w="1984" w:type="dxa"/>
            <w:tcBorders>
              <w:top w:val="single" w:color="00A3A6" w:sz="8" w:space="0"/>
              <w:left w:val="single" w:color="00A3A6" w:sz="8" w:space="0"/>
              <w:bottom w:val="single" w:color="00A3A6" w:sz="8" w:space="0"/>
              <w:right w:val="single" w:color="00A3A6" w:sz="8" w:space="0"/>
            </w:tcBorders>
            <w:shd w:val="clear" w:color="FFFFFF" w:fill="00A3A6"/>
            <w:vAlign w:val="center"/>
          </w:tcPr>
          <w:p w:rsidR="006E6D7A" w:rsidRDefault="00B16C64" w14:paraId="67157637" w14:textId="77777777">
            <w:pPr>
              <w:jc w:val="center"/>
              <w:rPr>
                <w:rFonts w:ascii="Times New Roman" w:hAnsi="Times New Roman" w:cs="Times New Roman"/>
                <w:sz w:val="24"/>
                <w:szCs w:val="24"/>
              </w:rPr>
            </w:pPr>
            <w:r>
              <w:rPr>
                <w:rFonts w:ascii="Calibri" w:hAnsi="Calibri" w:cs="Calibri"/>
                <w:b/>
                <w:bCs/>
                <w:color w:val="FFFFFF"/>
              </w:rPr>
              <w:t>Délai de livraison</w:t>
            </w:r>
          </w:p>
        </w:tc>
      </w:tr>
      <w:tr w:rsidR="006E6D7A" w14:paraId="6715763C"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39" w14:textId="77777777">
            <w:pPr>
              <w:rPr>
                <w:rFonts w:ascii="Times New Roman" w:hAnsi="Times New Roman" w:cs="Times New Roman"/>
                <w:sz w:val="24"/>
                <w:szCs w:val="24"/>
              </w:rPr>
            </w:pPr>
            <w:r>
              <w:rPr>
                <w:rFonts w:ascii="Calibri" w:hAnsi="Calibri" w:cs="Calibri"/>
                <w:color w:val="000000"/>
              </w:rPr>
              <w:t>Support de préparation du sprint 0</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3A" w14:textId="77777777">
            <w:pPr>
              <w:numPr>
                <w:ilvl w:val="0"/>
                <w:numId w:val="202"/>
              </w:numPr>
              <w:tabs>
                <w:tab w:val="left" w:pos="0"/>
              </w:tabs>
              <w:ind w:left="1440"/>
              <w:rPr>
                <w:rFonts w:ascii="Times New Roman" w:hAnsi="Times New Roman" w:cs="Times New Roman"/>
                <w:sz w:val="24"/>
                <w:szCs w:val="24"/>
              </w:rPr>
            </w:pPr>
            <w:r>
              <w:rPr>
                <w:rFonts w:ascii="Calibri" w:hAnsi="Calibri" w:cs="Calibri"/>
                <w:color w:val="000000"/>
              </w:rPr>
              <w:t xml:space="preserve">A </w:t>
            </w:r>
            <w:proofErr w:type="spellStart"/>
            <w:r>
              <w:rPr>
                <w:rFonts w:ascii="Calibri" w:hAnsi="Calibri" w:cs="Calibri"/>
                <w:color w:val="000000"/>
              </w:rPr>
              <w:t>réaliser</w:t>
            </w:r>
            <w:proofErr w:type="spellEnd"/>
            <w:r>
              <w:rPr>
                <w:rFonts w:ascii="Calibri" w:hAnsi="Calibri" w:cs="Calibri"/>
                <w:color w:val="000000"/>
              </w:rPr>
              <w:t xml:space="preserve"> conjointement avec INRAE</w:t>
            </w:r>
          </w:p>
        </w:tc>
        <w:tc>
          <w:tcPr>
            <w:tcW w:w="1984" w:type="dxa"/>
            <w:vMerge w:val="restart"/>
            <w:tcBorders>
              <w:top w:val="single" w:color="00A3A6" w:sz="8" w:space="0"/>
              <w:left w:val="single" w:color="00A3A6" w:sz="8" w:space="0"/>
              <w:bottom w:val="single" w:color="00A3A6" w:sz="8" w:space="0"/>
              <w:right w:val="single" w:color="00A3A6" w:sz="8" w:space="0"/>
            </w:tcBorders>
            <w:vAlign w:val="center"/>
          </w:tcPr>
          <w:p w:rsidR="006E6D7A" w:rsidRDefault="00B16C64" w14:paraId="6715763B" w14:textId="77777777">
            <w:pPr>
              <w:rPr>
                <w:rFonts w:ascii="Times New Roman" w:hAnsi="Times New Roman" w:cs="Times New Roman"/>
                <w:sz w:val="24"/>
                <w:szCs w:val="24"/>
              </w:rPr>
            </w:pPr>
            <w:r>
              <w:rPr>
                <w:rFonts w:ascii="Calibri" w:hAnsi="Calibri" w:cs="Calibri"/>
                <w:color w:val="000000"/>
              </w:rPr>
              <w:t>Délai maximal d’exécution de la prestation : 1 mois</w:t>
            </w:r>
          </w:p>
        </w:tc>
      </w:tr>
      <w:tr w:rsidR="006E6D7A" w14:paraId="67157642"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3D" w14:textId="77777777">
            <w:pPr>
              <w:rPr>
                <w:rFonts w:ascii="Times New Roman" w:hAnsi="Times New Roman" w:cs="Times New Roman"/>
                <w:sz w:val="24"/>
                <w:szCs w:val="24"/>
              </w:rPr>
            </w:pPr>
            <w:r>
              <w:rPr>
                <w:rFonts w:ascii="Calibri" w:hAnsi="Calibri" w:cs="Calibri"/>
                <w:color w:val="000000"/>
              </w:rPr>
              <w:t>Rapport d’étonnement qualitatif et quantitatif</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3E" w14:textId="77777777">
            <w:pPr>
              <w:numPr>
                <w:ilvl w:val="0"/>
                <w:numId w:val="203"/>
              </w:numPr>
              <w:tabs>
                <w:tab w:val="left" w:pos="0"/>
              </w:tabs>
              <w:ind w:left="1440"/>
              <w:rPr>
                <w:rFonts w:ascii="Times New Roman" w:hAnsi="Times New Roman" w:cs="Times New Roman"/>
                <w:sz w:val="24"/>
                <w:szCs w:val="24"/>
              </w:rPr>
            </w:pPr>
            <w:r>
              <w:rPr>
                <w:rFonts w:ascii="Calibri" w:hAnsi="Calibri" w:cs="Calibri"/>
                <w:color w:val="000000"/>
              </w:rPr>
              <w:t>Analyse des méthodes / processus / outillages</w:t>
            </w:r>
          </w:p>
          <w:p w:rsidR="006E6D7A" w:rsidRDefault="00B16C64" w14:paraId="6715763F" w14:textId="77777777">
            <w:pPr>
              <w:numPr>
                <w:ilvl w:val="0"/>
                <w:numId w:val="203"/>
              </w:numPr>
              <w:tabs>
                <w:tab w:val="left" w:pos="0"/>
              </w:tabs>
              <w:ind w:left="1440"/>
              <w:rPr>
                <w:rFonts w:ascii="Times New Roman" w:hAnsi="Times New Roman" w:cs="Times New Roman"/>
                <w:sz w:val="24"/>
                <w:szCs w:val="24"/>
              </w:rPr>
            </w:pPr>
            <w:r>
              <w:rPr>
                <w:rFonts w:ascii="Calibri" w:hAnsi="Calibri" w:cs="Calibri"/>
                <w:color w:val="000000"/>
              </w:rPr>
              <w:t>Documentations / connaissances</w:t>
            </w:r>
          </w:p>
          <w:p w:rsidR="006E6D7A" w:rsidRDefault="00B16C64" w14:paraId="67157640" w14:textId="77777777">
            <w:pPr>
              <w:numPr>
                <w:ilvl w:val="0"/>
                <w:numId w:val="203"/>
              </w:numPr>
              <w:tabs>
                <w:tab w:val="left" w:pos="0"/>
              </w:tabs>
              <w:ind w:left="1440"/>
              <w:rPr>
                <w:rFonts w:ascii="Times New Roman" w:hAnsi="Times New Roman" w:cs="Times New Roman"/>
                <w:sz w:val="24"/>
                <w:szCs w:val="24"/>
              </w:rPr>
            </w:pPr>
            <w:r>
              <w:rPr>
                <w:rFonts w:ascii="Calibri" w:hAnsi="Calibri" w:cs="Calibri"/>
                <w:color w:val="000000"/>
              </w:rPr>
              <w:t>Stratégies spécifiques</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641" w14:textId="77777777">
            <w:pPr>
              <w:spacing w:after="0"/>
              <w:rPr>
                <w:rFonts w:ascii="Times New Roman" w:hAnsi="Times New Roman" w:cs="Times New Roman"/>
                <w:sz w:val="24"/>
                <w:szCs w:val="24"/>
              </w:rPr>
            </w:pPr>
          </w:p>
        </w:tc>
      </w:tr>
      <w:tr w:rsidR="006E6D7A" w14:paraId="67157648"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43" w14:textId="77777777">
            <w:pPr>
              <w:rPr>
                <w:rFonts w:ascii="Times New Roman" w:hAnsi="Times New Roman" w:cs="Times New Roman"/>
                <w:sz w:val="24"/>
                <w:szCs w:val="24"/>
              </w:rPr>
            </w:pPr>
            <w:r>
              <w:rPr>
                <w:rFonts w:ascii="Calibri" w:hAnsi="Calibri" w:cs="Calibri"/>
                <w:color w:val="000000"/>
              </w:rPr>
              <w:t>Outils à la charge du titulaire en place, testés et opérationnels</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44" w14:textId="77777777">
            <w:pPr>
              <w:rPr>
                <w:rFonts w:ascii="Times New Roman" w:hAnsi="Times New Roman" w:cs="Times New Roman"/>
                <w:sz w:val="24"/>
                <w:szCs w:val="24"/>
              </w:rPr>
            </w:pPr>
            <w:r>
              <w:rPr>
                <w:rFonts w:ascii="Calibri" w:hAnsi="Calibri" w:cs="Calibri"/>
                <w:color w:val="000000"/>
              </w:rPr>
              <w:t>Notamment :</w:t>
            </w:r>
          </w:p>
          <w:p w:rsidR="006E6D7A" w:rsidRDefault="00B16C64" w14:paraId="67157645" w14:textId="77777777">
            <w:pPr>
              <w:numPr>
                <w:ilvl w:val="0"/>
                <w:numId w:val="204"/>
              </w:numPr>
              <w:tabs>
                <w:tab w:val="left" w:pos="0"/>
              </w:tabs>
              <w:ind w:left="1440"/>
              <w:rPr>
                <w:rFonts w:ascii="Times New Roman" w:hAnsi="Times New Roman" w:cs="Times New Roman"/>
                <w:sz w:val="24"/>
                <w:szCs w:val="24"/>
              </w:rPr>
            </w:pPr>
            <w:r>
              <w:rPr>
                <w:rFonts w:ascii="Calibri" w:hAnsi="Calibri" w:cs="Calibri"/>
                <w:color w:val="000000"/>
              </w:rPr>
              <w:t xml:space="preserve">Installation, configuration, accès aux outillages des processus </w:t>
            </w:r>
            <w:proofErr w:type="gramStart"/>
            <w:r>
              <w:rPr>
                <w:rFonts w:ascii="Calibri" w:hAnsi="Calibri" w:cs="Calibri"/>
                <w:color w:val="000000"/>
              </w:rPr>
              <w:t>INRAE(</w:t>
            </w:r>
            <w:proofErr w:type="gramEnd"/>
            <w:r>
              <w:rPr>
                <w:rFonts w:ascii="Calibri" w:hAnsi="Calibri" w:cs="Calibri"/>
                <w:color w:val="000000"/>
              </w:rPr>
              <w:t>clés MFA, VPN, ...)</w:t>
            </w:r>
          </w:p>
          <w:p w:rsidR="006E6D7A" w:rsidRDefault="00B16C64" w14:paraId="67157646" w14:textId="77777777">
            <w:pPr>
              <w:numPr>
                <w:ilvl w:val="0"/>
                <w:numId w:val="204"/>
              </w:numPr>
              <w:tabs>
                <w:tab w:val="left" w:pos="0"/>
              </w:tabs>
              <w:ind w:left="1440"/>
              <w:rPr>
                <w:rFonts w:ascii="Times New Roman" w:hAnsi="Times New Roman" w:cs="Times New Roman"/>
                <w:sz w:val="24"/>
                <w:szCs w:val="24"/>
              </w:rPr>
            </w:pPr>
            <w:r>
              <w:rPr>
                <w:rFonts w:ascii="Calibri" w:hAnsi="Calibri" w:cs="Calibri"/>
                <w:color w:val="000000"/>
              </w:rPr>
              <w:t>Le cas échéant : outillage complémentaire prévu par le titulaire pour l’efficacité du domaine de prestation</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647" w14:textId="77777777">
            <w:pPr>
              <w:spacing w:after="0"/>
              <w:rPr>
                <w:rFonts w:ascii="Times New Roman" w:hAnsi="Times New Roman" w:cs="Times New Roman"/>
                <w:sz w:val="24"/>
                <w:szCs w:val="24"/>
              </w:rPr>
            </w:pPr>
          </w:p>
        </w:tc>
      </w:tr>
      <w:tr w:rsidR="006E6D7A" w14:paraId="6715764C"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49" w14:textId="77777777">
            <w:pPr>
              <w:rPr>
                <w:rFonts w:ascii="Times New Roman" w:hAnsi="Times New Roman" w:cs="Times New Roman"/>
                <w:sz w:val="24"/>
                <w:szCs w:val="24"/>
              </w:rPr>
            </w:pPr>
            <w:r>
              <w:rPr>
                <w:rFonts w:ascii="Calibri" w:hAnsi="Calibri" w:cs="Calibri"/>
                <w:color w:val="000000"/>
              </w:rPr>
              <w:t>Plan d’assurance sécurité de l’accord-cadre</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4A" w14:textId="77777777">
            <w:pPr>
              <w:numPr>
                <w:ilvl w:val="0"/>
                <w:numId w:val="205"/>
              </w:numPr>
              <w:tabs>
                <w:tab w:val="left" w:pos="0"/>
              </w:tabs>
              <w:ind w:left="1440"/>
              <w:rPr>
                <w:rFonts w:ascii="Times New Roman" w:hAnsi="Times New Roman" w:cs="Times New Roman"/>
                <w:sz w:val="24"/>
                <w:szCs w:val="24"/>
              </w:rPr>
            </w:pPr>
            <w:r>
              <w:rPr>
                <w:rFonts w:ascii="Calibri" w:hAnsi="Calibri" w:cs="Calibri"/>
                <w:color w:val="000000"/>
              </w:rPr>
              <w:t>Conforme aux exigences SSI INRAE et RGS / RGPD</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64B" w14:textId="77777777">
            <w:pPr>
              <w:spacing w:after="0"/>
              <w:rPr>
                <w:rFonts w:ascii="Times New Roman" w:hAnsi="Times New Roman" w:cs="Times New Roman"/>
                <w:sz w:val="24"/>
                <w:szCs w:val="24"/>
              </w:rPr>
            </w:pPr>
          </w:p>
        </w:tc>
      </w:tr>
      <w:tr w:rsidR="006E6D7A" w14:paraId="67157652"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4D" w14:textId="77777777">
            <w:pPr>
              <w:rPr>
                <w:rFonts w:ascii="Times New Roman" w:hAnsi="Times New Roman" w:cs="Times New Roman"/>
                <w:sz w:val="24"/>
                <w:szCs w:val="24"/>
              </w:rPr>
            </w:pPr>
            <w:r>
              <w:rPr>
                <w:rFonts w:ascii="Calibri" w:hAnsi="Calibri" w:cs="Calibri"/>
                <w:color w:val="000000"/>
              </w:rPr>
              <w:t>Plan d’Assurance Qualité commun adapté à l’accord-cadre</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4E" w14:textId="77777777">
            <w:pPr>
              <w:rPr>
                <w:rFonts w:ascii="Times New Roman" w:hAnsi="Times New Roman" w:cs="Times New Roman"/>
                <w:sz w:val="24"/>
                <w:szCs w:val="24"/>
              </w:rPr>
            </w:pPr>
            <w:r>
              <w:rPr>
                <w:rFonts w:ascii="Calibri" w:hAnsi="Calibri" w:cs="Calibri"/>
                <w:color w:val="000000"/>
              </w:rPr>
              <w:t>Notamment :</w:t>
            </w:r>
          </w:p>
          <w:p w:rsidR="006E6D7A" w:rsidRDefault="00B16C64" w14:paraId="6715764F" w14:textId="77777777">
            <w:pPr>
              <w:numPr>
                <w:ilvl w:val="0"/>
                <w:numId w:val="206"/>
              </w:numPr>
              <w:tabs>
                <w:tab w:val="left" w:pos="0"/>
              </w:tabs>
              <w:ind w:left="1440"/>
              <w:rPr>
                <w:rFonts w:ascii="Times New Roman" w:hAnsi="Times New Roman" w:cs="Times New Roman"/>
                <w:sz w:val="24"/>
                <w:szCs w:val="24"/>
              </w:rPr>
            </w:pPr>
            <w:r>
              <w:rPr>
                <w:rFonts w:ascii="Calibri" w:hAnsi="Calibri" w:cs="Calibri"/>
                <w:color w:val="000000"/>
              </w:rPr>
              <w:t>Description des procédures, méthodologies, règles et plans à mettre en place pour assurer de délivrer le service dans les conditions optimales.</w:t>
            </w:r>
          </w:p>
          <w:p w:rsidR="006E6D7A" w:rsidRDefault="00B16C64" w14:paraId="67157650" w14:textId="77777777">
            <w:pPr>
              <w:numPr>
                <w:ilvl w:val="0"/>
                <w:numId w:val="206"/>
              </w:numPr>
              <w:tabs>
                <w:tab w:val="left" w:pos="0"/>
              </w:tabs>
              <w:ind w:left="1440"/>
              <w:rPr>
                <w:rFonts w:ascii="Times New Roman" w:hAnsi="Times New Roman" w:cs="Times New Roman"/>
                <w:sz w:val="24"/>
                <w:szCs w:val="24"/>
              </w:rPr>
            </w:pPr>
            <w:r>
              <w:rPr>
                <w:rFonts w:ascii="Calibri" w:hAnsi="Calibri" w:cs="Calibri"/>
                <w:color w:val="000000"/>
              </w:rPr>
              <w:t>Description du processus d’élaboration et de maintien à jour du Plan d’Assurance Qualité</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651" w14:textId="77777777">
            <w:pPr>
              <w:spacing w:after="0"/>
              <w:rPr>
                <w:rFonts w:ascii="Times New Roman" w:hAnsi="Times New Roman" w:cs="Times New Roman"/>
                <w:sz w:val="24"/>
                <w:szCs w:val="24"/>
              </w:rPr>
            </w:pPr>
          </w:p>
        </w:tc>
      </w:tr>
      <w:tr w:rsidR="006E6D7A" w14:paraId="6715765C"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53" w14:textId="77777777">
            <w:pPr>
              <w:rPr>
                <w:rFonts w:ascii="Times New Roman" w:hAnsi="Times New Roman" w:cs="Times New Roman"/>
                <w:sz w:val="24"/>
                <w:szCs w:val="24"/>
              </w:rPr>
            </w:pPr>
            <w:r>
              <w:rPr>
                <w:rFonts w:ascii="Calibri" w:hAnsi="Calibri" w:cs="Calibri"/>
                <w:color w:val="000000"/>
              </w:rPr>
              <w:lastRenderedPageBreak/>
              <w:t>État des lieux (sous forme de liste) des ressources nécessaires à l’activité du titulaire, types d’accès aux ressources mises à disposition du titulaire.</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54" w14:textId="77777777">
            <w:pPr>
              <w:rPr>
                <w:rFonts w:ascii="Times New Roman" w:hAnsi="Times New Roman" w:cs="Times New Roman"/>
                <w:sz w:val="24"/>
                <w:szCs w:val="24"/>
              </w:rPr>
            </w:pPr>
            <w:r>
              <w:rPr>
                <w:rFonts w:ascii="Calibri" w:hAnsi="Calibri" w:cs="Calibri"/>
                <w:color w:val="000000"/>
              </w:rPr>
              <w:t>Ce référentiel permettra au titulaire de rapidement effectuer les demandes d’accès au début de chaque phase de montée en compétences</w:t>
            </w:r>
          </w:p>
          <w:p w:rsidR="006E6D7A" w:rsidRDefault="00B16C64" w14:paraId="67157655" w14:textId="77777777">
            <w:pPr>
              <w:rPr>
                <w:rFonts w:ascii="Times New Roman" w:hAnsi="Times New Roman" w:cs="Times New Roman"/>
                <w:sz w:val="24"/>
                <w:szCs w:val="24"/>
              </w:rPr>
            </w:pPr>
            <w:r>
              <w:rPr>
                <w:rFonts w:ascii="Calibri" w:hAnsi="Calibri" w:cs="Calibri"/>
                <w:color w:val="000000"/>
              </w:rPr>
              <w:t>L’état des lieux contient notamment :</w:t>
            </w:r>
          </w:p>
          <w:p w:rsidR="006E6D7A" w:rsidRDefault="00B16C64" w14:paraId="67157656" w14:textId="77777777">
            <w:pPr>
              <w:numPr>
                <w:ilvl w:val="0"/>
                <w:numId w:val="207"/>
              </w:numPr>
              <w:tabs>
                <w:tab w:val="left" w:pos="0"/>
              </w:tabs>
              <w:ind w:left="1440"/>
              <w:rPr>
                <w:rFonts w:ascii="Times New Roman" w:hAnsi="Times New Roman" w:cs="Times New Roman"/>
                <w:sz w:val="24"/>
                <w:szCs w:val="24"/>
              </w:rPr>
            </w:pPr>
            <w:r>
              <w:rPr>
                <w:rFonts w:ascii="Calibri" w:hAnsi="Calibri" w:cs="Calibri"/>
                <w:color w:val="000000"/>
              </w:rPr>
              <w:t>Accès aux espaces documentaires</w:t>
            </w:r>
          </w:p>
          <w:p w:rsidR="006E6D7A" w:rsidRDefault="00B16C64" w14:paraId="67157657" w14:textId="77777777">
            <w:pPr>
              <w:numPr>
                <w:ilvl w:val="0"/>
                <w:numId w:val="207"/>
              </w:numPr>
              <w:tabs>
                <w:tab w:val="left" w:pos="0"/>
              </w:tabs>
              <w:ind w:left="1440"/>
              <w:rPr>
                <w:rFonts w:ascii="Times New Roman" w:hAnsi="Times New Roman" w:cs="Times New Roman"/>
                <w:sz w:val="24"/>
                <w:szCs w:val="24"/>
              </w:rPr>
            </w:pPr>
            <w:r>
              <w:rPr>
                <w:rFonts w:ascii="Calibri" w:hAnsi="Calibri" w:cs="Calibri"/>
                <w:color w:val="000000"/>
              </w:rPr>
              <w:t>Modalités d’accès aux environnements de production</w:t>
            </w:r>
          </w:p>
          <w:p w:rsidR="006E6D7A" w:rsidRDefault="00B16C64" w14:paraId="67157658" w14:textId="77777777">
            <w:pPr>
              <w:numPr>
                <w:ilvl w:val="0"/>
                <w:numId w:val="207"/>
              </w:numPr>
              <w:tabs>
                <w:tab w:val="left" w:pos="0"/>
              </w:tabs>
              <w:ind w:left="1440"/>
              <w:rPr>
                <w:rFonts w:ascii="Times New Roman" w:hAnsi="Times New Roman" w:cs="Times New Roman"/>
                <w:sz w:val="24"/>
                <w:szCs w:val="24"/>
              </w:rPr>
            </w:pPr>
            <w:r>
              <w:rPr>
                <w:rFonts w:ascii="Calibri" w:hAnsi="Calibri" w:cs="Calibri"/>
                <w:color w:val="000000"/>
              </w:rPr>
              <w:t xml:space="preserve">Accès à l’outillage nécessaire à l’exécution des prestations du présent lot (outil de gestion du support Service </w:t>
            </w:r>
            <w:proofErr w:type="spellStart"/>
            <w:proofErr w:type="gramStart"/>
            <w:r>
              <w:rPr>
                <w:rFonts w:ascii="Calibri" w:hAnsi="Calibri" w:cs="Calibri"/>
                <w:color w:val="000000"/>
              </w:rPr>
              <w:t>Now</w:t>
            </w:r>
            <w:proofErr w:type="spellEnd"/>
            <w:r>
              <w:rPr>
                <w:rFonts w:ascii="Calibri" w:hAnsi="Calibri" w:cs="Calibri"/>
                <w:color w:val="000000"/>
              </w:rPr>
              <w:t>,…</w:t>
            </w:r>
            <w:proofErr w:type="gramEnd"/>
            <w:r>
              <w:rPr>
                <w:rFonts w:ascii="Calibri" w:hAnsi="Calibri" w:cs="Calibri"/>
                <w:color w:val="000000"/>
              </w:rPr>
              <w:t>)</w:t>
            </w:r>
          </w:p>
          <w:p w:rsidR="006E6D7A" w:rsidRDefault="00B16C64" w14:paraId="67157659" w14:textId="77777777">
            <w:pPr>
              <w:numPr>
                <w:ilvl w:val="0"/>
                <w:numId w:val="207"/>
              </w:numPr>
              <w:tabs>
                <w:tab w:val="left" w:pos="0"/>
              </w:tabs>
              <w:ind w:left="1440"/>
              <w:rPr>
                <w:rFonts w:ascii="Times New Roman" w:hAnsi="Times New Roman" w:cs="Times New Roman"/>
                <w:sz w:val="24"/>
                <w:szCs w:val="24"/>
              </w:rPr>
            </w:pPr>
            <w:r>
              <w:rPr>
                <w:rFonts w:ascii="Calibri" w:hAnsi="Calibri" w:cs="Calibri"/>
                <w:color w:val="000000"/>
              </w:rPr>
              <w:t>Ressources informatiques (postes de travail, écrans, moyens de communication) des intervenants du titulaire</w:t>
            </w:r>
          </w:p>
          <w:p w:rsidR="006E6D7A" w:rsidRDefault="00B16C64" w14:paraId="6715765A" w14:textId="77777777">
            <w:pPr>
              <w:numPr>
                <w:ilvl w:val="0"/>
                <w:numId w:val="207"/>
              </w:numPr>
              <w:tabs>
                <w:tab w:val="left" w:pos="0"/>
              </w:tabs>
              <w:ind w:left="1440"/>
              <w:rPr>
                <w:rFonts w:ascii="Times New Roman" w:hAnsi="Times New Roman" w:cs="Times New Roman"/>
                <w:sz w:val="24"/>
                <w:szCs w:val="24"/>
              </w:rPr>
            </w:pPr>
            <w:r>
              <w:rPr>
                <w:rFonts w:ascii="Calibri" w:hAnsi="Calibri" w:cs="Calibri"/>
                <w:color w:val="000000"/>
              </w:rPr>
              <w:t>Badges d’accès aux sites de INRAE, le cas échéant.</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65B" w14:textId="77777777">
            <w:pPr>
              <w:spacing w:after="0"/>
              <w:rPr>
                <w:rFonts w:ascii="Times New Roman" w:hAnsi="Times New Roman" w:cs="Times New Roman"/>
                <w:sz w:val="24"/>
                <w:szCs w:val="24"/>
              </w:rPr>
            </w:pPr>
          </w:p>
        </w:tc>
      </w:tr>
      <w:tr w:rsidR="006E6D7A" w14:paraId="67157660" w14:textId="77777777">
        <w:trPr>
          <w:tblCellSpacing w:w="0" w:type="dxa"/>
        </w:trPr>
        <w:tc>
          <w:tcPr>
            <w:tcW w:w="2545"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5D" w14:textId="77777777">
            <w:pPr>
              <w:rPr>
                <w:rFonts w:ascii="Times New Roman" w:hAnsi="Times New Roman" w:cs="Times New Roman"/>
                <w:sz w:val="24"/>
                <w:szCs w:val="24"/>
              </w:rPr>
            </w:pPr>
            <w:r>
              <w:rPr>
                <w:rFonts w:ascii="Times New Roman" w:hAnsi="Times New Roman" w:cs="Times New Roman"/>
                <w:sz w:val="24"/>
                <w:szCs w:val="24"/>
              </w:rPr>
              <w:t> </w:t>
            </w:r>
          </w:p>
        </w:tc>
        <w:tc>
          <w:tcPr>
            <w:tcW w:w="5247" w:type="dxa"/>
            <w:tcBorders>
              <w:top w:val="single" w:color="00A3A6" w:sz="8" w:space="0"/>
              <w:left w:val="single" w:color="00A3A6" w:sz="8" w:space="0"/>
              <w:bottom w:val="single" w:color="00A3A6" w:sz="8" w:space="0"/>
              <w:right w:val="single" w:color="00A3A6" w:sz="8" w:space="0"/>
            </w:tcBorders>
            <w:vAlign w:val="center"/>
          </w:tcPr>
          <w:p w:rsidR="006E6D7A" w:rsidRDefault="00B16C64" w14:paraId="6715765E" w14:textId="77777777">
            <w:pPr>
              <w:spacing w:before="60"/>
              <w:rPr>
                <w:rFonts w:ascii="Times New Roman" w:hAnsi="Times New Roman" w:cs="Times New Roman"/>
                <w:sz w:val="24"/>
                <w:szCs w:val="24"/>
              </w:rPr>
            </w:pPr>
            <w:r>
              <w:rPr>
                <w:rFonts w:ascii="Times New Roman" w:hAnsi="Times New Roman" w:cs="Times New Roman"/>
                <w:sz w:val="24"/>
                <w:szCs w:val="24"/>
              </w:rPr>
              <w:t> </w:t>
            </w:r>
          </w:p>
        </w:tc>
        <w:tc>
          <w:tcPr>
            <w:tcW w:w="0" w:type="auto"/>
            <w:vMerge/>
            <w:tcBorders>
              <w:top w:val="single" w:color="00A3A6" w:sz="8" w:space="0"/>
              <w:left w:val="single" w:color="00A3A6" w:sz="8" w:space="0"/>
              <w:bottom w:val="single" w:color="00A3A6" w:sz="8" w:space="0"/>
              <w:right w:val="single" w:color="00A3A6" w:sz="8" w:space="0"/>
            </w:tcBorders>
            <w:vAlign w:val="center"/>
          </w:tcPr>
          <w:p w:rsidR="006E6D7A" w:rsidRDefault="006E6D7A" w14:paraId="6715765F" w14:textId="77777777">
            <w:pPr>
              <w:spacing w:after="0"/>
              <w:rPr>
                <w:rFonts w:ascii="Times New Roman" w:hAnsi="Times New Roman" w:cs="Times New Roman"/>
                <w:sz w:val="24"/>
                <w:szCs w:val="24"/>
              </w:rPr>
            </w:pPr>
          </w:p>
        </w:tc>
      </w:tr>
    </w:tbl>
    <w:p w:rsidR="006E6D7A" w:rsidRDefault="006E6D7A" w14:paraId="67157661" w14:textId="77777777">
      <w:pPr>
        <w:pBdr>
          <w:top w:val="none" w:color="000000" w:sz="4" w:space="0"/>
          <w:left w:val="none" w:color="000000" w:sz="4" w:space="0"/>
          <w:bottom w:val="none" w:color="000000" w:sz="4" w:space="0"/>
          <w:right w:val="none" w:color="000000" w:sz="4" w:space="0"/>
        </w:pBdr>
        <w:spacing w:after="159" w:line="259" w:lineRule="auto"/>
      </w:pPr>
    </w:p>
    <w:p w:rsidR="006E6D7A" w:rsidRDefault="00B16C64" w14:paraId="67157662" w14:textId="77777777">
      <w:pPr>
        <w:pStyle w:val="Titre3"/>
        <w:numPr>
          <w:ilvl w:val="5"/>
          <w:numId w:val="3"/>
        </w:numPr>
      </w:pPr>
      <w:bookmarkStart w:name="_Toc221095565" w:id="147"/>
      <w:r>
        <w:t>Modalités de commande</w:t>
      </w:r>
      <w:bookmarkEnd w:id="147"/>
    </w:p>
    <w:p w:rsidR="006E6D7A" w:rsidRDefault="00B16C64" w14:paraId="67157663" w14:textId="77777777">
      <w:pPr>
        <w:rPr>
          <w:color w:val="03A6A3"/>
          <w:sz w:val="24"/>
          <w:szCs w:val="24"/>
        </w:rPr>
      </w:pPr>
      <w:r>
        <w:t xml:space="preserve">L’unité d’œuvre correspondant à ce poste est un prix forfaitaire pour l’exécution de l’intégralité des travaux requis. </w:t>
      </w:r>
    </w:p>
    <w:p w:rsidR="006E6D7A" w:rsidRDefault="006E6D7A" w14:paraId="67157664" w14:textId="77777777"/>
    <w:p w:rsidR="006E6D7A" w:rsidRDefault="00B16C64" w14:paraId="67157665" w14:textId="77777777">
      <w:pPr>
        <w:pStyle w:val="Titre3"/>
        <w:numPr>
          <w:ilvl w:val="4"/>
          <w:numId w:val="3"/>
        </w:numPr>
        <w:tabs>
          <w:tab w:val="clear" w:pos="1134"/>
        </w:tabs>
      </w:pPr>
      <w:bookmarkStart w:name="_Toc221095566" w:id="148"/>
      <w:r>
        <w:t>RÉALISATION OU CONTRIBUTION À LA MAINTENANCE ET DES ÉVOLUTIONS MINEURES</w:t>
      </w:r>
      <w:bookmarkEnd w:id="148"/>
      <w:r>
        <w:t xml:space="preserve"> </w:t>
      </w:r>
    </w:p>
    <w:p w:rsidR="006E6D7A" w:rsidRDefault="00B16C64" w14:paraId="67157666" w14:textId="77777777">
      <w:pPr>
        <w:pStyle w:val="Titre3"/>
        <w:numPr>
          <w:ilvl w:val="5"/>
          <w:numId w:val="3"/>
        </w:numPr>
      </w:pPr>
      <w:bookmarkStart w:name="_Toc221095567" w:id="149"/>
      <w:r>
        <w:t>Objectif et contexte de la prestation</w:t>
      </w:r>
      <w:bookmarkEnd w:id="149"/>
    </w:p>
    <w:p w:rsidR="006E6D7A" w:rsidRDefault="00B16C64" w14:paraId="67157667" w14:textId="77777777">
      <w:r>
        <w:t xml:space="preserve">Cette prestation est demandée dans un contexte d’amélioration continue des environnements applicatifs et techniques en production (et </w:t>
      </w:r>
      <w:proofErr w:type="spellStart"/>
      <w:r>
        <w:t>pré-production</w:t>
      </w:r>
      <w:proofErr w:type="spellEnd"/>
      <w:r>
        <w:t>).</w:t>
      </w:r>
    </w:p>
    <w:p w:rsidR="006E6D7A" w:rsidRDefault="00B16C64" w14:paraId="67157668" w14:textId="77777777">
      <w:r>
        <w:t xml:space="preserve">INRAE est maîtrise d’œuvre d’un grand nombre d’applications à exploiter. </w:t>
      </w:r>
    </w:p>
    <w:p w:rsidR="006E6D7A" w:rsidRDefault="00B16C64" w14:paraId="67157669" w14:textId="77777777">
      <w:r>
        <w:t>Ces applications incluent des plateformes, des applicatifs qui nécessitent parfois des ajustements pour garantir leur performance, leur sécurité et leur disponibilité.</w:t>
      </w:r>
    </w:p>
    <w:p w:rsidR="006E6D7A" w:rsidRDefault="00B16C64" w14:paraId="6715766A" w14:textId="77777777">
      <w:r>
        <w:t xml:space="preserve"> Les besoins sont les suivants :</w:t>
      </w:r>
    </w:p>
    <w:p w:rsidR="006E6D7A" w:rsidRDefault="00B16C64" w14:paraId="6715766B" w14:textId="77777777">
      <w:pPr>
        <w:pStyle w:val="Paragraphedeliste"/>
        <w:numPr>
          <w:ilvl w:val="0"/>
          <w:numId w:val="214"/>
        </w:numPr>
      </w:pPr>
      <w:r>
        <w:t xml:space="preserve">Fonctionnement </w:t>
      </w:r>
      <w:proofErr w:type="gramStart"/>
      <w:r>
        <w:t>récurrent:</w:t>
      </w:r>
      <w:proofErr w:type="gramEnd"/>
      <w:r>
        <w:t xml:space="preserve"> il s’agit de corriger des incidents récurrents, ajustement de supervision ou d’exploitation ...</w:t>
      </w:r>
    </w:p>
    <w:p w:rsidR="006E6D7A" w:rsidRDefault="00B16C64" w14:paraId="6715766C" w14:textId="77777777">
      <w:pPr>
        <w:pStyle w:val="Paragraphedeliste"/>
        <w:numPr>
          <w:ilvl w:val="0"/>
          <w:numId w:val="214"/>
        </w:numPr>
      </w:pPr>
      <w:r>
        <w:t xml:space="preserve">Besoin d’infrastructure : au fil du temps des exigences non fonctionnelles peuvent évoluer ou apparaître </w:t>
      </w:r>
      <w:proofErr w:type="gramStart"/>
      <w:r>
        <w:t>( ex</w:t>
      </w:r>
      <w:proofErr w:type="gramEnd"/>
      <w:r>
        <w:t> : un nombre plus important d’utilisateurs influençant sur des jobs de maintenance), il faut donc adapter les configurations ou scripts de maintenance, ou faire évoluer les environnements (</w:t>
      </w:r>
      <w:proofErr w:type="spellStart"/>
      <w:r>
        <w:t>scaling</w:t>
      </w:r>
      <w:proofErr w:type="spellEnd"/>
      <w:r>
        <w:t>, impact des montées de charge ...)</w:t>
      </w:r>
    </w:p>
    <w:p w:rsidR="006E6D7A" w:rsidRDefault="00B16C64" w14:paraId="6715766D" w14:textId="77777777">
      <w:pPr>
        <w:pStyle w:val="Paragraphedeliste"/>
        <w:numPr>
          <w:ilvl w:val="0"/>
          <w:numId w:val="214"/>
        </w:numPr>
      </w:pPr>
      <w:r>
        <w:lastRenderedPageBreak/>
        <w:t>Besoin de sécurité : des failles de sécurité peuvent apparaître pouvant compromettre l’intégrité et la fiabilité du SI. Il s’agit d’appliquer des correctifs de sécurité, de durcissement des accès, mises à jour ...</w:t>
      </w:r>
    </w:p>
    <w:p w:rsidR="006E6D7A" w:rsidRDefault="00B16C64" w14:paraId="6715766E" w14:textId="77777777">
      <w:r>
        <w:t>L’objectif est de garantir le maintien en condition opérationnelle (MCO) et en condition de sécurité (MCS) des applications et des plateformes, la continuité des services et l’adaptation aux contraintes d’exploitation.</w:t>
      </w:r>
    </w:p>
    <w:p w:rsidR="006E6D7A" w:rsidRDefault="00B16C64" w14:paraId="6715766F" w14:textId="77777777">
      <w:pPr>
        <w:pStyle w:val="Titre3"/>
        <w:numPr>
          <w:ilvl w:val="5"/>
          <w:numId w:val="3"/>
        </w:numPr>
      </w:pPr>
      <w:bookmarkStart w:name="_Toc221095568" w:id="150"/>
      <w:r>
        <w:t>Descriptif de la prestation</w:t>
      </w:r>
      <w:bookmarkEnd w:id="150"/>
    </w:p>
    <w:p w:rsidR="006E6D7A" w:rsidRDefault="006E6D7A" w14:paraId="67157670" w14:textId="77777777">
      <w:pPr>
        <w:pStyle w:val="Titre4"/>
        <w:numPr>
          <w:ilvl w:val="0"/>
          <w:numId w:val="0"/>
        </w:numPr>
      </w:pPr>
    </w:p>
    <w:p w:rsidR="006E6D7A" w:rsidRDefault="00B16C64" w14:paraId="67157671" w14:textId="77777777">
      <w:r>
        <w:t>L’objectif de la prestation est la réalisation d’action permettant</w:t>
      </w:r>
    </w:p>
    <w:p w:rsidR="006E6D7A" w:rsidRDefault="00B16C64" w14:paraId="67157672" w14:textId="77777777">
      <w:pPr>
        <w:pStyle w:val="Paragraphedeliste"/>
        <w:numPr>
          <w:ilvl w:val="0"/>
          <w:numId w:val="210"/>
        </w:numPr>
      </w:pPr>
      <w:proofErr w:type="gramStart"/>
      <w:r>
        <w:t>le</w:t>
      </w:r>
      <w:proofErr w:type="gramEnd"/>
      <w:r>
        <w:t xml:space="preserve"> maintien en condition opérationnelle et en sécurité des applications par</w:t>
      </w:r>
    </w:p>
    <w:p w:rsidR="006E6D7A" w:rsidRDefault="00B16C64" w14:paraId="67157673" w14:textId="77777777">
      <w:pPr>
        <w:pStyle w:val="Paragraphedeliste"/>
        <w:numPr>
          <w:ilvl w:val="1"/>
          <w:numId w:val="210"/>
        </w:numPr>
      </w:pPr>
      <w:proofErr w:type="gramStart"/>
      <w:r>
        <w:t>la</w:t>
      </w:r>
      <w:proofErr w:type="gramEnd"/>
      <w:r>
        <w:t xml:space="preserve"> production de code (patch) et leur déploiement</w:t>
      </w:r>
    </w:p>
    <w:p w:rsidR="006E6D7A" w:rsidRDefault="00B16C64" w14:paraId="67157674" w14:textId="77777777">
      <w:pPr>
        <w:pStyle w:val="Paragraphedeliste"/>
        <w:numPr>
          <w:ilvl w:val="1"/>
          <w:numId w:val="210"/>
        </w:numPr>
      </w:pPr>
      <w:proofErr w:type="gramStart"/>
      <w:r>
        <w:t>par</w:t>
      </w:r>
      <w:proofErr w:type="gramEnd"/>
      <w:r>
        <w:t xml:space="preserve"> la réalisation/amélioration de tâches planifiées pour améliorer le RUN des applications</w:t>
      </w:r>
    </w:p>
    <w:p w:rsidR="006E6D7A" w:rsidRDefault="00B16C64" w14:paraId="67157675" w14:textId="77777777">
      <w:pPr>
        <w:pStyle w:val="Paragraphedeliste"/>
        <w:numPr>
          <w:ilvl w:val="1"/>
          <w:numId w:val="210"/>
        </w:numPr>
      </w:pPr>
      <w:proofErr w:type="gramStart"/>
      <w:r>
        <w:t>l’adaptation</w:t>
      </w:r>
      <w:proofErr w:type="gramEnd"/>
      <w:r>
        <w:t xml:space="preserve"> de configurations des moteurs d’applications ou de l’application en elle même</w:t>
      </w:r>
    </w:p>
    <w:p w:rsidR="006E6D7A" w:rsidRDefault="00B16C64" w14:paraId="67157676" w14:textId="77777777">
      <w:pPr>
        <w:pStyle w:val="Paragraphedeliste"/>
        <w:numPr>
          <w:ilvl w:val="1"/>
          <w:numId w:val="210"/>
        </w:numPr>
      </w:pPr>
      <w:proofErr w:type="gramStart"/>
      <w:r>
        <w:t>l’ajustement</w:t>
      </w:r>
      <w:proofErr w:type="gramEnd"/>
      <w:r>
        <w:t xml:space="preserve"> des configurations systèmes, middleware, base de données ...</w:t>
      </w:r>
    </w:p>
    <w:p w:rsidR="006E6D7A" w:rsidRDefault="00B16C64" w14:paraId="67157677" w14:textId="77777777">
      <w:pPr>
        <w:pStyle w:val="Paragraphedeliste"/>
        <w:numPr>
          <w:ilvl w:val="0"/>
          <w:numId w:val="210"/>
        </w:numPr>
      </w:pPr>
      <w:r>
        <w:t xml:space="preserve">Le développement de fonctionnalités n’impactant pas </w:t>
      </w:r>
    </w:p>
    <w:p w:rsidR="006E6D7A" w:rsidRDefault="00B16C64" w14:paraId="67157678" w14:textId="77777777">
      <w:pPr>
        <w:pStyle w:val="Paragraphedeliste"/>
        <w:numPr>
          <w:ilvl w:val="1"/>
          <w:numId w:val="210"/>
        </w:numPr>
      </w:pPr>
      <w:proofErr w:type="gramStart"/>
      <w:r>
        <w:t>le</w:t>
      </w:r>
      <w:proofErr w:type="gramEnd"/>
      <w:r>
        <w:t xml:space="preserve"> cœur des applications</w:t>
      </w:r>
    </w:p>
    <w:p w:rsidR="006E6D7A" w:rsidRDefault="00B16C64" w14:paraId="67157679" w14:textId="77777777">
      <w:pPr>
        <w:pStyle w:val="Paragraphedeliste"/>
        <w:numPr>
          <w:ilvl w:val="1"/>
          <w:numId w:val="210"/>
        </w:numPr>
      </w:pPr>
      <w:proofErr w:type="gramStart"/>
      <w:r>
        <w:t>la</w:t>
      </w:r>
      <w:proofErr w:type="gramEnd"/>
      <w:r>
        <w:t xml:space="preserve"> compatibilité descendante des APIs</w:t>
      </w:r>
    </w:p>
    <w:p w:rsidR="006E6D7A" w:rsidRDefault="00B16C64" w14:paraId="6715767A" w14:textId="77777777">
      <w:pPr>
        <w:pStyle w:val="Paragraphedeliste"/>
        <w:numPr>
          <w:ilvl w:val="1"/>
          <w:numId w:val="210"/>
        </w:numPr>
      </w:pPr>
      <w:proofErr w:type="gramStart"/>
      <w:r>
        <w:t>la</w:t>
      </w:r>
      <w:proofErr w:type="gramEnd"/>
      <w:r>
        <w:t xml:space="preserve"> structure interne des données</w:t>
      </w:r>
    </w:p>
    <w:p w:rsidR="006E6D7A" w:rsidRDefault="00B16C64" w14:paraId="6715767B" w14:textId="77777777">
      <w:pPr>
        <w:pStyle w:val="Paragraphedeliste"/>
        <w:numPr>
          <w:ilvl w:val="0"/>
          <w:numId w:val="210"/>
        </w:numPr>
      </w:pPr>
      <w:r>
        <w:t>Le suivi des incidents</w:t>
      </w:r>
    </w:p>
    <w:p w:rsidR="006E6D7A" w:rsidRDefault="00B16C64" w14:paraId="6715767C" w14:textId="77777777">
      <w:pPr>
        <w:pStyle w:val="Paragraphedeliste"/>
        <w:numPr>
          <w:ilvl w:val="1"/>
          <w:numId w:val="210"/>
        </w:numPr>
      </w:pPr>
      <w:r>
        <w:t>La demande initiale</w:t>
      </w:r>
    </w:p>
    <w:p w:rsidR="006E6D7A" w:rsidRDefault="00B16C64" w14:paraId="6715767D" w14:textId="77777777">
      <w:pPr>
        <w:pStyle w:val="Paragraphedeliste"/>
        <w:numPr>
          <w:ilvl w:val="1"/>
          <w:numId w:val="210"/>
        </w:numPr>
      </w:pPr>
      <w:r>
        <w:t>Le périmètre concerné (application ou plateforme ou flux)</w:t>
      </w:r>
    </w:p>
    <w:p w:rsidR="006E6D7A" w:rsidRDefault="00B16C64" w14:paraId="6715767E" w14:textId="77777777">
      <w:pPr>
        <w:pStyle w:val="Paragraphedeliste"/>
        <w:numPr>
          <w:ilvl w:val="1"/>
          <w:numId w:val="210"/>
        </w:numPr>
      </w:pPr>
      <w:r>
        <w:t>Les impacts sur la production (performance, sécurité ...)</w:t>
      </w:r>
    </w:p>
    <w:p w:rsidR="006E6D7A" w:rsidRDefault="006E6D7A" w14:paraId="6715767F" w14:textId="77777777">
      <w:pPr>
        <w:pStyle w:val="Titre4"/>
        <w:numPr>
          <w:ilvl w:val="0"/>
          <w:numId w:val="0"/>
        </w:numPr>
      </w:pPr>
    </w:p>
    <w:p w:rsidR="006E6D7A" w:rsidRDefault="00B16C64" w14:paraId="67157680" w14:textId="77777777">
      <w:pPr>
        <w:pStyle w:val="Titre3"/>
        <w:numPr>
          <w:ilvl w:val="5"/>
          <w:numId w:val="3"/>
        </w:numPr>
      </w:pPr>
      <w:bookmarkStart w:name="_Toc221095569" w:id="151"/>
      <w:r>
        <w:t>Livrables</w:t>
      </w:r>
      <w:bookmarkEnd w:id="151"/>
    </w:p>
    <w:p w:rsidR="006E6D7A" w:rsidRDefault="00B16C64" w14:paraId="67157681" w14:textId="77777777">
      <w:r>
        <w:t>Ces réalisations devront être livrées via les outils idoines :</w:t>
      </w:r>
    </w:p>
    <w:p w:rsidR="006E6D7A" w:rsidRDefault="00B16C64" w14:paraId="67157682" w14:textId="77777777">
      <w:pPr>
        <w:pStyle w:val="Paragraphedeliste"/>
        <w:numPr>
          <w:ilvl w:val="0"/>
          <w:numId w:val="215"/>
        </w:numPr>
      </w:pPr>
      <w:r>
        <w:t xml:space="preserve">Forge pour tout type de scripts, configurations ou code avec du code écrit dans les règles de l’art </w:t>
      </w:r>
    </w:p>
    <w:p w:rsidR="006E6D7A" w:rsidRDefault="00B16C64" w14:paraId="67157683" w14:textId="77777777">
      <w:pPr>
        <w:pStyle w:val="Paragraphedeliste"/>
        <w:numPr>
          <w:ilvl w:val="1"/>
          <w:numId w:val="215"/>
        </w:numPr>
      </w:pPr>
      <w:r>
        <w:t>Documentation claire permettant de comprendre les codes et scripts livrés</w:t>
      </w:r>
    </w:p>
    <w:p w:rsidR="006E6D7A" w:rsidRDefault="00B16C64" w14:paraId="67157684" w14:textId="77777777">
      <w:pPr>
        <w:pStyle w:val="Paragraphedeliste"/>
        <w:numPr>
          <w:ilvl w:val="1"/>
          <w:numId w:val="215"/>
        </w:numPr>
      </w:pPr>
      <w:proofErr w:type="spellStart"/>
      <w:r>
        <w:t>Versionning</w:t>
      </w:r>
      <w:proofErr w:type="spellEnd"/>
      <w:r>
        <w:t xml:space="preserve"> de code via Git (démarche </w:t>
      </w:r>
      <w:proofErr w:type="spellStart"/>
      <w:r>
        <w:t>GitOps</w:t>
      </w:r>
      <w:proofErr w:type="spellEnd"/>
      <w:r>
        <w:t>)</w:t>
      </w:r>
    </w:p>
    <w:p w:rsidR="006E6D7A" w:rsidRDefault="00B16C64" w14:paraId="67157685" w14:textId="77777777">
      <w:pPr>
        <w:pStyle w:val="Paragraphedeliste"/>
        <w:numPr>
          <w:ilvl w:val="1"/>
          <w:numId w:val="215"/>
        </w:numPr>
      </w:pPr>
      <w:proofErr w:type="gramStart"/>
      <w:r>
        <w:t>création</w:t>
      </w:r>
      <w:proofErr w:type="gramEnd"/>
      <w:r>
        <w:t xml:space="preserve"> de « pull </w:t>
      </w:r>
      <w:proofErr w:type="spellStart"/>
      <w:r>
        <w:t>request</w:t>
      </w:r>
      <w:proofErr w:type="spellEnd"/>
      <w:r>
        <w:t>«  permettant de garantir une stricte séparation des évolutions de codes livrés</w:t>
      </w:r>
    </w:p>
    <w:p w:rsidR="006E6D7A" w:rsidRDefault="00B16C64" w14:paraId="67157686" w14:textId="77777777">
      <w:pPr>
        <w:pStyle w:val="Paragraphedeliste"/>
        <w:numPr>
          <w:ilvl w:val="0"/>
          <w:numId w:val="215"/>
        </w:numPr>
      </w:pPr>
      <w:r>
        <w:t xml:space="preserve">Documentation pour tout type de procédure ne pouvant faire l’objet de développement </w:t>
      </w:r>
      <w:proofErr w:type="gramStart"/>
      <w:r>
        <w:t>( ex</w:t>
      </w:r>
      <w:proofErr w:type="gramEnd"/>
      <w:r>
        <w:t xml:space="preserve"> paramétrage ou d’exécution)</w:t>
      </w:r>
    </w:p>
    <w:p w:rsidR="006E6D7A" w:rsidRDefault="00B16C64" w14:paraId="67157687" w14:textId="77777777">
      <w:pPr>
        <w:pStyle w:val="Paragraphedeliste"/>
        <w:numPr>
          <w:ilvl w:val="0"/>
          <w:numId w:val="215"/>
        </w:numPr>
      </w:pPr>
      <w:r>
        <w:t>Tickets d’incidents documentés</w:t>
      </w:r>
    </w:p>
    <w:p w:rsidR="006E6D7A" w:rsidRDefault="00B16C64" w14:paraId="67157688" w14:textId="77777777">
      <w:r>
        <w:t>Chaque demande d’évolution devra faire l’objet d’un « ticket de suivi » définissant les tenants et aboutissants ainsi que les impacts potentiels</w:t>
      </w:r>
    </w:p>
    <w:p w:rsidR="006E6D7A" w:rsidRDefault="006E6D7A" w14:paraId="67157689" w14:textId="77777777"/>
    <w:p w:rsidR="006E6D7A" w:rsidRDefault="00B16C64" w14:paraId="6715768A" w14:textId="77777777">
      <w:pPr>
        <w:pStyle w:val="Titre3"/>
        <w:numPr>
          <w:ilvl w:val="5"/>
          <w:numId w:val="3"/>
        </w:numPr>
      </w:pPr>
      <w:bookmarkStart w:name="_Toc221095570" w:id="152"/>
      <w:r>
        <w:t>Délais d’exécution</w:t>
      </w:r>
      <w:bookmarkEnd w:id="152"/>
    </w:p>
    <w:p w:rsidR="006E6D7A" w:rsidRDefault="006E6D7A" w14:paraId="6715768B" w14:textId="77777777"/>
    <w:p w:rsidR="006E6D7A" w:rsidRDefault="00B16C64" w14:paraId="6715768C" w14:textId="77777777">
      <w:r>
        <w:lastRenderedPageBreak/>
        <w:t xml:space="preserve">Selon les modalités définies dans les UO (intégration dans les équipes, portage de l’exploitation), des délais d’exécution pourront être définis et devront être </w:t>
      </w:r>
      <w:proofErr w:type="gramStart"/>
      <w:r>
        <w:t>respectés .</w:t>
      </w:r>
      <w:proofErr w:type="gramEnd"/>
    </w:p>
    <w:p w:rsidR="006E6D7A" w:rsidRDefault="006E6D7A" w14:paraId="6715768D" w14:textId="77777777"/>
    <w:p w:rsidR="006E6D7A" w:rsidRDefault="006E6D7A" w14:paraId="6715768E" w14:textId="77777777"/>
    <w:p w:rsidR="006E6D7A" w:rsidRDefault="006E6D7A" w14:paraId="6715768F" w14:textId="77777777"/>
    <w:p w:rsidR="006E6D7A" w:rsidRDefault="00B16C64" w14:paraId="67157690" w14:textId="77777777">
      <w:pPr>
        <w:pStyle w:val="Titre3"/>
        <w:numPr>
          <w:ilvl w:val="4"/>
          <w:numId w:val="3"/>
        </w:numPr>
        <w:tabs>
          <w:tab w:val="clear" w:pos="1134"/>
        </w:tabs>
      </w:pPr>
      <w:bookmarkStart w:name="_Toc221095571" w:id="153"/>
      <w:r>
        <w:t>SPRINT 0 DES EVOLUTIONS MAJEURES ET DES NOUVEAUX PRODUITS</w:t>
      </w:r>
      <w:bookmarkEnd w:id="153"/>
    </w:p>
    <w:p w:rsidR="006E6D7A" w:rsidRDefault="00B16C64" w14:paraId="67157691" w14:textId="77777777">
      <w:pPr>
        <w:pStyle w:val="Titre3"/>
        <w:numPr>
          <w:ilvl w:val="5"/>
          <w:numId w:val="3"/>
        </w:numPr>
      </w:pPr>
      <w:bookmarkStart w:name="_Toc221095572" w:id="154"/>
      <w:r>
        <w:t>Objectifs et contexte de la prestation</w:t>
      </w:r>
      <w:bookmarkEnd w:id="154"/>
    </w:p>
    <w:p w:rsidR="006E6D7A" w:rsidRDefault="00B16C64" w14:paraId="67157692" w14:textId="77777777">
      <w:r>
        <w:t xml:space="preserve">Dans le cadre d’un projet mené selon une démarche </w:t>
      </w:r>
      <w:proofErr w:type="spellStart"/>
      <w:r>
        <w:t>DevSecOps</w:t>
      </w:r>
      <w:proofErr w:type="spellEnd"/>
      <w:r>
        <w:t>, cette prestation a pour objet la préparation d’un lancement opérationnel de la réalisation d’une montée de version majeure d’un produit existant ou d’un nouveau produit.</w:t>
      </w:r>
    </w:p>
    <w:p w:rsidR="006E6D7A" w:rsidRDefault="00B16C64" w14:paraId="67157693" w14:textId="77777777">
      <w:r>
        <w:t xml:space="preserve">Les objectifs sont les </w:t>
      </w:r>
      <w:proofErr w:type="gramStart"/>
      <w:r>
        <w:t>suivants:</w:t>
      </w:r>
      <w:proofErr w:type="gramEnd"/>
    </w:p>
    <w:p w:rsidR="006E6D7A" w:rsidRDefault="00B16C64" w14:paraId="67157694" w14:textId="77777777">
      <w:pPr>
        <w:spacing w:after="0"/>
        <w:ind w:left="709"/>
        <w:jc w:val="left"/>
      </w:pPr>
      <w:r>
        <w:t>• La prise de connaissance globale du contexte et des enjeux particuliers du projet par l’ensemble des intervenants, notamment ceux du titulaire.</w:t>
      </w:r>
    </w:p>
    <w:p w:rsidR="006E6D7A" w:rsidRDefault="00B16C64" w14:paraId="67157695" w14:textId="77777777">
      <w:pPr>
        <w:spacing w:after="0"/>
        <w:ind w:left="709"/>
        <w:jc w:val="left"/>
      </w:pPr>
      <w:r>
        <w:t>• Identifier les intervenants (titulaire + INRAE) qui seront dédiés spécifiquement à ce produit</w:t>
      </w:r>
    </w:p>
    <w:p w:rsidR="006E6D7A" w:rsidRDefault="00B16C64" w14:paraId="67157696" w14:textId="77777777">
      <w:pPr>
        <w:spacing w:after="0"/>
        <w:ind w:left="709"/>
        <w:jc w:val="left"/>
      </w:pPr>
      <w:r>
        <w:t>• Présenter l’ensemble de l’équipe, et les rôles et périmètres associés (PO, SM, Equipiers, Manager), de l’organisation et du fonctionnement de l’équipe</w:t>
      </w:r>
    </w:p>
    <w:p w:rsidR="006E6D7A" w:rsidRDefault="00B16C64" w14:paraId="67157697" w14:textId="77777777">
      <w:pPr>
        <w:spacing w:after="0"/>
        <w:ind w:left="709"/>
        <w:jc w:val="left"/>
      </w:pPr>
      <w:r>
        <w:t>• Comprendre les attentes du client</w:t>
      </w:r>
    </w:p>
    <w:p w:rsidR="006E6D7A" w:rsidRDefault="00B16C64" w14:paraId="67157698" w14:textId="77777777">
      <w:pPr>
        <w:tabs>
          <w:tab w:val="left" w:pos="5950"/>
        </w:tabs>
        <w:spacing w:after="0"/>
        <w:ind w:left="709"/>
        <w:jc w:val="left"/>
      </w:pPr>
      <w:r>
        <w:t>• Comprendre les fondamentaux du métier du produit</w:t>
      </w:r>
      <w:r>
        <w:tab/>
      </w:r>
    </w:p>
    <w:p w:rsidR="006E6D7A" w:rsidRDefault="00B16C64" w14:paraId="67157699" w14:textId="77777777">
      <w:pPr>
        <w:spacing w:after="0"/>
        <w:ind w:left="709"/>
        <w:jc w:val="left"/>
      </w:pPr>
      <w:r>
        <w:t>• Comprendre les fondamentaux de l’architecture du produit</w:t>
      </w:r>
    </w:p>
    <w:p w:rsidR="006E6D7A" w:rsidRDefault="00B16C64" w14:paraId="6715769A" w14:textId="77777777">
      <w:pPr>
        <w:spacing w:after="0"/>
        <w:ind w:left="709"/>
        <w:jc w:val="left"/>
      </w:pPr>
      <w:r>
        <w:t>• Partager les procédures d’exploitation existantes pour un produit existant</w:t>
      </w:r>
    </w:p>
    <w:p w:rsidR="006E6D7A" w:rsidRDefault="00B16C64" w14:paraId="6715769B" w14:textId="77777777">
      <w:pPr>
        <w:spacing w:after="0"/>
        <w:ind w:left="709"/>
        <w:jc w:val="left"/>
      </w:pPr>
      <w:r>
        <w:t>• Définir les procédures d’exploitation à prévoir pour un nouveau produit</w:t>
      </w:r>
    </w:p>
    <w:p w:rsidR="006E6D7A" w:rsidRDefault="00B16C64" w14:paraId="6715769C" w14:textId="77777777">
      <w:pPr>
        <w:spacing w:after="0"/>
        <w:ind w:left="709"/>
        <w:jc w:val="left"/>
      </w:pPr>
      <w:r>
        <w:t>• Partager la cible sur les axes métiers, techniques, exploitabilité</w:t>
      </w:r>
    </w:p>
    <w:p w:rsidR="006E6D7A" w:rsidRDefault="006E6D7A" w14:paraId="6715769D" w14:textId="77777777">
      <w:pPr>
        <w:spacing w:after="0"/>
        <w:ind w:left="709"/>
      </w:pPr>
    </w:p>
    <w:p w:rsidR="006E6D7A" w:rsidRDefault="006E6D7A" w14:paraId="6715769E" w14:textId="77777777">
      <w:pPr>
        <w:spacing w:after="0"/>
        <w:ind w:left="709"/>
      </w:pPr>
    </w:p>
    <w:p w:rsidR="006E6D7A" w:rsidRDefault="00B16C64" w14:paraId="6715769F" w14:textId="77777777">
      <w:r>
        <w:t>La prestation débute à compter de la réception par le titulaire du bon de commande ou à la date indiquée par celui-ci et s’achève à l’admission de la prestation par procès-verbal de recette validé par le prescripteur INRAE.</w:t>
      </w:r>
    </w:p>
    <w:p w:rsidR="006E6D7A" w:rsidRDefault="00B16C64" w14:paraId="671576A0" w14:textId="77777777">
      <w:pPr>
        <w:pStyle w:val="Titre3"/>
        <w:numPr>
          <w:ilvl w:val="5"/>
          <w:numId w:val="3"/>
        </w:numPr>
      </w:pPr>
      <w:bookmarkStart w:name="_Toc221095573" w:id="155"/>
      <w:r>
        <w:t>Périmètre technique</w:t>
      </w:r>
      <w:bookmarkEnd w:id="155"/>
    </w:p>
    <w:p w:rsidR="006E6D7A" w:rsidRDefault="00B16C64" w14:paraId="671576A1" w14:textId="77777777">
      <w:r>
        <w:t>Le périmètre technique évolue au fil des évolutions technologiques. Pour connaître l’état en 2025 et les composants utilisés, se référer au Radar des technologies.</w:t>
      </w:r>
    </w:p>
    <w:p w:rsidR="006E6D7A" w:rsidRDefault="00B16C64" w14:paraId="671576A2" w14:textId="77777777">
      <w:pPr>
        <w:pStyle w:val="Titre3"/>
        <w:numPr>
          <w:ilvl w:val="5"/>
          <w:numId w:val="3"/>
        </w:numPr>
      </w:pPr>
      <w:bookmarkStart w:name="_Toc221095574" w:id="156"/>
      <w:r>
        <w:t>Descriptif de la prestation</w:t>
      </w:r>
      <w:bookmarkEnd w:id="156"/>
    </w:p>
    <w:p w:rsidR="006E6D7A" w:rsidRDefault="00B16C64" w14:paraId="671576A3" w14:textId="77777777">
      <w:r>
        <w:t>Il s’agit pour le titulaire de mettre en œuvre toutes les actions concourant à l’atteinte des objectifs de la prestation :</w:t>
      </w:r>
    </w:p>
    <w:p w:rsidR="006E6D7A" w:rsidRDefault="00B16C64" w14:paraId="671576A4" w14:textId="77777777">
      <w:pPr>
        <w:spacing w:after="0"/>
        <w:ind w:left="709"/>
      </w:pPr>
      <w:r>
        <w:t>• Partage de la vision du produit</w:t>
      </w:r>
    </w:p>
    <w:p w:rsidR="006E6D7A" w:rsidRDefault="00B16C64" w14:paraId="671576A5" w14:textId="77777777">
      <w:pPr>
        <w:spacing w:after="0"/>
        <w:ind w:left="709"/>
      </w:pPr>
      <w:r>
        <w:t xml:space="preserve">• Partage de la roadmap sur la base d’un </w:t>
      </w:r>
      <w:proofErr w:type="spellStart"/>
      <w:r>
        <w:t>backlog</w:t>
      </w:r>
      <w:proofErr w:type="spellEnd"/>
      <w:r>
        <w:t xml:space="preserve"> priorisé affinant un MVP (Must, </w:t>
      </w:r>
      <w:proofErr w:type="spellStart"/>
      <w:r>
        <w:t>Should</w:t>
      </w:r>
      <w:proofErr w:type="spellEnd"/>
      <w:r>
        <w:t xml:space="preserve">, </w:t>
      </w:r>
      <w:proofErr w:type="spellStart"/>
      <w:r>
        <w:t>Could</w:t>
      </w:r>
      <w:proofErr w:type="spellEnd"/>
      <w:r>
        <w:t>)</w:t>
      </w:r>
    </w:p>
    <w:p w:rsidR="006E6D7A" w:rsidRDefault="00B16C64" w14:paraId="671576A6" w14:textId="77777777">
      <w:pPr>
        <w:spacing w:after="0"/>
        <w:ind w:left="709"/>
      </w:pPr>
      <w:r>
        <w:t>• Identification des points d’attention</w:t>
      </w:r>
    </w:p>
    <w:p w:rsidR="006E6D7A" w:rsidRDefault="00B16C64" w14:paraId="671576A7" w14:textId="77777777">
      <w:pPr>
        <w:spacing w:after="0"/>
        <w:ind w:left="709"/>
      </w:pPr>
      <w:r>
        <w:t>• Démonstration et Explicitation par INRAE de l’architecture mise en place</w:t>
      </w:r>
    </w:p>
    <w:p w:rsidR="006E6D7A" w:rsidRDefault="00B16C64" w14:paraId="671576A8" w14:textId="77777777">
      <w:pPr>
        <w:spacing w:after="0"/>
        <w:ind w:left="709"/>
      </w:pPr>
      <w:r>
        <w:t>• Affinage du mode de fonctionnement et de l’organisation</w:t>
      </w:r>
    </w:p>
    <w:p w:rsidR="006E6D7A" w:rsidRDefault="00B16C64" w14:paraId="671576A9" w14:textId="77777777">
      <w:pPr>
        <w:spacing w:after="0"/>
        <w:ind w:left="709"/>
      </w:pPr>
      <w:r>
        <w:t xml:space="preserve">• Rédaction de la charte du projet (Définition of </w:t>
      </w:r>
      <w:proofErr w:type="spellStart"/>
      <w:r>
        <w:t>Done</w:t>
      </w:r>
      <w:proofErr w:type="spellEnd"/>
      <w:r>
        <w:t xml:space="preserve"> / </w:t>
      </w:r>
      <w:proofErr w:type="spellStart"/>
      <w:r>
        <w:t>Ready</w:t>
      </w:r>
      <w:proofErr w:type="spellEnd"/>
      <w:r>
        <w:t>)</w:t>
      </w:r>
    </w:p>
    <w:p w:rsidR="006E6D7A" w:rsidRDefault="00B16C64" w14:paraId="671576AA" w14:textId="77777777">
      <w:pPr>
        <w:spacing w:after="0"/>
        <w:ind w:left="709"/>
      </w:pPr>
      <w:r>
        <w:t>• Éléments de conception générale</w:t>
      </w:r>
    </w:p>
    <w:p w:rsidR="006E6D7A" w:rsidRDefault="006E6D7A" w14:paraId="671576AB" w14:textId="77777777">
      <w:pPr>
        <w:spacing w:after="0"/>
        <w:ind w:left="709"/>
      </w:pPr>
    </w:p>
    <w:p w:rsidR="006E6D7A" w:rsidRDefault="006E6D7A" w14:paraId="671576AC" w14:textId="77777777">
      <w:pPr>
        <w:spacing w:after="0"/>
        <w:ind w:left="709"/>
      </w:pPr>
    </w:p>
    <w:p w:rsidR="006E6D7A" w:rsidRDefault="006E6D7A" w14:paraId="671576AD" w14:textId="77777777">
      <w:pPr>
        <w:spacing w:after="0"/>
        <w:ind w:left="709"/>
      </w:pPr>
    </w:p>
    <w:p w:rsidR="006E6D7A" w:rsidRDefault="00B16C64" w14:paraId="671576AE" w14:textId="77777777">
      <w:pPr>
        <w:pStyle w:val="Titre3"/>
        <w:numPr>
          <w:ilvl w:val="5"/>
          <w:numId w:val="3"/>
        </w:numPr>
      </w:pPr>
      <w:bookmarkStart w:name="_Toc221095575" w:id="157"/>
      <w:r>
        <w:t>Livrables</w:t>
      </w:r>
      <w:bookmarkEnd w:id="157"/>
    </w:p>
    <w:tbl>
      <w:tblPr>
        <w:tblStyle w:val="Grilledutableau"/>
        <w:tblW w:w="0" w:type="auto"/>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ook w:val="04A0" w:firstRow="1" w:lastRow="0" w:firstColumn="1" w:lastColumn="0" w:noHBand="0" w:noVBand="1"/>
      </w:tblPr>
      <w:tblGrid>
        <w:gridCol w:w="6913"/>
        <w:gridCol w:w="2385"/>
      </w:tblGrid>
      <w:tr w:rsidR="006E6D7A" w14:paraId="671576B1" w14:textId="77777777">
        <w:tc>
          <w:tcPr>
            <w:tcW w:w="6913"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6AF"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Livrables attendus</w:t>
            </w:r>
          </w:p>
        </w:tc>
        <w:tc>
          <w:tcPr>
            <w:tcW w:w="2385" w:type="dxa"/>
            <w:tcBorders>
              <w:top w:val="single" w:color="06A6A3" w:sz="6" w:space="0"/>
              <w:left w:val="single" w:color="06A6A3" w:sz="6" w:space="0"/>
              <w:bottom w:val="single" w:color="06A6A3" w:sz="6" w:space="0"/>
              <w:right w:val="single" w:color="06A6A3" w:sz="6" w:space="0"/>
            </w:tcBorders>
            <w:shd w:val="clear" w:color="03A3A6" w:fill="03A3A6"/>
            <w:tcMar>
              <w:top w:w="0" w:type="dxa"/>
              <w:left w:w="68" w:type="dxa"/>
              <w:bottom w:w="0" w:type="dxa"/>
              <w:right w:w="68" w:type="dxa"/>
            </w:tcMar>
            <w:vAlign w:val="center"/>
          </w:tcPr>
          <w:p w:rsidR="006E6D7A" w:rsidRDefault="00B16C64" w14:paraId="671576B0"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color w:val="FFFFFF"/>
              </w:rPr>
              <w:t>Délai de livraison</w:t>
            </w:r>
          </w:p>
        </w:tc>
      </w:tr>
      <w:tr w:rsidR="006E6D7A" w14:paraId="671576B4"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6B2"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Charte du projet (règles d’équipe)</w:t>
            </w:r>
          </w:p>
        </w:tc>
        <w:tc>
          <w:tcPr>
            <w:tcW w:w="2385" w:type="dxa"/>
            <w:vMerge w:val="restart"/>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vAlign w:val="center"/>
          </w:tcPr>
          <w:p w:rsidR="006E6D7A" w:rsidRDefault="00B16C64" w14:paraId="671576B3" w14:textId="77777777">
            <w:pPr>
              <w:pBdr>
                <w:top w:val="none" w:color="000000" w:sz="4" w:space="0"/>
                <w:left w:val="none" w:color="000000" w:sz="4" w:space="0"/>
                <w:bottom w:val="none" w:color="000000" w:sz="4" w:space="0"/>
                <w:right w:val="none" w:color="000000" w:sz="4" w:space="0"/>
              </w:pBdr>
              <w:jc w:val="center"/>
            </w:pPr>
            <w:r>
              <w:rPr>
                <w:rFonts w:ascii="Calibri" w:hAnsi="Calibri" w:eastAsia="Calibri" w:cs="Calibri"/>
                <w:color w:val="000000"/>
              </w:rPr>
              <w:t xml:space="preserve">Délai maximal d’exécution de la prestation : durée de l’itération définie par l’équipe (1 mois en général au maximum) </w:t>
            </w:r>
          </w:p>
        </w:tc>
      </w:tr>
      <w:tr w:rsidR="006E6D7A" w14:paraId="671576B7"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6B5"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Publication du mode d’organisation et des dates clés (notamment des réunions régulières)</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6B6" w14:textId="77777777"/>
        </w:tc>
      </w:tr>
      <w:tr w:rsidR="006E6D7A" w14:paraId="671576BA"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6B8"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Schémas cibles d’architecture mis à jour (ou créés dans le cadre d’un nouveau produit) </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6B9" w14:textId="77777777"/>
        </w:tc>
      </w:tr>
      <w:tr w:rsidR="006E6D7A" w14:paraId="671576BD"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6BB"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Éléments de MCO/MCS qui seront utilisés ou améliorés pour le projet</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6BC" w14:textId="77777777"/>
        </w:tc>
      </w:tr>
      <w:tr w:rsidR="006E6D7A" w14:paraId="671576C0"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6BE"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Les conditions techniques de réalisation (accès, droits, environnements, outillage </w:t>
            </w:r>
            <w:proofErr w:type="gramStart"/>
            <w:r>
              <w:rPr>
                <w:rFonts w:ascii="Calibri" w:hAnsi="Calibri" w:eastAsia="Calibri" w:cs="Calibri"/>
                <w:color w:val="000000"/>
              </w:rPr>
              <w:t>collaboratif,  Intégration</w:t>
            </w:r>
            <w:proofErr w:type="gramEnd"/>
            <w:r>
              <w:rPr>
                <w:rFonts w:ascii="Calibri" w:hAnsi="Calibri" w:eastAsia="Calibri" w:cs="Calibri"/>
                <w:color w:val="000000"/>
              </w:rPr>
              <w:t xml:space="preserve"> et déploiement continus…) sont opérationnelles</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6BF" w14:textId="77777777"/>
        </w:tc>
      </w:tr>
      <w:tr w:rsidR="006E6D7A" w14:paraId="671576C3"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6C1"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Valeurs de l’équipe</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6C2" w14:textId="77777777"/>
        </w:tc>
      </w:tr>
      <w:tr w:rsidR="006E6D7A" w14:paraId="671576C6"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6C4"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Partage des processus métiers, Dictionnaire des données, </w:t>
            </w:r>
            <w:proofErr w:type="spellStart"/>
            <w:r>
              <w:rPr>
                <w:rFonts w:ascii="Calibri" w:hAnsi="Calibri" w:eastAsia="Calibri" w:cs="Calibri"/>
                <w:color w:val="000000"/>
              </w:rPr>
              <w:t>Features</w:t>
            </w:r>
            <w:proofErr w:type="spellEnd"/>
            <w:r>
              <w:rPr>
                <w:rFonts w:ascii="Calibri" w:hAnsi="Calibri" w:eastAsia="Calibri" w:cs="Calibri"/>
                <w:color w:val="000000"/>
              </w:rPr>
              <w:t xml:space="preserve"> du projet, </w:t>
            </w:r>
            <w:proofErr w:type="spellStart"/>
            <w:r>
              <w:rPr>
                <w:rFonts w:ascii="Calibri" w:hAnsi="Calibri" w:eastAsia="Calibri" w:cs="Calibri"/>
                <w:color w:val="000000"/>
              </w:rPr>
              <w:t>Backlog</w:t>
            </w:r>
            <w:proofErr w:type="spellEnd"/>
            <w:r>
              <w:rPr>
                <w:rFonts w:ascii="Calibri" w:hAnsi="Calibri" w:eastAsia="Calibri" w:cs="Calibri"/>
                <w:color w:val="000000"/>
              </w:rPr>
              <w:t xml:space="preserve"> du projet pour alimenter les 3 premières itérations, Glossaire, Identification des Personnes</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6C5" w14:textId="77777777"/>
        </w:tc>
      </w:tr>
      <w:tr w:rsidR="006E6D7A" w14:paraId="671576C9"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6C7"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PQS décliné pour le projet (</w:t>
            </w:r>
            <w:r>
              <w:t>qui peut être élaboré</w:t>
            </w:r>
            <w:r>
              <w:rPr>
                <w:rFonts w:ascii="Calibri" w:hAnsi="Calibri" w:eastAsia="Calibri" w:cs="Calibri"/>
                <w:color w:val="000000"/>
              </w:rPr>
              <w:t xml:space="preserve"> sur les notions de </w:t>
            </w:r>
            <w:proofErr w:type="spellStart"/>
            <w:r>
              <w:rPr>
                <w:rFonts w:ascii="Calibri" w:hAnsi="Calibri" w:eastAsia="Calibri" w:cs="Calibri"/>
                <w:color w:val="000000"/>
              </w:rPr>
              <w:t>Done</w:t>
            </w:r>
            <w:proofErr w:type="spellEnd"/>
            <w:r>
              <w:rPr>
                <w:rFonts w:ascii="Calibri" w:hAnsi="Calibri" w:eastAsia="Calibri" w:cs="Calibri"/>
                <w:color w:val="000000"/>
              </w:rPr>
              <w:t xml:space="preserve"> Story/Sprint/Release – Documentation – Indicateurs)</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6C8" w14:textId="77777777"/>
        </w:tc>
      </w:tr>
      <w:tr w:rsidR="006E6D7A" w14:paraId="671576CC" w14:textId="77777777">
        <w:tc>
          <w:tcPr>
            <w:tcW w:w="6913" w:type="dxa"/>
            <w:tcBorders>
              <w:top w:val="single" w:color="06A6A3" w:sz="6" w:space="0"/>
              <w:left w:val="single" w:color="06A6A3" w:sz="6" w:space="0"/>
              <w:bottom w:val="single" w:color="06A6A3" w:sz="6" w:space="0"/>
              <w:right w:val="single" w:color="06A6A3" w:sz="6" w:space="0"/>
            </w:tcBorders>
            <w:tcMar>
              <w:top w:w="0" w:type="dxa"/>
              <w:left w:w="68" w:type="dxa"/>
              <w:bottom w:w="0" w:type="dxa"/>
              <w:right w:w="68" w:type="dxa"/>
            </w:tcMar>
          </w:tcPr>
          <w:p w:rsidR="006E6D7A" w:rsidRDefault="00B16C64" w14:paraId="671576CA"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Contenu a minima de la première itération, dans l’idéal des 3 premières itérations est défini</w:t>
            </w:r>
          </w:p>
        </w:tc>
        <w:tc>
          <w:tcPr>
            <w:tcW w:w="0" w:type="auto"/>
            <w:vMerge/>
            <w:tcBorders>
              <w:top w:val="single" w:color="06A6A3" w:sz="6" w:space="0"/>
              <w:left w:val="single" w:color="06A6A3" w:sz="6" w:space="0"/>
              <w:bottom w:val="single" w:color="06A6A3" w:sz="6" w:space="0"/>
              <w:right w:val="single" w:color="06A6A3" w:sz="6" w:space="0"/>
            </w:tcBorders>
          </w:tcPr>
          <w:p w:rsidR="006E6D7A" w:rsidRDefault="006E6D7A" w14:paraId="671576CB" w14:textId="77777777"/>
        </w:tc>
      </w:tr>
    </w:tbl>
    <w:p w:rsidR="006E6D7A" w:rsidRDefault="00B16C64" w14:paraId="671576CD" w14:textId="77777777">
      <w:pPr>
        <w:pStyle w:val="Titre3"/>
        <w:numPr>
          <w:ilvl w:val="5"/>
          <w:numId w:val="3"/>
        </w:numPr>
      </w:pPr>
      <w:bookmarkStart w:name="_Toc221095576" w:id="158"/>
      <w:r>
        <w:t>Exigences</w:t>
      </w:r>
      <w:bookmarkEnd w:id="158"/>
    </w:p>
    <w:tbl>
      <w:tblPr>
        <w:tblStyle w:val="Grilledutableau"/>
        <w:tblW w:w="0" w:type="auto"/>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ook w:val="04A0" w:firstRow="1" w:lastRow="0" w:firstColumn="1" w:lastColumn="0" w:noHBand="0" w:noVBand="1"/>
      </w:tblPr>
      <w:tblGrid>
        <w:gridCol w:w="1054"/>
        <w:gridCol w:w="8327"/>
      </w:tblGrid>
      <w:tr w:rsidR="006E6D7A" w14:paraId="671576D0" w14:textId="77777777">
        <w:tc>
          <w:tcPr>
            <w:tcW w:w="1027" w:type="dxa"/>
            <w:tcBorders>
              <w:top w:val="single" w:color="00A3A6" w:sz="8" w:space="0"/>
              <w:left w:val="single" w:color="00A3A6" w:sz="8" w:space="0"/>
              <w:bottom w:val="single" w:color="00A3A6" w:sz="8" w:space="0"/>
              <w:right w:val="single" w:color="00A3A6" w:sz="8" w:space="0"/>
            </w:tcBorders>
            <w:shd w:val="clear" w:color="03A3A6" w:fill="03A3A6"/>
            <w:tcMar>
              <w:top w:w="0" w:type="dxa"/>
              <w:left w:w="68" w:type="dxa"/>
              <w:bottom w:w="0" w:type="dxa"/>
              <w:right w:w="68" w:type="dxa"/>
            </w:tcMar>
            <w:vAlign w:val="center"/>
          </w:tcPr>
          <w:p w:rsidR="006E6D7A" w:rsidRDefault="00B16C64" w14:paraId="671576CE" w14:textId="77777777">
            <w:pPr>
              <w:pBdr>
                <w:top w:val="none" w:color="000000" w:sz="4" w:space="0"/>
                <w:left w:val="none" w:color="000000" w:sz="4" w:space="0"/>
                <w:bottom w:val="none" w:color="000000" w:sz="4" w:space="0"/>
                <w:right w:val="none" w:color="000000" w:sz="4" w:space="0"/>
              </w:pBdr>
              <w:shd w:val="clear" w:color="03A3A6" w:fill="03A3A6"/>
              <w:jc w:val="center"/>
            </w:pPr>
            <w:proofErr w:type="spellStart"/>
            <w:r>
              <w:rPr>
                <w:rFonts w:ascii="Calibri" w:hAnsi="Calibri" w:eastAsia="Calibri" w:cs="Calibri"/>
                <w:b/>
                <w:color w:val="FFFFFF"/>
              </w:rPr>
              <w:t>Ref</w:t>
            </w:r>
            <w:proofErr w:type="spellEnd"/>
            <w:r>
              <w:rPr>
                <w:rFonts w:ascii="Calibri" w:hAnsi="Calibri" w:eastAsia="Calibri" w:cs="Calibri"/>
                <w:b/>
                <w:color w:val="FFFFFF"/>
              </w:rPr>
              <w:t>. Exigence</w:t>
            </w:r>
          </w:p>
        </w:tc>
        <w:tc>
          <w:tcPr>
            <w:tcW w:w="8327" w:type="dxa"/>
            <w:tcBorders>
              <w:top w:val="single" w:color="00A3A6" w:sz="8" w:space="0"/>
              <w:bottom w:val="single" w:color="00A3A6" w:sz="8" w:space="0"/>
              <w:right w:val="single" w:color="00A3A6" w:sz="8" w:space="0"/>
            </w:tcBorders>
            <w:shd w:val="clear" w:color="03A3A6" w:fill="03A3A6"/>
            <w:tcMar>
              <w:top w:w="0" w:type="dxa"/>
              <w:left w:w="0" w:type="dxa"/>
              <w:bottom w:w="0" w:type="dxa"/>
              <w:right w:w="68" w:type="dxa"/>
            </w:tcMar>
            <w:vAlign w:val="center"/>
          </w:tcPr>
          <w:p w:rsidR="006E6D7A" w:rsidRDefault="00B16C64" w14:paraId="671576CF" w14:textId="77777777">
            <w:pPr>
              <w:pBdr>
                <w:top w:val="none" w:color="000000" w:sz="4" w:space="0"/>
                <w:left w:val="none" w:color="000000" w:sz="4" w:space="0"/>
                <w:bottom w:val="none" w:color="000000" w:sz="4" w:space="0"/>
                <w:right w:val="none" w:color="000000" w:sz="4" w:space="0"/>
              </w:pBdr>
              <w:shd w:val="clear" w:color="03A3A6" w:fill="03A3A6"/>
              <w:jc w:val="center"/>
            </w:pPr>
            <w:r>
              <w:rPr>
                <w:rFonts w:ascii="Calibri" w:hAnsi="Calibri" w:eastAsia="Calibri" w:cs="Calibri"/>
                <w:b/>
                <w:color w:val="FFFFFF"/>
              </w:rPr>
              <w:t>Exigence</w:t>
            </w:r>
          </w:p>
        </w:tc>
      </w:tr>
      <w:tr w:rsidR="006E6D7A" w14:paraId="671576D3" w14:textId="77777777">
        <w:tc>
          <w:tcPr>
            <w:tcW w:w="1027" w:type="dxa"/>
            <w:tcBorders>
              <w:left w:val="single" w:color="00A3A6" w:sz="8" w:space="0"/>
              <w:bottom w:val="single" w:color="00A3A6" w:sz="8" w:space="0"/>
              <w:right w:val="single" w:color="00A3A6" w:sz="8" w:space="0"/>
            </w:tcBorders>
            <w:tcMar>
              <w:top w:w="0" w:type="dxa"/>
              <w:left w:w="68" w:type="dxa"/>
              <w:bottom w:w="0" w:type="dxa"/>
              <w:right w:w="68" w:type="dxa"/>
            </w:tcMar>
            <w:vAlign w:val="center"/>
          </w:tcPr>
          <w:p w:rsidR="006E6D7A" w:rsidRDefault="00B16C64" w14:paraId="671576D1" w14:textId="77777777">
            <w:pPr>
              <w:pBdr>
                <w:top w:val="none" w:color="000000" w:sz="4" w:space="0"/>
                <w:left w:val="none" w:color="000000" w:sz="4" w:space="0"/>
                <w:bottom w:val="none" w:color="000000" w:sz="4" w:space="0"/>
                <w:right w:val="none" w:color="000000" w:sz="4" w:space="0"/>
              </w:pBdr>
            </w:pPr>
            <w:r>
              <w:rPr>
                <w:rFonts w:ascii="Arial" w:hAnsi="Arial" w:eastAsia="Arial" w:cs="Arial"/>
                <w:color w:val="000000"/>
                <w:sz w:val="20"/>
              </w:rPr>
              <w:t> </w:t>
            </w:r>
            <w:r>
              <w:rPr>
                <w:rFonts w:ascii="Calibri" w:hAnsi="Calibri" w:eastAsia="Calibri" w:cs="Calibri"/>
                <w:color w:val="000000"/>
                <w:sz w:val="20"/>
              </w:rPr>
              <w:t>Ex_DD_02</w:t>
            </w:r>
            <w:hyperlink w:tooltip="https://onlyoffice.dctlse.inrae.fr/8.3.3-fd847a554d6f2a7a04296daf7ee3cffc/web-apps/apps/documenteditor/main/index.html?_dc=8.3.3-18&amp;lang=fr&amp;customer=ONLYOFFICE&amp;type=desktop&amp;frameEditorId=iframeEditor&amp;isForm=false&amp;compact=true&amp;parentOrigin=https://nextcloud.inr" w:history="1" w:anchor="sdfootnote1sym" r:id="rId112">
              <w:r>
                <w:rPr>
                  <w:rStyle w:val="Lienhypertexte"/>
                  <w:rFonts w:ascii="Calibri" w:hAnsi="Calibri" w:eastAsia="Calibri" w:cs="Calibri"/>
                  <w:sz w:val="9"/>
                  <w:vertAlign w:val="superscript"/>
                </w:rPr>
                <w:t>*</w:t>
              </w:r>
            </w:hyperlink>
          </w:p>
        </w:tc>
        <w:tc>
          <w:tcPr>
            <w:tcW w:w="8327" w:type="dxa"/>
            <w:tcBorders>
              <w:bottom w:val="single" w:color="00A3A6" w:sz="8" w:space="0"/>
              <w:right w:val="single" w:color="00A3A6" w:sz="8" w:space="0"/>
            </w:tcBorders>
            <w:tcMar>
              <w:top w:w="0" w:type="dxa"/>
              <w:left w:w="0" w:type="dxa"/>
              <w:bottom w:w="0" w:type="dxa"/>
              <w:right w:w="68" w:type="dxa"/>
            </w:tcMar>
            <w:vAlign w:val="center"/>
          </w:tcPr>
          <w:p w:rsidR="006E6D7A" w:rsidRDefault="00B16C64" w14:paraId="671576D2" w14:textId="77777777">
            <w:pPr>
              <w:pBdr>
                <w:top w:val="none" w:color="000000" w:sz="4" w:space="0"/>
                <w:left w:val="none" w:color="000000" w:sz="4" w:space="0"/>
                <w:bottom w:val="none" w:color="000000" w:sz="4" w:space="0"/>
                <w:right w:val="none" w:color="000000" w:sz="4" w:space="0"/>
              </w:pBdr>
            </w:pPr>
            <w:r>
              <w:rPr>
                <w:rFonts w:ascii="Calibri" w:hAnsi="Calibri" w:eastAsia="Calibri" w:cs="Calibri"/>
                <w:color w:val="000000"/>
              </w:rPr>
              <w:t xml:space="preserve">Cette prestation pourra se dérouler dans les locaux INRAE, ceux du titulaire, ou, dans la majorité des cas, en </w:t>
            </w:r>
            <w:proofErr w:type="gramStart"/>
            <w:r>
              <w:rPr>
                <w:rFonts w:ascii="Calibri" w:hAnsi="Calibri" w:eastAsia="Calibri" w:cs="Calibri"/>
                <w:color w:val="000000"/>
              </w:rPr>
              <w:t>distanciel .</w:t>
            </w:r>
            <w:proofErr w:type="gramEnd"/>
            <w:r>
              <w:rPr>
                <w:rFonts w:ascii="Calibri" w:hAnsi="Calibri" w:eastAsia="Calibri" w:cs="Calibri"/>
                <w:color w:val="000000"/>
              </w:rPr>
              <w:t xml:space="preserve"> </w:t>
            </w:r>
          </w:p>
        </w:tc>
      </w:tr>
    </w:tbl>
    <w:p w:rsidR="006E6D7A" w:rsidRDefault="006E6D7A" w14:paraId="671576D4" w14:textId="77777777">
      <w:pPr>
        <w:pStyle w:val="Titre1"/>
        <w:numPr>
          <w:ilvl w:val="0"/>
          <w:numId w:val="0"/>
        </w:numPr>
      </w:pPr>
    </w:p>
    <w:p w:rsidR="006E6D7A" w:rsidRDefault="00B16C64" w14:paraId="671576D5" w14:textId="77777777">
      <w:pPr>
        <w:pStyle w:val="Titre3"/>
        <w:numPr>
          <w:ilvl w:val="4"/>
          <w:numId w:val="3"/>
        </w:numPr>
        <w:tabs>
          <w:tab w:val="clear" w:pos="1134"/>
        </w:tabs>
      </w:pPr>
      <w:bookmarkStart w:name="_Toc221095577" w:id="159"/>
      <w:r>
        <w:t>SERVICE À VALEUR AJOUTÉE AUTOUR DES MÉTHODES ET TECHNIQUES D’EXPLOITATION (</w:t>
      </w:r>
      <w:proofErr w:type="gramStart"/>
      <w:r>
        <w:t>AUTOMATISATION,  DEPLOIEMENT</w:t>
      </w:r>
      <w:proofErr w:type="gramEnd"/>
      <w:r>
        <w:t>, INTÉGRATION, TESTS, SUPERVISION)</w:t>
      </w:r>
      <w:bookmarkEnd w:id="159"/>
      <w:r>
        <w:t xml:space="preserve"> </w:t>
      </w:r>
    </w:p>
    <w:p w:rsidR="006E6D7A" w:rsidRDefault="00B16C64" w14:paraId="671576D6" w14:textId="77777777">
      <w:pPr>
        <w:pStyle w:val="Titre3"/>
        <w:numPr>
          <w:ilvl w:val="5"/>
          <w:numId w:val="3"/>
        </w:numPr>
      </w:pPr>
      <w:bookmarkStart w:name="_Toc221095578" w:id="160"/>
      <w:r>
        <w:t>Objectifs et contexte de la prestation</w:t>
      </w:r>
      <w:bookmarkEnd w:id="160"/>
      <w:r>
        <w:t xml:space="preserve"> </w:t>
      </w:r>
    </w:p>
    <w:p w:rsidR="006E6D7A" w:rsidRDefault="006E6D7A" w14:paraId="671576D7" w14:textId="77777777">
      <w:pPr>
        <w:pStyle w:val="Titre5"/>
        <w:numPr>
          <w:ilvl w:val="0"/>
          <w:numId w:val="0"/>
        </w:numPr>
        <w:pBdr>
          <w:top w:val="none" w:color="000000" w:sz="4" w:space="0"/>
          <w:left w:val="none" w:color="000000" w:sz="4" w:space="0"/>
          <w:bottom w:val="none" w:color="000000" w:sz="4" w:space="0"/>
          <w:right w:val="none" w:color="000000" w:sz="4" w:space="0"/>
        </w:pBdr>
        <w:rPr>
          <w:rFonts w:ascii="Times New Roman" w:hAnsi="Times New Roman" w:cs="Times New Roman"/>
          <w:color w:val="000000"/>
          <w:sz w:val="24"/>
          <w:szCs w:val="24"/>
        </w:rPr>
      </w:pPr>
    </w:p>
    <w:p w:rsidR="006E6D7A" w:rsidRDefault="00B16C64" w14:paraId="671576D8" w14:textId="77777777">
      <w:pPr>
        <w:pBdr>
          <w:top w:val="none" w:color="000000" w:sz="4" w:space="0"/>
          <w:left w:val="none" w:color="000000" w:sz="4" w:space="0"/>
          <w:bottom w:val="none" w:color="000000" w:sz="4" w:space="0"/>
          <w:right w:val="none" w:color="000000" w:sz="4" w:space="0"/>
        </w:pBdr>
        <w:rPr>
          <w:rFonts w:ascii="Times New Roman" w:hAnsi="Times New Roman" w:cs="Times New Roman"/>
          <w:color w:val="000000"/>
          <w:sz w:val="24"/>
          <w:szCs w:val="24"/>
        </w:rPr>
      </w:pPr>
      <w:r>
        <w:rPr>
          <w:rFonts w:ascii="Times New Roman" w:hAnsi="Times New Roman" w:cs="Times New Roman"/>
          <w:color w:val="000000"/>
          <w:sz w:val="24"/>
        </w:rPr>
        <w:t xml:space="preserve">Cette prestation a pour objectif de fournir des services à valeur ajoutée autour des méthodes et techniques </w:t>
      </w:r>
      <w:proofErr w:type="gramStart"/>
      <w:r>
        <w:rPr>
          <w:rFonts w:ascii="Times New Roman" w:hAnsi="Times New Roman" w:cs="Times New Roman"/>
          <w:color w:val="000000"/>
          <w:sz w:val="24"/>
        </w:rPr>
        <w:t>modernes  d’exploitation</w:t>
      </w:r>
      <w:proofErr w:type="gramEnd"/>
      <w:r>
        <w:rPr>
          <w:rFonts w:ascii="Times New Roman" w:hAnsi="Times New Roman" w:cs="Times New Roman"/>
          <w:color w:val="000000"/>
          <w:sz w:val="24"/>
        </w:rPr>
        <w:t xml:space="preserve"> applicative et technique.</w:t>
      </w:r>
    </w:p>
    <w:p w:rsidR="006E6D7A" w:rsidRDefault="00B16C64" w14:paraId="671576D9" w14:textId="77777777">
      <w:pPr>
        <w:pBdr>
          <w:top w:val="none" w:color="000000" w:sz="4" w:space="0"/>
          <w:left w:val="none" w:color="000000" w:sz="4" w:space="0"/>
          <w:bottom w:val="none" w:color="000000" w:sz="4" w:space="0"/>
          <w:right w:val="none" w:color="000000" w:sz="4" w:space="0"/>
        </w:pBdr>
        <w:rPr>
          <w:rFonts w:ascii="Times New Roman" w:hAnsi="Times New Roman" w:cs="Times New Roman"/>
          <w:color w:val="000000"/>
          <w:sz w:val="24"/>
          <w:szCs w:val="24"/>
        </w:rPr>
      </w:pPr>
      <w:r>
        <w:rPr>
          <w:rFonts w:ascii="Times New Roman" w:hAnsi="Times New Roman" w:cs="Times New Roman"/>
          <w:color w:val="000000"/>
          <w:sz w:val="24"/>
        </w:rPr>
        <w:t xml:space="preserve"> Elle vise à optimiser les </w:t>
      </w:r>
      <w:proofErr w:type="gramStart"/>
      <w:r>
        <w:rPr>
          <w:rFonts w:ascii="Times New Roman" w:hAnsi="Times New Roman" w:cs="Times New Roman"/>
          <w:color w:val="000000"/>
          <w:sz w:val="24"/>
        </w:rPr>
        <w:t>processus  d’exploitation</w:t>
      </w:r>
      <w:proofErr w:type="gramEnd"/>
      <w:r>
        <w:rPr>
          <w:rFonts w:ascii="Times New Roman" w:hAnsi="Times New Roman" w:cs="Times New Roman"/>
          <w:color w:val="000000"/>
          <w:sz w:val="24"/>
        </w:rPr>
        <w:t xml:space="preserve">, d'intégration , de déploiement et de supervision pour accélérer et fiabiliser les mises en production . </w:t>
      </w:r>
    </w:p>
    <w:p w:rsidR="006E6D7A" w:rsidRDefault="00B16C64" w14:paraId="671576DA" w14:textId="77777777">
      <w:pPr>
        <w:pBdr>
          <w:top w:val="none" w:color="000000" w:sz="4" w:space="0"/>
          <w:left w:val="none" w:color="000000" w:sz="4" w:space="0"/>
          <w:bottom w:val="none" w:color="000000" w:sz="4" w:space="0"/>
          <w:right w:val="none" w:color="000000" w:sz="4" w:space="0"/>
        </w:pBdr>
        <w:rPr>
          <w:rFonts w:ascii="Times New Roman" w:hAnsi="Times New Roman" w:cs="Times New Roman"/>
          <w:color w:val="000000"/>
          <w:sz w:val="24"/>
          <w:szCs w:val="24"/>
        </w:rPr>
      </w:pPr>
      <w:r>
        <w:rPr>
          <w:rFonts w:ascii="Times New Roman" w:hAnsi="Times New Roman" w:cs="Times New Roman"/>
          <w:color w:val="000000"/>
          <w:sz w:val="24"/>
        </w:rPr>
        <w:t xml:space="preserve">Elle vise également à maintenir en condition opérationnelle (MCO) et en condition de sécurité (MCS) De plus, cette prestation, en favorisant les pratiques </w:t>
      </w:r>
      <w:proofErr w:type="spellStart"/>
      <w:r>
        <w:rPr>
          <w:rFonts w:ascii="Times New Roman" w:hAnsi="Times New Roman" w:cs="Times New Roman"/>
          <w:color w:val="000000"/>
          <w:sz w:val="24"/>
        </w:rPr>
        <w:t>DevSecOps</w:t>
      </w:r>
      <w:proofErr w:type="spellEnd"/>
      <w:r>
        <w:rPr>
          <w:rFonts w:ascii="Times New Roman" w:hAnsi="Times New Roman" w:cs="Times New Roman"/>
          <w:color w:val="000000"/>
          <w:sz w:val="24"/>
        </w:rPr>
        <w:t xml:space="preserve"> côté exploitation, augmentera l’efficacité des équipes, garantira la disponibilité des applications et améliorera la continuité de service.  </w:t>
      </w:r>
    </w:p>
    <w:p w:rsidR="006E6D7A" w:rsidRDefault="00B16C64" w14:paraId="671576DB" w14:textId="77777777">
      <w:pPr>
        <w:pStyle w:val="Titre3"/>
        <w:numPr>
          <w:ilvl w:val="5"/>
          <w:numId w:val="3"/>
        </w:numPr>
      </w:pPr>
      <w:bookmarkStart w:name="_Toc221095579" w:id="161"/>
      <w:r>
        <w:t>Descriptif de la prestation</w:t>
      </w:r>
      <w:bookmarkEnd w:id="161"/>
      <w:r>
        <w:t xml:space="preserve"> </w:t>
      </w:r>
    </w:p>
    <w:p w:rsidR="006E6D7A" w:rsidRDefault="00B16C64" w14:paraId="671576DC" w14:textId="77777777">
      <w:p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Le </w:t>
      </w:r>
      <w:proofErr w:type="gramStart"/>
      <w:r>
        <w:rPr>
          <w:rFonts w:ascii="Times New Roman" w:hAnsi="Times New Roman" w:cs="Times New Roman"/>
          <w:color w:val="000000"/>
          <w:sz w:val="24"/>
        </w:rPr>
        <w:t>titulaire  fournit</w:t>
      </w:r>
      <w:proofErr w:type="gramEnd"/>
      <w:r>
        <w:rPr>
          <w:rFonts w:ascii="Times New Roman" w:hAnsi="Times New Roman" w:cs="Times New Roman"/>
          <w:color w:val="000000"/>
          <w:sz w:val="24"/>
        </w:rPr>
        <w:t xml:space="preserve"> des prestations d’expertise pour mettre en œuvre les actions suivantes :</w:t>
      </w:r>
    </w:p>
    <w:p w:rsidR="006E6D7A" w:rsidRDefault="00B16C64" w14:paraId="671576DD" w14:textId="77777777">
      <w:pPr>
        <w:pStyle w:val="Paragraphedeliste"/>
        <w:numPr>
          <w:ilvl w:val="0"/>
          <w:numId w:val="211"/>
        </w:numPr>
        <w:pBdr>
          <w:top w:val="none" w:color="000000" w:sz="4" w:space="0"/>
          <w:left w:val="none" w:color="000000" w:sz="4" w:space="0"/>
          <w:bottom w:val="none" w:color="000000" w:sz="4" w:space="0"/>
          <w:right w:val="none" w:color="000000" w:sz="4" w:space="0"/>
        </w:pBdr>
        <w:rPr>
          <w:rFonts w:ascii="Times New Roman" w:hAnsi="Times New Roman" w:cs="Times New Roman"/>
          <w:color w:val="000000"/>
          <w:sz w:val="24"/>
          <w:szCs w:val="24"/>
        </w:rPr>
      </w:pPr>
      <w:r>
        <w:rPr>
          <w:rFonts w:ascii="Times New Roman" w:hAnsi="Times New Roman" w:cs="Times New Roman"/>
          <w:color w:val="000000"/>
          <w:sz w:val="24"/>
        </w:rPr>
        <w:t xml:space="preserve">Identifier avec les différentes </w:t>
      </w:r>
      <w:proofErr w:type="gramStart"/>
      <w:r>
        <w:rPr>
          <w:rFonts w:ascii="Times New Roman" w:hAnsi="Times New Roman" w:cs="Times New Roman"/>
          <w:color w:val="000000"/>
          <w:sz w:val="24"/>
        </w:rPr>
        <w:t>équipes,  les</w:t>
      </w:r>
      <w:proofErr w:type="gramEnd"/>
      <w:r>
        <w:rPr>
          <w:rFonts w:ascii="Times New Roman" w:hAnsi="Times New Roman" w:cs="Times New Roman"/>
          <w:color w:val="000000"/>
          <w:sz w:val="24"/>
        </w:rPr>
        <w:t xml:space="preserve"> besoins d’automatisation,  de supervision, d’intégration et d’exécution de tests d’exploitabilité </w:t>
      </w:r>
    </w:p>
    <w:p w:rsidR="006E6D7A" w:rsidRDefault="00B16C64" w14:paraId="671576DE" w14:textId="77777777">
      <w:pPr>
        <w:pStyle w:val="Paragraphedeliste"/>
        <w:numPr>
          <w:ilvl w:val="0"/>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En collaboration avec les équipes d’INRAE, concevoir des solutions adaptées aux environnements, aux outils et contraintes propres à INRAE,</w:t>
      </w:r>
    </w:p>
    <w:p w:rsidR="006E6D7A" w:rsidRDefault="00B16C64" w14:paraId="671576DF" w14:textId="77777777">
      <w:pPr>
        <w:pStyle w:val="Paragraphedeliste"/>
        <w:numPr>
          <w:ilvl w:val="0"/>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Être force de proposition sur des évolutions des pratiques ou outils existants,</w:t>
      </w:r>
    </w:p>
    <w:p w:rsidR="006E6D7A" w:rsidRDefault="00B16C64" w14:paraId="671576E0" w14:textId="77777777">
      <w:pPr>
        <w:pStyle w:val="Paragraphedeliste"/>
        <w:numPr>
          <w:ilvl w:val="0"/>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Accompagner les équipes dans la mise en </w:t>
      </w:r>
      <w:proofErr w:type="gramStart"/>
      <w:r>
        <w:rPr>
          <w:rFonts w:ascii="Times New Roman" w:hAnsi="Times New Roman" w:cs="Times New Roman"/>
          <w:color w:val="000000"/>
          <w:sz w:val="24"/>
        </w:rPr>
        <w:t>œuvre ,</w:t>
      </w:r>
      <w:proofErr w:type="gramEnd"/>
      <w:r>
        <w:rPr>
          <w:rFonts w:ascii="Times New Roman" w:hAnsi="Times New Roman" w:cs="Times New Roman"/>
          <w:color w:val="000000"/>
          <w:sz w:val="24"/>
        </w:rPr>
        <w:t xml:space="preserve"> l’appropriation et la documentation des solutions.</w:t>
      </w:r>
    </w:p>
    <w:p w:rsidR="006E6D7A" w:rsidRDefault="00B16C64" w14:paraId="671576E1" w14:textId="77777777">
      <w:p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Les interventions pourront couvrir, entre autres, </w:t>
      </w:r>
      <w:proofErr w:type="gramStart"/>
      <w:r>
        <w:rPr>
          <w:rFonts w:ascii="Times New Roman" w:hAnsi="Times New Roman" w:cs="Times New Roman"/>
          <w:color w:val="000000"/>
          <w:sz w:val="24"/>
        </w:rPr>
        <w:t>les  volets</w:t>
      </w:r>
      <w:proofErr w:type="gramEnd"/>
      <w:r>
        <w:rPr>
          <w:rFonts w:ascii="Times New Roman" w:hAnsi="Times New Roman" w:cs="Times New Roman"/>
          <w:color w:val="000000"/>
          <w:sz w:val="24"/>
        </w:rPr>
        <w:t xml:space="preserve"> suivants :</w:t>
      </w:r>
    </w:p>
    <w:p w:rsidR="006E6D7A" w:rsidRDefault="00B16C64" w14:paraId="671576E2" w14:textId="77777777">
      <w:pPr>
        <w:pStyle w:val="Paragraphedeliste"/>
        <w:numPr>
          <w:ilvl w:val="0"/>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Automatisation</w:t>
      </w:r>
      <w:r>
        <w:rPr>
          <w:rFonts w:ascii="Times New Roman" w:hAnsi="Times New Roman" w:cs="Times New Roman"/>
          <w:color w:val="000000"/>
          <w:sz w:val="24"/>
        </w:rPr>
        <w:t xml:space="preserve"> : </w:t>
      </w:r>
    </w:p>
    <w:p w:rsidR="006E6D7A" w:rsidRDefault="00B16C64" w14:paraId="671576E3"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Identifier les tâches répétitives et les processus pouvant être automatisés.</w:t>
      </w:r>
    </w:p>
    <w:p w:rsidR="006E6D7A" w:rsidRDefault="00B16C64" w14:paraId="671576E4"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Concevoir des scripts, workflows et des </w:t>
      </w:r>
      <w:proofErr w:type="spellStart"/>
      <w:r>
        <w:rPr>
          <w:rFonts w:ascii="Times New Roman" w:hAnsi="Times New Roman" w:cs="Times New Roman"/>
          <w:color w:val="000000"/>
          <w:sz w:val="24"/>
        </w:rPr>
        <w:t>playbooks</w:t>
      </w:r>
      <w:proofErr w:type="spellEnd"/>
      <w:r>
        <w:rPr>
          <w:rFonts w:ascii="Times New Roman" w:hAnsi="Times New Roman" w:cs="Times New Roman"/>
          <w:color w:val="000000"/>
          <w:sz w:val="24"/>
        </w:rPr>
        <w:t xml:space="preserve"> d'automatisation</w:t>
      </w:r>
    </w:p>
    <w:p w:rsidR="006E6D7A" w:rsidRDefault="00B16C64" w14:paraId="671576E5"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Mettre en œuvre ou adapter les outils </w:t>
      </w:r>
    </w:p>
    <w:p w:rsidR="006E6D7A" w:rsidRDefault="00B16C64" w14:paraId="671576E6"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Assurer la maintenance et l'amélioration continue des solutions automatisées</w:t>
      </w:r>
    </w:p>
    <w:p w:rsidR="006E6D7A" w:rsidRDefault="00B16C64" w14:paraId="671576E7" w14:textId="77777777">
      <w:pPr>
        <w:pStyle w:val="Paragraphedeliste"/>
        <w:numPr>
          <w:ilvl w:val="0"/>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 xml:space="preserve">Intégration et Déploiement </w:t>
      </w:r>
    </w:p>
    <w:p w:rsidR="006E6D7A" w:rsidRDefault="00B16C64" w14:paraId="671576E8"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Automatiser/fiabiliser les déploiements techniques</w:t>
      </w:r>
    </w:p>
    <w:p w:rsidR="006E6D7A" w:rsidRDefault="00B16C64" w14:paraId="671576E9"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Automatiser les mises à jour des versions OS, middlewares, configurations systèmes sur les environnements de </w:t>
      </w:r>
      <w:proofErr w:type="spellStart"/>
      <w:r>
        <w:rPr>
          <w:rFonts w:ascii="Times New Roman" w:hAnsi="Times New Roman" w:cs="Times New Roman"/>
          <w:color w:val="000000"/>
          <w:sz w:val="24"/>
        </w:rPr>
        <w:t>pre</w:t>
      </w:r>
      <w:proofErr w:type="spellEnd"/>
      <w:r>
        <w:rPr>
          <w:rFonts w:ascii="Times New Roman" w:hAnsi="Times New Roman" w:cs="Times New Roman"/>
          <w:color w:val="000000"/>
          <w:sz w:val="24"/>
        </w:rPr>
        <w:t>-production et de production</w:t>
      </w:r>
    </w:p>
    <w:p w:rsidR="006E6D7A" w:rsidRDefault="00B16C64" w14:paraId="671576EA" w14:textId="77777777">
      <w:pPr>
        <w:pStyle w:val="Paragraphedeliste"/>
        <w:numPr>
          <w:ilvl w:val="1"/>
          <w:numId w:val="211"/>
        </w:numPr>
        <w:pBdr>
          <w:top w:val="none" w:color="000000" w:sz="4" w:space="0"/>
          <w:left w:val="none" w:color="000000" w:sz="4" w:space="0"/>
          <w:bottom w:val="none" w:color="000000" w:sz="4" w:space="0"/>
          <w:right w:val="none" w:color="000000" w:sz="4" w:space="0"/>
        </w:pBdr>
        <w:rPr>
          <w:rFonts w:ascii="Times New Roman" w:hAnsi="Times New Roman" w:cs="Times New Roman"/>
          <w:color w:val="000000"/>
          <w:sz w:val="24"/>
          <w:szCs w:val="24"/>
        </w:rPr>
      </w:pPr>
      <w:r>
        <w:rPr>
          <w:rFonts w:ascii="Times New Roman" w:hAnsi="Times New Roman" w:cs="Times New Roman"/>
          <w:color w:val="000000"/>
          <w:sz w:val="24"/>
        </w:rPr>
        <w:t xml:space="preserve">Gérer les dépendances techniques entre les différents environnements </w:t>
      </w:r>
    </w:p>
    <w:p w:rsidR="006E6D7A" w:rsidRDefault="00B16C64" w14:paraId="671576EB"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Assurer la surveillance et le suivi des pipelines pour détecter et résoudre rapidement les problèmes.</w:t>
      </w:r>
    </w:p>
    <w:p w:rsidR="006E6D7A" w:rsidRDefault="00B16C64" w14:paraId="671576EC"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Assurer l'intégration fluide des différentes composantes du système.</w:t>
      </w:r>
    </w:p>
    <w:p w:rsidR="006E6D7A" w:rsidRDefault="00B16C64" w14:paraId="671576ED"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Mettre en place des stratégies d'intégration pour garantir la cohérence et la compatibilité des différentes parties du système.</w:t>
      </w:r>
    </w:p>
    <w:p w:rsidR="006E6D7A" w:rsidRDefault="006E6D7A" w14:paraId="671576EE" w14:textId="77777777">
      <w:pPr>
        <w:pBdr>
          <w:top w:val="none" w:color="000000" w:sz="4" w:space="0"/>
          <w:left w:val="none" w:color="000000" w:sz="4" w:space="0"/>
          <w:bottom w:val="none" w:color="000000" w:sz="4" w:space="0"/>
          <w:right w:val="none" w:color="000000" w:sz="4" w:space="0"/>
        </w:pBdr>
        <w:ind w:left="709"/>
      </w:pPr>
    </w:p>
    <w:p w:rsidR="006E6D7A" w:rsidRDefault="00B16C64" w14:paraId="671576EF" w14:textId="77777777">
      <w:pPr>
        <w:pStyle w:val="Paragraphedeliste"/>
        <w:numPr>
          <w:ilvl w:val="0"/>
          <w:numId w:val="211"/>
        </w:numPr>
        <w:pBdr>
          <w:top w:val="none" w:color="000000" w:sz="4" w:space="0"/>
          <w:left w:val="none" w:color="000000" w:sz="4" w:space="0"/>
          <w:bottom w:val="none" w:color="000000" w:sz="4" w:space="0"/>
          <w:right w:val="none" w:color="000000" w:sz="4" w:space="0"/>
        </w:pBdr>
        <w:rPr>
          <w:b/>
          <w:bCs/>
        </w:rPr>
      </w:pPr>
      <w:r>
        <w:rPr>
          <w:rFonts w:ascii="Times New Roman" w:hAnsi="Times New Roman" w:cs="Times New Roman"/>
          <w:b/>
          <w:bCs/>
          <w:sz w:val="24"/>
        </w:rPr>
        <w:t>Supervision et observabilité</w:t>
      </w:r>
    </w:p>
    <w:p w:rsidR="006E6D7A" w:rsidRDefault="00B16C64" w14:paraId="671576F0"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Configurer ou ajouter les sondes, les alertes, les métriques et tableaux de bord</w:t>
      </w:r>
    </w:p>
    <w:p w:rsidR="006E6D7A" w:rsidRDefault="00B16C64" w14:paraId="671576F1"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Définir les différents seuils et manager les alertes</w:t>
      </w:r>
    </w:p>
    <w:p w:rsidR="006E6D7A" w:rsidRDefault="00B16C64" w14:paraId="671576F2"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Automatiser la collecte d’indicateurs d’observabilité et le </w:t>
      </w:r>
      <w:proofErr w:type="spellStart"/>
      <w:r>
        <w:rPr>
          <w:rFonts w:ascii="Times New Roman" w:hAnsi="Times New Roman" w:cs="Times New Roman"/>
          <w:color w:val="000000"/>
          <w:sz w:val="24"/>
        </w:rPr>
        <w:t>reporting</w:t>
      </w:r>
      <w:proofErr w:type="spellEnd"/>
      <w:r>
        <w:rPr>
          <w:rFonts w:ascii="Times New Roman" w:hAnsi="Times New Roman" w:cs="Times New Roman"/>
          <w:color w:val="000000"/>
          <w:sz w:val="24"/>
        </w:rPr>
        <w:t xml:space="preserve"> de ces collectes</w:t>
      </w:r>
    </w:p>
    <w:p w:rsidR="006E6D7A" w:rsidRDefault="006E6D7A" w14:paraId="671576F3" w14:textId="77777777">
      <w:pPr>
        <w:pStyle w:val="Paragraphedeliste"/>
        <w:numPr>
          <w:ilvl w:val="1"/>
          <w:numId w:val="211"/>
        </w:numPr>
        <w:pBdr>
          <w:top w:val="none" w:color="000000" w:sz="4" w:space="0"/>
          <w:left w:val="none" w:color="000000" w:sz="4" w:space="0"/>
          <w:bottom w:val="none" w:color="000000" w:sz="4" w:space="0"/>
          <w:right w:val="none" w:color="000000" w:sz="4" w:space="0"/>
        </w:pBdr>
      </w:pPr>
    </w:p>
    <w:p w:rsidR="006E6D7A" w:rsidRDefault="00B16C64" w14:paraId="671576F4" w14:textId="77777777">
      <w:pPr>
        <w:pStyle w:val="Paragraphedeliste"/>
        <w:numPr>
          <w:ilvl w:val="0"/>
          <w:numId w:val="211"/>
        </w:numPr>
        <w:pBdr>
          <w:top w:val="none" w:color="000000" w:sz="4" w:space="0"/>
          <w:left w:val="none" w:color="000000" w:sz="4" w:space="0"/>
          <w:bottom w:val="none" w:color="000000" w:sz="4" w:space="0"/>
          <w:right w:val="none" w:color="000000" w:sz="4" w:space="0"/>
        </w:pBdr>
        <w:rPr>
          <w:b/>
          <w:bCs/>
        </w:rPr>
      </w:pPr>
      <w:r>
        <w:rPr>
          <w:rFonts w:ascii="Times New Roman" w:hAnsi="Times New Roman" w:cs="Times New Roman"/>
          <w:b/>
          <w:color w:val="000000"/>
          <w:sz w:val="24"/>
        </w:rPr>
        <w:t>Tests</w:t>
      </w:r>
      <w:r>
        <w:rPr>
          <w:rFonts w:ascii="Times New Roman" w:hAnsi="Times New Roman" w:cs="Times New Roman"/>
          <w:color w:val="000000"/>
          <w:sz w:val="24"/>
        </w:rPr>
        <w:t xml:space="preserve"> </w:t>
      </w:r>
      <w:r>
        <w:rPr>
          <w:rFonts w:ascii="Times New Roman" w:hAnsi="Times New Roman" w:cs="Times New Roman"/>
          <w:b/>
          <w:bCs/>
          <w:color w:val="000000"/>
          <w:sz w:val="24"/>
        </w:rPr>
        <w:t xml:space="preserve">d’exploitabilité et de continuité de </w:t>
      </w:r>
      <w:proofErr w:type="gramStart"/>
      <w:r>
        <w:rPr>
          <w:rFonts w:ascii="Times New Roman" w:hAnsi="Times New Roman" w:cs="Times New Roman"/>
          <w:b/>
          <w:bCs/>
          <w:color w:val="000000"/>
          <w:sz w:val="24"/>
        </w:rPr>
        <w:t>service:</w:t>
      </w:r>
      <w:proofErr w:type="gramEnd"/>
      <w:r>
        <w:rPr>
          <w:rFonts w:ascii="Times New Roman" w:hAnsi="Times New Roman" w:cs="Times New Roman"/>
          <w:b/>
          <w:bCs/>
          <w:color w:val="000000"/>
          <w:sz w:val="24"/>
        </w:rPr>
        <w:t xml:space="preserve"> </w:t>
      </w:r>
    </w:p>
    <w:p w:rsidR="006E6D7A" w:rsidRDefault="00B16C64" w14:paraId="671576F5"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t>Mettre en place des tests automatisés d ‘exploitabilité (démarrage, logs, flux, sauvegardes ...)</w:t>
      </w:r>
    </w:p>
    <w:p w:rsidR="006E6D7A" w:rsidRDefault="00B16C64" w14:paraId="671576F6"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t>Définir des scénarios de validation post-installation</w:t>
      </w:r>
    </w:p>
    <w:p w:rsidR="006E6D7A" w:rsidRDefault="00B16C64" w14:paraId="671576F7"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t>Intégrer ces tests dans les processus d’automatisation</w:t>
      </w:r>
    </w:p>
    <w:p w:rsidR="006E6D7A" w:rsidRDefault="00B16C64" w14:paraId="671576F8"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t>Participer à la recette et à la validation technique</w:t>
      </w:r>
    </w:p>
    <w:p w:rsidR="006E6D7A" w:rsidRDefault="00B16C64" w14:paraId="671576F9" w14:textId="77777777">
      <w:pPr>
        <w:pStyle w:val="Paragraphedeliste"/>
        <w:numPr>
          <w:ilvl w:val="0"/>
          <w:numId w:val="211"/>
        </w:numPr>
        <w:pBdr>
          <w:top w:val="none" w:color="000000" w:sz="4" w:space="0"/>
          <w:left w:val="none" w:color="000000" w:sz="4" w:space="0"/>
          <w:bottom w:val="none" w:color="000000" w:sz="4" w:space="0"/>
          <w:right w:val="none" w:color="000000" w:sz="4" w:space="0"/>
        </w:pBdr>
        <w:rPr>
          <w:rFonts w:ascii="Times New Roman" w:hAnsi="Times New Roman" w:cs="Times New Roman"/>
          <w:b/>
          <w:bCs/>
          <w:color w:val="000000"/>
          <w:sz w:val="24"/>
          <w:szCs w:val="24"/>
        </w:rPr>
      </w:pPr>
      <w:r>
        <w:rPr>
          <w:rFonts w:ascii="Times New Roman" w:hAnsi="Times New Roman" w:cs="Times New Roman"/>
          <w:b/>
          <w:bCs/>
          <w:color w:val="000000"/>
          <w:sz w:val="24"/>
          <w:szCs w:val="24"/>
        </w:rPr>
        <w:t>Amélioration continue</w:t>
      </w:r>
    </w:p>
    <w:p w:rsidR="006E6D7A" w:rsidRDefault="00B16C64" w14:paraId="671576FA"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t xml:space="preserve">Identifier et mutualiser les scripts, </w:t>
      </w:r>
      <w:proofErr w:type="spellStart"/>
      <w:r>
        <w:t>templates</w:t>
      </w:r>
      <w:proofErr w:type="spellEnd"/>
      <w:r>
        <w:t xml:space="preserve"> ...réutilisables</w:t>
      </w:r>
    </w:p>
    <w:p w:rsidR="006E6D7A" w:rsidRDefault="00B16C64" w14:paraId="671576FB"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t>Harmoniser les pratiques entre les équipes</w:t>
      </w:r>
    </w:p>
    <w:p w:rsidR="006E6D7A" w:rsidRDefault="00B16C64" w14:paraId="671576FC"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t>Proposer des améliorations</w:t>
      </w:r>
    </w:p>
    <w:p w:rsidR="006E6D7A" w:rsidRDefault="00B16C64" w14:paraId="671576FD" w14:textId="77777777">
      <w:pPr>
        <w:pStyle w:val="Paragraphedeliste"/>
        <w:numPr>
          <w:ilvl w:val="1"/>
          <w:numId w:val="211"/>
        </w:numPr>
        <w:pBdr>
          <w:top w:val="none" w:color="000000" w:sz="4" w:space="0"/>
          <w:left w:val="none" w:color="000000" w:sz="4" w:space="0"/>
          <w:bottom w:val="none" w:color="000000" w:sz="4" w:space="0"/>
          <w:right w:val="none" w:color="000000" w:sz="4" w:space="0"/>
        </w:pBdr>
      </w:pPr>
      <w:r>
        <w:t>Rédiger des documents post-mortem sur incidents/opérations</w:t>
      </w:r>
    </w:p>
    <w:p w:rsidR="006E6D7A" w:rsidRDefault="00B16C64" w14:paraId="671576FE" w14:textId="77777777">
      <w:pPr>
        <w:pStyle w:val="Titre3"/>
        <w:numPr>
          <w:ilvl w:val="5"/>
          <w:numId w:val="3"/>
        </w:numPr>
      </w:pPr>
      <w:bookmarkStart w:name="_Toc221095580" w:id="162"/>
      <w:r>
        <w:t>Livrables</w:t>
      </w:r>
      <w:bookmarkEnd w:id="162"/>
    </w:p>
    <w:p w:rsidR="006E6D7A" w:rsidRDefault="00B16C64" w14:paraId="671576FF" w14:textId="77777777">
      <w:r>
        <w:t>Doc expliquant la mise en place voire l’usage des outils (adapter les livrables expertise)</w:t>
      </w:r>
    </w:p>
    <w:tbl>
      <w:tblPr>
        <w:tblW w:w="9634" w:type="dxa"/>
        <w:tblLayout w:type="fixed"/>
        <w:tblCellMar>
          <w:left w:w="70" w:type="dxa"/>
          <w:right w:w="70" w:type="dxa"/>
        </w:tblCellMar>
        <w:tblLook w:val="04A0" w:firstRow="1" w:lastRow="0" w:firstColumn="1" w:lastColumn="0" w:noHBand="0" w:noVBand="1"/>
      </w:tblPr>
      <w:tblGrid>
        <w:gridCol w:w="3559"/>
        <w:gridCol w:w="6075"/>
      </w:tblGrid>
      <w:tr w:rsidR="006E6D7A" w14:paraId="67157702" w14:textId="77777777">
        <w:trPr>
          <w:trHeight w:val="290"/>
          <w:tblHeader/>
        </w:trPr>
        <w:tc>
          <w:tcPr>
            <w:tcW w:w="3559"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700" w14:textId="77777777">
            <w:pPr>
              <w:jc w:val="center"/>
              <w:rPr>
                <w:color w:val="FFFFFF"/>
              </w:rPr>
            </w:pPr>
            <w:r>
              <w:rPr>
                <w:color w:val="FFFFFF"/>
              </w:rPr>
              <w:t>Livrable attendu</w:t>
            </w:r>
          </w:p>
        </w:tc>
        <w:tc>
          <w:tcPr>
            <w:tcW w:w="6074"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701" w14:textId="77777777">
            <w:pPr>
              <w:jc w:val="center"/>
              <w:rPr>
                <w:color w:val="FFFFFF"/>
              </w:rPr>
            </w:pPr>
            <w:r>
              <w:rPr>
                <w:color w:val="FFFFFF"/>
              </w:rPr>
              <w:t>Délai de livraison</w:t>
            </w:r>
          </w:p>
        </w:tc>
      </w:tr>
      <w:tr w:rsidR="006E6D7A" w14:paraId="67157705" w14:textId="77777777">
        <w:trPr>
          <w:trHeight w:val="70"/>
        </w:trPr>
        <w:tc>
          <w:tcPr>
            <w:tcW w:w="3559"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03" w14:textId="77777777">
            <w:pPr>
              <w:rPr>
                <w:color w:val="000000"/>
              </w:rPr>
            </w:pPr>
            <w:r>
              <w:rPr>
                <w:color w:val="000000"/>
              </w:rPr>
              <w:t>Plan d'action d’accompagnement à la démarche d’exploitation</w:t>
            </w:r>
          </w:p>
        </w:tc>
        <w:tc>
          <w:tcPr>
            <w:tcW w:w="6074" w:type="dxa"/>
            <w:vMerge w:val="restart"/>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04" w14:textId="77777777">
            <w:pPr>
              <w:jc w:val="center"/>
              <w:rPr>
                <w:color w:val="000000"/>
              </w:rPr>
            </w:pPr>
            <w:r>
              <w:rPr>
                <w:color w:val="000000"/>
              </w:rPr>
              <w:t>Délai maximal d'exécution de la prestation : 3 mois</w:t>
            </w:r>
          </w:p>
        </w:tc>
      </w:tr>
      <w:tr w:rsidR="006E6D7A" w14:paraId="67157708" w14:textId="77777777">
        <w:trPr>
          <w:trHeight w:val="70"/>
        </w:trPr>
        <w:tc>
          <w:tcPr>
            <w:tcW w:w="3559"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06" w14:textId="77777777">
            <w:pPr>
              <w:rPr>
                <w:color w:val="000000"/>
              </w:rPr>
            </w:pPr>
            <w:r>
              <w:rPr>
                <w:color w:val="000000"/>
              </w:rPr>
              <w:t>Bilan d’accompagnement à la démarche d’exploitation</w:t>
            </w:r>
          </w:p>
        </w:tc>
        <w:tc>
          <w:tcPr>
            <w:tcW w:w="6074"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707" w14:textId="77777777">
            <w:pPr>
              <w:rPr>
                <w:color w:val="000000"/>
              </w:rPr>
            </w:pPr>
          </w:p>
        </w:tc>
      </w:tr>
    </w:tbl>
    <w:p w:rsidR="006E6D7A" w:rsidRDefault="00B16C64" w14:paraId="67157709" w14:textId="77777777">
      <w:pPr>
        <w:pStyle w:val="Titre3"/>
        <w:numPr>
          <w:ilvl w:val="5"/>
          <w:numId w:val="3"/>
        </w:numPr>
      </w:pPr>
      <w:bookmarkStart w:name="_Toc221095581" w:id="163"/>
      <w:r>
        <w:t>Exigences</w:t>
      </w:r>
      <w:bookmarkEnd w:id="163"/>
    </w:p>
    <w:tbl>
      <w:tblPr>
        <w:tblW w:w="9760" w:type="dxa"/>
        <w:tblLayout w:type="fixed"/>
        <w:tblCellMar>
          <w:left w:w="70" w:type="dxa"/>
          <w:right w:w="70" w:type="dxa"/>
        </w:tblCellMar>
        <w:tblLook w:val="04A0" w:firstRow="1" w:lastRow="0" w:firstColumn="1" w:lastColumn="0" w:noHBand="0" w:noVBand="1"/>
      </w:tblPr>
      <w:tblGrid>
        <w:gridCol w:w="1200"/>
        <w:gridCol w:w="8560"/>
      </w:tblGrid>
      <w:tr w:rsidR="006E6D7A" w14:paraId="6715770C" w14:textId="77777777">
        <w:trPr>
          <w:trHeight w:val="20"/>
          <w:tblHeader/>
        </w:trPr>
        <w:tc>
          <w:tcPr>
            <w:tcW w:w="1200" w:type="dxa"/>
            <w:tcBorders>
              <w:top w:val="single" w:color="00A3A6" w:sz="8" w:space="0"/>
              <w:left w:val="single" w:color="00A3A6" w:sz="8" w:space="0"/>
              <w:bottom w:val="single" w:color="00A3A6" w:sz="8" w:space="0"/>
              <w:right w:val="single" w:color="00A3A6" w:sz="8" w:space="0"/>
            </w:tcBorders>
            <w:shd w:val="clear" w:color="000000" w:fill="03A3A6"/>
            <w:vAlign w:val="center"/>
          </w:tcPr>
          <w:p w:rsidR="006E6D7A" w:rsidRDefault="00B16C64" w14:paraId="6715770A" w14:textId="77777777">
            <w:pPr>
              <w:jc w:val="center"/>
              <w:rPr>
                <w:rFonts w:ascii="Calibri" w:hAnsi="Calibri" w:cs="Calibri"/>
                <w:b/>
                <w:bCs/>
                <w:color w:val="FFFFFF"/>
              </w:rPr>
            </w:pPr>
            <w:proofErr w:type="spellStart"/>
            <w:r>
              <w:rPr>
                <w:rFonts w:cs="Calibri"/>
                <w:b/>
                <w:bCs/>
                <w:color w:val="FFFFFF"/>
              </w:rPr>
              <w:t>Ref</w:t>
            </w:r>
            <w:proofErr w:type="spellEnd"/>
            <w:r>
              <w:rPr>
                <w:rFonts w:cs="Calibri"/>
                <w:b/>
                <w:bCs/>
                <w:color w:val="FFFFFF"/>
              </w:rPr>
              <w:t>. Exigence</w:t>
            </w:r>
          </w:p>
        </w:tc>
        <w:tc>
          <w:tcPr>
            <w:tcW w:w="8559" w:type="dxa"/>
            <w:tcBorders>
              <w:top w:val="single" w:color="00A3A6" w:sz="8" w:space="0"/>
              <w:bottom w:val="single" w:color="00A3A6" w:sz="8" w:space="0"/>
              <w:right w:val="single" w:color="00A3A6" w:sz="8" w:space="0"/>
            </w:tcBorders>
            <w:shd w:val="clear" w:color="000000" w:fill="03A3A6"/>
            <w:vAlign w:val="center"/>
          </w:tcPr>
          <w:p w:rsidR="006E6D7A" w:rsidRDefault="00B16C64" w14:paraId="6715770B" w14:textId="77777777">
            <w:pPr>
              <w:jc w:val="center"/>
              <w:rPr>
                <w:rFonts w:ascii="Calibri" w:hAnsi="Calibri" w:cs="Calibri"/>
                <w:b/>
                <w:bCs/>
                <w:color w:val="FFFFFF"/>
              </w:rPr>
            </w:pPr>
            <w:r>
              <w:rPr>
                <w:rFonts w:cs="Calibri"/>
                <w:b/>
                <w:bCs/>
                <w:color w:val="FFFFFF"/>
              </w:rPr>
              <w:t>Exigence</w:t>
            </w:r>
          </w:p>
        </w:tc>
      </w:tr>
      <w:tr w:rsidR="006E6D7A" w14:paraId="6715770F" w14:textId="77777777">
        <w:trPr>
          <w:trHeight w:val="20"/>
        </w:trPr>
        <w:tc>
          <w:tcPr>
            <w:tcW w:w="1200" w:type="dxa"/>
            <w:tcBorders>
              <w:left w:val="single" w:color="00A3A6" w:sz="8" w:space="0"/>
              <w:bottom w:val="single" w:color="00A3A6" w:sz="8" w:space="0"/>
              <w:right w:val="single" w:color="00A3A6" w:sz="8" w:space="0"/>
            </w:tcBorders>
            <w:shd w:val="clear" w:color="FFFFFF" w:fill="FFFFFF"/>
            <w:vAlign w:val="center"/>
          </w:tcPr>
          <w:p w:rsidR="006E6D7A" w:rsidRDefault="00B16C64" w14:paraId="6715770D" w14:textId="77777777">
            <w:pPr>
              <w:rPr>
                <w:rFonts w:ascii="Times New Roman" w:hAnsi="Times New Roman" w:cs="Times New Roman"/>
                <w:color w:val="000000"/>
                <w:sz w:val="20"/>
                <w:szCs w:val="20"/>
              </w:rPr>
            </w:pPr>
            <w:r>
              <w:rPr>
                <w:rFonts w:ascii="Times New Roman" w:hAnsi="Times New Roman" w:cs="Times New Roman"/>
                <w:color w:val="000000"/>
                <w:sz w:val="20"/>
                <w:szCs w:val="20"/>
              </w:rPr>
              <w:t> </w:t>
            </w:r>
            <w:r>
              <w:rPr>
                <w:color w:val="000000"/>
                <w:sz w:val="20"/>
                <w:szCs w:val="20"/>
              </w:rPr>
              <w:t>Ex_DD_06</w:t>
            </w:r>
          </w:p>
        </w:tc>
        <w:tc>
          <w:tcPr>
            <w:tcW w:w="8559" w:type="dxa"/>
            <w:tcBorders>
              <w:bottom w:val="single" w:color="00A3A6" w:sz="8" w:space="0"/>
              <w:right w:val="single" w:color="00A3A6" w:sz="8" w:space="0"/>
            </w:tcBorders>
            <w:shd w:val="clear" w:color="FFFFFF" w:fill="FFFFFF"/>
            <w:vAlign w:val="center"/>
          </w:tcPr>
          <w:p w:rsidR="006E6D7A" w:rsidRDefault="00B16C64" w14:paraId="6715770E" w14:textId="77777777">
            <w:pPr>
              <w:rPr>
                <w:rFonts w:ascii="Calibri" w:hAnsi="Calibri" w:cs="Calibri"/>
                <w:color w:val="000000"/>
              </w:rPr>
            </w:pPr>
            <w:r>
              <w:rPr>
                <w:rFonts w:cs="Calibri"/>
                <w:color w:val="000000"/>
              </w:rPr>
              <w:t xml:space="preserve">La prestation implique pour le titulaire de disposer de profils maîtrisant tous les outils </w:t>
            </w:r>
            <w:r>
              <w:rPr>
                <w:color w:val="000000"/>
              </w:rPr>
              <w:t>d’exploitation</w:t>
            </w:r>
            <w:r>
              <w:rPr>
                <w:rFonts w:cs="Calibri"/>
                <w:color w:val="000000"/>
              </w:rPr>
              <w:t xml:space="preserve"> dans le contexte INRAE.</w:t>
            </w:r>
          </w:p>
        </w:tc>
      </w:tr>
      <w:tr w:rsidR="006E6D7A" w14:paraId="67157712" w14:textId="77777777">
        <w:trPr>
          <w:trHeight w:val="20"/>
        </w:trPr>
        <w:tc>
          <w:tcPr>
            <w:tcW w:w="1200" w:type="dxa"/>
            <w:tcBorders>
              <w:left w:val="single" w:color="00A3A6" w:sz="8" w:space="0"/>
              <w:bottom w:val="single" w:color="00A3A6" w:sz="8" w:space="0"/>
              <w:right w:val="single" w:color="00A3A6" w:sz="8" w:space="0"/>
            </w:tcBorders>
            <w:shd w:val="clear" w:color="FFFFFF" w:fill="FFFFFF"/>
            <w:vAlign w:val="center"/>
          </w:tcPr>
          <w:p w:rsidR="006E6D7A" w:rsidRDefault="00B16C64" w14:paraId="67157710" w14:textId="77777777">
            <w:pPr>
              <w:rPr>
                <w:rFonts w:ascii="Times New Roman" w:hAnsi="Times New Roman" w:cs="Times New Roman"/>
                <w:color w:val="000000"/>
                <w:sz w:val="20"/>
                <w:szCs w:val="20"/>
              </w:rPr>
            </w:pPr>
            <w:r>
              <w:rPr>
                <w:rFonts w:ascii="Times New Roman" w:hAnsi="Times New Roman" w:cs="Times New Roman"/>
                <w:color w:val="000000"/>
                <w:sz w:val="20"/>
                <w:szCs w:val="20"/>
              </w:rPr>
              <w:t> </w:t>
            </w:r>
            <w:r>
              <w:rPr>
                <w:color w:val="000000"/>
                <w:sz w:val="20"/>
                <w:szCs w:val="20"/>
              </w:rPr>
              <w:t>Ex_DD_07</w:t>
            </w:r>
          </w:p>
        </w:tc>
        <w:tc>
          <w:tcPr>
            <w:tcW w:w="8559" w:type="dxa"/>
            <w:tcBorders>
              <w:bottom w:val="single" w:color="00A3A6" w:sz="8" w:space="0"/>
              <w:right w:val="single" w:color="00A3A6" w:sz="8" w:space="0"/>
            </w:tcBorders>
            <w:shd w:val="clear" w:color="FFFFFF" w:fill="FFFFFF"/>
            <w:vAlign w:val="center"/>
          </w:tcPr>
          <w:p w:rsidR="006E6D7A" w:rsidRDefault="00B16C64" w14:paraId="67157711" w14:textId="77777777">
            <w:pPr>
              <w:rPr>
                <w:rFonts w:ascii="Calibri" w:hAnsi="Calibri" w:cs="Calibri"/>
                <w:color w:val="000000"/>
              </w:rPr>
            </w:pPr>
            <w:r>
              <w:rPr>
                <w:rFonts w:cs="Calibri"/>
                <w:color w:val="000000"/>
              </w:rPr>
              <w:t>La prestation implique pour le titulaire de disposer de profils ayant la capacité d’acculturer à la démarche d’</w:t>
            </w:r>
            <w:r>
              <w:rPr>
                <w:color w:val="000000"/>
              </w:rPr>
              <w:t>exploitation</w:t>
            </w:r>
            <w:r>
              <w:rPr>
                <w:rFonts w:cs="Calibri"/>
                <w:color w:val="000000"/>
              </w:rPr>
              <w:t>.</w:t>
            </w:r>
          </w:p>
        </w:tc>
      </w:tr>
    </w:tbl>
    <w:p w:rsidR="006E6D7A" w:rsidRDefault="006E6D7A" w14:paraId="67157713" w14:textId="77777777">
      <w:pPr>
        <w:pBdr>
          <w:top w:val="none" w:color="000000" w:sz="4" w:space="0"/>
          <w:left w:val="none" w:color="000000" w:sz="4" w:space="0"/>
          <w:bottom w:val="none" w:color="000000" w:sz="4" w:space="0"/>
          <w:right w:val="none" w:color="000000" w:sz="4" w:space="0"/>
        </w:pBdr>
      </w:pPr>
    </w:p>
    <w:p w:rsidR="006E6D7A" w:rsidRDefault="00B16C64" w14:paraId="67157714" w14:textId="77777777">
      <w:pPr>
        <w:pStyle w:val="Titre3"/>
        <w:numPr>
          <w:ilvl w:val="4"/>
          <w:numId w:val="3"/>
        </w:numPr>
        <w:tabs>
          <w:tab w:val="clear" w:pos="1134"/>
        </w:tabs>
      </w:pPr>
      <w:bookmarkStart w:name="_Toc221095582" w:id="164"/>
      <w:r>
        <w:lastRenderedPageBreak/>
        <w:t>EXPERTISE (EXPLOITATION APPLICATIVE, TECHNIQUE ET TROUBLESHOOTING)</w:t>
      </w:r>
      <w:bookmarkEnd w:id="164"/>
      <w:r>
        <w:t xml:space="preserve"> </w:t>
      </w:r>
    </w:p>
    <w:p w:rsidR="006E6D7A" w:rsidRDefault="00B16C64" w14:paraId="67157715" w14:textId="77777777">
      <w:pPr>
        <w:pStyle w:val="Titre3"/>
        <w:numPr>
          <w:ilvl w:val="5"/>
          <w:numId w:val="3"/>
        </w:numPr>
      </w:pPr>
      <w:bookmarkStart w:name="_Toc221095583" w:id="165"/>
      <w:r>
        <w:t>Objectifs et contexte de la prestation</w:t>
      </w:r>
      <w:bookmarkEnd w:id="165"/>
      <w:r>
        <w:t xml:space="preserve"> </w:t>
      </w:r>
    </w:p>
    <w:p w:rsidR="006E6D7A" w:rsidRDefault="00B16C64" w14:paraId="67157716" w14:textId="77777777">
      <w:p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Cette prestation vise à fournir une expertise dans les domaines de l’exploitation applicative, des plateformes techniques et du support. Elle vise également à renforcer la fiabilité et la continuité de service et à apporter le diagnostic adéquat. Son but est aussi d’optimiser les performances, la supervision et l’exploitation tout en accompagnant les équipes sur les sujets complexes. </w:t>
      </w:r>
    </w:p>
    <w:p w:rsidR="006E6D7A" w:rsidRDefault="00B16C64" w14:paraId="67157717" w14:textId="77777777">
      <w:pPr>
        <w:pStyle w:val="Titre3"/>
        <w:numPr>
          <w:ilvl w:val="5"/>
          <w:numId w:val="3"/>
        </w:numPr>
      </w:pPr>
      <w:bookmarkStart w:name="_Toc221095584" w:id="166"/>
      <w:r>
        <w:t>Descriptif de la prestation</w:t>
      </w:r>
      <w:bookmarkEnd w:id="166"/>
      <w:r>
        <w:t xml:space="preserve"> </w:t>
      </w:r>
    </w:p>
    <w:p w:rsidR="006E6D7A" w:rsidRDefault="00B16C64" w14:paraId="67157718" w14:textId="77777777">
      <w:p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Le titulaire doit fournir une expertise dans les domaines suivants : </w:t>
      </w:r>
    </w:p>
    <w:p w:rsidR="006E6D7A" w:rsidRDefault="00B16C64" w14:paraId="67157719" w14:textId="77777777">
      <w:pPr>
        <w:pStyle w:val="Paragraphedeliste"/>
        <w:numPr>
          <w:ilvl w:val="0"/>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b/>
          <w:bCs/>
          <w:color w:val="000000"/>
          <w:sz w:val="24"/>
        </w:rPr>
        <w:t xml:space="preserve">Expertise technique / </w:t>
      </w:r>
      <w:proofErr w:type="gramStart"/>
      <w:r>
        <w:rPr>
          <w:rFonts w:ascii="Times New Roman" w:hAnsi="Times New Roman" w:cs="Times New Roman"/>
          <w:b/>
          <w:bCs/>
          <w:color w:val="000000"/>
          <w:sz w:val="24"/>
        </w:rPr>
        <w:t>troubleshooting:</w:t>
      </w:r>
      <w:proofErr w:type="gramEnd"/>
      <w:r>
        <w:rPr>
          <w:rFonts w:ascii="Times New Roman" w:hAnsi="Times New Roman" w:cs="Times New Roman"/>
          <w:b/>
          <w:bCs/>
          <w:color w:val="000000"/>
          <w:sz w:val="24"/>
        </w:rPr>
        <w:t xml:space="preserve"> </w:t>
      </w:r>
    </w:p>
    <w:p w:rsidR="006E6D7A" w:rsidRDefault="00B16C64" w14:paraId="6715771A"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Diagnostiquer les incidents</w:t>
      </w:r>
    </w:p>
    <w:p w:rsidR="006E6D7A" w:rsidRDefault="00B16C64" w14:paraId="6715771B"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Analyser les logs, les comportements anormaux, les flux ...</w:t>
      </w:r>
    </w:p>
    <w:p w:rsidR="006E6D7A" w:rsidRDefault="00B16C64" w14:paraId="6715771C"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Identifier les causes possibles</w:t>
      </w:r>
    </w:p>
    <w:p w:rsidR="006E6D7A" w:rsidRDefault="00B16C64" w14:paraId="6715771D"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Proposer les solutions de correction ou de contournement</w:t>
      </w:r>
    </w:p>
    <w:p w:rsidR="006E6D7A" w:rsidRDefault="00B16C64" w14:paraId="6715771E"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Assurer un support N2/N3 sur les plateformes de </w:t>
      </w:r>
      <w:proofErr w:type="spellStart"/>
      <w:r>
        <w:rPr>
          <w:rFonts w:ascii="Times New Roman" w:hAnsi="Times New Roman" w:cs="Times New Roman"/>
          <w:color w:val="000000"/>
          <w:sz w:val="24"/>
        </w:rPr>
        <w:t>pre</w:t>
      </w:r>
      <w:proofErr w:type="spellEnd"/>
      <w:r>
        <w:rPr>
          <w:rFonts w:ascii="Times New Roman" w:hAnsi="Times New Roman" w:cs="Times New Roman"/>
          <w:color w:val="000000"/>
          <w:sz w:val="24"/>
        </w:rPr>
        <w:t>-production et de production</w:t>
      </w:r>
    </w:p>
    <w:p w:rsidR="006E6D7A" w:rsidRDefault="00B16C64" w14:paraId="6715771F" w14:textId="77777777">
      <w:pPr>
        <w:pStyle w:val="Paragraphedeliste"/>
        <w:numPr>
          <w:ilvl w:val="0"/>
          <w:numId w:val="212"/>
        </w:numPr>
        <w:pBdr>
          <w:top w:val="none" w:color="000000" w:sz="4" w:space="0"/>
          <w:left w:val="none" w:color="000000" w:sz="4" w:space="0"/>
          <w:bottom w:val="none" w:color="000000" w:sz="4" w:space="0"/>
          <w:right w:val="none" w:color="000000" w:sz="4" w:space="0"/>
        </w:pBdr>
        <w:rPr>
          <w:b/>
          <w:bCs/>
        </w:rPr>
      </w:pPr>
      <w:r>
        <w:rPr>
          <w:rFonts w:ascii="Times New Roman" w:hAnsi="Times New Roman" w:cs="Times New Roman"/>
          <w:b/>
          <w:bCs/>
          <w:color w:val="000000"/>
          <w:sz w:val="24"/>
        </w:rPr>
        <w:t>Expertise d’exploitation :</w:t>
      </w:r>
    </w:p>
    <w:p w:rsidR="006E6D7A" w:rsidRDefault="00B16C64" w14:paraId="67157720"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Établir des recommandations d’optimisation</w:t>
      </w:r>
    </w:p>
    <w:p w:rsidR="006E6D7A" w:rsidRDefault="00B16C64" w14:paraId="67157721"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Contribuer à la diffusion des bonnes pratiques d’exploitation</w:t>
      </w:r>
    </w:p>
    <w:p w:rsidR="006E6D7A" w:rsidRDefault="00B16C64" w14:paraId="67157722"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Surveiller les plateformes et composants</w:t>
      </w:r>
    </w:p>
    <w:p w:rsidR="006E6D7A" w:rsidRDefault="00B16C64" w14:paraId="67157723"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Optimiser les processus d’exploitation (scripts, </w:t>
      </w:r>
      <w:proofErr w:type="spellStart"/>
      <w:r>
        <w:rPr>
          <w:rFonts w:ascii="Times New Roman" w:hAnsi="Times New Roman" w:cs="Times New Roman"/>
          <w:color w:val="000000"/>
          <w:sz w:val="24"/>
        </w:rPr>
        <w:t>playbooks</w:t>
      </w:r>
      <w:proofErr w:type="spellEnd"/>
      <w:r>
        <w:rPr>
          <w:rFonts w:ascii="Times New Roman" w:hAnsi="Times New Roman" w:cs="Times New Roman"/>
          <w:color w:val="000000"/>
          <w:sz w:val="24"/>
        </w:rPr>
        <w:t>, taches planifiées</w:t>
      </w:r>
      <w:proofErr w:type="gramStart"/>
      <w:r>
        <w:rPr>
          <w:rFonts w:ascii="Times New Roman" w:hAnsi="Times New Roman" w:cs="Times New Roman"/>
          <w:color w:val="000000"/>
          <w:sz w:val="24"/>
        </w:rPr>
        <w:t xml:space="preserve"> ..</w:t>
      </w:r>
      <w:proofErr w:type="gramEnd"/>
      <w:r>
        <w:rPr>
          <w:rFonts w:ascii="Times New Roman" w:hAnsi="Times New Roman" w:cs="Times New Roman"/>
          <w:color w:val="000000"/>
          <w:sz w:val="24"/>
        </w:rPr>
        <w:t>)</w:t>
      </w:r>
    </w:p>
    <w:p w:rsidR="006E6D7A" w:rsidRDefault="00B16C64" w14:paraId="67157724"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Automatiser les taches récurrentes</w:t>
      </w:r>
    </w:p>
    <w:p w:rsidR="006E6D7A" w:rsidRDefault="00B16C64" w14:paraId="67157725" w14:textId="77777777">
      <w:pPr>
        <w:pStyle w:val="Paragraphedeliste"/>
        <w:numPr>
          <w:ilvl w:val="1"/>
          <w:numId w:val="212"/>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Installer et améliorer les outils de monitoring, de logs, de supervision, de gestion des alertes</w:t>
      </w:r>
    </w:p>
    <w:p w:rsidR="006E6D7A" w:rsidRDefault="006E6D7A" w14:paraId="67157726" w14:textId="77777777">
      <w:pPr>
        <w:pStyle w:val="Paragraphedeliste"/>
        <w:numPr>
          <w:ilvl w:val="0"/>
          <w:numId w:val="212"/>
        </w:numPr>
        <w:pBdr>
          <w:top w:val="none" w:color="000000" w:sz="4" w:space="0"/>
          <w:left w:val="none" w:color="000000" w:sz="4" w:space="0"/>
          <w:bottom w:val="none" w:color="000000" w:sz="4" w:space="0"/>
          <w:right w:val="none" w:color="000000" w:sz="4" w:space="0"/>
        </w:pBdr>
      </w:pPr>
    </w:p>
    <w:p w:rsidR="006E6D7A" w:rsidRDefault="00B16C64" w14:paraId="67157727" w14:textId="77777777">
      <w:pPr>
        <w:pStyle w:val="Titre3"/>
        <w:numPr>
          <w:ilvl w:val="5"/>
          <w:numId w:val="3"/>
        </w:numPr>
      </w:pPr>
      <w:bookmarkStart w:name="_Toc221095585" w:id="167"/>
      <w:r>
        <w:t>Livrables de la prestation</w:t>
      </w:r>
      <w:bookmarkEnd w:id="167"/>
      <w:r>
        <w:t xml:space="preserve"> </w:t>
      </w:r>
    </w:p>
    <w:p w:rsidR="006E6D7A" w:rsidRDefault="00B16C64" w14:paraId="67157728" w14:textId="77777777">
      <w:pPr>
        <w:pStyle w:val="Paragraphedeliste"/>
        <w:numPr>
          <w:ilvl w:val="0"/>
          <w:numId w:val="213"/>
        </w:numPr>
        <w:pBdr>
          <w:top w:val="none" w:color="000000" w:sz="4" w:space="0"/>
          <w:left w:val="none" w:color="000000" w:sz="4" w:space="0"/>
          <w:bottom w:val="none" w:color="000000" w:sz="4" w:space="0"/>
          <w:right w:val="none" w:color="000000" w:sz="4" w:space="0"/>
        </w:pBdr>
      </w:pPr>
      <w:r>
        <w:rPr>
          <w:rFonts w:ascii="Times New Roman" w:hAnsi="Times New Roman" w:cs="Times New Roman"/>
          <w:b/>
          <w:color w:val="000000"/>
          <w:sz w:val="24"/>
        </w:rPr>
        <w:t>Rapports d'expertise</w:t>
      </w:r>
      <w:r>
        <w:rPr>
          <w:rFonts w:ascii="Times New Roman" w:hAnsi="Times New Roman" w:cs="Times New Roman"/>
          <w:color w:val="000000"/>
          <w:sz w:val="24"/>
        </w:rPr>
        <w:t xml:space="preserve"> : </w:t>
      </w:r>
    </w:p>
    <w:p w:rsidR="006E6D7A" w:rsidRDefault="00B16C64" w14:paraId="67157729"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t xml:space="preserve">Diagnostics détaillés (incidents, </w:t>
      </w:r>
      <w:proofErr w:type="gramStart"/>
      <w:r>
        <w:t>performance,...</w:t>
      </w:r>
      <w:proofErr w:type="gramEnd"/>
      <w:r>
        <w:t>)</w:t>
      </w:r>
    </w:p>
    <w:p w:rsidR="006E6D7A" w:rsidRDefault="00B16C64" w14:paraId="6715772A"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t>Compte rendu de troubleshooting (causes, correctifs ...)</w:t>
      </w:r>
    </w:p>
    <w:p w:rsidR="006E6D7A" w:rsidRDefault="00B16C64" w14:paraId="6715772B"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t>Analyse des vulnérabilités</w:t>
      </w:r>
    </w:p>
    <w:p w:rsidR="006E6D7A" w:rsidRDefault="00B16C64" w14:paraId="6715772C"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Documentation des analyses et recommandations, incluant les résultats des analyses, les recommandations et les justifications.</w:t>
      </w:r>
    </w:p>
    <w:p w:rsidR="006E6D7A" w:rsidRDefault="00B16C64" w14:paraId="6715772D" w14:textId="77777777">
      <w:pPr>
        <w:pStyle w:val="Paragraphedeliste"/>
        <w:numPr>
          <w:ilvl w:val="0"/>
          <w:numId w:val="213"/>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Rapports de suivi et de surveillance des recommandations, incluant les actions mises en œuvre et les résultats </w:t>
      </w:r>
      <w:proofErr w:type="spellStart"/>
      <w:proofErr w:type="gramStart"/>
      <w:r>
        <w:rPr>
          <w:rFonts w:ascii="Times New Roman" w:hAnsi="Times New Roman" w:cs="Times New Roman"/>
          <w:color w:val="000000"/>
          <w:sz w:val="24"/>
        </w:rPr>
        <w:t>obtenus.</w:t>
      </w:r>
      <w:r>
        <w:rPr>
          <w:rFonts w:ascii="Times New Roman" w:hAnsi="Times New Roman" w:cs="Times New Roman"/>
          <w:b/>
          <w:color w:val="000000"/>
          <w:sz w:val="24"/>
        </w:rPr>
        <w:t>Recommandations</w:t>
      </w:r>
      <w:proofErr w:type="spellEnd"/>
      <w:proofErr w:type="gramEnd"/>
      <w:r>
        <w:rPr>
          <w:rFonts w:ascii="Times New Roman" w:hAnsi="Times New Roman" w:cs="Times New Roman"/>
          <w:color w:val="000000"/>
          <w:sz w:val="24"/>
        </w:rPr>
        <w:t xml:space="preserve"> : </w:t>
      </w:r>
    </w:p>
    <w:p w:rsidR="006E6D7A" w:rsidRDefault="00B16C64" w14:paraId="6715772E"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Suggestions pour l'amélioration des produits et des processus, incluant les actions à mettre en œuvre, les priorités et les délais.</w:t>
      </w:r>
    </w:p>
    <w:p w:rsidR="006E6D7A" w:rsidRDefault="00B16C64" w14:paraId="6715772F"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rPr>
          <w:rFonts w:ascii="Times New Roman" w:hAnsi="Times New Roman" w:cs="Times New Roman"/>
          <w:color w:val="000000"/>
          <w:sz w:val="24"/>
        </w:rPr>
        <w:t xml:space="preserve"> Rapports d'analyse des risques et des opportunités associés aux recommandations.</w:t>
      </w:r>
    </w:p>
    <w:p w:rsidR="006E6D7A" w:rsidRDefault="00B16C64" w14:paraId="67157730"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t>Préconisations techniques</w:t>
      </w:r>
    </w:p>
    <w:p w:rsidR="006E6D7A" w:rsidRDefault="00B16C64" w14:paraId="67157731"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t>Actions à mettre en place en priorité</w:t>
      </w:r>
    </w:p>
    <w:p w:rsidR="006E6D7A" w:rsidRDefault="00B16C64" w14:paraId="67157732" w14:textId="77777777">
      <w:pPr>
        <w:pStyle w:val="Paragraphedeliste"/>
        <w:numPr>
          <w:ilvl w:val="0"/>
          <w:numId w:val="213"/>
        </w:numPr>
        <w:pBdr>
          <w:top w:val="none" w:color="000000" w:sz="4" w:space="0"/>
          <w:left w:val="none" w:color="000000" w:sz="4" w:space="0"/>
          <w:bottom w:val="none" w:color="000000" w:sz="4" w:space="0"/>
          <w:right w:val="none" w:color="000000" w:sz="4" w:space="0"/>
        </w:pBdr>
        <w:rPr>
          <w:b/>
          <w:bCs/>
        </w:rPr>
      </w:pPr>
      <w:r>
        <w:rPr>
          <w:b/>
          <w:bCs/>
        </w:rPr>
        <w:t>Documents d’exploitation</w:t>
      </w:r>
    </w:p>
    <w:p w:rsidR="006E6D7A" w:rsidRDefault="00B16C64" w14:paraId="67157733"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lastRenderedPageBreak/>
        <w:t>Procédures d’exploitation à jour</w:t>
      </w:r>
    </w:p>
    <w:p w:rsidR="006E6D7A" w:rsidRDefault="00B16C64" w14:paraId="67157734"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t>Documentation sur l’architecture physique, les flux</w:t>
      </w:r>
    </w:p>
    <w:p w:rsidR="006E6D7A" w:rsidRDefault="00B16C64" w14:paraId="67157735"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t>Recommandations ou optimisation</w:t>
      </w:r>
    </w:p>
    <w:p w:rsidR="006E6D7A" w:rsidRDefault="00B16C64" w14:paraId="67157736" w14:textId="77777777">
      <w:pPr>
        <w:pStyle w:val="Paragraphedeliste"/>
        <w:numPr>
          <w:ilvl w:val="1"/>
          <w:numId w:val="213"/>
        </w:numPr>
        <w:pBdr>
          <w:top w:val="none" w:color="000000" w:sz="4" w:space="0"/>
          <w:left w:val="none" w:color="000000" w:sz="4" w:space="0"/>
          <w:bottom w:val="none" w:color="000000" w:sz="4" w:space="0"/>
          <w:right w:val="none" w:color="000000" w:sz="4" w:space="0"/>
        </w:pBdr>
      </w:pPr>
      <w:r>
        <w:t xml:space="preserve">Fiches </w:t>
      </w:r>
      <w:proofErr w:type="gramStart"/>
      <w:r>
        <w:t>techniques  pour</w:t>
      </w:r>
      <w:proofErr w:type="gramEnd"/>
      <w:r>
        <w:t xml:space="preserve"> le support (N2, N3)</w:t>
      </w:r>
    </w:p>
    <w:p w:rsidR="006E6D7A" w:rsidRDefault="006E6D7A" w14:paraId="67157737" w14:textId="77777777">
      <w:pPr>
        <w:pStyle w:val="Titre1"/>
        <w:numPr>
          <w:ilvl w:val="0"/>
          <w:numId w:val="0"/>
        </w:numPr>
      </w:pPr>
    </w:p>
    <w:p w:rsidR="006E6D7A" w:rsidRDefault="00B16C64" w14:paraId="67157738" w14:textId="77777777">
      <w:pPr>
        <w:pStyle w:val="Titre3"/>
        <w:numPr>
          <w:ilvl w:val="4"/>
          <w:numId w:val="3"/>
        </w:numPr>
        <w:tabs>
          <w:tab w:val="clear" w:pos="1134"/>
        </w:tabs>
      </w:pPr>
      <w:bookmarkStart w:name="_Toc221095586" w:id="168"/>
      <w:r>
        <w:t>REALISATION DES EVOLUTIONS MAJEURES ET DES NOUVELLES PLATEFORMES ET DES NOUVEAUX PRODUITS</w:t>
      </w:r>
      <w:bookmarkEnd w:id="168"/>
    </w:p>
    <w:p w:rsidR="006E6D7A" w:rsidRDefault="00B16C64" w14:paraId="67157739" w14:textId="77777777">
      <w:pPr>
        <w:pStyle w:val="Titre3"/>
        <w:numPr>
          <w:ilvl w:val="5"/>
          <w:numId w:val="3"/>
        </w:numPr>
      </w:pPr>
      <w:bookmarkStart w:name="_Toc221095587" w:id="169"/>
      <w:r>
        <w:t>Objectifs et contexte de la prestation</w:t>
      </w:r>
      <w:bookmarkEnd w:id="169"/>
    </w:p>
    <w:p w:rsidR="006E6D7A" w:rsidRDefault="00B16C64" w14:paraId="6715773A"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 xml:space="preserve">Cette prestation a pour objet la mise en œuvre d’outils et de processus automatisés facilitant les activités d’exploitation applicative et technique en respectant la philosophie </w:t>
      </w:r>
      <w:proofErr w:type="spellStart"/>
      <w:r>
        <w:rPr>
          <w:rFonts w:ascii="Times New Roman" w:hAnsi="Times New Roman" w:cs="Times New Roman"/>
          <w:color w:val="000000"/>
          <w:sz w:val="24"/>
        </w:rPr>
        <w:t>DevSecOps</w:t>
      </w:r>
      <w:proofErr w:type="spellEnd"/>
      <w:r>
        <w:rPr>
          <w:rFonts w:ascii="Times New Roman" w:hAnsi="Times New Roman" w:cs="Times New Roman"/>
          <w:color w:val="000000"/>
          <w:sz w:val="24"/>
        </w:rPr>
        <w:t>, dans une logique de supervision proactive, de sécurité et continuité de service</w:t>
      </w:r>
      <w:r>
        <w:t>.</w:t>
      </w:r>
    </w:p>
    <w:p w:rsidR="006E6D7A" w:rsidRDefault="006E6D7A" w14:paraId="6715773B"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773C" w14:textId="77777777">
      <w:pPr>
        <w:pBdr>
          <w:top w:val="none" w:color="000000" w:sz="4" w:space="0"/>
          <w:left w:val="none" w:color="000000" w:sz="4" w:space="0"/>
          <w:bottom w:val="none" w:color="000000" w:sz="4" w:space="0"/>
          <w:right w:val="none" w:color="000000" w:sz="4" w:space="0"/>
        </w:pBdr>
        <w:spacing w:after="0"/>
        <w:rPr>
          <w:rFonts w:ascii="Times New Roman" w:hAnsi="Times New Roman" w:cs="Times New Roman"/>
          <w:color w:val="000000"/>
          <w:sz w:val="24"/>
          <w:szCs w:val="24"/>
        </w:rPr>
      </w:pPr>
      <w:r>
        <w:rPr>
          <w:rFonts w:ascii="Times New Roman" w:hAnsi="Times New Roman" w:cs="Times New Roman"/>
          <w:color w:val="000000"/>
          <w:sz w:val="24"/>
        </w:rPr>
        <w:t>Pour cela il sera nécessaire de faire évoluer les plateformes, produits et processus existant afin qu’ils respectent eux même ces nouveaux standards. Mais il sera aussi nécessaire de développer ou d’intégrer de nouveaux produits ou processus automatisés, tout en maintenant les produits existants à jour.</w:t>
      </w:r>
    </w:p>
    <w:p w:rsidR="006E6D7A" w:rsidRDefault="00B16C64" w14:paraId="6715773D"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 xml:space="preserve">Cette prestation vise à assurer l’exploitation et la supervision des applications et des infrastructures associées, </w:t>
      </w:r>
      <w:proofErr w:type="gramStart"/>
      <w:r>
        <w:rPr>
          <w:rFonts w:ascii="Times New Roman" w:hAnsi="Times New Roman" w:cs="Times New Roman"/>
          <w:color w:val="000000"/>
          <w:sz w:val="24"/>
        </w:rPr>
        <w:t>et  à</w:t>
      </w:r>
      <w:proofErr w:type="gramEnd"/>
      <w:r>
        <w:rPr>
          <w:rFonts w:ascii="Times New Roman" w:hAnsi="Times New Roman" w:cs="Times New Roman"/>
          <w:color w:val="000000"/>
          <w:sz w:val="24"/>
        </w:rPr>
        <w:t xml:space="preserve"> maintenir en conditions opérationnelles (MCO) et en conditions de sécurité (MCS) les environnements.</w:t>
      </w:r>
    </w:p>
    <w:p w:rsidR="006E6D7A" w:rsidRDefault="006E6D7A" w14:paraId="6715773E"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773F" w14:textId="77777777">
      <w:pPr>
        <w:pStyle w:val="Titre3"/>
        <w:numPr>
          <w:ilvl w:val="5"/>
          <w:numId w:val="3"/>
        </w:numPr>
      </w:pPr>
      <w:r>
        <w:t xml:space="preserve"> </w:t>
      </w:r>
      <w:bookmarkStart w:name="_Toc221095588" w:id="170"/>
      <w:r>
        <w:t>Descriptif de la prestation</w:t>
      </w:r>
      <w:bookmarkEnd w:id="170"/>
    </w:p>
    <w:p w:rsidR="006E6D7A" w:rsidRDefault="00B16C64" w14:paraId="67157740"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Il s’agit pour le titulaire de mettre en œuvre les prestations correspondant au contexte.</w:t>
      </w:r>
    </w:p>
    <w:p w:rsidR="006E6D7A" w:rsidRDefault="006E6D7A" w14:paraId="67157741"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7742" w14:textId="77777777">
      <w:pPr>
        <w:pBdr>
          <w:top w:val="none" w:color="000000" w:sz="4" w:space="0"/>
          <w:left w:val="none" w:color="000000" w:sz="4" w:space="0"/>
          <w:bottom w:val="none" w:color="000000" w:sz="4" w:space="0"/>
          <w:right w:val="none" w:color="000000" w:sz="4" w:space="0"/>
        </w:pBdr>
        <w:spacing w:after="0"/>
        <w:rPr>
          <w:rFonts w:ascii="Times New Roman" w:hAnsi="Times New Roman" w:cs="Times New Roman"/>
          <w:color w:val="000000"/>
          <w:sz w:val="24"/>
          <w:szCs w:val="24"/>
        </w:rPr>
      </w:pPr>
      <w:r>
        <w:rPr>
          <w:rFonts w:ascii="Times New Roman" w:hAnsi="Times New Roman" w:cs="Times New Roman"/>
          <w:color w:val="000000"/>
          <w:sz w:val="24"/>
        </w:rPr>
        <w:t>Mise en place ou reprise d’exploitation d’une application, d’une plateforme ou d’un flux de traitement :</w:t>
      </w:r>
    </w:p>
    <w:p w:rsidR="006E6D7A" w:rsidRDefault="00B16C64" w14:paraId="67157743" w14:textId="77777777">
      <w:pPr>
        <w:pStyle w:val="Paragraphedeliste"/>
        <w:numPr>
          <w:ilvl w:val="0"/>
          <w:numId w:val="216"/>
        </w:numPr>
        <w:pBdr>
          <w:top w:val="none" w:color="000000" w:sz="4" w:space="0"/>
          <w:left w:val="none" w:color="000000" w:sz="4" w:space="0"/>
          <w:bottom w:val="none" w:color="000000" w:sz="4" w:space="0"/>
          <w:right w:val="none" w:color="000000" w:sz="4" w:space="0"/>
        </w:pBdr>
        <w:spacing w:after="0" w:line="240" w:lineRule="auto"/>
        <w:rPr>
          <w:rFonts w:ascii="Times New Roman" w:hAnsi="Times New Roman" w:cs="Times New Roman"/>
          <w:color w:val="000000"/>
          <w:sz w:val="24"/>
          <w:szCs w:val="24"/>
        </w:rPr>
      </w:pPr>
      <w:r>
        <w:rPr>
          <w:rFonts w:ascii="Times New Roman" w:hAnsi="Times New Roman" w:cs="Times New Roman"/>
          <w:color w:val="000000"/>
          <w:sz w:val="24"/>
        </w:rPr>
        <w:t>Analyser l’existant</w:t>
      </w:r>
    </w:p>
    <w:p w:rsidR="006E6D7A" w:rsidRDefault="00B16C64" w14:paraId="67157744" w14:textId="77777777">
      <w:pPr>
        <w:pStyle w:val="Paragraphedeliste"/>
        <w:numPr>
          <w:ilvl w:val="0"/>
          <w:numId w:val="21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Définir les processus d’exploitation</w:t>
      </w:r>
    </w:p>
    <w:p w:rsidR="006E6D7A" w:rsidRDefault="00B16C64" w14:paraId="67157745" w14:textId="77777777">
      <w:pPr>
        <w:pStyle w:val="Paragraphedeliste"/>
        <w:numPr>
          <w:ilvl w:val="0"/>
          <w:numId w:val="21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Définir l’architecture et l’écosystème technique</w:t>
      </w:r>
    </w:p>
    <w:p w:rsidR="006E6D7A" w:rsidRDefault="00B16C64" w14:paraId="67157746" w14:textId="77777777">
      <w:pPr>
        <w:pStyle w:val="Paragraphedeliste"/>
        <w:numPr>
          <w:ilvl w:val="0"/>
          <w:numId w:val="216"/>
        </w:numPr>
        <w:pBdr>
          <w:top w:val="none" w:color="000000" w:sz="4" w:space="0"/>
          <w:left w:val="none" w:color="000000" w:sz="4" w:space="0"/>
          <w:bottom w:val="none" w:color="000000" w:sz="4" w:space="0"/>
          <w:right w:val="none" w:color="000000" w:sz="4" w:space="0"/>
        </w:pBd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Mise en place ou reprise des outils de supervision</w:t>
      </w:r>
      <w:r>
        <w:rPr>
          <w:rFonts w:ascii="Times New Roman" w:hAnsi="Times New Roman" w:cs="Times New Roman"/>
          <w:sz w:val="24"/>
          <w:szCs w:val="24"/>
        </w:rPr>
        <w:t xml:space="preserve"> (avec paramétrage des sondes, alertes et </w:t>
      </w:r>
      <w:proofErr w:type="spellStart"/>
      <w:r>
        <w:rPr>
          <w:rFonts w:ascii="Times New Roman" w:hAnsi="Times New Roman" w:cs="Times New Roman"/>
          <w:sz w:val="24"/>
          <w:szCs w:val="24"/>
        </w:rPr>
        <w:t>dashboards</w:t>
      </w:r>
      <w:proofErr w:type="spellEnd"/>
      <w:r>
        <w:rPr>
          <w:rFonts w:ascii="Times New Roman" w:hAnsi="Times New Roman" w:cs="Times New Roman"/>
          <w:sz w:val="24"/>
          <w:szCs w:val="24"/>
        </w:rPr>
        <w:t>...)</w:t>
      </w:r>
    </w:p>
    <w:p w:rsidR="006E6D7A" w:rsidRDefault="00B16C64" w14:paraId="67157747" w14:textId="77777777">
      <w:pPr>
        <w:pStyle w:val="Paragraphedeliste"/>
        <w:numPr>
          <w:ilvl w:val="0"/>
          <w:numId w:val="21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 xml:space="preserve">Respecter les bonnes pratiques </w:t>
      </w:r>
      <w:proofErr w:type="spellStart"/>
      <w:r>
        <w:rPr>
          <w:rFonts w:ascii="Times New Roman" w:hAnsi="Times New Roman" w:cs="Times New Roman"/>
          <w:color w:val="000000"/>
          <w:sz w:val="24"/>
        </w:rPr>
        <w:t>DevSecOps</w:t>
      </w:r>
      <w:proofErr w:type="spellEnd"/>
      <w:r>
        <w:rPr>
          <w:rFonts w:ascii="Times New Roman" w:hAnsi="Times New Roman" w:cs="Times New Roman"/>
          <w:color w:val="000000"/>
          <w:sz w:val="24"/>
        </w:rPr>
        <w:t xml:space="preserve"> (CI/CD, tests, analyse qualité…)</w:t>
      </w:r>
    </w:p>
    <w:p w:rsidR="006E6D7A" w:rsidRDefault="00B16C64" w14:paraId="67157748" w14:textId="77777777">
      <w:pPr>
        <w:pStyle w:val="Paragraphedeliste"/>
        <w:numPr>
          <w:ilvl w:val="0"/>
          <w:numId w:val="21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Aider / Faciliter l’adoption du produit</w:t>
      </w:r>
    </w:p>
    <w:p w:rsidR="006E6D7A" w:rsidRDefault="00B16C64" w14:paraId="67157749" w14:textId="77777777">
      <w:pPr>
        <w:pStyle w:val="Paragraphedeliste"/>
        <w:numPr>
          <w:ilvl w:val="0"/>
          <w:numId w:val="21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Accompagner au changement de ces outils</w:t>
      </w:r>
    </w:p>
    <w:p w:rsidR="006E6D7A" w:rsidRDefault="00B16C64" w14:paraId="6715774A" w14:textId="77777777">
      <w:pPr>
        <w:pStyle w:val="Paragraphedeliste"/>
        <w:numPr>
          <w:ilvl w:val="0"/>
          <w:numId w:val="216"/>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Assurer le transfert de compétences entre équipiers</w:t>
      </w:r>
    </w:p>
    <w:p w:rsidR="006E6D7A" w:rsidRDefault="006E6D7A" w14:paraId="6715774B" w14:textId="77777777">
      <w:pPr>
        <w:pBdr>
          <w:top w:val="none" w:color="000000" w:sz="4" w:space="0"/>
          <w:left w:val="none" w:color="000000" w:sz="4" w:space="0"/>
          <w:bottom w:val="none" w:color="000000" w:sz="4" w:space="0"/>
          <w:right w:val="none" w:color="000000" w:sz="4" w:space="0"/>
        </w:pBdr>
        <w:spacing w:after="0"/>
        <w:ind w:left="709"/>
      </w:pPr>
    </w:p>
    <w:p w:rsidR="006E6D7A" w:rsidRDefault="00B16C64" w14:paraId="6715774C" w14:textId="77777777">
      <w:pPr>
        <w:pBdr>
          <w:top w:val="none" w:color="000000" w:sz="4" w:space="0"/>
          <w:left w:val="none" w:color="000000" w:sz="4" w:space="0"/>
          <w:bottom w:val="none" w:color="000000" w:sz="4" w:space="0"/>
          <w:right w:val="none" w:color="000000" w:sz="4" w:space="0"/>
        </w:pBdr>
        <w:spacing w:after="0"/>
        <w:rPr>
          <w:rFonts w:ascii="Times New Roman" w:hAnsi="Times New Roman" w:cs="Times New Roman"/>
          <w:color w:val="000000"/>
          <w:sz w:val="24"/>
          <w:szCs w:val="24"/>
        </w:rPr>
      </w:pPr>
      <w:r>
        <w:rPr>
          <w:rFonts w:ascii="Times New Roman" w:hAnsi="Times New Roman" w:cs="Times New Roman"/>
          <w:color w:val="000000"/>
          <w:sz w:val="24"/>
        </w:rPr>
        <w:t>Intégration d’un nouveau produit / plateforme</w:t>
      </w:r>
      <w:r>
        <w:t xml:space="preserve"> </w:t>
      </w:r>
      <w:r>
        <w:rPr>
          <w:rFonts w:ascii="Times New Roman" w:hAnsi="Times New Roman" w:cs="Times New Roman"/>
          <w:color w:val="000000"/>
          <w:sz w:val="24"/>
        </w:rPr>
        <w:t>ou d’un flux de traitement </w:t>
      </w:r>
    </w:p>
    <w:p w:rsidR="006E6D7A" w:rsidRDefault="00B16C64" w14:paraId="6715774D" w14:textId="77777777">
      <w:pPr>
        <w:pStyle w:val="Paragraphedeliste"/>
        <w:numPr>
          <w:ilvl w:val="0"/>
          <w:numId w:val="217"/>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 xml:space="preserve">Étudier les </w:t>
      </w:r>
      <w:proofErr w:type="spellStart"/>
      <w:r>
        <w:rPr>
          <w:rFonts w:ascii="Times New Roman" w:hAnsi="Times New Roman" w:cs="Times New Roman"/>
          <w:color w:val="000000"/>
          <w:sz w:val="24"/>
        </w:rPr>
        <w:t>inter-dépendances</w:t>
      </w:r>
      <w:proofErr w:type="spellEnd"/>
      <w:r>
        <w:rPr>
          <w:rFonts w:ascii="Times New Roman" w:hAnsi="Times New Roman" w:cs="Times New Roman"/>
          <w:color w:val="000000"/>
          <w:sz w:val="24"/>
        </w:rPr>
        <w:t xml:space="preserve"> applicatives et techniques</w:t>
      </w:r>
    </w:p>
    <w:p w:rsidR="006E6D7A" w:rsidRDefault="00B16C64" w14:paraId="6715774E" w14:textId="77777777">
      <w:pPr>
        <w:pStyle w:val="Paragraphedeliste"/>
        <w:numPr>
          <w:ilvl w:val="0"/>
          <w:numId w:val="217"/>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Définir l’architecture et les besoins techniques</w:t>
      </w:r>
    </w:p>
    <w:p w:rsidR="006E6D7A" w:rsidRDefault="00B16C64" w14:paraId="6715774F" w14:textId="77777777">
      <w:pPr>
        <w:pStyle w:val="Paragraphedeliste"/>
        <w:numPr>
          <w:ilvl w:val="0"/>
          <w:numId w:val="217"/>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Automatiser le déploiement, sauvegardes, contrôles, arrêt/relance et la configuration</w:t>
      </w:r>
    </w:p>
    <w:p w:rsidR="006E6D7A" w:rsidRDefault="00B16C64" w14:paraId="67157750" w14:textId="77777777">
      <w:pPr>
        <w:pStyle w:val="Paragraphedeliste"/>
        <w:numPr>
          <w:ilvl w:val="0"/>
          <w:numId w:val="217"/>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 xml:space="preserve">Respecter </w:t>
      </w:r>
      <w:proofErr w:type="gramStart"/>
      <w:r>
        <w:rPr>
          <w:rFonts w:ascii="Times New Roman" w:hAnsi="Times New Roman" w:cs="Times New Roman"/>
          <w:color w:val="000000"/>
          <w:sz w:val="24"/>
        </w:rPr>
        <w:t>les  bonnes</w:t>
      </w:r>
      <w:proofErr w:type="gramEnd"/>
      <w:r>
        <w:rPr>
          <w:rFonts w:ascii="Times New Roman" w:hAnsi="Times New Roman" w:cs="Times New Roman"/>
          <w:color w:val="000000"/>
          <w:sz w:val="24"/>
        </w:rPr>
        <w:t xml:space="preserve"> pratiques </w:t>
      </w:r>
      <w:proofErr w:type="spellStart"/>
      <w:r>
        <w:rPr>
          <w:rFonts w:ascii="Times New Roman" w:hAnsi="Times New Roman" w:cs="Times New Roman"/>
          <w:color w:val="000000"/>
          <w:sz w:val="24"/>
        </w:rPr>
        <w:t>DevSecOps</w:t>
      </w:r>
      <w:proofErr w:type="spellEnd"/>
      <w:r>
        <w:rPr>
          <w:rFonts w:ascii="Times New Roman" w:hAnsi="Times New Roman" w:cs="Times New Roman"/>
          <w:color w:val="000000"/>
          <w:sz w:val="24"/>
        </w:rPr>
        <w:t xml:space="preserve"> (CI/CD, tests, analyse qualité…)</w:t>
      </w:r>
    </w:p>
    <w:p w:rsidR="006E6D7A" w:rsidRDefault="00B16C64" w14:paraId="67157751" w14:textId="77777777">
      <w:pPr>
        <w:pStyle w:val="Paragraphedeliste"/>
        <w:numPr>
          <w:ilvl w:val="0"/>
          <w:numId w:val="217"/>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Aider / Faciliter l’adoption du produit</w:t>
      </w:r>
    </w:p>
    <w:p w:rsidR="006E6D7A" w:rsidRDefault="00B16C64" w14:paraId="67157752" w14:textId="77777777">
      <w:pPr>
        <w:pStyle w:val="Paragraphedeliste"/>
        <w:numPr>
          <w:ilvl w:val="0"/>
          <w:numId w:val="217"/>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 xml:space="preserve">Coordonner avec les différentes </w:t>
      </w:r>
      <w:proofErr w:type="gramStart"/>
      <w:r>
        <w:rPr>
          <w:rFonts w:ascii="Times New Roman" w:hAnsi="Times New Roman" w:cs="Times New Roman"/>
          <w:color w:val="000000"/>
          <w:sz w:val="24"/>
        </w:rPr>
        <w:t>équipes ,</w:t>
      </w:r>
      <w:proofErr w:type="gramEnd"/>
      <w:r>
        <w:rPr>
          <w:rFonts w:ascii="Times New Roman" w:hAnsi="Times New Roman" w:cs="Times New Roman"/>
          <w:color w:val="000000"/>
          <w:sz w:val="24"/>
        </w:rPr>
        <w:t xml:space="preserve"> l’intégration de ce nouveau produit</w:t>
      </w:r>
    </w:p>
    <w:p w:rsidR="006E6D7A" w:rsidRDefault="00B16C64" w14:paraId="67157753" w14:textId="77777777">
      <w:pPr>
        <w:pStyle w:val="Paragraphedeliste"/>
        <w:numPr>
          <w:ilvl w:val="0"/>
          <w:numId w:val="221"/>
        </w:numPr>
        <w:pBdr>
          <w:top w:val="none" w:color="000000" w:sz="4" w:space="0"/>
          <w:left w:val="none" w:color="000000" w:sz="4" w:space="0"/>
          <w:bottom w:val="none" w:color="000000" w:sz="4" w:space="0"/>
          <w:right w:val="none" w:color="000000" w:sz="4" w:space="0"/>
        </w:pBd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Accompagner au changement l’intégration de ce</w:t>
      </w:r>
      <w:r>
        <w:rPr>
          <w:rFonts w:ascii="Times New Roman" w:hAnsi="Times New Roman" w:cs="Times New Roman"/>
          <w:sz w:val="24"/>
          <w:szCs w:val="24"/>
        </w:rPr>
        <w:t xml:space="preserve"> nouveau produit</w:t>
      </w:r>
    </w:p>
    <w:p w:rsidR="006E6D7A" w:rsidRDefault="00B16C64" w14:paraId="67157754" w14:textId="77777777">
      <w:pPr>
        <w:pStyle w:val="Paragraphedeliste"/>
        <w:numPr>
          <w:ilvl w:val="0"/>
          <w:numId w:val="221"/>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Assurer le transfert de compétences entre équipiers</w:t>
      </w:r>
    </w:p>
    <w:p w:rsidR="006E6D7A" w:rsidRDefault="00B16C64" w14:paraId="67157755" w14:textId="77777777">
      <w:pPr>
        <w:pStyle w:val="Paragraphedeliste"/>
        <w:numPr>
          <w:ilvl w:val="0"/>
          <w:numId w:val="221"/>
        </w:numPr>
        <w:pBdr>
          <w:top w:val="none" w:color="000000" w:sz="4" w:space="0"/>
          <w:left w:val="none" w:color="000000" w:sz="4" w:space="0"/>
          <w:bottom w:val="none" w:color="000000" w:sz="4" w:space="0"/>
          <w:right w:val="none" w:color="000000" w:sz="4" w:space="0"/>
        </w:pBdr>
        <w:spacing w:after="0"/>
        <w:rPr>
          <w:rFonts w:ascii="Arial" w:hAnsi="Arial" w:eastAsia="Arial"/>
          <w:b/>
          <w:bCs/>
          <w:color w:val="1D212A"/>
          <w:szCs w:val="22"/>
          <w:highlight w:val="white"/>
        </w:rPr>
      </w:pPr>
      <w:r>
        <w:rPr>
          <w:rFonts w:ascii="Arial" w:hAnsi="Arial" w:eastAsia="Arial"/>
          <w:b/>
          <w:bCs/>
          <w:color w:val="1D212A"/>
          <w:szCs w:val="22"/>
          <w:highlight w:val="white"/>
        </w:rPr>
        <w:t>Intégrations et déploiements</w:t>
      </w:r>
    </w:p>
    <w:p w:rsidR="006E6D7A" w:rsidRDefault="00B16C64" w14:paraId="67157756" w14:textId="77777777">
      <w:pPr>
        <w:pStyle w:val="Paragraphedeliste"/>
        <w:numPr>
          <w:ilvl w:val="1"/>
          <w:numId w:val="221"/>
        </w:numPr>
        <w:pBdr>
          <w:top w:val="none" w:color="000000" w:sz="4" w:space="0"/>
          <w:left w:val="none" w:color="000000" w:sz="4" w:space="0"/>
          <w:bottom w:val="none" w:color="000000" w:sz="4" w:space="0"/>
          <w:right w:val="none" w:color="000000" w:sz="4" w:space="0"/>
        </w:pBdr>
        <w:spacing w:after="0"/>
        <w:rPr>
          <w:rFonts w:ascii="Arial" w:hAnsi="Arial" w:eastAsia="Arial"/>
          <w:color w:val="1D212A"/>
          <w:szCs w:val="22"/>
          <w:highlight w:val="white"/>
        </w:rPr>
      </w:pPr>
      <w:r>
        <w:rPr>
          <w:rFonts w:ascii="Arial" w:hAnsi="Arial" w:eastAsia="Arial"/>
          <w:color w:val="1D212A"/>
          <w:szCs w:val="22"/>
          <w:highlight w:val="white"/>
        </w:rPr>
        <w:t>Gestion des dépendances</w:t>
      </w:r>
    </w:p>
    <w:p w:rsidR="006E6D7A" w:rsidRDefault="00B16C64" w14:paraId="67157757" w14:textId="77777777">
      <w:pPr>
        <w:pStyle w:val="Paragraphedeliste"/>
        <w:numPr>
          <w:ilvl w:val="1"/>
          <w:numId w:val="221"/>
        </w:numPr>
        <w:pBdr>
          <w:top w:val="none" w:color="000000" w:sz="4" w:space="0"/>
          <w:left w:val="none" w:color="000000" w:sz="4" w:space="0"/>
          <w:bottom w:val="none" w:color="000000" w:sz="4" w:space="0"/>
          <w:right w:val="none" w:color="000000" w:sz="4" w:space="0"/>
        </w:pBdr>
        <w:spacing w:after="0"/>
        <w:rPr>
          <w:rFonts w:ascii="Arial" w:hAnsi="Arial" w:eastAsia="Arial"/>
          <w:color w:val="1D212A"/>
          <w:szCs w:val="22"/>
          <w:highlight w:val="white"/>
        </w:rPr>
      </w:pPr>
      <w:r>
        <w:rPr>
          <w:rFonts w:ascii="Arial" w:hAnsi="Arial" w:eastAsia="Arial"/>
          <w:color w:val="1D212A"/>
          <w:szCs w:val="22"/>
          <w:highlight w:val="white"/>
        </w:rPr>
        <w:t>Mise en place et suivi des workflows d’intégration (</w:t>
      </w:r>
      <w:proofErr w:type="spellStart"/>
      <w:r>
        <w:rPr>
          <w:rFonts w:ascii="Arial" w:hAnsi="Arial" w:eastAsia="Arial"/>
          <w:color w:val="1D212A"/>
          <w:szCs w:val="22"/>
          <w:highlight w:val="white"/>
        </w:rPr>
        <w:t>preprod</w:t>
      </w:r>
      <w:proofErr w:type="spellEnd"/>
      <w:r>
        <w:rPr>
          <w:rFonts w:ascii="Arial" w:hAnsi="Arial" w:eastAsia="Arial"/>
          <w:color w:val="1D212A"/>
          <w:szCs w:val="22"/>
          <w:highlight w:val="white"/>
        </w:rPr>
        <w:t>, prod)</w:t>
      </w:r>
    </w:p>
    <w:p w:rsidR="006E6D7A" w:rsidRDefault="00B16C64" w14:paraId="67157758" w14:textId="77777777">
      <w:pPr>
        <w:pStyle w:val="Paragraphedeliste"/>
        <w:numPr>
          <w:ilvl w:val="1"/>
          <w:numId w:val="221"/>
        </w:numPr>
        <w:pBdr>
          <w:top w:val="none" w:color="000000" w:sz="4" w:space="0"/>
          <w:left w:val="none" w:color="000000" w:sz="4" w:space="0"/>
          <w:bottom w:val="none" w:color="000000" w:sz="4" w:space="0"/>
          <w:right w:val="none" w:color="000000" w:sz="4" w:space="0"/>
        </w:pBdr>
        <w:spacing w:after="0"/>
        <w:rPr>
          <w:rFonts w:ascii="Arial" w:hAnsi="Arial" w:eastAsia="Arial"/>
          <w:color w:val="1D212A"/>
          <w:szCs w:val="22"/>
          <w:highlight w:val="white"/>
        </w:rPr>
      </w:pPr>
      <w:r>
        <w:rPr>
          <w:rFonts w:ascii="Arial" w:hAnsi="Arial" w:eastAsia="Arial"/>
          <w:color w:val="1D212A"/>
          <w:szCs w:val="22"/>
          <w:highlight w:val="white"/>
        </w:rPr>
        <w:t>Réalisation de plans de tests &amp; tests</w:t>
      </w:r>
    </w:p>
    <w:p w:rsidR="006E6D7A" w:rsidRDefault="006E6D7A" w14:paraId="67157759" w14:textId="77777777">
      <w:pPr>
        <w:pStyle w:val="Paragraphedeliste"/>
        <w:numPr>
          <w:ilvl w:val="0"/>
          <w:numId w:val="221"/>
        </w:numPr>
        <w:pBdr>
          <w:top w:val="none" w:color="000000" w:sz="4" w:space="0"/>
          <w:left w:val="none" w:color="000000" w:sz="4" w:space="0"/>
          <w:bottom w:val="none" w:color="000000" w:sz="4" w:space="0"/>
          <w:right w:val="none" w:color="000000" w:sz="4" w:space="0"/>
        </w:pBdr>
        <w:spacing w:after="0" w:line="240" w:lineRule="auto"/>
      </w:pPr>
    </w:p>
    <w:p w:rsidR="006E6D7A" w:rsidRDefault="00B16C64" w14:paraId="6715775A"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lastRenderedPageBreak/>
        <w:t>Évolution Majeure d’un produit / plateforme</w:t>
      </w:r>
      <w:r>
        <w:t xml:space="preserve"> </w:t>
      </w:r>
      <w:r>
        <w:rPr>
          <w:rFonts w:ascii="Times New Roman" w:hAnsi="Times New Roman" w:cs="Times New Roman"/>
          <w:color w:val="000000"/>
          <w:sz w:val="24"/>
        </w:rPr>
        <w:t>ou d’un flux de traitement </w:t>
      </w:r>
    </w:p>
    <w:p w:rsidR="006E6D7A" w:rsidRDefault="00B16C64" w14:paraId="6715775B" w14:textId="77777777">
      <w:pPr>
        <w:pStyle w:val="Paragraphedeliste"/>
        <w:numPr>
          <w:ilvl w:val="0"/>
          <w:numId w:val="21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Définir et automatiser la procédure de migration</w:t>
      </w:r>
    </w:p>
    <w:p w:rsidR="006E6D7A" w:rsidRDefault="00B16C64" w14:paraId="6715775C" w14:textId="77777777">
      <w:pPr>
        <w:pStyle w:val="Paragraphedeliste"/>
        <w:numPr>
          <w:ilvl w:val="0"/>
          <w:numId w:val="21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Mettre à jour les ordonnanceurs</w:t>
      </w:r>
    </w:p>
    <w:p w:rsidR="006E6D7A" w:rsidRDefault="00B16C64" w14:paraId="6715775D" w14:textId="77777777">
      <w:pPr>
        <w:pStyle w:val="Paragraphedeliste"/>
        <w:numPr>
          <w:ilvl w:val="0"/>
          <w:numId w:val="21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Minimiser l’impact utilisateur</w:t>
      </w:r>
    </w:p>
    <w:p w:rsidR="006E6D7A" w:rsidRDefault="00B16C64" w14:paraId="6715775E" w14:textId="77777777">
      <w:pPr>
        <w:pStyle w:val="Paragraphedeliste"/>
        <w:numPr>
          <w:ilvl w:val="0"/>
          <w:numId w:val="21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Prévoir un scénario de retour arrière</w:t>
      </w:r>
    </w:p>
    <w:p w:rsidR="006E6D7A" w:rsidRDefault="00B16C64" w14:paraId="6715775F" w14:textId="77777777">
      <w:pPr>
        <w:pStyle w:val="Paragraphedeliste"/>
        <w:numPr>
          <w:ilvl w:val="0"/>
          <w:numId w:val="21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Préparer un plan de continuité de service</w:t>
      </w:r>
    </w:p>
    <w:p w:rsidR="006E6D7A" w:rsidRDefault="00B16C64" w14:paraId="67157760" w14:textId="77777777">
      <w:pPr>
        <w:pStyle w:val="Paragraphedeliste"/>
        <w:numPr>
          <w:ilvl w:val="0"/>
          <w:numId w:val="218"/>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Communiquer et accompagner les utilisateurs</w:t>
      </w:r>
    </w:p>
    <w:p w:rsidR="006E6D7A" w:rsidRDefault="00B16C64" w14:paraId="67157761" w14:textId="77777777">
      <w:pPr>
        <w:pBdr>
          <w:top w:val="none" w:color="000000" w:sz="4" w:space="0"/>
          <w:left w:val="none" w:color="000000" w:sz="4" w:space="0"/>
          <w:bottom w:val="none" w:color="000000" w:sz="4" w:space="0"/>
          <w:right w:val="none" w:color="000000" w:sz="4" w:space="0"/>
        </w:pBdr>
        <w:spacing w:after="0"/>
      </w:pPr>
      <w:r>
        <w:rPr>
          <w:rFonts w:ascii="Times New Roman" w:hAnsi="Times New Roman" w:cs="Times New Roman"/>
          <w:color w:val="000000"/>
          <w:sz w:val="24"/>
        </w:rPr>
        <w:t>Automatisation d’un processus</w:t>
      </w:r>
    </w:p>
    <w:p w:rsidR="006E6D7A" w:rsidRDefault="00B16C64" w14:paraId="67157762" w14:textId="77777777">
      <w:pPr>
        <w:pStyle w:val="Paragraphedeliste"/>
        <w:numPr>
          <w:ilvl w:val="0"/>
          <w:numId w:val="219"/>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Concevoir et réaliser un processus automatisé</w:t>
      </w:r>
    </w:p>
    <w:p w:rsidR="006E6D7A" w:rsidRDefault="00B16C64" w14:paraId="67157763" w14:textId="77777777">
      <w:pPr>
        <w:pStyle w:val="Paragraphedeliste"/>
        <w:numPr>
          <w:ilvl w:val="0"/>
          <w:numId w:val="219"/>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Intégrer aux processus existants</w:t>
      </w:r>
    </w:p>
    <w:p w:rsidR="006E6D7A" w:rsidRDefault="00B16C64" w14:paraId="67157764" w14:textId="77777777">
      <w:pPr>
        <w:pStyle w:val="Paragraphedeliste"/>
        <w:numPr>
          <w:ilvl w:val="0"/>
          <w:numId w:val="219"/>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 xml:space="preserve">Communiquer et documenter </w:t>
      </w:r>
    </w:p>
    <w:p w:rsidR="006E6D7A" w:rsidRDefault="00B16C64" w14:paraId="67157765" w14:textId="77777777">
      <w:pPr>
        <w:pStyle w:val="Paragraphedeliste"/>
        <w:numPr>
          <w:ilvl w:val="0"/>
          <w:numId w:val="222"/>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Assurer le transfert de compétences entre équipiers</w:t>
      </w:r>
    </w:p>
    <w:p w:rsidR="006E6D7A" w:rsidRDefault="006E6D7A" w14:paraId="67157766"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7767" w14:textId="77777777">
      <w:pPr>
        <w:pStyle w:val="Titre3"/>
        <w:numPr>
          <w:ilvl w:val="5"/>
          <w:numId w:val="3"/>
        </w:numPr>
      </w:pPr>
      <w:bookmarkStart w:name="_Toc221095589" w:id="171"/>
      <w:r>
        <w:t>Livrables</w:t>
      </w:r>
      <w:bookmarkEnd w:id="171"/>
    </w:p>
    <w:p w:rsidR="006E6D7A" w:rsidRDefault="006E6D7A" w14:paraId="67157768" w14:textId="77777777">
      <w:pPr>
        <w:pBdr>
          <w:top w:val="none" w:color="000000" w:sz="4" w:space="0"/>
          <w:left w:val="none" w:color="000000" w:sz="4" w:space="0"/>
          <w:bottom w:val="none" w:color="000000" w:sz="4" w:space="0"/>
          <w:right w:val="none" w:color="000000" w:sz="4" w:space="0"/>
        </w:pBdr>
        <w:spacing w:after="0"/>
      </w:pPr>
    </w:p>
    <w:p w:rsidR="006E6D7A" w:rsidRDefault="00B16C64" w14:paraId="67157769"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Document détaillant l’architecture de la solution</w:t>
      </w:r>
    </w:p>
    <w:p w:rsidR="006E6D7A" w:rsidRDefault="00B16C64" w14:paraId="6715776A"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Livrable du produit / plateforme dans le cadre du développement d’un nouveau produit / plateforme</w:t>
      </w:r>
    </w:p>
    <w:p w:rsidR="006E6D7A" w:rsidRDefault="00B16C64" w14:paraId="6715776B"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Configuration et documentation des pipelines CI/CD</w:t>
      </w:r>
    </w:p>
    <w:p w:rsidR="006E6D7A" w:rsidRDefault="00B16C64" w14:paraId="6715776C"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Tout rapport permettant de justifier du respect des normes qualités (tests, d’analyse qualité, d’audit de sécurité…)</w:t>
      </w:r>
    </w:p>
    <w:p w:rsidR="006E6D7A" w:rsidRDefault="00B16C64" w14:paraId="6715776D"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Documentation technique du produit / plateforme / processus</w:t>
      </w:r>
    </w:p>
    <w:p w:rsidR="006E6D7A" w:rsidRDefault="00B16C64" w14:paraId="6715776E"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Documentation fonctionnelle du produit / plateforme / processus</w:t>
      </w:r>
    </w:p>
    <w:p w:rsidR="006E6D7A" w:rsidRDefault="00B16C64" w14:paraId="6715776F"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Dossier d’exploitation</w:t>
      </w:r>
    </w:p>
    <w:p w:rsidR="006E6D7A" w:rsidRDefault="00B16C64" w14:paraId="67157770"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Procédures et recommandations (redémarrage, sauvegarde, supervision ...)</w:t>
      </w:r>
    </w:p>
    <w:p w:rsidR="006E6D7A" w:rsidRDefault="00B16C64" w14:paraId="67157771"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Scripts ou outils d’automatisation</w:t>
      </w:r>
    </w:p>
    <w:p w:rsidR="006E6D7A" w:rsidRDefault="00B16C64" w14:paraId="67157772"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proofErr w:type="spellStart"/>
      <w:r>
        <w:rPr>
          <w:rFonts w:ascii="Times New Roman" w:hAnsi="Times New Roman" w:cs="Times New Roman"/>
          <w:color w:val="000000"/>
          <w:sz w:val="24"/>
        </w:rPr>
        <w:t>Dashboards</w:t>
      </w:r>
      <w:proofErr w:type="spellEnd"/>
      <w:r>
        <w:rPr>
          <w:rFonts w:ascii="Times New Roman" w:hAnsi="Times New Roman" w:cs="Times New Roman"/>
          <w:color w:val="000000"/>
          <w:sz w:val="24"/>
        </w:rPr>
        <w:t xml:space="preserve"> et indicateurs (disponibilité, performances, incidents ...)</w:t>
      </w:r>
    </w:p>
    <w:p w:rsidR="006E6D7A" w:rsidRDefault="00B16C64" w14:paraId="67157773"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Rapports de contrôle (suivi des incidents, rapports de supervision, contrôles de sécurité, vulnérabilités ...)</w:t>
      </w:r>
    </w:p>
    <w:p w:rsidR="006E6D7A" w:rsidRDefault="00B16C64" w14:paraId="67157774"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Création de sondes, métriques et/ou rapports permettant l’exploitation du produit / plateforme / processus</w:t>
      </w:r>
    </w:p>
    <w:p w:rsidR="006E6D7A" w:rsidRDefault="00B16C64" w14:paraId="67157775" w14:textId="77777777">
      <w:pPr>
        <w:pStyle w:val="Paragraphedeliste"/>
        <w:numPr>
          <w:ilvl w:val="0"/>
          <w:numId w:val="220"/>
        </w:numPr>
        <w:pBdr>
          <w:top w:val="none" w:color="000000" w:sz="4" w:space="0"/>
          <w:left w:val="none" w:color="000000" w:sz="4" w:space="0"/>
          <w:bottom w:val="none" w:color="000000" w:sz="4" w:space="0"/>
          <w:right w:val="none" w:color="000000" w:sz="4" w:space="0"/>
        </w:pBdr>
        <w:spacing w:after="0" w:line="240" w:lineRule="auto"/>
      </w:pPr>
      <w:r>
        <w:rPr>
          <w:rFonts w:ascii="Times New Roman" w:hAnsi="Times New Roman" w:cs="Times New Roman"/>
          <w:color w:val="000000"/>
          <w:sz w:val="24"/>
        </w:rPr>
        <w:t>Pour une évolution majeure : Un document détaillant la procédure de migration ou de bascule, l’analyse d’impact utilisateur/service/performances/sécurité, les conditions de succès et les actions à mener en cas de retour arrière</w:t>
      </w:r>
    </w:p>
    <w:p w:rsidR="006E6D7A" w:rsidRDefault="006E6D7A" w14:paraId="67157776" w14:textId="77777777">
      <w:pPr>
        <w:pBdr>
          <w:top w:val="none" w:color="000000" w:sz="4" w:space="0"/>
          <w:left w:val="none" w:color="000000" w:sz="4" w:space="0"/>
          <w:bottom w:val="none" w:color="000000" w:sz="4" w:space="0"/>
          <w:right w:val="none" w:color="000000" w:sz="4" w:space="0"/>
        </w:pBdr>
        <w:spacing w:after="0"/>
      </w:pPr>
    </w:p>
    <w:p w:rsidR="006E6D7A" w:rsidRDefault="006E6D7A" w14:paraId="67157777" w14:textId="77777777">
      <w:pPr>
        <w:pBdr>
          <w:top w:val="none" w:color="000000" w:sz="4" w:space="0"/>
          <w:left w:val="none" w:color="000000" w:sz="4" w:space="0"/>
          <w:bottom w:val="none" w:color="000000" w:sz="4" w:space="0"/>
          <w:right w:val="none" w:color="000000" w:sz="4" w:space="0"/>
        </w:pBdr>
        <w:spacing w:after="0"/>
        <w:rPr>
          <w:rFonts w:ascii="Times New Roman" w:hAnsi="Times New Roman" w:cs="Times New Roman"/>
          <w:color w:val="000000"/>
          <w:sz w:val="24"/>
          <w:szCs w:val="24"/>
        </w:rPr>
      </w:pPr>
    </w:p>
    <w:p w:rsidR="006E6D7A" w:rsidRDefault="00B16C64" w14:paraId="67157778" w14:textId="77777777">
      <w:pPr>
        <w:pStyle w:val="Titre3"/>
        <w:numPr>
          <w:ilvl w:val="4"/>
          <w:numId w:val="3"/>
        </w:numPr>
        <w:tabs>
          <w:tab w:val="clear" w:pos="1134"/>
        </w:tabs>
      </w:pPr>
      <w:bookmarkStart w:name="_Toc221095590" w:id="172"/>
      <w:r>
        <w:t>EXPLOITATION, ADMINISTRATION ET SUPPORTS DEMARCHE DEVSECOPS</w:t>
      </w:r>
      <w:bookmarkEnd w:id="172"/>
    </w:p>
    <w:p w:rsidR="006E6D7A" w:rsidRDefault="00B16C64" w14:paraId="67157779" w14:textId="77777777">
      <w:pPr>
        <w:pStyle w:val="Titre3"/>
        <w:numPr>
          <w:ilvl w:val="5"/>
          <w:numId w:val="3"/>
        </w:numPr>
      </w:pPr>
      <w:bookmarkStart w:name="_Toc221095591" w:id="173"/>
      <w:r>
        <w:t>Objectifs et contexte de la prestation</w:t>
      </w:r>
      <w:bookmarkEnd w:id="173"/>
    </w:p>
    <w:p w:rsidR="006E6D7A" w:rsidRDefault="00B16C64" w14:paraId="6715777A" w14:textId="77777777">
      <w:pPr>
        <w:rPr>
          <w:lang w:eastAsia="en-US"/>
        </w:rPr>
      </w:pPr>
      <w:r>
        <w:rPr>
          <w:lang w:eastAsia="en-US"/>
        </w:rPr>
        <w:t>Cette prestation est exclusive au lot 2 exploitation du présent accord-cadre.</w:t>
      </w:r>
    </w:p>
    <w:p w:rsidR="006E6D7A" w:rsidRDefault="00B16C64" w14:paraId="6715777B" w14:textId="77777777">
      <w:pPr>
        <w:rPr>
          <w:lang w:eastAsia="en-US"/>
        </w:rPr>
      </w:pPr>
      <w:r>
        <w:rPr>
          <w:lang w:eastAsia="en-US"/>
        </w:rPr>
        <w:t xml:space="preserve">Elle a pour objet de concourir au bon fonctionnement et à la disponibilité des systèmes d’information et services des produits portés pour </w:t>
      </w:r>
      <w:r>
        <w:t xml:space="preserve">l’ensemble des directions et unités </w:t>
      </w:r>
      <w:proofErr w:type="gramStart"/>
      <w:r>
        <w:t xml:space="preserve">INRAE </w:t>
      </w:r>
      <w:r>
        <w:rPr>
          <w:lang w:eastAsia="en-US"/>
        </w:rPr>
        <w:t>.</w:t>
      </w:r>
      <w:proofErr w:type="gramEnd"/>
    </w:p>
    <w:p w:rsidR="006E6D7A" w:rsidRDefault="00B16C64" w14:paraId="6715777C" w14:textId="77777777">
      <w:pPr>
        <w:rPr>
          <w:lang w:eastAsia="en-US"/>
        </w:rPr>
      </w:pPr>
      <w:r>
        <w:rPr>
          <w:lang w:eastAsia="en-US"/>
        </w:rPr>
        <w:t>Elle doit permettre d’obtenir les résultats suivants :</w:t>
      </w:r>
    </w:p>
    <w:p w:rsidR="006E6D7A" w:rsidRDefault="00B16C64" w14:paraId="6715777D" w14:textId="77777777">
      <w:pPr>
        <w:pStyle w:val="Puce1"/>
        <w:rPr>
          <w:lang w:eastAsia="en-US"/>
        </w:rPr>
      </w:pPr>
      <w:r>
        <w:rPr>
          <w:lang w:eastAsia="en-US"/>
        </w:rPr>
        <w:t>Applications accessibles dans les périodes d’ouverture de service convenus</w:t>
      </w:r>
    </w:p>
    <w:p w:rsidR="006E6D7A" w:rsidRDefault="00B16C64" w14:paraId="6715777E" w14:textId="77777777">
      <w:pPr>
        <w:pStyle w:val="Puce1"/>
        <w:rPr>
          <w:lang w:eastAsia="en-US"/>
        </w:rPr>
      </w:pPr>
      <w:r>
        <w:rPr>
          <w:lang w:eastAsia="en-US"/>
        </w:rPr>
        <w:lastRenderedPageBreak/>
        <w:t>Composants applicatifs et techniques en état de fonctionnement avec conformité aux niveaux de service (SLA / SLI)</w:t>
      </w:r>
    </w:p>
    <w:p w:rsidR="006E6D7A" w:rsidRDefault="00B16C64" w14:paraId="6715777F" w14:textId="77777777">
      <w:pPr>
        <w:pStyle w:val="Puce1"/>
        <w:rPr>
          <w:lang w:eastAsia="en-US"/>
        </w:rPr>
      </w:pPr>
      <w:r>
        <w:rPr>
          <w:lang w:eastAsia="en-US"/>
        </w:rPr>
        <w:t>Outils et produits d’exploitation conformes, disponibles et opérationnels</w:t>
      </w:r>
    </w:p>
    <w:p w:rsidR="006E6D7A" w:rsidRDefault="00B16C64" w14:paraId="67157780" w14:textId="77777777">
      <w:pPr>
        <w:pStyle w:val="Puce1"/>
        <w:rPr>
          <w:lang w:eastAsia="en-US"/>
        </w:rPr>
      </w:pPr>
      <w:r>
        <w:rPr>
          <w:lang w:eastAsia="en-US"/>
        </w:rPr>
        <w:t>Préconisations rédigées pour l’amélioration continue du service et les paramétrages techniques</w:t>
      </w:r>
    </w:p>
    <w:p w:rsidR="006E6D7A" w:rsidRDefault="00B16C64" w14:paraId="67157781" w14:textId="77777777">
      <w:pPr>
        <w:pStyle w:val="Puce1"/>
        <w:rPr>
          <w:lang w:eastAsia="en-US"/>
        </w:rPr>
      </w:pPr>
      <w:r>
        <w:rPr>
          <w:lang w:eastAsia="en-US"/>
        </w:rPr>
        <w:t>Maintien en condition opérationnel (MCO) et en condition de sécurité (MCS)</w:t>
      </w:r>
    </w:p>
    <w:p w:rsidR="006E6D7A" w:rsidRDefault="00B16C64" w14:paraId="67157782" w14:textId="77777777">
      <w:pPr>
        <w:pStyle w:val="Puce1"/>
        <w:rPr>
          <w:lang w:eastAsia="en-US"/>
        </w:rPr>
      </w:pPr>
      <w:r>
        <w:rPr>
          <w:lang w:eastAsia="en-US"/>
        </w:rPr>
        <w:t xml:space="preserve">Mise en œuvre et configuration des outils d’aide à </w:t>
      </w:r>
      <w:proofErr w:type="gramStart"/>
      <w:r>
        <w:rPr>
          <w:lang w:eastAsia="en-US"/>
        </w:rPr>
        <w:t>l’exploitation  (</w:t>
      </w:r>
      <w:proofErr w:type="gramEnd"/>
      <w:r>
        <w:rPr>
          <w:lang w:eastAsia="en-US"/>
        </w:rPr>
        <w:t>outils  de monitoring, supervision, ordonnanceur …)</w:t>
      </w:r>
    </w:p>
    <w:p w:rsidR="006E6D7A" w:rsidRDefault="00B16C64" w14:paraId="67157783" w14:textId="77777777">
      <w:pPr>
        <w:pStyle w:val="Puce1"/>
        <w:rPr>
          <w:lang w:eastAsia="en-US"/>
        </w:rPr>
      </w:pPr>
      <w:r>
        <w:rPr>
          <w:lang w:eastAsia="en-US"/>
        </w:rPr>
        <w:t>Tous les développements nécessaires pour automatiser l’installation, ou l’intégration dans les environnements de production et préproduction</w:t>
      </w:r>
    </w:p>
    <w:p w:rsidR="006E6D7A" w:rsidRDefault="00B16C64" w14:paraId="67157784" w14:textId="77777777">
      <w:pPr>
        <w:pStyle w:val="Puce1"/>
        <w:rPr>
          <w:lang w:eastAsia="en-US"/>
        </w:rPr>
      </w:pPr>
      <w:r>
        <w:rPr>
          <w:lang w:eastAsia="en-US"/>
        </w:rPr>
        <w:t>Mise en exploitation et en gestion des environnements de données ;</w:t>
      </w:r>
    </w:p>
    <w:p w:rsidR="006E6D7A" w:rsidRDefault="00B16C64" w14:paraId="67157785" w14:textId="77777777">
      <w:pPr>
        <w:pStyle w:val="Puce1"/>
        <w:rPr>
          <w:lang w:eastAsia="en-US"/>
        </w:rPr>
      </w:pPr>
      <w:r>
        <w:rPr>
          <w:lang w:eastAsia="en-US"/>
        </w:rPr>
        <w:t>Réalisation de la recette d’exploitabilité</w:t>
      </w:r>
    </w:p>
    <w:p w:rsidR="006E6D7A" w:rsidRDefault="00B16C64" w14:paraId="67157786" w14:textId="77777777">
      <w:pPr>
        <w:pStyle w:val="Puce1"/>
        <w:rPr>
          <w:lang w:eastAsia="en-US"/>
        </w:rPr>
      </w:pPr>
      <w:r>
        <w:rPr>
          <w:lang w:eastAsia="en-US"/>
        </w:rPr>
        <w:t>Support utilisateurs et techniques (N1, N2, N3)</w:t>
      </w:r>
    </w:p>
    <w:p w:rsidR="006E6D7A" w:rsidRDefault="00B16C64" w14:paraId="67157787" w14:textId="77777777">
      <w:pPr>
        <w:pStyle w:val="Puce1"/>
        <w:rPr>
          <w:lang w:eastAsia="en-US"/>
        </w:rPr>
      </w:pPr>
      <w:r>
        <w:rPr>
          <w:lang w:eastAsia="en-US"/>
        </w:rPr>
        <w:t>Installation, paramétrage et mise à jour des produits</w:t>
      </w:r>
    </w:p>
    <w:p w:rsidR="006E6D7A" w:rsidRDefault="00B16C64" w14:paraId="67157788" w14:textId="77777777">
      <w:pPr>
        <w:pStyle w:val="Puce1"/>
        <w:rPr>
          <w:lang w:eastAsia="en-US"/>
        </w:rPr>
      </w:pPr>
      <w:r>
        <w:rPr>
          <w:lang w:eastAsia="en-US"/>
        </w:rPr>
        <w:t>Documentation d’exploitation à jour</w:t>
      </w:r>
    </w:p>
    <w:p w:rsidR="006E6D7A" w:rsidRDefault="00B16C64" w14:paraId="67157789" w14:textId="77777777">
      <w:r>
        <w:t>La prestation débute à compter de la réception par le titulaire du bon de commande ou à la date indiquée par celui-ci et s’achève à la réception du procès-verbal de recette validé par le prescripteur INRAE.</w:t>
      </w:r>
    </w:p>
    <w:p w:rsidR="006E6D7A" w:rsidRDefault="00B16C64" w14:paraId="6715778A" w14:textId="77777777">
      <w:pPr>
        <w:pStyle w:val="Titre3"/>
        <w:numPr>
          <w:ilvl w:val="5"/>
          <w:numId w:val="3"/>
        </w:numPr>
      </w:pPr>
      <w:bookmarkStart w:name="_Toc221095592" w:id="174"/>
      <w:r>
        <w:t>Périmètre technique</w:t>
      </w:r>
      <w:bookmarkEnd w:id="174"/>
    </w:p>
    <w:p w:rsidR="006E6D7A" w:rsidRDefault="00B16C64" w14:paraId="6715778B" w14:textId="77777777">
      <w:r>
        <w:t xml:space="preserve">Le périmètre technique évolue au fil des évolutions technologiques. Pour 2025, les composants techniques sont ceux figurant dans le </w:t>
      </w:r>
      <w:hyperlink w:tooltip="#_Langages,_outils,_plateformes" w:history="1" w:anchor="_Langages,_outils,_plateformes">
        <w:r>
          <w:t xml:space="preserve">Radar des technologies </w:t>
        </w:r>
      </w:hyperlink>
      <w:r>
        <w:t>.</w:t>
      </w:r>
    </w:p>
    <w:p w:rsidR="006E6D7A" w:rsidRDefault="00B16C64" w14:paraId="6715778C" w14:textId="77777777">
      <w:pPr>
        <w:pStyle w:val="Titre3"/>
        <w:numPr>
          <w:ilvl w:val="5"/>
          <w:numId w:val="3"/>
        </w:numPr>
      </w:pPr>
      <w:bookmarkStart w:name="_Toc221095593" w:id="175"/>
      <w:r>
        <w:t>Descriptif de la prestation</w:t>
      </w:r>
      <w:bookmarkEnd w:id="175"/>
    </w:p>
    <w:p w:rsidR="006E6D7A" w:rsidRDefault="00B16C64" w14:paraId="6715778D" w14:textId="77777777">
      <w:r>
        <w:t>Il s’agit pour le titulaire de contribuer aux actions s’articulant autour de 2 types d’activité :</w:t>
      </w:r>
    </w:p>
    <w:p w:rsidR="006E6D7A" w:rsidRDefault="00B16C64" w14:paraId="6715778E" w14:textId="77777777">
      <w:pPr>
        <w:pStyle w:val="Puce1"/>
      </w:pPr>
      <w:r>
        <w:t>Cadre d’exploitabilité et d’exploitation</w:t>
      </w:r>
    </w:p>
    <w:p w:rsidR="006E6D7A" w:rsidRDefault="00B16C64" w14:paraId="6715778F" w14:textId="77777777">
      <w:pPr>
        <w:pStyle w:val="Puce1"/>
      </w:pPr>
      <w:r>
        <w:t>La mise en application du cadre d’exploitabilité et d’exploitation défini</w:t>
      </w:r>
    </w:p>
    <w:tbl>
      <w:tblPr>
        <w:tblW w:w="9690" w:type="dxa"/>
        <w:tblLayout w:type="fixed"/>
        <w:tblCellMar>
          <w:left w:w="70" w:type="dxa"/>
          <w:right w:w="70" w:type="dxa"/>
        </w:tblCellMar>
        <w:tblLook w:val="04A0" w:firstRow="1" w:lastRow="0" w:firstColumn="1" w:lastColumn="0" w:noHBand="0" w:noVBand="1"/>
      </w:tblPr>
      <w:tblGrid>
        <w:gridCol w:w="1694"/>
        <w:gridCol w:w="7996"/>
      </w:tblGrid>
      <w:tr w:rsidR="006E6D7A" w14:paraId="67157792" w14:textId="77777777">
        <w:trPr>
          <w:trHeight w:val="690"/>
          <w:tblHeader/>
        </w:trPr>
        <w:tc>
          <w:tcPr>
            <w:tcW w:w="1694"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790" w14:textId="77777777">
            <w:pPr>
              <w:jc w:val="center"/>
              <w:rPr>
                <w:rFonts w:ascii="Calibri" w:hAnsi="Calibri" w:cs="Calibri"/>
                <w:b/>
                <w:bCs/>
                <w:color w:val="FFFFFF"/>
              </w:rPr>
            </w:pPr>
            <w:r>
              <w:rPr>
                <w:rFonts w:cs="Calibri"/>
                <w:b/>
                <w:bCs/>
                <w:color w:val="FFFFFF"/>
              </w:rPr>
              <w:t>Type</w:t>
            </w:r>
          </w:p>
        </w:tc>
        <w:tc>
          <w:tcPr>
            <w:tcW w:w="7995"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791" w14:textId="77777777">
            <w:pPr>
              <w:jc w:val="center"/>
              <w:rPr>
                <w:rFonts w:ascii="Calibri" w:hAnsi="Calibri" w:cs="Calibri"/>
                <w:b/>
                <w:bCs/>
                <w:color w:val="FFFFFF"/>
              </w:rPr>
            </w:pPr>
            <w:r>
              <w:rPr>
                <w:rFonts w:cs="Calibri"/>
                <w:b/>
                <w:bCs/>
                <w:color w:val="FFFFFF"/>
              </w:rPr>
              <w:t>Prestation</w:t>
            </w:r>
          </w:p>
        </w:tc>
      </w:tr>
      <w:tr w:rsidR="006E6D7A" w14:paraId="6715779A" w14:textId="77777777">
        <w:trPr>
          <w:trHeight w:val="790"/>
        </w:trPr>
        <w:tc>
          <w:tcPr>
            <w:tcW w:w="1694"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93" w14:textId="77777777">
            <w:pPr>
              <w:rPr>
                <w:rFonts w:ascii="Calibri" w:hAnsi="Calibri" w:cs="Calibri"/>
                <w:color w:val="000000"/>
              </w:rPr>
            </w:pPr>
            <w:r>
              <w:rPr>
                <w:rFonts w:cs="Calibri"/>
                <w:color w:val="000000"/>
              </w:rPr>
              <w:t>Organisation du cadre d’exploitabilité et d’exploitation</w:t>
            </w:r>
          </w:p>
        </w:tc>
        <w:tc>
          <w:tcPr>
            <w:tcW w:w="7995"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94" w14:textId="77777777">
            <w:pPr>
              <w:rPr>
                <w:rFonts w:ascii="Calibri" w:hAnsi="Calibri" w:cs="Calibri"/>
                <w:color w:val="000000"/>
              </w:rPr>
            </w:pPr>
            <w:r>
              <w:rPr>
                <w:rFonts w:cs="Calibri"/>
                <w:color w:val="000000"/>
              </w:rPr>
              <w:t>Organiser l’exploitation technique ou applicative en collaboration avec la responsable d’exploitation :</w:t>
            </w:r>
          </w:p>
          <w:p w:rsidR="006E6D7A" w:rsidRDefault="00B16C64" w14:paraId="67157795" w14:textId="77777777">
            <w:pPr>
              <w:pStyle w:val="Paragraphedeliste"/>
              <w:numPr>
                <w:ilvl w:val="0"/>
                <w:numId w:val="226"/>
              </w:numPr>
              <w:rPr>
                <w:rFonts w:cs="Calibri"/>
                <w:color w:val="000000"/>
                <w:szCs w:val="22"/>
              </w:rPr>
            </w:pPr>
            <w:r>
              <w:rPr>
                <w:rFonts w:cs="Calibri"/>
                <w:color w:val="000000"/>
                <w:szCs w:val="22"/>
              </w:rPr>
              <w:t>Définition ou adaptation du cadre d’exploitation</w:t>
            </w:r>
          </w:p>
          <w:p w:rsidR="006E6D7A" w:rsidRDefault="00B16C64" w14:paraId="67157796" w14:textId="77777777">
            <w:pPr>
              <w:pStyle w:val="Paragraphedeliste"/>
              <w:numPr>
                <w:ilvl w:val="0"/>
                <w:numId w:val="226"/>
              </w:numPr>
              <w:rPr>
                <w:rFonts w:cs="Calibri"/>
                <w:color w:val="000000"/>
                <w:szCs w:val="22"/>
              </w:rPr>
            </w:pPr>
            <w:r>
              <w:rPr>
                <w:rFonts w:cs="Calibri"/>
                <w:color w:val="000000"/>
                <w:szCs w:val="22"/>
              </w:rPr>
              <w:t>Définition de la démarche générale (méthodes, consignes ...)</w:t>
            </w:r>
          </w:p>
          <w:p w:rsidR="006E6D7A" w:rsidRDefault="00B16C64" w14:paraId="67157797" w14:textId="77777777">
            <w:pPr>
              <w:pStyle w:val="Paragraphedeliste"/>
              <w:numPr>
                <w:ilvl w:val="0"/>
                <w:numId w:val="226"/>
              </w:numPr>
              <w:rPr>
                <w:rFonts w:cs="Calibri"/>
                <w:color w:val="000000"/>
                <w:szCs w:val="22"/>
              </w:rPr>
            </w:pPr>
            <w:r>
              <w:rPr>
                <w:rFonts w:cs="Calibri"/>
                <w:color w:val="000000"/>
                <w:szCs w:val="22"/>
              </w:rPr>
              <w:t>Préparation des environnements avec le pôle INFRA</w:t>
            </w:r>
          </w:p>
          <w:p w:rsidR="006E6D7A" w:rsidRDefault="00B16C64" w14:paraId="67157798" w14:textId="77777777">
            <w:pPr>
              <w:pStyle w:val="Paragraphedeliste"/>
              <w:numPr>
                <w:ilvl w:val="0"/>
                <w:numId w:val="226"/>
              </w:numPr>
              <w:rPr>
                <w:rFonts w:cs="Calibri"/>
                <w:color w:val="000000"/>
                <w:szCs w:val="22"/>
              </w:rPr>
            </w:pPr>
            <w:r>
              <w:rPr>
                <w:rFonts w:cs="Calibri"/>
                <w:color w:val="000000"/>
                <w:szCs w:val="22"/>
              </w:rPr>
              <w:t xml:space="preserve">Accompagnement des équipes projet sur l’appropriation de la démarche </w:t>
            </w:r>
            <w:proofErr w:type="spellStart"/>
            <w:r>
              <w:rPr>
                <w:rFonts w:cs="Calibri"/>
                <w:color w:val="000000"/>
                <w:szCs w:val="22"/>
              </w:rPr>
              <w:t>DevSecOps</w:t>
            </w:r>
            <w:proofErr w:type="spellEnd"/>
          </w:p>
          <w:p w:rsidR="006E6D7A" w:rsidRDefault="00B16C64" w14:paraId="67157799" w14:textId="77777777">
            <w:pPr>
              <w:pStyle w:val="Paragraphedeliste"/>
              <w:numPr>
                <w:ilvl w:val="0"/>
                <w:numId w:val="226"/>
              </w:numPr>
              <w:rPr>
                <w:rFonts w:cs="Calibri"/>
                <w:color w:val="000000"/>
                <w:szCs w:val="22"/>
              </w:rPr>
            </w:pPr>
            <w:r>
              <w:rPr>
                <w:rFonts w:cs="Calibri"/>
                <w:color w:val="000000"/>
                <w:szCs w:val="22"/>
              </w:rPr>
              <w:t>Amélioration des méthodes et techniques d’exploitabilité des solutions</w:t>
            </w:r>
          </w:p>
        </w:tc>
      </w:tr>
      <w:tr w:rsidR="006E6D7A" w14:paraId="671577E1" w14:textId="77777777">
        <w:trPr>
          <w:trHeight w:val="790"/>
        </w:trPr>
        <w:tc>
          <w:tcPr>
            <w:tcW w:w="1694"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9B" w14:textId="77777777">
            <w:pPr>
              <w:rPr>
                <w:rFonts w:ascii="Calibri" w:hAnsi="Calibri" w:cs="Calibri"/>
                <w:color w:val="000000"/>
              </w:rPr>
            </w:pPr>
            <w:r>
              <w:rPr>
                <w:rFonts w:cs="Calibri"/>
                <w:color w:val="000000"/>
              </w:rPr>
              <w:t>Mise en application du cadre d’exploitabilité et d’exploitation défini</w:t>
            </w:r>
          </w:p>
        </w:tc>
        <w:tc>
          <w:tcPr>
            <w:tcW w:w="7995"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9C" w14:textId="77777777">
            <w:pPr>
              <w:rPr>
                <w:rFonts w:cs="Calibri"/>
                <w:color w:val="000000"/>
              </w:rPr>
            </w:pPr>
            <w:r>
              <w:rPr>
                <w:rFonts w:cs="Calibri"/>
                <w:color w:val="000000"/>
              </w:rPr>
              <w:t xml:space="preserve">Mise en application opérationnelle du cadre </w:t>
            </w:r>
            <w:proofErr w:type="gramStart"/>
            <w:r>
              <w:rPr>
                <w:rFonts w:cs="Calibri"/>
                <w:color w:val="000000"/>
              </w:rPr>
              <w:t>défini:</w:t>
            </w:r>
            <w:proofErr w:type="gramEnd"/>
          </w:p>
          <w:p w:rsidR="006E6D7A" w:rsidRDefault="00B16C64" w14:paraId="6715779D" w14:textId="77777777">
            <w:pPr>
              <w:pStyle w:val="Paragraphedeliste"/>
              <w:numPr>
                <w:ilvl w:val="0"/>
                <w:numId w:val="227"/>
              </w:numPr>
              <w:rPr>
                <w:rFonts w:cs="Calibri"/>
                <w:b/>
                <w:bCs/>
                <w:color w:val="000000"/>
              </w:rPr>
            </w:pPr>
            <w:r>
              <w:rPr>
                <w:rFonts w:cs="Calibri"/>
                <w:b/>
                <w:bCs/>
                <w:color w:val="000000"/>
              </w:rPr>
              <w:t>Supervision, monitoring commun et observabilité :</w:t>
            </w:r>
          </w:p>
          <w:p w:rsidR="006E6D7A" w:rsidRDefault="00B16C64" w14:paraId="6715779E" w14:textId="77777777">
            <w:pPr>
              <w:pStyle w:val="Tableau-Puce1"/>
            </w:pPr>
            <w:r>
              <w:t>Interrogation et analyse des alertes et surveillance du fonctionnement des composants logiciels selon les procédures définies dans les manuels d’exploitation (à partir des outils mis à la disposition du prestataire, des rapports de traitements par lot ou des logs)</w:t>
            </w:r>
          </w:p>
          <w:p w:rsidR="006E6D7A" w:rsidRDefault="00B16C64" w14:paraId="6715779F" w14:textId="77777777">
            <w:pPr>
              <w:pStyle w:val="Tableau-Puce1"/>
            </w:pPr>
            <w:r>
              <w:t xml:space="preserve">Surveillance du traitement des flux, des applicatifs, des </w:t>
            </w:r>
            <w:proofErr w:type="gramStart"/>
            <w:r>
              <w:t>plateformes;</w:t>
            </w:r>
            <w:proofErr w:type="gramEnd"/>
            <w:r>
              <w:t xml:space="preserve"> l’objectif de cette surveillance est de s’assurer que les applications s’exécutent normalement </w:t>
            </w:r>
            <w:r>
              <w:lastRenderedPageBreak/>
              <w:t>et dans les conditions de performance prévus, que les traitements programmés fonctionnement convenablement et dans les temps prévus</w:t>
            </w:r>
          </w:p>
          <w:p w:rsidR="006E6D7A" w:rsidRDefault="00B16C64" w14:paraId="671577A0" w14:textId="77777777">
            <w:pPr>
              <w:pStyle w:val="Tableau-Puce1"/>
            </w:pPr>
            <w:r>
              <w:t>Remontée d’alertes immédiates vers INRAE de toutes les situations bloquantes dans le cadre des processus validés avec INRAE</w:t>
            </w:r>
          </w:p>
          <w:p w:rsidR="006E6D7A" w:rsidRDefault="00B16C64" w14:paraId="671577A1" w14:textId="77777777">
            <w:pPr>
              <w:pStyle w:val="Tableau-Puce1"/>
            </w:pPr>
            <w:r>
              <w:t>Contrôle des performances et des seuils d’alerte</w:t>
            </w:r>
          </w:p>
          <w:p w:rsidR="006E6D7A" w:rsidRDefault="00B16C64" w14:paraId="671577A2" w14:textId="77777777">
            <w:pPr>
              <w:pStyle w:val="Tableau-Puce1"/>
            </w:pPr>
            <w:r>
              <w:t>Analyse et archivage des logs/traces/métriques</w:t>
            </w:r>
          </w:p>
          <w:p w:rsidR="006E6D7A" w:rsidRDefault="00B16C64" w14:paraId="671577A3" w14:textId="77777777">
            <w:pPr>
              <w:pStyle w:val="Paragraphedeliste"/>
              <w:numPr>
                <w:ilvl w:val="0"/>
                <w:numId w:val="231"/>
              </w:numPr>
            </w:pPr>
            <w:r>
              <w:t>Suivre les mesures de performance des machines et des applications</w:t>
            </w:r>
          </w:p>
          <w:p w:rsidR="006E6D7A" w:rsidRDefault="00B16C64" w14:paraId="671577A4" w14:textId="77777777">
            <w:pPr>
              <w:pStyle w:val="Paragraphedeliste"/>
              <w:numPr>
                <w:ilvl w:val="0"/>
                <w:numId w:val="231"/>
              </w:numPr>
            </w:pPr>
            <w:r>
              <w:t>Veiller à la disponibilité du service</w:t>
            </w:r>
          </w:p>
          <w:p w:rsidR="006E6D7A" w:rsidRDefault="00B16C64" w14:paraId="671577A5" w14:textId="77777777">
            <w:pPr>
              <w:pStyle w:val="Paragraphedeliste"/>
              <w:numPr>
                <w:ilvl w:val="0"/>
                <w:numId w:val="231"/>
              </w:numPr>
            </w:pPr>
            <w:r>
              <w:t>Améliorer la fiabilité et la disponibilité des applications (et des plateformes)</w:t>
            </w:r>
          </w:p>
          <w:p w:rsidR="006E6D7A" w:rsidRDefault="00B16C64" w14:paraId="671577A6" w14:textId="77777777">
            <w:pPr>
              <w:pStyle w:val="Paragraphedeliste"/>
              <w:numPr>
                <w:ilvl w:val="0"/>
                <w:numId w:val="231"/>
              </w:numPr>
            </w:pPr>
            <w:r>
              <w:t xml:space="preserve">Mettre en place des normes et </w:t>
            </w:r>
            <w:proofErr w:type="spellStart"/>
            <w:r>
              <w:t>templates</w:t>
            </w:r>
            <w:proofErr w:type="spellEnd"/>
            <w:r>
              <w:t xml:space="preserve"> de logs (et centraliser les logs)</w:t>
            </w:r>
          </w:p>
          <w:p w:rsidR="006E6D7A" w:rsidRDefault="00B16C64" w14:paraId="671577A7" w14:textId="77777777">
            <w:pPr>
              <w:pStyle w:val="Paragraphedeliste"/>
              <w:numPr>
                <w:ilvl w:val="0"/>
                <w:numId w:val="231"/>
              </w:numPr>
            </w:pPr>
            <w:r>
              <w:t xml:space="preserve">Mettre en place des </w:t>
            </w:r>
            <w:proofErr w:type="spellStart"/>
            <w:r>
              <w:t>dashboards</w:t>
            </w:r>
            <w:proofErr w:type="spellEnd"/>
            <w:r>
              <w:t xml:space="preserve"> pour les équipes</w:t>
            </w:r>
          </w:p>
          <w:p w:rsidR="006E6D7A" w:rsidRDefault="00B16C64" w14:paraId="671577A8" w14:textId="77777777">
            <w:pPr>
              <w:pStyle w:val="Paragraphedeliste"/>
              <w:numPr>
                <w:ilvl w:val="0"/>
                <w:numId w:val="231"/>
              </w:numPr>
            </w:pPr>
            <w:r>
              <w:t>Accompagner les équipes dans l’observabilité transverse</w:t>
            </w:r>
          </w:p>
          <w:p w:rsidR="006E6D7A" w:rsidRDefault="00B16C64" w14:paraId="671577A9" w14:textId="77777777">
            <w:pPr>
              <w:pStyle w:val="Paragraphedeliste"/>
              <w:numPr>
                <w:ilvl w:val="0"/>
                <w:numId w:val="231"/>
              </w:numPr>
            </w:pPr>
            <w:r>
              <w:t xml:space="preserve">Maintenir et administrer l’outillage (ELK, </w:t>
            </w:r>
            <w:proofErr w:type="spellStart"/>
            <w:r>
              <w:t>Prometheus</w:t>
            </w:r>
            <w:proofErr w:type="spellEnd"/>
            <w:r>
              <w:t xml:space="preserve">, </w:t>
            </w:r>
            <w:proofErr w:type="spellStart"/>
            <w:r>
              <w:t>Grafana</w:t>
            </w:r>
            <w:proofErr w:type="spellEnd"/>
            <w:r>
              <w:t xml:space="preserve">, </w:t>
            </w:r>
            <w:proofErr w:type="spellStart"/>
            <w:r>
              <w:t>DigDash</w:t>
            </w:r>
            <w:proofErr w:type="spellEnd"/>
            <w:r>
              <w:t>…)</w:t>
            </w:r>
          </w:p>
          <w:p w:rsidR="006E6D7A" w:rsidRDefault="00B16C64" w14:paraId="671577AA" w14:textId="77777777">
            <w:pPr>
              <w:pStyle w:val="Paragraphedeliste"/>
              <w:numPr>
                <w:ilvl w:val="0"/>
                <w:numId w:val="231"/>
              </w:numPr>
            </w:pPr>
            <w:r>
              <w:t>Assurer le suivi des journaux d’activité et des alertes systèmes</w:t>
            </w:r>
          </w:p>
          <w:p w:rsidR="006E6D7A" w:rsidRDefault="00B16C64" w14:paraId="671577AB" w14:textId="77777777">
            <w:pPr>
              <w:pStyle w:val="Paragraphedeliste"/>
              <w:numPr>
                <w:ilvl w:val="0"/>
                <w:numId w:val="231"/>
              </w:numPr>
            </w:pPr>
            <w:r>
              <w:t>Opérer la supervision (ex</w:t>
            </w:r>
            <w:proofErr w:type="gramStart"/>
            <w:r>
              <w:t> :sonde</w:t>
            </w:r>
            <w:proofErr w:type="gramEnd"/>
            <w:r>
              <w:t xml:space="preserve"> sur Centreon)</w:t>
            </w:r>
          </w:p>
          <w:p w:rsidR="006E6D7A" w:rsidRDefault="00B16C64" w14:paraId="671577AC" w14:textId="77777777">
            <w:pPr>
              <w:pStyle w:val="Paragraphedeliste"/>
              <w:numPr>
                <w:ilvl w:val="0"/>
                <w:numId w:val="231"/>
              </w:numPr>
            </w:pPr>
            <w:r>
              <w:t>Opérer le monitoring de la donnée (ex. HRA, SINAPS, IDM, PID, SIFAC…)</w:t>
            </w:r>
          </w:p>
          <w:p w:rsidR="006E6D7A" w:rsidRDefault="006E6D7A" w14:paraId="671577AD" w14:textId="77777777">
            <w:pPr>
              <w:pStyle w:val="Tableau-Puce1"/>
              <w:numPr>
                <w:ilvl w:val="0"/>
                <w:numId w:val="0"/>
              </w:numPr>
            </w:pPr>
          </w:p>
          <w:p w:rsidR="006E6D7A" w:rsidRDefault="00B16C64" w14:paraId="671577AE" w14:textId="77777777">
            <w:pPr>
              <w:pStyle w:val="Tableau-Puce1"/>
              <w:numPr>
                <w:ilvl w:val="0"/>
                <w:numId w:val="228"/>
              </w:numPr>
              <w:rPr>
                <w:b/>
                <w:bCs/>
              </w:rPr>
            </w:pPr>
            <w:r>
              <w:rPr>
                <w:b/>
                <w:bCs/>
              </w:rPr>
              <w:t>Gestion des incidents :</w:t>
            </w:r>
          </w:p>
          <w:p w:rsidR="006E6D7A" w:rsidRDefault="00B16C64" w14:paraId="671577AF" w14:textId="77777777">
            <w:pPr>
              <w:pStyle w:val="Tableau-Puce1"/>
            </w:pPr>
            <w:r>
              <w:t>Relations et informations avec le domaine Exploitation Nationale</w:t>
            </w:r>
          </w:p>
          <w:p w:rsidR="006E6D7A" w:rsidRDefault="00B16C64" w14:paraId="671577B0" w14:textId="77777777">
            <w:pPr>
              <w:pStyle w:val="Tableau-Puce1"/>
            </w:pPr>
            <w:r>
              <w:t>Remontée des incidents bloquants selon les processus établis</w:t>
            </w:r>
          </w:p>
          <w:p w:rsidR="006E6D7A" w:rsidRDefault="00B16C64" w14:paraId="671577B1" w14:textId="77777777">
            <w:pPr>
              <w:pStyle w:val="Tableau-Puce1"/>
            </w:pPr>
            <w:r>
              <w:t>Dans les cas d’un incident bloquant où dans tous les cas où la cause d’un incident n’est pas connue, ouverture dans l’outil de gestion en vigueur d’un problème et la prise en charge de son analyse et l’élaboration de propositions de résolution / contournement</w:t>
            </w:r>
          </w:p>
          <w:p w:rsidR="006E6D7A" w:rsidRDefault="00B16C64" w14:paraId="671577B2" w14:textId="77777777">
            <w:pPr>
              <w:pStyle w:val="Tableau-Puce1"/>
            </w:pPr>
            <w:r>
              <w:t>Escalade vers les niveaux N2/N3</w:t>
            </w:r>
          </w:p>
          <w:p w:rsidR="006E6D7A" w:rsidRDefault="006E6D7A" w14:paraId="671577B3" w14:textId="77777777">
            <w:pPr>
              <w:pStyle w:val="Tableau-Puce1"/>
              <w:numPr>
                <w:ilvl w:val="0"/>
                <w:numId w:val="0"/>
              </w:numPr>
            </w:pPr>
          </w:p>
          <w:p w:rsidR="006E6D7A" w:rsidRDefault="00B16C64" w14:paraId="671577B4" w14:textId="77777777">
            <w:pPr>
              <w:pStyle w:val="Tableau-Puce1"/>
              <w:numPr>
                <w:ilvl w:val="0"/>
                <w:numId w:val="229"/>
              </w:numPr>
              <w:rPr>
                <w:b/>
                <w:bCs/>
              </w:rPr>
            </w:pPr>
            <w:r>
              <w:rPr>
                <w:b/>
                <w:bCs/>
              </w:rPr>
              <w:t>Support aux utilisateurs (N1, N2, N3) :</w:t>
            </w:r>
          </w:p>
          <w:p w:rsidR="006E6D7A" w:rsidRDefault="00B16C64" w14:paraId="671577B5" w14:textId="77777777">
            <w:pPr>
              <w:pStyle w:val="Tableau-Puce1"/>
            </w:pPr>
            <w:r>
              <w:t>Réponses aux questions sur l’utilisation des produits de SOLAIRE</w:t>
            </w:r>
          </w:p>
          <w:p w:rsidR="006E6D7A" w:rsidRDefault="00B16C64" w14:paraId="671577B6" w14:textId="77777777">
            <w:pPr>
              <w:pStyle w:val="Tableau-Puce1"/>
            </w:pPr>
            <w:r>
              <w:t>Coordination avec les équipes projet</w:t>
            </w:r>
          </w:p>
          <w:p w:rsidR="006E6D7A" w:rsidRDefault="006E6D7A" w14:paraId="671577B7" w14:textId="77777777">
            <w:pPr>
              <w:pStyle w:val="Tableau-Puce1"/>
              <w:numPr>
                <w:ilvl w:val="0"/>
                <w:numId w:val="0"/>
              </w:numPr>
            </w:pPr>
          </w:p>
          <w:p w:rsidR="006E6D7A" w:rsidRDefault="00B16C64" w14:paraId="671577B8" w14:textId="77777777">
            <w:pPr>
              <w:pStyle w:val="Tableau-Puce1"/>
              <w:numPr>
                <w:ilvl w:val="0"/>
                <w:numId w:val="230"/>
              </w:numPr>
              <w:ind w:hanging="425"/>
              <w:rPr>
                <w:b/>
                <w:bCs/>
              </w:rPr>
            </w:pPr>
            <w:r>
              <w:rPr>
                <w:b/>
                <w:bCs/>
              </w:rPr>
              <w:t>Amélioration continue :</w:t>
            </w:r>
          </w:p>
          <w:p w:rsidR="006E6D7A" w:rsidRDefault="00B16C64" w14:paraId="671577B9" w14:textId="77777777">
            <w:pPr>
              <w:pStyle w:val="Tableau-Puce1"/>
            </w:pPr>
            <w:r>
              <w:t>Amélioration des méthodes et techniques d’exploitabilité des solutions</w:t>
            </w:r>
          </w:p>
          <w:p w:rsidR="006E6D7A" w:rsidRDefault="00B16C64" w14:paraId="671577BA" w14:textId="77777777">
            <w:pPr>
              <w:pStyle w:val="Tableau-Puce1"/>
            </w:pPr>
            <w:r>
              <w:t>Capitalisation sur les retours d’incidents</w:t>
            </w:r>
          </w:p>
          <w:p w:rsidR="006E6D7A" w:rsidRDefault="00B16C64" w14:paraId="671577BB" w14:textId="77777777">
            <w:pPr>
              <w:pStyle w:val="Tableau-Puce1"/>
            </w:pPr>
            <w:r>
              <w:t>Optimisation des outils d’exploitation</w:t>
            </w:r>
          </w:p>
          <w:p w:rsidR="006E6D7A" w:rsidRDefault="00B16C64" w14:paraId="671577BC" w14:textId="77777777">
            <w:pPr>
              <w:pStyle w:val="Tableau-Puce1"/>
            </w:pPr>
            <w:r>
              <w:t>Adaptation des procédures</w:t>
            </w:r>
          </w:p>
          <w:p w:rsidR="006E6D7A" w:rsidRDefault="006E6D7A" w14:paraId="671577BD" w14:textId="77777777">
            <w:pPr>
              <w:pStyle w:val="Tableau-Puce1"/>
              <w:numPr>
                <w:ilvl w:val="0"/>
                <w:numId w:val="0"/>
              </w:numPr>
            </w:pPr>
          </w:p>
          <w:p w:rsidR="006E6D7A" w:rsidRDefault="00B16C64" w14:paraId="671577BE" w14:textId="77777777">
            <w:pPr>
              <w:pStyle w:val="Tableau-Puce1"/>
              <w:numPr>
                <w:ilvl w:val="0"/>
                <w:numId w:val="233"/>
              </w:numPr>
              <w:rPr>
                <w:b/>
                <w:bCs/>
              </w:rPr>
            </w:pPr>
            <w:r>
              <w:rPr>
                <w:b/>
                <w:bCs/>
              </w:rPr>
              <w:t>Maintien et administration</w:t>
            </w:r>
          </w:p>
          <w:p w:rsidR="006E6D7A" w:rsidRDefault="00B16C64" w14:paraId="671577BF" w14:textId="77777777">
            <w:pPr>
              <w:pStyle w:val="Paragraphedeliste"/>
              <w:numPr>
                <w:ilvl w:val="0"/>
                <w:numId w:val="232"/>
              </w:numPr>
            </w:pPr>
            <w:r>
              <w:t>I</w:t>
            </w:r>
            <w:r>
              <w:rPr>
                <w:highlight w:val="white"/>
              </w:rPr>
              <w:t>nstaller, configurer et maintenir les applications de la plateforme / du service (intégration et automatisation via des outils - Ansible, python/</w:t>
            </w:r>
            <w:proofErr w:type="spellStart"/>
            <w:r>
              <w:rPr>
                <w:highlight w:val="white"/>
              </w:rPr>
              <w:t>rundeck</w:t>
            </w:r>
            <w:proofErr w:type="spellEnd"/>
            <w:r>
              <w:rPr>
                <w:highlight w:val="white"/>
              </w:rPr>
              <w:t xml:space="preserve"> et </w:t>
            </w:r>
            <w:r>
              <w:t>ordonnanceur, rédaction du DH</w:t>
            </w:r>
            <w:r>
              <w:rPr>
                <w:highlight w:val="white"/>
              </w:rPr>
              <w:t>)</w:t>
            </w:r>
          </w:p>
          <w:p w:rsidR="006E6D7A" w:rsidRDefault="00B16C64" w14:paraId="671577C0" w14:textId="77777777">
            <w:pPr>
              <w:pStyle w:val="Paragraphedeliste"/>
              <w:numPr>
                <w:ilvl w:val="0"/>
                <w:numId w:val="232"/>
              </w:numPr>
            </w:pPr>
            <w:r>
              <w:t>V</w:t>
            </w:r>
            <w:r>
              <w:rPr>
                <w:highlight w:val="white"/>
              </w:rPr>
              <w:t>érifier la compatibilité et assurer le suivi des mises à jour des applications de la plateforme / du service</w:t>
            </w:r>
          </w:p>
          <w:p w:rsidR="006E6D7A" w:rsidRDefault="00B16C64" w14:paraId="671577C1" w14:textId="77777777">
            <w:pPr>
              <w:pStyle w:val="Paragraphedeliste"/>
              <w:numPr>
                <w:ilvl w:val="0"/>
                <w:numId w:val="232"/>
              </w:numPr>
            </w:pPr>
            <w:r>
              <w:t>I</w:t>
            </w:r>
            <w:r>
              <w:rPr>
                <w:highlight w:val="white"/>
              </w:rPr>
              <w:t>ntégrer le service avec les systèmes tiers et environnement de l’établissement INRAE (messagerie, SSO, Stockage, API Manager)</w:t>
            </w:r>
          </w:p>
          <w:p w:rsidR="006E6D7A" w:rsidRDefault="00B16C64" w14:paraId="671577C2" w14:textId="77777777">
            <w:pPr>
              <w:pStyle w:val="Paragraphedeliste"/>
              <w:numPr>
                <w:ilvl w:val="0"/>
                <w:numId w:val="232"/>
              </w:numPr>
            </w:pPr>
            <w:r>
              <w:lastRenderedPageBreak/>
              <w:t xml:space="preserve">Créer les APIs et les applications sur l’API Manager prod (et PP) et en gérer les accès (via plans, clés ou </w:t>
            </w:r>
            <w:proofErr w:type="spellStart"/>
            <w:r>
              <w:t>keycloak</w:t>
            </w:r>
            <w:proofErr w:type="spellEnd"/>
            <w:r>
              <w:t>)</w:t>
            </w:r>
          </w:p>
          <w:p w:rsidR="006E6D7A" w:rsidRDefault="00B16C64" w14:paraId="671577C3" w14:textId="77777777">
            <w:pPr>
              <w:pStyle w:val="Paragraphedeliste"/>
              <w:numPr>
                <w:ilvl w:val="0"/>
                <w:numId w:val="232"/>
              </w:numPr>
            </w:pPr>
            <w:r>
              <w:t xml:space="preserve">Gérer les droits, les rôles, les accès des applications (et des plateformes) de la production (et PP) </w:t>
            </w:r>
          </w:p>
          <w:p w:rsidR="006E6D7A" w:rsidRDefault="00B16C64" w14:paraId="671577C4" w14:textId="77777777">
            <w:pPr>
              <w:pStyle w:val="Paragraphedeliste"/>
              <w:numPr>
                <w:ilvl w:val="0"/>
                <w:numId w:val="232"/>
              </w:numPr>
            </w:pPr>
            <w:r>
              <w:t xml:space="preserve">Mettre en place les sauvegardes/restaurations automatisées ? </w:t>
            </w:r>
            <w:proofErr w:type="gramStart"/>
            <w:r>
              <w:t>( pôle</w:t>
            </w:r>
            <w:proofErr w:type="gramEnd"/>
            <w:r>
              <w:t xml:space="preserve"> DBA ) ?</w:t>
            </w:r>
          </w:p>
          <w:p w:rsidR="006E6D7A" w:rsidRDefault="00B16C64" w14:paraId="671577C5" w14:textId="77777777">
            <w:pPr>
              <w:pStyle w:val="Paragraphedeliste"/>
              <w:numPr>
                <w:ilvl w:val="0"/>
                <w:numId w:val="232"/>
              </w:numPr>
            </w:pPr>
            <w:r>
              <w:t>Intégrer les conformités SSI et RGPD</w:t>
            </w:r>
          </w:p>
          <w:p w:rsidR="006E6D7A" w:rsidRDefault="00B16C64" w14:paraId="671577C6" w14:textId="77777777">
            <w:pPr>
              <w:pStyle w:val="Tableau-Puce1"/>
              <w:numPr>
                <w:ilvl w:val="0"/>
                <w:numId w:val="236"/>
              </w:numPr>
              <w:rPr>
                <w:b/>
                <w:bCs/>
              </w:rPr>
            </w:pPr>
            <w:r>
              <w:rPr>
                <w:b/>
                <w:bCs/>
              </w:rPr>
              <w:t>Garantie de la sécurité</w:t>
            </w:r>
          </w:p>
          <w:p w:rsidR="006E6D7A" w:rsidRDefault="00B16C64" w14:paraId="671577C7" w14:textId="77777777">
            <w:pPr>
              <w:pStyle w:val="Paragraphedeliste"/>
              <w:numPr>
                <w:ilvl w:val="0"/>
                <w:numId w:val="234"/>
              </w:numPr>
            </w:pPr>
            <w:r>
              <w:t>Vérifier les librairies livrées (</w:t>
            </w:r>
            <w:proofErr w:type="gramStart"/>
            <w:r>
              <w:t>ex:</w:t>
            </w:r>
            <w:proofErr w:type="gramEnd"/>
            <w:r>
              <w:t xml:space="preserve"> log4j)</w:t>
            </w:r>
          </w:p>
          <w:p w:rsidR="006E6D7A" w:rsidRDefault="00B16C64" w14:paraId="671577C8" w14:textId="77777777">
            <w:pPr>
              <w:pStyle w:val="Paragraphedeliste"/>
              <w:numPr>
                <w:ilvl w:val="0"/>
                <w:numId w:val="234"/>
              </w:numPr>
            </w:pPr>
            <w:r>
              <w:t>Suivre les patchs de sécurité à appliquer</w:t>
            </w:r>
          </w:p>
          <w:p w:rsidR="006E6D7A" w:rsidRDefault="00B16C64" w14:paraId="671577C9" w14:textId="77777777">
            <w:pPr>
              <w:pStyle w:val="Paragraphedeliste"/>
              <w:numPr>
                <w:ilvl w:val="0"/>
                <w:numId w:val="234"/>
              </w:numPr>
            </w:pPr>
            <w:r>
              <w:t>Suivre la sécurité à tous les niveaux</w:t>
            </w:r>
          </w:p>
          <w:p w:rsidR="006E6D7A" w:rsidRDefault="00B16C64" w14:paraId="671577CA" w14:textId="77777777">
            <w:pPr>
              <w:pStyle w:val="Paragraphedeliste"/>
              <w:numPr>
                <w:ilvl w:val="0"/>
                <w:numId w:val="234"/>
              </w:numPr>
            </w:pPr>
            <w:r>
              <w:t>Renforcer la sécurité des environnements de production</w:t>
            </w:r>
          </w:p>
          <w:p w:rsidR="006E6D7A" w:rsidRDefault="00B16C64" w14:paraId="671577CB" w14:textId="77777777">
            <w:pPr>
              <w:pStyle w:val="Paragraphedeliste"/>
              <w:numPr>
                <w:ilvl w:val="0"/>
                <w:numId w:val="234"/>
              </w:numPr>
            </w:pPr>
            <w:r>
              <w:t xml:space="preserve">Réduire les risques liés aux accès manuels à la production (accès </w:t>
            </w:r>
            <w:proofErr w:type="spellStart"/>
            <w:r>
              <w:t>ssh</w:t>
            </w:r>
            <w:proofErr w:type="spellEnd"/>
            <w:r>
              <w:t xml:space="preserve"> réservés aux personnes habilitées) =&gt; prévoir des outils/pipelines et des boutons pour déployer/consulter en production</w:t>
            </w:r>
          </w:p>
          <w:p w:rsidR="006E6D7A" w:rsidRDefault="00B16C64" w14:paraId="671577CC" w14:textId="77777777">
            <w:pPr>
              <w:pStyle w:val="Paragraphedeliste"/>
              <w:numPr>
                <w:ilvl w:val="0"/>
                <w:numId w:val="234"/>
              </w:numPr>
            </w:pPr>
            <w:r>
              <w:t>Gérer les secrets (</w:t>
            </w:r>
            <w:proofErr w:type="spellStart"/>
            <w:r>
              <w:t>vault</w:t>
            </w:r>
            <w:proofErr w:type="spellEnd"/>
            <w:r>
              <w:t>, ...)</w:t>
            </w:r>
          </w:p>
          <w:p w:rsidR="006E6D7A" w:rsidRDefault="00B16C64" w14:paraId="671577CD" w14:textId="77777777">
            <w:pPr>
              <w:pStyle w:val="Paragraphedeliste"/>
              <w:numPr>
                <w:ilvl w:val="0"/>
                <w:numId w:val="235"/>
              </w:numPr>
            </w:pPr>
            <w:r>
              <w:t>Intégrer les conformités SSI et RGPD</w:t>
            </w:r>
          </w:p>
          <w:p w:rsidR="006E6D7A" w:rsidRDefault="00B16C64" w14:paraId="671577CE" w14:textId="77777777">
            <w:pPr>
              <w:pStyle w:val="Tableau-Puce1"/>
              <w:numPr>
                <w:ilvl w:val="0"/>
                <w:numId w:val="238"/>
              </w:numPr>
            </w:pPr>
            <w:r>
              <w:rPr>
                <w:b/>
                <w:bCs/>
              </w:rPr>
              <w:t>Exploitation</w:t>
            </w:r>
          </w:p>
          <w:p w:rsidR="006E6D7A" w:rsidRDefault="00B16C64" w14:paraId="671577CF" w14:textId="77777777">
            <w:pPr>
              <w:pStyle w:val="Paragraphedeliste"/>
              <w:numPr>
                <w:ilvl w:val="0"/>
                <w:numId w:val="237"/>
              </w:numPr>
            </w:pPr>
            <w:r>
              <w:t>A</w:t>
            </w:r>
            <w:r>
              <w:rPr>
                <w:highlight w:val="white"/>
              </w:rPr>
              <w:t>ssurer le support technique de niveau 1 à 3 pour les utilisateurs</w:t>
            </w:r>
            <w:r>
              <w:t xml:space="preserve"> ? </w:t>
            </w:r>
          </w:p>
          <w:p w:rsidR="006E6D7A" w:rsidRDefault="00B16C64" w14:paraId="671577D0" w14:textId="77777777">
            <w:pPr>
              <w:pStyle w:val="Paragraphedeliste"/>
              <w:numPr>
                <w:ilvl w:val="0"/>
                <w:numId w:val="237"/>
              </w:numPr>
            </w:pPr>
            <w:r>
              <w:t>Automatiser les traitements récurrents via scripts</w:t>
            </w:r>
          </w:p>
          <w:p w:rsidR="006E6D7A" w:rsidRDefault="00B16C64" w14:paraId="671577D1" w14:textId="77777777">
            <w:pPr>
              <w:pStyle w:val="Paragraphedeliste"/>
              <w:numPr>
                <w:ilvl w:val="0"/>
                <w:numId w:val="237"/>
              </w:numPr>
            </w:pPr>
            <w:r>
              <w:t>Gérer les calendriers d'exploitation :</w:t>
            </w:r>
          </w:p>
          <w:p w:rsidR="006E6D7A" w:rsidRDefault="00B16C64" w14:paraId="671577D2" w14:textId="77777777">
            <w:pPr>
              <w:pStyle w:val="Paragraphedeliste"/>
              <w:numPr>
                <w:ilvl w:val="1"/>
                <w:numId w:val="237"/>
              </w:numPr>
            </w:pPr>
            <w:proofErr w:type="gramStart"/>
            <w:r>
              <w:t>arrêt</w:t>
            </w:r>
            <w:proofErr w:type="gramEnd"/>
            <w:r>
              <w:t xml:space="preserve"> DC</w:t>
            </w:r>
          </w:p>
          <w:p w:rsidR="006E6D7A" w:rsidRDefault="00B16C64" w14:paraId="671577D3" w14:textId="77777777">
            <w:pPr>
              <w:pStyle w:val="Paragraphedeliste"/>
              <w:numPr>
                <w:ilvl w:val="1"/>
                <w:numId w:val="237"/>
              </w:numPr>
            </w:pPr>
            <w:proofErr w:type="gramStart"/>
            <w:r>
              <w:t>mises</w:t>
            </w:r>
            <w:proofErr w:type="gramEnd"/>
            <w:r>
              <w:t xml:space="preserve"> à jour des certificats et des OS</w:t>
            </w:r>
          </w:p>
          <w:p w:rsidR="006E6D7A" w:rsidRDefault="006E6D7A" w14:paraId="671577D4" w14:textId="77777777">
            <w:pPr>
              <w:pStyle w:val="Paragraphedeliste"/>
              <w:numPr>
                <w:ilvl w:val="0"/>
                <w:numId w:val="237"/>
              </w:numPr>
            </w:pPr>
          </w:p>
          <w:p w:rsidR="006E6D7A" w:rsidRDefault="00B16C64" w14:paraId="671577D5" w14:textId="77777777">
            <w:pPr>
              <w:pStyle w:val="Paragraphedeliste"/>
              <w:numPr>
                <w:ilvl w:val="0"/>
                <w:numId w:val="240"/>
              </w:numPr>
              <w:rPr>
                <w:b/>
                <w:bCs/>
              </w:rPr>
            </w:pPr>
            <w:r>
              <w:rPr>
                <w:b/>
                <w:bCs/>
              </w:rPr>
              <w:t>Capitalisation sur les bonnes pratiques transverses</w:t>
            </w:r>
          </w:p>
          <w:p w:rsidR="006E6D7A" w:rsidRDefault="00B16C64" w14:paraId="671577D6" w14:textId="77777777">
            <w:pPr>
              <w:pStyle w:val="Paragraphedeliste"/>
              <w:numPr>
                <w:ilvl w:val="0"/>
                <w:numId w:val="239"/>
              </w:numPr>
            </w:pPr>
            <w:r>
              <w:t>Examiner les incidents et diffuser les post-</w:t>
            </w:r>
            <w:proofErr w:type="spellStart"/>
            <w:r>
              <w:t>mortems</w:t>
            </w:r>
            <w:proofErr w:type="spellEnd"/>
          </w:p>
          <w:p w:rsidR="006E6D7A" w:rsidRDefault="00B16C64" w14:paraId="671577D7" w14:textId="77777777">
            <w:pPr>
              <w:pStyle w:val="Paragraphedeliste"/>
              <w:numPr>
                <w:ilvl w:val="0"/>
                <w:numId w:val="239"/>
              </w:numPr>
            </w:pPr>
            <w:r>
              <w:t>Animer des réunions de pratiques communes</w:t>
            </w:r>
          </w:p>
          <w:p w:rsidR="006E6D7A" w:rsidRDefault="00B16C64" w14:paraId="671577D8" w14:textId="77777777">
            <w:pPr>
              <w:pStyle w:val="Paragraphedeliste"/>
              <w:numPr>
                <w:ilvl w:val="0"/>
                <w:numId w:val="239"/>
              </w:numPr>
            </w:pPr>
            <w:r>
              <w:t xml:space="preserve">Centraliser la documentation (exploitation, </w:t>
            </w:r>
            <w:proofErr w:type="spellStart"/>
            <w:proofErr w:type="gramStart"/>
            <w:r>
              <w:t>dev,ops</w:t>
            </w:r>
            <w:proofErr w:type="spellEnd"/>
            <w:proofErr w:type="gramEnd"/>
            <w:r>
              <w:t>)</w:t>
            </w:r>
          </w:p>
          <w:p w:rsidR="006E6D7A" w:rsidRDefault="00B16C64" w14:paraId="671577D9" w14:textId="77777777">
            <w:pPr>
              <w:pStyle w:val="Paragraphedeliste"/>
              <w:numPr>
                <w:ilvl w:val="0"/>
                <w:numId w:val="239"/>
              </w:numPr>
            </w:pPr>
            <w:r>
              <w:t xml:space="preserve">Centraliser les </w:t>
            </w:r>
            <w:proofErr w:type="spellStart"/>
            <w:r>
              <w:t>playbooks</w:t>
            </w:r>
            <w:proofErr w:type="spellEnd"/>
            <w:r>
              <w:t xml:space="preserve"> ?</w:t>
            </w:r>
          </w:p>
          <w:p w:rsidR="006E6D7A" w:rsidRDefault="00B16C64" w14:paraId="671577DA" w14:textId="77777777">
            <w:pPr>
              <w:pStyle w:val="Paragraphedeliste"/>
              <w:numPr>
                <w:ilvl w:val="0"/>
                <w:numId w:val="239"/>
              </w:numPr>
            </w:pPr>
            <w:r>
              <w:t xml:space="preserve">Fournir des scripts/outils utiles en </w:t>
            </w:r>
            <w:proofErr w:type="spellStart"/>
            <w:r>
              <w:t>libre service</w:t>
            </w:r>
            <w:proofErr w:type="spellEnd"/>
          </w:p>
          <w:p w:rsidR="006E6D7A" w:rsidRDefault="00B16C64" w14:paraId="671577DB" w14:textId="77777777">
            <w:pPr>
              <w:pStyle w:val="Paragraphedeliste"/>
              <w:numPr>
                <w:ilvl w:val="0"/>
                <w:numId w:val="239"/>
              </w:numPr>
            </w:pPr>
            <w:r>
              <w:t>Apporter le soutien nécessaire aux différentes équipes</w:t>
            </w:r>
          </w:p>
          <w:p w:rsidR="006E6D7A" w:rsidRDefault="00B16C64" w14:paraId="671577DC" w14:textId="77777777">
            <w:pPr>
              <w:pStyle w:val="Paragraphedeliste"/>
              <w:numPr>
                <w:ilvl w:val="0"/>
                <w:numId w:val="239"/>
              </w:numPr>
            </w:pPr>
            <w:r>
              <w:t>Accroître l'autonomie des équipes en les accompagnant</w:t>
            </w:r>
          </w:p>
          <w:p w:rsidR="006E6D7A" w:rsidRDefault="00B16C64" w14:paraId="671577DD" w14:textId="77777777">
            <w:pPr>
              <w:pStyle w:val="Paragraphedeliste"/>
              <w:numPr>
                <w:ilvl w:val="0"/>
                <w:numId w:val="239"/>
              </w:numPr>
            </w:pPr>
            <w:r>
              <w:t>M</w:t>
            </w:r>
            <w:r>
              <w:rPr>
                <w:highlight w:val="white"/>
              </w:rPr>
              <w:t>ettre à disposition une documentation technique et fonctionnelle</w:t>
            </w:r>
          </w:p>
          <w:p w:rsidR="006E6D7A" w:rsidRDefault="00B16C64" w14:paraId="671577DE" w14:textId="77777777">
            <w:pPr>
              <w:pStyle w:val="Paragraphedeliste"/>
              <w:numPr>
                <w:ilvl w:val="0"/>
                <w:numId w:val="239"/>
              </w:numPr>
            </w:pPr>
            <w:r>
              <w:t>F</w:t>
            </w:r>
            <w:r>
              <w:rPr>
                <w:highlight w:val="white"/>
              </w:rPr>
              <w:t>ormer les équipiers aux bonnes pratiques</w:t>
            </w:r>
            <w:r>
              <w:t xml:space="preserve"> </w:t>
            </w:r>
            <w:proofErr w:type="spellStart"/>
            <w:r>
              <w:t>devsecops</w:t>
            </w:r>
            <w:proofErr w:type="spellEnd"/>
          </w:p>
          <w:p w:rsidR="006E6D7A" w:rsidRDefault="00B16C64" w14:paraId="671577DF" w14:textId="77777777">
            <w:pPr>
              <w:pStyle w:val="Paragraphedeliste"/>
              <w:numPr>
                <w:ilvl w:val="0"/>
                <w:numId w:val="239"/>
              </w:numPr>
            </w:pPr>
            <w:r>
              <w:t>Documenter la politique de gestion des accès en production</w:t>
            </w:r>
          </w:p>
          <w:p w:rsidR="006E6D7A" w:rsidRDefault="006E6D7A" w14:paraId="671577E0" w14:textId="77777777">
            <w:pPr>
              <w:pStyle w:val="Tableau-Puce1"/>
              <w:numPr>
                <w:ilvl w:val="0"/>
                <w:numId w:val="0"/>
              </w:numPr>
            </w:pPr>
          </w:p>
        </w:tc>
      </w:tr>
    </w:tbl>
    <w:p w:rsidR="006E6D7A" w:rsidRDefault="00B16C64" w14:paraId="671577E2" w14:textId="77777777">
      <w:pPr>
        <w:pStyle w:val="Titre41"/>
        <w:rPr>
          <w:szCs w:val="22"/>
        </w:rPr>
      </w:pPr>
      <w:r>
        <w:rPr>
          <w:szCs w:val="22"/>
        </w:rPr>
        <w:lastRenderedPageBreak/>
        <w:t>Livrables</w:t>
      </w:r>
    </w:p>
    <w:tbl>
      <w:tblPr>
        <w:tblW w:w="9634" w:type="dxa"/>
        <w:tblLayout w:type="fixed"/>
        <w:tblCellMar>
          <w:left w:w="70" w:type="dxa"/>
          <w:right w:w="70" w:type="dxa"/>
        </w:tblCellMar>
        <w:tblLook w:val="04A0" w:firstRow="1" w:lastRow="0" w:firstColumn="1" w:lastColumn="0" w:noHBand="0" w:noVBand="1"/>
      </w:tblPr>
      <w:tblGrid>
        <w:gridCol w:w="3459"/>
        <w:gridCol w:w="6175"/>
      </w:tblGrid>
      <w:tr w:rsidR="006E6D7A" w14:paraId="671577E5" w14:textId="77777777">
        <w:trPr>
          <w:trHeight w:val="290"/>
        </w:trPr>
        <w:tc>
          <w:tcPr>
            <w:tcW w:w="3459"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7E3" w14:textId="77777777">
            <w:pPr>
              <w:jc w:val="center"/>
              <w:rPr>
                <w:color w:val="FFFFFF"/>
              </w:rPr>
            </w:pPr>
            <w:r>
              <w:t xml:space="preserve"> </w:t>
            </w:r>
            <w:r>
              <w:rPr>
                <w:color w:val="FFFFFF"/>
              </w:rPr>
              <w:t>Livrable attendu</w:t>
            </w:r>
          </w:p>
        </w:tc>
        <w:tc>
          <w:tcPr>
            <w:tcW w:w="6174"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7E4" w14:textId="77777777">
            <w:pPr>
              <w:jc w:val="center"/>
              <w:rPr>
                <w:color w:val="FFFFFF"/>
              </w:rPr>
            </w:pPr>
            <w:r>
              <w:rPr>
                <w:color w:val="FFFFFF"/>
              </w:rPr>
              <w:t>Délai de livraison</w:t>
            </w:r>
          </w:p>
        </w:tc>
      </w:tr>
      <w:tr w:rsidR="006E6D7A" w14:paraId="671577E8" w14:textId="77777777">
        <w:trPr>
          <w:trHeight w:val="290"/>
        </w:trPr>
        <w:tc>
          <w:tcPr>
            <w:tcW w:w="3459"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E6" w14:textId="77777777">
            <w:pPr>
              <w:jc w:val="center"/>
              <w:rPr>
                <w:color w:val="000000"/>
              </w:rPr>
            </w:pPr>
            <w:r>
              <w:rPr>
                <w:color w:val="000000"/>
              </w:rPr>
              <w:t>Plan d'engagement des UO</w:t>
            </w:r>
          </w:p>
        </w:tc>
        <w:tc>
          <w:tcPr>
            <w:tcW w:w="6174" w:type="dxa"/>
            <w:vMerge w:val="restart"/>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E7" w14:textId="77777777">
            <w:pPr>
              <w:jc w:val="center"/>
              <w:rPr>
                <w:color w:val="000000"/>
              </w:rPr>
            </w:pPr>
            <w:r>
              <w:rPr>
                <w:color w:val="000000"/>
              </w:rPr>
              <w:t>Délai maximal d'exécution de la prestation : 6 mois</w:t>
            </w:r>
          </w:p>
        </w:tc>
      </w:tr>
      <w:tr w:rsidR="006E6D7A" w14:paraId="671577EB" w14:textId="77777777">
        <w:trPr>
          <w:trHeight w:val="290"/>
        </w:trPr>
        <w:tc>
          <w:tcPr>
            <w:tcW w:w="3459"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E9" w14:textId="77777777">
            <w:pPr>
              <w:jc w:val="center"/>
              <w:rPr>
                <w:color w:val="000000"/>
              </w:rPr>
            </w:pPr>
            <w:r>
              <w:rPr>
                <w:color w:val="000000"/>
              </w:rPr>
              <w:lastRenderedPageBreak/>
              <w:t>Engagement de toute les UO du plan</w:t>
            </w:r>
          </w:p>
        </w:tc>
        <w:tc>
          <w:tcPr>
            <w:tcW w:w="6174"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7EA" w14:textId="77777777">
            <w:pPr>
              <w:rPr>
                <w:color w:val="000000"/>
              </w:rPr>
            </w:pPr>
          </w:p>
        </w:tc>
      </w:tr>
    </w:tbl>
    <w:p w:rsidR="006E6D7A" w:rsidRDefault="00B16C64" w14:paraId="671577EC" w14:textId="77777777">
      <w:pPr>
        <w:pStyle w:val="Titre41"/>
        <w:rPr>
          <w:szCs w:val="22"/>
        </w:rPr>
      </w:pPr>
      <w:r>
        <w:rPr>
          <w:szCs w:val="22"/>
        </w:rPr>
        <w:t>Exigences</w:t>
      </w:r>
    </w:p>
    <w:tbl>
      <w:tblPr>
        <w:tblW w:w="9634" w:type="dxa"/>
        <w:tblLayout w:type="fixed"/>
        <w:tblCellMar>
          <w:left w:w="70" w:type="dxa"/>
          <w:right w:w="70" w:type="dxa"/>
        </w:tblCellMar>
        <w:tblLook w:val="04A0" w:firstRow="1" w:lastRow="0" w:firstColumn="1" w:lastColumn="0" w:noHBand="0" w:noVBand="1"/>
      </w:tblPr>
      <w:tblGrid>
        <w:gridCol w:w="1129"/>
        <w:gridCol w:w="8505"/>
      </w:tblGrid>
      <w:tr w:rsidR="006E6D7A" w14:paraId="671577F0" w14:textId="77777777">
        <w:trPr>
          <w:trHeight w:val="290"/>
        </w:trPr>
        <w:tc>
          <w:tcPr>
            <w:tcW w:w="1129"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7ED" w14:textId="77777777">
            <w:pPr>
              <w:jc w:val="center"/>
              <w:rPr>
                <w:color w:val="FFFFFF"/>
              </w:rPr>
            </w:pPr>
            <w:proofErr w:type="spellStart"/>
            <w:r>
              <w:rPr>
                <w:color w:val="FFFFFF"/>
              </w:rPr>
              <w:t>Ref</w:t>
            </w:r>
            <w:proofErr w:type="spellEnd"/>
            <w:r>
              <w:rPr>
                <w:color w:val="FFFFFF"/>
              </w:rPr>
              <w:t>.</w:t>
            </w:r>
          </w:p>
          <w:p w:rsidR="006E6D7A" w:rsidRDefault="00B16C64" w14:paraId="671577EE" w14:textId="77777777">
            <w:pPr>
              <w:jc w:val="center"/>
              <w:rPr>
                <w:color w:val="FFFFFF"/>
              </w:rPr>
            </w:pPr>
            <w:r>
              <w:rPr>
                <w:color w:val="FFFFFF"/>
              </w:rPr>
              <w:t>Exigence</w:t>
            </w:r>
          </w:p>
        </w:tc>
        <w:tc>
          <w:tcPr>
            <w:tcW w:w="8504"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7EF" w14:textId="77777777">
            <w:pPr>
              <w:jc w:val="center"/>
              <w:rPr>
                <w:color w:val="FFFFFF"/>
              </w:rPr>
            </w:pPr>
            <w:r>
              <w:rPr>
                <w:color w:val="FFFFFF"/>
              </w:rPr>
              <w:t>Exigence</w:t>
            </w:r>
          </w:p>
        </w:tc>
      </w:tr>
      <w:tr w:rsidR="006E6D7A" w14:paraId="671577F3" w14:textId="77777777">
        <w:trPr>
          <w:trHeight w:val="290"/>
        </w:trPr>
        <w:tc>
          <w:tcPr>
            <w:tcW w:w="1129"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F1" w14:textId="77777777">
            <w:pPr>
              <w:jc w:val="center"/>
              <w:rPr>
                <w:color w:val="000000"/>
              </w:rPr>
            </w:pPr>
            <w:r>
              <w:rPr>
                <w:color w:val="000000"/>
                <w:sz w:val="20"/>
                <w:szCs w:val="20"/>
              </w:rPr>
              <w:t>Ex_DD_03</w:t>
            </w:r>
          </w:p>
        </w:tc>
        <w:tc>
          <w:tcPr>
            <w:tcW w:w="8504"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7F2" w14:textId="77777777">
            <w:r>
              <w:t xml:space="preserve">Il est réellement nécessaire de distinguer les profils « purs » </w:t>
            </w:r>
            <w:proofErr w:type="spellStart"/>
            <w:r>
              <w:t>DevSecOps</w:t>
            </w:r>
            <w:proofErr w:type="spellEnd"/>
            <w:r>
              <w:t xml:space="preserve"> (environ 40% de l’activité) des acteurs plus Ops comprenant les problématiques Dev (environ 60% de l’activité) afin de réduire le risque de non motivation à moyen terme des intervenants</w:t>
            </w:r>
          </w:p>
        </w:tc>
      </w:tr>
    </w:tbl>
    <w:p w:rsidR="006E6D7A" w:rsidRDefault="00B16C64" w14:paraId="671577F4" w14:textId="77777777">
      <w:pPr>
        <w:pStyle w:val="Titre3"/>
        <w:numPr>
          <w:ilvl w:val="4"/>
          <w:numId w:val="3"/>
        </w:numPr>
        <w:tabs>
          <w:tab w:val="clear" w:pos="1134"/>
        </w:tabs>
      </w:pPr>
      <w:bookmarkStart w:name="_Hlk116314361" w:id="176"/>
      <w:bookmarkEnd w:id="176"/>
      <w:r>
        <w:t xml:space="preserve"> </w:t>
      </w:r>
      <w:bookmarkStart w:name="_Toc221095594" w:id="177"/>
      <w:r>
        <w:t>ASTREINTES ET INTERVENTIONS ASSOCIÉES</w:t>
      </w:r>
      <w:bookmarkEnd w:id="177"/>
    </w:p>
    <w:p w:rsidR="006E6D7A" w:rsidRDefault="00B16C64" w14:paraId="671577F5" w14:textId="77777777">
      <w:pPr>
        <w:pStyle w:val="Titre3"/>
        <w:numPr>
          <w:ilvl w:val="5"/>
          <w:numId w:val="3"/>
        </w:numPr>
      </w:pPr>
      <w:bookmarkStart w:name="_Hlk116314361_Copy_1" w:id="178"/>
      <w:bookmarkStart w:name="_Hlk116050087" w:id="179"/>
      <w:bookmarkStart w:name="_Toc221095595" w:id="180"/>
      <w:bookmarkEnd w:id="178"/>
      <w:r>
        <w:t>Objectifs et contexte de la prestation</w:t>
      </w:r>
      <w:bookmarkEnd w:id="179"/>
      <w:bookmarkEnd w:id="180"/>
    </w:p>
    <w:p w:rsidR="006E6D7A" w:rsidRDefault="00B16C64" w14:paraId="671577F6" w14:textId="77777777">
      <w:pPr>
        <w:rPr>
          <w:lang w:eastAsia="en-US"/>
        </w:rPr>
      </w:pPr>
      <w:r>
        <w:rPr>
          <w:lang w:eastAsia="en-US"/>
        </w:rPr>
        <w:t>Cette prestation est exclusive au Lot 2 exploitation du présent accord-cadre et est éligible à toute direction ou unité d’INRAE.</w:t>
      </w:r>
    </w:p>
    <w:p w:rsidR="006E6D7A" w:rsidRDefault="00B16C64" w14:paraId="671577F7" w14:textId="77777777">
      <w:pPr>
        <w:rPr>
          <w:lang w:eastAsia="en-US"/>
        </w:rPr>
      </w:pPr>
      <w:r>
        <w:rPr>
          <w:lang w:eastAsia="en-US"/>
        </w:rPr>
        <w:t xml:space="preserve">L’établissement se réserve le droit de faire appel au titulaire pour des prestations d’astreintes et d’interventions en Heures Non Ouvrées (HNO) ponctuelles afin d’assurer le service rendu aux utilisateurs en dehors des plages de </w:t>
      </w:r>
      <w:proofErr w:type="gramStart"/>
      <w:r>
        <w:rPr>
          <w:lang w:eastAsia="en-US"/>
        </w:rPr>
        <w:t>disponibilité  (</w:t>
      </w:r>
      <w:proofErr w:type="gramEnd"/>
      <w:r>
        <w:rPr>
          <w:lang w:eastAsia="en-US"/>
        </w:rPr>
        <w:t>par exemple, pour un site institutionnel en période de fin de concours ou lors d’un évènement spécifique, ou des opérations techniques nécessitant une fenêtre hors production ou des évènements impactant la disponibilité ou la sécurité).</w:t>
      </w:r>
    </w:p>
    <w:p w:rsidR="006E6D7A" w:rsidRDefault="00B16C64" w14:paraId="671577F8" w14:textId="77777777">
      <w:pPr>
        <w:pStyle w:val="Titre3"/>
        <w:numPr>
          <w:ilvl w:val="5"/>
          <w:numId w:val="3"/>
        </w:numPr>
      </w:pPr>
      <w:bookmarkStart w:name="_Toc221095596" w:id="181"/>
      <w:r>
        <w:t>Périmètre technique</w:t>
      </w:r>
      <w:bookmarkEnd w:id="181"/>
    </w:p>
    <w:p w:rsidR="006E6D7A" w:rsidRDefault="00B16C64" w14:paraId="671577F9" w14:textId="77777777">
      <w:r>
        <w:t xml:space="preserve">Le périmètre technique évolue au fil des évolutions technologiques. Pour 2025, se référer au </w:t>
      </w:r>
      <w:hyperlink w:tooltip="#_Langages,_outils,_plateformes" w:history="1" w:anchor="_Langages,_outils,_plateformes">
        <w:r>
          <w:t xml:space="preserve">Radar des technologies </w:t>
        </w:r>
      </w:hyperlink>
      <w:r>
        <w:t>.</w:t>
      </w:r>
    </w:p>
    <w:p w:rsidR="006E6D7A" w:rsidRDefault="00B16C64" w14:paraId="671577FA" w14:textId="77777777">
      <w:pPr>
        <w:pStyle w:val="Titre3"/>
        <w:numPr>
          <w:ilvl w:val="5"/>
          <w:numId w:val="3"/>
        </w:numPr>
      </w:pPr>
      <w:bookmarkStart w:name="_Toc221095597" w:id="182"/>
      <w:r>
        <w:t>Descriptif de la prestation</w:t>
      </w:r>
      <w:bookmarkEnd w:id="182"/>
    </w:p>
    <w:p w:rsidR="006E6D7A" w:rsidRDefault="00B16C64" w14:paraId="671577FB" w14:textId="77777777">
      <w:pPr>
        <w:rPr>
          <w:lang w:eastAsia="en-US"/>
        </w:rPr>
      </w:pPr>
      <w:r>
        <w:rPr>
          <w:lang w:eastAsia="en-US"/>
        </w:rPr>
        <w:t xml:space="preserve">Le titulaire met en place et mobilise un dispositif ad hoc d’intervenants requis (volume d’UO et diversité des profils) en Heures Non Ouvrées (HNO) pour réaliser sur la durée commandée conformément aux SLA décrits dans le PAQ : </w:t>
      </w:r>
    </w:p>
    <w:p w:rsidR="006E6D7A" w:rsidRDefault="00B16C64" w14:paraId="671577FC" w14:textId="77777777">
      <w:pPr>
        <w:pStyle w:val="Puce1"/>
        <w:rPr>
          <w:lang w:eastAsia="en-US"/>
        </w:rPr>
      </w:pPr>
      <w:r>
        <w:rPr>
          <w:lang w:eastAsia="en-US"/>
        </w:rPr>
        <w:t>L’astreinte : pour assurer une permanence pendant les plages HNO afin de garantir la disponibilité d’intervenants en cas d’incidents :</w:t>
      </w:r>
    </w:p>
    <w:p w:rsidR="006E6D7A" w:rsidRDefault="00B16C64" w14:paraId="671577FD" w14:textId="77777777">
      <w:pPr>
        <w:pStyle w:val="Puce1"/>
        <w:numPr>
          <w:ilvl w:val="1"/>
          <w:numId w:val="208"/>
        </w:numPr>
        <w:rPr>
          <w:lang w:eastAsia="en-US"/>
        </w:rPr>
      </w:pPr>
      <w:proofErr w:type="gramStart"/>
      <w:r>
        <w:rPr>
          <w:lang w:eastAsia="en-US"/>
        </w:rPr>
        <w:t>planification</w:t>
      </w:r>
      <w:proofErr w:type="gramEnd"/>
      <w:r>
        <w:rPr>
          <w:lang w:eastAsia="en-US"/>
        </w:rPr>
        <w:t xml:space="preserve"> des ressources</w:t>
      </w:r>
    </w:p>
    <w:p w:rsidR="006E6D7A" w:rsidRDefault="00B16C64" w14:paraId="671577FE" w14:textId="77777777">
      <w:pPr>
        <w:pStyle w:val="Puce1"/>
        <w:numPr>
          <w:ilvl w:val="1"/>
          <w:numId w:val="208"/>
        </w:numPr>
        <w:rPr>
          <w:lang w:eastAsia="en-US"/>
        </w:rPr>
      </w:pPr>
      <w:proofErr w:type="gramStart"/>
      <w:r>
        <w:rPr>
          <w:lang w:eastAsia="en-US"/>
        </w:rPr>
        <w:t>mise</w:t>
      </w:r>
      <w:proofErr w:type="gramEnd"/>
      <w:r>
        <w:rPr>
          <w:lang w:eastAsia="en-US"/>
        </w:rPr>
        <w:t xml:space="preserve"> à disposition des profils (N1, N2,N3)</w:t>
      </w:r>
    </w:p>
    <w:p w:rsidR="006E6D7A" w:rsidRDefault="00B16C64" w14:paraId="671577FF" w14:textId="77777777">
      <w:pPr>
        <w:pStyle w:val="Puce1"/>
        <w:numPr>
          <w:ilvl w:val="1"/>
          <w:numId w:val="208"/>
        </w:numPr>
        <w:rPr>
          <w:lang w:eastAsia="en-US"/>
        </w:rPr>
      </w:pPr>
      <w:proofErr w:type="gramStart"/>
      <w:r>
        <w:rPr>
          <w:lang w:eastAsia="en-US"/>
        </w:rPr>
        <w:t>disponibilité</w:t>
      </w:r>
      <w:proofErr w:type="gramEnd"/>
      <w:r>
        <w:rPr>
          <w:lang w:eastAsia="en-US"/>
        </w:rPr>
        <w:t xml:space="preserve"> conforme aux SLA du PAQ</w:t>
      </w:r>
    </w:p>
    <w:p w:rsidR="006E6D7A" w:rsidRDefault="006E6D7A" w14:paraId="67157800" w14:textId="77777777">
      <w:pPr>
        <w:pStyle w:val="Puce1"/>
        <w:numPr>
          <w:ilvl w:val="0"/>
          <w:numId w:val="0"/>
        </w:numPr>
        <w:ind w:left="720"/>
        <w:rPr>
          <w:lang w:eastAsia="en-US"/>
        </w:rPr>
      </w:pPr>
    </w:p>
    <w:p w:rsidR="006E6D7A" w:rsidRDefault="00B16C64" w14:paraId="67157801" w14:textId="77777777">
      <w:pPr>
        <w:pStyle w:val="Puce1"/>
        <w:rPr>
          <w:lang w:eastAsia="en-US"/>
        </w:rPr>
      </w:pPr>
      <w:r>
        <w:rPr>
          <w:lang w:eastAsia="en-US"/>
        </w:rPr>
        <w:t>L’intervention : pour rétablir le service le cas échéant ou prévenir une défaillance :</w:t>
      </w:r>
    </w:p>
    <w:p w:rsidR="006E6D7A" w:rsidRDefault="00B16C64" w14:paraId="67157802" w14:textId="77777777">
      <w:pPr>
        <w:pStyle w:val="Puce1"/>
        <w:numPr>
          <w:ilvl w:val="1"/>
          <w:numId w:val="208"/>
        </w:numPr>
        <w:rPr>
          <w:lang w:eastAsia="en-US"/>
        </w:rPr>
      </w:pPr>
      <w:proofErr w:type="gramStart"/>
      <w:r>
        <w:rPr>
          <w:lang w:eastAsia="en-US"/>
        </w:rPr>
        <w:t>analyse</w:t>
      </w:r>
      <w:proofErr w:type="gramEnd"/>
      <w:r>
        <w:rPr>
          <w:lang w:eastAsia="en-US"/>
        </w:rPr>
        <w:t xml:space="preserve"> de l’incident</w:t>
      </w:r>
    </w:p>
    <w:p w:rsidR="006E6D7A" w:rsidRDefault="00B16C64" w14:paraId="67157803" w14:textId="77777777">
      <w:pPr>
        <w:pStyle w:val="Puce1"/>
        <w:numPr>
          <w:ilvl w:val="1"/>
          <w:numId w:val="208"/>
        </w:numPr>
        <w:rPr>
          <w:lang w:eastAsia="en-US"/>
        </w:rPr>
      </w:pPr>
      <w:proofErr w:type="gramStart"/>
      <w:r>
        <w:rPr>
          <w:lang w:eastAsia="en-US"/>
        </w:rPr>
        <w:t>actions</w:t>
      </w:r>
      <w:proofErr w:type="gramEnd"/>
      <w:r>
        <w:rPr>
          <w:lang w:eastAsia="en-US"/>
        </w:rPr>
        <w:t xml:space="preserve"> correctives (ou solutions de contournement)</w:t>
      </w:r>
    </w:p>
    <w:p w:rsidR="006E6D7A" w:rsidRDefault="00B16C64" w14:paraId="67157804" w14:textId="77777777">
      <w:pPr>
        <w:pStyle w:val="Puce1"/>
        <w:numPr>
          <w:ilvl w:val="1"/>
          <w:numId w:val="208"/>
        </w:numPr>
        <w:rPr>
          <w:lang w:eastAsia="en-US"/>
        </w:rPr>
      </w:pPr>
      <w:proofErr w:type="gramStart"/>
      <w:r>
        <w:rPr>
          <w:lang w:eastAsia="en-US"/>
        </w:rPr>
        <w:t>coordination</w:t>
      </w:r>
      <w:proofErr w:type="gramEnd"/>
      <w:r>
        <w:rPr>
          <w:lang w:eastAsia="en-US"/>
        </w:rPr>
        <w:t xml:space="preserve"> avec les différentes équipes</w:t>
      </w:r>
    </w:p>
    <w:p w:rsidR="006E6D7A" w:rsidRDefault="00B16C64" w14:paraId="67157805" w14:textId="77777777">
      <w:pPr>
        <w:pStyle w:val="Puce1"/>
        <w:numPr>
          <w:ilvl w:val="1"/>
          <w:numId w:val="208"/>
        </w:numPr>
        <w:rPr>
          <w:lang w:eastAsia="en-US"/>
        </w:rPr>
      </w:pPr>
      <w:proofErr w:type="gramStart"/>
      <w:r>
        <w:rPr>
          <w:lang w:eastAsia="en-US"/>
        </w:rPr>
        <w:t>suivi</w:t>
      </w:r>
      <w:proofErr w:type="gramEnd"/>
      <w:r>
        <w:rPr>
          <w:lang w:eastAsia="en-US"/>
        </w:rPr>
        <w:t xml:space="preserve"> de l’intervention</w:t>
      </w:r>
    </w:p>
    <w:p w:rsidR="006E6D7A" w:rsidRDefault="00B16C64" w14:paraId="67157806" w14:textId="77777777">
      <w:pPr>
        <w:pStyle w:val="Titre3"/>
        <w:numPr>
          <w:ilvl w:val="5"/>
          <w:numId w:val="3"/>
        </w:numPr>
      </w:pPr>
      <w:bookmarkStart w:name="_Toc221095598" w:id="183"/>
      <w:r>
        <w:lastRenderedPageBreak/>
        <w:t>Livrables</w:t>
      </w:r>
      <w:bookmarkEnd w:id="183"/>
    </w:p>
    <w:tbl>
      <w:tblPr>
        <w:tblW w:w="9634" w:type="dxa"/>
        <w:tblLayout w:type="fixed"/>
        <w:tblCellMar>
          <w:left w:w="70" w:type="dxa"/>
          <w:right w:w="70" w:type="dxa"/>
        </w:tblCellMar>
        <w:tblLook w:val="04A0" w:firstRow="1" w:lastRow="0" w:firstColumn="1" w:lastColumn="0" w:noHBand="0" w:noVBand="1"/>
      </w:tblPr>
      <w:tblGrid>
        <w:gridCol w:w="3459"/>
        <w:gridCol w:w="6175"/>
      </w:tblGrid>
      <w:tr w:rsidR="006E6D7A" w14:paraId="67157809" w14:textId="77777777">
        <w:trPr>
          <w:trHeight w:val="290"/>
          <w:tblHeader/>
        </w:trPr>
        <w:tc>
          <w:tcPr>
            <w:tcW w:w="3459"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807" w14:textId="77777777">
            <w:pPr>
              <w:jc w:val="center"/>
              <w:rPr>
                <w:color w:val="FFFFFF"/>
              </w:rPr>
            </w:pPr>
            <w:r>
              <w:t xml:space="preserve"> </w:t>
            </w:r>
            <w:r>
              <w:rPr>
                <w:color w:val="FFFFFF"/>
              </w:rPr>
              <w:t>Livrable attendu</w:t>
            </w:r>
          </w:p>
        </w:tc>
        <w:tc>
          <w:tcPr>
            <w:tcW w:w="6174"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808" w14:textId="77777777">
            <w:pPr>
              <w:jc w:val="center"/>
              <w:rPr>
                <w:color w:val="FFFFFF"/>
              </w:rPr>
            </w:pPr>
            <w:r>
              <w:rPr>
                <w:color w:val="FFFFFF"/>
              </w:rPr>
              <w:t>Délai de livraison</w:t>
            </w:r>
          </w:p>
        </w:tc>
      </w:tr>
      <w:tr w:rsidR="006E6D7A" w14:paraId="6715780C" w14:textId="77777777">
        <w:trPr>
          <w:trHeight w:val="290"/>
        </w:trPr>
        <w:tc>
          <w:tcPr>
            <w:tcW w:w="3459"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80A" w14:textId="77777777">
            <w:pPr>
              <w:jc w:val="center"/>
              <w:rPr>
                <w:color w:val="000000"/>
              </w:rPr>
            </w:pPr>
            <w:r>
              <w:rPr>
                <w:color w:val="000000"/>
              </w:rPr>
              <w:t>Veille et rétablissement de service en HNO</w:t>
            </w:r>
          </w:p>
        </w:tc>
        <w:tc>
          <w:tcPr>
            <w:tcW w:w="6174"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80B" w14:textId="77777777">
            <w:pPr>
              <w:jc w:val="center"/>
              <w:rPr>
                <w:color w:val="000000"/>
              </w:rPr>
            </w:pPr>
            <w:r>
              <w:rPr>
                <w:color w:val="000000"/>
              </w:rPr>
              <w:t>Délai défini dans le bon de commande</w:t>
            </w:r>
          </w:p>
        </w:tc>
      </w:tr>
    </w:tbl>
    <w:p w:rsidR="006E6D7A" w:rsidRDefault="006E6D7A" w14:paraId="6715780D" w14:textId="77777777">
      <w:pPr>
        <w:pBdr>
          <w:top w:val="none" w:color="000000" w:sz="4" w:space="0"/>
          <w:left w:val="none" w:color="000000" w:sz="4" w:space="0"/>
          <w:bottom w:val="none" w:color="000000" w:sz="4" w:space="0"/>
          <w:right w:val="none" w:color="000000" w:sz="4" w:space="0"/>
        </w:pBdr>
        <w:spacing w:after="159" w:line="259" w:lineRule="auto"/>
      </w:pPr>
    </w:p>
    <w:p w:rsidR="006E6D7A" w:rsidRDefault="006E6D7A" w14:paraId="6715780E" w14:textId="77777777">
      <w:pPr>
        <w:pBdr>
          <w:top w:val="none" w:color="000000" w:sz="4" w:space="0"/>
          <w:left w:val="none" w:color="000000" w:sz="4" w:space="0"/>
          <w:bottom w:val="none" w:color="000000" w:sz="4" w:space="0"/>
          <w:right w:val="none" w:color="000000" w:sz="4" w:space="0"/>
        </w:pBdr>
        <w:spacing w:after="159" w:line="259" w:lineRule="auto"/>
      </w:pPr>
    </w:p>
    <w:p w:rsidR="006E6D7A" w:rsidRDefault="00B16C64" w14:paraId="6715780F" w14:textId="77777777">
      <w:pPr>
        <w:pStyle w:val="Titre3"/>
        <w:numPr>
          <w:ilvl w:val="4"/>
          <w:numId w:val="3"/>
        </w:numPr>
        <w:tabs>
          <w:tab w:val="clear" w:pos="1134"/>
        </w:tabs>
      </w:pPr>
      <w:bookmarkStart w:name="_Toc221095599" w:id="184"/>
      <w:r>
        <w:t>I - Réversibilité et transfert de compétences</w:t>
      </w:r>
      <w:bookmarkEnd w:id="184"/>
    </w:p>
    <w:p w:rsidR="006E6D7A" w:rsidRDefault="00B16C64" w14:paraId="67157810" w14:textId="77777777">
      <w:pPr>
        <w:pStyle w:val="Titre3"/>
        <w:numPr>
          <w:ilvl w:val="5"/>
          <w:numId w:val="3"/>
        </w:numPr>
      </w:pPr>
      <w:bookmarkStart w:name="_Toc221095600" w:id="185"/>
      <w:r>
        <w:t>Objectifs et contexte de la prestation</w:t>
      </w:r>
      <w:bookmarkEnd w:id="185"/>
    </w:p>
    <w:p w:rsidR="006E6D7A" w:rsidRDefault="00B16C64" w14:paraId="67157811" w14:textId="77777777">
      <w:r>
        <w:rPr>
          <w:lang w:eastAsia="en-US"/>
        </w:rPr>
        <w:t xml:space="preserve">Cette prestation a pour objet </w:t>
      </w:r>
      <w:r>
        <w:t>la réalisation de l'ensemble des prestations nécessaires à la reprise des travaux à la charge du titulaire par un ou plusieurs tiers (INRAE ou prestataire), sans discontinuité de l’activité, défaut de connaissance de l’environnement de travail ou perte de qualité de service. Il s’agit donc d’une phase de transfert de compétences.</w:t>
      </w:r>
    </w:p>
    <w:p w:rsidR="006E6D7A" w:rsidRDefault="00B16C64" w14:paraId="67157812" w14:textId="77777777">
      <w:r>
        <w:t>La phase d’accompagnement doit se dérouler tout au long de l’exécution de ce poste et ce jusqu’à complet basculement vers les équipes du tiers. La période de présence des deux équipes (celle du bénéficiaire de la réversibilité et celle du titulaire) simultanément ne doit pas dépasser une période de 4 mois.</w:t>
      </w:r>
    </w:p>
    <w:p w:rsidR="006E6D7A" w:rsidRDefault="00B16C64" w14:paraId="67157813" w14:textId="77777777">
      <w:r>
        <w:t>A l’issue de la période de réversibilité, le bénéficiaire de la réversibilité doit pouvoir être autonome sur le périmètre d’action du titulaire.</w:t>
      </w:r>
    </w:p>
    <w:p w:rsidR="006E6D7A" w:rsidRDefault="00B16C64" w14:paraId="67157814" w14:textId="77777777">
      <w:r>
        <w:t>INRAE conservera, après la fin de l’accord-cadre, la propriété de toute information obtenue, rédigée ou maintenue par le titulaire dans le cadre de ses prestations quel qu'en soit le support. INRAE conservera également les développements logiciels, procédures et modes opératoires conçus par le titulaire. Ces données doivent être intégralement restituées à INRAE sans surcoût.</w:t>
      </w:r>
    </w:p>
    <w:p w:rsidR="006E6D7A" w:rsidRDefault="00B16C64" w14:paraId="67157815" w14:textId="77777777">
      <w:r>
        <w:t>La prestation débute à compter de la réception par le titulaire du bon de commande ou à la date indiquée par celui-ci et s’achève à la réception du procès-verbal de recette validé par le prescripteur INRAE.</w:t>
      </w:r>
    </w:p>
    <w:p w:rsidR="006E6D7A" w:rsidRDefault="00B16C64" w14:paraId="67157816" w14:textId="77777777">
      <w:pPr>
        <w:pStyle w:val="Titre3"/>
        <w:numPr>
          <w:ilvl w:val="5"/>
          <w:numId w:val="3"/>
        </w:numPr>
      </w:pPr>
      <w:bookmarkStart w:name="_Toc221095601" w:id="186"/>
      <w:r>
        <w:t>Descriptif de la prestation</w:t>
      </w:r>
      <w:bookmarkEnd w:id="186"/>
    </w:p>
    <w:p w:rsidR="006E6D7A" w:rsidRDefault="00B16C64" w14:paraId="67157817" w14:textId="77777777">
      <w:r>
        <w:t>Il s’agit pour le titulaire de garantir et mettre en œuvre à destination des équipes du tiers :</w:t>
      </w:r>
    </w:p>
    <w:p w:rsidR="006E6D7A" w:rsidRDefault="00B16C64" w14:paraId="67157818" w14:textId="77777777">
      <w:pPr>
        <w:pStyle w:val="Puce1"/>
      </w:pPr>
      <w:r>
        <w:t>Le transfert des méthodes, procédures, outils, documentations et savoir-faire</w:t>
      </w:r>
    </w:p>
    <w:p w:rsidR="006E6D7A" w:rsidRDefault="00B16C64" w14:paraId="67157819" w14:textId="77777777">
      <w:pPr>
        <w:pStyle w:val="Puce1"/>
      </w:pPr>
      <w:r>
        <w:t>La mise à niveau et l’accompagnement de la nouvelle équipe prenant en charge les activités objet de la réversibilité</w:t>
      </w:r>
    </w:p>
    <w:p w:rsidR="006E6D7A" w:rsidRDefault="00B16C64" w14:paraId="6715781A" w14:textId="77777777">
      <w:pPr>
        <w:pStyle w:val="Puce1"/>
      </w:pPr>
      <w:r>
        <w:t>La responsabilité des activités jusqu’à réception des prestations par le pouvoir adjudicateur</w:t>
      </w:r>
    </w:p>
    <w:p w:rsidR="006E6D7A" w:rsidRDefault="00B16C64" w14:paraId="6715781B" w14:textId="77777777">
      <w:r>
        <w:t>Plusieurs étapes sont requises pour garantir le succès de ce transfert :</w:t>
      </w:r>
    </w:p>
    <w:p w:rsidR="006E6D7A" w:rsidRDefault="00B16C64" w14:paraId="6715781C" w14:textId="77777777">
      <w:pPr>
        <w:pStyle w:val="Puce1"/>
      </w:pPr>
      <w:r>
        <w:t>Étape de préparation de la réversibilité : le titulaire en place prépare un plan de réversibilité. Ce document doit formaliser le cadrage de la période de réversibilité : planning détaillé, méthodologie de suivi, moyens utilisés.</w:t>
      </w:r>
    </w:p>
    <w:p w:rsidR="006E6D7A" w:rsidRDefault="00B16C64" w14:paraId="6715781D" w14:textId="77777777">
      <w:pPr>
        <w:pStyle w:val="Puce1"/>
      </w:pPr>
      <w:r>
        <w:t>Étape de transfert : le titulaire en place transmet au tiers le corpus documentaire et les éventuels outils associés. Il prévoit des sessions de présentation / démonstration / formation à destination des équipes du tiers bénéficiaires.</w:t>
      </w:r>
    </w:p>
    <w:p w:rsidR="006E6D7A" w:rsidRDefault="00B16C64" w14:paraId="6715781E" w14:textId="77777777">
      <w:pPr>
        <w:pStyle w:val="Puce1"/>
      </w:pPr>
      <w:r>
        <w:t>Étape d’accompagnement au cours de laquelle le titulaire délègue progressivement au Tiers l’exécution des travaux, tout en restant sous sa supervision. A l’issue de cette phase d’accompagnement, la responsabilité est alors transférée au nouvel acteur.</w:t>
      </w:r>
    </w:p>
    <w:p w:rsidR="006E6D7A" w:rsidRDefault="00B16C64" w14:paraId="6715781F" w14:textId="77777777">
      <w:pPr>
        <w:pStyle w:val="Puce1"/>
      </w:pPr>
      <w:r>
        <w:lastRenderedPageBreak/>
        <w:t>Étape de synthèse : le titulaire produit une note de synthèse correspondant au bilan des actions menées et à sa propre évaluation de la réversibilité.</w:t>
      </w:r>
    </w:p>
    <w:p w:rsidR="006E6D7A" w:rsidRDefault="00B16C64" w14:paraId="67157820" w14:textId="77777777">
      <w:pPr>
        <w:pStyle w:val="Titre41"/>
      </w:pPr>
      <w:r>
        <w:t>Livrables</w:t>
      </w:r>
    </w:p>
    <w:tbl>
      <w:tblPr>
        <w:tblW w:w="9634" w:type="dxa"/>
        <w:tblLayout w:type="fixed"/>
        <w:tblCellMar>
          <w:left w:w="70" w:type="dxa"/>
          <w:right w:w="70" w:type="dxa"/>
        </w:tblCellMar>
        <w:tblLook w:val="04A0" w:firstRow="1" w:lastRow="0" w:firstColumn="1" w:lastColumn="0" w:noHBand="0" w:noVBand="1"/>
      </w:tblPr>
      <w:tblGrid>
        <w:gridCol w:w="5382"/>
        <w:gridCol w:w="4252"/>
      </w:tblGrid>
      <w:tr w:rsidR="006E6D7A" w14:paraId="67157823" w14:textId="77777777">
        <w:trPr>
          <w:trHeight w:val="290"/>
          <w:tblHeader/>
        </w:trPr>
        <w:tc>
          <w:tcPr>
            <w:tcW w:w="5381"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821" w14:textId="77777777">
            <w:pPr>
              <w:jc w:val="center"/>
              <w:rPr>
                <w:rFonts w:ascii="Calibri" w:hAnsi="Calibri" w:cs="Calibri"/>
                <w:color w:val="FFFFFF"/>
              </w:rPr>
            </w:pPr>
            <w:r>
              <w:rPr>
                <w:rFonts w:cs="Calibri"/>
                <w:color w:val="FFFFFF"/>
              </w:rPr>
              <w:t>Livrable attendu</w:t>
            </w:r>
          </w:p>
        </w:tc>
        <w:tc>
          <w:tcPr>
            <w:tcW w:w="4252" w:type="dxa"/>
            <w:tcBorders>
              <w:top w:val="single" w:color="06A6A3" w:sz="4" w:space="0"/>
              <w:left w:val="single" w:color="06A6A3" w:sz="4" w:space="0"/>
              <w:bottom w:val="single" w:color="06A6A3" w:sz="4" w:space="0"/>
              <w:right w:val="single" w:color="06A6A3" w:sz="4" w:space="0"/>
            </w:tcBorders>
            <w:shd w:val="clear" w:color="000000" w:fill="03A3A6"/>
            <w:vAlign w:val="center"/>
          </w:tcPr>
          <w:p w:rsidR="006E6D7A" w:rsidRDefault="00B16C64" w14:paraId="67157822" w14:textId="77777777">
            <w:pPr>
              <w:jc w:val="center"/>
              <w:rPr>
                <w:rFonts w:ascii="Calibri" w:hAnsi="Calibri" w:cs="Calibri"/>
                <w:color w:val="FFFFFF"/>
              </w:rPr>
            </w:pPr>
            <w:r>
              <w:rPr>
                <w:rFonts w:cs="Calibri"/>
                <w:color w:val="FFFFFF"/>
              </w:rPr>
              <w:t>Délai de livraison</w:t>
            </w:r>
          </w:p>
        </w:tc>
      </w:tr>
      <w:tr w:rsidR="006E6D7A" w14:paraId="67157827"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824" w14:textId="77777777">
            <w:pPr>
              <w:pStyle w:val="Tableau-Normal"/>
            </w:pPr>
            <w:r>
              <w:t>Plan de réversibilité</w:t>
            </w:r>
          </w:p>
        </w:tc>
        <w:tc>
          <w:tcPr>
            <w:tcW w:w="4252" w:type="dxa"/>
            <w:vMerge w:val="restart"/>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825" w14:textId="77777777">
            <w:pPr>
              <w:pStyle w:val="Tableau-Normal"/>
            </w:pPr>
            <w:r>
              <w:t>Délai maximal d'exécution de la prestation : 4</w:t>
            </w:r>
          </w:p>
          <w:p w:rsidR="006E6D7A" w:rsidRDefault="00B16C64" w14:paraId="67157826" w14:textId="77777777">
            <w:pPr>
              <w:pStyle w:val="Tableau-Normal"/>
            </w:pPr>
            <w:r>
              <w:t xml:space="preserve"> Mois</w:t>
            </w:r>
          </w:p>
        </w:tc>
      </w:tr>
      <w:tr w:rsidR="006E6D7A" w14:paraId="6715782A"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828" w14:textId="77777777">
            <w:pPr>
              <w:pStyle w:val="Tableau-Normal"/>
            </w:pPr>
            <w:r>
              <w:t>Accompagnement opérationnel des équipes reprenant en charge l’exploitation applicative</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829" w14:textId="77777777">
            <w:pPr>
              <w:pStyle w:val="Tableau-Normal"/>
            </w:pPr>
          </w:p>
        </w:tc>
      </w:tr>
      <w:tr w:rsidR="006E6D7A" w14:paraId="6715782D"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82B" w14:textId="77777777">
            <w:pPr>
              <w:pStyle w:val="Tableau-Normal"/>
            </w:pPr>
            <w:r>
              <w:t>Supports de formation et de présentation</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82C" w14:textId="77777777">
            <w:pPr>
              <w:pStyle w:val="Tableau-Normal"/>
            </w:pPr>
          </w:p>
        </w:tc>
      </w:tr>
      <w:tr w:rsidR="006E6D7A" w14:paraId="67157830"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82E" w14:textId="77777777">
            <w:pPr>
              <w:pStyle w:val="Tableau-Normal"/>
            </w:pPr>
            <w:r>
              <w:t xml:space="preserve">Documentation et outillage des développements et d’exploitation (configurations, </w:t>
            </w:r>
            <w:proofErr w:type="gramStart"/>
            <w:r>
              <w:t>procédures,...</w:t>
            </w:r>
            <w:proofErr w:type="gramEnd"/>
            <w:r>
              <w:t>), à jour, transférée</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82F" w14:textId="77777777">
            <w:pPr>
              <w:pStyle w:val="Tableau-Normal"/>
            </w:pPr>
          </w:p>
        </w:tc>
      </w:tr>
      <w:tr w:rsidR="006E6D7A" w14:paraId="67157833"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831" w14:textId="77777777">
            <w:pPr>
              <w:pStyle w:val="Tableau-Normal"/>
            </w:pPr>
            <w:r>
              <w:t>Etat des lieux des travaux en cours (</w:t>
            </w:r>
            <w:proofErr w:type="spellStart"/>
            <w:r>
              <w:t>backlog</w:t>
            </w:r>
            <w:proofErr w:type="spellEnd"/>
            <w:r>
              <w:t>) et des demandes (évolution, correction, support)</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832" w14:textId="77777777">
            <w:pPr>
              <w:pStyle w:val="Tableau-Normal"/>
            </w:pPr>
          </w:p>
        </w:tc>
      </w:tr>
      <w:tr w:rsidR="006E6D7A" w14:paraId="67157836" w14:textId="77777777">
        <w:trPr>
          <w:trHeight w:val="283"/>
        </w:trPr>
        <w:tc>
          <w:tcPr>
            <w:tcW w:w="5381" w:type="dxa"/>
            <w:tcBorders>
              <w:top w:val="single" w:color="06A6A3" w:sz="4" w:space="0"/>
              <w:left w:val="single" w:color="06A6A3" w:sz="4" w:space="0"/>
              <w:bottom w:val="single" w:color="06A6A3" w:sz="4" w:space="0"/>
              <w:right w:val="single" w:color="06A6A3" w:sz="4" w:space="0"/>
            </w:tcBorders>
            <w:shd w:val="clear" w:color="FFFFFF" w:fill="FFFFFF"/>
            <w:vAlign w:val="center"/>
          </w:tcPr>
          <w:p w:rsidR="006E6D7A" w:rsidRDefault="00B16C64" w14:paraId="67157834" w14:textId="77777777">
            <w:pPr>
              <w:pStyle w:val="Tableau-Normal"/>
            </w:pPr>
            <w:r>
              <w:t>Note de synthèse de la phase de réversibilité incluant une note d’évaluation de la capacité du repreneur à maîtriser l’ensemble des outils et informations ayant fait l’objet de la réversibilité</w:t>
            </w:r>
          </w:p>
        </w:tc>
        <w:tc>
          <w:tcPr>
            <w:tcW w:w="4252" w:type="dxa"/>
            <w:vMerge/>
            <w:tcBorders>
              <w:top w:val="single" w:color="06A6A3" w:sz="4" w:space="0"/>
              <w:left w:val="single" w:color="06A6A3" w:sz="4" w:space="0"/>
              <w:bottom w:val="single" w:color="06A6A3" w:sz="4" w:space="0"/>
              <w:right w:val="single" w:color="06A6A3" w:sz="4" w:space="0"/>
            </w:tcBorders>
            <w:vAlign w:val="center"/>
          </w:tcPr>
          <w:p w:rsidR="006E6D7A" w:rsidRDefault="006E6D7A" w14:paraId="67157835" w14:textId="77777777">
            <w:pPr>
              <w:pStyle w:val="Tableau-Normal"/>
            </w:pPr>
          </w:p>
        </w:tc>
      </w:tr>
    </w:tbl>
    <w:p w:rsidR="006E6D7A" w:rsidRDefault="006E6D7A" w14:paraId="67157837" w14:textId="77777777"/>
    <w:p w:rsidR="006E6D7A" w:rsidRDefault="00B16C64" w14:paraId="67157838" w14:textId="77777777">
      <w:pPr>
        <w:pStyle w:val="Titre3"/>
        <w:numPr>
          <w:ilvl w:val="3"/>
          <w:numId w:val="3"/>
        </w:numPr>
        <w:tabs>
          <w:tab w:val="clear" w:pos="851"/>
        </w:tabs>
      </w:pPr>
      <w:bookmarkStart w:name="_Toc221095602" w:id="187"/>
      <w:r>
        <w:t xml:space="preserve">Lot 3 - Usine à environnement </w:t>
      </w:r>
      <w:proofErr w:type="spellStart"/>
      <w:r>
        <w:t>kubernetes</w:t>
      </w:r>
      <w:bookmarkEnd w:id="187"/>
      <w:proofErr w:type="spellEnd"/>
      <w:r>
        <w:t xml:space="preserve"> </w:t>
      </w:r>
    </w:p>
    <w:p w:rsidR="006E6D7A" w:rsidRDefault="00B16C64" w14:paraId="67157839" w14:textId="77777777">
      <w:pPr>
        <w:pStyle w:val="Titre4"/>
        <w:numPr>
          <w:ilvl w:val="4"/>
          <w:numId w:val="3"/>
        </w:numPr>
      </w:pPr>
      <w:r>
        <w:t>Objectifs et principes</w:t>
      </w:r>
    </w:p>
    <w:p w:rsidR="006E6D7A" w:rsidRDefault="00B16C64" w14:paraId="6715783A" w14:textId="77777777">
      <w:pPr>
        <w:spacing w:before="100" w:beforeAutospacing="1" w:after="100" w:afterAutospacing="1"/>
        <w:jc w:val="left"/>
        <w:rPr>
          <w:rFonts w:cs="Times New Roman"/>
          <w:sz w:val="24"/>
          <w:szCs w:val="24"/>
        </w:rPr>
      </w:pPr>
      <w:r>
        <w:rPr>
          <w:rFonts w:cs="Times New Roman"/>
          <w:sz w:val="24"/>
          <w:szCs w:val="24"/>
        </w:rPr>
        <w:t xml:space="preserve">Dans le cadre de la modernisation de ses </w:t>
      </w:r>
      <w:proofErr w:type="gramStart"/>
      <w:r>
        <w:rPr>
          <w:rFonts w:cs="Times New Roman"/>
          <w:sz w:val="24"/>
          <w:szCs w:val="24"/>
        </w:rPr>
        <w:t>environnements ,</w:t>
      </w:r>
      <w:proofErr w:type="gramEnd"/>
      <w:r>
        <w:rPr>
          <w:rFonts w:cs="Times New Roman"/>
          <w:sz w:val="24"/>
          <w:szCs w:val="24"/>
        </w:rPr>
        <w:t xml:space="preserve"> INRAE souhaite déployer et maintenir un service de type « Platform engineering », conforme aux bonnes pratiques DevOps, </w:t>
      </w:r>
      <w:proofErr w:type="spellStart"/>
      <w:r>
        <w:rPr>
          <w:rFonts w:cs="Times New Roman"/>
          <w:sz w:val="24"/>
          <w:szCs w:val="24"/>
        </w:rPr>
        <w:t>GitOps</w:t>
      </w:r>
      <w:proofErr w:type="spellEnd"/>
      <w:r>
        <w:rPr>
          <w:rFonts w:cs="Times New Roman"/>
          <w:sz w:val="24"/>
          <w:szCs w:val="24"/>
        </w:rPr>
        <w:t xml:space="preserve"> et gouvernance de sécurité.  </w:t>
      </w:r>
    </w:p>
    <w:p w:rsidR="006E6D7A" w:rsidRDefault="00B16C64" w14:paraId="6715783B" w14:textId="77777777">
      <w:pPr>
        <w:spacing w:before="100" w:beforeAutospacing="1" w:after="100" w:afterAutospacing="1"/>
        <w:jc w:val="left"/>
        <w:rPr>
          <w:rFonts w:cs="Times New Roman"/>
          <w:sz w:val="24"/>
          <w:szCs w:val="24"/>
        </w:rPr>
      </w:pPr>
      <w:r>
        <w:rPr>
          <w:rFonts w:cs="Times New Roman"/>
          <w:sz w:val="24"/>
          <w:szCs w:val="24"/>
        </w:rPr>
        <w:t xml:space="preserve">Dans ce contexte, ce lot a pour objectif la mise en place d’une usine à plateformes </w:t>
      </w:r>
      <w:proofErr w:type="spellStart"/>
      <w:r>
        <w:rPr>
          <w:rFonts w:cs="Times New Roman"/>
          <w:sz w:val="24"/>
          <w:szCs w:val="24"/>
        </w:rPr>
        <w:t>kubernetes</w:t>
      </w:r>
      <w:proofErr w:type="spellEnd"/>
      <w:r>
        <w:rPr>
          <w:rFonts w:cs="Times New Roman"/>
          <w:sz w:val="24"/>
          <w:szCs w:val="24"/>
        </w:rPr>
        <w:t xml:space="preserve">, dont l’objectif est de produire à la demande des cluster </w:t>
      </w:r>
      <w:proofErr w:type="spellStart"/>
      <w:r>
        <w:rPr>
          <w:rFonts w:cs="Times New Roman"/>
          <w:sz w:val="24"/>
          <w:szCs w:val="24"/>
        </w:rPr>
        <w:t>Kubernetes</w:t>
      </w:r>
      <w:proofErr w:type="spellEnd"/>
      <w:r>
        <w:rPr>
          <w:rFonts w:cs="Times New Roman"/>
          <w:sz w:val="24"/>
          <w:szCs w:val="24"/>
        </w:rPr>
        <w:t xml:space="preserve"> (que nous appellerons PAAS par la suite). </w:t>
      </w:r>
    </w:p>
    <w:p w:rsidR="006E6D7A" w:rsidRDefault="00B16C64" w14:paraId="6715783C" w14:textId="77777777">
      <w:pPr>
        <w:spacing w:before="100" w:beforeAutospacing="1" w:after="100" w:afterAutospacing="1"/>
        <w:jc w:val="left"/>
        <w:rPr>
          <w:rFonts w:cs="Times New Roman"/>
          <w:sz w:val="24"/>
          <w:szCs w:val="24"/>
        </w:rPr>
      </w:pPr>
      <w:r>
        <w:rPr>
          <w:rFonts w:cs="Times New Roman"/>
          <w:sz w:val="24"/>
          <w:szCs w:val="24"/>
        </w:rPr>
        <w:t xml:space="preserve">Ces </w:t>
      </w:r>
      <w:proofErr w:type="gramStart"/>
      <w:r>
        <w:rPr>
          <w:rFonts w:cs="Times New Roman"/>
          <w:sz w:val="24"/>
          <w:szCs w:val="24"/>
        </w:rPr>
        <w:t>PAAS  seront</w:t>
      </w:r>
      <w:proofErr w:type="gramEnd"/>
      <w:r>
        <w:rPr>
          <w:rFonts w:cs="Times New Roman"/>
          <w:sz w:val="24"/>
          <w:szCs w:val="24"/>
        </w:rPr>
        <w:t xml:space="preserve"> constituées d’un ensemble minimum de services de base (listés ci-dessous), et  personnalisables au moyen d’un catalogue constitué de services complémentaires. Les PAAS seront configurées et instanciées via un portail self-service (exemple : backstage.io) et des API.</w:t>
      </w:r>
    </w:p>
    <w:p w:rsidR="006E6D7A" w:rsidRDefault="00B16C64" w14:paraId="6715783D" w14:textId="77777777">
      <w:pPr>
        <w:spacing w:before="100" w:beforeAutospacing="1" w:after="100" w:afterAutospacing="1"/>
        <w:jc w:val="left"/>
        <w:rPr>
          <w:rFonts w:cs="Times New Roman"/>
          <w:sz w:val="24"/>
          <w:szCs w:val="24"/>
        </w:rPr>
      </w:pPr>
      <w:r>
        <w:rPr>
          <w:rFonts w:cs="Times New Roman"/>
          <w:sz w:val="24"/>
          <w:szCs w:val="24"/>
        </w:rPr>
        <w:t xml:space="preserve">Ces PAAS seront hautement disponibles, sécurisées, scalables, et hébergées sur les infrastructures </w:t>
      </w:r>
      <w:proofErr w:type="spellStart"/>
      <w:r>
        <w:rPr>
          <w:rFonts w:cs="Times New Roman"/>
          <w:sz w:val="24"/>
          <w:szCs w:val="24"/>
        </w:rPr>
        <w:t>OpenStack</w:t>
      </w:r>
      <w:proofErr w:type="spellEnd"/>
      <w:r>
        <w:rPr>
          <w:rFonts w:cs="Times New Roman"/>
          <w:sz w:val="24"/>
          <w:szCs w:val="24"/>
        </w:rPr>
        <w:t xml:space="preserve"> portées en interne par INRAE ou ses fournisseurs de services cloud partenaires (ESR ou privés). Il reste important d’avoir un fournisseur de service souverain.</w:t>
      </w:r>
    </w:p>
    <w:p w:rsidR="006E6D7A" w:rsidRDefault="00B16C64" w14:paraId="6715783E" w14:textId="77777777">
      <w:pPr>
        <w:spacing w:before="100" w:beforeAutospacing="1" w:after="100" w:afterAutospacing="1"/>
        <w:jc w:val="left"/>
        <w:rPr>
          <w:rFonts w:cs="Times New Roman"/>
          <w:sz w:val="24"/>
          <w:szCs w:val="24"/>
        </w:rPr>
      </w:pPr>
      <w:r>
        <w:rPr>
          <w:rFonts w:cs="Times New Roman"/>
          <w:sz w:val="24"/>
          <w:szCs w:val="24"/>
        </w:rPr>
        <w:t xml:space="preserve">Le titulaire sera en charge de la conception, du déploiement et du MCO/MCS de l’usine à plateformes </w:t>
      </w:r>
      <w:proofErr w:type="spellStart"/>
      <w:r>
        <w:rPr>
          <w:rFonts w:cs="Times New Roman"/>
          <w:sz w:val="24"/>
          <w:szCs w:val="24"/>
        </w:rPr>
        <w:t>kubernetes</w:t>
      </w:r>
      <w:proofErr w:type="spellEnd"/>
      <w:r>
        <w:rPr>
          <w:rFonts w:cs="Times New Roman"/>
          <w:sz w:val="24"/>
          <w:szCs w:val="24"/>
        </w:rPr>
        <w:t xml:space="preserve"> et de certains PAAS à la demande des utilisateurs. </w:t>
      </w:r>
    </w:p>
    <w:p w:rsidR="006E6D7A" w:rsidRDefault="00B16C64" w14:paraId="6715783F" w14:textId="77777777">
      <w:pPr>
        <w:spacing w:before="100" w:beforeAutospacing="1" w:after="100" w:afterAutospacing="1"/>
        <w:jc w:val="left"/>
        <w:rPr>
          <w:rFonts w:cs="Times New Roman"/>
          <w:sz w:val="24"/>
          <w:szCs w:val="24"/>
        </w:rPr>
      </w:pPr>
      <w:r>
        <w:rPr>
          <w:rFonts w:cs="Times New Roman"/>
          <w:sz w:val="24"/>
          <w:szCs w:val="24"/>
        </w:rPr>
        <w:lastRenderedPageBreak/>
        <w:t xml:space="preserve">Le titulaire devra fournir les outils et processus permettant le déploiement des plateformes en s’appuyant sur le </w:t>
      </w:r>
      <w:proofErr w:type="spellStart"/>
      <w:r>
        <w:rPr>
          <w:rFonts w:cs="Times New Roman"/>
          <w:sz w:val="24"/>
          <w:szCs w:val="24"/>
        </w:rPr>
        <w:t>GitLab</w:t>
      </w:r>
      <w:proofErr w:type="spellEnd"/>
      <w:r>
        <w:rPr>
          <w:rFonts w:cs="Times New Roman"/>
          <w:sz w:val="24"/>
          <w:szCs w:val="24"/>
        </w:rPr>
        <w:t xml:space="preserve"> interne de l’INRAE.</w:t>
      </w:r>
      <w:r>
        <w:t xml:space="preserve"> </w:t>
      </w:r>
      <w:r>
        <w:rPr>
          <w:rFonts w:cs="Times New Roman"/>
          <w:sz w:val="24"/>
          <w:szCs w:val="24"/>
        </w:rPr>
        <w:t xml:space="preserve">Les scripts et </w:t>
      </w:r>
      <w:proofErr w:type="spellStart"/>
      <w:r>
        <w:rPr>
          <w:rFonts w:cs="Times New Roman"/>
          <w:sz w:val="24"/>
          <w:szCs w:val="24"/>
        </w:rPr>
        <w:t>manifest</w:t>
      </w:r>
      <w:proofErr w:type="spellEnd"/>
      <w:r>
        <w:rPr>
          <w:rFonts w:cs="Times New Roman"/>
          <w:sz w:val="24"/>
          <w:szCs w:val="24"/>
        </w:rPr>
        <w:t xml:space="preserve"> de déploiement en Infrastructure as Code (</w:t>
      </w:r>
      <w:proofErr w:type="spellStart"/>
      <w:r>
        <w:rPr>
          <w:rFonts w:cs="Times New Roman"/>
          <w:sz w:val="24"/>
          <w:szCs w:val="24"/>
        </w:rPr>
        <w:t>IaC</w:t>
      </w:r>
      <w:proofErr w:type="spellEnd"/>
      <w:r>
        <w:rPr>
          <w:rFonts w:cs="Times New Roman"/>
          <w:sz w:val="24"/>
          <w:szCs w:val="24"/>
        </w:rPr>
        <w:t xml:space="preserve">) seront donc déposés </w:t>
      </w:r>
      <w:proofErr w:type="gramStart"/>
      <w:r>
        <w:rPr>
          <w:rFonts w:cs="Times New Roman"/>
          <w:sz w:val="24"/>
          <w:szCs w:val="24"/>
        </w:rPr>
        <w:t>et  accessibles</w:t>
      </w:r>
      <w:proofErr w:type="gramEnd"/>
      <w:r>
        <w:rPr>
          <w:rFonts w:cs="Times New Roman"/>
          <w:sz w:val="24"/>
          <w:szCs w:val="24"/>
        </w:rPr>
        <w:t xml:space="preserve"> sur le </w:t>
      </w:r>
      <w:proofErr w:type="spellStart"/>
      <w:r>
        <w:rPr>
          <w:rFonts w:cs="Times New Roman"/>
          <w:sz w:val="24"/>
          <w:szCs w:val="24"/>
        </w:rPr>
        <w:t>gitlab</w:t>
      </w:r>
      <w:proofErr w:type="spellEnd"/>
      <w:r>
        <w:rPr>
          <w:rFonts w:cs="Times New Roman"/>
          <w:sz w:val="24"/>
          <w:szCs w:val="24"/>
        </w:rPr>
        <w:t xml:space="preserve"> de INRAE.</w:t>
      </w:r>
    </w:p>
    <w:p w:rsidR="006E6D7A" w:rsidRDefault="00B16C64" w14:paraId="67157840" w14:textId="77777777">
      <w:pPr>
        <w:spacing w:before="100" w:beforeAutospacing="1" w:after="100" w:afterAutospacing="1"/>
        <w:jc w:val="left"/>
        <w:rPr>
          <w:rFonts w:cs="Times New Roman"/>
          <w:sz w:val="24"/>
          <w:szCs w:val="24"/>
        </w:rPr>
      </w:pPr>
      <w:r>
        <w:rPr>
          <w:rFonts w:cs="Times New Roman"/>
          <w:sz w:val="24"/>
          <w:szCs w:val="24"/>
        </w:rPr>
        <w:t>Le titulaire sera responsable de la sécurité de son SI.</w:t>
      </w:r>
    </w:p>
    <w:p w:rsidR="006E6D7A" w:rsidRDefault="00B16C64" w14:paraId="67157841" w14:textId="77777777">
      <w:pPr>
        <w:spacing w:before="100" w:beforeAutospacing="1" w:after="100" w:afterAutospacing="1"/>
        <w:jc w:val="left"/>
        <w:rPr>
          <w:rFonts w:cs="Times New Roman"/>
          <w:sz w:val="24"/>
          <w:szCs w:val="24"/>
        </w:rPr>
      </w:pPr>
      <w:r>
        <w:rPr>
          <w:noProof/>
        </w:rPr>
        <mc:AlternateContent>
          <mc:Choice Requires="wpg">
            <w:drawing>
              <wp:inline distT="0" distB="0" distL="0" distR="0" wp14:anchorId="67157C41" wp14:editId="67157C42">
                <wp:extent cx="6120130" cy="3864231"/>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10567" name=""/>
                        <pic:cNvPicPr>
                          <a:picLocks noChangeAspect="1"/>
                        </pic:cNvPicPr>
                      </pic:nvPicPr>
                      <pic:blipFill rotWithShape="1">
                        <a:blip r:embed="rId113"/>
                        <a:stretch/>
                      </pic:blipFill>
                      <pic:spPr bwMode="auto">
                        <a:xfrm>
                          <a:off x="0" y="0"/>
                          <a:ext cx="6120128" cy="3864231"/>
                        </a:xfrm>
                        <a:prstGeom prst="rect">
                          <a:avLst/>
                        </a:prstGeom>
                      </pic:spPr>
                    </pic:pic>
                  </a:graphicData>
                </a:graphic>
              </wp:inline>
            </w:drawing>
          </mc:Choice>
          <mc:Fallback xmlns:a="http://schemas.openxmlformats.org/drawingml/2006/main">
            <w:pict w14:anchorId="21FB9AF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8" style="width:481.90pt;height:304.27pt;mso-wrap-distance-left:0.00pt;mso-wrap-distance-top:0.00pt;mso-wrap-distance-right:0.00pt;mso-wrap-distance-bottom:0.00pt;z-index:1;" o:spid="_x0000_s38" stroked="false" type="#_x0000_t75">
                <v:imagedata o:title="" r:id="rId114"/>
                <o:lock v:ext="edit" rotation="t"/>
              </v:shape>
            </w:pict>
          </mc:Fallback>
        </mc:AlternateContent>
      </w:r>
    </w:p>
    <w:p w:rsidR="006E6D7A" w:rsidRDefault="00B16C64" w14:paraId="67157842" w14:textId="77777777">
      <w:pPr>
        <w:pStyle w:val="Lgende"/>
        <w:ind w:left="2127" w:firstLine="709"/>
      </w:pPr>
      <w:r>
        <w:t xml:space="preserve">Figure </w:t>
      </w:r>
      <w:r>
        <w:fldChar w:fldCharType="begin"/>
      </w:r>
      <w:r>
        <w:instrText xml:space="preserve"> SEQ Figure \* Arabic </w:instrText>
      </w:r>
      <w:r>
        <w:fldChar w:fldCharType="separate"/>
      </w:r>
      <w:r>
        <w:t>2</w:t>
      </w:r>
      <w:r>
        <w:fldChar w:fldCharType="end"/>
      </w:r>
      <w:r>
        <w:t xml:space="preserve"> - Exemple d'implémentation  </w:t>
      </w:r>
    </w:p>
    <w:p w:rsidR="006E6D7A" w:rsidRDefault="006E6D7A" w14:paraId="67157843" w14:textId="77777777">
      <w:pPr>
        <w:spacing w:before="100" w:beforeAutospacing="1" w:after="100" w:afterAutospacing="1"/>
        <w:ind w:left="720"/>
        <w:jc w:val="left"/>
        <w:rPr>
          <w:rFonts w:cs="Times New Roman"/>
          <w:sz w:val="24"/>
          <w:szCs w:val="24"/>
        </w:rPr>
      </w:pPr>
    </w:p>
    <w:p w:rsidR="006E6D7A" w:rsidRDefault="00B16C64" w14:paraId="67157844" w14:textId="77777777">
      <w:pPr>
        <w:spacing w:before="100" w:beforeAutospacing="1" w:after="100" w:afterAutospacing="1"/>
        <w:rPr>
          <w:rFonts w:cs="Times New Roman"/>
          <w:sz w:val="24"/>
          <w:szCs w:val="24"/>
        </w:rPr>
      </w:pPr>
      <w:r>
        <w:rPr>
          <w:rFonts w:cs="Times New Roman"/>
          <w:sz w:val="24"/>
          <w:szCs w:val="24"/>
        </w:rPr>
        <w:t>Le titulaire devra donc fournir :</w:t>
      </w:r>
    </w:p>
    <w:p w:rsidR="006E6D7A" w:rsidRDefault="00B16C64" w14:paraId="67157845" w14:textId="77777777">
      <w:pPr>
        <w:numPr>
          <w:ilvl w:val="0"/>
          <w:numId w:val="179"/>
        </w:numPr>
        <w:tabs>
          <w:tab w:val="clear" w:pos="720"/>
        </w:tabs>
        <w:spacing w:before="100" w:beforeAutospacing="1" w:after="100" w:afterAutospacing="1"/>
        <w:jc w:val="left"/>
        <w:rPr>
          <w:rFonts w:cs="Times New Roman"/>
          <w:sz w:val="24"/>
          <w:szCs w:val="24"/>
        </w:rPr>
      </w:pPr>
      <w:r>
        <w:rPr>
          <w:rFonts w:cs="Times New Roman"/>
          <w:b/>
          <w:sz w:val="24"/>
          <w:szCs w:val="24"/>
        </w:rPr>
        <w:t xml:space="preserve">L’usine à plateformes </w:t>
      </w:r>
      <w:proofErr w:type="spellStart"/>
      <w:r>
        <w:rPr>
          <w:rFonts w:cs="Times New Roman"/>
          <w:b/>
          <w:sz w:val="24"/>
          <w:szCs w:val="24"/>
        </w:rPr>
        <w:t>kubernetes</w:t>
      </w:r>
      <w:proofErr w:type="spellEnd"/>
      <w:r>
        <w:rPr>
          <w:rFonts w:cs="Times New Roman"/>
          <w:b/>
          <w:sz w:val="24"/>
          <w:szCs w:val="24"/>
        </w:rPr>
        <w:t xml:space="preserve"> et son catalogue de services,</w:t>
      </w:r>
      <w:r>
        <w:rPr>
          <w:rFonts w:cs="Times New Roman"/>
          <w:sz w:val="24"/>
          <w:szCs w:val="24"/>
        </w:rPr>
        <w:t xml:space="preserve"> proposant l’ensemble des services, outils et API permettant d’automatiser le déploiement des </w:t>
      </w:r>
      <w:proofErr w:type="gramStart"/>
      <w:r>
        <w:rPr>
          <w:rFonts w:cs="Times New Roman"/>
          <w:sz w:val="24"/>
          <w:szCs w:val="24"/>
        </w:rPr>
        <w:t>PAAS ,</w:t>
      </w:r>
      <w:proofErr w:type="gramEnd"/>
      <w:r>
        <w:rPr>
          <w:rFonts w:cs="Times New Roman"/>
          <w:sz w:val="24"/>
          <w:szCs w:val="24"/>
        </w:rPr>
        <w:t xml:space="preserve"> le titulaire en assurera les MCO/MCS</w:t>
      </w:r>
    </w:p>
    <w:p w:rsidR="006E6D7A" w:rsidRDefault="00B16C64" w14:paraId="67157846" w14:textId="77777777">
      <w:pPr>
        <w:numPr>
          <w:ilvl w:val="0"/>
          <w:numId w:val="170"/>
        </w:numPr>
        <w:spacing w:before="100" w:beforeAutospacing="1" w:after="100" w:afterAutospacing="1"/>
        <w:jc w:val="left"/>
        <w:rPr>
          <w:rFonts w:cs="Times New Roman"/>
          <w:sz w:val="24"/>
          <w:szCs w:val="24"/>
        </w:rPr>
      </w:pPr>
      <w:r>
        <w:rPr>
          <w:rFonts w:cs="Times New Roman"/>
          <w:sz w:val="24"/>
          <w:szCs w:val="24"/>
        </w:rPr>
        <w:t xml:space="preserve">Les </w:t>
      </w:r>
      <w:r>
        <w:rPr>
          <w:rFonts w:cs="Times New Roman"/>
          <w:b/>
          <w:bCs/>
          <w:sz w:val="24"/>
          <w:szCs w:val="24"/>
        </w:rPr>
        <w:t xml:space="preserve">clusters </w:t>
      </w:r>
      <w:proofErr w:type="spellStart"/>
      <w:proofErr w:type="gramStart"/>
      <w:r>
        <w:rPr>
          <w:rFonts w:cs="Times New Roman"/>
          <w:b/>
          <w:bCs/>
          <w:sz w:val="24"/>
          <w:szCs w:val="24"/>
        </w:rPr>
        <w:t>Kubernetes</w:t>
      </w:r>
      <w:proofErr w:type="spellEnd"/>
      <w:r>
        <w:rPr>
          <w:rFonts w:cs="Times New Roman"/>
          <w:b/>
          <w:bCs/>
          <w:sz w:val="24"/>
          <w:szCs w:val="24"/>
        </w:rPr>
        <w:t xml:space="preserve">  produits</w:t>
      </w:r>
      <w:proofErr w:type="gramEnd"/>
      <w:r>
        <w:rPr>
          <w:rFonts w:cs="Times New Roman"/>
          <w:sz w:val="24"/>
          <w:szCs w:val="24"/>
        </w:rPr>
        <w:t xml:space="preserve"> (ou PAAS). INRAE pourra demander au titulaire </w:t>
      </w:r>
      <w:proofErr w:type="gramStart"/>
      <w:r>
        <w:rPr>
          <w:rFonts w:cs="Times New Roman"/>
          <w:sz w:val="24"/>
          <w:szCs w:val="24"/>
        </w:rPr>
        <w:t>d’assurer  le</w:t>
      </w:r>
      <w:proofErr w:type="gramEnd"/>
      <w:r>
        <w:rPr>
          <w:rFonts w:cs="Times New Roman"/>
          <w:sz w:val="24"/>
          <w:szCs w:val="24"/>
        </w:rPr>
        <w:t xml:space="preserve"> MCO et MCS pour certains de ces clusters</w:t>
      </w:r>
    </w:p>
    <w:p w:rsidR="006E6D7A" w:rsidRDefault="006E6D7A" w14:paraId="67157847" w14:textId="77777777">
      <w:pPr>
        <w:keepNext/>
        <w:spacing w:before="100" w:beforeAutospacing="1" w:after="100" w:afterAutospacing="1"/>
        <w:jc w:val="left"/>
        <w:rPr>
          <w:rFonts w:cs="Times New Roman"/>
          <w:sz w:val="24"/>
          <w:szCs w:val="24"/>
        </w:rPr>
      </w:pPr>
    </w:p>
    <w:p w:rsidR="006E6D7A" w:rsidRDefault="00B16C64" w14:paraId="67157848" w14:textId="77777777">
      <w:pPr>
        <w:pStyle w:val="Titre4"/>
        <w:numPr>
          <w:ilvl w:val="4"/>
          <w:numId w:val="3"/>
        </w:numPr>
        <w:tabs>
          <w:tab w:val="clear" w:pos="1134"/>
        </w:tabs>
      </w:pPr>
      <w:r>
        <w:t>Catalogue de Services</w:t>
      </w:r>
    </w:p>
    <w:p w:rsidR="006E6D7A" w:rsidRDefault="00B16C64" w14:paraId="67157849" w14:textId="77777777">
      <w:pPr>
        <w:spacing w:before="100" w:beforeAutospacing="1" w:after="100" w:afterAutospacing="1"/>
        <w:rPr>
          <w:rFonts w:cs="Times New Roman"/>
          <w:sz w:val="24"/>
          <w:szCs w:val="24"/>
        </w:rPr>
      </w:pPr>
      <w:r>
        <w:rPr>
          <w:rFonts w:cs="Times New Roman"/>
          <w:sz w:val="24"/>
          <w:szCs w:val="24"/>
        </w:rPr>
        <w:t xml:space="preserve">Le titulaire devra proposer un </w:t>
      </w:r>
      <w:r>
        <w:rPr>
          <w:rFonts w:cs="Times New Roman"/>
          <w:b/>
          <w:bCs/>
          <w:sz w:val="24"/>
          <w:szCs w:val="24"/>
        </w:rPr>
        <w:t>catalogue de services</w:t>
      </w:r>
      <w:r>
        <w:rPr>
          <w:rFonts w:cs="Times New Roman"/>
          <w:sz w:val="24"/>
          <w:szCs w:val="24"/>
        </w:rPr>
        <w:t xml:space="preserve"> permettant de composer la plateforme PaaS à la demande. Ce catalogue devra inclure </w:t>
      </w:r>
      <w:r>
        <w:rPr>
          <w:rFonts w:cs="Times New Roman"/>
          <w:b/>
          <w:bCs/>
          <w:sz w:val="24"/>
          <w:szCs w:val="24"/>
        </w:rPr>
        <w:t>au minimum</w:t>
      </w:r>
      <w:r>
        <w:rPr>
          <w:rFonts w:cs="Times New Roman"/>
          <w:sz w:val="24"/>
          <w:szCs w:val="24"/>
        </w:rPr>
        <w:t xml:space="preserve"> les services suivants :</w:t>
      </w:r>
    </w:p>
    <w:p w:rsidR="006E6D7A" w:rsidRDefault="00B16C64" w14:paraId="6715784A" w14:textId="77777777">
      <w:pPr>
        <w:spacing w:before="100" w:beforeAutospacing="1" w:after="100" w:afterAutospacing="1"/>
        <w:jc w:val="left"/>
        <w:rPr>
          <w:rFonts w:cs="Times New Roman"/>
          <w:b/>
          <w:bCs/>
          <w:sz w:val="24"/>
          <w:szCs w:val="24"/>
        </w:rPr>
      </w:pPr>
      <w:r>
        <w:rPr>
          <w:rFonts w:cs="Times New Roman"/>
          <w:sz w:val="24"/>
          <w:szCs w:val="24"/>
        </w:rPr>
        <w:lastRenderedPageBreak/>
        <w:t xml:space="preserve">Les technologies listées sont des technologies pressenties. Ce catalogue devra implémenter les normes de la DSI INRAE. </w:t>
      </w:r>
      <w:proofErr w:type="spellStart"/>
      <w:r>
        <w:rPr>
          <w:rFonts w:cs="Times New Roman"/>
          <w:sz w:val="24"/>
          <w:szCs w:val="24"/>
        </w:rPr>
        <w:t>Celles-çi</w:t>
      </w:r>
      <w:proofErr w:type="spellEnd"/>
      <w:r>
        <w:rPr>
          <w:rFonts w:cs="Times New Roman"/>
          <w:sz w:val="24"/>
          <w:szCs w:val="24"/>
        </w:rPr>
        <w:t xml:space="preserve"> sont évolutives. Le déploiement devra prendre en compte ces normes au moment de la mise en œuvre de l’usine à plateformes </w:t>
      </w:r>
      <w:proofErr w:type="spellStart"/>
      <w:r>
        <w:rPr>
          <w:rFonts w:cs="Times New Roman"/>
          <w:sz w:val="24"/>
          <w:szCs w:val="24"/>
        </w:rPr>
        <w:t>Kubernetes</w:t>
      </w:r>
      <w:proofErr w:type="spellEnd"/>
      <w:r>
        <w:rPr>
          <w:rFonts w:cs="Times New Roman"/>
          <w:sz w:val="24"/>
          <w:szCs w:val="24"/>
        </w:rPr>
        <w:t xml:space="preserve">.  L’usine et </w:t>
      </w:r>
      <w:proofErr w:type="gramStart"/>
      <w:r>
        <w:rPr>
          <w:rFonts w:cs="Times New Roman"/>
          <w:sz w:val="24"/>
          <w:szCs w:val="24"/>
        </w:rPr>
        <w:t>son  environnement</w:t>
      </w:r>
      <w:proofErr w:type="gramEnd"/>
      <w:r>
        <w:rPr>
          <w:rFonts w:cs="Times New Roman"/>
          <w:sz w:val="24"/>
          <w:szCs w:val="24"/>
        </w:rPr>
        <w:t xml:space="preserve"> pourront faire l’objet d’évolutions via la commande de prestations.</w:t>
      </w:r>
      <w:r>
        <w:rPr>
          <w:rFonts w:cs="Times New Roman"/>
          <w:b/>
          <w:bCs/>
          <w:sz w:val="24"/>
          <w:szCs w:val="24"/>
        </w:rPr>
        <w:t xml:space="preserve"> Le cluster </w:t>
      </w:r>
      <w:proofErr w:type="spellStart"/>
      <w:r>
        <w:rPr>
          <w:rFonts w:cs="Times New Roman"/>
          <w:b/>
          <w:bCs/>
          <w:sz w:val="24"/>
          <w:szCs w:val="24"/>
        </w:rPr>
        <w:t>Kubernetes</w:t>
      </w:r>
      <w:proofErr w:type="spellEnd"/>
      <w:r>
        <w:rPr>
          <w:rFonts w:cs="Times New Roman"/>
          <w:b/>
          <w:bCs/>
          <w:sz w:val="24"/>
          <w:szCs w:val="24"/>
        </w:rPr>
        <w:t xml:space="preserve"> socle du PAAS est considéré comme un service du catalogue, dont le MCO/MCS est </w:t>
      </w:r>
      <w:proofErr w:type="spellStart"/>
      <w:proofErr w:type="gramStart"/>
      <w:r>
        <w:rPr>
          <w:rFonts w:cs="Times New Roman"/>
          <w:b/>
          <w:bCs/>
          <w:sz w:val="24"/>
          <w:szCs w:val="24"/>
        </w:rPr>
        <w:t>a</w:t>
      </w:r>
      <w:proofErr w:type="spellEnd"/>
      <w:proofErr w:type="gramEnd"/>
      <w:r>
        <w:rPr>
          <w:rFonts w:cs="Times New Roman"/>
          <w:b/>
          <w:bCs/>
          <w:sz w:val="24"/>
          <w:szCs w:val="24"/>
        </w:rPr>
        <w:t xml:space="preserve"> commander explicitement.</w:t>
      </w:r>
    </w:p>
    <w:tbl>
      <w:tblPr>
        <w:tblStyle w:val="TableauGrille4-Accentuation51"/>
        <w:tblW w:w="0" w:type="auto"/>
        <w:tblLook w:val="04A0" w:firstRow="1" w:lastRow="0" w:firstColumn="1" w:lastColumn="0" w:noHBand="0" w:noVBand="1"/>
      </w:tblPr>
      <w:tblGrid>
        <w:gridCol w:w="4814"/>
        <w:gridCol w:w="4814"/>
      </w:tblGrid>
      <w:tr w:rsidR="006E6D7A" w:rsidTr="006E6D7A" w14:paraId="6715784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4B" w14:textId="77777777">
            <w:pPr>
              <w:spacing w:after="0"/>
              <w:rPr>
                <w:rFonts w:cs="Times New Roman"/>
                <w:sz w:val="24"/>
                <w:szCs w:val="24"/>
              </w:rPr>
            </w:pPr>
            <w:r>
              <w:rPr>
                <w:rFonts w:cs="Times New Roman"/>
                <w:bCs w:val="0"/>
                <w:sz w:val="24"/>
                <w:szCs w:val="24"/>
              </w:rPr>
              <w:t>Service</w:t>
            </w:r>
          </w:p>
          <w:p w:rsidR="006E6D7A" w:rsidRDefault="006E6D7A" w14:paraId="6715784C" w14:textId="77777777">
            <w:pPr>
              <w:spacing w:before="100" w:beforeAutospacing="1" w:after="100" w:afterAutospacing="1"/>
              <w:rPr>
                <w:rFonts w:cs="Times New Roman"/>
                <w:sz w:val="24"/>
                <w:szCs w:val="24"/>
              </w:rPr>
            </w:pPr>
          </w:p>
        </w:tc>
        <w:tc>
          <w:tcPr>
            <w:tcW w:w="4814" w:type="dxa"/>
          </w:tcPr>
          <w:p w:rsidR="006E6D7A" w:rsidRDefault="00B16C64" w14:paraId="6715784D" w14:textId="77777777">
            <w:pPr>
              <w:spacing w:after="0"/>
              <w:cnfStyle w:val="100000000000" w:firstRow="1" w:lastRow="0" w:firstColumn="0" w:lastColumn="0" w:oddVBand="0" w:evenVBand="0" w:oddHBand="0" w:evenHBand="0" w:firstRowFirstColumn="0" w:firstRowLastColumn="0" w:lastRowFirstColumn="0" w:lastRowLastColumn="0"/>
              <w:rPr>
                <w:rFonts w:cs="Times New Roman"/>
                <w:sz w:val="24"/>
                <w:szCs w:val="24"/>
              </w:rPr>
            </w:pPr>
            <w:r>
              <w:rPr>
                <w:rFonts w:cs="Times New Roman"/>
                <w:bCs w:val="0"/>
                <w:sz w:val="24"/>
                <w:szCs w:val="24"/>
              </w:rPr>
              <w:t>Description</w:t>
            </w:r>
          </w:p>
          <w:p w:rsidR="006E6D7A" w:rsidRDefault="006E6D7A" w14:paraId="6715784E" w14:textId="7777777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cs="Times New Roman"/>
                <w:sz w:val="24"/>
                <w:szCs w:val="24"/>
              </w:rPr>
            </w:pPr>
          </w:p>
        </w:tc>
      </w:tr>
      <w:tr w:rsidR="006E6D7A" w:rsidTr="006E6D7A" w14:paraId="67157853" w14:textId="77777777">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4814" w:type="dxa"/>
            <w:vMerge w:val="restart"/>
          </w:tcPr>
          <w:p w:rsidR="006E6D7A" w:rsidRDefault="00B16C64" w14:paraId="67157850" w14:textId="77777777">
            <w:pPr>
              <w:tabs>
                <w:tab w:val="center" w:pos="2299"/>
                <w:tab w:val="center" w:pos="2299"/>
              </w:tabs>
              <w:spacing w:after="0"/>
              <w:jc w:val="left"/>
              <w:rPr>
                <w:rFonts w:cs="Times New Roman"/>
                <w:sz w:val="24"/>
                <w:szCs w:val="24"/>
              </w:rPr>
            </w:pPr>
            <w:proofErr w:type="spellStart"/>
            <w:r>
              <w:rPr>
                <w:rFonts w:cs="Times New Roman"/>
                <w:sz w:val="24"/>
                <w:szCs w:val="24"/>
              </w:rPr>
              <w:t>Kubernetes</w:t>
            </w:r>
            <w:proofErr w:type="spellEnd"/>
            <w:r>
              <w:rPr>
                <w:rFonts w:cs="Times New Roman"/>
                <w:sz w:val="24"/>
                <w:szCs w:val="24"/>
              </w:rPr>
              <w:tab/>
            </w:r>
            <w:r>
              <w:rPr>
                <w:rFonts w:cs="Times New Roman"/>
                <w:sz w:val="24"/>
                <w:szCs w:val="24"/>
              </w:rPr>
              <w:tab/>
            </w:r>
          </w:p>
        </w:tc>
        <w:tc>
          <w:tcPr>
            <w:tcW w:w="4814" w:type="dxa"/>
            <w:vMerge w:val="restart"/>
          </w:tcPr>
          <w:p w:rsidR="006E6D7A" w:rsidRDefault="00B16C64" w14:paraId="67157851" w14:textId="77777777">
            <w:pPr>
              <w:spacing w:after="0"/>
              <w:jc w:val="left"/>
              <w:cnfStyle w:val="000000100000" w:firstRow="0" w:lastRow="0" w:firstColumn="0" w:lastColumn="0" w:oddVBand="0" w:evenVBand="0" w:oddHBand="1" w:evenHBand="0" w:firstRowFirstColumn="0" w:firstRowLastColumn="0" w:lastRowFirstColumn="0" w:lastRowLastColumn="0"/>
            </w:pPr>
            <w:r>
              <w:t xml:space="preserve">Solution d'orchestration de conteneurs sécurisée (ex : </w:t>
            </w:r>
            <w:proofErr w:type="spellStart"/>
            <w:r>
              <w:t>kubernetes</w:t>
            </w:r>
            <w:proofErr w:type="spellEnd"/>
            <w:r>
              <w:t xml:space="preserve"> </w:t>
            </w:r>
            <w:proofErr w:type="spellStart"/>
            <w:r>
              <w:t>vanilla</w:t>
            </w:r>
            <w:proofErr w:type="spellEnd"/>
            <w:r>
              <w:t xml:space="preserve">, rke2, </w:t>
            </w:r>
            <w:proofErr w:type="spellStart"/>
            <w:r>
              <w:t>talos</w:t>
            </w:r>
            <w:proofErr w:type="spellEnd"/>
            <w:r>
              <w:t xml:space="preserve">, </w:t>
            </w:r>
            <w:proofErr w:type="spellStart"/>
            <w:r>
              <w:t>openshift</w:t>
            </w:r>
            <w:proofErr w:type="spellEnd"/>
            <w:r>
              <w:t>...)</w:t>
            </w:r>
          </w:p>
          <w:p w:rsidR="006E6D7A" w:rsidRDefault="006E6D7A" w14:paraId="67157852" w14:textId="77777777">
            <w:pPr>
              <w:spacing w:after="0"/>
              <w:jc w:val="left"/>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r>
      <w:tr w:rsidR="006E6D7A" w:rsidTr="006E6D7A" w14:paraId="67157858" w14:textId="77777777">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54" w14:textId="77777777">
            <w:pPr>
              <w:spacing w:after="0"/>
              <w:rPr>
                <w:rFonts w:cs="Times New Roman"/>
                <w:sz w:val="24"/>
                <w:szCs w:val="24"/>
              </w:rPr>
            </w:pPr>
            <w:r>
              <w:rPr>
                <w:rFonts w:cs="Times New Roman"/>
                <w:sz w:val="24"/>
                <w:szCs w:val="24"/>
              </w:rPr>
              <w:t>Gestion des secrets</w:t>
            </w:r>
          </w:p>
          <w:p w:rsidR="006E6D7A" w:rsidRDefault="006E6D7A" w14:paraId="67157855" w14:textId="77777777">
            <w:pPr>
              <w:spacing w:before="100" w:beforeAutospacing="1" w:after="100" w:afterAutospacing="1"/>
              <w:rPr>
                <w:rFonts w:cs="Times New Roman"/>
                <w:sz w:val="24"/>
                <w:szCs w:val="24"/>
              </w:rPr>
            </w:pPr>
          </w:p>
        </w:tc>
        <w:tc>
          <w:tcPr>
            <w:tcW w:w="4814" w:type="dxa"/>
          </w:tcPr>
          <w:p w:rsidR="006E6D7A" w:rsidRDefault="00B16C64" w14:paraId="67157856" w14:textId="77777777">
            <w:pPr>
              <w:spacing w:after="0"/>
              <w:cnfStyle w:val="000000000000" w:firstRow="0" w:lastRow="0" w:firstColumn="0" w:lastColumn="0" w:oddVBand="0" w:evenVBand="0" w:oddHBand="0" w:evenHBand="0" w:firstRowFirstColumn="0" w:firstRowLastColumn="0" w:lastRowFirstColumn="0" w:lastRowLastColumn="0"/>
              <w:rPr>
                <w:rFonts w:cs="Times New Roman"/>
                <w:sz w:val="24"/>
                <w:szCs w:val="24"/>
              </w:rPr>
            </w:pPr>
            <w:r>
              <w:rPr>
                <w:rFonts w:cs="Times New Roman"/>
                <w:sz w:val="24"/>
                <w:szCs w:val="24"/>
              </w:rPr>
              <w:t xml:space="preserve">Solution centralisée pour le stockage, la rotation et l’accès sécurisé aux secrets (ex : </w:t>
            </w:r>
            <w:proofErr w:type="spellStart"/>
            <w:r>
              <w:rPr>
                <w:rFonts w:cs="Times New Roman"/>
                <w:sz w:val="24"/>
                <w:szCs w:val="24"/>
              </w:rPr>
              <w:t>HashiCorp</w:t>
            </w:r>
            <w:proofErr w:type="spellEnd"/>
            <w:r>
              <w:rPr>
                <w:rFonts w:cs="Times New Roman"/>
                <w:sz w:val="24"/>
                <w:szCs w:val="24"/>
              </w:rPr>
              <w:t xml:space="preserve"> Vault, </w:t>
            </w:r>
            <w:proofErr w:type="spellStart"/>
            <w:r>
              <w:rPr>
                <w:rFonts w:cs="Times New Roman"/>
                <w:sz w:val="24"/>
                <w:szCs w:val="24"/>
              </w:rPr>
              <w:t>Sealed</w:t>
            </w:r>
            <w:proofErr w:type="spellEnd"/>
            <w:r>
              <w:rPr>
                <w:rFonts w:cs="Times New Roman"/>
                <w:sz w:val="24"/>
                <w:szCs w:val="24"/>
              </w:rPr>
              <w:t xml:space="preserve"> Secrets).</w:t>
            </w:r>
          </w:p>
          <w:p w:rsidR="006E6D7A" w:rsidRDefault="006E6D7A" w14:paraId="67157857" w14:textId="7777777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cs="Times New Roman"/>
                <w:sz w:val="24"/>
                <w:szCs w:val="24"/>
              </w:rPr>
            </w:pPr>
          </w:p>
        </w:tc>
      </w:tr>
      <w:tr w:rsidR="006E6D7A" w:rsidTr="006E6D7A" w14:paraId="6715785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59" w14:textId="77777777">
            <w:pPr>
              <w:spacing w:after="0"/>
              <w:rPr>
                <w:rFonts w:cs="Times New Roman"/>
                <w:sz w:val="24"/>
                <w:szCs w:val="24"/>
              </w:rPr>
            </w:pPr>
            <w:proofErr w:type="spellStart"/>
            <w:r>
              <w:rPr>
                <w:rFonts w:cs="Times New Roman"/>
                <w:sz w:val="24"/>
                <w:szCs w:val="24"/>
              </w:rPr>
              <w:t>Registry</w:t>
            </w:r>
            <w:proofErr w:type="spellEnd"/>
            <w:r>
              <w:rPr>
                <w:rFonts w:cs="Times New Roman"/>
                <w:sz w:val="24"/>
                <w:szCs w:val="24"/>
              </w:rPr>
              <w:t xml:space="preserve"> d’images</w:t>
            </w:r>
          </w:p>
          <w:p w:rsidR="006E6D7A" w:rsidRDefault="006E6D7A" w14:paraId="6715785A" w14:textId="77777777">
            <w:pPr>
              <w:spacing w:before="100" w:beforeAutospacing="1" w:after="100" w:afterAutospacing="1"/>
              <w:rPr>
                <w:rFonts w:cs="Times New Roman"/>
                <w:sz w:val="24"/>
                <w:szCs w:val="24"/>
              </w:rPr>
            </w:pPr>
          </w:p>
        </w:tc>
        <w:tc>
          <w:tcPr>
            <w:tcW w:w="4814" w:type="dxa"/>
          </w:tcPr>
          <w:p w:rsidR="006E6D7A" w:rsidRDefault="00B16C64" w14:paraId="6715785B" w14:textId="77777777">
            <w:pPr>
              <w:spacing w:after="0"/>
              <w:cnfStyle w:val="000000100000" w:firstRow="0" w:lastRow="0" w:firstColumn="0" w:lastColumn="0" w:oddVBand="0" w:evenVBand="0" w:oddHBand="1" w:evenHBand="0" w:firstRowFirstColumn="0" w:firstRowLastColumn="0" w:lastRowFirstColumn="0" w:lastRowLastColumn="0"/>
              <w:rPr>
                <w:rFonts w:cs="Times New Roman"/>
                <w:sz w:val="24"/>
                <w:szCs w:val="24"/>
              </w:rPr>
            </w:pPr>
            <w:r>
              <w:rPr>
                <w:rFonts w:cs="Times New Roman"/>
                <w:sz w:val="24"/>
                <w:szCs w:val="24"/>
              </w:rPr>
              <w:t xml:space="preserve">Registre privé pour le stockage, la gestion et la distribution des images conteneurisées (ex : Harbor, Nexus Repository). Avec les outils de scan de sécurité associés (ex : </w:t>
            </w:r>
            <w:proofErr w:type="spellStart"/>
            <w:r>
              <w:rPr>
                <w:rFonts w:cs="Times New Roman"/>
                <w:sz w:val="24"/>
                <w:szCs w:val="24"/>
              </w:rPr>
              <w:t>trivy</w:t>
            </w:r>
            <w:proofErr w:type="spellEnd"/>
            <w:r>
              <w:rPr>
                <w:rFonts w:cs="Times New Roman"/>
                <w:sz w:val="24"/>
                <w:szCs w:val="24"/>
              </w:rPr>
              <w:t>)</w:t>
            </w:r>
          </w:p>
          <w:p w:rsidR="006E6D7A" w:rsidRDefault="006E6D7A" w14:paraId="6715785C" w14:textId="7777777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r>
      <w:tr w:rsidR="006E6D7A" w:rsidTr="006E6D7A" w14:paraId="67157862" w14:textId="77777777">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5E" w14:textId="77777777">
            <w:pPr>
              <w:spacing w:after="0"/>
              <w:rPr>
                <w:rFonts w:cs="Times New Roman"/>
                <w:sz w:val="24"/>
                <w:szCs w:val="24"/>
              </w:rPr>
            </w:pPr>
            <w:proofErr w:type="spellStart"/>
            <w:r>
              <w:rPr>
                <w:rFonts w:cs="Times New Roman"/>
                <w:sz w:val="24"/>
                <w:szCs w:val="24"/>
              </w:rPr>
              <w:t>GitOps</w:t>
            </w:r>
            <w:proofErr w:type="spellEnd"/>
            <w:r>
              <w:rPr>
                <w:rFonts w:cs="Times New Roman"/>
                <w:sz w:val="24"/>
                <w:szCs w:val="24"/>
              </w:rPr>
              <w:t>/CI-CD</w:t>
            </w:r>
          </w:p>
          <w:p w:rsidR="006E6D7A" w:rsidRDefault="006E6D7A" w14:paraId="6715785F" w14:textId="77777777">
            <w:pPr>
              <w:spacing w:after="0"/>
              <w:rPr>
                <w:rFonts w:cs="Times New Roman"/>
                <w:sz w:val="24"/>
                <w:szCs w:val="24"/>
              </w:rPr>
            </w:pPr>
          </w:p>
        </w:tc>
        <w:tc>
          <w:tcPr>
            <w:tcW w:w="4814" w:type="dxa"/>
          </w:tcPr>
          <w:p w:rsidR="006E6D7A" w:rsidRDefault="00B16C64" w14:paraId="67157860" w14:textId="77777777">
            <w:pPr>
              <w:spacing w:after="0"/>
              <w:cnfStyle w:val="000000000000" w:firstRow="0" w:lastRow="0" w:firstColumn="0" w:lastColumn="0" w:oddVBand="0" w:evenVBand="0" w:oddHBand="0" w:evenHBand="0" w:firstRowFirstColumn="0" w:firstRowLastColumn="0" w:lastRowFirstColumn="0" w:lastRowLastColumn="0"/>
              <w:rPr>
                <w:rFonts w:cs="Times New Roman"/>
                <w:sz w:val="24"/>
                <w:szCs w:val="24"/>
              </w:rPr>
            </w:pPr>
            <w:r>
              <w:rPr>
                <w:rFonts w:cs="Times New Roman"/>
                <w:sz w:val="24"/>
                <w:szCs w:val="24"/>
              </w:rPr>
              <w:t xml:space="preserve">Outils pour la gestion des configurations et des déploiements via Git (ex : </w:t>
            </w:r>
            <w:proofErr w:type="spellStart"/>
            <w:r>
              <w:rPr>
                <w:rFonts w:cs="Times New Roman"/>
                <w:sz w:val="24"/>
                <w:szCs w:val="24"/>
              </w:rPr>
              <w:t>ArgoCD</w:t>
            </w:r>
            <w:proofErr w:type="spellEnd"/>
            <w:r>
              <w:rPr>
                <w:rFonts w:cs="Times New Roman"/>
                <w:sz w:val="24"/>
                <w:szCs w:val="24"/>
              </w:rPr>
              <w:t xml:space="preserve">, </w:t>
            </w:r>
            <w:proofErr w:type="spellStart"/>
            <w:r>
              <w:rPr>
                <w:rFonts w:cs="Times New Roman"/>
                <w:sz w:val="24"/>
                <w:szCs w:val="24"/>
              </w:rPr>
              <w:t>FluxCD</w:t>
            </w:r>
            <w:proofErr w:type="spellEnd"/>
            <w:r>
              <w:rPr>
                <w:rFonts w:cs="Times New Roman"/>
                <w:sz w:val="24"/>
                <w:szCs w:val="24"/>
              </w:rPr>
              <w:t>).</w:t>
            </w:r>
          </w:p>
          <w:p w:rsidR="006E6D7A" w:rsidRDefault="006E6D7A" w14:paraId="67157861" w14:textId="7777777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cs="Times New Roman"/>
                <w:sz w:val="24"/>
                <w:szCs w:val="24"/>
              </w:rPr>
            </w:pPr>
          </w:p>
        </w:tc>
      </w:tr>
      <w:tr w:rsidR="006E6D7A" w:rsidTr="006E6D7A" w14:paraId="6715786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63" w14:textId="77777777">
            <w:pPr>
              <w:spacing w:after="0"/>
              <w:rPr>
                <w:rFonts w:cs="Times New Roman"/>
                <w:sz w:val="24"/>
                <w:szCs w:val="24"/>
              </w:rPr>
            </w:pPr>
            <w:r>
              <w:rPr>
                <w:rFonts w:cs="Times New Roman"/>
                <w:sz w:val="24"/>
                <w:szCs w:val="24"/>
              </w:rPr>
              <w:t>Observabilité</w:t>
            </w:r>
          </w:p>
          <w:p w:rsidR="006E6D7A" w:rsidRDefault="006E6D7A" w14:paraId="67157864" w14:textId="77777777">
            <w:pPr>
              <w:spacing w:before="100" w:beforeAutospacing="1" w:after="100" w:afterAutospacing="1"/>
              <w:rPr>
                <w:rFonts w:cs="Times New Roman"/>
                <w:sz w:val="24"/>
                <w:szCs w:val="24"/>
              </w:rPr>
            </w:pPr>
          </w:p>
        </w:tc>
        <w:tc>
          <w:tcPr>
            <w:tcW w:w="4814" w:type="dxa"/>
          </w:tcPr>
          <w:p w:rsidR="006E6D7A" w:rsidRDefault="00B16C64" w14:paraId="67157865" w14:textId="77777777">
            <w:pPr>
              <w:spacing w:after="0"/>
              <w:cnfStyle w:val="000000100000" w:firstRow="0" w:lastRow="0" w:firstColumn="0" w:lastColumn="0" w:oddVBand="0" w:evenVBand="0" w:oddHBand="1" w:evenHBand="0" w:firstRowFirstColumn="0" w:firstRowLastColumn="0" w:lastRowFirstColumn="0" w:lastRowLastColumn="0"/>
              <w:rPr>
                <w:rFonts w:cs="Times New Roman"/>
                <w:sz w:val="24"/>
                <w:szCs w:val="24"/>
              </w:rPr>
            </w:pPr>
            <w:r>
              <w:rPr>
                <w:rFonts w:cs="Times New Roman"/>
                <w:sz w:val="24"/>
                <w:szCs w:val="24"/>
              </w:rPr>
              <w:t xml:space="preserve">Suite complète pour le monitoring, la journalisation et le tracing (ex : </w:t>
            </w:r>
            <w:proofErr w:type="spellStart"/>
            <w:r>
              <w:rPr>
                <w:rFonts w:cs="Times New Roman"/>
                <w:sz w:val="24"/>
                <w:szCs w:val="24"/>
              </w:rPr>
              <w:t>Prometheus</w:t>
            </w:r>
            <w:proofErr w:type="spellEnd"/>
            <w:r>
              <w:rPr>
                <w:rFonts w:cs="Times New Roman"/>
                <w:sz w:val="24"/>
                <w:szCs w:val="24"/>
              </w:rPr>
              <w:t xml:space="preserve">, </w:t>
            </w:r>
            <w:proofErr w:type="spellStart"/>
            <w:r>
              <w:rPr>
                <w:rFonts w:cs="Times New Roman"/>
                <w:sz w:val="24"/>
                <w:szCs w:val="24"/>
              </w:rPr>
              <w:t>Grafana</w:t>
            </w:r>
            <w:proofErr w:type="spellEnd"/>
            <w:r>
              <w:rPr>
                <w:rFonts w:cs="Times New Roman"/>
                <w:sz w:val="24"/>
                <w:szCs w:val="24"/>
              </w:rPr>
              <w:t xml:space="preserve">, Loki, </w:t>
            </w:r>
            <w:proofErr w:type="spellStart"/>
            <w:r>
              <w:rPr>
                <w:rFonts w:cs="Times New Roman"/>
                <w:sz w:val="24"/>
                <w:szCs w:val="24"/>
              </w:rPr>
              <w:t>OpenTelemetry</w:t>
            </w:r>
            <w:proofErr w:type="spellEnd"/>
            <w:r>
              <w:rPr>
                <w:rFonts w:cs="Times New Roman"/>
                <w:sz w:val="24"/>
                <w:szCs w:val="24"/>
              </w:rPr>
              <w:t>).</w:t>
            </w:r>
          </w:p>
          <w:p w:rsidR="006E6D7A" w:rsidRDefault="006E6D7A" w14:paraId="67157866" w14:textId="7777777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r>
      <w:tr w:rsidR="006E6D7A" w:rsidTr="006E6D7A" w14:paraId="6715786B" w14:textId="77777777">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68" w14:textId="77777777">
            <w:pPr>
              <w:spacing w:after="0"/>
              <w:rPr>
                <w:rFonts w:cs="Times New Roman"/>
                <w:sz w:val="24"/>
                <w:szCs w:val="24"/>
              </w:rPr>
            </w:pPr>
            <w:r>
              <w:rPr>
                <w:rFonts w:cs="Times New Roman"/>
                <w:sz w:val="24"/>
                <w:szCs w:val="24"/>
              </w:rPr>
              <w:t>Sauvegarde</w:t>
            </w:r>
          </w:p>
        </w:tc>
        <w:tc>
          <w:tcPr>
            <w:tcW w:w="4814" w:type="dxa"/>
          </w:tcPr>
          <w:p w:rsidR="006E6D7A" w:rsidRDefault="00B16C64" w14:paraId="67157869" w14:textId="77777777">
            <w:pPr>
              <w:spacing w:after="0"/>
              <w:cnfStyle w:val="000000000000" w:firstRow="0" w:lastRow="0" w:firstColumn="0" w:lastColumn="0" w:oddVBand="0" w:evenVBand="0" w:oddHBand="0" w:evenHBand="0" w:firstRowFirstColumn="0" w:firstRowLastColumn="0" w:lastRowFirstColumn="0" w:lastRowLastColumn="0"/>
              <w:rPr>
                <w:rFonts w:cs="Times New Roman"/>
                <w:sz w:val="24"/>
                <w:szCs w:val="24"/>
              </w:rPr>
            </w:pPr>
            <w:r>
              <w:rPr>
                <w:rFonts w:cs="Times New Roman"/>
                <w:sz w:val="24"/>
                <w:szCs w:val="24"/>
              </w:rPr>
              <w:t xml:space="preserve">Outils de sauvegarde pour environnement </w:t>
            </w:r>
            <w:proofErr w:type="spellStart"/>
            <w:r>
              <w:rPr>
                <w:rFonts w:cs="Times New Roman"/>
                <w:sz w:val="24"/>
                <w:szCs w:val="24"/>
              </w:rPr>
              <w:t>kubernetes</w:t>
            </w:r>
            <w:proofErr w:type="spellEnd"/>
            <w:r>
              <w:rPr>
                <w:rFonts w:cs="Times New Roman"/>
                <w:sz w:val="24"/>
                <w:szCs w:val="24"/>
              </w:rPr>
              <w:t> </w:t>
            </w:r>
            <w:proofErr w:type="gramStart"/>
            <w:r>
              <w:rPr>
                <w:rFonts w:cs="Times New Roman"/>
                <w:sz w:val="24"/>
                <w:szCs w:val="24"/>
              </w:rPr>
              <w:t>( ex</w:t>
            </w:r>
            <w:proofErr w:type="gramEnd"/>
            <w:r>
              <w:rPr>
                <w:rFonts w:cs="Times New Roman"/>
                <w:sz w:val="24"/>
                <w:szCs w:val="24"/>
              </w:rPr>
              <w:t xml:space="preserve"> : </w:t>
            </w:r>
            <w:proofErr w:type="spellStart"/>
            <w:r>
              <w:rPr>
                <w:rFonts w:cs="Times New Roman"/>
                <w:sz w:val="24"/>
                <w:szCs w:val="24"/>
              </w:rPr>
              <w:t>velero</w:t>
            </w:r>
            <w:proofErr w:type="spellEnd"/>
            <w:r>
              <w:rPr>
                <w:rFonts w:cs="Times New Roman"/>
                <w:sz w:val="24"/>
                <w:szCs w:val="24"/>
              </w:rPr>
              <w:t xml:space="preserve">, </w:t>
            </w:r>
            <w:proofErr w:type="spellStart"/>
            <w:r>
              <w:rPr>
                <w:rFonts w:cs="Times New Roman"/>
                <w:sz w:val="24"/>
                <w:szCs w:val="24"/>
              </w:rPr>
              <w:t>kasten</w:t>
            </w:r>
            <w:proofErr w:type="spellEnd"/>
            <w:r>
              <w:rPr>
                <w:rFonts w:cs="Times New Roman"/>
                <w:sz w:val="24"/>
                <w:szCs w:val="24"/>
              </w:rPr>
              <w:t>)</w:t>
            </w:r>
          </w:p>
          <w:p w:rsidR="006E6D7A" w:rsidRDefault="006E6D7A" w14:paraId="6715786A" w14:textId="77777777">
            <w:pPr>
              <w:spacing w:after="0"/>
              <w:cnfStyle w:val="000000000000" w:firstRow="0" w:lastRow="0" w:firstColumn="0" w:lastColumn="0" w:oddVBand="0" w:evenVBand="0" w:oddHBand="0" w:evenHBand="0" w:firstRowFirstColumn="0" w:firstRowLastColumn="0" w:lastRowFirstColumn="0" w:lastRowLastColumn="0"/>
              <w:rPr>
                <w:rFonts w:cs="Times New Roman"/>
                <w:sz w:val="24"/>
                <w:szCs w:val="24"/>
              </w:rPr>
            </w:pPr>
          </w:p>
        </w:tc>
      </w:tr>
      <w:tr w:rsidR="006E6D7A" w:rsidTr="006E6D7A" w14:paraId="6715786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6C" w14:textId="77777777">
            <w:pPr>
              <w:spacing w:after="0"/>
              <w:rPr>
                <w:rFonts w:cs="Times New Roman"/>
                <w:sz w:val="24"/>
                <w:szCs w:val="24"/>
              </w:rPr>
            </w:pPr>
            <w:r>
              <w:rPr>
                <w:rFonts w:cs="Times New Roman"/>
                <w:sz w:val="24"/>
                <w:szCs w:val="24"/>
              </w:rPr>
              <w:t>Sécurité</w:t>
            </w:r>
          </w:p>
        </w:tc>
        <w:tc>
          <w:tcPr>
            <w:tcW w:w="4814" w:type="dxa"/>
          </w:tcPr>
          <w:p w:rsidR="006E6D7A" w:rsidRDefault="00B16C64" w14:paraId="6715786D" w14:textId="77777777">
            <w:pPr>
              <w:spacing w:after="0"/>
              <w:cnfStyle w:val="000000100000" w:firstRow="0" w:lastRow="0" w:firstColumn="0" w:lastColumn="0" w:oddVBand="0" w:evenVBand="0" w:oddHBand="1" w:evenHBand="0" w:firstRowFirstColumn="0" w:firstRowLastColumn="0" w:lastRowFirstColumn="0" w:lastRowLastColumn="0"/>
              <w:rPr>
                <w:rFonts w:cs="Times New Roman"/>
                <w:sz w:val="24"/>
                <w:szCs w:val="24"/>
              </w:rPr>
            </w:pPr>
            <w:r>
              <w:rPr>
                <w:rFonts w:cs="Times New Roman"/>
                <w:sz w:val="24"/>
                <w:szCs w:val="24"/>
              </w:rPr>
              <w:t xml:space="preserve">Outils de surveillance, d’audit et de </w:t>
            </w:r>
            <w:proofErr w:type="spellStart"/>
            <w:r>
              <w:rPr>
                <w:rFonts w:cs="Times New Roman"/>
                <w:sz w:val="24"/>
                <w:szCs w:val="24"/>
              </w:rPr>
              <w:t>hardening</w:t>
            </w:r>
            <w:proofErr w:type="spellEnd"/>
            <w:r>
              <w:rPr>
                <w:rFonts w:cs="Times New Roman"/>
                <w:sz w:val="24"/>
                <w:szCs w:val="24"/>
              </w:rPr>
              <w:t xml:space="preserve"> de la plateforme </w:t>
            </w:r>
            <w:proofErr w:type="spellStart"/>
            <w:r>
              <w:rPr>
                <w:rFonts w:cs="Times New Roman"/>
                <w:sz w:val="24"/>
                <w:szCs w:val="24"/>
              </w:rPr>
              <w:t>kubernetes</w:t>
            </w:r>
            <w:proofErr w:type="spellEnd"/>
            <w:r>
              <w:rPr>
                <w:rFonts w:cs="Times New Roman"/>
                <w:sz w:val="24"/>
                <w:szCs w:val="24"/>
              </w:rPr>
              <w:t xml:space="preserve"> (ex : </w:t>
            </w:r>
            <w:proofErr w:type="spellStart"/>
            <w:r>
              <w:rPr>
                <w:rFonts w:cs="Times New Roman"/>
                <w:sz w:val="24"/>
                <w:szCs w:val="24"/>
              </w:rPr>
              <w:t>Crowdsec</w:t>
            </w:r>
            <w:proofErr w:type="spellEnd"/>
            <w:r>
              <w:rPr>
                <w:rFonts w:cs="Times New Roman"/>
                <w:sz w:val="24"/>
                <w:szCs w:val="24"/>
              </w:rPr>
              <w:t xml:space="preserve">, Falco, </w:t>
            </w:r>
            <w:proofErr w:type="spellStart"/>
            <w:r>
              <w:rPr>
                <w:rFonts w:cs="Times New Roman"/>
                <w:sz w:val="24"/>
                <w:szCs w:val="24"/>
              </w:rPr>
              <w:t>trivy</w:t>
            </w:r>
            <w:proofErr w:type="spellEnd"/>
            <w:r>
              <w:rPr>
                <w:rFonts w:cs="Times New Roman"/>
                <w:sz w:val="24"/>
                <w:szCs w:val="24"/>
              </w:rPr>
              <w:t xml:space="preserve">, Opa </w:t>
            </w:r>
            <w:proofErr w:type="spellStart"/>
            <w:r>
              <w:rPr>
                <w:rFonts w:cs="Times New Roman"/>
                <w:sz w:val="24"/>
                <w:szCs w:val="24"/>
              </w:rPr>
              <w:t>Gatekeeper</w:t>
            </w:r>
            <w:proofErr w:type="spellEnd"/>
            <w:r>
              <w:rPr>
                <w:rFonts w:cs="Times New Roman"/>
                <w:sz w:val="24"/>
                <w:szCs w:val="24"/>
              </w:rPr>
              <w:t>…)</w:t>
            </w:r>
          </w:p>
          <w:p w:rsidR="006E6D7A" w:rsidRDefault="006E6D7A" w14:paraId="6715786E" w14:textId="77777777">
            <w:pPr>
              <w:spacing w:after="0"/>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r>
      <w:tr w:rsidR="006E6D7A" w:rsidTr="006E6D7A" w14:paraId="67157873" w14:textId="77777777">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70" w14:textId="77777777">
            <w:pPr>
              <w:spacing w:after="0"/>
              <w:rPr>
                <w:rFonts w:cs="Times New Roman"/>
                <w:sz w:val="24"/>
                <w:szCs w:val="24"/>
              </w:rPr>
            </w:pPr>
            <w:r>
              <w:rPr>
                <w:rFonts w:cs="Times New Roman"/>
                <w:sz w:val="24"/>
                <w:szCs w:val="24"/>
              </w:rPr>
              <w:t xml:space="preserve">IHM </w:t>
            </w:r>
          </w:p>
        </w:tc>
        <w:tc>
          <w:tcPr>
            <w:tcW w:w="4814" w:type="dxa"/>
          </w:tcPr>
          <w:p w:rsidR="006E6D7A" w:rsidRDefault="00B16C64" w14:paraId="67157871" w14:textId="77777777">
            <w:pPr>
              <w:spacing w:after="0"/>
              <w:cnfStyle w:val="000000000000" w:firstRow="0" w:lastRow="0" w:firstColumn="0" w:lastColumn="0" w:oddVBand="0" w:evenVBand="0" w:oddHBand="0" w:evenHBand="0" w:firstRowFirstColumn="0" w:firstRowLastColumn="0" w:lastRowFirstColumn="0" w:lastRowLastColumn="0"/>
              <w:rPr>
                <w:rFonts w:cs="Times New Roman"/>
                <w:sz w:val="24"/>
                <w:szCs w:val="24"/>
              </w:rPr>
            </w:pPr>
            <w:proofErr w:type="gramStart"/>
            <w:r>
              <w:rPr>
                <w:rFonts w:cs="Times New Roman"/>
                <w:sz w:val="24"/>
                <w:szCs w:val="24"/>
              </w:rPr>
              <w:t>Interface graphiques</w:t>
            </w:r>
            <w:proofErr w:type="gramEnd"/>
            <w:r>
              <w:rPr>
                <w:rFonts w:cs="Times New Roman"/>
                <w:sz w:val="24"/>
                <w:szCs w:val="24"/>
              </w:rPr>
              <w:t xml:space="preserve"> facilitant l’administration et/ou la gestion de projets </w:t>
            </w:r>
            <w:proofErr w:type="spellStart"/>
            <w:r>
              <w:rPr>
                <w:rFonts w:cs="Times New Roman"/>
                <w:sz w:val="24"/>
                <w:szCs w:val="24"/>
              </w:rPr>
              <w:t>kubernetes</w:t>
            </w:r>
            <w:proofErr w:type="spellEnd"/>
            <w:r>
              <w:rPr>
                <w:rFonts w:cs="Times New Roman"/>
                <w:sz w:val="24"/>
                <w:szCs w:val="24"/>
              </w:rPr>
              <w:t xml:space="preserve"> (ex : rancher, </w:t>
            </w:r>
            <w:proofErr w:type="spellStart"/>
            <w:r>
              <w:rPr>
                <w:rFonts w:cs="Times New Roman"/>
                <w:sz w:val="24"/>
                <w:szCs w:val="24"/>
              </w:rPr>
              <w:t>dashboard</w:t>
            </w:r>
            <w:proofErr w:type="spellEnd"/>
            <w:r>
              <w:rPr>
                <w:rFonts w:cs="Times New Roman"/>
                <w:sz w:val="24"/>
                <w:szCs w:val="24"/>
              </w:rPr>
              <w:t>…)</w:t>
            </w:r>
          </w:p>
          <w:p w:rsidR="006E6D7A" w:rsidRDefault="006E6D7A" w14:paraId="67157872" w14:textId="77777777">
            <w:pPr>
              <w:spacing w:after="0"/>
              <w:cnfStyle w:val="000000000000" w:firstRow="0" w:lastRow="0" w:firstColumn="0" w:lastColumn="0" w:oddVBand="0" w:evenVBand="0" w:oddHBand="0" w:evenHBand="0" w:firstRowFirstColumn="0" w:firstRowLastColumn="0" w:lastRowFirstColumn="0" w:lastRowLastColumn="0"/>
              <w:rPr>
                <w:rFonts w:cs="Times New Roman"/>
                <w:sz w:val="24"/>
                <w:szCs w:val="24"/>
              </w:rPr>
            </w:pPr>
          </w:p>
        </w:tc>
      </w:tr>
      <w:tr w:rsidR="006E6D7A" w:rsidTr="006E6D7A" w14:paraId="6715787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74" w14:textId="77777777">
            <w:pPr>
              <w:spacing w:after="0"/>
              <w:rPr>
                <w:rFonts w:cs="Times New Roman"/>
                <w:sz w:val="24"/>
                <w:szCs w:val="24"/>
              </w:rPr>
            </w:pPr>
            <w:r>
              <w:rPr>
                <w:rFonts w:cs="Times New Roman"/>
                <w:sz w:val="24"/>
                <w:szCs w:val="24"/>
              </w:rPr>
              <w:t>Authentification</w:t>
            </w:r>
          </w:p>
        </w:tc>
        <w:tc>
          <w:tcPr>
            <w:tcW w:w="4814" w:type="dxa"/>
          </w:tcPr>
          <w:p w:rsidR="006E6D7A" w:rsidRDefault="00B16C64" w14:paraId="67157875" w14:textId="77777777">
            <w:pPr>
              <w:spacing w:after="0"/>
              <w:cnfStyle w:val="000000100000" w:firstRow="0" w:lastRow="0" w:firstColumn="0" w:lastColumn="0" w:oddVBand="0" w:evenVBand="0" w:oddHBand="1" w:evenHBand="0" w:firstRowFirstColumn="0" w:firstRowLastColumn="0" w:lastRowFirstColumn="0" w:lastRowLastColumn="0"/>
              <w:rPr>
                <w:rFonts w:cs="Times New Roman"/>
                <w:sz w:val="24"/>
                <w:szCs w:val="24"/>
              </w:rPr>
            </w:pPr>
            <w:r>
              <w:rPr>
                <w:rFonts w:cs="Times New Roman"/>
                <w:sz w:val="24"/>
                <w:szCs w:val="24"/>
              </w:rPr>
              <w:t xml:space="preserve">Outils de gestion des identités et des accès </w:t>
            </w:r>
            <w:proofErr w:type="gramStart"/>
            <w:r>
              <w:rPr>
                <w:rFonts w:cs="Times New Roman"/>
                <w:sz w:val="24"/>
                <w:szCs w:val="24"/>
              </w:rPr>
              <w:t>( Ex</w:t>
            </w:r>
            <w:proofErr w:type="gramEnd"/>
            <w:r>
              <w:rPr>
                <w:rFonts w:cs="Times New Roman"/>
                <w:sz w:val="24"/>
                <w:szCs w:val="24"/>
              </w:rPr>
              <w:t xml:space="preserve"> : </w:t>
            </w:r>
            <w:proofErr w:type="spellStart"/>
            <w:r>
              <w:rPr>
                <w:rFonts w:cs="Times New Roman"/>
                <w:sz w:val="24"/>
                <w:szCs w:val="24"/>
              </w:rPr>
              <w:t>Keycloack</w:t>
            </w:r>
            <w:proofErr w:type="spellEnd"/>
            <w:r>
              <w:rPr>
                <w:rFonts w:cs="Times New Roman"/>
                <w:sz w:val="24"/>
                <w:szCs w:val="24"/>
              </w:rPr>
              <w:t>) respectant les règles d’utilisation de ce type d’outil (cf. annexes)</w:t>
            </w:r>
          </w:p>
          <w:p w:rsidR="006E6D7A" w:rsidRDefault="006E6D7A" w14:paraId="67157876" w14:textId="77777777">
            <w:pPr>
              <w:spacing w:after="0"/>
              <w:cnfStyle w:val="000000100000" w:firstRow="0" w:lastRow="0" w:firstColumn="0" w:lastColumn="0" w:oddVBand="0" w:evenVBand="0" w:oddHBand="1" w:evenHBand="0" w:firstRowFirstColumn="0" w:firstRowLastColumn="0" w:lastRowFirstColumn="0" w:lastRowLastColumn="0"/>
              <w:rPr>
                <w:rFonts w:cs="Times New Roman"/>
                <w:sz w:val="24"/>
                <w:szCs w:val="24"/>
              </w:rPr>
            </w:pPr>
          </w:p>
        </w:tc>
      </w:tr>
      <w:tr w:rsidR="006E6D7A" w:rsidTr="006E6D7A" w14:paraId="6715787B" w14:textId="77777777">
        <w:tc>
          <w:tcPr>
            <w:cnfStyle w:val="001000000000" w:firstRow="0" w:lastRow="0" w:firstColumn="1" w:lastColumn="0" w:oddVBand="0" w:evenVBand="0" w:oddHBand="0" w:evenHBand="0" w:firstRowFirstColumn="0" w:firstRowLastColumn="0" w:lastRowFirstColumn="0" w:lastRowLastColumn="0"/>
            <w:tcW w:w="4814" w:type="dxa"/>
          </w:tcPr>
          <w:p w:rsidR="006E6D7A" w:rsidRDefault="00B16C64" w14:paraId="67157878" w14:textId="77777777">
            <w:pPr>
              <w:spacing w:after="0"/>
              <w:rPr>
                <w:rFonts w:cs="Times New Roman"/>
                <w:sz w:val="24"/>
                <w:szCs w:val="24"/>
              </w:rPr>
            </w:pPr>
            <w:r>
              <w:rPr>
                <w:rFonts w:cs="Times New Roman"/>
                <w:sz w:val="24"/>
                <w:szCs w:val="24"/>
              </w:rPr>
              <w:lastRenderedPageBreak/>
              <w:t>GPU/IA</w:t>
            </w:r>
          </w:p>
        </w:tc>
        <w:tc>
          <w:tcPr>
            <w:tcW w:w="4814" w:type="dxa"/>
          </w:tcPr>
          <w:p w:rsidR="006E6D7A" w:rsidRDefault="00B16C64" w14:paraId="67157879" w14:textId="77777777">
            <w:pPr>
              <w:spacing w:after="0"/>
              <w:cnfStyle w:val="000000000000" w:firstRow="0" w:lastRow="0" w:firstColumn="0" w:lastColumn="0" w:oddVBand="0" w:evenVBand="0" w:oddHBand="0" w:evenHBand="0" w:firstRowFirstColumn="0" w:firstRowLastColumn="0" w:lastRowFirstColumn="0" w:lastRowLastColumn="0"/>
              <w:rPr>
                <w:rFonts w:cs="Times New Roman"/>
                <w:sz w:val="24"/>
                <w:szCs w:val="24"/>
              </w:rPr>
            </w:pPr>
            <w:r>
              <w:rPr>
                <w:rFonts w:cs="Times New Roman"/>
                <w:sz w:val="24"/>
                <w:szCs w:val="24"/>
              </w:rPr>
              <w:t xml:space="preserve"> Opérateur NVIDIA pour </w:t>
            </w:r>
            <w:proofErr w:type="spellStart"/>
            <w:r>
              <w:rPr>
                <w:rFonts w:cs="Times New Roman"/>
                <w:sz w:val="24"/>
                <w:szCs w:val="24"/>
              </w:rPr>
              <w:t>kubernetes</w:t>
            </w:r>
            <w:proofErr w:type="spellEnd"/>
            <w:r>
              <w:rPr>
                <w:rFonts w:cs="Times New Roman"/>
                <w:sz w:val="24"/>
                <w:szCs w:val="24"/>
              </w:rPr>
              <w:t xml:space="preserve">  </w:t>
            </w:r>
          </w:p>
          <w:p w:rsidR="006E6D7A" w:rsidRDefault="006E6D7A" w14:paraId="6715787A" w14:textId="77777777">
            <w:pPr>
              <w:spacing w:after="0"/>
              <w:cnfStyle w:val="000000000000" w:firstRow="0" w:lastRow="0" w:firstColumn="0" w:lastColumn="0" w:oddVBand="0" w:evenVBand="0" w:oddHBand="0" w:evenHBand="0" w:firstRowFirstColumn="0" w:firstRowLastColumn="0" w:lastRowFirstColumn="0" w:lastRowLastColumn="0"/>
              <w:rPr>
                <w:rFonts w:cs="Times New Roman"/>
                <w:sz w:val="24"/>
                <w:szCs w:val="24"/>
              </w:rPr>
            </w:pPr>
          </w:p>
        </w:tc>
      </w:tr>
    </w:tbl>
    <w:p w:rsidR="006E6D7A" w:rsidRDefault="006E6D7A" w14:paraId="6715787C" w14:textId="77777777">
      <w:pPr>
        <w:spacing w:before="100" w:beforeAutospacing="1" w:after="100" w:afterAutospacing="1"/>
        <w:rPr>
          <w:rFonts w:cs="Times New Roman"/>
          <w:color w:val="FF0000"/>
          <w:sz w:val="24"/>
          <w:szCs w:val="24"/>
        </w:rPr>
      </w:pPr>
    </w:p>
    <w:p w:rsidR="006E6D7A" w:rsidRDefault="00B16C64" w14:paraId="6715787D" w14:textId="77777777">
      <w:pPr>
        <w:spacing w:before="100" w:beforeAutospacing="1" w:after="100" w:afterAutospacing="1"/>
        <w:rPr>
          <w:rFonts w:cs="Times New Roman"/>
          <w:color w:val="FF0000"/>
          <w:sz w:val="24"/>
          <w:szCs w:val="24"/>
        </w:rPr>
      </w:pPr>
      <w:r>
        <w:rPr>
          <w:rFonts w:cs="Times New Roman"/>
          <w:sz w:val="24"/>
          <w:szCs w:val="24"/>
        </w:rPr>
        <w:t xml:space="preserve">Le candidat est encouragé </w:t>
      </w:r>
      <w:proofErr w:type="gramStart"/>
      <w:r>
        <w:rPr>
          <w:rFonts w:cs="Times New Roman"/>
          <w:sz w:val="24"/>
          <w:szCs w:val="24"/>
        </w:rPr>
        <w:t>à  proposer</w:t>
      </w:r>
      <w:proofErr w:type="gramEnd"/>
      <w:r>
        <w:rPr>
          <w:rFonts w:cs="Times New Roman"/>
          <w:sz w:val="24"/>
          <w:szCs w:val="24"/>
        </w:rPr>
        <w:t xml:space="preserve"> un </w:t>
      </w:r>
      <w:r>
        <w:rPr>
          <w:rFonts w:cs="Times New Roman"/>
          <w:b/>
          <w:bCs/>
          <w:sz w:val="24"/>
          <w:szCs w:val="24"/>
        </w:rPr>
        <w:t>catalogue de services plus riche</w:t>
      </w:r>
      <w:r>
        <w:rPr>
          <w:rFonts w:cs="Times New Roman"/>
          <w:sz w:val="24"/>
          <w:szCs w:val="24"/>
        </w:rPr>
        <w:t xml:space="preserve"> (ex : bases de données managées, services de sécurité complémentaires etc...).  De manière générale il favorisera </w:t>
      </w:r>
      <w:r>
        <w:rPr>
          <w:rFonts w:cs="Times New Roman"/>
          <w:b/>
          <w:sz w:val="24"/>
          <w:szCs w:val="24"/>
        </w:rPr>
        <w:t>les logiciels libres</w:t>
      </w:r>
      <w:r>
        <w:rPr>
          <w:rFonts w:cs="Times New Roman"/>
          <w:sz w:val="24"/>
          <w:szCs w:val="24"/>
        </w:rPr>
        <w:t xml:space="preserve"> supportés par des organismes comme la </w:t>
      </w:r>
      <w:r>
        <w:rPr>
          <w:rFonts w:cs="Times New Roman"/>
          <w:b/>
          <w:sz w:val="24"/>
          <w:szCs w:val="24"/>
        </w:rPr>
        <w:t xml:space="preserve">cloud native </w:t>
      </w:r>
      <w:proofErr w:type="spellStart"/>
      <w:r>
        <w:rPr>
          <w:rFonts w:cs="Times New Roman"/>
          <w:b/>
          <w:sz w:val="24"/>
          <w:szCs w:val="24"/>
        </w:rPr>
        <w:t>computing</w:t>
      </w:r>
      <w:proofErr w:type="spellEnd"/>
      <w:r>
        <w:rPr>
          <w:rFonts w:cs="Times New Roman"/>
          <w:b/>
          <w:sz w:val="24"/>
          <w:szCs w:val="24"/>
        </w:rPr>
        <w:t xml:space="preserve"> fondation</w:t>
      </w:r>
      <w:r>
        <w:rPr>
          <w:rFonts w:cs="Times New Roman"/>
          <w:sz w:val="24"/>
          <w:szCs w:val="24"/>
        </w:rPr>
        <w:t xml:space="preserve"> (</w:t>
      </w:r>
      <w:proofErr w:type="spellStart"/>
      <w:r>
        <w:rPr>
          <w:rFonts w:cs="Times New Roman"/>
          <w:sz w:val="24"/>
          <w:szCs w:val="24"/>
        </w:rPr>
        <w:t>cncf</w:t>
      </w:r>
      <w:proofErr w:type="spellEnd"/>
      <w:r>
        <w:rPr>
          <w:rFonts w:cs="Times New Roman"/>
          <w:sz w:val="24"/>
          <w:szCs w:val="24"/>
        </w:rPr>
        <w:t>).</w:t>
      </w:r>
    </w:p>
    <w:p w:rsidR="006E6D7A" w:rsidRDefault="00B16C64" w14:paraId="6715787E" w14:textId="77777777">
      <w:pPr>
        <w:spacing w:before="100" w:beforeAutospacing="1" w:after="100" w:afterAutospacing="1"/>
        <w:rPr>
          <w:rFonts w:cs="Times New Roman"/>
          <w:color w:val="FF0000"/>
          <w:sz w:val="24"/>
          <w:szCs w:val="24"/>
        </w:rPr>
      </w:pPr>
      <w:r>
        <w:rPr>
          <w:rFonts w:cs="Times New Roman"/>
          <w:color w:val="FF0000"/>
          <w:sz w:val="24"/>
          <w:szCs w:val="24"/>
        </w:rPr>
        <w:t>L’idée générale restera ensuite de converger vers les choix INRAE afin s’assurer de la maintenabilité du catalogue.</w:t>
      </w:r>
    </w:p>
    <w:p w:rsidR="006E6D7A" w:rsidRDefault="00B16C64" w14:paraId="6715787F" w14:textId="77777777">
      <w:pPr>
        <w:pStyle w:val="Titre4"/>
        <w:numPr>
          <w:ilvl w:val="4"/>
          <w:numId w:val="3"/>
        </w:numPr>
        <w:tabs>
          <w:tab w:val="clear" w:pos="1134"/>
        </w:tabs>
      </w:pPr>
      <w:r>
        <w:t>Intégration avec le SI INRAE</w:t>
      </w:r>
    </w:p>
    <w:p w:rsidR="006E6D7A" w:rsidRDefault="00B16C64" w14:paraId="67157880" w14:textId="77777777">
      <w:pPr>
        <w:pStyle w:val="Paragraphedeliste"/>
        <w:numPr>
          <w:ilvl w:val="0"/>
          <w:numId w:val="178"/>
        </w:numPr>
        <w:spacing w:before="100" w:beforeAutospacing="1" w:after="100" w:afterAutospacing="1"/>
        <w:jc w:val="left"/>
        <w:rPr>
          <w:rFonts w:cs="Times New Roman"/>
          <w:sz w:val="24"/>
          <w:szCs w:val="24"/>
        </w:rPr>
      </w:pPr>
      <w:proofErr w:type="spellStart"/>
      <w:r>
        <w:rPr>
          <w:rFonts w:cs="Times New Roman"/>
          <w:sz w:val="24"/>
          <w:szCs w:val="24"/>
        </w:rPr>
        <w:t>GitLab</w:t>
      </w:r>
      <w:proofErr w:type="spellEnd"/>
      <w:r>
        <w:rPr>
          <w:rFonts w:cs="Times New Roman"/>
          <w:sz w:val="24"/>
          <w:szCs w:val="24"/>
        </w:rPr>
        <w:t xml:space="preserve"> </w:t>
      </w:r>
    </w:p>
    <w:p w:rsidR="006E6D7A" w:rsidRDefault="00B16C64" w14:paraId="67157881" w14:textId="77777777">
      <w:pPr>
        <w:spacing w:before="100" w:beforeAutospacing="1" w:after="100" w:afterAutospacing="1"/>
        <w:ind w:left="709"/>
        <w:jc w:val="left"/>
        <w:rPr>
          <w:rFonts w:cs="Times New Roman"/>
          <w:sz w:val="24"/>
          <w:szCs w:val="24"/>
        </w:rPr>
      </w:pPr>
      <w:r>
        <w:rPr>
          <w:rFonts w:cs="Times New Roman"/>
          <w:sz w:val="24"/>
          <w:szCs w:val="24"/>
        </w:rPr>
        <w:t xml:space="preserve">Les scripts et </w:t>
      </w:r>
      <w:proofErr w:type="spellStart"/>
      <w:r>
        <w:rPr>
          <w:rFonts w:cs="Times New Roman"/>
          <w:sz w:val="24"/>
          <w:szCs w:val="24"/>
        </w:rPr>
        <w:t>manifest</w:t>
      </w:r>
      <w:proofErr w:type="spellEnd"/>
      <w:r>
        <w:rPr>
          <w:rFonts w:cs="Times New Roman"/>
          <w:sz w:val="24"/>
          <w:szCs w:val="24"/>
        </w:rPr>
        <w:t xml:space="preserve"> de déploiement en Infrastructure as Code (</w:t>
      </w:r>
      <w:proofErr w:type="spellStart"/>
      <w:r>
        <w:rPr>
          <w:rFonts w:cs="Times New Roman"/>
          <w:sz w:val="24"/>
          <w:szCs w:val="24"/>
        </w:rPr>
        <w:t>IaC</w:t>
      </w:r>
      <w:proofErr w:type="spellEnd"/>
      <w:r>
        <w:rPr>
          <w:rFonts w:cs="Times New Roman"/>
          <w:sz w:val="24"/>
          <w:szCs w:val="24"/>
        </w:rPr>
        <w:t xml:space="preserve">) seront déposés </w:t>
      </w:r>
      <w:proofErr w:type="gramStart"/>
      <w:r>
        <w:rPr>
          <w:rFonts w:cs="Times New Roman"/>
          <w:sz w:val="24"/>
          <w:szCs w:val="24"/>
        </w:rPr>
        <w:t>et  accessibles</w:t>
      </w:r>
      <w:proofErr w:type="gramEnd"/>
      <w:r>
        <w:rPr>
          <w:rFonts w:cs="Times New Roman"/>
          <w:sz w:val="24"/>
          <w:szCs w:val="24"/>
        </w:rPr>
        <w:t xml:space="preserve"> sur le </w:t>
      </w:r>
      <w:proofErr w:type="spellStart"/>
      <w:r>
        <w:rPr>
          <w:rFonts w:cs="Times New Roman"/>
          <w:sz w:val="24"/>
          <w:szCs w:val="24"/>
        </w:rPr>
        <w:t>gitlab</w:t>
      </w:r>
      <w:proofErr w:type="spellEnd"/>
      <w:r>
        <w:rPr>
          <w:rFonts w:cs="Times New Roman"/>
          <w:sz w:val="24"/>
          <w:szCs w:val="24"/>
        </w:rPr>
        <w:t xml:space="preserve"> INRAE.</w:t>
      </w:r>
    </w:p>
    <w:p w:rsidR="006E6D7A" w:rsidRDefault="00B16C64" w14:paraId="67157882" w14:textId="77777777">
      <w:pPr>
        <w:pStyle w:val="Paragraphedeliste"/>
        <w:numPr>
          <w:ilvl w:val="0"/>
          <w:numId w:val="178"/>
        </w:numPr>
        <w:spacing w:before="100" w:beforeAutospacing="1" w:after="100" w:afterAutospacing="1"/>
        <w:jc w:val="left"/>
        <w:rPr>
          <w:rFonts w:cs="Times New Roman"/>
          <w:sz w:val="24"/>
          <w:szCs w:val="24"/>
        </w:rPr>
      </w:pPr>
      <w:r>
        <w:rPr>
          <w:rFonts w:cs="Times New Roman"/>
          <w:sz w:val="24"/>
          <w:szCs w:val="24"/>
        </w:rPr>
        <w:t xml:space="preserve">Authentification </w:t>
      </w:r>
    </w:p>
    <w:p w:rsidR="006E6D7A" w:rsidRDefault="00B16C64" w14:paraId="67157883" w14:textId="77777777">
      <w:pPr>
        <w:spacing w:before="100" w:beforeAutospacing="1" w:after="100" w:afterAutospacing="1"/>
        <w:ind w:left="720"/>
        <w:jc w:val="left"/>
        <w:rPr>
          <w:rFonts w:cs="Times New Roman"/>
          <w:sz w:val="24"/>
          <w:szCs w:val="24"/>
        </w:rPr>
      </w:pPr>
      <w:r>
        <w:rPr>
          <w:rFonts w:cs="Times New Roman"/>
          <w:sz w:val="24"/>
          <w:szCs w:val="24"/>
        </w:rPr>
        <w:t xml:space="preserve">L’usine à plateformes </w:t>
      </w:r>
      <w:proofErr w:type="spellStart"/>
      <w:r>
        <w:rPr>
          <w:rFonts w:cs="Times New Roman"/>
          <w:sz w:val="24"/>
          <w:szCs w:val="24"/>
        </w:rPr>
        <w:t>kubernetes</w:t>
      </w:r>
      <w:proofErr w:type="spellEnd"/>
      <w:r>
        <w:rPr>
          <w:rFonts w:cs="Times New Roman"/>
          <w:sz w:val="24"/>
          <w:szCs w:val="24"/>
        </w:rPr>
        <w:t xml:space="preserve"> sera authentifiée en SSO sur la solution IAM INRAE via les protocoles disponibles (SAML, OIDC, CAS)</w:t>
      </w:r>
    </w:p>
    <w:p w:rsidR="006E6D7A" w:rsidRDefault="00B16C64" w14:paraId="67157884" w14:textId="77777777">
      <w:pPr>
        <w:pStyle w:val="Paragraphedeliste"/>
        <w:numPr>
          <w:ilvl w:val="0"/>
          <w:numId w:val="178"/>
        </w:numPr>
        <w:spacing w:before="100" w:beforeAutospacing="1" w:after="100" w:afterAutospacing="1"/>
        <w:jc w:val="left"/>
        <w:rPr>
          <w:rFonts w:cs="Times New Roman"/>
          <w:sz w:val="24"/>
          <w:szCs w:val="24"/>
        </w:rPr>
      </w:pPr>
      <w:r>
        <w:rPr>
          <w:rFonts w:cs="Times New Roman"/>
          <w:sz w:val="24"/>
          <w:szCs w:val="24"/>
        </w:rPr>
        <w:t xml:space="preserve">Supervision </w:t>
      </w:r>
    </w:p>
    <w:p w:rsidR="006E6D7A" w:rsidRDefault="00B16C64" w14:paraId="67157885" w14:textId="77777777">
      <w:pPr>
        <w:spacing w:before="100" w:beforeAutospacing="1" w:after="100" w:afterAutospacing="1"/>
        <w:ind w:left="720"/>
        <w:jc w:val="left"/>
        <w:rPr>
          <w:rFonts w:cs="Times New Roman"/>
          <w:sz w:val="24"/>
          <w:szCs w:val="24"/>
        </w:rPr>
      </w:pPr>
      <w:r>
        <w:rPr>
          <w:rFonts w:cs="Times New Roman"/>
          <w:sz w:val="24"/>
          <w:szCs w:val="24"/>
        </w:rPr>
        <w:t xml:space="preserve">Le titulaire devra fournir et mettre en place des sondes qui auront pour objectif de refléter l’état de l’usine à plateformes </w:t>
      </w:r>
      <w:proofErr w:type="spellStart"/>
      <w:proofErr w:type="gramStart"/>
      <w:r>
        <w:rPr>
          <w:rFonts w:cs="Times New Roman"/>
          <w:sz w:val="24"/>
          <w:szCs w:val="24"/>
        </w:rPr>
        <w:t>Kubernetes</w:t>
      </w:r>
      <w:proofErr w:type="spellEnd"/>
      <w:r>
        <w:rPr>
          <w:rFonts w:cs="Times New Roman"/>
          <w:sz w:val="24"/>
          <w:szCs w:val="24"/>
        </w:rPr>
        <w:t xml:space="preserve"> )</w:t>
      </w:r>
      <w:proofErr w:type="gramEnd"/>
      <w:r>
        <w:rPr>
          <w:rFonts w:cs="Times New Roman"/>
          <w:sz w:val="24"/>
          <w:szCs w:val="24"/>
        </w:rPr>
        <w:t xml:space="preserve"> ainsi que celui des différentes plateformes produites. Ces sondes </w:t>
      </w:r>
      <w:proofErr w:type="gramStart"/>
      <w:r>
        <w:rPr>
          <w:rFonts w:cs="Times New Roman"/>
          <w:sz w:val="24"/>
          <w:szCs w:val="24"/>
        </w:rPr>
        <w:t>alimenteront  la</w:t>
      </w:r>
      <w:proofErr w:type="gramEnd"/>
      <w:r>
        <w:rPr>
          <w:rFonts w:cs="Times New Roman"/>
          <w:sz w:val="24"/>
          <w:szCs w:val="24"/>
        </w:rPr>
        <w:t xml:space="preserve"> solution de supervision INRAE basée sur Centreon.</w:t>
      </w:r>
    </w:p>
    <w:p w:rsidR="006E6D7A" w:rsidRDefault="00B16C64" w14:paraId="67157886" w14:textId="77777777">
      <w:pPr>
        <w:pStyle w:val="Paragraphedeliste"/>
        <w:numPr>
          <w:ilvl w:val="0"/>
          <w:numId w:val="178"/>
        </w:numPr>
        <w:spacing w:before="100" w:beforeAutospacing="1" w:after="100" w:afterAutospacing="1"/>
        <w:jc w:val="left"/>
        <w:rPr>
          <w:rFonts w:cs="Times New Roman"/>
          <w:sz w:val="24"/>
          <w:szCs w:val="24"/>
        </w:rPr>
      </w:pPr>
      <w:r>
        <w:rPr>
          <w:rFonts w:cs="Times New Roman"/>
          <w:sz w:val="24"/>
          <w:szCs w:val="24"/>
        </w:rPr>
        <w:t>Gestion des logs</w:t>
      </w:r>
    </w:p>
    <w:p w:rsidR="006E6D7A" w:rsidRDefault="00B16C64" w14:paraId="67157887" w14:textId="77777777">
      <w:pPr>
        <w:spacing w:before="100" w:beforeAutospacing="1" w:after="100" w:afterAutospacing="1"/>
        <w:ind w:left="720"/>
        <w:jc w:val="left"/>
        <w:rPr>
          <w:rFonts w:cs="Times New Roman"/>
          <w:sz w:val="24"/>
          <w:szCs w:val="24"/>
        </w:rPr>
      </w:pPr>
      <w:r>
        <w:rPr>
          <w:rFonts w:cs="Times New Roman"/>
          <w:sz w:val="24"/>
          <w:szCs w:val="24"/>
        </w:rPr>
        <w:t>Les logs devront être exportés vers le puits de log de la DSI INRAE.</w:t>
      </w:r>
    </w:p>
    <w:p w:rsidR="006E6D7A" w:rsidRDefault="006E6D7A" w14:paraId="67157888" w14:textId="77777777">
      <w:pPr>
        <w:pStyle w:val="Lgende"/>
        <w:ind w:left="2127" w:firstLine="709"/>
        <w:rPr>
          <w:rFonts w:cs="Times New Roman"/>
          <w:color w:val="FF0000"/>
          <w:sz w:val="24"/>
          <w:szCs w:val="24"/>
        </w:rPr>
      </w:pPr>
    </w:p>
    <w:p w:rsidR="006E6D7A" w:rsidRDefault="00B16C64" w14:paraId="67157889" w14:textId="77777777">
      <w:pPr>
        <w:pStyle w:val="Titre4"/>
        <w:numPr>
          <w:ilvl w:val="4"/>
          <w:numId w:val="3"/>
        </w:numPr>
        <w:tabs>
          <w:tab w:val="clear" w:pos="1134"/>
        </w:tabs>
      </w:pPr>
      <w:r>
        <w:t>Activités forfaitaires</w:t>
      </w:r>
    </w:p>
    <w:p w:rsidR="006E6D7A" w:rsidRDefault="00B16C64" w14:paraId="6715788A" w14:textId="77777777">
      <w:r>
        <w:t>Voici la liste des activités entre le titulaire et INRAE en fonction des périmètres.</w:t>
      </w:r>
    </w:p>
    <w:p w:rsidR="006E6D7A" w:rsidRDefault="00B16C64" w14:paraId="6715788B" w14:textId="77777777">
      <w:pPr>
        <w:rPr>
          <w:b/>
          <w:bCs/>
          <w:sz w:val="28"/>
          <w:szCs w:val="28"/>
        </w:rPr>
      </w:pPr>
      <w:r>
        <w:rPr>
          <w:b/>
          <w:bCs/>
          <w:sz w:val="28"/>
          <w:szCs w:val="28"/>
        </w:rPr>
        <w:t xml:space="preserve">Périmètre usine à plateformes </w:t>
      </w:r>
      <w:proofErr w:type="spellStart"/>
      <w:r>
        <w:rPr>
          <w:b/>
          <w:bCs/>
          <w:sz w:val="28"/>
          <w:szCs w:val="28"/>
        </w:rPr>
        <w:t>kubernetes</w:t>
      </w:r>
      <w:proofErr w:type="spellEnd"/>
    </w:p>
    <w:p w:rsidR="006E6D7A" w:rsidRDefault="00B16C64" w14:paraId="6715788C" w14:textId="77777777">
      <w:pPr>
        <w:rPr>
          <w:u w:val="single"/>
        </w:rPr>
      </w:pPr>
      <w:proofErr w:type="gramStart"/>
      <w:r>
        <w:rPr>
          <w:u w:val="single"/>
        </w:rPr>
        <w:t>Activités titulaire</w:t>
      </w:r>
      <w:proofErr w:type="gramEnd"/>
    </w:p>
    <w:p w:rsidR="006E6D7A" w:rsidRDefault="00B16C64" w14:paraId="6715788D" w14:textId="77777777">
      <w:pPr>
        <w:pStyle w:val="Paragraphedeliste"/>
        <w:numPr>
          <w:ilvl w:val="0"/>
          <w:numId w:val="177"/>
        </w:numPr>
      </w:pPr>
      <w:proofErr w:type="spellStart"/>
      <w:r>
        <w:t>Build</w:t>
      </w:r>
      <w:proofErr w:type="spellEnd"/>
      <w:r>
        <w:t xml:space="preserve"> et déploiement MCO/MCS</w:t>
      </w:r>
    </w:p>
    <w:p w:rsidR="006E6D7A" w:rsidRDefault="00B16C64" w14:paraId="6715788E" w14:textId="77777777">
      <w:pPr>
        <w:pStyle w:val="Paragraphedeliste"/>
        <w:numPr>
          <w:ilvl w:val="0"/>
          <w:numId w:val="177"/>
        </w:numPr>
      </w:pPr>
      <w:proofErr w:type="gramStart"/>
      <w:r>
        <w:t>Observabilité  :</w:t>
      </w:r>
      <w:proofErr w:type="gramEnd"/>
      <w:r>
        <w:t xml:space="preserve"> </w:t>
      </w:r>
      <w:proofErr w:type="spellStart"/>
      <w:r>
        <w:t>logging</w:t>
      </w:r>
      <w:proofErr w:type="spellEnd"/>
      <w:r>
        <w:t>, monitoring et remontée d’alerte de la plateforme</w:t>
      </w:r>
    </w:p>
    <w:p w:rsidR="006E6D7A" w:rsidRDefault="00B16C64" w14:paraId="6715788F" w14:textId="77777777">
      <w:pPr>
        <w:pStyle w:val="Paragraphedeliste"/>
        <w:numPr>
          <w:ilvl w:val="0"/>
          <w:numId w:val="177"/>
        </w:numPr>
      </w:pPr>
      <w:proofErr w:type="gramStart"/>
      <w:r>
        <w:t>Évolutions  :</w:t>
      </w:r>
      <w:proofErr w:type="gramEnd"/>
      <w:r>
        <w:t xml:space="preserve"> nouvelles fonctionnalités, enrichissement du catalogue, intégration sur de nouveaux socles partenaires</w:t>
      </w:r>
    </w:p>
    <w:p w:rsidR="006E6D7A" w:rsidRDefault="00B16C64" w14:paraId="67157890" w14:textId="77777777">
      <w:pPr>
        <w:pStyle w:val="Paragraphedeliste"/>
        <w:numPr>
          <w:ilvl w:val="0"/>
          <w:numId w:val="177"/>
        </w:numPr>
      </w:pPr>
      <w:r>
        <w:t>Formation à l’utilisation</w:t>
      </w:r>
    </w:p>
    <w:p w:rsidR="006E6D7A" w:rsidRDefault="00B16C64" w14:paraId="67157891" w14:textId="77777777">
      <w:pPr>
        <w:pStyle w:val="Paragraphedeliste"/>
        <w:numPr>
          <w:ilvl w:val="0"/>
          <w:numId w:val="177"/>
        </w:numPr>
      </w:pPr>
      <w:r>
        <w:t>Support N1, N2 et N3</w:t>
      </w:r>
    </w:p>
    <w:p w:rsidR="006E6D7A" w:rsidRDefault="00B16C64" w14:paraId="67157892" w14:textId="77777777">
      <w:pPr>
        <w:rPr>
          <w:b/>
          <w:bCs/>
          <w:u w:val="single"/>
        </w:rPr>
      </w:pPr>
      <w:r>
        <w:rPr>
          <w:u w:val="single"/>
        </w:rPr>
        <w:lastRenderedPageBreak/>
        <w:t>Activités INRAE</w:t>
      </w:r>
    </w:p>
    <w:p w:rsidR="006E6D7A" w:rsidRDefault="00B16C64" w14:paraId="67157893" w14:textId="77777777">
      <w:pPr>
        <w:pStyle w:val="Paragraphedeliste"/>
        <w:numPr>
          <w:ilvl w:val="0"/>
          <w:numId w:val="187"/>
        </w:numPr>
        <w:rPr>
          <w:u w:val="single"/>
        </w:rPr>
      </w:pPr>
      <w:r>
        <w:rPr>
          <w:u w:val="single"/>
        </w:rPr>
        <w:t>Exploitation fonctionnelle</w:t>
      </w:r>
      <w:r>
        <w:t> :</w:t>
      </w:r>
    </w:p>
    <w:p w:rsidR="006E6D7A" w:rsidRDefault="00B16C64" w14:paraId="67157894" w14:textId="77777777">
      <w:pPr>
        <w:pStyle w:val="Paragraphedeliste"/>
        <w:numPr>
          <w:ilvl w:val="1"/>
          <w:numId w:val="181"/>
        </w:numPr>
      </w:pPr>
      <w:r>
        <w:t>Gestion des accès</w:t>
      </w:r>
    </w:p>
    <w:p w:rsidR="006E6D7A" w:rsidRDefault="00B16C64" w14:paraId="67157895" w14:textId="77777777">
      <w:pPr>
        <w:pStyle w:val="Paragraphedeliste"/>
        <w:numPr>
          <w:ilvl w:val="1"/>
          <w:numId w:val="181"/>
        </w:numPr>
      </w:pPr>
      <w:r>
        <w:t>Définition et suivi des demandes</w:t>
      </w:r>
    </w:p>
    <w:p w:rsidR="006E6D7A" w:rsidRDefault="00B16C64" w14:paraId="67157896" w14:textId="77777777">
      <w:pPr>
        <w:pStyle w:val="Paragraphedeliste"/>
        <w:numPr>
          <w:ilvl w:val="1"/>
          <w:numId w:val="183"/>
        </w:numPr>
      </w:pPr>
      <w:r>
        <w:t>Définition et suivi des quotas</w:t>
      </w:r>
    </w:p>
    <w:p w:rsidR="006E6D7A" w:rsidRDefault="00B16C64" w14:paraId="67157897" w14:textId="77777777">
      <w:pPr>
        <w:pStyle w:val="Paragraphedeliste"/>
        <w:numPr>
          <w:ilvl w:val="1"/>
          <w:numId w:val="181"/>
        </w:numPr>
      </w:pPr>
      <w:r>
        <w:t>Suivi des capacités</w:t>
      </w:r>
    </w:p>
    <w:p w:rsidR="006E6D7A" w:rsidRDefault="00B16C64" w14:paraId="67157898" w14:textId="77777777">
      <w:pPr>
        <w:rPr>
          <w:b/>
          <w:bCs/>
          <w:sz w:val="28"/>
          <w:szCs w:val="28"/>
        </w:rPr>
      </w:pPr>
      <w:proofErr w:type="gramStart"/>
      <w:r>
        <w:rPr>
          <w:b/>
          <w:bCs/>
          <w:sz w:val="28"/>
          <w:szCs w:val="28"/>
        </w:rPr>
        <w:t>Périmètre PAAS non managées</w:t>
      </w:r>
      <w:proofErr w:type="gramEnd"/>
      <w:r>
        <w:rPr>
          <w:b/>
          <w:bCs/>
          <w:sz w:val="28"/>
          <w:szCs w:val="28"/>
        </w:rPr>
        <w:t xml:space="preserve"> par le titulaire</w:t>
      </w:r>
    </w:p>
    <w:p w:rsidR="006E6D7A" w:rsidRDefault="00B16C64" w14:paraId="67157899" w14:textId="77777777">
      <w:proofErr w:type="gramStart"/>
      <w:r>
        <w:rPr>
          <w:u w:val="single"/>
        </w:rPr>
        <w:t>Activités titulaire</w:t>
      </w:r>
      <w:proofErr w:type="gramEnd"/>
    </w:p>
    <w:p w:rsidR="006E6D7A" w:rsidRDefault="00B16C64" w14:paraId="6715789A" w14:textId="77777777">
      <w:pPr>
        <w:numPr>
          <w:ilvl w:val="0"/>
          <w:numId w:val="184"/>
        </w:numPr>
        <w:spacing w:before="100" w:beforeAutospacing="1" w:after="100" w:afterAutospacing="1"/>
        <w:jc w:val="left"/>
        <w:rPr>
          <w:rFonts w:cs="Times New Roman"/>
          <w:sz w:val="24"/>
          <w:szCs w:val="24"/>
        </w:rPr>
      </w:pPr>
      <w:r>
        <w:rPr>
          <w:rFonts w:cs="Times New Roman"/>
          <w:sz w:val="24"/>
          <w:szCs w:val="24"/>
        </w:rPr>
        <w:t>Aucune</w:t>
      </w:r>
    </w:p>
    <w:p w:rsidR="006E6D7A" w:rsidRDefault="00B16C64" w14:paraId="6715789B" w14:textId="77777777">
      <w:pPr>
        <w:rPr>
          <w:u w:val="single"/>
        </w:rPr>
      </w:pPr>
      <w:r>
        <w:rPr>
          <w:u w:val="single"/>
        </w:rPr>
        <w:t>Activités INRAE</w:t>
      </w:r>
    </w:p>
    <w:p w:rsidR="006E6D7A" w:rsidRDefault="00B16C64" w14:paraId="6715789C" w14:textId="77777777">
      <w:pPr>
        <w:pStyle w:val="Paragraphedeliste"/>
        <w:numPr>
          <w:ilvl w:val="0"/>
          <w:numId w:val="184"/>
        </w:numPr>
        <w:rPr>
          <w:u w:val="single"/>
        </w:rPr>
      </w:pPr>
      <w:r>
        <w:t>MCO/MCS</w:t>
      </w:r>
    </w:p>
    <w:p w:rsidR="006E6D7A" w:rsidRDefault="00B16C64" w14:paraId="6715789D" w14:textId="77777777">
      <w:pPr>
        <w:pStyle w:val="Paragraphedeliste"/>
        <w:numPr>
          <w:ilvl w:val="0"/>
          <w:numId w:val="184"/>
        </w:numPr>
        <w:rPr>
          <w:u w:val="single"/>
        </w:rPr>
      </w:pPr>
      <w:r>
        <w:t>Observabilité</w:t>
      </w:r>
    </w:p>
    <w:p w:rsidR="006E6D7A" w:rsidRDefault="00B16C64" w14:paraId="6715789E" w14:textId="77777777">
      <w:pPr>
        <w:pStyle w:val="Paragraphedeliste"/>
        <w:numPr>
          <w:ilvl w:val="0"/>
          <w:numId w:val="184"/>
        </w:numPr>
        <w:rPr>
          <w:u w:val="single"/>
        </w:rPr>
      </w:pPr>
      <w:r>
        <w:t>Évolutions</w:t>
      </w:r>
    </w:p>
    <w:p w:rsidR="006E6D7A" w:rsidRDefault="00B16C64" w14:paraId="6715789F" w14:textId="77777777">
      <w:pPr>
        <w:pStyle w:val="Paragraphedeliste"/>
        <w:numPr>
          <w:ilvl w:val="0"/>
          <w:numId w:val="184"/>
        </w:numPr>
        <w:rPr>
          <w:u w:val="single"/>
        </w:rPr>
      </w:pPr>
      <w:r>
        <w:t>Support N1, N2 et N3</w:t>
      </w:r>
    </w:p>
    <w:p w:rsidR="006E6D7A" w:rsidRDefault="006E6D7A" w14:paraId="671578A0" w14:textId="77777777">
      <w:pPr>
        <w:ind w:left="709"/>
        <w:rPr>
          <w:u w:val="single"/>
        </w:rPr>
      </w:pPr>
    </w:p>
    <w:p w:rsidR="006E6D7A" w:rsidRDefault="006E6D7A" w14:paraId="671578A1" w14:textId="77777777">
      <w:pPr>
        <w:rPr>
          <w:b/>
          <w:bCs/>
        </w:rPr>
      </w:pPr>
    </w:p>
    <w:p w:rsidR="006E6D7A" w:rsidRDefault="00B16C64" w14:paraId="671578A2" w14:textId="77777777">
      <w:pPr>
        <w:rPr>
          <w:b/>
          <w:bCs/>
          <w:sz w:val="28"/>
          <w:szCs w:val="28"/>
        </w:rPr>
      </w:pPr>
      <w:proofErr w:type="gramStart"/>
      <w:r>
        <w:rPr>
          <w:b/>
          <w:bCs/>
          <w:sz w:val="28"/>
          <w:szCs w:val="28"/>
        </w:rPr>
        <w:t>Périmètre PAAS managées</w:t>
      </w:r>
      <w:proofErr w:type="gramEnd"/>
      <w:r>
        <w:rPr>
          <w:b/>
          <w:bCs/>
          <w:sz w:val="28"/>
          <w:szCs w:val="28"/>
        </w:rPr>
        <w:t xml:space="preserve"> par le titulaire (hors composants applicatifs sous la responsabilité des utilisateurs INRAE)</w:t>
      </w:r>
    </w:p>
    <w:p w:rsidR="006E6D7A" w:rsidRDefault="00B16C64" w14:paraId="671578A3" w14:textId="77777777">
      <w:pPr>
        <w:rPr>
          <w:u w:val="single"/>
        </w:rPr>
      </w:pPr>
      <w:proofErr w:type="gramStart"/>
      <w:r>
        <w:rPr>
          <w:u w:val="single"/>
        </w:rPr>
        <w:t>Activités titulaire</w:t>
      </w:r>
      <w:proofErr w:type="gramEnd"/>
    </w:p>
    <w:p w:rsidR="006E6D7A" w:rsidRDefault="00B16C64" w14:paraId="671578A4" w14:textId="77777777">
      <w:pPr>
        <w:pStyle w:val="Paragraphedeliste"/>
        <w:numPr>
          <w:ilvl w:val="0"/>
          <w:numId w:val="182"/>
        </w:numPr>
      </w:pPr>
      <w:r>
        <w:t xml:space="preserve">MCO/MCS </w:t>
      </w:r>
    </w:p>
    <w:p w:rsidR="006E6D7A" w:rsidRDefault="00B16C64" w14:paraId="671578A5" w14:textId="77777777">
      <w:pPr>
        <w:pStyle w:val="Paragraphedeliste"/>
        <w:numPr>
          <w:ilvl w:val="0"/>
          <w:numId w:val="182"/>
        </w:numPr>
      </w:pPr>
      <w:proofErr w:type="gramStart"/>
      <w:r>
        <w:t>Observabilité  :</w:t>
      </w:r>
      <w:proofErr w:type="gramEnd"/>
      <w:r>
        <w:t xml:space="preserve"> </w:t>
      </w:r>
      <w:proofErr w:type="spellStart"/>
      <w:r>
        <w:t>logging</w:t>
      </w:r>
      <w:proofErr w:type="spellEnd"/>
      <w:r>
        <w:t>, monitoring et remontée d’alertes</w:t>
      </w:r>
    </w:p>
    <w:p w:rsidR="006E6D7A" w:rsidRDefault="00B16C64" w14:paraId="671578A6" w14:textId="77777777">
      <w:pPr>
        <w:pStyle w:val="Paragraphedeliste"/>
        <w:numPr>
          <w:ilvl w:val="0"/>
          <w:numId w:val="182"/>
        </w:numPr>
      </w:pPr>
      <w:proofErr w:type="gramStart"/>
      <w:r>
        <w:t>Évolutions  :</w:t>
      </w:r>
      <w:proofErr w:type="gramEnd"/>
      <w:r>
        <w:t xml:space="preserve"> nouvelles fonctionnalités</w:t>
      </w:r>
    </w:p>
    <w:p w:rsidR="006E6D7A" w:rsidRDefault="00B16C64" w14:paraId="671578A7" w14:textId="77777777">
      <w:pPr>
        <w:pStyle w:val="Paragraphedeliste"/>
        <w:numPr>
          <w:ilvl w:val="0"/>
          <w:numId w:val="245"/>
        </w:numPr>
        <w:rPr>
          <w:u w:val="single"/>
        </w:rPr>
      </w:pPr>
      <w:r>
        <w:t>Support N1, N2 et N3</w:t>
      </w:r>
    </w:p>
    <w:p w:rsidR="006E6D7A" w:rsidRDefault="006E6D7A" w14:paraId="671578A8" w14:textId="77777777"/>
    <w:p w:rsidR="006E6D7A" w:rsidRDefault="006E6D7A" w14:paraId="671578A9" w14:textId="77777777">
      <w:pPr>
        <w:rPr>
          <w:b/>
          <w:bCs/>
        </w:rPr>
      </w:pPr>
    </w:p>
    <w:p w:rsidR="006E6D7A" w:rsidRDefault="00B16C64" w14:paraId="671578AA" w14:textId="77777777">
      <w:pPr>
        <w:rPr>
          <w:u w:val="single"/>
        </w:rPr>
      </w:pPr>
      <w:r>
        <w:rPr>
          <w:u w:val="single"/>
        </w:rPr>
        <w:t>Activités INRAE</w:t>
      </w:r>
    </w:p>
    <w:p w:rsidR="006E6D7A" w:rsidRDefault="00B16C64" w14:paraId="671578AB" w14:textId="77777777">
      <w:pPr>
        <w:pStyle w:val="Paragraphedeliste"/>
        <w:numPr>
          <w:ilvl w:val="0"/>
          <w:numId w:val="186"/>
        </w:numPr>
        <w:rPr>
          <w:u w:val="single"/>
        </w:rPr>
      </w:pPr>
      <w:r>
        <w:rPr>
          <w:u w:val="single"/>
        </w:rPr>
        <w:t>Exploitation fonctionnelle</w:t>
      </w:r>
    </w:p>
    <w:p w:rsidR="006E6D7A" w:rsidRDefault="006E6D7A" w14:paraId="671578AC" w14:textId="77777777">
      <w:pPr>
        <w:rPr>
          <w:u w:val="single"/>
        </w:rPr>
      </w:pPr>
    </w:p>
    <w:p w:rsidR="006E6D7A" w:rsidRDefault="00B16C64" w14:paraId="671578AD" w14:textId="77777777">
      <w:pPr>
        <w:pStyle w:val="Titre4"/>
        <w:numPr>
          <w:ilvl w:val="4"/>
          <w:numId w:val="3"/>
        </w:numPr>
        <w:tabs>
          <w:tab w:val="clear" w:pos="1134"/>
        </w:tabs>
      </w:pPr>
      <w:r>
        <w:t xml:space="preserve">Activités </w:t>
      </w:r>
      <w:proofErr w:type="spellStart"/>
      <w:proofErr w:type="gramStart"/>
      <w:r>
        <w:t>a</w:t>
      </w:r>
      <w:proofErr w:type="spellEnd"/>
      <w:proofErr w:type="gramEnd"/>
      <w:r>
        <w:t xml:space="preserve"> la demande</w:t>
      </w:r>
    </w:p>
    <w:p w:rsidR="006E6D7A" w:rsidRDefault="00B16C64" w14:paraId="671578AE" w14:textId="77777777">
      <w:pPr>
        <w:numPr>
          <w:ilvl w:val="0"/>
          <w:numId w:val="185"/>
        </w:numPr>
        <w:spacing w:before="100" w:beforeAutospacing="1" w:after="100" w:afterAutospacing="1"/>
        <w:jc w:val="left"/>
        <w:rPr>
          <w:rFonts w:cs="Times New Roman"/>
          <w:sz w:val="24"/>
          <w:szCs w:val="24"/>
        </w:rPr>
      </w:pPr>
      <w:r>
        <w:rPr>
          <w:rFonts w:cs="Times New Roman"/>
          <w:sz w:val="24"/>
          <w:szCs w:val="24"/>
        </w:rPr>
        <w:t xml:space="preserve">Le titulaire </w:t>
      </w:r>
      <w:r>
        <w:rPr>
          <w:rFonts w:cs="Times New Roman"/>
          <w:b/>
          <w:bCs/>
          <w:sz w:val="24"/>
          <w:szCs w:val="24"/>
        </w:rPr>
        <w:t xml:space="preserve">proposera un accompagnement </w:t>
      </w:r>
      <w:r>
        <w:rPr>
          <w:rFonts w:cs="Times New Roman"/>
          <w:sz w:val="24"/>
          <w:szCs w:val="24"/>
        </w:rPr>
        <w:t>et un transfert de compétences vers l</w:t>
      </w:r>
      <w:r>
        <w:rPr>
          <w:rFonts w:cs="Times New Roman"/>
          <w:b/>
          <w:bCs/>
          <w:sz w:val="24"/>
          <w:szCs w:val="24"/>
        </w:rPr>
        <w:t>es ingénieurs d’exploitation</w:t>
      </w:r>
      <w:r>
        <w:rPr>
          <w:rFonts w:cs="Times New Roman"/>
          <w:sz w:val="24"/>
          <w:szCs w:val="24"/>
        </w:rPr>
        <w:t xml:space="preserve"> (</w:t>
      </w:r>
      <w:proofErr w:type="spellStart"/>
      <w:r>
        <w:rPr>
          <w:rFonts w:cs="Times New Roman"/>
          <w:sz w:val="24"/>
          <w:szCs w:val="24"/>
        </w:rPr>
        <w:t>ops</w:t>
      </w:r>
      <w:proofErr w:type="spellEnd"/>
      <w:r>
        <w:rPr>
          <w:rFonts w:cs="Times New Roman"/>
          <w:sz w:val="24"/>
          <w:szCs w:val="24"/>
        </w:rPr>
        <w:t xml:space="preserve">) à l’utilisation de </w:t>
      </w:r>
      <w:r>
        <w:rPr>
          <w:rFonts w:cs="Times New Roman"/>
          <w:b/>
          <w:sz w:val="24"/>
          <w:szCs w:val="24"/>
        </w:rPr>
        <w:t xml:space="preserve">l’usine à plateformes </w:t>
      </w:r>
      <w:proofErr w:type="spellStart"/>
      <w:r>
        <w:rPr>
          <w:rFonts w:cs="Times New Roman"/>
          <w:b/>
          <w:sz w:val="24"/>
          <w:szCs w:val="24"/>
        </w:rPr>
        <w:t>kubernetes</w:t>
      </w:r>
      <w:proofErr w:type="spellEnd"/>
      <w:r>
        <w:rPr>
          <w:rFonts w:cs="Times New Roman"/>
          <w:sz w:val="24"/>
          <w:szCs w:val="24"/>
        </w:rPr>
        <w:t xml:space="preserve">. Cette activité est inclue dans la mise en œuvre de la solution, mais INRAE pourra demander un nouvel accompagnement ultérieurement (intégration de nouveaux </w:t>
      </w:r>
      <w:proofErr w:type="gramStart"/>
      <w:r>
        <w:rPr>
          <w:rFonts w:cs="Times New Roman"/>
          <w:sz w:val="24"/>
          <w:szCs w:val="24"/>
        </w:rPr>
        <w:t>collaborateurs,...</w:t>
      </w:r>
      <w:proofErr w:type="gramEnd"/>
      <w:r>
        <w:rPr>
          <w:rFonts w:cs="Times New Roman"/>
          <w:sz w:val="24"/>
          <w:szCs w:val="24"/>
        </w:rPr>
        <w:t>.)</w:t>
      </w:r>
    </w:p>
    <w:p w:rsidR="006E6D7A" w:rsidRDefault="00B16C64" w14:paraId="671578AF" w14:textId="77777777">
      <w:pPr>
        <w:numPr>
          <w:ilvl w:val="0"/>
          <w:numId w:val="185"/>
        </w:numPr>
        <w:spacing w:before="100" w:beforeAutospacing="1" w:after="100" w:afterAutospacing="1"/>
        <w:jc w:val="left"/>
        <w:rPr>
          <w:rFonts w:cs="Times New Roman"/>
          <w:sz w:val="24"/>
          <w:szCs w:val="24"/>
        </w:rPr>
      </w:pPr>
      <w:r>
        <w:rPr>
          <w:rFonts w:cs="Times New Roman"/>
          <w:sz w:val="24"/>
          <w:szCs w:val="24"/>
        </w:rPr>
        <w:t xml:space="preserve">Le titulaire </w:t>
      </w:r>
      <w:r>
        <w:rPr>
          <w:rFonts w:cs="Times New Roman"/>
          <w:b/>
          <w:bCs/>
          <w:sz w:val="24"/>
          <w:szCs w:val="24"/>
        </w:rPr>
        <w:t>proposera un accompagnement à la demande</w:t>
      </w:r>
      <w:r>
        <w:rPr>
          <w:rFonts w:cs="Times New Roman"/>
          <w:sz w:val="24"/>
          <w:szCs w:val="24"/>
        </w:rPr>
        <w:t xml:space="preserve"> pour </w:t>
      </w:r>
      <w:r>
        <w:rPr>
          <w:rFonts w:cs="Times New Roman"/>
          <w:b/>
          <w:bCs/>
          <w:sz w:val="24"/>
          <w:szCs w:val="24"/>
        </w:rPr>
        <w:t>transférer les compétences nécessaires aux agents des services proposés dans le catalogue</w:t>
      </w:r>
      <w:r>
        <w:rPr>
          <w:rFonts w:cs="Times New Roman"/>
          <w:sz w:val="24"/>
          <w:szCs w:val="24"/>
        </w:rPr>
        <w:t>. Il proposera des formations à l’administration fonctionnelle et l’exploitation des services. Il proposera également une formation à leur utilisation.</w:t>
      </w:r>
    </w:p>
    <w:p w:rsidR="006E6D7A" w:rsidRDefault="006E6D7A" w14:paraId="671578B0" w14:textId="77777777">
      <w:pPr>
        <w:rPr>
          <w:rFonts w:cs="Times New Roman"/>
          <w:sz w:val="24"/>
          <w:szCs w:val="24"/>
          <w:u w:val="single"/>
        </w:rPr>
      </w:pPr>
    </w:p>
    <w:p w:rsidR="006E6D7A" w:rsidRDefault="006E6D7A" w14:paraId="671578B1" w14:textId="77777777">
      <w:pPr>
        <w:rPr>
          <w:b/>
          <w:bCs/>
        </w:rPr>
      </w:pPr>
    </w:p>
    <w:p w:rsidR="006E6D7A" w:rsidRDefault="006E6D7A" w14:paraId="671578B2" w14:textId="77777777"/>
    <w:p w:rsidR="006E6D7A" w:rsidRDefault="00B16C64" w14:paraId="671578B3" w14:textId="77777777">
      <w:pPr>
        <w:pStyle w:val="Titre4"/>
        <w:numPr>
          <w:ilvl w:val="4"/>
          <w:numId w:val="3"/>
        </w:numPr>
        <w:tabs>
          <w:tab w:val="clear" w:pos="1134"/>
        </w:tabs>
      </w:pPr>
      <w:r>
        <w:t xml:space="preserve">Usine à plateformes </w:t>
      </w:r>
      <w:proofErr w:type="spellStart"/>
      <w:r>
        <w:t>Kubernetes</w:t>
      </w:r>
      <w:proofErr w:type="spellEnd"/>
      <w:r>
        <w:t xml:space="preserve"> et PAAS engagements du titulaire</w:t>
      </w:r>
    </w:p>
    <w:p w:rsidR="006E6D7A" w:rsidRDefault="00B16C64" w14:paraId="671578B4" w14:textId="77777777">
      <w:pPr>
        <w:pStyle w:val="Titre6"/>
        <w:numPr>
          <w:ilvl w:val="5"/>
          <w:numId w:val="3"/>
        </w:numPr>
        <w:rPr>
          <w:sz w:val="22"/>
          <w:szCs w:val="24"/>
        </w:rPr>
      </w:pPr>
      <w:r>
        <w:rPr>
          <w:sz w:val="22"/>
          <w:szCs w:val="24"/>
        </w:rPr>
        <w:t>Disponibilité et SLA</w:t>
      </w:r>
    </w:p>
    <w:p w:rsidR="006E6D7A" w:rsidRDefault="00B16C64" w14:paraId="671578B5" w14:textId="77777777">
      <w:pPr>
        <w:numPr>
          <w:ilvl w:val="0"/>
          <w:numId w:val="171"/>
        </w:numPr>
        <w:spacing w:before="100" w:beforeAutospacing="1" w:after="100" w:afterAutospacing="1"/>
        <w:jc w:val="left"/>
        <w:rPr>
          <w:rFonts w:cs="Times New Roman"/>
          <w:b/>
          <w:bCs/>
          <w:sz w:val="24"/>
          <w:szCs w:val="24"/>
        </w:rPr>
      </w:pPr>
      <w:r>
        <w:rPr>
          <w:rFonts w:cs="Times New Roman"/>
          <w:b/>
          <w:bCs/>
          <w:sz w:val="24"/>
          <w:szCs w:val="24"/>
        </w:rPr>
        <w:t>Engagement de disponibilité</w:t>
      </w:r>
      <w:r>
        <w:rPr>
          <w:rFonts w:cs="Times New Roman"/>
          <w:sz w:val="24"/>
          <w:szCs w:val="24"/>
        </w:rPr>
        <w:t xml:space="preserve"> : Le titulaire devra garantir un SLA de disponibilité minimum de </w:t>
      </w:r>
      <w:r>
        <w:rPr>
          <w:rFonts w:cs="Times New Roman"/>
          <w:b/>
          <w:bCs/>
          <w:sz w:val="24"/>
          <w:szCs w:val="24"/>
        </w:rPr>
        <w:t>99,5%</w:t>
      </w:r>
      <w:r>
        <w:rPr>
          <w:rFonts w:cs="Times New Roman"/>
          <w:sz w:val="24"/>
          <w:szCs w:val="24"/>
        </w:rPr>
        <w:t xml:space="preserve"> en heures ouvrées (8h-19h) pour l’ensemble de la plateforme et des services du catalogue. Il pourra proposer en option des engagements de services supérieurs et des horaires élargis (</w:t>
      </w:r>
      <w:proofErr w:type="gramStart"/>
      <w:r>
        <w:rPr>
          <w:rFonts w:cs="Times New Roman"/>
          <w:sz w:val="24"/>
          <w:szCs w:val="24"/>
        </w:rPr>
        <w:t>exemple  99</w:t>
      </w:r>
      <w:proofErr w:type="gramEnd"/>
      <w:r>
        <w:rPr>
          <w:rFonts w:cs="Times New Roman"/>
          <w:sz w:val="24"/>
          <w:szCs w:val="24"/>
        </w:rPr>
        <w:t xml:space="preserve">,99% en 24x7) </w:t>
      </w:r>
    </w:p>
    <w:p w:rsidR="006E6D7A" w:rsidRDefault="00B16C64" w14:paraId="671578B6" w14:textId="77777777">
      <w:pPr>
        <w:numPr>
          <w:ilvl w:val="0"/>
          <w:numId w:val="171"/>
        </w:numPr>
        <w:spacing w:before="100" w:beforeAutospacing="1" w:after="100" w:afterAutospacing="1"/>
        <w:jc w:val="left"/>
        <w:rPr>
          <w:rFonts w:cs="Times New Roman"/>
          <w:sz w:val="24"/>
          <w:szCs w:val="24"/>
        </w:rPr>
      </w:pPr>
      <w:r>
        <w:rPr>
          <w:rFonts w:cs="Times New Roman"/>
          <w:b/>
          <w:bCs/>
          <w:sz w:val="24"/>
          <w:szCs w:val="24"/>
        </w:rPr>
        <w:t>Maintenance</w:t>
      </w:r>
      <w:r>
        <w:rPr>
          <w:rFonts w:cs="Times New Roman"/>
          <w:sz w:val="24"/>
          <w:szCs w:val="24"/>
        </w:rPr>
        <w:t xml:space="preserve"> (MCO et MCS) : Le titulaire proposera des fenêtres de maintenance planifiées qui devront être validées par INRAE. Une notification préalable, d’au minimum une semaine, incluant une description des impacts et des actions de minimisation des impacts sur les </w:t>
      </w:r>
      <w:proofErr w:type="gramStart"/>
      <w:r>
        <w:rPr>
          <w:rFonts w:cs="Times New Roman"/>
          <w:sz w:val="24"/>
          <w:szCs w:val="24"/>
        </w:rPr>
        <w:t>services .</w:t>
      </w:r>
      <w:proofErr w:type="gramEnd"/>
      <w:r>
        <w:rPr>
          <w:rFonts w:cs="Times New Roman"/>
          <w:sz w:val="24"/>
          <w:szCs w:val="24"/>
        </w:rPr>
        <w:t xml:space="preserve"> En fonction des impacts, INRAE pourra demander que ces maintenances soient réalisées en HNO. En fonction de l’urgence de ces opérations, en particulier en cas risque cybersécurité ou d’un dysfonctionnement majeur, INRAE et le titulaire pourront convenir d’une réduction du délai de notification préalable. </w:t>
      </w:r>
    </w:p>
    <w:p w:rsidR="006E6D7A" w:rsidRDefault="00B16C64" w14:paraId="671578B7" w14:textId="77777777">
      <w:pPr>
        <w:numPr>
          <w:ilvl w:val="0"/>
          <w:numId w:val="171"/>
        </w:numPr>
        <w:spacing w:before="100" w:beforeAutospacing="1" w:after="100" w:afterAutospacing="1"/>
        <w:jc w:val="left"/>
        <w:rPr>
          <w:rFonts w:cs="Times New Roman"/>
          <w:sz w:val="24"/>
          <w:szCs w:val="24"/>
        </w:rPr>
      </w:pPr>
      <w:r>
        <w:rPr>
          <w:rFonts w:cs="Times New Roman"/>
          <w:b/>
          <w:bCs/>
          <w:sz w:val="24"/>
          <w:szCs w:val="24"/>
        </w:rPr>
        <w:t>Diversité des niveaux de support </w:t>
      </w:r>
      <w:r>
        <w:rPr>
          <w:rFonts w:cs="Times New Roman"/>
          <w:sz w:val="24"/>
          <w:szCs w:val="24"/>
        </w:rPr>
        <w:t xml:space="preserve">: Le titulaire pourra proposer différents niveaux de support :  </w:t>
      </w:r>
      <w:r>
        <w:rPr>
          <w:rFonts w:cs="Times New Roman"/>
          <w:i/>
          <w:sz w:val="24"/>
          <w:szCs w:val="24"/>
        </w:rPr>
        <w:t>bronze</w:t>
      </w:r>
      <w:r>
        <w:rPr>
          <w:rFonts w:cs="Times New Roman"/>
          <w:sz w:val="24"/>
          <w:szCs w:val="24"/>
        </w:rPr>
        <w:t xml:space="preserve">, </w:t>
      </w:r>
      <w:r>
        <w:rPr>
          <w:rFonts w:cs="Times New Roman"/>
          <w:i/>
          <w:sz w:val="24"/>
          <w:szCs w:val="24"/>
        </w:rPr>
        <w:t>silver</w:t>
      </w:r>
      <w:r>
        <w:rPr>
          <w:rFonts w:cs="Times New Roman"/>
          <w:sz w:val="24"/>
          <w:szCs w:val="24"/>
        </w:rPr>
        <w:t xml:space="preserve"> et </w:t>
      </w:r>
      <w:r>
        <w:rPr>
          <w:rFonts w:cs="Times New Roman"/>
          <w:i/>
          <w:sz w:val="24"/>
          <w:szCs w:val="24"/>
        </w:rPr>
        <w:t xml:space="preserve">gold </w:t>
      </w:r>
      <w:r>
        <w:rPr>
          <w:rFonts w:cs="Times New Roman"/>
          <w:sz w:val="24"/>
          <w:szCs w:val="24"/>
        </w:rPr>
        <w:t>en précisant les engagements de disponibilités associés pour l’ensemble de la plateforme et des services du catalogue. Le candidat décrira les engagements de délais de prise en charge et de résolution en fonction de la sévérité de l’incident (mineur, majeur et bloquant). Le niveau bronze permettra à minima un délai de prise en charge de 4h ouvrées et de réponse en J+1.</w:t>
      </w:r>
    </w:p>
    <w:p w:rsidR="006E6D7A" w:rsidRDefault="00B16C64" w14:paraId="671578B8" w14:textId="77777777">
      <w:pPr>
        <w:spacing w:before="100" w:beforeAutospacing="1" w:after="100" w:afterAutospacing="1"/>
        <w:ind w:left="720"/>
        <w:jc w:val="left"/>
        <w:rPr>
          <w:rFonts w:cs="Times New Roman"/>
          <w:sz w:val="24"/>
          <w:szCs w:val="24"/>
        </w:rPr>
      </w:pPr>
      <w:r>
        <w:rPr>
          <w:rFonts w:cs="Times New Roman"/>
          <w:sz w:val="24"/>
          <w:szCs w:val="24"/>
        </w:rPr>
        <w:t xml:space="preserve"> Sur demande d’INRAE, le titulaire exploitera et assurera le maintien en conditions opérationnelles et de sécurité des PAAS. </w:t>
      </w:r>
    </w:p>
    <w:p w:rsidR="006E6D7A" w:rsidRDefault="00B16C64" w14:paraId="671578B9" w14:textId="77777777">
      <w:pPr>
        <w:spacing w:before="100" w:beforeAutospacing="1" w:after="100" w:afterAutospacing="1"/>
        <w:ind w:left="720"/>
        <w:jc w:val="left"/>
        <w:rPr>
          <w:rFonts w:cs="Times New Roman"/>
          <w:sz w:val="24"/>
          <w:szCs w:val="24"/>
        </w:rPr>
      </w:pPr>
      <w:r>
        <w:rPr>
          <w:rFonts w:cs="Times New Roman"/>
          <w:sz w:val="24"/>
          <w:szCs w:val="24"/>
        </w:rPr>
        <w:t>Le titulaire décrit ses engagements de SLA, de maintenance et de support en cohérence avec ses engagements sur la plateforme.</w:t>
      </w:r>
    </w:p>
    <w:p w:rsidR="006E6D7A" w:rsidRDefault="00B16C64" w14:paraId="671578BA" w14:textId="77777777">
      <w:pPr>
        <w:pStyle w:val="Titre4"/>
        <w:numPr>
          <w:ilvl w:val="4"/>
          <w:numId w:val="3"/>
        </w:numPr>
        <w:tabs>
          <w:tab w:val="clear" w:pos="1134"/>
        </w:tabs>
      </w:pPr>
      <w:r>
        <w:t xml:space="preserve"> Sécurité et Conformité</w:t>
      </w:r>
    </w:p>
    <w:p w:rsidR="006E6D7A" w:rsidRDefault="00B16C64" w14:paraId="671578BB" w14:textId="77777777">
      <w:pPr>
        <w:spacing w:before="100" w:beforeAutospacing="1" w:after="100" w:afterAutospacing="1"/>
        <w:ind w:left="720"/>
        <w:jc w:val="left"/>
        <w:rPr>
          <w:rFonts w:cs="Times New Roman"/>
          <w:sz w:val="24"/>
          <w:szCs w:val="24"/>
        </w:rPr>
      </w:pPr>
      <w:r>
        <w:rPr>
          <w:rFonts w:cs="Times New Roman"/>
          <w:sz w:val="24"/>
          <w:szCs w:val="24"/>
        </w:rPr>
        <w:t xml:space="preserve">Le titulaire </w:t>
      </w:r>
    </w:p>
    <w:p w:rsidR="006E6D7A" w:rsidRDefault="00B16C64" w14:paraId="671578BC" w14:textId="77777777">
      <w:pPr>
        <w:numPr>
          <w:ilvl w:val="0"/>
          <w:numId w:val="172"/>
        </w:numPr>
        <w:spacing w:before="100" w:beforeAutospacing="1" w:after="100" w:afterAutospacing="1"/>
        <w:jc w:val="left"/>
        <w:rPr>
          <w:rFonts w:cs="Times New Roman"/>
          <w:sz w:val="24"/>
          <w:szCs w:val="24"/>
        </w:rPr>
      </w:pPr>
      <w:r>
        <w:rPr>
          <w:rFonts w:cs="Times New Roman"/>
          <w:sz w:val="24"/>
          <w:szCs w:val="24"/>
        </w:rPr>
        <w:t>Met en place de bonnes pratiques de sécurité (RBAC, SSO INRAE, réseau sécurisé, chiffrement des données, audits réguliers).</w:t>
      </w:r>
    </w:p>
    <w:p w:rsidR="006E6D7A" w:rsidRDefault="00B16C64" w14:paraId="671578BD" w14:textId="77777777">
      <w:pPr>
        <w:numPr>
          <w:ilvl w:val="0"/>
          <w:numId w:val="172"/>
        </w:numPr>
        <w:spacing w:before="100" w:beforeAutospacing="1" w:after="100" w:afterAutospacing="1"/>
        <w:jc w:val="left"/>
        <w:rPr>
          <w:rFonts w:cs="Times New Roman"/>
          <w:sz w:val="24"/>
          <w:szCs w:val="24"/>
        </w:rPr>
      </w:pPr>
      <w:r>
        <w:rPr>
          <w:rFonts w:cs="Times New Roman"/>
          <w:sz w:val="24"/>
          <w:szCs w:val="24"/>
        </w:rPr>
        <w:t>Soumet la solution à une certification SSI conjointement avec les équipes en charge de la sécurité à l’INRAE. INRAE utilise pour cela la solution « </w:t>
      </w:r>
      <w:hyperlink w:tooltip="https://monservicesecurise.cyber.gouv.fr/" w:history="1" r:id="rId115">
        <w:r>
          <w:rPr>
            <w:rStyle w:val="Lienhypertexte"/>
            <w:rFonts w:cs="Times New Roman"/>
            <w:sz w:val="24"/>
            <w:szCs w:val="24"/>
          </w:rPr>
          <w:t>Mon service sécurisé</w:t>
        </w:r>
      </w:hyperlink>
      <w:r>
        <w:rPr>
          <w:rFonts w:cs="Times New Roman"/>
          <w:sz w:val="24"/>
          <w:szCs w:val="24"/>
        </w:rPr>
        <w:t> » préconisé par l’ANSSI</w:t>
      </w:r>
    </w:p>
    <w:p w:rsidR="006E6D7A" w:rsidRDefault="00B16C64" w14:paraId="671578BE" w14:textId="77777777">
      <w:pPr>
        <w:numPr>
          <w:ilvl w:val="0"/>
          <w:numId w:val="173"/>
        </w:numPr>
        <w:spacing w:before="100" w:beforeAutospacing="1" w:after="100" w:afterAutospacing="1"/>
        <w:jc w:val="left"/>
        <w:rPr>
          <w:rFonts w:cs="Times New Roman"/>
          <w:strike/>
          <w:sz w:val="24"/>
          <w:szCs w:val="24"/>
        </w:rPr>
      </w:pPr>
      <w:r>
        <w:rPr>
          <w:rFonts w:cs="Times New Roman"/>
          <w:b/>
          <w:bCs/>
          <w:sz w:val="24"/>
          <w:szCs w:val="24"/>
        </w:rPr>
        <w:t xml:space="preserve">Accompagne et fournit de l’expertise à la </w:t>
      </w:r>
      <w:proofErr w:type="gramStart"/>
      <w:r>
        <w:rPr>
          <w:rFonts w:cs="Times New Roman"/>
          <w:b/>
          <w:bCs/>
          <w:sz w:val="24"/>
          <w:szCs w:val="24"/>
        </w:rPr>
        <w:t>demande</w:t>
      </w:r>
      <w:r>
        <w:rPr>
          <w:rFonts w:cs="Times New Roman"/>
          <w:sz w:val="24"/>
          <w:szCs w:val="24"/>
        </w:rPr>
        <w:t xml:space="preserve">  sur</w:t>
      </w:r>
      <w:proofErr w:type="gramEnd"/>
      <w:r>
        <w:rPr>
          <w:rFonts w:cs="Times New Roman"/>
          <w:sz w:val="24"/>
          <w:szCs w:val="24"/>
        </w:rPr>
        <w:t xml:space="preserve"> les solutions et technologies qu’il met en œuvre. En cas de nécessité de service, INRAE pourra demander la mise à disposition de cette expertise sans délai.</w:t>
      </w:r>
    </w:p>
    <w:p w:rsidR="006E6D7A" w:rsidRDefault="00B16C64" w14:paraId="671578BF" w14:textId="77777777">
      <w:pPr>
        <w:numPr>
          <w:ilvl w:val="0"/>
          <w:numId w:val="173"/>
        </w:numPr>
        <w:spacing w:before="100" w:beforeAutospacing="1" w:after="100" w:afterAutospacing="1"/>
        <w:jc w:val="left"/>
        <w:rPr>
          <w:rFonts w:cs="Times New Roman"/>
          <w:sz w:val="24"/>
          <w:szCs w:val="24"/>
        </w:rPr>
      </w:pPr>
      <w:r>
        <w:rPr>
          <w:rFonts w:cs="Times New Roman"/>
          <w:sz w:val="24"/>
          <w:szCs w:val="24"/>
        </w:rPr>
        <w:t>Produit et fournit la documentation technique complète sur les solutions qu’il met en œuvre.</w:t>
      </w:r>
    </w:p>
    <w:p w:rsidR="006E6D7A" w:rsidRDefault="00B16C64" w14:paraId="671578C0" w14:textId="77777777">
      <w:pPr>
        <w:numPr>
          <w:ilvl w:val="0"/>
          <w:numId w:val="173"/>
        </w:numPr>
        <w:spacing w:before="100" w:beforeAutospacing="1" w:after="100" w:afterAutospacing="1"/>
        <w:jc w:val="left"/>
        <w:rPr>
          <w:rFonts w:cs="Times New Roman"/>
          <w:sz w:val="24"/>
          <w:szCs w:val="24"/>
        </w:rPr>
      </w:pPr>
      <w:r>
        <w:rPr>
          <w:rFonts w:cs="Times New Roman"/>
          <w:sz w:val="24"/>
          <w:szCs w:val="24"/>
        </w:rPr>
        <w:t>Fournit et produit la documentation utilisateur des solutions qu’il met en œuvre</w:t>
      </w:r>
    </w:p>
    <w:p w:rsidR="006E6D7A" w:rsidRDefault="00B16C64" w14:paraId="671578C1" w14:textId="77777777">
      <w:pPr>
        <w:numPr>
          <w:ilvl w:val="0"/>
          <w:numId w:val="173"/>
        </w:numPr>
        <w:spacing w:before="100" w:beforeAutospacing="1" w:after="100" w:afterAutospacing="1"/>
        <w:jc w:val="left"/>
        <w:rPr>
          <w:rFonts w:cs="Times New Roman"/>
          <w:sz w:val="24"/>
          <w:szCs w:val="24"/>
        </w:rPr>
      </w:pPr>
      <w:r>
        <w:rPr>
          <w:rFonts w:cs="Times New Roman"/>
          <w:sz w:val="24"/>
          <w:szCs w:val="24"/>
        </w:rPr>
        <w:lastRenderedPageBreak/>
        <w:t>Forme, sur demande, des équipes d’INRAE à l’utilisation et au paramétrage des solutions mises en œuvre par le titulaire.</w:t>
      </w:r>
    </w:p>
    <w:p w:rsidR="006E6D7A" w:rsidRDefault="00B16C64" w14:paraId="671578C2" w14:textId="77777777">
      <w:pPr>
        <w:spacing w:before="100" w:beforeAutospacing="1" w:after="100" w:afterAutospacing="1"/>
        <w:ind w:left="720"/>
        <w:jc w:val="left"/>
        <w:rPr>
          <w:rFonts w:cs="Times New Roman"/>
          <w:strike/>
          <w:color w:val="FF0000"/>
          <w:sz w:val="16"/>
          <w:szCs w:val="16"/>
        </w:rPr>
      </w:pPr>
      <w:r>
        <w:rPr>
          <w:rFonts w:cs="Times New Roman"/>
          <w:strike/>
          <w:color w:val="FF0000"/>
          <w:sz w:val="16"/>
          <w:szCs w:val="16"/>
        </w:rPr>
        <w:t xml:space="preserve"> </w:t>
      </w:r>
    </w:p>
    <w:p w:rsidR="006E6D7A" w:rsidRDefault="00B16C64" w14:paraId="671578C3" w14:textId="77777777">
      <w:pPr>
        <w:pStyle w:val="Titre4"/>
        <w:numPr>
          <w:ilvl w:val="4"/>
          <w:numId w:val="3"/>
        </w:numPr>
        <w:tabs>
          <w:tab w:val="clear" w:pos="1134"/>
        </w:tabs>
      </w:pPr>
      <w:r>
        <w:t xml:space="preserve"> Scalabilité et Performance</w:t>
      </w:r>
    </w:p>
    <w:p w:rsidR="006E6D7A" w:rsidRDefault="00B16C64" w14:paraId="671578C4" w14:textId="77777777">
      <w:pPr>
        <w:spacing w:before="100" w:beforeAutospacing="1" w:after="100" w:afterAutospacing="1"/>
        <w:jc w:val="left"/>
        <w:rPr>
          <w:rFonts w:cs="Times New Roman"/>
          <w:sz w:val="24"/>
          <w:szCs w:val="24"/>
        </w:rPr>
      </w:pPr>
      <w:r>
        <w:rPr>
          <w:rFonts w:cs="Times New Roman"/>
          <w:sz w:val="24"/>
          <w:szCs w:val="24"/>
        </w:rPr>
        <w:t>Le titulaire fournira de manière régulière lors des comités contractuels ou sur demande explicite des indicateurs :</w:t>
      </w:r>
    </w:p>
    <w:p w:rsidR="006E6D7A" w:rsidRDefault="00B16C64" w14:paraId="671578C5" w14:textId="77777777">
      <w:pPr>
        <w:numPr>
          <w:ilvl w:val="0"/>
          <w:numId w:val="174"/>
        </w:numPr>
        <w:spacing w:before="100" w:beforeAutospacing="1" w:after="100" w:afterAutospacing="1"/>
        <w:jc w:val="left"/>
        <w:rPr>
          <w:rFonts w:cs="Times New Roman"/>
          <w:sz w:val="24"/>
          <w:szCs w:val="24"/>
        </w:rPr>
      </w:pPr>
      <w:proofErr w:type="gramStart"/>
      <w:r>
        <w:rPr>
          <w:rFonts w:cs="Times New Roman"/>
          <w:sz w:val="24"/>
          <w:szCs w:val="24"/>
        </w:rPr>
        <w:t>sur</w:t>
      </w:r>
      <w:proofErr w:type="gramEnd"/>
      <w:r>
        <w:rPr>
          <w:rFonts w:cs="Times New Roman"/>
          <w:sz w:val="24"/>
          <w:szCs w:val="24"/>
        </w:rPr>
        <w:t xml:space="preserve"> la capacité à passer à l’échelle  des ressources (nœuds </w:t>
      </w:r>
      <w:proofErr w:type="spellStart"/>
      <w:r>
        <w:rPr>
          <w:rFonts w:cs="Times New Roman"/>
          <w:sz w:val="24"/>
          <w:szCs w:val="24"/>
        </w:rPr>
        <w:t>Kubernetes</w:t>
      </w:r>
      <w:proofErr w:type="spellEnd"/>
      <w:r>
        <w:rPr>
          <w:rFonts w:cs="Times New Roman"/>
          <w:sz w:val="24"/>
          <w:szCs w:val="24"/>
        </w:rPr>
        <w:t>, stockage, réseau) en fonction de la charge des services.</w:t>
      </w:r>
    </w:p>
    <w:p w:rsidR="006E6D7A" w:rsidRDefault="00B16C64" w14:paraId="671578C6" w14:textId="77777777">
      <w:pPr>
        <w:numPr>
          <w:ilvl w:val="0"/>
          <w:numId w:val="180"/>
        </w:numPr>
        <w:spacing w:before="100" w:beforeAutospacing="1" w:after="100" w:afterAutospacing="1"/>
        <w:jc w:val="left"/>
        <w:rPr>
          <w:rFonts w:cs="Times New Roman"/>
          <w:sz w:val="24"/>
          <w:szCs w:val="24"/>
        </w:rPr>
      </w:pPr>
      <w:proofErr w:type="gramStart"/>
      <w:r>
        <w:rPr>
          <w:rFonts w:cs="Times New Roman"/>
          <w:sz w:val="24"/>
          <w:szCs w:val="24"/>
        </w:rPr>
        <w:t>de</w:t>
      </w:r>
      <w:proofErr w:type="gramEnd"/>
      <w:r>
        <w:rPr>
          <w:rFonts w:cs="Times New Roman"/>
          <w:sz w:val="24"/>
          <w:szCs w:val="24"/>
        </w:rPr>
        <w:t xml:space="preserve"> disponibilité et de performance qui pourront être consolidés dans des tableaux de bords.</w:t>
      </w:r>
    </w:p>
    <w:p w:rsidR="006E6D7A" w:rsidRDefault="00B16C64" w14:paraId="671578C7" w14:textId="77777777">
      <w:pPr>
        <w:numPr>
          <w:ilvl w:val="0"/>
          <w:numId w:val="174"/>
        </w:numPr>
        <w:spacing w:before="100" w:beforeAutospacing="1" w:after="100" w:afterAutospacing="1"/>
        <w:jc w:val="left"/>
        <w:rPr>
          <w:rFonts w:cs="Times New Roman"/>
          <w:sz w:val="24"/>
          <w:szCs w:val="24"/>
        </w:rPr>
      </w:pPr>
      <w:proofErr w:type="gramStart"/>
      <w:r>
        <w:rPr>
          <w:rFonts w:cs="Times New Roman"/>
          <w:sz w:val="24"/>
          <w:szCs w:val="24"/>
        </w:rPr>
        <w:t>sur</w:t>
      </w:r>
      <w:proofErr w:type="gramEnd"/>
      <w:r>
        <w:rPr>
          <w:rFonts w:cs="Times New Roman"/>
          <w:sz w:val="24"/>
          <w:szCs w:val="24"/>
        </w:rPr>
        <w:t xml:space="preserve"> l’optimisation continue des performances et des coûts : le titulaire proposera les métriques processus et outils permettant une gestion financière des ressources (FINOPS) </w:t>
      </w:r>
    </w:p>
    <w:p w:rsidR="006E6D7A" w:rsidRDefault="00B16C64" w14:paraId="671578C8" w14:textId="77777777">
      <w:pPr>
        <w:numPr>
          <w:ilvl w:val="0"/>
          <w:numId w:val="174"/>
        </w:numPr>
        <w:spacing w:before="100" w:beforeAutospacing="1" w:after="100" w:afterAutospacing="1"/>
        <w:jc w:val="left"/>
        <w:rPr>
          <w:rFonts w:cs="Times New Roman"/>
          <w:sz w:val="24"/>
          <w:szCs w:val="24"/>
        </w:rPr>
      </w:pPr>
      <w:proofErr w:type="gramStart"/>
      <w:r>
        <w:rPr>
          <w:rFonts w:cs="Times New Roman"/>
          <w:sz w:val="24"/>
          <w:szCs w:val="24"/>
        </w:rPr>
        <w:t>sur</w:t>
      </w:r>
      <w:proofErr w:type="gramEnd"/>
      <w:r>
        <w:rPr>
          <w:rFonts w:cs="Times New Roman"/>
          <w:sz w:val="24"/>
          <w:szCs w:val="24"/>
        </w:rPr>
        <w:t xml:space="preserve"> les typologies d’activité ( mises à jour, gestion d’incident,...) et d’incidents</w:t>
      </w:r>
    </w:p>
    <w:p w:rsidR="006E6D7A" w:rsidRDefault="00B16C64" w14:paraId="671578C9" w14:textId="77777777">
      <w:pPr>
        <w:numPr>
          <w:ilvl w:val="0"/>
          <w:numId w:val="174"/>
        </w:numPr>
        <w:spacing w:before="100" w:beforeAutospacing="1" w:after="100" w:afterAutospacing="1"/>
        <w:jc w:val="left"/>
        <w:rPr>
          <w:rFonts w:cs="Times New Roman"/>
          <w:sz w:val="24"/>
          <w:szCs w:val="24"/>
        </w:rPr>
      </w:pPr>
      <w:r>
        <w:rPr>
          <w:rFonts w:cs="Times New Roman"/>
          <w:sz w:val="24"/>
          <w:szCs w:val="24"/>
        </w:rPr>
        <w:t>Le titulaire fournira les GTI et GTR sur lesquelles il peut s’engager.</w:t>
      </w:r>
    </w:p>
    <w:p w:rsidR="006E6D7A" w:rsidRDefault="00B16C64" w14:paraId="671578CA" w14:textId="77777777">
      <w:pPr>
        <w:spacing w:before="100" w:beforeAutospacing="1" w:after="100" w:afterAutospacing="1"/>
        <w:ind w:left="720"/>
        <w:jc w:val="left"/>
        <w:rPr>
          <w:rFonts w:cs="Times New Roman"/>
          <w:sz w:val="24"/>
          <w:szCs w:val="24"/>
        </w:rPr>
      </w:pPr>
      <w:r>
        <w:rPr>
          <w:rFonts w:cs="Times New Roman"/>
          <w:sz w:val="24"/>
          <w:szCs w:val="24"/>
        </w:rPr>
        <w:t xml:space="preserve">Le titulaire fournira également lors des comités contractuels et sur </w:t>
      </w:r>
      <w:proofErr w:type="gramStart"/>
      <w:r>
        <w:rPr>
          <w:rFonts w:cs="Times New Roman"/>
          <w:sz w:val="24"/>
          <w:szCs w:val="24"/>
        </w:rPr>
        <w:t>demande ,</w:t>
      </w:r>
      <w:proofErr w:type="gramEnd"/>
      <w:r>
        <w:rPr>
          <w:rFonts w:cs="Times New Roman"/>
          <w:sz w:val="24"/>
          <w:szCs w:val="24"/>
        </w:rPr>
        <w:t xml:space="preserve"> les rapports d’activité et d’incidents détaillés. Il fournira les informations sur les actions de remédiation mises en œuvre pour améliorer la qualité et la sécurité du service.</w:t>
      </w:r>
    </w:p>
    <w:p w:rsidR="006E6D7A" w:rsidRDefault="00B16C64" w14:paraId="671578CB" w14:textId="77777777">
      <w:pPr>
        <w:pStyle w:val="Titre4"/>
        <w:numPr>
          <w:ilvl w:val="4"/>
          <w:numId w:val="3"/>
        </w:numPr>
        <w:tabs>
          <w:tab w:val="clear" w:pos="1134"/>
        </w:tabs>
      </w:pPr>
      <w:r>
        <w:t xml:space="preserve">Phase de conception et d’implémentation de l’usine à plateformes </w:t>
      </w:r>
      <w:proofErr w:type="spellStart"/>
      <w:r>
        <w:t>Kubernetes</w:t>
      </w:r>
      <w:proofErr w:type="spellEnd"/>
    </w:p>
    <w:p w:rsidR="006E6D7A" w:rsidRDefault="006E6D7A" w14:paraId="671578CC" w14:textId="77777777">
      <w:pPr>
        <w:rPr>
          <w:rFonts w:eastAsia="DejaVu Sans"/>
        </w:rPr>
      </w:pPr>
    </w:p>
    <w:p w:rsidR="006E6D7A" w:rsidRDefault="00B16C64" w14:paraId="671578CD" w14:textId="77777777">
      <w:pPr>
        <w:pBdr>
          <w:top w:val="none" w:color="000000" w:sz="4" w:space="0"/>
          <w:left w:val="none" w:color="000000" w:sz="4" w:space="0"/>
          <w:bottom w:val="none" w:color="000000" w:sz="4" w:space="0"/>
          <w:right w:val="none" w:color="000000" w:sz="4" w:space="0"/>
        </w:pBdr>
        <w:rPr>
          <w:rFonts w:eastAsia="DejaVu Sans"/>
        </w:rPr>
      </w:pPr>
      <w:r>
        <w:t xml:space="preserve">INRAE souhaite un accompagnement de la conception au déploiement de l’ensemble </w:t>
      </w:r>
      <w:r>
        <w:rPr>
          <w:rFonts w:eastAsia="DejaVu Sans"/>
        </w:rPr>
        <w:t xml:space="preserve">des services, outils et API permettant d’automatiser la production de plateformes </w:t>
      </w:r>
      <w:proofErr w:type="spellStart"/>
      <w:r>
        <w:rPr>
          <w:rFonts w:eastAsia="DejaVu Sans"/>
        </w:rPr>
        <w:t>Kubernetes</w:t>
      </w:r>
      <w:proofErr w:type="spellEnd"/>
      <w:r>
        <w:rPr>
          <w:rFonts w:eastAsia="DejaVu Sans"/>
        </w:rPr>
        <w:t xml:space="preserve"> à la demande (PAAS). La mise en place de ces services sera réalisée au moyen de plusieurs unités d’œuvre, le tout suivi par un comité de pilotage, et sur un principe de co-construction entre les équipes INRAE et celles du titulaire.</w:t>
      </w:r>
    </w:p>
    <w:p w:rsidR="006E6D7A" w:rsidRDefault="00B16C64" w14:paraId="671578CE" w14:textId="77777777">
      <w:pPr>
        <w:rPr>
          <w:rFonts w:eastAsia="DejaVu Sans"/>
        </w:rPr>
      </w:pPr>
      <w:r>
        <w:rPr>
          <w:rFonts w:eastAsia="DejaVu Sans"/>
        </w:rPr>
        <w:t>Le titulaire sera attentif à aligner toutes les parties prenantes sur le périmètre, les objectifs et l’organisation du projet. Nous attendons une validation conjointe des priorités et des livrables attendus.</w:t>
      </w:r>
    </w:p>
    <w:p w:rsidR="006E6D7A" w:rsidRDefault="006E6D7A" w14:paraId="671578CF" w14:textId="77777777">
      <w:pPr>
        <w:rPr>
          <w:rFonts w:eastAsia="DejaVu Sans"/>
        </w:rPr>
      </w:pPr>
    </w:p>
    <w:p w:rsidR="006E6D7A" w:rsidRDefault="00B16C64" w14:paraId="671578D0" w14:textId="77777777">
      <w:pPr>
        <w:pBdr>
          <w:top w:val="none" w:color="000000" w:sz="4" w:space="0"/>
          <w:left w:val="none" w:color="000000" w:sz="4" w:space="0"/>
          <w:bottom w:val="none" w:color="000000" w:sz="4" w:space="0"/>
          <w:right w:val="none" w:color="000000" w:sz="4" w:space="0"/>
        </w:pBdr>
        <w:rPr>
          <w:rFonts w:eastAsia="DejaVu Sans"/>
        </w:rPr>
      </w:pPr>
      <w:r>
        <w:rPr>
          <w:rFonts w:eastAsia="DejaVu Sans"/>
        </w:rPr>
        <w:t xml:space="preserve">La plateforme </w:t>
      </w:r>
      <w:proofErr w:type="gramStart"/>
      <w:r>
        <w:rPr>
          <w:rFonts w:eastAsia="DejaVu Sans"/>
        </w:rPr>
        <w:t>devra  être</w:t>
      </w:r>
      <w:proofErr w:type="gramEnd"/>
      <w:r>
        <w:rPr>
          <w:rFonts w:eastAsia="DejaVu Sans"/>
        </w:rPr>
        <w:t xml:space="preserve"> accompagnée d’une stratégie de sauvegarde automatisée, ainsi que de PCA/PRA détaillés.</w:t>
      </w:r>
    </w:p>
    <w:p w:rsidR="006E6D7A" w:rsidRDefault="006E6D7A" w14:paraId="671578D1" w14:textId="77777777">
      <w:pPr>
        <w:rPr>
          <w:rFonts w:eastAsia="DejaVu Sans"/>
        </w:rPr>
      </w:pPr>
    </w:p>
    <w:p w:rsidR="006E6D7A" w:rsidRDefault="00B16C64" w14:paraId="671578D2" w14:textId="77777777">
      <w:r>
        <w:t>Actions :</w:t>
      </w:r>
    </w:p>
    <w:p w:rsidR="006E6D7A" w:rsidRDefault="00B16C64" w14:paraId="671578D3" w14:textId="77777777">
      <w:pPr>
        <w:pStyle w:val="Paragraphedeliste"/>
        <w:numPr>
          <w:ilvl w:val="0"/>
          <w:numId w:val="165"/>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rPr>
        <w:t>Constitution de l'équipe projet : introduction des membres, attribution des rôles et des responsabilités.</w:t>
      </w:r>
    </w:p>
    <w:p w:rsidR="006E6D7A" w:rsidRDefault="00B16C64" w14:paraId="671578D4" w14:textId="77777777">
      <w:pPr>
        <w:pStyle w:val="Paragraphedeliste"/>
        <w:numPr>
          <w:ilvl w:val="0"/>
          <w:numId w:val="165"/>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rPr>
        <w:t>Examen du contexte et des besoins : confirmation des attentes, des contraintes et des enjeux.</w:t>
      </w:r>
    </w:p>
    <w:p w:rsidR="006E6D7A" w:rsidRDefault="00B16C64" w14:paraId="671578D5" w14:textId="77777777">
      <w:pPr>
        <w:pStyle w:val="Paragraphedeliste"/>
        <w:numPr>
          <w:ilvl w:val="0"/>
          <w:numId w:val="165"/>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rPr>
        <w:t>Définition du périmètre : aspects techniques, fonctionnels et organisationnels.</w:t>
      </w:r>
    </w:p>
    <w:p w:rsidR="006E6D7A" w:rsidRDefault="00B16C64" w14:paraId="671578D6" w14:textId="77777777">
      <w:pPr>
        <w:pStyle w:val="Paragraphedeliste"/>
        <w:numPr>
          <w:ilvl w:val="0"/>
          <w:numId w:val="165"/>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rPr>
        <w:t>Finalisation du planning : étapes clés, chronologie globale, points de validation</w:t>
      </w:r>
    </w:p>
    <w:p w:rsidR="006E6D7A" w:rsidRDefault="00B16C64" w14:paraId="671578D7" w14:textId="77777777">
      <w:pPr>
        <w:pStyle w:val="Paragraphedeliste"/>
        <w:numPr>
          <w:ilvl w:val="0"/>
          <w:numId w:val="165"/>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rPr>
        <w:t>Définition du plan d’amélioration continue</w:t>
      </w:r>
    </w:p>
    <w:p w:rsidR="006E6D7A" w:rsidRDefault="00B16C64" w14:paraId="671578D8" w14:textId="77777777">
      <w:r>
        <w:rPr>
          <w:lang w:val="fr"/>
        </w:rPr>
        <w:t xml:space="preserve">Livrables : </w:t>
      </w:r>
    </w:p>
    <w:p w:rsidR="006E6D7A" w:rsidRDefault="00B16C64" w14:paraId="671578D9" w14:textId="77777777">
      <w:pPr>
        <w:pStyle w:val="Paragraphedeliste"/>
        <w:numPr>
          <w:ilvl w:val="0"/>
          <w:numId w:val="166"/>
        </w:numPr>
        <w:rPr>
          <w:rFonts w:asciiTheme="minorHAnsi" w:hAnsiTheme="minorHAnsi"/>
          <w:color w:val="auto"/>
        </w:rPr>
      </w:pPr>
      <w:r>
        <w:rPr>
          <w:rFonts w:asciiTheme="minorHAnsi" w:hAnsiTheme="minorHAnsi"/>
          <w:color w:val="auto"/>
          <w:lang w:val="fr"/>
        </w:rPr>
        <w:t>Plan projet (périmètre, objectifs, risques, indicateurs).</w:t>
      </w:r>
    </w:p>
    <w:p w:rsidR="006E6D7A" w:rsidRDefault="00B16C64" w14:paraId="671578DA" w14:textId="77777777">
      <w:pPr>
        <w:pStyle w:val="Paragraphedeliste"/>
        <w:numPr>
          <w:ilvl w:val="0"/>
          <w:numId w:val="166"/>
        </w:numPr>
        <w:rPr>
          <w:rFonts w:asciiTheme="minorHAnsi" w:hAnsiTheme="minorHAnsi"/>
          <w:color w:val="auto"/>
        </w:rPr>
      </w:pPr>
      <w:r>
        <w:rPr>
          <w:rFonts w:asciiTheme="minorHAnsi" w:hAnsiTheme="minorHAnsi"/>
          <w:color w:val="auto"/>
          <w:lang w:val="fr"/>
        </w:rPr>
        <w:lastRenderedPageBreak/>
        <w:t>Description des rôles et responsabilités.</w:t>
      </w:r>
    </w:p>
    <w:p w:rsidR="006E6D7A" w:rsidRDefault="00B16C64" w14:paraId="671578DB" w14:textId="77777777">
      <w:pPr>
        <w:pStyle w:val="Paragraphedeliste"/>
        <w:numPr>
          <w:ilvl w:val="0"/>
          <w:numId w:val="166"/>
        </w:numPr>
        <w:rPr>
          <w:rFonts w:asciiTheme="minorHAnsi" w:hAnsiTheme="minorHAnsi"/>
          <w:color w:val="auto"/>
        </w:rPr>
      </w:pPr>
      <w:r>
        <w:rPr>
          <w:rFonts w:asciiTheme="minorHAnsi" w:hAnsiTheme="minorHAnsi"/>
          <w:color w:val="auto"/>
          <w:lang w:val="fr"/>
        </w:rPr>
        <w:t>Planning &amp; jalons</w:t>
      </w:r>
    </w:p>
    <w:p w:rsidR="006E6D7A" w:rsidRDefault="00B16C64" w14:paraId="671578DC" w14:textId="77777777">
      <w:pPr>
        <w:pStyle w:val="Paragraphedeliste"/>
        <w:numPr>
          <w:ilvl w:val="0"/>
          <w:numId w:val="166"/>
        </w:numPr>
        <w:rPr>
          <w:rFonts w:asciiTheme="minorHAnsi" w:hAnsiTheme="minorHAnsi"/>
          <w:color w:val="auto"/>
        </w:rPr>
      </w:pPr>
      <w:r>
        <w:rPr>
          <w:rFonts w:asciiTheme="minorHAnsi" w:hAnsiTheme="minorHAnsi"/>
          <w:color w:val="auto"/>
        </w:rPr>
        <w:t xml:space="preserve">Usine à plateforme </w:t>
      </w:r>
      <w:proofErr w:type="spellStart"/>
      <w:r>
        <w:rPr>
          <w:rFonts w:asciiTheme="minorHAnsi" w:hAnsiTheme="minorHAnsi"/>
          <w:color w:val="auto"/>
        </w:rPr>
        <w:t>kubernetes</w:t>
      </w:r>
      <w:proofErr w:type="spellEnd"/>
      <w:r>
        <w:rPr>
          <w:rFonts w:asciiTheme="minorHAnsi" w:hAnsiTheme="minorHAnsi"/>
          <w:color w:val="auto"/>
        </w:rPr>
        <w:t xml:space="preserve"> de production</w:t>
      </w:r>
    </w:p>
    <w:p w:rsidR="006E6D7A" w:rsidRDefault="00B16C64" w14:paraId="671578DD" w14:textId="77777777">
      <w:pPr>
        <w:pStyle w:val="Paragraphedeliste"/>
        <w:numPr>
          <w:ilvl w:val="0"/>
          <w:numId w:val="189"/>
        </w:numPr>
        <w:rPr>
          <w:rFonts w:asciiTheme="minorHAnsi" w:hAnsiTheme="minorHAnsi"/>
          <w:color w:val="auto"/>
        </w:rPr>
      </w:pPr>
      <w:r>
        <w:rPr>
          <w:rFonts w:asciiTheme="minorHAnsi" w:hAnsiTheme="minorHAnsi"/>
          <w:color w:val="auto"/>
        </w:rPr>
        <w:t xml:space="preserve">Usine à plateforme </w:t>
      </w:r>
      <w:proofErr w:type="spellStart"/>
      <w:r>
        <w:rPr>
          <w:rFonts w:asciiTheme="minorHAnsi" w:hAnsiTheme="minorHAnsi"/>
          <w:color w:val="auto"/>
        </w:rPr>
        <w:t>kubernetes</w:t>
      </w:r>
      <w:proofErr w:type="spellEnd"/>
      <w:r>
        <w:rPr>
          <w:rFonts w:asciiTheme="minorHAnsi" w:hAnsiTheme="minorHAnsi"/>
          <w:color w:val="auto"/>
        </w:rPr>
        <w:t xml:space="preserve"> de préproduction</w:t>
      </w:r>
    </w:p>
    <w:p w:rsidR="006E6D7A" w:rsidRDefault="00B16C64" w14:paraId="671578DE" w14:textId="77777777">
      <w:pPr>
        <w:pStyle w:val="Paragraphedeliste"/>
        <w:numPr>
          <w:ilvl w:val="0"/>
          <w:numId w:val="190"/>
        </w:numPr>
        <w:rPr>
          <w:rFonts w:asciiTheme="minorHAnsi" w:hAnsiTheme="minorHAnsi"/>
          <w:color w:val="auto"/>
        </w:rPr>
      </w:pPr>
      <w:r>
        <w:rPr>
          <w:rFonts w:asciiTheme="minorHAnsi" w:hAnsiTheme="minorHAnsi"/>
          <w:color w:val="auto"/>
        </w:rPr>
        <w:t xml:space="preserve">Usine à plateforme </w:t>
      </w:r>
      <w:proofErr w:type="spellStart"/>
      <w:r>
        <w:rPr>
          <w:rFonts w:asciiTheme="minorHAnsi" w:hAnsiTheme="minorHAnsi"/>
          <w:color w:val="auto"/>
        </w:rPr>
        <w:t>kubernetes</w:t>
      </w:r>
      <w:proofErr w:type="spellEnd"/>
      <w:r>
        <w:rPr>
          <w:rFonts w:asciiTheme="minorHAnsi" w:hAnsiTheme="minorHAnsi"/>
          <w:color w:val="auto"/>
        </w:rPr>
        <w:t xml:space="preserve"> de développement</w:t>
      </w:r>
    </w:p>
    <w:p w:rsidR="006E6D7A" w:rsidRDefault="00B16C64" w14:paraId="671578DF" w14:textId="77777777">
      <w:pPr>
        <w:pStyle w:val="Paragraphedeliste"/>
        <w:numPr>
          <w:ilvl w:val="0"/>
          <w:numId w:val="166"/>
        </w:numPr>
        <w:rPr>
          <w:rFonts w:asciiTheme="minorHAnsi" w:hAnsiTheme="minorHAnsi"/>
          <w:color w:val="auto"/>
        </w:rPr>
      </w:pPr>
      <w:r>
        <w:rPr>
          <w:rFonts w:asciiTheme="minorHAnsi" w:hAnsiTheme="minorHAnsi"/>
          <w:color w:val="auto"/>
        </w:rPr>
        <w:t>Documentations</w:t>
      </w:r>
    </w:p>
    <w:p w:rsidR="006E6D7A" w:rsidRDefault="00B16C64" w14:paraId="671578E0" w14:textId="77777777">
      <w:pPr>
        <w:pStyle w:val="Paragraphedeliste"/>
        <w:numPr>
          <w:ilvl w:val="0"/>
          <w:numId w:val="166"/>
        </w:numPr>
        <w:rPr>
          <w:rFonts w:asciiTheme="minorHAnsi" w:hAnsiTheme="minorHAnsi"/>
          <w:color w:val="auto"/>
        </w:rPr>
      </w:pPr>
      <w:r>
        <w:rPr>
          <w:rFonts w:asciiTheme="minorHAnsi" w:hAnsiTheme="minorHAnsi"/>
          <w:color w:val="auto"/>
        </w:rPr>
        <w:t>Formation des équipes INRAE</w:t>
      </w:r>
    </w:p>
    <w:p w:rsidR="006E6D7A" w:rsidRDefault="006E6D7A" w14:paraId="671578E1" w14:textId="77777777">
      <w:pPr>
        <w:rPr>
          <w:color w:val="FF0000"/>
        </w:rPr>
      </w:pPr>
    </w:p>
    <w:p w:rsidR="006E6D7A" w:rsidRDefault="006E6D7A" w14:paraId="671578E2" w14:textId="77777777">
      <w:pPr>
        <w:rPr>
          <w:rFonts w:eastAsia="DejaVu Sans"/>
        </w:rPr>
      </w:pPr>
    </w:p>
    <w:p w:rsidR="006E6D7A" w:rsidRDefault="00B16C64" w14:paraId="671578E3" w14:textId="77777777">
      <w:pPr>
        <w:pStyle w:val="Titre4"/>
        <w:numPr>
          <w:ilvl w:val="4"/>
          <w:numId w:val="3"/>
        </w:numPr>
        <w:tabs>
          <w:tab w:val="clear" w:pos="1134"/>
        </w:tabs>
      </w:pPr>
      <w:r>
        <w:t>Pilotage et Suivi d’exploitation</w:t>
      </w:r>
    </w:p>
    <w:p w:rsidR="006E6D7A" w:rsidRDefault="006E6D7A" w14:paraId="671578E4" w14:textId="77777777"/>
    <w:p w:rsidR="006E6D7A" w:rsidRDefault="00B16C64" w14:paraId="671578E5" w14:textId="77777777">
      <w:pPr>
        <w:pBdr>
          <w:top w:val="none" w:color="000000" w:sz="4" w:space="0"/>
          <w:left w:val="none" w:color="000000" w:sz="4" w:space="0"/>
          <w:bottom w:val="none" w:color="000000" w:sz="4" w:space="0"/>
          <w:right w:val="none" w:color="000000" w:sz="4" w:space="0"/>
        </w:pBdr>
      </w:pPr>
      <w:r>
        <w:rPr>
          <w:lang w:val="fr"/>
        </w:rPr>
        <w:t xml:space="preserve">Mettre en </w:t>
      </w:r>
      <w:proofErr w:type="spellStart"/>
      <w:r>
        <w:rPr>
          <w:lang w:val="fr"/>
        </w:rPr>
        <w:t>oeuvre</w:t>
      </w:r>
      <w:proofErr w:type="spellEnd"/>
      <w:r>
        <w:rPr>
          <w:lang w:val="fr"/>
        </w:rPr>
        <w:t xml:space="preserve"> les moyens nécessaires pour assurer le pilotage de </w:t>
      </w:r>
      <w:proofErr w:type="gramStart"/>
      <w:r>
        <w:rPr>
          <w:lang w:val="fr"/>
        </w:rPr>
        <w:t xml:space="preserve">l’usine </w:t>
      </w:r>
      <w:r>
        <w:t xml:space="preserve"> à</w:t>
      </w:r>
      <w:proofErr w:type="gramEnd"/>
      <w:r>
        <w:t xml:space="preserve"> plateforme </w:t>
      </w:r>
      <w:proofErr w:type="spellStart"/>
      <w:r>
        <w:t>kubernetes</w:t>
      </w:r>
      <w:proofErr w:type="spellEnd"/>
      <w:r>
        <w:rPr>
          <w:lang w:val="fr"/>
        </w:rPr>
        <w:t xml:space="preserve"> et des PAAS produites. Le pilotage s’effectuera par un ensemble de réunions entre le titulaire et INRAE, au cours desquelles les capacités et qualités des services seront suivis au moyen d’indicateurs.</w:t>
      </w:r>
    </w:p>
    <w:p w:rsidR="006E6D7A" w:rsidRDefault="00B16C64" w14:paraId="671578E6" w14:textId="77777777">
      <w:pPr>
        <w:pBdr>
          <w:top w:val="none" w:color="000000" w:sz="4" w:space="0"/>
          <w:left w:val="none" w:color="000000" w:sz="4" w:space="0"/>
          <w:bottom w:val="none" w:color="000000" w:sz="4" w:space="0"/>
          <w:right w:val="none" w:color="000000" w:sz="4" w:space="0"/>
        </w:pBdr>
      </w:pPr>
      <w:r>
        <w:t xml:space="preserve">La comitologie spécifique attendue pour ce lot est la </w:t>
      </w:r>
      <w:proofErr w:type="gramStart"/>
      <w:r>
        <w:t>suivante:</w:t>
      </w:r>
      <w:proofErr w:type="gramEnd"/>
    </w:p>
    <w:p w:rsidR="006E6D7A" w:rsidRDefault="00B16C64" w14:paraId="671578E7" w14:textId="77777777">
      <w:pPr>
        <w:pStyle w:val="Paragraphedeliste"/>
        <w:numPr>
          <w:ilvl w:val="0"/>
          <w:numId w:val="168"/>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lang w:val="fr"/>
        </w:rPr>
        <w:t xml:space="preserve">Comité opérationnel (mensuel en visioconférence) : Coordination des opérations techniques. ​ Suivi des incidents et problèmes, suivi du </w:t>
      </w:r>
      <w:proofErr w:type="spellStart"/>
      <w:r>
        <w:rPr>
          <w:rFonts w:asciiTheme="minorHAnsi" w:hAnsiTheme="minorHAnsi"/>
          <w:color w:val="auto"/>
          <w:lang w:val="fr"/>
        </w:rPr>
        <w:t>Backlog</w:t>
      </w:r>
      <w:proofErr w:type="spellEnd"/>
      <w:r>
        <w:rPr>
          <w:rFonts w:asciiTheme="minorHAnsi" w:hAnsiTheme="minorHAnsi"/>
          <w:color w:val="auto"/>
          <w:lang w:val="fr"/>
        </w:rPr>
        <w:t>. ​Planification des changements ou événements à venir​</w:t>
      </w:r>
    </w:p>
    <w:p w:rsidR="006E6D7A" w:rsidRDefault="00B16C64" w14:paraId="671578E8" w14:textId="77777777">
      <w:pPr>
        <w:pStyle w:val="Paragraphedeliste"/>
        <w:numPr>
          <w:ilvl w:val="0"/>
          <w:numId w:val="168"/>
        </w:numPr>
        <w:pBdr>
          <w:top w:val="none" w:color="000000" w:sz="4" w:space="0"/>
          <w:left w:val="none" w:color="000000" w:sz="4" w:space="0"/>
          <w:bottom w:val="none" w:color="000000" w:sz="4" w:space="0"/>
          <w:right w:val="none" w:color="000000" w:sz="4" w:space="0"/>
        </w:pBdr>
        <w:rPr>
          <w:rFonts w:asciiTheme="minorHAnsi" w:hAnsiTheme="minorHAnsi"/>
          <w:color w:val="auto"/>
          <w:lang w:val="fr"/>
        </w:rPr>
      </w:pPr>
      <w:r>
        <w:rPr>
          <w:rFonts w:asciiTheme="minorHAnsi" w:hAnsiTheme="minorHAnsi"/>
          <w:color w:val="auto"/>
          <w:lang w:val="fr"/>
        </w:rPr>
        <w:t xml:space="preserve">Comité de pilotage (trimestriel en visioconférence) : Pilotage de la production des services, suivi des niveaux de services et indicateurs, ​gestion des capacités et des évolutions​. </w:t>
      </w:r>
    </w:p>
    <w:p w:rsidR="006E6D7A" w:rsidRDefault="00B16C64" w14:paraId="671578E9" w14:textId="77777777">
      <w:pPr>
        <w:pStyle w:val="Paragraphedeliste"/>
        <w:numPr>
          <w:ilvl w:val="0"/>
          <w:numId w:val="168"/>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lang w:val="fr"/>
        </w:rPr>
        <w:t xml:space="preserve">Le pilotage économique du lot ainsi que les indicateurs de suivis de disponibilité, de performance et d’optimisation seront remontés en comité contractuel du marché​. </w:t>
      </w:r>
      <w:r>
        <w:t xml:space="preserve">Le titulaire a en charge </w:t>
      </w:r>
      <w:r>
        <w:rPr>
          <w:rFonts w:asciiTheme="minorHAnsi" w:hAnsiTheme="minorHAnsi"/>
          <w:color w:val="auto"/>
        </w:rPr>
        <w:t>la composition et la planification des réunions des différents comités.</w:t>
      </w:r>
    </w:p>
    <w:p w:rsidR="006E6D7A" w:rsidRDefault="00B16C64" w14:paraId="671578EA" w14:textId="77777777">
      <w:pPr>
        <w:pStyle w:val="Paragraphedeliste"/>
        <w:numPr>
          <w:ilvl w:val="0"/>
          <w:numId w:val="167"/>
        </w:numPr>
        <w:pBdr>
          <w:top w:val="none" w:color="000000" w:sz="4" w:space="0"/>
          <w:left w:val="none" w:color="000000" w:sz="4" w:space="0"/>
          <w:bottom w:val="none" w:color="000000" w:sz="4" w:space="0"/>
          <w:right w:val="none" w:color="000000" w:sz="4" w:space="0"/>
        </w:pBdr>
        <w:rPr>
          <w:rFonts w:asciiTheme="minorHAnsi" w:hAnsiTheme="minorHAnsi"/>
          <w:color w:val="auto"/>
        </w:rPr>
      </w:pPr>
      <w:proofErr w:type="gramStart"/>
      <w:r>
        <w:rPr>
          <w:rFonts w:asciiTheme="minorHAnsi" w:hAnsiTheme="minorHAnsi"/>
          <w:color w:val="auto"/>
        </w:rPr>
        <w:t>la</w:t>
      </w:r>
      <w:proofErr w:type="gramEnd"/>
      <w:r>
        <w:rPr>
          <w:rFonts w:asciiTheme="minorHAnsi" w:hAnsiTheme="minorHAnsi"/>
          <w:color w:val="auto"/>
        </w:rPr>
        <w:t xml:space="preserve"> production et la mise en forme des indicateurs et tableaux de bord nécessaires seront livrés 48h avant la tenue des comités planifiés.</w:t>
      </w:r>
    </w:p>
    <w:p w:rsidR="006E6D7A" w:rsidRDefault="00B16C64" w14:paraId="671578EB" w14:textId="77777777">
      <w:pPr>
        <w:pStyle w:val="Paragraphedeliste"/>
        <w:numPr>
          <w:ilvl w:val="0"/>
          <w:numId w:val="167"/>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rPr>
        <w:t xml:space="preserve">Planification des mises en </w:t>
      </w:r>
      <w:proofErr w:type="gramStart"/>
      <w:r>
        <w:rPr>
          <w:rFonts w:asciiTheme="minorHAnsi" w:hAnsiTheme="minorHAnsi"/>
          <w:color w:val="auto"/>
        </w:rPr>
        <w:t>préproduction  des</w:t>
      </w:r>
      <w:proofErr w:type="gramEnd"/>
      <w:r>
        <w:rPr>
          <w:rFonts w:asciiTheme="minorHAnsi" w:hAnsiTheme="minorHAnsi"/>
          <w:color w:val="auto"/>
        </w:rPr>
        <w:t xml:space="preserve"> évolutions et correctifs de l’usine sur l’environnement de préproduction (MEPP)</w:t>
      </w:r>
    </w:p>
    <w:p w:rsidR="006E6D7A" w:rsidRDefault="00B16C64" w14:paraId="671578EC" w14:textId="77777777">
      <w:pPr>
        <w:pStyle w:val="Paragraphedeliste"/>
        <w:numPr>
          <w:ilvl w:val="0"/>
          <w:numId w:val="167"/>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rPr>
        <w:t>Planification des mises en production des évolutions et correctifs de l’usine sur l’environnement de production après validation recette. (MEP)</w:t>
      </w:r>
    </w:p>
    <w:p w:rsidR="006E6D7A" w:rsidRDefault="00B16C64" w14:paraId="671578ED" w14:textId="77777777">
      <w:r>
        <w:rPr>
          <w:lang w:val="fr"/>
        </w:rPr>
        <w:t xml:space="preserve">Livrables : </w:t>
      </w:r>
    </w:p>
    <w:p w:rsidR="006E6D7A" w:rsidRDefault="00B16C64" w14:paraId="671578EE" w14:textId="77777777">
      <w:pPr>
        <w:pStyle w:val="Paragraphedeliste"/>
        <w:numPr>
          <w:ilvl w:val="0"/>
          <w:numId w:val="169"/>
        </w:numPr>
        <w:rPr>
          <w:rFonts w:asciiTheme="minorHAnsi" w:hAnsiTheme="minorHAnsi"/>
          <w:color w:val="auto"/>
        </w:rPr>
      </w:pPr>
      <w:r>
        <w:rPr>
          <w:rFonts w:asciiTheme="minorHAnsi" w:hAnsiTheme="minorHAnsi"/>
          <w:color w:val="auto"/>
          <w:lang w:val="fr"/>
        </w:rPr>
        <w:t>Planning des réunions</w:t>
      </w:r>
    </w:p>
    <w:p w:rsidR="006E6D7A" w:rsidRDefault="00B16C64" w14:paraId="671578EF" w14:textId="77777777">
      <w:pPr>
        <w:pStyle w:val="Paragraphedeliste"/>
        <w:numPr>
          <w:ilvl w:val="0"/>
          <w:numId w:val="169"/>
        </w:numPr>
        <w:rPr>
          <w:rFonts w:asciiTheme="minorHAnsi" w:hAnsiTheme="minorHAnsi"/>
          <w:color w:val="auto"/>
        </w:rPr>
      </w:pPr>
      <w:r>
        <w:rPr>
          <w:rFonts w:asciiTheme="minorHAnsi" w:hAnsiTheme="minorHAnsi"/>
          <w:color w:val="auto"/>
          <w:lang w:val="fr"/>
        </w:rPr>
        <w:t>Compte-rendu des réunions</w:t>
      </w:r>
    </w:p>
    <w:p w:rsidR="006E6D7A" w:rsidRDefault="00B16C64" w14:paraId="671578F0" w14:textId="77777777">
      <w:pPr>
        <w:pStyle w:val="Paragraphedeliste"/>
        <w:numPr>
          <w:ilvl w:val="0"/>
          <w:numId w:val="169"/>
        </w:numPr>
        <w:rPr>
          <w:rFonts w:asciiTheme="minorHAnsi" w:hAnsiTheme="minorHAnsi"/>
          <w:color w:val="auto"/>
        </w:rPr>
      </w:pPr>
      <w:r>
        <w:rPr>
          <w:rFonts w:asciiTheme="minorHAnsi" w:hAnsiTheme="minorHAnsi"/>
          <w:color w:val="auto"/>
          <w:lang w:val="fr"/>
        </w:rPr>
        <w:t>Suivi des consommations et des commandes</w:t>
      </w:r>
    </w:p>
    <w:p w:rsidR="006E6D7A" w:rsidRDefault="00B16C64" w14:paraId="671578F1" w14:textId="77777777">
      <w:pPr>
        <w:pStyle w:val="Paragraphedeliste"/>
        <w:numPr>
          <w:ilvl w:val="0"/>
          <w:numId w:val="169"/>
        </w:numPr>
        <w:rPr>
          <w:rFonts w:asciiTheme="minorHAnsi" w:hAnsiTheme="minorHAnsi"/>
        </w:rPr>
      </w:pPr>
      <w:r>
        <w:rPr>
          <w:rFonts w:asciiTheme="minorHAnsi" w:hAnsiTheme="minorHAnsi"/>
          <w:lang w:val="fr"/>
        </w:rPr>
        <w:t>Indicateurs de consommation de ressources par plateforme</w:t>
      </w:r>
    </w:p>
    <w:p w:rsidR="006E6D7A" w:rsidRDefault="00B16C64" w14:paraId="671578F2" w14:textId="77777777">
      <w:pPr>
        <w:pStyle w:val="Paragraphedeliste"/>
        <w:numPr>
          <w:ilvl w:val="0"/>
          <w:numId w:val="169"/>
        </w:numPr>
        <w:rPr>
          <w:rFonts w:asciiTheme="minorHAnsi" w:hAnsiTheme="minorHAnsi"/>
        </w:rPr>
      </w:pPr>
      <w:r>
        <w:rPr>
          <w:rFonts w:asciiTheme="minorHAnsi" w:hAnsiTheme="minorHAnsi"/>
          <w:lang w:val="fr"/>
        </w:rPr>
        <w:t xml:space="preserve">Indicateurs d’optimisation </w:t>
      </w:r>
      <w:proofErr w:type="spellStart"/>
      <w:r>
        <w:rPr>
          <w:rFonts w:asciiTheme="minorHAnsi" w:hAnsiTheme="minorHAnsi"/>
          <w:lang w:val="fr"/>
        </w:rPr>
        <w:t>financieres</w:t>
      </w:r>
      <w:proofErr w:type="spellEnd"/>
      <w:r>
        <w:rPr>
          <w:rFonts w:asciiTheme="minorHAnsi" w:hAnsiTheme="minorHAnsi"/>
          <w:lang w:val="fr"/>
        </w:rPr>
        <w:t xml:space="preserve"> </w:t>
      </w:r>
      <w:proofErr w:type="gramStart"/>
      <w:r>
        <w:rPr>
          <w:rFonts w:asciiTheme="minorHAnsi" w:hAnsiTheme="minorHAnsi"/>
          <w:lang w:val="fr"/>
        </w:rPr>
        <w:t xml:space="preserve">( </w:t>
      </w:r>
      <w:proofErr w:type="spellStart"/>
      <w:r>
        <w:rPr>
          <w:rFonts w:asciiTheme="minorHAnsi" w:hAnsiTheme="minorHAnsi"/>
          <w:lang w:val="fr"/>
        </w:rPr>
        <w:t>Finops</w:t>
      </w:r>
      <w:proofErr w:type="spellEnd"/>
      <w:proofErr w:type="gramEnd"/>
      <w:r>
        <w:rPr>
          <w:rFonts w:asciiTheme="minorHAnsi" w:hAnsiTheme="minorHAnsi"/>
          <w:lang w:val="fr"/>
        </w:rPr>
        <w:t>)</w:t>
      </w:r>
    </w:p>
    <w:p w:rsidR="006E6D7A" w:rsidRDefault="00B16C64" w14:paraId="671578F3" w14:textId="77777777">
      <w:pPr>
        <w:pStyle w:val="Paragraphedeliste"/>
        <w:numPr>
          <w:ilvl w:val="0"/>
          <w:numId w:val="169"/>
        </w:numPr>
        <w:rPr>
          <w:rFonts w:asciiTheme="minorHAnsi" w:hAnsiTheme="minorHAnsi"/>
          <w:lang w:val="fr"/>
        </w:rPr>
      </w:pPr>
      <w:proofErr w:type="spellStart"/>
      <w:r>
        <w:rPr>
          <w:rFonts w:asciiTheme="minorHAnsi" w:hAnsiTheme="minorHAnsi"/>
          <w:lang w:val="fr"/>
        </w:rPr>
        <w:t>Tableux</w:t>
      </w:r>
      <w:proofErr w:type="spellEnd"/>
      <w:r>
        <w:rPr>
          <w:rFonts w:asciiTheme="minorHAnsi" w:hAnsiTheme="minorHAnsi"/>
          <w:lang w:val="fr"/>
        </w:rPr>
        <w:t xml:space="preserve"> de bords de disponibilité et de performance de la plateforme </w:t>
      </w:r>
      <w:proofErr w:type="spellStart"/>
      <w:r>
        <w:rPr>
          <w:rFonts w:asciiTheme="minorHAnsi" w:hAnsiTheme="minorHAnsi"/>
          <w:lang w:val="fr"/>
        </w:rPr>
        <w:t>kubernetes</w:t>
      </w:r>
      <w:proofErr w:type="spellEnd"/>
      <w:r>
        <w:rPr>
          <w:rFonts w:asciiTheme="minorHAnsi" w:hAnsiTheme="minorHAnsi"/>
          <w:lang w:val="fr"/>
        </w:rPr>
        <w:t xml:space="preserve"> et des services déployés.</w:t>
      </w:r>
    </w:p>
    <w:p w:rsidR="006E6D7A" w:rsidRDefault="00B16C64" w14:paraId="671578F4" w14:textId="77777777">
      <w:pPr>
        <w:pStyle w:val="Paragraphedeliste"/>
        <w:numPr>
          <w:ilvl w:val="0"/>
          <w:numId w:val="169"/>
        </w:numPr>
        <w:rPr>
          <w:rFonts w:asciiTheme="minorHAnsi" w:hAnsiTheme="minorHAnsi"/>
        </w:rPr>
      </w:pPr>
      <w:r>
        <w:rPr>
          <w:rFonts w:asciiTheme="minorHAnsi" w:hAnsiTheme="minorHAnsi"/>
          <w:lang w:val="fr"/>
        </w:rPr>
        <w:t xml:space="preserve"> Tableau des incidents en cours, incluant un descriptif de l’incident, sa sévérité, la chronologie de prise en charge, et l’état de résolution </w:t>
      </w:r>
    </w:p>
    <w:p w:rsidR="006E6D7A" w:rsidRDefault="00B16C64" w14:paraId="671578F5" w14:textId="77777777">
      <w:pPr>
        <w:pStyle w:val="Paragraphedeliste"/>
        <w:numPr>
          <w:ilvl w:val="0"/>
          <w:numId w:val="169"/>
        </w:numPr>
        <w:rPr>
          <w:rFonts w:asciiTheme="minorHAnsi" w:hAnsiTheme="minorHAnsi"/>
        </w:rPr>
      </w:pPr>
      <w:r>
        <w:rPr>
          <w:rFonts w:asciiTheme="minorHAnsi" w:hAnsiTheme="minorHAnsi"/>
          <w:lang w:val="fr"/>
        </w:rPr>
        <w:t xml:space="preserve">Tableaux récapitulatifs des incidents passés : </w:t>
      </w:r>
      <w:r>
        <w:rPr>
          <w:rFonts w:eastAsia="DejaVu Sans"/>
        </w:rPr>
        <w:t>Nombre d’incidents, sévérité, délais de prise en charge, délais de résolution</w:t>
      </w:r>
      <w:r>
        <w:rPr>
          <w:rFonts w:asciiTheme="minorHAnsi" w:hAnsiTheme="minorHAnsi"/>
          <w:lang w:val="fr"/>
        </w:rPr>
        <w:t>, respect des SLA.</w:t>
      </w:r>
    </w:p>
    <w:p w:rsidR="006E6D7A" w:rsidRDefault="00B16C64" w14:paraId="671578F6" w14:textId="77777777">
      <w:pPr>
        <w:pStyle w:val="Paragraphedeliste"/>
        <w:numPr>
          <w:ilvl w:val="0"/>
          <w:numId w:val="188"/>
        </w:numPr>
        <w:pBdr>
          <w:top w:val="none" w:color="000000" w:sz="4" w:space="0"/>
          <w:left w:val="none" w:color="000000" w:sz="4" w:space="0"/>
          <w:bottom w:val="none" w:color="000000" w:sz="4" w:space="0"/>
          <w:right w:val="none" w:color="000000" w:sz="4" w:space="0"/>
        </w:pBdr>
        <w:rPr>
          <w:rFonts w:asciiTheme="minorHAnsi" w:hAnsiTheme="minorHAnsi"/>
          <w:color w:val="auto"/>
        </w:rPr>
      </w:pPr>
      <w:r>
        <w:rPr>
          <w:rFonts w:asciiTheme="minorHAnsi" w:hAnsiTheme="minorHAnsi"/>
          <w:color w:val="auto"/>
        </w:rPr>
        <w:t>La proposition et la mise en œuvre des actions correctives, d’optimisation, et d’amélioration continue</w:t>
      </w:r>
    </w:p>
    <w:p w:rsidR="006E6D7A" w:rsidRDefault="00B16C64" w14:paraId="671578F7" w14:textId="77777777">
      <w:pPr>
        <w:pStyle w:val="Paragraphedeliste"/>
        <w:numPr>
          <w:ilvl w:val="0"/>
          <w:numId w:val="188"/>
        </w:numPr>
        <w:pBdr>
          <w:top w:val="none" w:color="000000" w:sz="4" w:space="0"/>
          <w:left w:val="none" w:color="000000" w:sz="4" w:space="0"/>
          <w:bottom w:val="none" w:color="000000" w:sz="4" w:space="0"/>
          <w:right w:val="none" w:color="000000" w:sz="4" w:space="0"/>
        </w:pBdr>
        <w:rPr>
          <w:rFonts w:asciiTheme="minorHAnsi" w:hAnsiTheme="minorHAnsi"/>
          <w:color w:val="auto"/>
        </w:rPr>
      </w:pPr>
      <w:r>
        <w:t>Planification des MEPP et des MEP.</w:t>
      </w:r>
    </w:p>
    <w:p w:rsidR="006E6D7A" w:rsidRDefault="006E6D7A" w14:paraId="671578F8" w14:textId="77777777">
      <w:pPr>
        <w:rPr>
          <w:color w:val="FF0000"/>
        </w:rPr>
      </w:pPr>
    </w:p>
    <w:p w:rsidR="006E6D7A" w:rsidRDefault="006E6D7A" w14:paraId="671578F9" w14:textId="77777777">
      <w:pPr>
        <w:rPr>
          <w:rFonts w:eastAsia="DejaVu Sans"/>
        </w:rPr>
      </w:pPr>
    </w:p>
    <w:p w:rsidR="006E6D7A" w:rsidRDefault="006E6D7A" w14:paraId="671578FA" w14:textId="77777777">
      <w:pPr>
        <w:rPr>
          <w:rFonts w:eastAsia="DejaVu Sans"/>
        </w:rPr>
      </w:pPr>
    </w:p>
    <w:p w:rsidR="006E6D7A" w:rsidRDefault="00B16C64" w14:paraId="671578FB" w14:textId="77777777">
      <w:pPr>
        <w:pStyle w:val="Titre4"/>
        <w:numPr>
          <w:ilvl w:val="4"/>
          <w:numId w:val="3"/>
        </w:numPr>
        <w:tabs>
          <w:tab w:val="clear" w:pos="1134"/>
        </w:tabs>
      </w:pPr>
      <w:r>
        <w:t xml:space="preserve">Unités d’œuvre (UO) détaillées </w:t>
      </w:r>
    </w:p>
    <w:p w:rsidR="006E6D7A" w:rsidRDefault="00B16C64" w14:paraId="671578FC" w14:textId="77777777">
      <w:pPr>
        <w:pStyle w:val="Titre4"/>
        <w:numPr>
          <w:ilvl w:val="4"/>
          <w:numId w:val="3"/>
        </w:numPr>
        <w:tabs>
          <w:tab w:val="clear" w:pos="1134"/>
        </w:tabs>
      </w:pPr>
      <w:r>
        <w:t xml:space="preserve">Usine à plateformes </w:t>
      </w:r>
      <w:proofErr w:type="spellStart"/>
      <w:r>
        <w:t>Kubernetes</w:t>
      </w:r>
      <w:proofErr w:type="spellEnd"/>
      <w:r>
        <w:t xml:space="preserve"> et son catalogue de services</w:t>
      </w:r>
    </w:p>
    <w:tbl>
      <w:tblPr>
        <w:tblStyle w:val="TableauGrille4-Accentuation51"/>
        <w:tblW w:w="9675" w:type="dxa"/>
        <w:tblLayout w:type="fixed"/>
        <w:tblLook w:val="04A0" w:firstRow="1" w:lastRow="0" w:firstColumn="1" w:lastColumn="0" w:noHBand="0" w:noVBand="1"/>
      </w:tblPr>
      <w:tblGrid>
        <w:gridCol w:w="709"/>
        <w:gridCol w:w="1701"/>
        <w:gridCol w:w="4251"/>
        <w:gridCol w:w="1985"/>
        <w:gridCol w:w="1029"/>
      </w:tblGrid>
      <w:tr w:rsidR="006E6D7A" w:rsidTr="006E6D7A" w14:paraId="67157902" w14:textId="77777777">
        <w:trPr>
          <w:cnfStyle w:val="100000000000" w:firstRow="1" w:lastRow="0" w:firstColumn="0" w:lastColumn="0" w:oddVBand="0" w:evenVBand="0" w:oddHBand="0" w:evenHBand="0"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709" w:type="dxa"/>
          </w:tcPr>
          <w:p w:rsidR="006E6D7A" w:rsidRDefault="00B16C64" w14:paraId="671578FD" w14:textId="77777777">
            <w:pPr>
              <w:spacing w:after="0"/>
              <w:jc w:val="center"/>
              <w:rPr>
                <w:rFonts w:ascii="Calibri" w:hAnsi="Calibri" w:cs="Calibri"/>
              </w:rPr>
            </w:pPr>
            <w:r>
              <w:rPr>
                <w:rFonts w:ascii="Calibri" w:hAnsi="Calibri" w:cs="Calibri"/>
              </w:rPr>
              <w:t>UO</w:t>
            </w:r>
          </w:p>
        </w:tc>
        <w:tc>
          <w:tcPr>
            <w:tcW w:w="1701" w:type="dxa"/>
          </w:tcPr>
          <w:p w:rsidR="006E6D7A" w:rsidRDefault="00B16C64" w14:paraId="671578FE"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Unité d’œuvre</w:t>
            </w:r>
          </w:p>
        </w:tc>
        <w:tc>
          <w:tcPr>
            <w:tcW w:w="4251" w:type="dxa"/>
          </w:tcPr>
          <w:p w:rsidR="006E6D7A" w:rsidRDefault="00B16C64" w14:paraId="671578FF"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Description</w:t>
            </w:r>
          </w:p>
        </w:tc>
        <w:tc>
          <w:tcPr>
            <w:tcW w:w="1985" w:type="dxa"/>
          </w:tcPr>
          <w:p w:rsidR="006E6D7A" w:rsidRDefault="00B16C64" w14:paraId="67157900"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Livrable</w:t>
            </w:r>
          </w:p>
        </w:tc>
        <w:tc>
          <w:tcPr>
            <w:tcW w:w="1029" w:type="dxa"/>
          </w:tcPr>
          <w:p w:rsidR="006E6D7A" w:rsidRDefault="00B16C64" w14:paraId="67157901" w14:textId="77777777">
            <w:pPr>
              <w:spacing w:after="0"/>
              <w:jc w:val="center"/>
              <w:cnfStyle w:val="100000000000" w:firstRow="1"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Facturation</w:t>
            </w:r>
          </w:p>
        </w:tc>
      </w:tr>
      <w:tr w:rsidR="006E6D7A" w:rsidTr="006E6D7A" w14:paraId="67157921" w14:textId="77777777">
        <w:trPr>
          <w:cnfStyle w:val="000000100000" w:firstRow="0" w:lastRow="0" w:firstColumn="0" w:lastColumn="0" w:oddVBand="0" w:evenVBand="0" w:oddHBand="1" w:evenHBand="0" w:firstRowFirstColumn="0" w:firstRowLastColumn="0" w:lastRowFirstColumn="0" w:lastRowLastColumn="0"/>
          <w:trHeight w:val="2588"/>
        </w:trPr>
        <w:tc>
          <w:tcPr>
            <w:cnfStyle w:val="001000000000" w:firstRow="0" w:lastRow="0" w:firstColumn="1" w:lastColumn="0" w:oddVBand="0" w:evenVBand="0" w:oddHBand="0" w:evenHBand="0" w:firstRowFirstColumn="0" w:firstRowLastColumn="0" w:lastRowFirstColumn="0" w:lastRowLastColumn="0"/>
            <w:tcW w:w="709" w:type="dxa"/>
          </w:tcPr>
          <w:p w:rsidR="006E6D7A" w:rsidRDefault="00B16C64" w14:paraId="67157903" w14:textId="77777777">
            <w:pPr>
              <w:spacing w:after="0"/>
              <w:jc w:val="left"/>
              <w:rPr>
                <w:rFonts w:ascii="Calibri" w:hAnsi="Calibri" w:cs="Calibri"/>
                <w:color w:val="000000"/>
              </w:rPr>
            </w:pPr>
            <w:r>
              <w:rPr>
                <w:rFonts w:ascii="Calibri" w:hAnsi="Calibri" w:cs="Calibri"/>
                <w:color w:val="000000"/>
              </w:rPr>
              <w:t>UO0</w:t>
            </w:r>
          </w:p>
        </w:tc>
        <w:tc>
          <w:tcPr>
            <w:tcW w:w="1701" w:type="dxa"/>
          </w:tcPr>
          <w:p w:rsidR="006E6D7A" w:rsidRDefault="00B16C64" w14:paraId="67157904"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eastAsia="DejaVu Sans"/>
              </w:rPr>
              <w:t xml:space="preserve">Conception et d’implémentation de l’offre usine à plateformes </w:t>
            </w:r>
            <w:proofErr w:type="spellStart"/>
            <w:r>
              <w:rPr>
                <w:rFonts w:eastAsia="DejaVu Sans"/>
              </w:rPr>
              <w:t>Kubernetes</w:t>
            </w:r>
            <w:proofErr w:type="spellEnd"/>
            <w:r>
              <w:rPr>
                <w:rFonts w:eastAsia="DejaVu Sans"/>
              </w:rPr>
              <w:t xml:space="preserve"> à la demande</w:t>
            </w:r>
          </w:p>
        </w:tc>
        <w:tc>
          <w:tcPr>
            <w:tcW w:w="4251" w:type="dxa"/>
          </w:tcPr>
          <w:p w:rsidR="006E6D7A" w:rsidRDefault="00B16C64" w14:paraId="67157905" w14:textId="77777777">
            <w:pPr>
              <w:spacing w:after="0"/>
              <w:jc w:val="left"/>
              <w:cnfStyle w:val="000000100000" w:firstRow="0" w:lastRow="0" w:firstColumn="0" w:lastColumn="0" w:oddVBand="0" w:evenVBand="0" w:oddHBand="1" w:evenHBand="0" w:firstRowFirstColumn="0" w:firstRowLastColumn="0" w:lastRowFirstColumn="0" w:lastRowLastColumn="0"/>
            </w:pPr>
            <w:r>
              <w:rPr>
                <w:rFonts w:ascii="Calibri" w:hAnsi="Calibri" w:cs="Calibri"/>
                <w:color w:val="000000"/>
              </w:rPr>
              <w:t>Constitution de l'équipe projet : introduction des membres, attribution des rôles et des responsabilités.</w:t>
            </w:r>
          </w:p>
          <w:p w:rsidR="006E6D7A" w:rsidRDefault="006E6D7A" w14:paraId="67157906"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B16C64" w14:paraId="67157907"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Examen du contexte et des besoins : confirmation des attentes, des contraintes et des enjeux.</w:t>
            </w:r>
          </w:p>
          <w:p w:rsidR="006E6D7A" w:rsidRDefault="006E6D7A" w14:paraId="67157908"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B16C64" w14:paraId="67157909"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Définition du périmètre : aspects techniques, fonctionnels et organisationnels.</w:t>
            </w:r>
          </w:p>
          <w:p w:rsidR="006E6D7A" w:rsidRDefault="006E6D7A" w14:paraId="6715790A"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B16C64" w14:paraId="6715790B"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Finalisation du planning : étapes clés, chronologie globale, points de validation</w:t>
            </w:r>
          </w:p>
          <w:p w:rsidR="006E6D7A" w:rsidRDefault="006E6D7A" w14:paraId="6715790C"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6E6D7A" w14:paraId="6715790D"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B16C64" w14:paraId="6715790E"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Définition du plan d’amélioration continue.</w:t>
            </w:r>
          </w:p>
          <w:p w:rsidR="006E6D7A" w:rsidRDefault="006E6D7A" w14:paraId="6715790F"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6E6D7A" w14:paraId="67157910"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B16C64" w14:paraId="67157911"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 xml:space="preserve">Ensemble des services et processus permettant la création de plateformes </w:t>
            </w:r>
            <w:proofErr w:type="spellStart"/>
            <w:proofErr w:type="gramStart"/>
            <w:r>
              <w:rPr>
                <w:rFonts w:ascii="Calibri" w:hAnsi="Calibri" w:cs="Calibri"/>
                <w:color w:val="000000"/>
              </w:rPr>
              <w:t>Kubernetes</w:t>
            </w:r>
            <w:proofErr w:type="spellEnd"/>
            <w:r>
              <w:rPr>
                <w:rFonts w:ascii="Calibri" w:hAnsi="Calibri" w:cs="Calibri"/>
                <w:color w:val="000000"/>
              </w:rPr>
              <w:t xml:space="preserve">  à</w:t>
            </w:r>
            <w:proofErr w:type="gramEnd"/>
            <w:r>
              <w:rPr>
                <w:rFonts w:ascii="Calibri" w:hAnsi="Calibri" w:cs="Calibri"/>
                <w:color w:val="000000"/>
              </w:rPr>
              <w:t xml:space="preserve"> la demande </w:t>
            </w:r>
          </w:p>
          <w:p w:rsidR="006E6D7A" w:rsidRDefault="006E6D7A" w14:paraId="67157912"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6E6D7A" w14:paraId="67157913"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985" w:type="dxa"/>
          </w:tcPr>
          <w:p w:rsidR="006E6D7A" w:rsidRDefault="00B16C64" w14:paraId="67157914"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lang w:val="fr"/>
              </w:rPr>
              <w:t>Plan projet (périmètre, objectifs, risques, indicateurs).</w:t>
            </w:r>
          </w:p>
          <w:p w:rsidR="006E6D7A" w:rsidRDefault="00B16C64" w14:paraId="67157915"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lang w:val="fr"/>
              </w:rPr>
              <w:t>RACI (Rôles et responsabilités).</w:t>
            </w:r>
          </w:p>
          <w:p w:rsidR="006E6D7A" w:rsidRDefault="006E6D7A" w14:paraId="67157916"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lang w:val="fr"/>
              </w:rPr>
            </w:pPr>
          </w:p>
          <w:p w:rsidR="006E6D7A" w:rsidRDefault="00B16C64" w14:paraId="67157917"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lang w:val="fr"/>
              </w:rPr>
            </w:pPr>
            <w:r>
              <w:rPr>
                <w:color w:val="000000" w:themeColor="text1"/>
                <w:lang w:val="fr"/>
              </w:rPr>
              <w:t>Planning &amp; jalons</w:t>
            </w:r>
          </w:p>
          <w:p w:rsidR="006E6D7A" w:rsidRDefault="006E6D7A" w14:paraId="67157918"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rPr>
            </w:pPr>
          </w:p>
          <w:p w:rsidR="006E6D7A" w:rsidRDefault="00B16C64" w14:paraId="67157919"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lang w:val="fr"/>
              </w:rPr>
              <w:t>Documentation d’utilisation et d’administration</w:t>
            </w:r>
          </w:p>
          <w:p w:rsidR="006E6D7A" w:rsidRDefault="00B16C64" w14:paraId="6715791A"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roofErr w:type="gramStart"/>
            <w:r>
              <w:rPr>
                <w:rFonts w:ascii="Calibri" w:hAnsi="Calibri" w:cs="Calibri"/>
                <w:color w:val="000000"/>
              </w:rPr>
              <w:t>usine</w:t>
            </w:r>
            <w:proofErr w:type="gramEnd"/>
            <w:r>
              <w:rPr>
                <w:rFonts w:ascii="Calibri" w:hAnsi="Calibri" w:cs="Calibri"/>
                <w:color w:val="000000"/>
              </w:rPr>
              <w:t xml:space="preserve"> à plateformes </w:t>
            </w:r>
            <w:proofErr w:type="spellStart"/>
            <w:r>
              <w:rPr>
                <w:rFonts w:ascii="Calibri" w:hAnsi="Calibri" w:cs="Calibri"/>
                <w:color w:val="000000"/>
              </w:rPr>
              <w:t>Kubernetes</w:t>
            </w:r>
            <w:proofErr w:type="spellEnd"/>
            <w:r>
              <w:rPr>
                <w:rFonts w:ascii="Calibri" w:hAnsi="Calibri" w:cs="Calibri"/>
                <w:color w:val="000000"/>
              </w:rPr>
              <w:t xml:space="preserve"> </w:t>
            </w:r>
            <w:r>
              <w:t>et son catalogue de services</w:t>
            </w:r>
          </w:p>
          <w:p w:rsidR="006E6D7A" w:rsidRDefault="006E6D7A" w14:paraId="6715791B"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B16C64" w14:paraId="6715791C"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roofErr w:type="gramStart"/>
            <w:r>
              <w:rPr>
                <w:rFonts w:ascii="Calibri" w:hAnsi="Calibri" w:cs="Calibri"/>
                <w:color w:val="000000"/>
              </w:rPr>
              <w:t>formation</w:t>
            </w:r>
            <w:proofErr w:type="gramEnd"/>
            <w:r>
              <w:rPr>
                <w:rFonts w:ascii="Calibri" w:hAnsi="Calibri" w:cs="Calibri"/>
                <w:color w:val="000000"/>
              </w:rPr>
              <w:t xml:space="preserve"> équipe INRAE</w:t>
            </w:r>
          </w:p>
          <w:p w:rsidR="006E6D7A" w:rsidRDefault="006E6D7A" w14:paraId="6715791D"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6E6D7A" w14:paraId="6715791E"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6E6D7A" w14:paraId="6715791F"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c>
          <w:tcPr>
            <w:tcW w:w="1029" w:type="dxa"/>
          </w:tcPr>
          <w:p w:rsidR="006E6D7A" w:rsidRDefault="00B16C64" w14:paraId="67157920"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Forfait initial</w:t>
            </w:r>
          </w:p>
        </w:tc>
      </w:tr>
      <w:tr w:rsidR="006E6D7A" w:rsidTr="006E6D7A" w14:paraId="67157930" w14:textId="77777777">
        <w:trPr>
          <w:trHeight w:val="2588"/>
        </w:trPr>
        <w:tc>
          <w:tcPr>
            <w:cnfStyle w:val="001000000000" w:firstRow="0" w:lastRow="0" w:firstColumn="1" w:lastColumn="0" w:oddVBand="0" w:evenVBand="0" w:oddHBand="0" w:evenHBand="0" w:firstRowFirstColumn="0" w:firstRowLastColumn="0" w:lastRowFirstColumn="0" w:lastRowLastColumn="0"/>
            <w:tcW w:w="709" w:type="dxa"/>
            <w:vMerge w:val="restart"/>
          </w:tcPr>
          <w:p w:rsidR="006E6D7A" w:rsidRDefault="00B16C64" w14:paraId="67157922" w14:textId="77777777">
            <w:pPr>
              <w:spacing w:after="0"/>
              <w:jc w:val="left"/>
              <w:rPr>
                <w:rFonts w:ascii="Calibri" w:hAnsi="Calibri" w:cs="Calibri"/>
                <w:color w:val="000000"/>
              </w:rPr>
            </w:pPr>
            <w:r>
              <w:rPr>
                <w:rFonts w:ascii="Calibri" w:hAnsi="Calibri" w:cs="Calibri"/>
                <w:color w:val="000000"/>
              </w:rPr>
              <w:t>UO1</w:t>
            </w:r>
          </w:p>
        </w:tc>
        <w:tc>
          <w:tcPr>
            <w:tcW w:w="1701" w:type="dxa"/>
            <w:vMerge w:val="restart"/>
          </w:tcPr>
          <w:p w:rsidR="006E6D7A" w:rsidRDefault="00B16C64" w14:paraId="67157923" w14:textId="77777777">
            <w:pPr>
              <w:cnfStyle w:val="000000000000" w:firstRow="0" w:lastRow="0" w:firstColumn="0" w:lastColumn="0" w:oddVBand="0" w:evenVBand="0" w:oddHBand="0" w:evenHBand="0" w:firstRowFirstColumn="0" w:firstRowLastColumn="0" w:lastRowFirstColumn="0" w:lastRowLastColumn="0"/>
            </w:pPr>
            <w:r>
              <w:t xml:space="preserve">Exploitation, support et pilotage annuel de l’usine à plateformes </w:t>
            </w:r>
            <w:proofErr w:type="spellStart"/>
            <w:r>
              <w:t>Kubernetes</w:t>
            </w:r>
            <w:proofErr w:type="spellEnd"/>
          </w:p>
        </w:tc>
        <w:tc>
          <w:tcPr>
            <w:tcW w:w="4251" w:type="dxa"/>
            <w:vMerge w:val="restart"/>
          </w:tcPr>
          <w:p w:rsidR="006E6D7A" w:rsidRDefault="00B16C64" w14:paraId="67157924"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Support</w:t>
            </w:r>
          </w:p>
          <w:p w:rsidR="006E6D7A" w:rsidRDefault="00B16C64" w14:paraId="67157925"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MCO/MCS</w:t>
            </w:r>
          </w:p>
          <w:p w:rsidR="006E6D7A" w:rsidRDefault="00B16C64" w14:paraId="67157926"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Mise en œuvre de l’offre de service et des engagements du titulaire</w:t>
            </w:r>
          </w:p>
          <w:p w:rsidR="006E6D7A" w:rsidRDefault="00B16C64" w14:paraId="67157927"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Pilotage et suivi d’exploitation :</w:t>
            </w:r>
          </w:p>
          <w:p w:rsidR="006E6D7A" w:rsidRDefault="00B16C64" w14:paraId="67157928"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lang w:val="fr"/>
              </w:rPr>
              <w:t xml:space="preserve">Mise en </w:t>
            </w:r>
            <w:proofErr w:type="spellStart"/>
            <w:r>
              <w:rPr>
                <w:lang w:val="fr"/>
              </w:rPr>
              <w:t>oeuvre</w:t>
            </w:r>
            <w:proofErr w:type="spellEnd"/>
            <w:r>
              <w:rPr>
                <w:lang w:val="fr"/>
              </w:rPr>
              <w:t xml:space="preserve"> des moyens nécessaires pour assurer le pilotage de l’usine à plateforme </w:t>
            </w:r>
            <w:proofErr w:type="spellStart"/>
            <w:r>
              <w:rPr>
                <w:lang w:val="fr"/>
              </w:rPr>
              <w:t>Kubernetes</w:t>
            </w:r>
            <w:proofErr w:type="spellEnd"/>
          </w:p>
          <w:p w:rsidR="006E6D7A" w:rsidRDefault="006E6D7A" w14:paraId="67157929"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1985" w:type="dxa"/>
            <w:vMerge w:val="restart"/>
          </w:tcPr>
          <w:p w:rsidR="006E6D7A" w:rsidRDefault="00B16C64" w14:paraId="6715792A"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r>
              <w:rPr>
                <w:color w:val="000000" w:themeColor="text1"/>
                <w:lang w:val="fr"/>
              </w:rPr>
              <w:t xml:space="preserve">Usine à plateforme </w:t>
            </w:r>
            <w:proofErr w:type="spellStart"/>
            <w:r>
              <w:rPr>
                <w:color w:val="000000" w:themeColor="text1"/>
                <w:lang w:val="fr"/>
              </w:rPr>
              <w:t>kubernetes</w:t>
            </w:r>
            <w:proofErr w:type="spellEnd"/>
            <w:r>
              <w:rPr>
                <w:color w:val="000000" w:themeColor="text1"/>
                <w:lang w:val="fr"/>
              </w:rPr>
              <w:t xml:space="preserve"> </w:t>
            </w:r>
            <w:r>
              <w:t>et son catalogue de services</w:t>
            </w:r>
            <w:r>
              <w:rPr>
                <w:color w:val="000000" w:themeColor="text1"/>
                <w:lang w:val="fr"/>
              </w:rPr>
              <w:t xml:space="preserve"> </w:t>
            </w:r>
            <w:proofErr w:type="spellStart"/>
            <w:r>
              <w:rPr>
                <w:color w:val="000000" w:themeColor="text1"/>
                <w:lang w:val="fr"/>
              </w:rPr>
              <w:t>opérationelle</w:t>
            </w:r>
            <w:proofErr w:type="spellEnd"/>
            <w:r>
              <w:rPr>
                <w:color w:val="000000" w:themeColor="text1"/>
                <w:lang w:val="fr"/>
              </w:rPr>
              <w:t xml:space="preserve"> suivant engagement de service</w:t>
            </w:r>
          </w:p>
          <w:p w:rsidR="006E6D7A" w:rsidRDefault="00B16C64" w14:paraId="6715792B"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r>
              <w:rPr>
                <w:color w:val="000000" w:themeColor="text1"/>
                <w:lang w:val="fr"/>
              </w:rPr>
              <w:t xml:space="preserve">Comitologie </w:t>
            </w:r>
          </w:p>
          <w:p w:rsidR="006E6D7A" w:rsidRDefault="00B16C64" w14:paraId="6715792C"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proofErr w:type="spellStart"/>
            <w:r>
              <w:rPr>
                <w:color w:val="000000" w:themeColor="text1"/>
                <w:lang w:val="fr"/>
              </w:rPr>
              <w:t>Reporting</w:t>
            </w:r>
            <w:proofErr w:type="spellEnd"/>
          </w:p>
          <w:p w:rsidR="006E6D7A" w:rsidRDefault="006E6D7A" w14:paraId="6715792D"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p>
        </w:tc>
        <w:tc>
          <w:tcPr>
            <w:tcW w:w="1029" w:type="dxa"/>
            <w:vMerge w:val="restart"/>
          </w:tcPr>
          <w:p w:rsidR="006E6D7A" w:rsidRDefault="00B16C64" w14:paraId="6715792E"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roofErr w:type="gramStart"/>
            <w:r>
              <w:rPr>
                <w:rFonts w:ascii="Calibri" w:hAnsi="Calibri" w:cs="Calibri"/>
                <w:color w:val="000000"/>
              </w:rPr>
              <w:t>abonnement</w:t>
            </w:r>
            <w:proofErr w:type="gramEnd"/>
            <w:r>
              <w:rPr>
                <w:rFonts w:ascii="Calibri" w:hAnsi="Calibri" w:cs="Calibri"/>
                <w:color w:val="000000"/>
              </w:rPr>
              <w:t xml:space="preserve"> annuel</w:t>
            </w:r>
          </w:p>
          <w:p w:rsidR="006E6D7A" w:rsidRDefault="006E6D7A" w14:paraId="6715792F" w14:textId="77777777">
            <w:pPr>
              <w:cnfStyle w:val="000000000000" w:firstRow="0" w:lastRow="0" w:firstColumn="0" w:lastColumn="0" w:oddVBand="0" w:evenVBand="0" w:oddHBand="0" w:evenHBand="0" w:firstRowFirstColumn="0" w:firstRowLastColumn="0" w:lastRowFirstColumn="0" w:lastRowLastColumn="0"/>
            </w:pPr>
          </w:p>
        </w:tc>
      </w:tr>
      <w:tr w:rsidR="006E6D7A" w:rsidTr="006E6D7A" w14:paraId="67157937" w14:textId="77777777">
        <w:trPr>
          <w:cnfStyle w:val="000000100000" w:firstRow="0" w:lastRow="0" w:firstColumn="0" w:lastColumn="0" w:oddVBand="0" w:evenVBand="0" w:oddHBand="1" w:evenHBand="0" w:firstRowFirstColumn="0" w:firstRowLastColumn="0" w:lastRowFirstColumn="0" w:lastRowLastColumn="0"/>
          <w:trHeight w:val="2588"/>
        </w:trPr>
        <w:tc>
          <w:tcPr>
            <w:cnfStyle w:val="001000000000" w:firstRow="0" w:lastRow="0" w:firstColumn="1" w:lastColumn="0" w:oddVBand="0" w:evenVBand="0" w:oddHBand="0" w:evenHBand="0" w:firstRowFirstColumn="0" w:firstRowLastColumn="0" w:lastRowFirstColumn="0" w:lastRowLastColumn="0"/>
            <w:tcW w:w="709" w:type="dxa"/>
            <w:vMerge w:val="restart"/>
          </w:tcPr>
          <w:p w:rsidR="006E6D7A" w:rsidRDefault="00B16C64" w14:paraId="67157931" w14:textId="77777777">
            <w:pPr>
              <w:spacing w:after="0"/>
              <w:jc w:val="left"/>
              <w:rPr>
                <w:rFonts w:ascii="Calibri" w:hAnsi="Calibri" w:cs="Calibri"/>
                <w:color w:val="000000"/>
              </w:rPr>
            </w:pPr>
            <w:r>
              <w:rPr>
                <w:rFonts w:ascii="Calibri" w:hAnsi="Calibri" w:cs="Calibri"/>
                <w:color w:val="000000"/>
              </w:rPr>
              <w:lastRenderedPageBreak/>
              <w:t>UO2</w:t>
            </w:r>
          </w:p>
        </w:tc>
        <w:tc>
          <w:tcPr>
            <w:tcW w:w="1701" w:type="dxa"/>
            <w:vMerge w:val="restart"/>
          </w:tcPr>
          <w:p w:rsidR="006E6D7A" w:rsidRDefault="00B16C64" w14:paraId="6715793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Pr>
                <w:rFonts w:ascii="Calibri" w:hAnsi="Calibri" w:cs="Calibri"/>
              </w:rPr>
              <w:t xml:space="preserve">Transfert de compétence usine à plateformes </w:t>
            </w:r>
            <w:proofErr w:type="spellStart"/>
            <w:r>
              <w:rPr>
                <w:rFonts w:ascii="Calibri" w:hAnsi="Calibri" w:cs="Calibri"/>
              </w:rPr>
              <w:t>Kubernetes</w:t>
            </w:r>
            <w:proofErr w:type="spellEnd"/>
          </w:p>
        </w:tc>
        <w:tc>
          <w:tcPr>
            <w:tcW w:w="4251" w:type="dxa"/>
            <w:vMerge w:val="restart"/>
          </w:tcPr>
          <w:p w:rsidR="006E6D7A" w:rsidRDefault="00B16C64" w14:paraId="67157933"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Transfert de compétence vers les équipes d’exploitation d’INRAE</w:t>
            </w:r>
          </w:p>
        </w:tc>
        <w:tc>
          <w:tcPr>
            <w:tcW w:w="1985" w:type="dxa"/>
            <w:vMerge w:val="restart"/>
          </w:tcPr>
          <w:p w:rsidR="006E6D7A" w:rsidRDefault="00B16C64" w14:paraId="67157934"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Transfert (présentiel/distanciel), supports, évaluation.</w:t>
            </w:r>
          </w:p>
          <w:p w:rsidR="006E6D7A" w:rsidRDefault="006E6D7A" w14:paraId="67157935"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lang w:val="fr"/>
              </w:rPr>
            </w:pPr>
          </w:p>
        </w:tc>
        <w:tc>
          <w:tcPr>
            <w:tcW w:w="1029" w:type="dxa"/>
            <w:vMerge w:val="restart"/>
          </w:tcPr>
          <w:p w:rsidR="006E6D7A" w:rsidRDefault="00B16C64" w14:paraId="67157936"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Forfait journalier</w:t>
            </w:r>
          </w:p>
        </w:tc>
      </w:tr>
      <w:tr w:rsidR="006E6D7A" w:rsidTr="006E6D7A" w14:paraId="67157940" w14:textId="77777777">
        <w:trPr>
          <w:trHeight w:val="2588"/>
        </w:trPr>
        <w:tc>
          <w:tcPr>
            <w:cnfStyle w:val="001000000000" w:firstRow="0" w:lastRow="0" w:firstColumn="1" w:lastColumn="0" w:oddVBand="0" w:evenVBand="0" w:oddHBand="0" w:evenHBand="0" w:firstRowFirstColumn="0" w:firstRowLastColumn="0" w:lastRowFirstColumn="0" w:lastRowLastColumn="0"/>
            <w:tcW w:w="709" w:type="dxa"/>
            <w:vMerge w:val="restart"/>
          </w:tcPr>
          <w:p w:rsidR="006E6D7A" w:rsidRDefault="00B16C64" w14:paraId="67157938" w14:textId="77777777">
            <w:pPr>
              <w:spacing w:after="0"/>
              <w:jc w:val="left"/>
              <w:rPr>
                <w:rFonts w:ascii="Calibri" w:hAnsi="Calibri" w:cs="Calibri"/>
                <w:color w:val="000000"/>
              </w:rPr>
            </w:pPr>
            <w:r>
              <w:rPr>
                <w:rFonts w:ascii="Calibri" w:hAnsi="Calibri" w:cs="Calibri"/>
                <w:color w:val="000000"/>
              </w:rPr>
              <w:t>UO3</w:t>
            </w:r>
          </w:p>
        </w:tc>
        <w:tc>
          <w:tcPr>
            <w:tcW w:w="1701" w:type="dxa"/>
            <w:vMerge w:val="restart"/>
          </w:tcPr>
          <w:p w:rsidR="006E6D7A" w:rsidRDefault="00B16C64" w14:paraId="6715793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 xml:space="preserve">Évolution usine à plateformes </w:t>
            </w:r>
            <w:proofErr w:type="spellStart"/>
            <w:r>
              <w:rPr>
                <w:rFonts w:ascii="Calibri" w:hAnsi="Calibri" w:cs="Calibri"/>
              </w:rPr>
              <w:t>Kubernetes</w:t>
            </w:r>
            <w:proofErr w:type="spellEnd"/>
          </w:p>
          <w:p w:rsidR="006E6D7A" w:rsidRDefault="00B16C64" w14:paraId="6715793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roofErr w:type="gramStart"/>
            <w:r>
              <w:rPr>
                <w:rFonts w:ascii="Calibri" w:hAnsi="Calibri" w:cs="Calibri"/>
              </w:rPr>
              <w:t>simple</w:t>
            </w:r>
            <w:proofErr w:type="gramEnd"/>
          </w:p>
        </w:tc>
        <w:tc>
          <w:tcPr>
            <w:tcW w:w="4251" w:type="dxa"/>
            <w:vMerge w:val="restart"/>
          </w:tcPr>
          <w:p w:rsidR="006E6D7A" w:rsidRDefault="00B16C64" w14:paraId="6715793B" w14:textId="77777777">
            <w:pPr>
              <w:spacing w:after="0"/>
              <w:jc w:val="left"/>
              <w:cnfStyle w:val="000000000000" w:firstRow="0" w:lastRow="0" w:firstColumn="0" w:lastColumn="0" w:oddVBand="0" w:evenVBand="0" w:oddHBand="0" w:evenHBand="0" w:firstRowFirstColumn="0" w:firstRowLastColumn="0" w:lastRowFirstColumn="0" w:lastRowLastColumn="0"/>
            </w:pPr>
            <w:r>
              <w:t xml:space="preserve">Étude et mise en place d’une nouvelle </w:t>
            </w:r>
            <w:proofErr w:type="gramStart"/>
            <w:r>
              <w:t>fonctionnalité  pour</w:t>
            </w:r>
            <w:proofErr w:type="gramEnd"/>
            <w:r>
              <w:t xml:space="preserve"> l’usine à plateformes </w:t>
            </w:r>
            <w:proofErr w:type="spellStart"/>
            <w:r>
              <w:t>kubernetes</w:t>
            </w:r>
            <w:proofErr w:type="spellEnd"/>
            <w:r>
              <w:t xml:space="preserve"> ou d’un nouveau service du catalogue, correspondant à 1 jour de prestation</w:t>
            </w:r>
          </w:p>
        </w:tc>
        <w:tc>
          <w:tcPr>
            <w:tcW w:w="1985" w:type="dxa"/>
            <w:vMerge w:val="restart"/>
          </w:tcPr>
          <w:p w:rsidR="006E6D7A" w:rsidRDefault="00B16C64" w14:paraId="6715793C"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r>
              <w:rPr>
                <w:color w:val="000000" w:themeColor="text1"/>
                <w:lang w:val="fr"/>
              </w:rPr>
              <w:t xml:space="preserve">Nouvelle </w:t>
            </w:r>
            <w:proofErr w:type="spellStart"/>
            <w:r>
              <w:rPr>
                <w:color w:val="000000" w:themeColor="text1"/>
                <w:lang w:val="fr"/>
              </w:rPr>
              <w:t>fonctionalité</w:t>
            </w:r>
            <w:proofErr w:type="spellEnd"/>
          </w:p>
          <w:p w:rsidR="006E6D7A" w:rsidRDefault="00B16C64" w14:paraId="6715793D"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r>
              <w:rPr>
                <w:color w:val="000000" w:themeColor="text1"/>
                <w:lang w:val="fr"/>
              </w:rPr>
              <w:t xml:space="preserve">Documentation </w:t>
            </w:r>
          </w:p>
          <w:p w:rsidR="006E6D7A" w:rsidRDefault="00B16C64" w14:paraId="6715793E"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r>
              <w:rPr>
                <w:color w:val="000000" w:themeColor="text1"/>
                <w:lang w:val="fr"/>
              </w:rPr>
              <w:t xml:space="preserve">Session de formation </w:t>
            </w:r>
          </w:p>
        </w:tc>
        <w:tc>
          <w:tcPr>
            <w:tcW w:w="1029" w:type="dxa"/>
            <w:vMerge w:val="restart"/>
          </w:tcPr>
          <w:p w:rsidR="006E6D7A" w:rsidRDefault="00B16C64" w14:paraId="6715793F" w14:textId="77777777">
            <w:pPr>
              <w:cnfStyle w:val="000000000000" w:firstRow="0" w:lastRow="0" w:firstColumn="0" w:lastColumn="0" w:oddVBand="0" w:evenVBand="0" w:oddHBand="0" w:evenHBand="0" w:firstRowFirstColumn="0" w:firstRowLastColumn="0" w:lastRowFirstColumn="0" w:lastRowLastColumn="0"/>
            </w:pPr>
            <w:r>
              <w:t>Forfait journalier</w:t>
            </w:r>
          </w:p>
        </w:tc>
      </w:tr>
      <w:tr w:rsidR="006E6D7A" w:rsidTr="006E6D7A" w14:paraId="67157949" w14:textId="77777777">
        <w:trPr>
          <w:cnfStyle w:val="000000100000" w:firstRow="0" w:lastRow="0" w:firstColumn="0" w:lastColumn="0" w:oddVBand="0" w:evenVBand="0" w:oddHBand="1" w:evenHBand="0" w:firstRowFirstColumn="0" w:firstRowLastColumn="0" w:lastRowFirstColumn="0" w:lastRowLastColumn="0"/>
          <w:trHeight w:val="2588"/>
        </w:trPr>
        <w:tc>
          <w:tcPr>
            <w:cnfStyle w:val="001000000000" w:firstRow="0" w:lastRow="0" w:firstColumn="1" w:lastColumn="0" w:oddVBand="0" w:evenVBand="0" w:oddHBand="0" w:evenHBand="0" w:firstRowFirstColumn="0" w:firstRowLastColumn="0" w:lastRowFirstColumn="0" w:lastRowLastColumn="0"/>
            <w:tcW w:w="709" w:type="dxa"/>
            <w:vMerge w:val="restart"/>
          </w:tcPr>
          <w:p w:rsidR="006E6D7A" w:rsidRDefault="00B16C64" w14:paraId="67157941" w14:textId="77777777">
            <w:pPr>
              <w:spacing w:after="0"/>
              <w:jc w:val="left"/>
              <w:rPr>
                <w:rFonts w:ascii="Calibri" w:hAnsi="Calibri" w:cs="Calibri"/>
                <w:color w:val="000000"/>
              </w:rPr>
            </w:pPr>
            <w:r>
              <w:rPr>
                <w:rFonts w:ascii="Calibri" w:hAnsi="Calibri" w:cs="Calibri"/>
                <w:color w:val="000000"/>
              </w:rPr>
              <w:t>UO4</w:t>
            </w:r>
          </w:p>
        </w:tc>
        <w:tc>
          <w:tcPr>
            <w:tcW w:w="1701" w:type="dxa"/>
            <w:vMerge w:val="restart"/>
          </w:tcPr>
          <w:p w:rsidR="006E6D7A" w:rsidRDefault="00B16C64" w14:paraId="6715794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Pr>
                <w:rFonts w:ascii="Calibri" w:hAnsi="Calibri" w:cs="Calibri"/>
              </w:rPr>
              <w:t xml:space="preserve">Évolution usine à plateformes </w:t>
            </w:r>
            <w:proofErr w:type="spellStart"/>
            <w:r>
              <w:rPr>
                <w:rFonts w:ascii="Calibri" w:hAnsi="Calibri" w:cs="Calibri"/>
              </w:rPr>
              <w:t>Kubernetes</w:t>
            </w:r>
            <w:proofErr w:type="spellEnd"/>
          </w:p>
          <w:p w:rsidR="006E6D7A" w:rsidRDefault="00B16C64" w14:paraId="6715794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proofErr w:type="gramStart"/>
            <w:r>
              <w:rPr>
                <w:rFonts w:ascii="Calibri" w:hAnsi="Calibri" w:cs="Calibri"/>
              </w:rPr>
              <w:t>complexe</w:t>
            </w:r>
            <w:proofErr w:type="gramEnd"/>
          </w:p>
        </w:tc>
        <w:tc>
          <w:tcPr>
            <w:tcW w:w="4251" w:type="dxa"/>
            <w:vMerge w:val="restart"/>
          </w:tcPr>
          <w:p w:rsidR="006E6D7A" w:rsidRDefault="00B16C64" w14:paraId="67157944" w14:textId="77777777">
            <w:pPr>
              <w:spacing w:after="0"/>
              <w:jc w:val="left"/>
              <w:cnfStyle w:val="000000100000" w:firstRow="0" w:lastRow="0" w:firstColumn="0" w:lastColumn="0" w:oddVBand="0" w:evenVBand="0" w:oddHBand="1" w:evenHBand="0" w:firstRowFirstColumn="0" w:firstRowLastColumn="0" w:lastRowFirstColumn="0" w:lastRowLastColumn="0"/>
            </w:pPr>
            <w:r>
              <w:t xml:space="preserve">Étude et mise en place d’une nouvelle </w:t>
            </w:r>
            <w:proofErr w:type="gramStart"/>
            <w:r>
              <w:t>fonctionnalité  pour</w:t>
            </w:r>
            <w:proofErr w:type="gramEnd"/>
            <w:r>
              <w:t xml:space="preserve"> l’usine à plateformes </w:t>
            </w:r>
            <w:proofErr w:type="spellStart"/>
            <w:r>
              <w:t>Kubernetes</w:t>
            </w:r>
            <w:proofErr w:type="spellEnd"/>
            <w:r>
              <w:t xml:space="preserve"> ou d’un nouveau service du catalogue, correspondant à 5 jours de prestation</w:t>
            </w:r>
          </w:p>
        </w:tc>
        <w:tc>
          <w:tcPr>
            <w:tcW w:w="1985" w:type="dxa"/>
            <w:vMerge w:val="restart"/>
          </w:tcPr>
          <w:p w:rsidR="006E6D7A" w:rsidRDefault="00B16C64" w14:paraId="67157945"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lang w:val="fr"/>
              </w:rPr>
            </w:pPr>
            <w:r>
              <w:rPr>
                <w:color w:val="000000" w:themeColor="text1"/>
                <w:lang w:val="fr"/>
              </w:rPr>
              <w:t xml:space="preserve">Nouvelle </w:t>
            </w:r>
            <w:proofErr w:type="spellStart"/>
            <w:r>
              <w:rPr>
                <w:color w:val="000000" w:themeColor="text1"/>
                <w:lang w:val="fr"/>
              </w:rPr>
              <w:t>fonctionalité</w:t>
            </w:r>
            <w:proofErr w:type="spellEnd"/>
          </w:p>
          <w:p w:rsidR="006E6D7A" w:rsidRDefault="00B16C64" w14:paraId="67157946"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lang w:val="fr"/>
              </w:rPr>
            </w:pPr>
            <w:r>
              <w:rPr>
                <w:color w:val="000000" w:themeColor="text1"/>
                <w:lang w:val="fr"/>
              </w:rPr>
              <w:t xml:space="preserve">Documentation </w:t>
            </w:r>
          </w:p>
          <w:p w:rsidR="006E6D7A" w:rsidRDefault="00B16C64" w14:paraId="67157947"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lang w:val="fr"/>
              </w:rPr>
            </w:pPr>
            <w:r>
              <w:rPr>
                <w:color w:val="000000" w:themeColor="text1"/>
                <w:lang w:val="fr"/>
              </w:rPr>
              <w:t xml:space="preserve">Session de formation </w:t>
            </w:r>
          </w:p>
        </w:tc>
        <w:tc>
          <w:tcPr>
            <w:tcW w:w="1029" w:type="dxa"/>
            <w:vMerge w:val="restart"/>
          </w:tcPr>
          <w:p w:rsidR="006E6D7A" w:rsidRDefault="00B16C64" w14:paraId="67157948" w14:textId="77777777">
            <w:pPr>
              <w:cnfStyle w:val="000000100000" w:firstRow="0" w:lastRow="0" w:firstColumn="0" w:lastColumn="0" w:oddVBand="0" w:evenVBand="0" w:oddHBand="1" w:evenHBand="0" w:firstRowFirstColumn="0" w:firstRowLastColumn="0" w:lastRowFirstColumn="0" w:lastRowLastColumn="0"/>
            </w:pPr>
            <w:r>
              <w:t>Forfait journalier</w:t>
            </w:r>
          </w:p>
        </w:tc>
      </w:tr>
      <w:tr w:rsidR="006E6D7A" w:rsidTr="006E6D7A" w14:paraId="67157952" w14:textId="77777777">
        <w:trPr>
          <w:trHeight w:val="2588"/>
        </w:trPr>
        <w:tc>
          <w:tcPr>
            <w:cnfStyle w:val="001000000000" w:firstRow="0" w:lastRow="0" w:firstColumn="1" w:lastColumn="0" w:oddVBand="0" w:evenVBand="0" w:oddHBand="0" w:evenHBand="0" w:firstRowFirstColumn="0" w:firstRowLastColumn="0" w:lastRowFirstColumn="0" w:lastRowLastColumn="0"/>
            <w:tcW w:w="709" w:type="dxa"/>
            <w:vMerge w:val="restart"/>
          </w:tcPr>
          <w:p w:rsidR="006E6D7A" w:rsidRDefault="00B16C64" w14:paraId="6715794A" w14:textId="77777777">
            <w:pPr>
              <w:spacing w:after="0"/>
              <w:jc w:val="left"/>
              <w:rPr>
                <w:rFonts w:ascii="Calibri" w:hAnsi="Calibri" w:cs="Calibri"/>
                <w:color w:val="000000"/>
              </w:rPr>
            </w:pPr>
            <w:r>
              <w:rPr>
                <w:rFonts w:ascii="Calibri" w:hAnsi="Calibri" w:cs="Calibri"/>
                <w:color w:val="000000"/>
              </w:rPr>
              <w:t>UO5</w:t>
            </w:r>
          </w:p>
        </w:tc>
        <w:tc>
          <w:tcPr>
            <w:tcW w:w="1701" w:type="dxa"/>
            <w:vMerge w:val="restart"/>
          </w:tcPr>
          <w:p w:rsidR="006E6D7A" w:rsidRDefault="00B16C64" w14:paraId="6715794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 xml:space="preserve">Évolution usine à plateformes </w:t>
            </w:r>
            <w:proofErr w:type="spellStart"/>
            <w:r>
              <w:rPr>
                <w:rFonts w:ascii="Calibri" w:hAnsi="Calibri" w:cs="Calibri"/>
              </w:rPr>
              <w:t>Kubernetes</w:t>
            </w:r>
            <w:proofErr w:type="spellEnd"/>
          </w:p>
          <w:p w:rsidR="006E6D7A" w:rsidRDefault="00B16C64" w14:paraId="6715794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roofErr w:type="gramStart"/>
            <w:r>
              <w:rPr>
                <w:rFonts w:ascii="Calibri" w:hAnsi="Calibri" w:cs="Calibri"/>
              </w:rPr>
              <w:t>très</w:t>
            </w:r>
            <w:proofErr w:type="gramEnd"/>
            <w:r>
              <w:rPr>
                <w:rFonts w:ascii="Calibri" w:hAnsi="Calibri" w:cs="Calibri"/>
              </w:rPr>
              <w:t xml:space="preserve"> complexe</w:t>
            </w:r>
          </w:p>
        </w:tc>
        <w:tc>
          <w:tcPr>
            <w:tcW w:w="4251" w:type="dxa"/>
            <w:vMerge w:val="restart"/>
          </w:tcPr>
          <w:p w:rsidR="006E6D7A" w:rsidRDefault="00B16C64" w14:paraId="6715794D" w14:textId="77777777">
            <w:pPr>
              <w:spacing w:after="0"/>
              <w:jc w:val="left"/>
              <w:cnfStyle w:val="000000000000" w:firstRow="0" w:lastRow="0" w:firstColumn="0" w:lastColumn="0" w:oddVBand="0" w:evenVBand="0" w:oddHBand="0" w:evenHBand="0" w:firstRowFirstColumn="0" w:firstRowLastColumn="0" w:lastRowFirstColumn="0" w:lastRowLastColumn="0"/>
            </w:pPr>
            <w:r>
              <w:t xml:space="preserve">Étude et mise en place d’une nouvelle </w:t>
            </w:r>
            <w:proofErr w:type="gramStart"/>
            <w:r>
              <w:t>fonctionnalité  de</w:t>
            </w:r>
            <w:proofErr w:type="gramEnd"/>
            <w:r>
              <w:t xml:space="preserve"> l’usine à plateformes </w:t>
            </w:r>
            <w:proofErr w:type="spellStart"/>
            <w:r>
              <w:t>Kubernetes</w:t>
            </w:r>
            <w:proofErr w:type="spellEnd"/>
            <w:r>
              <w:t xml:space="preserve"> ou d’un nouveau service du catalogue, correspondant à 10 jours de prestation</w:t>
            </w:r>
          </w:p>
        </w:tc>
        <w:tc>
          <w:tcPr>
            <w:tcW w:w="1985" w:type="dxa"/>
            <w:vMerge w:val="restart"/>
          </w:tcPr>
          <w:p w:rsidR="006E6D7A" w:rsidRDefault="00B16C64" w14:paraId="6715794E"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r>
              <w:rPr>
                <w:color w:val="000000" w:themeColor="text1"/>
                <w:lang w:val="fr"/>
              </w:rPr>
              <w:t xml:space="preserve">Nouvelle </w:t>
            </w:r>
            <w:proofErr w:type="spellStart"/>
            <w:r>
              <w:rPr>
                <w:color w:val="000000" w:themeColor="text1"/>
                <w:lang w:val="fr"/>
              </w:rPr>
              <w:t>fonctionalité</w:t>
            </w:r>
            <w:proofErr w:type="spellEnd"/>
          </w:p>
          <w:p w:rsidR="006E6D7A" w:rsidRDefault="00B16C64" w14:paraId="6715794F"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r>
              <w:rPr>
                <w:color w:val="000000" w:themeColor="text1"/>
                <w:lang w:val="fr"/>
              </w:rPr>
              <w:t xml:space="preserve">Documentation </w:t>
            </w:r>
          </w:p>
          <w:p w:rsidR="006E6D7A" w:rsidRDefault="00B16C64" w14:paraId="67157950"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r>
              <w:rPr>
                <w:color w:val="000000" w:themeColor="text1"/>
                <w:lang w:val="fr"/>
              </w:rPr>
              <w:t xml:space="preserve">Session de formation </w:t>
            </w:r>
          </w:p>
        </w:tc>
        <w:tc>
          <w:tcPr>
            <w:tcW w:w="1029" w:type="dxa"/>
            <w:vMerge w:val="restart"/>
          </w:tcPr>
          <w:p w:rsidR="006E6D7A" w:rsidRDefault="00B16C64" w14:paraId="67157951" w14:textId="77777777">
            <w:pPr>
              <w:cnfStyle w:val="000000000000" w:firstRow="0" w:lastRow="0" w:firstColumn="0" w:lastColumn="0" w:oddVBand="0" w:evenVBand="0" w:oddHBand="0" w:evenHBand="0" w:firstRowFirstColumn="0" w:firstRowLastColumn="0" w:lastRowFirstColumn="0" w:lastRowLastColumn="0"/>
            </w:pPr>
            <w:r>
              <w:t>Forfait journalier</w:t>
            </w:r>
          </w:p>
        </w:tc>
      </w:tr>
    </w:tbl>
    <w:p w:rsidR="006E6D7A" w:rsidRDefault="006E6D7A" w14:paraId="67157953" w14:textId="77777777"/>
    <w:p w:rsidR="006E6D7A" w:rsidRDefault="006E6D7A" w14:paraId="67157954" w14:textId="77777777"/>
    <w:p w:rsidR="006E6D7A" w:rsidRDefault="006E6D7A" w14:paraId="67157955" w14:textId="77777777">
      <w:pPr>
        <w:spacing w:after="0"/>
        <w:rPr>
          <w:rFonts w:cs="Times New Roman"/>
          <w:sz w:val="24"/>
          <w:szCs w:val="24"/>
        </w:rPr>
      </w:pPr>
    </w:p>
    <w:p w:rsidR="006E6D7A" w:rsidRDefault="00B16C64" w14:paraId="67157956" w14:textId="77777777">
      <w:pPr>
        <w:pStyle w:val="Titre4"/>
      </w:pPr>
      <w:r>
        <w:t xml:space="preserve">Prestations de </w:t>
      </w:r>
      <w:proofErr w:type="spellStart"/>
      <w:r>
        <w:t>mco</w:t>
      </w:r>
      <w:proofErr w:type="spellEnd"/>
      <w:r>
        <w:t xml:space="preserve"> et </w:t>
      </w:r>
      <w:proofErr w:type="spellStart"/>
      <w:r>
        <w:t>mcs</w:t>
      </w:r>
      <w:proofErr w:type="spellEnd"/>
      <w:r>
        <w:t xml:space="preserve"> à la carte des Plateformes PAAS produites par l’usine à site et services associés</w:t>
      </w:r>
    </w:p>
    <w:tbl>
      <w:tblPr>
        <w:tblStyle w:val="TableauGrille4-Accentuation51"/>
        <w:tblW w:w="10680" w:type="dxa"/>
        <w:tblLook w:val="04A0" w:firstRow="1" w:lastRow="0" w:firstColumn="1" w:lastColumn="0" w:noHBand="0" w:noVBand="1"/>
      </w:tblPr>
      <w:tblGrid>
        <w:gridCol w:w="732"/>
        <w:gridCol w:w="1804"/>
        <w:gridCol w:w="1905"/>
        <w:gridCol w:w="2500"/>
        <w:gridCol w:w="3739"/>
      </w:tblGrid>
      <w:tr w:rsidR="006E6D7A" w:rsidTr="006E6D7A" w14:paraId="6715795C" w14:textId="77777777">
        <w:trPr>
          <w:cnfStyle w:val="100000000000" w:firstRow="1" w:lastRow="0" w:firstColumn="0" w:lastColumn="0" w:oddVBand="0" w:evenVBand="0" w:oddHBand="0" w:evenHBand="0" w:firstRowFirstColumn="0" w:firstRowLastColumn="0" w:lastRowFirstColumn="0" w:lastRowLastColumn="0"/>
          <w:trHeight w:val="820"/>
        </w:trPr>
        <w:tc>
          <w:tcPr>
            <w:cnfStyle w:val="001000000000" w:firstRow="0" w:lastRow="0" w:firstColumn="1" w:lastColumn="0" w:oddVBand="0" w:evenVBand="0" w:oddHBand="0" w:evenHBand="0" w:firstRowFirstColumn="0" w:firstRowLastColumn="0" w:lastRowFirstColumn="0" w:lastRowLastColumn="0"/>
            <w:tcW w:w="0" w:type="auto"/>
          </w:tcPr>
          <w:p w:rsidR="006E6D7A" w:rsidRDefault="00B16C64" w14:paraId="67157957" w14:textId="77777777">
            <w:pPr>
              <w:spacing w:after="0"/>
              <w:jc w:val="center"/>
              <w:rPr>
                <w:sz w:val="24"/>
                <w:szCs w:val="24"/>
              </w:rPr>
            </w:pPr>
            <w:r>
              <w:rPr>
                <w:sz w:val="24"/>
                <w:szCs w:val="24"/>
              </w:rPr>
              <w:t>UO</w:t>
            </w:r>
          </w:p>
        </w:tc>
        <w:tc>
          <w:tcPr>
            <w:tcW w:w="0" w:type="auto"/>
          </w:tcPr>
          <w:p w:rsidR="006E6D7A" w:rsidRDefault="00B16C64" w14:paraId="67157958" w14:textId="77777777">
            <w:pPr>
              <w:spacing w:after="0"/>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Unité d’œuvre</w:t>
            </w:r>
          </w:p>
        </w:tc>
        <w:tc>
          <w:tcPr>
            <w:tcW w:w="0" w:type="auto"/>
          </w:tcPr>
          <w:p w:rsidR="006E6D7A" w:rsidRDefault="00B16C64" w14:paraId="67157959" w14:textId="77777777">
            <w:pPr>
              <w:spacing w:after="0"/>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Description</w:t>
            </w:r>
          </w:p>
        </w:tc>
        <w:tc>
          <w:tcPr>
            <w:tcW w:w="2500" w:type="dxa"/>
          </w:tcPr>
          <w:p w:rsidR="006E6D7A" w:rsidRDefault="00B16C64" w14:paraId="6715795A" w14:textId="77777777">
            <w:pPr>
              <w:spacing w:after="0"/>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Livrable</w:t>
            </w:r>
          </w:p>
        </w:tc>
        <w:tc>
          <w:tcPr>
            <w:tcW w:w="3739" w:type="dxa"/>
          </w:tcPr>
          <w:p w:rsidR="006E6D7A" w:rsidRDefault="00B16C64" w14:paraId="6715795B" w14:textId="77777777">
            <w:pPr>
              <w:spacing w:after="0"/>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Facturation</w:t>
            </w:r>
          </w:p>
        </w:tc>
      </w:tr>
      <w:tr w:rsidR="006E6D7A" w:rsidTr="006E6D7A" w14:paraId="67157969" w14:textId="77777777">
        <w:trPr>
          <w:cnfStyle w:val="000000100000" w:firstRow="0" w:lastRow="0" w:firstColumn="0" w:lastColumn="0" w:oddVBand="0" w:evenVBand="0" w:oddHBand="1" w:evenHBand="0" w:firstRowFirstColumn="0" w:firstRowLastColumn="0" w:lastRowFirstColumn="0" w:lastRowLastColumn="0"/>
          <w:trHeight w:val="1222"/>
        </w:trPr>
        <w:tc>
          <w:tcPr>
            <w:cnfStyle w:val="001000000000" w:firstRow="0" w:lastRow="0" w:firstColumn="1" w:lastColumn="0" w:oddVBand="0" w:evenVBand="0" w:oddHBand="0" w:evenHBand="0" w:firstRowFirstColumn="0" w:firstRowLastColumn="0" w:lastRowFirstColumn="0" w:lastRowLastColumn="0"/>
            <w:tcW w:w="0" w:type="auto"/>
          </w:tcPr>
          <w:p w:rsidR="006E6D7A" w:rsidRDefault="00B16C64" w14:paraId="6715795D" w14:textId="77777777">
            <w:pPr>
              <w:spacing w:after="0"/>
              <w:jc w:val="left"/>
              <w:rPr>
                <w:sz w:val="24"/>
                <w:szCs w:val="24"/>
              </w:rPr>
            </w:pPr>
            <w:r>
              <w:rPr>
                <w:sz w:val="24"/>
                <w:szCs w:val="24"/>
              </w:rPr>
              <w:lastRenderedPageBreak/>
              <w:t>UO6</w:t>
            </w:r>
          </w:p>
        </w:tc>
        <w:tc>
          <w:tcPr>
            <w:tcW w:w="0" w:type="auto"/>
          </w:tcPr>
          <w:p w:rsidR="006E6D7A" w:rsidRDefault="00B16C64" w14:paraId="6715795E" w14:textId="77777777">
            <w:pPr>
              <w:spacing w:after="0"/>
              <w:jc w:val="lef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MCO/MCS Service PAAS simple</w:t>
            </w:r>
          </w:p>
        </w:tc>
        <w:tc>
          <w:tcPr>
            <w:tcW w:w="0" w:type="auto"/>
          </w:tcPr>
          <w:p w:rsidR="006E6D7A" w:rsidRDefault="00B16C64" w14:paraId="6715795F"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Maintenance opérationnelle du service (mises à jour, sauvegardes, monitoring).</w:t>
            </w:r>
          </w:p>
          <w:p w:rsidR="006E6D7A" w:rsidRDefault="00B16C64" w14:paraId="67157960"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Maintenance de la sécurité (patches, audits, gestion des accès).</w:t>
            </w:r>
          </w:p>
          <w:p w:rsidR="006E6D7A" w:rsidRDefault="006E6D7A" w14:paraId="67157961"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p w:rsidR="006E6D7A" w:rsidRDefault="006E6D7A" w14:paraId="67157962" w14:textId="77777777">
            <w:pPr>
              <w:spacing w:after="0"/>
              <w:jc w:val="left"/>
              <w:cnfStyle w:val="000000100000" w:firstRow="0" w:lastRow="0" w:firstColumn="0" w:lastColumn="0" w:oddVBand="0" w:evenVBand="0" w:oddHBand="1" w:evenHBand="0" w:firstRowFirstColumn="0" w:firstRowLastColumn="0" w:lastRowFirstColumn="0" w:lastRowLastColumn="0"/>
              <w:rPr>
                <w:sz w:val="24"/>
                <w:szCs w:val="24"/>
              </w:rPr>
            </w:pPr>
          </w:p>
        </w:tc>
        <w:tc>
          <w:tcPr>
            <w:tcW w:w="2500" w:type="dxa"/>
          </w:tcPr>
          <w:p w:rsidR="006E6D7A" w:rsidRDefault="00B16C64" w14:paraId="67157963"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 xml:space="preserve">Service </w:t>
            </w:r>
            <w:proofErr w:type="spellStart"/>
            <w:r>
              <w:rPr>
                <w:color w:val="000000" w:themeColor="text1"/>
                <w:lang w:val="fr"/>
              </w:rPr>
              <w:t>opérationel</w:t>
            </w:r>
            <w:proofErr w:type="spellEnd"/>
            <w:r>
              <w:rPr>
                <w:color w:val="000000" w:themeColor="text1"/>
                <w:lang w:val="fr"/>
              </w:rPr>
              <w:t xml:space="preserve"> suivant engagement de service</w:t>
            </w:r>
          </w:p>
          <w:p w:rsidR="006E6D7A" w:rsidRDefault="00B16C64" w14:paraId="67157964"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Rapports mensuels de maintenance, logs, alertes.</w:t>
            </w:r>
          </w:p>
          <w:p w:rsidR="006E6D7A" w:rsidRDefault="00B16C64" w14:paraId="67157965"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Rapports de sécurité, audits, correctifs appliqués.</w:t>
            </w:r>
          </w:p>
          <w:p w:rsidR="006E6D7A" w:rsidRDefault="00B16C64" w14:paraId="67157966" w14:textId="77777777">
            <w:pPr>
              <w:jc w:val="left"/>
              <w:cnfStyle w:val="000000100000" w:firstRow="0" w:lastRow="0" w:firstColumn="0" w:lastColumn="0" w:oddVBand="0" w:evenVBand="0" w:oddHBand="1" w:evenHBand="0" w:firstRowFirstColumn="0" w:firstRowLastColumn="0" w:lastRowFirstColumn="0" w:lastRowLastColumn="0"/>
              <w:rPr>
                <w:color w:val="000000" w:themeColor="text1"/>
                <w:lang w:val="fr"/>
              </w:rPr>
            </w:pPr>
            <w:r>
              <w:rPr>
                <w:color w:val="000000" w:themeColor="text1"/>
                <w:lang w:val="fr"/>
              </w:rPr>
              <w:t>KPI</w:t>
            </w:r>
          </w:p>
          <w:p w:rsidR="006E6D7A" w:rsidRDefault="006E6D7A" w14:paraId="67157967" w14:textId="77777777">
            <w:pPr>
              <w:spacing w:after="0"/>
              <w:jc w:val="left"/>
              <w:cnfStyle w:val="000000100000" w:firstRow="0" w:lastRow="0" w:firstColumn="0" w:lastColumn="0" w:oddVBand="0" w:evenVBand="0" w:oddHBand="1" w:evenHBand="0" w:firstRowFirstColumn="0" w:firstRowLastColumn="0" w:lastRowFirstColumn="0" w:lastRowLastColumn="0"/>
              <w:rPr>
                <w:sz w:val="24"/>
                <w:szCs w:val="24"/>
              </w:rPr>
            </w:pPr>
          </w:p>
        </w:tc>
        <w:tc>
          <w:tcPr>
            <w:tcW w:w="3739" w:type="dxa"/>
          </w:tcPr>
          <w:p w:rsidR="006E6D7A" w:rsidRDefault="00B16C64" w14:paraId="67157968" w14:textId="77777777">
            <w:pPr>
              <w:spacing w:after="0"/>
              <w:jc w:val="left"/>
              <w:cnfStyle w:val="000000100000" w:firstRow="0" w:lastRow="0" w:firstColumn="0" w:lastColumn="0" w:oddVBand="0" w:evenVBand="0" w:oddHBand="1" w:evenHBand="0" w:firstRowFirstColumn="0" w:firstRowLastColumn="0" w:lastRowFirstColumn="0" w:lastRowLastColumn="0"/>
              <w:rPr>
                <w:sz w:val="24"/>
                <w:szCs w:val="24"/>
              </w:rPr>
            </w:pPr>
            <w:proofErr w:type="gramStart"/>
            <w:r>
              <w:rPr>
                <w:sz w:val="24"/>
                <w:szCs w:val="24"/>
              </w:rPr>
              <w:t>abonnement</w:t>
            </w:r>
            <w:proofErr w:type="gramEnd"/>
            <w:r>
              <w:rPr>
                <w:sz w:val="24"/>
                <w:szCs w:val="24"/>
              </w:rPr>
              <w:t xml:space="preserve"> mensuel</w:t>
            </w:r>
            <w:r>
              <w:t xml:space="preserve"> ou annuel</w:t>
            </w:r>
          </w:p>
        </w:tc>
      </w:tr>
      <w:tr w:rsidR="006E6D7A" w:rsidTr="006E6D7A" w14:paraId="67157975" w14:textId="77777777">
        <w:trPr>
          <w:trHeight w:val="1222"/>
        </w:trPr>
        <w:tc>
          <w:tcPr>
            <w:cnfStyle w:val="001000000000" w:firstRow="0" w:lastRow="0" w:firstColumn="1" w:lastColumn="0" w:oddVBand="0" w:evenVBand="0" w:oddHBand="0" w:evenHBand="0" w:firstRowFirstColumn="0" w:firstRowLastColumn="0" w:lastRowFirstColumn="0" w:lastRowLastColumn="0"/>
            <w:tcW w:w="0" w:type="auto"/>
          </w:tcPr>
          <w:p w:rsidR="006E6D7A" w:rsidRDefault="00B16C64" w14:paraId="6715796A" w14:textId="77777777">
            <w:pPr>
              <w:spacing w:after="0"/>
              <w:jc w:val="left"/>
              <w:rPr>
                <w:sz w:val="24"/>
                <w:szCs w:val="24"/>
              </w:rPr>
            </w:pPr>
            <w:r>
              <w:rPr>
                <w:sz w:val="24"/>
                <w:szCs w:val="24"/>
              </w:rPr>
              <w:t>UO7</w:t>
            </w:r>
          </w:p>
        </w:tc>
        <w:tc>
          <w:tcPr>
            <w:tcW w:w="0" w:type="auto"/>
          </w:tcPr>
          <w:p w:rsidR="006E6D7A" w:rsidRDefault="00B16C64" w14:paraId="6715796B" w14:textId="77777777">
            <w:pPr>
              <w:spacing w:after="0"/>
              <w:jc w:val="lef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MCO/MCS Service PAAS complexe</w:t>
            </w:r>
          </w:p>
        </w:tc>
        <w:tc>
          <w:tcPr>
            <w:tcW w:w="0" w:type="auto"/>
          </w:tcPr>
          <w:p w:rsidR="006E6D7A" w:rsidRDefault="00B16C64" w14:paraId="6715796C"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Maintenance opérationnelle du service (mises à jour, sauvegardes, monitoring).</w:t>
            </w:r>
          </w:p>
          <w:p w:rsidR="006E6D7A" w:rsidRDefault="00B16C64" w14:paraId="6715796D"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Maintenance de la sécurité (patches, audits, gestion des accès).</w:t>
            </w:r>
          </w:p>
          <w:p w:rsidR="006E6D7A" w:rsidRDefault="006E6D7A" w14:paraId="6715796E" w14:textId="77777777">
            <w:pPr>
              <w:spacing w:after="0"/>
              <w:jc w:val="left"/>
              <w:cnfStyle w:val="000000000000" w:firstRow="0" w:lastRow="0" w:firstColumn="0" w:lastColumn="0" w:oddVBand="0" w:evenVBand="0" w:oddHBand="0" w:evenHBand="0" w:firstRowFirstColumn="0" w:firstRowLastColumn="0" w:lastRowFirstColumn="0" w:lastRowLastColumn="0"/>
              <w:rPr>
                <w:sz w:val="24"/>
                <w:szCs w:val="24"/>
              </w:rPr>
            </w:pPr>
          </w:p>
        </w:tc>
        <w:tc>
          <w:tcPr>
            <w:tcW w:w="2500" w:type="dxa"/>
          </w:tcPr>
          <w:p w:rsidR="006E6D7A" w:rsidRDefault="00B16C64" w14:paraId="6715796F"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Service </w:t>
            </w:r>
            <w:proofErr w:type="spellStart"/>
            <w:r>
              <w:rPr>
                <w:color w:val="000000" w:themeColor="text1"/>
                <w:lang w:val="fr"/>
              </w:rPr>
              <w:t>opérationel</w:t>
            </w:r>
            <w:proofErr w:type="spellEnd"/>
            <w:r>
              <w:rPr>
                <w:color w:val="000000" w:themeColor="text1"/>
                <w:lang w:val="fr"/>
              </w:rPr>
              <w:t xml:space="preserve"> suivant engagement de service</w:t>
            </w:r>
          </w:p>
          <w:p w:rsidR="006E6D7A" w:rsidRDefault="00B16C64" w14:paraId="67157970"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Rapports mensuels de maintenance, logs, alertes.</w:t>
            </w:r>
          </w:p>
          <w:p w:rsidR="006E6D7A" w:rsidRDefault="00B16C64" w14:paraId="67157971"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Rapports de sécurité, audits, correctifs appliqués.</w:t>
            </w:r>
          </w:p>
          <w:p w:rsidR="006E6D7A" w:rsidRDefault="00B16C64" w14:paraId="67157972" w14:textId="77777777">
            <w:pPr>
              <w:jc w:val="left"/>
              <w:cnfStyle w:val="000000000000" w:firstRow="0" w:lastRow="0" w:firstColumn="0" w:lastColumn="0" w:oddVBand="0" w:evenVBand="0" w:oddHBand="0" w:evenHBand="0" w:firstRowFirstColumn="0" w:firstRowLastColumn="0" w:lastRowFirstColumn="0" w:lastRowLastColumn="0"/>
              <w:rPr>
                <w:color w:val="000000" w:themeColor="text1"/>
                <w:lang w:val="fr"/>
              </w:rPr>
            </w:pPr>
            <w:r>
              <w:rPr>
                <w:color w:val="000000" w:themeColor="text1"/>
                <w:lang w:val="fr"/>
              </w:rPr>
              <w:t>KPI</w:t>
            </w:r>
          </w:p>
          <w:p w:rsidR="006E6D7A" w:rsidRDefault="006E6D7A" w14:paraId="67157973" w14:textId="77777777">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3739" w:type="dxa"/>
          </w:tcPr>
          <w:p w:rsidR="006E6D7A" w:rsidRDefault="00B16C64" w14:paraId="67157974" w14:textId="77777777">
            <w:pPr>
              <w:spacing w:after="0"/>
              <w:jc w:val="left"/>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 </w:t>
            </w:r>
            <w:proofErr w:type="gramStart"/>
            <w:r>
              <w:rPr>
                <w:sz w:val="24"/>
                <w:szCs w:val="24"/>
              </w:rPr>
              <w:t>abonnement</w:t>
            </w:r>
            <w:proofErr w:type="gramEnd"/>
            <w:r>
              <w:rPr>
                <w:sz w:val="24"/>
                <w:szCs w:val="24"/>
              </w:rPr>
              <w:t xml:space="preserve"> mensuel </w:t>
            </w:r>
            <w:r>
              <w:t>ou annuel</w:t>
            </w:r>
          </w:p>
        </w:tc>
      </w:tr>
      <w:tr w:rsidR="006E6D7A" w:rsidTr="006E6D7A" w14:paraId="67157981" w14:textId="77777777">
        <w:trPr>
          <w:cnfStyle w:val="000000100000" w:firstRow="0" w:lastRow="0" w:firstColumn="0" w:lastColumn="0" w:oddVBand="0" w:evenVBand="0" w:oddHBand="1" w:evenHBand="0" w:firstRowFirstColumn="0" w:firstRowLastColumn="0" w:lastRowFirstColumn="0" w:lastRowLastColumn="0"/>
          <w:trHeight w:val="1222"/>
        </w:trPr>
        <w:tc>
          <w:tcPr>
            <w:cnfStyle w:val="001000000000" w:firstRow="0" w:lastRow="0" w:firstColumn="1" w:lastColumn="0" w:oddVBand="0" w:evenVBand="0" w:oddHBand="0" w:evenHBand="0" w:firstRowFirstColumn="0" w:firstRowLastColumn="0" w:lastRowFirstColumn="0" w:lastRowLastColumn="0"/>
            <w:tcW w:w="0" w:type="auto"/>
          </w:tcPr>
          <w:p w:rsidR="006E6D7A" w:rsidRDefault="00B16C64" w14:paraId="67157976" w14:textId="77777777">
            <w:pPr>
              <w:spacing w:after="0"/>
              <w:jc w:val="left"/>
              <w:rPr>
                <w:sz w:val="24"/>
                <w:szCs w:val="24"/>
              </w:rPr>
            </w:pPr>
            <w:r>
              <w:rPr>
                <w:sz w:val="24"/>
                <w:szCs w:val="24"/>
              </w:rPr>
              <w:t>UO8</w:t>
            </w:r>
          </w:p>
        </w:tc>
        <w:tc>
          <w:tcPr>
            <w:tcW w:w="0" w:type="auto"/>
          </w:tcPr>
          <w:p w:rsidR="006E6D7A" w:rsidRDefault="00B16C64" w14:paraId="67157977" w14:textId="77777777">
            <w:pPr>
              <w:spacing w:after="0"/>
              <w:jc w:val="lef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MCO/MCS Service PAAS très complexe</w:t>
            </w:r>
          </w:p>
        </w:tc>
        <w:tc>
          <w:tcPr>
            <w:tcW w:w="0" w:type="auto"/>
          </w:tcPr>
          <w:p w:rsidR="006E6D7A" w:rsidRDefault="00B16C64" w14:paraId="67157978"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Maintenance opérationnelle du service (mises à jour, sauvegardes, monitoring).</w:t>
            </w:r>
          </w:p>
          <w:p w:rsidR="006E6D7A" w:rsidRDefault="00B16C64" w14:paraId="67157979"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Maintenance de la sécurité (patches, audits, gestion des accès).</w:t>
            </w:r>
          </w:p>
          <w:p w:rsidR="006E6D7A" w:rsidRDefault="006E6D7A" w14:paraId="6715797A" w14:textId="77777777">
            <w:pPr>
              <w:spacing w:after="0"/>
              <w:jc w:val="left"/>
              <w:cnfStyle w:val="000000100000" w:firstRow="0" w:lastRow="0" w:firstColumn="0" w:lastColumn="0" w:oddVBand="0" w:evenVBand="0" w:oddHBand="1" w:evenHBand="0" w:firstRowFirstColumn="0" w:firstRowLastColumn="0" w:lastRowFirstColumn="0" w:lastRowLastColumn="0"/>
              <w:rPr>
                <w:sz w:val="24"/>
                <w:szCs w:val="24"/>
              </w:rPr>
            </w:pPr>
          </w:p>
        </w:tc>
        <w:tc>
          <w:tcPr>
            <w:tcW w:w="2500" w:type="dxa"/>
          </w:tcPr>
          <w:p w:rsidR="006E6D7A" w:rsidRDefault="00B16C64" w14:paraId="6715797B"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 xml:space="preserve">Service </w:t>
            </w:r>
            <w:proofErr w:type="spellStart"/>
            <w:r>
              <w:rPr>
                <w:color w:val="000000" w:themeColor="text1"/>
                <w:lang w:val="fr"/>
              </w:rPr>
              <w:t>opérationel</w:t>
            </w:r>
            <w:proofErr w:type="spellEnd"/>
            <w:r>
              <w:rPr>
                <w:color w:val="000000" w:themeColor="text1"/>
                <w:lang w:val="fr"/>
              </w:rPr>
              <w:t xml:space="preserve"> suivant engagement de service</w:t>
            </w:r>
          </w:p>
          <w:p w:rsidR="006E6D7A" w:rsidRDefault="00B16C64" w14:paraId="6715797C"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Rapports mensuels de maintenance, logs, alertes.</w:t>
            </w:r>
          </w:p>
          <w:p w:rsidR="006E6D7A" w:rsidRDefault="00B16C64" w14:paraId="6715797D"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Rapports de sécurité, audits, correctifs appliqués.</w:t>
            </w:r>
          </w:p>
          <w:p w:rsidR="006E6D7A" w:rsidRDefault="00B16C64" w14:paraId="6715797E" w14:textId="77777777">
            <w:pPr>
              <w:tabs>
                <w:tab w:val="center" w:pos="1142"/>
              </w:tabs>
              <w:jc w:val="left"/>
              <w:cnfStyle w:val="000000100000" w:firstRow="0" w:lastRow="0" w:firstColumn="0" w:lastColumn="0" w:oddVBand="0" w:evenVBand="0" w:oddHBand="1" w:evenHBand="0" w:firstRowFirstColumn="0" w:firstRowLastColumn="0" w:lastRowFirstColumn="0" w:lastRowLastColumn="0"/>
              <w:rPr>
                <w:color w:val="000000" w:themeColor="text1"/>
                <w:lang w:val="fr"/>
              </w:rPr>
            </w:pPr>
            <w:r>
              <w:rPr>
                <w:color w:val="000000" w:themeColor="text1"/>
                <w:lang w:val="fr"/>
              </w:rPr>
              <w:t>KPI</w:t>
            </w:r>
            <w:r>
              <w:rPr>
                <w:color w:val="000000" w:themeColor="text1"/>
                <w:lang w:val="fr"/>
              </w:rPr>
              <w:tab/>
            </w:r>
          </w:p>
          <w:p w:rsidR="006E6D7A" w:rsidRDefault="006E6D7A" w14:paraId="6715797F" w14:textId="77777777">
            <w:pPr>
              <w:spacing w:after="0"/>
              <w:jc w:val="left"/>
              <w:cnfStyle w:val="000000100000" w:firstRow="0" w:lastRow="0" w:firstColumn="0" w:lastColumn="0" w:oddVBand="0" w:evenVBand="0" w:oddHBand="1" w:evenHBand="0" w:firstRowFirstColumn="0" w:firstRowLastColumn="0" w:lastRowFirstColumn="0" w:lastRowLastColumn="0"/>
              <w:rPr>
                <w:sz w:val="24"/>
                <w:szCs w:val="24"/>
              </w:rPr>
            </w:pPr>
          </w:p>
        </w:tc>
        <w:tc>
          <w:tcPr>
            <w:tcW w:w="3739" w:type="dxa"/>
          </w:tcPr>
          <w:p w:rsidR="006E6D7A" w:rsidRDefault="00B16C64" w14:paraId="67157980" w14:textId="77777777">
            <w:pPr>
              <w:spacing w:after="0"/>
              <w:jc w:val="left"/>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 </w:t>
            </w:r>
            <w:proofErr w:type="gramStart"/>
            <w:r>
              <w:rPr>
                <w:sz w:val="24"/>
                <w:szCs w:val="24"/>
              </w:rPr>
              <w:t>abonnement</w:t>
            </w:r>
            <w:proofErr w:type="gramEnd"/>
            <w:r>
              <w:rPr>
                <w:sz w:val="24"/>
                <w:szCs w:val="24"/>
              </w:rPr>
              <w:t xml:space="preserve"> mensuel </w:t>
            </w:r>
            <w:r>
              <w:t>ou annuel</w:t>
            </w:r>
          </w:p>
        </w:tc>
      </w:tr>
      <w:tr w:rsidR="006E6D7A" w:rsidTr="006E6D7A" w14:paraId="67157987" w14:textId="77777777">
        <w:trPr>
          <w:trHeight w:val="1222"/>
        </w:trPr>
        <w:tc>
          <w:tcPr>
            <w:cnfStyle w:val="001000000000" w:firstRow="0" w:lastRow="0" w:firstColumn="1" w:lastColumn="0" w:oddVBand="0" w:evenVBand="0" w:oddHBand="0" w:evenHBand="0" w:firstRowFirstColumn="0" w:firstRowLastColumn="0" w:lastRowFirstColumn="0" w:lastRowLastColumn="0"/>
            <w:tcW w:w="0" w:type="auto"/>
            <w:vMerge w:val="restart"/>
          </w:tcPr>
          <w:p w:rsidR="006E6D7A" w:rsidRDefault="00B16C64" w14:paraId="67157982" w14:textId="77777777">
            <w:pPr>
              <w:spacing w:after="0"/>
              <w:jc w:val="left"/>
              <w:rPr>
                <w:rFonts w:ascii="Calibri" w:hAnsi="Calibri" w:cs="Calibri"/>
                <w:color w:val="000000"/>
              </w:rPr>
            </w:pPr>
            <w:r>
              <w:rPr>
                <w:rFonts w:ascii="Calibri" w:hAnsi="Calibri" w:cs="Calibri"/>
                <w:color w:val="000000"/>
              </w:rPr>
              <w:t>UO9</w:t>
            </w:r>
          </w:p>
        </w:tc>
        <w:tc>
          <w:tcPr>
            <w:tcW w:w="0" w:type="auto"/>
            <w:vMerge w:val="restart"/>
          </w:tcPr>
          <w:p w:rsidR="006E6D7A" w:rsidRDefault="00B16C64" w14:paraId="67157983"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 </w:t>
            </w:r>
            <w:proofErr w:type="gramStart"/>
            <w:r>
              <w:rPr>
                <w:rFonts w:ascii="Calibri" w:hAnsi="Calibri" w:cs="Calibri"/>
                <w:color w:val="000000"/>
              </w:rPr>
              <w:t>transfert</w:t>
            </w:r>
            <w:proofErr w:type="gramEnd"/>
            <w:r>
              <w:rPr>
                <w:rFonts w:ascii="Calibri" w:hAnsi="Calibri" w:cs="Calibri"/>
                <w:color w:val="000000"/>
              </w:rPr>
              <w:t xml:space="preserve"> de compétences sur service PAAS simple.</w:t>
            </w:r>
          </w:p>
        </w:tc>
        <w:tc>
          <w:tcPr>
            <w:tcW w:w="0" w:type="auto"/>
            <w:vMerge w:val="restart"/>
          </w:tcPr>
          <w:p w:rsidR="006E6D7A" w:rsidRDefault="00B16C64" w14:paraId="67157984"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Transfert de compétences ou formation aux technologies du catalogue de services</w:t>
            </w:r>
          </w:p>
        </w:tc>
        <w:tc>
          <w:tcPr>
            <w:tcW w:w="2500" w:type="dxa"/>
            <w:vMerge w:val="restart"/>
          </w:tcPr>
          <w:p w:rsidR="006E6D7A" w:rsidRDefault="00B16C64" w14:paraId="67157985"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Sessions de transfert (présentiel/distanciel), supports, évaluation.</w:t>
            </w:r>
          </w:p>
        </w:tc>
        <w:tc>
          <w:tcPr>
            <w:tcW w:w="3739" w:type="dxa"/>
            <w:vMerge w:val="restart"/>
          </w:tcPr>
          <w:p w:rsidR="006E6D7A" w:rsidRDefault="00B16C64" w14:paraId="67157986"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Forfait journalier </w:t>
            </w:r>
          </w:p>
        </w:tc>
      </w:tr>
      <w:tr w:rsidR="006E6D7A" w:rsidTr="006E6D7A" w14:paraId="6715798E" w14:textId="77777777">
        <w:trPr>
          <w:cnfStyle w:val="000000100000" w:firstRow="0" w:lastRow="0" w:firstColumn="0" w:lastColumn="0" w:oddVBand="0" w:evenVBand="0" w:oddHBand="1" w:evenHBand="0" w:firstRowFirstColumn="0" w:firstRowLastColumn="0" w:lastRowFirstColumn="0" w:lastRowLastColumn="0"/>
          <w:trHeight w:val="1222"/>
        </w:trPr>
        <w:tc>
          <w:tcPr>
            <w:cnfStyle w:val="001000000000" w:firstRow="0" w:lastRow="0" w:firstColumn="1" w:lastColumn="0" w:oddVBand="0" w:evenVBand="0" w:oddHBand="0" w:evenHBand="0" w:firstRowFirstColumn="0" w:firstRowLastColumn="0" w:lastRowFirstColumn="0" w:lastRowLastColumn="0"/>
            <w:tcW w:w="0" w:type="auto"/>
            <w:vMerge w:val="restart"/>
          </w:tcPr>
          <w:p w:rsidR="006E6D7A" w:rsidRDefault="00B16C64" w14:paraId="67157988" w14:textId="77777777">
            <w:pPr>
              <w:spacing w:after="0"/>
              <w:jc w:val="left"/>
              <w:rPr>
                <w:rFonts w:ascii="Calibri" w:hAnsi="Calibri" w:cs="Calibri"/>
                <w:color w:val="000000"/>
              </w:rPr>
            </w:pPr>
            <w:r>
              <w:rPr>
                <w:rFonts w:ascii="Calibri" w:hAnsi="Calibri" w:cs="Calibri"/>
                <w:color w:val="000000"/>
              </w:rPr>
              <w:t>UO10</w:t>
            </w:r>
          </w:p>
        </w:tc>
        <w:tc>
          <w:tcPr>
            <w:tcW w:w="0" w:type="auto"/>
            <w:vMerge w:val="restart"/>
          </w:tcPr>
          <w:p w:rsidR="006E6D7A" w:rsidRDefault="00B16C64" w14:paraId="67157989"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roofErr w:type="gramStart"/>
            <w:r>
              <w:rPr>
                <w:rFonts w:ascii="Calibri" w:hAnsi="Calibri" w:cs="Calibri"/>
                <w:color w:val="000000"/>
              </w:rPr>
              <w:t>transfert</w:t>
            </w:r>
            <w:proofErr w:type="gramEnd"/>
            <w:r>
              <w:rPr>
                <w:rFonts w:ascii="Calibri" w:hAnsi="Calibri" w:cs="Calibri"/>
                <w:color w:val="000000"/>
              </w:rPr>
              <w:t xml:space="preserve"> de compétences sur service PAAS complexe.</w:t>
            </w:r>
          </w:p>
        </w:tc>
        <w:tc>
          <w:tcPr>
            <w:tcW w:w="0" w:type="auto"/>
            <w:vMerge w:val="restart"/>
          </w:tcPr>
          <w:p w:rsidR="006E6D7A" w:rsidRDefault="00B16C64" w14:paraId="6715798A"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Transfert de compétences ou formation aux technologies du catalogue de services</w:t>
            </w:r>
          </w:p>
          <w:p w:rsidR="006E6D7A" w:rsidRDefault="006E6D7A" w14:paraId="6715798B" w14:textId="77777777">
            <w:pPr>
              <w:cnfStyle w:val="000000100000" w:firstRow="0" w:lastRow="0" w:firstColumn="0" w:lastColumn="0" w:oddVBand="0" w:evenVBand="0" w:oddHBand="1" w:evenHBand="0" w:firstRowFirstColumn="0" w:firstRowLastColumn="0" w:lastRowFirstColumn="0" w:lastRowLastColumn="0"/>
            </w:pPr>
          </w:p>
        </w:tc>
        <w:tc>
          <w:tcPr>
            <w:tcW w:w="2500" w:type="dxa"/>
            <w:vMerge w:val="restart"/>
          </w:tcPr>
          <w:p w:rsidR="006E6D7A" w:rsidRDefault="00B16C64" w14:paraId="6715798C"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Sessions de transfert (présentiel/distanciel), supports, évaluation.</w:t>
            </w:r>
          </w:p>
        </w:tc>
        <w:tc>
          <w:tcPr>
            <w:tcW w:w="3739" w:type="dxa"/>
            <w:vMerge w:val="restart"/>
          </w:tcPr>
          <w:p w:rsidR="006E6D7A" w:rsidRDefault="00B16C64" w14:paraId="6715798D" w14:textId="77777777">
            <w:pPr>
              <w:spacing w:after="0"/>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Forfait journalier</w:t>
            </w:r>
          </w:p>
        </w:tc>
      </w:tr>
      <w:tr w:rsidR="006E6D7A" w:rsidTr="006E6D7A" w14:paraId="67157995" w14:textId="77777777">
        <w:trPr>
          <w:trHeight w:val="1222"/>
        </w:trPr>
        <w:tc>
          <w:tcPr>
            <w:cnfStyle w:val="001000000000" w:firstRow="0" w:lastRow="0" w:firstColumn="1" w:lastColumn="0" w:oddVBand="0" w:evenVBand="0" w:oddHBand="0" w:evenHBand="0" w:firstRowFirstColumn="0" w:firstRowLastColumn="0" w:lastRowFirstColumn="0" w:lastRowLastColumn="0"/>
            <w:tcW w:w="0" w:type="auto"/>
            <w:vMerge w:val="restart"/>
          </w:tcPr>
          <w:p w:rsidR="006E6D7A" w:rsidRDefault="00B16C64" w14:paraId="6715798F" w14:textId="77777777">
            <w:pPr>
              <w:spacing w:after="0"/>
              <w:jc w:val="left"/>
              <w:rPr>
                <w:rFonts w:ascii="Calibri" w:hAnsi="Calibri" w:cs="Calibri"/>
                <w:color w:val="000000"/>
              </w:rPr>
            </w:pPr>
            <w:r>
              <w:rPr>
                <w:rFonts w:ascii="Calibri" w:hAnsi="Calibri" w:cs="Calibri"/>
                <w:color w:val="000000"/>
              </w:rPr>
              <w:t>UO11</w:t>
            </w:r>
          </w:p>
        </w:tc>
        <w:tc>
          <w:tcPr>
            <w:tcW w:w="0" w:type="auto"/>
            <w:vMerge w:val="restart"/>
          </w:tcPr>
          <w:p w:rsidR="006E6D7A" w:rsidRDefault="00B16C64" w14:paraId="67157990"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roofErr w:type="gramStart"/>
            <w:r>
              <w:rPr>
                <w:rFonts w:ascii="Calibri" w:hAnsi="Calibri" w:cs="Calibri"/>
                <w:color w:val="000000"/>
              </w:rPr>
              <w:t>transfert</w:t>
            </w:r>
            <w:proofErr w:type="gramEnd"/>
            <w:r>
              <w:rPr>
                <w:rFonts w:ascii="Calibri" w:hAnsi="Calibri" w:cs="Calibri"/>
                <w:color w:val="000000"/>
              </w:rPr>
              <w:t xml:space="preserve"> de compétences sur  service PAAS très complexe. </w:t>
            </w:r>
          </w:p>
        </w:tc>
        <w:tc>
          <w:tcPr>
            <w:tcW w:w="0" w:type="auto"/>
            <w:vMerge w:val="restart"/>
          </w:tcPr>
          <w:p w:rsidR="006E6D7A" w:rsidRDefault="00B16C64" w14:paraId="67157991"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Transfert de compétences ou formation aux technologies du catalogue de services</w:t>
            </w:r>
          </w:p>
          <w:p w:rsidR="006E6D7A" w:rsidRDefault="006E6D7A" w14:paraId="67157992" w14:textId="77777777">
            <w:pPr>
              <w:cnfStyle w:val="000000000000" w:firstRow="0" w:lastRow="0" w:firstColumn="0" w:lastColumn="0" w:oddVBand="0" w:evenVBand="0" w:oddHBand="0" w:evenHBand="0" w:firstRowFirstColumn="0" w:firstRowLastColumn="0" w:lastRowFirstColumn="0" w:lastRowLastColumn="0"/>
            </w:pPr>
          </w:p>
        </w:tc>
        <w:tc>
          <w:tcPr>
            <w:tcW w:w="2500" w:type="dxa"/>
            <w:vMerge w:val="restart"/>
          </w:tcPr>
          <w:p w:rsidR="006E6D7A" w:rsidRDefault="00B16C64" w14:paraId="67157993"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Sessions de transfert (présentiel/distanciel), supports, évaluation.</w:t>
            </w:r>
          </w:p>
        </w:tc>
        <w:tc>
          <w:tcPr>
            <w:tcW w:w="3739" w:type="dxa"/>
            <w:vMerge w:val="restart"/>
          </w:tcPr>
          <w:p w:rsidR="006E6D7A" w:rsidRDefault="00B16C64" w14:paraId="67157994" w14:textId="77777777">
            <w:pPr>
              <w:spacing w:after="0"/>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Forfait journalier</w:t>
            </w:r>
          </w:p>
        </w:tc>
      </w:tr>
    </w:tbl>
    <w:p w:rsidR="006E6D7A" w:rsidRDefault="006E6D7A" w14:paraId="67157996" w14:textId="77777777"/>
    <w:p w:rsidR="006E6D7A" w:rsidRDefault="006E6D7A" w14:paraId="67157997" w14:textId="77777777"/>
    <w:p w:rsidR="006E6D7A" w:rsidRDefault="006E6D7A" w14:paraId="67157998" w14:textId="77777777"/>
    <w:p w:rsidR="006E6D7A" w:rsidRDefault="006E6D7A" w14:paraId="67157999" w14:textId="77777777"/>
    <w:p w:rsidR="006E6D7A" w:rsidRDefault="006E6D7A" w14:paraId="6715799A" w14:textId="77777777"/>
    <w:p w:rsidR="006E6D7A" w:rsidRDefault="006E6D7A" w14:paraId="6715799B" w14:textId="77777777"/>
    <w:p w:rsidR="006E6D7A" w:rsidRDefault="006E6D7A" w14:paraId="6715799C" w14:textId="77777777"/>
    <w:p w:rsidR="006E6D7A" w:rsidRDefault="006E6D7A" w14:paraId="6715799D" w14:textId="77777777"/>
    <w:p w:rsidR="006E6D7A" w:rsidRDefault="006E6D7A" w14:paraId="6715799E" w14:textId="77777777"/>
    <w:p w:rsidR="006E6D7A" w:rsidRDefault="006E6D7A" w14:paraId="6715799F" w14:textId="77777777"/>
    <w:p w:rsidR="006E6D7A" w:rsidRDefault="006E6D7A" w14:paraId="671579A0" w14:textId="77777777"/>
    <w:p w:rsidR="006E6D7A" w:rsidRDefault="006E6D7A" w14:paraId="671579A1" w14:textId="77777777"/>
    <w:p w:rsidR="006E6D7A" w:rsidRDefault="006E6D7A" w14:paraId="671579A2" w14:textId="77777777"/>
    <w:p w:rsidR="006E6D7A" w:rsidRDefault="006E6D7A" w14:paraId="671579A3" w14:textId="77777777"/>
    <w:p w:rsidR="006E6D7A" w:rsidRDefault="00B16C64" w14:paraId="671579A4" w14:textId="77777777">
      <w:pPr>
        <w:pStyle w:val="Titre1"/>
      </w:pPr>
      <w:bookmarkStart w:name="_Toc221095603" w:id="188"/>
      <w:r>
        <w:lastRenderedPageBreak/>
        <w:t>Annexes</w:t>
      </w:r>
      <w:bookmarkEnd w:id="188"/>
    </w:p>
    <w:p w:rsidR="006E6D7A" w:rsidRDefault="00B16C64" w14:paraId="671579A5" w14:textId="77777777">
      <w:pPr>
        <w:pStyle w:val="Titre2"/>
      </w:pPr>
      <w:bookmarkStart w:name="_Toc221095604" w:id="189"/>
      <w:r>
        <w:t>Glossaire</w:t>
      </w:r>
      <w:bookmarkEnd w:id="189"/>
    </w:p>
    <w:p w:rsidR="006E6D7A" w:rsidRDefault="006E6D7A" w14:paraId="671579A6" w14:textId="77777777">
      <w:pPr>
        <w:rPr>
          <w:rFonts w:eastAsia="DejaVu Sans"/>
        </w:rPr>
      </w:pPr>
    </w:p>
    <w:p w:rsidR="006E6D7A" w:rsidRDefault="006E6D7A" w14:paraId="671579A7" w14:textId="77777777"/>
    <w:tbl>
      <w:tblPr>
        <w:tblW w:w="10020" w:type="dxa"/>
        <w:tblLayout w:type="fixed"/>
        <w:tblCellMar>
          <w:left w:w="70" w:type="dxa"/>
          <w:right w:w="70" w:type="dxa"/>
        </w:tblCellMar>
        <w:tblLook w:val="04A0" w:firstRow="1" w:lastRow="0" w:firstColumn="1" w:lastColumn="0" w:noHBand="0" w:noVBand="1"/>
      </w:tblPr>
      <w:tblGrid>
        <w:gridCol w:w="2240"/>
        <w:gridCol w:w="7780"/>
      </w:tblGrid>
      <w:tr w:rsidR="006E6D7A" w14:paraId="671579AA" w14:textId="77777777">
        <w:trPr>
          <w:trHeight w:val="300"/>
          <w:tblHeader/>
        </w:trPr>
        <w:tc>
          <w:tcPr>
            <w:tcW w:w="2240" w:type="dxa"/>
            <w:tcBorders>
              <w:top w:val="single" w:color="00A3A6" w:sz="8" w:space="0"/>
              <w:left w:val="single" w:color="00A3A6" w:sz="8" w:space="0"/>
              <w:bottom w:val="single" w:color="00A3A6" w:sz="8" w:space="0"/>
              <w:right w:val="single" w:color="00A3A6" w:sz="8" w:space="0"/>
            </w:tcBorders>
            <w:shd w:val="clear" w:color="000000" w:fill="03A3A6"/>
            <w:vAlign w:val="center"/>
          </w:tcPr>
          <w:p w:rsidR="006E6D7A" w:rsidRDefault="00B16C64" w14:paraId="671579A8" w14:textId="77777777">
            <w:pPr>
              <w:jc w:val="center"/>
              <w:rPr>
                <w:rFonts w:ascii="Calibri" w:hAnsi="Calibri" w:cs="Calibri"/>
                <w:b/>
                <w:bCs/>
                <w:color w:val="FFFFFF"/>
              </w:rPr>
            </w:pPr>
            <w:r>
              <w:rPr>
                <w:rFonts w:cs="Calibri"/>
                <w:b/>
                <w:bCs/>
                <w:color w:val="FFFFFF"/>
              </w:rPr>
              <w:t>Terme</w:t>
            </w:r>
          </w:p>
        </w:tc>
        <w:tc>
          <w:tcPr>
            <w:tcW w:w="7780" w:type="dxa"/>
            <w:tcBorders>
              <w:top w:val="single" w:color="00A3A6" w:sz="8" w:space="0"/>
              <w:bottom w:val="single" w:color="00A3A6" w:sz="8" w:space="0"/>
              <w:right w:val="single" w:color="00A3A6" w:sz="8" w:space="0"/>
            </w:tcBorders>
            <w:shd w:val="clear" w:color="000000" w:fill="03A3A6"/>
            <w:vAlign w:val="center"/>
          </w:tcPr>
          <w:p w:rsidR="006E6D7A" w:rsidRDefault="00B16C64" w14:paraId="671579A9" w14:textId="77777777">
            <w:pPr>
              <w:jc w:val="center"/>
              <w:rPr>
                <w:rFonts w:ascii="Calibri" w:hAnsi="Calibri" w:cs="Calibri"/>
                <w:b/>
                <w:bCs/>
                <w:color w:val="FFFFFF"/>
              </w:rPr>
            </w:pPr>
            <w:r>
              <w:rPr>
                <w:rFonts w:cs="Calibri"/>
                <w:b/>
                <w:bCs/>
                <w:color w:val="FFFFFF"/>
              </w:rPr>
              <w:t>Définition</w:t>
            </w:r>
          </w:p>
        </w:tc>
      </w:tr>
      <w:tr w:rsidR="006E6D7A" w14:paraId="671579AD"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AB" w14:textId="77777777">
            <w:pPr>
              <w:rPr>
                <w:rFonts w:ascii="Times New Roman" w:hAnsi="Times New Roman" w:cs="Times New Roman"/>
                <w:color w:val="00A3A6"/>
                <w:sz w:val="20"/>
                <w:szCs w:val="20"/>
              </w:rPr>
            </w:pPr>
            <w:r>
              <w:rPr>
                <w:color w:val="00A3A6"/>
                <w:sz w:val="20"/>
                <w:szCs w:val="20"/>
              </w:rPr>
              <w:t>AMOE</w:t>
            </w:r>
          </w:p>
        </w:tc>
        <w:tc>
          <w:tcPr>
            <w:tcW w:w="7780" w:type="dxa"/>
            <w:tcBorders>
              <w:bottom w:val="single" w:color="00A3A6" w:sz="8" w:space="0"/>
              <w:right w:val="single" w:color="00A3A6" w:sz="8" w:space="0"/>
            </w:tcBorders>
            <w:shd w:val="clear" w:color="auto" w:fill="auto"/>
            <w:vAlign w:val="center"/>
          </w:tcPr>
          <w:p w:rsidR="006E6D7A" w:rsidRDefault="00B16C64" w14:paraId="671579AC" w14:textId="77777777">
            <w:pPr>
              <w:rPr>
                <w:rFonts w:ascii="Calibri" w:hAnsi="Calibri" w:cs="Calibri"/>
                <w:color w:val="000000"/>
              </w:rPr>
            </w:pPr>
            <w:r>
              <w:rPr>
                <w:rFonts w:cs="Calibri"/>
                <w:color w:val="000000"/>
              </w:rPr>
              <w:t>Assistance à Maîtrise d'Œuvre</w:t>
            </w:r>
          </w:p>
        </w:tc>
      </w:tr>
      <w:tr w:rsidR="006E6D7A" w14:paraId="671579B0" w14:textId="77777777">
        <w:trPr>
          <w:trHeight w:val="300"/>
        </w:trPr>
        <w:tc>
          <w:tcPr>
            <w:tcW w:w="2240" w:type="dxa"/>
            <w:vMerge w:val="restart"/>
            <w:tcBorders>
              <w:left w:val="single" w:color="00A3A6" w:sz="8" w:space="0"/>
              <w:bottom w:val="single" w:color="00A3A6" w:sz="8" w:space="0"/>
              <w:right w:val="single" w:color="00A3A6" w:sz="8" w:space="0"/>
            </w:tcBorders>
            <w:shd w:val="clear" w:color="FFFFFF" w:fill="FFFFFF"/>
            <w:vAlign w:val="center"/>
          </w:tcPr>
          <w:p w:rsidR="006E6D7A" w:rsidRDefault="00B16C64" w14:paraId="671579AE" w14:textId="77777777">
            <w:pPr>
              <w:spacing w:after="0"/>
              <w:jc w:val="left"/>
              <w:rPr>
                <w:rFonts w:ascii="Calibri" w:hAnsi="Calibri" w:cs="Calibri"/>
                <w:bCs/>
                <w:color w:val="000000"/>
              </w:rPr>
            </w:pPr>
            <w:r>
              <w:rPr>
                <w:rFonts w:ascii="Calibri" w:hAnsi="Calibri" w:cs="Calibri"/>
                <w:bCs/>
                <w:color w:val="000000"/>
              </w:rPr>
              <w:t>API</w:t>
            </w:r>
          </w:p>
        </w:tc>
        <w:tc>
          <w:tcPr>
            <w:tcW w:w="7780" w:type="dxa"/>
            <w:vMerge w:val="restart"/>
            <w:tcBorders>
              <w:bottom w:val="single" w:color="00A3A6" w:sz="8" w:space="0"/>
              <w:right w:val="single" w:color="00A3A6" w:sz="8" w:space="0"/>
            </w:tcBorders>
            <w:shd w:val="clear" w:color="FFFFFF" w:fill="FFFFFF"/>
            <w:vAlign w:val="center"/>
          </w:tcPr>
          <w:p w:rsidR="006E6D7A" w:rsidRDefault="00B16C64" w14:paraId="671579AF" w14:textId="77777777">
            <w:pPr>
              <w:spacing w:after="0"/>
              <w:jc w:val="left"/>
              <w:rPr>
                <w:rFonts w:ascii="Calibri" w:hAnsi="Calibri" w:cs="Calibri"/>
                <w:color w:val="000000"/>
              </w:rPr>
            </w:pPr>
            <w:r>
              <w:rPr>
                <w:rFonts w:ascii="Calibri" w:hAnsi="Calibri" w:cs="Calibri"/>
                <w:color w:val="000000"/>
              </w:rPr>
              <w:t>Interface de programmation permettant l’automatisation des déploiements et des configurations.</w:t>
            </w:r>
          </w:p>
        </w:tc>
      </w:tr>
      <w:tr w:rsidR="006E6D7A" w14:paraId="671579B3" w14:textId="77777777">
        <w:trPr>
          <w:trHeight w:val="88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B1" w14:textId="77777777">
            <w:pPr>
              <w:rPr>
                <w:color w:val="00A3A6"/>
                <w:sz w:val="20"/>
                <w:szCs w:val="20"/>
              </w:rPr>
            </w:pPr>
            <w:r>
              <w:rPr>
                <w:color w:val="00A3A6"/>
                <w:sz w:val="20"/>
                <w:szCs w:val="20"/>
              </w:rPr>
              <w:t>DC</w:t>
            </w:r>
          </w:p>
        </w:tc>
        <w:tc>
          <w:tcPr>
            <w:tcW w:w="7780" w:type="dxa"/>
            <w:tcBorders>
              <w:bottom w:val="single" w:color="00A3A6" w:sz="8" w:space="0"/>
              <w:right w:val="single" w:color="00A3A6" w:sz="8" w:space="0"/>
            </w:tcBorders>
            <w:shd w:val="clear" w:color="auto" w:fill="auto"/>
            <w:vAlign w:val="center"/>
          </w:tcPr>
          <w:p w:rsidR="006E6D7A" w:rsidRDefault="00B16C64" w14:paraId="671579B2" w14:textId="77777777">
            <w:pPr>
              <w:rPr>
                <w:rFonts w:ascii="Calibri" w:hAnsi="Calibri" w:cs="Calibri"/>
                <w:color w:val="000000"/>
              </w:rPr>
            </w:pPr>
            <w:r>
              <w:rPr>
                <w:rFonts w:cs="Calibri"/>
                <w:color w:val="000000"/>
              </w:rPr>
              <w:t>Data Center : centre de traitement de données informatiques</w:t>
            </w:r>
          </w:p>
        </w:tc>
      </w:tr>
      <w:tr w:rsidR="006E6D7A" w14:paraId="671579B6" w14:textId="77777777">
        <w:trPr>
          <w:trHeight w:val="88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B4" w14:textId="77777777">
            <w:pPr>
              <w:rPr>
                <w:rFonts w:ascii="Times New Roman" w:hAnsi="Times New Roman" w:cs="Times New Roman"/>
                <w:color w:val="00A3A6"/>
                <w:sz w:val="20"/>
                <w:szCs w:val="20"/>
              </w:rPr>
            </w:pPr>
            <w:proofErr w:type="spellStart"/>
            <w:r>
              <w:rPr>
                <w:color w:val="00A3A6"/>
                <w:sz w:val="20"/>
                <w:szCs w:val="20"/>
              </w:rPr>
              <w:t>DevSecOps</w:t>
            </w:r>
            <w:proofErr w:type="spellEnd"/>
          </w:p>
        </w:tc>
        <w:tc>
          <w:tcPr>
            <w:tcW w:w="7780" w:type="dxa"/>
            <w:tcBorders>
              <w:bottom w:val="single" w:color="00A3A6" w:sz="8" w:space="0"/>
              <w:right w:val="single" w:color="00A3A6" w:sz="8" w:space="0"/>
            </w:tcBorders>
            <w:shd w:val="clear" w:color="auto" w:fill="auto"/>
            <w:vAlign w:val="center"/>
          </w:tcPr>
          <w:p w:rsidR="006E6D7A" w:rsidRDefault="00B16C64" w14:paraId="671579B5" w14:textId="77777777">
            <w:pPr>
              <w:rPr>
                <w:rFonts w:ascii="Calibri" w:hAnsi="Calibri" w:cs="Calibri"/>
                <w:color w:val="000000"/>
              </w:rPr>
            </w:pPr>
            <w:r>
              <w:rPr>
                <w:rFonts w:cs="Calibri"/>
                <w:color w:val="000000"/>
              </w:rPr>
              <w:t xml:space="preserve">Démarche qui combine l'union des personnes, des processus et des technologies du développement (Dev), de la sécurité (Sec) et de l'exploitation (opérations - Ops), pour améliorer la capacité de livraison des applications et des services à un rythme élevé et de manière </w:t>
            </w:r>
            <w:proofErr w:type="gramStart"/>
            <w:r>
              <w:rPr>
                <w:rFonts w:cs="Calibri"/>
                <w:color w:val="000000"/>
              </w:rPr>
              <w:t xml:space="preserve">sécurisée </w:t>
            </w:r>
            <w:r>
              <w:rPr>
                <w:rFonts w:ascii="Calibri" w:hAnsi="Calibri" w:cs="Calibri"/>
                <w:color w:val="000000"/>
              </w:rPr>
              <w:t xml:space="preserve"> (</w:t>
            </w:r>
            <w:proofErr w:type="gramEnd"/>
            <w:r>
              <w:rPr>
                <w:rFonts w:ascii="Calibri" w:hAnsi="Calibri" w:cs="Calibri"/>
                <w:color w:val="000000"/>
              </w:rPr>
              <w:t>CI/CD sécurisés, scans de vulnérabilités, etc.)</w:t>
            </w:r>
            <w:r>
              <w:rPr>
                <w:rFonts w:cs="Calibri"/>
                <w:color w:val="000000"/>
              </w:rPr>
              <w:t>.</w:t>
            </w:r>
          </w:p>
        </w:tc>
      </w:tr>
      <w:tr w:rsidR="006E6D7A" w14:paraId="671579B9" w14:textId="77777777">
        <w:trPr>
          <w:trHeight w:val="300"/>
        </w:trPr>
        <w:tc>
          <w:tcPr>
            <w:tcW w:w="2240" w:type="dxa"/>
            <w:vMerge w:val="restart"/>
            <w:tcBorders>
              <w:left w:val="single" w:color="00A3A6" w:sz="8" w:space="0"/>
              <w:bottom w:val="single" w:color="00A3A6" w:sz="8" w:space="0"/>
              <w:right w:val="single" w:color="00A3A6" w:sz="8" w:space="0"/>
            </w:tcBorders>
            <w:shd w:val="clear" w:color="FFFFFF" w:fill="FFFFFF"/>
            <w:vAlign w:val="center"/>
          </w:tcPr>
          <w:p w:rsidR="006E6D7A" w:rsidRDefault="00B16C64" w14:paraId="671579B7" w14:textId="77777777">
            <w:pPr>
              <w:spacing w:after="0"/>
              <w:jc w:val="left"/>
              <w:rPr>
                <w:rFonts w:ascii="Calibri" w:hAnsi="Calibri" w:cs="Calibri"/>
                <w:bCs/>
                <w:color w:val="000000"/>
              </w:rPr>
            </w:pPr>
            <w:r>
              <w:rPr>
                <w:rFonts w:ascii="Calibri" w:hAnsi="Calibri" w:cs="Calibri"/>
                <w:bCs/>
                <w:color w:val="000000"/>
              </w:rPr>
              <w:t xml:space="preserve">Environnement </w:t>
            </w:r>
            <w:proofErr w:type="spellStart"/>
            <w:r>
              <w:rPr>
                <w:rFonts w:ascii="Calibri" w:hAnsi="Calibri" w:cs="Calibri"/>
                <w:bCs/>
                <w:color w:val="000000"/>
              </w:rPr>
              <w:t>Kubernetes</w:t>
            </w:r>
            <w:proofErr w:type="spellEnd"/>
          </w:p>
        </w:tc>
        <w:tc>
          <w:tcPr>
            <w:tcW w:w="7780" w:type="dxa"/>
            <w:vMerge w:val="restart"/>
            <w:tcBorders>
              <w:bottom w:val="single" w:color="00A3A6" w:sz="8" w:space="0"/>
              <w:right w:val="single" w:color="00A3A6" w:sz="8" w:space="0"/>
            </w:tcBorders>
            <w:shd w:val="clear" w:color="FFFFFF" w:fill="FFFFFF"/>
            <w:vAlign w:val="center"/>
          </w:tcPr>
          <w:p w:rsidR="006E6D7A" w:rsidRDefault="00B16C64" w14:paraId="671579B8" w14:textId="77777777">
            <w:pPr>
              <w:spacing w:after="0"/>
              <w:jc w:val="left"/>
              <w:rPr>
                <w:rFonts w:ascii="Calibri" w:hAnsi="Calibri" w:cs="Calibri"/>
                <w:color w:val="000000"/>
              </w:rPr>
            </w:pPr>
            <w:r>
              <w:rPr>
                <w:rFonts w:ascii="Calibri" w:hAnsi="Calibri" w:cs="Calibri"/>
                <w:color w:val="000000"/>
              </w:rPr>
              <w:t xml:space="preserve">Ensemble des nœuds (master et </w:t>
            </w:r>
            <w:proofErr w:type="spellStart"/>
            <w:r>
              <w:rPr>
                <w:rFonts w:ascii="Calibri" w:hAnsi="Calibri" w:cs="Calibri"/>
                <w:color w:val="000000"/>
              </w:rPr>
              <w:t>workers</w:t>
            </w:r>
            <w:proofErr w:type="spellEnd"/>
            <w:r>
              <w:rPr>
                <w:rFonts w:ascii="Calibri" w:hAnsi="Calibri" w:cs="Calibri"/>
                <w:color w:val="000000"/>
              </w:rPr>
              <w:t xml:space="preserve">), des </w:t>
            </w:r>
            <w:proofErr w:type="spellStart"/>
            <w:r>
              <w:rPr>
                <w:rFonts w:ascii="Calibri" w:hAnsi="Calibri" w:cs="Calibri"/>
                <w:color w:val="000000"/>
              </w:rPr>
              <w:t>pods</w:t>
            </w:r>
            <w:proofErr w:type="spellEnd"/>
            <w:r>
              <w:rPr>
                <w:rFonts w:ascii="Calibri" w:hAnsi="Calibri" w:cs="Calibri"/>
                <w:color w:val="000000"/>
              </w:rPr>
              <w:t xml:space="preserve">, des services et des configurations </w:t>
            </w:r>
            <w:proofErr w:type="spellStart"/>
            <w:r>
              <w:rPr>
                <w:rFonts w:ascii="Calibri" w:hAnsi="Calibri" w:cs="Calibri"/>
                <w:color w:val="000000"/>
              </w:rPr>
              <w:t>Kubernetes</w:t>
            </w:r>
            <w:proofErr w:type="spellEnd"/>
            <w:r>
              <w:rPr>
                <w:rFonts w:ascii="Calibri" w:hAnsi="Calibri" w:cs="Calibri"/>
                <w:color w:val="000000"/>
              </w:rPr>
              <w:t>.</w:t>
            </w:r>
          </w:p>
        </w:tc>
      </w:tr>
      <w:tr w:rsidR="006E6D7A" w14:paraId="671579BC" w14:textId="77777777">
        <w:trPr>
          <w:trHeight w:val="300"/>
        </w:trPr>
        <w:tc>
          <w:tcPr>
            <w:tcW w:w="2240" w:type="dxa"/>
            <w:vMerge w:val="restart"/>
            <w:tcBorders>
              <w:left w:val="single" w:color="00A3A6" w:sz="8" w:space="0"/>
              <w:bottom w:val="single" w:color="00A3A6" w:sz="8" w:space="0"/>
              <w:right w:val="single" w:color="00A3A6" w:sz="8" w:space="0"/>
            </w:tcBorders>
            <w:shd w:val="clear" w:color="FFFFFF" w:fill="FFFFFF"/>
            <w:vAlign w:val="center"/>
          </w:tcPr>
          <w:p w:rsidR="006E6D7A" w:rsidRDefault="00B16C64" w14:paraId="671579BA" w14:textId="77777777">
            <w:pPr>
              <w:spacing w:after="0"/>
              <w:jc w:val="left"/>
              <w:rPr>
                <w:rFonts w:ascii="Calibri" w:hAnsi="Calibri" w:cs="Calibri"/>
                <w:bCs/>
                <w:color w:val="000000"/>
              </w:rPr>
            </w:pPr>
            <w:r>
              <w:rPr>
                <w:rFonts w:ascii="Calibri" w:hAnsi="Calibri" w:cs="Calibri"/>
                <w:bCs/>
                <w:color w:val="000000"/>
              </w:rPr>
              <w:t>Exploitation</w:t>
            </w:r>
          </w:p>
        </w:tc>
        <w:tc>
          <w:tcPr>
            <w:tcW w:w="7780" w:type="dxa"/>
            <w:vMerge w:val="restart"/>
            <w:tcBorders>
              <w:bottom w:val="single" w:color="00A3A6" w:sz="8" w:space="0"/>
              <w:right w:val="single" w:color="00A3A6" w:sz="8" w:space="0"/>
            </w:tcBorders>
            <w:shd w:val="clear" w:color="FFFFFF" w:fill="FFFFFF"/>
            <w:vAlign w:val="center"/>
          </w:tcPr>
          <w:p w:rsidR="006E6D7A" w:rsidRDefault="00B16C64" w14:paraId="671579BB" w14:textId="77777777">
            <w:pPr>
              <w:spacing w:after="0"/>
              <w:jc w:val="left"/>
              <w:rPr>
                <w:rFonts w:ascii="Calibri" w:hAnsi="Calibri" w:cs="Calibri"/>
                <w:color w:val="000000"/>
              </w:rPr>
            </w:pPr>
            <w:r>
              <w:rPr>
                <w:rFonts w:ascii="Calibri" w:hAnsi="Calibri" w:cs="Calibri"/>
                <w:color w:val="000000"/>
              </w:rPr>
              <w:t>Assurer le fonctionnement quotidien, la supervision et la gestion des ressources informatiques pour répondre aux besoins métiers.</w:t>
            </w:r>
          </w:p>
        </w:tc>
      </w:tr>
      <w:tr w:rsidR="006E6D7A" w14:paraId="671579BF"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BD" w14:textId="77777777">
            <w:pPr>
              <w:spacing w:after="0"/>
              <w:jc w:val="left"/>
              <w:rPr>
                <w:rFonts w:ascii="Calibri" w:hAnsi="Calibri" w:cs="Calibri"/>
                <w:bCs/>
                <w:color w:val="000000"/>
              </w:rPr>
            </w:pPr>
            <w:proofErr w:type="spellStart"/>
            <w:r>
              <w:rPr>
                <w:rFonts w:ascii="Calibri" w:hAnsi="Calibri" w:cs="Calibri"/>
                <w:bCs/>
                <w:color w:val="000000"/>
              </w:rPr>
              <w:t>GitOps</w:t>
            </w:r>
            <w:proofErr w:type="spellEnd"/>
          </w:p>
        </w:tc>
        <w:tc>
          <w:tcPr>
            <w:tcW w:w="7780" w:type="dxa"/>
            <w:tcBorders>
              <w:bottom w:val="single" w:color="00A3A6" w:sz="8" w:space="0"/>
              <w:right w:val="single" w:color="00A3A6" w:sz="8" w:space="0"/>
            </w:tcBorders>
            <w:shd w:val="clear" w:color="auto" w:fill="auto"/>
            <w:vAlign w:val="center"/>
          </w:tcPr>
          <w:p w:rsidR="006E6D7A" w:rsidRDefault="00B16C64" w14:paraId="671579BE" w14:textId="77777777">
            <w:pPr>
              <w:spacing w:after="0"/>
              <w:jc w:val="left"/>
              <w:rPr>
                <w:rFonts w:ascii="Calibri" w:hAnsi="Calibri" w:cs="Calibri"/>
                <w:color w:val="000000"/>
              </w:rPr>
            </w:pPr>
            <w:r>
              <w:rPr>
                <w:rFonts w:ascii="Calibri" w:hAnsi="Calibri" w:cs="Calibri"/>
                <w:color w:val="000000"/>
              </w:rPr>
              <w:t xml:space="preserve">Méthodologie de gestion des infrastructures et des applications via Git (ex : </w:t>
            </w:r>
            <w:proofErr w:type="spellStart"/>
            <w:r>
              <w:rPr>
                <w:rFonts w:ascii="Calibri" w:hAnsi="Calibri" w:cs="Calibri"/>
                <w:color w:val="000000"/>
              </w:rPr>
              <w:t>ArgoCD</w:t>
            </w:r>
            <w:proofErr w:type="spellEnd"/>
            <w:r>
              <w:rPr>
                <w:rFonts w:ascii="Calibri" w:hAnsi="Calibri" w:cs="Calibri"/>
                <w:color w:val="000000"/>
              </w:rPr>
              <w:t xml:space="preserve">, </w:t>
            </w:r>
            <w:proofErr w:type="spellStart"/>
            <w:r>
              <w:rPr>
                <w:rFonts w:ascii="Calibri" w:hAnsi="Calibri" w:cs="Calibri"/>
                <w:color w:val="000000"/>
              </w:rPr>
              <w:t>FluxCD</w:t>
            </w:r>
            <w:proofErr w:type="spellEnd"/>
            <w:r>
              <w:rPr>
                <w:rFonts w:ascii="Calibri" w:hAnsi="Calibri" w:cs="Calibri"/>
                <w:color w:val="000000"/>
              </w:rPr>
              <w:t>).</w:t>
            </w:r>
          </w:p>
        </w:tc>
      </w:tr>
      <w:tr w:rsidR="006E6D7A" w14:paraId="671579C2"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C0" w14:textId="77777777">
            <w:pPr>
              <w:rPr>
                <w:rFonts w:ascii="Times New Roman" w:hAnsi="Times New Roman" w:cs="Times New Roman"/>
                <w:color w:val="00A3A6"/>
                <w:sz w:val="20"/>
                <w:szCs w:val="20"/>
              </w:rPr>
            </w:pPr>
            <w:r>
              <w:rPr>
                <w:color w:val="00A3A6"/>
                <w:sz w:val="20"/>
                <w:szCs w:val="20"/>
              </w:rPr>
              <w:t>KPI</w:t>
            </w:r>
          </w:p>
        </w:tc>
        <w:tc>
          <w:tcPr>
            <w:tcW w:w="7780" w:type="dxa"/>
            <w:tcBorders>
              <w:bottom w:val="single" w:color="00A3A6" w:sz="8" w:space="0"/>
              <w:right w:val="single" w:color="00A3A6" w:sz="8" w:space="0"/>
            </w:tcBorders>
            <w:shd w:val="clear" w:color="auto" w:fill="auto"/>
            <w:vAlign w:val="center"/>
          </w:tcPr>
          <w:p w:rsidR="006E6D7A" w:rsidRDefault="00B16C64" w14:paraId="671579C1" w14:textId="77777777">
            <w:pPr>
              <w:rPr>
                <w:rFonts w:ascii="Calibri" w:hAnsi="Calibri" w:cs="Calibri"/>
                <w:color w:val="000000"/>
              </w:rPr>
            </w:pPr>
            <w:r>
              <w:rPr>
                <w:rFonts w:cs="Calibri"/>
                <w:color w:val="000000"/>
              </w:rPr>
              <w:t>Indicateur clef de performance (Key Performance Indicator)</w:t>
            </w:r>
          </w:p>
        </w:tc>
      </w:tr>
      <w:tr w:rsidR="006E6D7A" w14:paraId="671579C5" w14:textId="77777777">
        <w:trPr>
          <w:trHeight w:val="300"/>
        </w:trPr>
        <w:tc>
          <w:tcPr>
            <w:tcW w:w="2240" w:type="dxa"/>
            <w:vMerge w:val="restart"/>
            <w:tcBorders>
              <w:left w:val="single" w:color="00A3A6" w:sz="8" w:space="0"/>
              <w:bottom w:val="single" w:color="00A3A6" w:sz="8" w:space="0"/>
              <w:right w:val="single" w:color="00A3A6" w:sz="8" w:space="0"/>
            </w:tcBorders>
            <w:shd w:val="clear" w:color="FFFFFF" w:fill="FFFFFF"/>
            <w:vAlign w:val="center"/>
          </w:tcPr>
          <w:p w:rsidR="006E6D7A" w:rsidRDefault="00B16C64" w14:paraId="671579C3" w14:textId="77777777">
            <w:pPr>
              <w:spacing w:after="0"/>
              <w:jc w:val="left"/>
              <w:rPr>
                <w:rFonts w:ascii="Calibri" w:hAnsi="Calibri" w:cs="Calibri"/>
                <w:bCs/>
                <w:color w:val="000000"/>
              </w:rPr>
            </w:pPr>
            <w:r>
              <w:rPr>
                <w:rFonts w:ascii="Calibri" w:hAnsi="Calibri" w:cs="Calibri"/>
                <w:bCs/>
                <w:color w:val="000000"/>
              </w:rPr>
              <w:t>MCO</w:t>
            </w:r>
          </w:p>
        </w:tc>
        <w:tc>
          <w:tcPr>
            <w:tcW w:w="7780" w:type="dxa"/>
            <w:vMerge w:val="restart"/>
            <w:tcBorders>
              <w:bottom w:val="single" w:color="00A3A6" w:sz="8" w:space="0"/>
              <w:right w:val="single" w:color="00A3A6" w:sz="8" w:space="0"/>
            </w:tcBorders>
            <w:shd w:val="clear" w:color="FFFFFF" w:fill="FFFFFF"/>
            <w:vAlign w:val="center"/>
          </w:tcPr>
          <w:p w:rsidR="006E6D7A" w:rsidRDefault="00B16C64" w14:paraId="671579C4" w14:textId="77777777">
            <w:pPr>
              <w:spacing w:after="0"/>
              <w:jc w:val="left"/>
              <w:rPr>
                <w:rFonts w:ascii="Calibri" w:hAnsi="Calibri" w:cs="Calibri"/>
                <w:color w:val="000000"/>
              </w:rPr>
            </w:pPr>
            <w:r>
              <w:rPr>
                <w:rFonts w:ascii="Calibri" w:hAnsi="Calibri" w:cs="Calibri"/>
                <w:color w:val="000000"/>
              </w:rPr>
              <w:t>Maintien en Condition Opérationnelle (maintenance technique et fonctionnelle). Garantir la pérennité, la performance et l’évolution du service informatique dans le temps.</w:t>
            </w:r>
          </w:p>
        </w:tc>
      </w:tr>
      <w:tr w:rsidR="006E6D7A" w14:paraId="671579C8" w14:textId="77777777">
        <w:trPr>
          <w:trHeight w:val="300"/>
        </w:trPr>
        <w:tc>
          <w:tcPr>
            <w:tcW w:w="2240" w:type="dxa"/>
            <w:vMerge w:val="restart"/>
            <w:tcBorders>
              <w:left w:val="single" w:color="00A3A6" w:sz="8" w:space="0"/>
              <w:bottom w:val="single" w:color="00A3A6" w:sz="8" w:space="0"/>
              <w:right w:val="single" w:color="00A3A6" w:sz="8" w:space="0"/>
            </w:tcBorders>
            <w:shd w:val="clear" w:color="FFFFFF" w:fill="FFFFFF"/>
            <w:vAlign w:val="center"/>
          </w:tcPr>
          <w:p w:rsidR="006E6D7A" w:rsidRDefault="00B16C64" w14:paraId="671579C6" w14:textId="77777777">
            <w:pPr>
              <w:spacing w:after="0"/>
              <w:jc w:val="left"/>
              <w:rPr>
                <w:rFonts w:ascii="Calibri" w:hAnsi="Calibri" w:cs="Calibri"/>
                <w:bCs/>
                <w:color w:val="000000"/>
              </w:rPr>
            </w:pPr>
            <w:r>
              <w:rPr>
                <w:rFonts w:ascii="Calibri" w:hAnsi="Calibri" w:cs="Calibri"/>
                <w:bCs/>
                <w:color w:val="000000"/>
              </w:rPr>
              <w:t>MCS</w:t>
            </w:r>
          </w:p>
        </w:tc>
        <w:tc>
          <w:tcPr>
            <w:tcW w:w="7780" w:type="dxa"/>
            <w:vMerge w:val="restart"/>
            <w:tcBorders>
              <w:bottom w:val="single" w:color="00A3A6" w:sz="8" w:space="0"/>
              <w:right w:val="single" w:color="00A3A6" w:sz="8" w:space="0"/>
            </w:tcBorders>
            <w:shd w:val="clear" w:color="FFFFFF" w:fill="FFFFFF"/>
            <w:vAlign w:val="center"/>
          </w:tcPr>
          <w:p w:rsidR="006E6D7A" w:rsidRDefault="00B16C64" w14:paraId="671579C7" w14:textId="77777777">
            <w:pPr>
              <w:spacing w:after="0"/>
              <w:jc w:val="left"/>
              <w:rPr>
                <w:rFonts w:ascii="Calibri" w:hAnsi="Calibri" w:cs="Calibri"/>
                <w:color w:val="000000"/>
              </w:rPr>
            </w:pPr>
            <w:r>
              <w:rPr>
                <w:rFonts w:ascii="Calibri" w:hAnsi="Calibri" w:cs="Calibri"/>
                <w:color w:val="000000"/>
              </w:rPr>
              <w:t>Maintien en Condition de Sécurité (maintenance des correctifs de sécurité, audits, etc.</w:t>
            </w:r>
            <w:proofErr w:type="gramStart"/>
            <w:r>
              <w:rPr>
                <w:rFonts w:ascii="Calibri" w:hAnsi="Calibri" w:cs="Calibri"/>
                <w:color w:val="000000"/>
              </w:rPr>
              <w:t>).Protéger</w:t>
            </w:r>
            <w:proofErr w:type="gramEnd"/>
            <w:r>
              <w:rPr>
                <w:rFonts w:ascii="Calibri" w:hAnsi="Calibri" w:cs="Calibri"/>
                <w:color w:val="000000"/>
              </w:rPr>
              <w:t xml:space="preserve"> les données, les systèmes et les utilisateurs contre les menaces internes et externes.</w:t>
            </w:r>
          </w:p>
        </w:tc>
      </w:tr>
      <w:tr w:rsidR="006E6D7A" w14:paraId="671579CB"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C9" w14:textId="77777777">
            <w:pPr>
              <w:rPr>
                <w:rFonts w:ascii="Times New Roman" w:hAnsi="Times New Roman" w:cs="Times New Roman"/>
                <w:color w:val="00A3A6"/>
                <w:sz w:val="20"/>
                <w:szCs w:val="20"/>
              </w:rPr>
            </w:pPr>
            <w:r>
              <w:rPr>
                <w:color w:val="00A3A6"/>
                <w:sz w:val="20"/>
                <w:szCs w:val="20"/>
              </w:rPr>
              <w:t>MOA</w:t>
            </w:r>
          </w:p>
        </w:tc>
        <w:tc>
          <w:tcPr>
            <w:tcW w:w="7780" w:type="dxa"/>
            <w:tcBorders>
              <w:bottom w:val="single" w:color="00A3A6" w:sz="8" w:space="0"/>
              <w:right w:val="single" w:color="00A3A6" w:sz="8" w:space="0"/>
            </w:tcBorders>
            <w:shd w:val="clear" w:color="auto" w:fill="auto"/>
            <w:vAlign w:val="center"/>
          </w:tcPr>
          <w:p w:rsidR="006E6D7A" w:rsidRDefault="00B16C64" w14:paraId="671579CA" w14:textId="77777777">
            <w:pPr>
              <w:rPr>
                <w:rFonts w:ascii="Calibri" w:hAnsi="Calibri" w:cs="Calibri"/>
                <w:color w:val="000000"/>
              </w:rPr>
            </w:pPr>
            <w:r>
              <w:rPr>
                <w:rFonts w:cs="Calibri"/>
                <w:color w:val="000000"/>
              </w:rPr>
              <w:t>Maîtrise d’Ouvrage</w:t>
            </w:r>
          </w:p>
        </w:tc>
      </w:tr>
      <w:tr w:rsidR="006E6D7A" w14:paraId="671579CE"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CC" w14:textId="77777777">
            <w:pPr>
              <w:rPr>
                <w:rFonts w:ascii="Times New Roman" w:hAnsi="Times New Roman" w:cs="Times New Roman"/>
                <w:color w:val="00A3A6"/>
                <w:sz w:val="20"/>
                <w:szCs w:val="20"/>
              </w:rPr>
            </w:pPr>
            <w:r>
              <w:rPr>
                <w:color w:val="00A3A6"/>
                <w:sz w:val="20"/>
                <w:szCs w:val="20"/>
              </w:rPr>
              <w:t>MOE</w:t>
            </w:r>
          </w:p>
        </w:tc>
        <w:tc>
          <w:tcPr>
            <w:tcW w:w="7780" w:type="dxa"/>
            <w:tcBorders>
              <w:bottom w:val="single" w:color="00A3A6" w:sz="8" w:space="0"/>
              <w:right w:val="single" w:color="00A3A6" w:sz="8" w:space="0"/>
            </w:tcBorders>
            <w:shd w:val="clear" w:color="auto" w:fill="auto"/>
            <w:vAlign w:val="center"/>
          </w:tcPr>
          <w:p w:rsidR="006E6D7A" w:rsidRDefault="00B16C64" w14:paraId="671579CD" w14:textId="77777777">
            <w:pPr>
              <w:rPr>
                <w:rFonts w:ascii="Calibri" w:hAnsi="Calibri" w:cs="Calibri"/>
                <w:color w:val="000000"/>
              </w:rPr>
            </w:pPr>
            <w:r>
              <w:rPr>
                <w:rFonts w:cs="Calibri"/>
                <w:color w:val="000000"/>
              </w:rPr>
              <w:t>Maîtrise d’œuvre</w:t>
            </w:r>
          </w:p>
        </w:tc>
      </w:tr>
      <w:tr w:rsidR="006E6D7A" w14:paraId="671579D1"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CF" w14:textId="77777777">
            <w:pPr>
              <w:rPr>
                <w:color w:val="00A3A6"/>
                <w:sz w:val="20"/>
                <w:szCs w:val="20"/>
              </w:rPr>
            </w:pPr>
            <w:r>
              <w:rPr>
                <w:color w:val="00A3A6"/>
                <w:sz w:val="20"/>
                <w:szCs w:val="20"/>
              </w:rPr>
              <w:t>MVP</w:t>
            </w:r>
          </w:p>
        </w:tc>
        <w:tc>
          <w:tcPr>
            <w:tcW w:w="7780" w:type="dxa"/>
            <w:tcBorders>
              <w:bottom w:val="single" w:color="00A3A6" w:sz="8" w:space="0"/>
              <w:right w:val="single" w:color="00A3A6" w:sz="8" w:space="0"/>
            </w:tcBorders>
            <w:shd w:val="clear" w:color="auto" w:fill="auto"/>
            <w:vAlign w:val="center"/>
          </w:tcPr>
          <w:p w:rsidR="006E6D7A" w:rsidRDefault="00B16C64" w14:paraId="671579D0" w14:textId="77777777">
            <w:pPr>
              <w:rPr>
                <w:rFonts w:ascii="Calibri" w:hAnsi="Calibri" w:cs="Calibri"/>
                <w:color w:val="000000"/>
              </w:rPr>
            </w:pPr>
            <w:r>
              <w:rPr>
                <w:rFonts w:cs="Calibri"/>
                <w:color w:val="000000"/>
              </w:rPr>
              <w:t>Minimum Viable Product</w:t>
            </w:r>
          </w:p>
        </w:tc>
      </w:tr>
      <w:tr w:rsidR="006E6D7A" w14:paraId="671579D4"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D2" w14:textId="77777777">
            <w:pPr>
              <w:rPr>
                <w:color w:val="00A3A6"/>
                <w:sz w:val="20"/>
                <w:szCs w:val="20"/>
              </w:rPr>
            </w:pPr>
            <w:r>
              <w:rPr>
                <w:color w:val="00A3A6"/>
                <w:sz w:val="20"/>
                <w:szCs w:val="20"/>
              </w:rPr>
              <w:t>PaaS</w:t>
            </w:r>
          </w:p>
        </w:tc>
        <w:tc>
          <w:tcPr>
            <w:tcW w:w="7780" w:type="dxa"/>
            <w:tcBorders>
              <w:bottom w:val="single" w:color="00A3A6" w:sz="8" w:space="0"/>
              <w:right w:val="single" w:color="00A3A6" w:sz="8" w:space="0"/>
            </w:tcBorders>
            <w:shd w:val="clear" w:color="auto" w:fill="auto"/>
            <w:vAlign w:val="center"/>
          </w:tcPr>
          <w:p w:rsidR="006E6D7A" w:rsidRDefault="00B16C64" w14:paraId="671579D3" w14:textId="77777777">
            <w:pPr>
              <w:rPr>
                <w:rFonts w:cs="Calibri"/>
                <w:color w:val="000000"/>
              </w:rPr>
            </w:pPr>
            <w:r>
              <w:rPr>
                <w:rFonts w:cs="Calibri"/>
                <w:color w:val="000000"/>
              </w:rPr>
              <w:t xml:space="preserve">Platform </w:t>
            </w:r>
            <w:proofErr w:type="gramStart"/>
            <w:r>
              <w:rPr>
                <w:rFonts w:cs="Calibri"/>
                <w:color w:val="000000"/>
              </w:rPr>
              <w:t>as</w:t>
            </w:r>
            <w:proofErr w:type="gramEnd"/>
            <w:r>
              <w:rPr>
                <w:rFonts w:cs="Calibri"/>
                <w:color w:val="000000"/>
              </w:rPr>
              <w:t xml:space="preserve"> a Service</w:t>
            </w:r>
          </w:p>
        </w:tc>
      </w:tr>
      <w:tr w:rsidR="006E6D7A" w14:paraId="671579D7"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D5" w14:textId="77777777">
            <w:pPr>
              <w:rPr>
                <w:rFonts w:ascii="Times New Roman" w:hAnsi="Times New Roman" w:cs="Times New Roman"/>
                <w:color w:val="00A3A6"/>
                <w:sz w:val="20"/>
                <w:szCs w:val="20"/>
              </w:rPr>
            </w:pPr>
            <w:r>
              <w:rPr>
                <w:color w:val="00A3A6"/>
                <w:sz w:val="20"/>
                <w:szCs w:val="20"/>
              </w:rPr>
              <w:t>PAS</w:t>
            </w:r>
          </w:p>
        </w:tc>
        <w:tc>
          <w:tcPr>
            <w:tcW w:w="7780" w:type="dxa"/>
            <w:tcBorders>
              <w:bottom w:val="single" w:color="00A3A6" w:sz="8" w:space="0"/>
              <w:right w:val="single" w:color="00A3A6" w:sz="8" w:space="0"/>
            </w:tcBorders>
            <w:shd w:val="clear" w:color="auto" w:fill="auto"/>
            <w:vAlign w:val="center"/>
          </w:tcPr>
          <w:p w:rsidR="006E6D7A" w:rsidRDefault="00B16C64" w14:paraId="671579D6" w14:textId="77777777">
            <w:pPr>
              <w:rPr>
                <w:rFonts w:ascii="Calibri" w:hAnsi="Calibri" w:cs="Calibri"/>
                <w:color w:val="000000"/>
              </w:rPr>
            </w:pPr>
            <w:r>
              <w:rPr>
                <w:rFonts w:cs="Calibri"/>
                <w:color w:val="000000"/>
              </w:rPr>
              <w:t>Plan d’Assurance Sécurité</w:t>
            </w:r>
          </w:p>
        </w:tc>
      </w:tr>
      <w:tr w:rsidR="006E6D7A" w14:paraId="671579DA"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D8" w14:textId="77777777">
            <w:pPr>
              <w:rPr>
                <w:color w:val="00A3A6"/>
                <w:sz w:val="20"/>
                <w:szCs w:val="20"/>
              </w:rPr>
            </w:pPr>
            <w:r>
              <w:rPr>
                <w:color w:val="00A3A6"/>
                <w:sz w:val="20"/>
                <w:szCs w:val="20"/>
              </w:rPr>
              <w:t>PAQ</w:t>
            </w:r>
          </w:p>
        </w:tc>
        <w:tc>
          <w:tcPr>
            <w:tcW w:w="7780" w:type="dxa"/>
            <w:tcBorders>
              <w:bottom w:val="single" w:color="00A3A6" w:sz="8" w:space="0"/>
              <w:right w:val="single" w:color="00A3A6" w:sz="8" w:space="0"/>
            </w:tcBorders>
            <w:shd w:val="clear" w:color="auto" w:fill="auto"/>
            <w:vAlign w:val="center"/>
          </w:tcPr>
          <w:p w:rsidR="006E6D7A" w:rsidRDefault="00B16C64" w14:paraId="671579D9" w14:textId="77777777">
            <w:pPr>
              <w:rPr>
                <w:rFonts w:ascii="Calibri" w:hAnsi="Calibri" w:cs="Calibri"/>
                <w:color w:val="000000"/>
              </w:rPr>
            </w:pPr>
            <w:r>
              <w:rPr>
                <w:rFonts w:cs="Calibri"/>
                <w:color w:val="000000"/>
              </w:rPr>
              <w:t>Plan d'Assurance Qualité</w:t>
            </w:r>
          </w:p>
        </w:tc>
      </w:tr>
      <w:tr w:rsidR="006E6D7A" w14:paraId="671579DD"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DB" w14:textId="77777777">
            <w:pPr>
              <w:rPr>
                <w:rFonts w:ascii="Times New Roman" w:hAnsi="Times New Roman" w:cs="Times New Roman"/>
                <w:color w:val="00A3A6"/>
                <w:sz w:val="20"/>
                <w:szCs w:val="20"/>
              </w:rPr>
            </w:pPr>
            <w:r>
              <w:rPr>
                <w:color w:val="00A3A6"/>
                <w:sz w:val="20"/>
                <w:szCs w:val="20"/>
              </w:rPr>
              <w:t>PJ</w:t>
            </w:r>
          </w:p>
        </w:tc>
        <w:tc>
          <w:tcPr>
            <w:tcW w:w="7780" w:type="dxa"/>
            <w:tcBorders>
              <w:bottom w:val="single" w:color="00A3A6" w:sz="8" w:space="0"/>
              <w:right w:val="single" w:color="00A3A6" w:sz="8" w:space="0"/>
            </w:tcBorders>
            <w:shd w:val="clear" w:color="auto" w:fill="auto"/>
            <w:vAlign w:val="center"/>
          </w:tcPr>
          <w:p w:rsidR="006E6D7A" w:rsidRDefault="00B16C64" w14:paraId="671579DC" w14:textId="77777777">
            <w:pPr>
              <w:rPr>
                <w:rFonts w:ascii="Calibri" w:hAnsi="Calibri" w:cs="Calibri"/>
                <w:color w:val="000000"/>
              </w:rPr>
            </w:pPr>
            <w:r>
              <w:rPr>
                <w:rFonts w:cs="Calibri"/>
                <w:color w:val="000000"/>
              </w:rPr>
              <w:t>Projet</w:t>
            </w:r>
          </w:p>
        </w:tc>
      </w:tr>
      <w:tr w:rsidR="006E6D7A" w14:paraId="671579E0" w14:textId="77777777">
        <w:trPr>
          <w:trHeight w:val="300"/>
        </w:trPr>
        <w:tc>
          <w:tcPr>
            <w:tcW w:w="2240" w:type="dxa"/>
            <w:vMerge w:val="restart"/>
            <w:tcBorders>
              <w:left w:val="single" w:color="00A3A6" w:sz="8" w:space="0"/>
              <w:bottom w:val="single" w:color="00A3A6" w:sz="8" w:space="0"/>
              <w:right w:val="single" w:color="00A3A6" w:sz="8" w:space="0"/>
            </w:tcBorders>
            <w:shd w:val="clear" w:color="FFFFFF" w:fill="FFFFFF"/>
            <w:vAlign w:val="center"/>
          </w:tcPr>
          <w:p w:rsidR="006E6D7A" w:rsidRDefault="00B16C64" w14:paraId="671579DE" w14:textId="77777777">
            <w:pPr>
              <w:spacing w:after="0"/>
              <w:jc w:val="left"/>
              <w:rPr>
                <w:rFonts w:ascii="Calibri" w:hAnsi="Calibri" w:cs="Calibri"/>
                <w:bCs/>
                <w:color w:val="000000"/>
              </w:rPr>
            </w:pPr>
            <w:r>
              <w:rPr>
                <w:rFonts w:ascii="Calibri" w:hAnsi="Calibri" w:cs="Calibri"/>
                <w:bCs/>
                <w:color w:val="000000"/>
              </w:rPr>
              <w:t xml:space="preserve">Plateforme </w:t>
            </w:r>
            <w:proofErr w:type="spellStart"/>
            <w:r>
              <w:rPr>
                <w:rFonts w:ascii="Calibri" w:hAnsi="Calibri" w:cs="Calibri"/>
                <w:bCs/>
                <w:color w:val="000000"/>
              </w:rPr>
              <w:t>Kubernetes</w:t>
            </w:r>
            <w:proofErr w:type="spellEnd"/>
          </w:p>
        </w:tc>
        <w:tc>
          <w:tcPr>
            <w:tcW w:w="7780" w:type="dxa"/>
            <w:vMerge w:val="restart"/>
            <w:tcBorders>
              <w:bottom w:val="single" w:color="00A3A6" w:sz="8" w:space="0"/>
              <w:right w:val="single" w:color="00A3A6" w:sz="8" w:space="0"/>
            </w:tcBorders>
            <w:shd w:val="clear" w:color="FFFFFF" w:fill="FFFFFF"/>
            <w:vAlign w:val="center"/>
          </w:tcPr>
          <w:p w:rsidR="006E6D7A" w:rsidRDefault="00B16C64" w14:paraId="671579DF" w14:textId="77777777">
            <w:pPr>
              <w:spacing w:after="0"/>
              <w:jc w:val="left"/>
              <w:rPr>
                <w:rFonts w:ascii="Calibri" w:hAnsi="Calibri" w:cs="Calibri"/>
                <w:color w:val="000000"/>
              </w:rPr>
            </w:pPr>
            <w:r>
              <w:rPr>
                <w:rFonts w:ascii="Calibri" w:hAnsi="Calibri" w:cs="Calibri"/>
                <w:color w:val="000000"/>
              </w:rPr>
              <w:t xml:space="preserve">Ensemble des services et infrastructures permettant le </w:t>
            </w:r>
            <w:proofErr w:type="gramStart"/>
            <w:r>
              <w:rPr>
                <w:rFonts w:ascii="Calibri" w:hAnsi="Calibri" w:cs="Calibri"/>
                <w:color w:val="000000"/>
              </w:rPr>
              <w:t>déploiement,  l’orchestration</w:t>
            </w:r>
            <w:proofErr w:type="gramEnd"/>
            <w:r>
              <w:rPr>
                <w:rFonts w:ascii="Calibri" w:hAnsi="Calibri" w:cs="Calibri"/>
                <w:color w:val="000000"/>
              </w:rPr>
              <w:t xml:space="preserve"> et l’exploitation d’applications conteneurisées.</w:t>
            </w:r>
          </w:p>
        </w:tc>
      </w:tr>
      <w:tr w:rsidR="006E6D7A" w14:paraId="671579E3"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E1" w14:textId="77777777">
            <w:pPr>
              <w:rPr>
                <w:rFonts w:ascii="Times New Roman" w:hAnsi="Times New Roman" w:cs="Times New Roman"/>
                <w:color w:val="00A3A6"/>
                <w:sz w:val="20"/>
                <w:szCs w:val="20"/>
              </w:rPr>
            </w:pPr>
            <w:r>
              <w:rPr>
                <w:color w:val="00A3A6"/>
                <w:sz w:val="20"/>
                <w:szCs w:val="20"/>
              </w:rPr>
              <w:t>PO</w:t>
            </w:r>
          </w:p>
        </w:tc>
        <w:tc>
          <w:tcPr>
            <w:tcW w:w="7780" w:type="dxa"/>
            <w:tcBorders>
              <w:bottom w:val="single" w:color="00A3A6" w:sz="8" w:space="0"/>
              <w:right w:val="single" w:color="00A3A6" w:sz="8" w:space="0"/>
            </w:tcBorders>
            <w:shd w:val="clear" w:color="auto" w:fill="auto"/>
            <w:vAlign w:val="center"/>
          </w:tcPr>
          <w:p w:rsidR="006E6D7A" w:rsidRDefault="00B16C64" w14:paraId="671579E2" w14:textId="77777777">
            <w:pPr>
              <w:rPr>
                <w:rFonts w:ascii="Calibri" w:hAnsi="Calibri" w:cs="Calibri"/>
                <w:color w:val="000000"/>
              </w:rPr>
            </w:pPr>
            <w:r>
              <w:rPr>
                <w:rFonts w:cs="Calibri"/>
                <w:color w:val="000000"/>
              </w:rPr>
              <w:t xml:space="preserve">Product </w:t>
            </w:r>
            <w:proofErr w:type="spellStart"/>
            <w:r>
              <w:rPr>
                <w:rFonts w:cs="Calibri"/>
                <w:color w:val="000000"/>
              </w:rPr>
              <w:t>Owner</w:t>
            </w:r>
            <w:proofErr w:type="spellEnd"/>
          </w:p>
        </w:tc>
      </w:tr>
      <w:tr w:rsidR="006E6D7A" w14:paraId="671579E6"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E4" w14:textId="77777777">
            <w:pPr>
              <w:rPr>
                <w:color w:val="00A3A6"/>
                <w:sz w:val="20"/>
                <w:szCs w:val="20"/>
              </w:rPr>
            </w:pPr>
            <w:r>
              <w:rPr>
                <w:color w:val="00A3A6"/>
                <w:sz w:val="20"/>
                <w:szCs w:val="20"/>
              </w:rPr>
              <w:t>PPO</w:t>
            </w:r>
          </w:p>
        </w:tc>
        <w:tc>
          <w:tcPr>
            <w:tcW w:w="7780" w:type="dxa"/>
            <w:tcBorders>
              <w:bottom w:val="single" w:color="00A3A6" w:sz="8" w:space="0"/>
              <w:right w:val="single" w:color="00A3A6" w:sz="8" w:space="0"/>
            </w:tcBorders>
            <w:shd w:val="clear" w:color="auto" w:fill="auto"/>
            <w:vAlign w:val="center"/>
          </w:tcPr>
          <w:p w:rsidR="006E6D7A" w:rsidRDefault="00B16C64" w14:paraId="671579E5" w14:textId="77777777">
            <w:pPr>
              <w:rPr>
                <w:rFonts w:ascii="Calibri" w:hAnsi="Calibri" w:cs="Calibri"/>
                <w:color w:val="000000"/>
              </w:rPr>
            </w:pPr>
            <w:r>
              <w:rPr>
                <w:rFonts w:cs="Calibri"/>
                <w:color w:val="000000"/>
              </w:rPr>
              <w:t xml:space="preserve">Proxy Product </w:t>
            </w:r>
            <w:proofErr w:type="spellStart"/>
            <w:r>
              <w:rPr>
                <w:rFonts w:cs="Calibri"/>
                <w:color w:val="000000"/>
              </w:rPr>
              <w:t>Owner</w:t>
            </w:r>
            <w:proofErr w:type="spellEnd"/>
          </w:p>
        </w:tc>
      </w:tr>
      <w:tr w:rsidR="006E6D7A" w14:paraId="671579E9"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E7" w14:textId="77777777">
            <w:pPr>
              <w:rPr>
                <w:rFonts w:ascii="Times New Roman" w:hAnsi="Times New Roman" w:cs="Times New Roman"/>
                <w:color w:val="00A3A6"/>
                <w:sz w:val="20"/>
                <w:szCs w:val="20"/>
              </w:rPr>
            </w:pPr>
            <w:r>
              <w:rPr>
                <w:color w:val="00A3A6"/>
                <w:sz w:val="20"/>
                <w:szCs w:val="20"/>
              </w:rPr>
              <w:lastRenderedPageBreak/>
              <w:t>RACI</w:t>
            </w:r>
          </w:p>
        </w:tc>
        <w:tc>
          <w:tcPr>
            <w:tcW w:w="7780" w:type="dxa"/>
            <w:tcBorders>
              <w:bottom w:val="single" w:color="00A3A6" w:sz="8" w:space="0"/>
              <w:right w:val="single" w:color="00A3A6" w:sz="8" w:space="0"/>
            </w:tcBorders>
            <w:shd w:val="clear" w:color="auto" w:fill="auto"/>
            <w:vAlign w:val="center"/>
          </w:tcPr>
          <w:p w:rsidR="006E6D7A" w:rsidRDefault="00B16C64" w14:paraId="671579E8" w14:textId="77777777">
            <w:pPr>
              <w:rPr>
                <w:rFonts w:ascii="Calibri" w:hAnsi="Calibri" w:cs="Calibri"/>
                <w:color w:val="000000"/>
              </w:rPr>
            </w:pPr>
            <w:r>
              <w:rPr>
                <w:rFonts w:cs="Calibri"/>
                <w:color w:val="000000"/>
              </w:rPr>
              <w:t>Matrice de responsabilités appliquée aux activités / livrables (Responsable, Approbateur, Contributeur, Informé)</w:t>
            </w:r>
          </w:p>
        </w:tc>
      </w:tr>
      <w:tr w:rsidR="006E6D7A" w14:paraId="671579EC" w14:textId="77777777">
        <w:trPr>
          <w:trHeight w:val="59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EA" w14:textId="77777777">
            <w:pPr>
              <w:rPr>
                <w:rFonts w:ascii="Times New Roman" w:hAnsi="Times New Roman" w:cs="Times New Roman"/>
                <w:color w:val="00A3A6"/>
                <w:sz w:val="20"/>
                <w:szCs w:val="20"/>
              </w:rPr>
            </w:pPr>
            <w:r>
              <w:rPr>
                <w:color w:val="00A3A6"/>
                <w:sz w:val="20"/>
                <w:szCs w:val="20"/>
              </w:rPr>
              <w:t>RPO</w:t>
            </w:r>
          </w:p>
        </w:tc>
        <w:tc>
          <w:tcPr>
            <w:tcW w:w="7780" w:type="dxa"/>
            <w:tcBorders>
              <w:bottom w:val="single" w:color="00A3A6" w:sz="8" w:space="0"/>
              <w:right w:val="single" w:color="00A3A6" w:sz="8" w:space="0"/>
            </w:tcBorders>
            <w:shd w:val="clear" w:color="auto" w:fill="auto"/>
            <w:vAlign w:val="center"/>
          </w:tcPr>
          <w:p w:rsidR="006E6D7A" w:rsidRDefault="00B16C64" w14:paraId="671579EB" w14:textId="77777777">
            <w:pPr>
              <w:rPr>
                <w:rFonts w:ascii="Calibri" w:hAnsi="Calibri" w:cs="Calibri"/>
                <w:color w:val="000000"/>
              </w:rPr>
            </w:pPr>
            <w:r>
              <w:rPr>
                <w:rFonts w:cs="Calibri"/>
                <w:color w:val="000000"/>
              </w:rPr>
              <w:t>Restart Point Objective : Objectif de point de reprise, assimilable à la quantité de perte de données tolérée</w:t>
            </w:r>
          </w:p>
        </w:tc>
      </w:tr>
      <w:tr w:rsidR="006E6D7A" w14:paraId="671579EF" w14:textId="77777777">
        <w:trPr>
          <w:trHeight w:val="59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ED" w14:textId="77777777">
            <w:pPr>
              <w:rPr>
                <w:rFonts w:ascii="Times New Roman" w:hAnsi="Times New Roman" w:cs="Times New Roman"/>
                <w:color w:val="00A3A6"/>
                <w:sz w:val="20"/>
                <w:szCs w:val="20"/>
              </w:rPr>
            </w:pPr>
            <w:r>
              <w:rPr>
                <w:color w:val="00A3A6"/>
                <w:sz w:val="20"/>
                <w:szCs w:val="20"/>
              </w:rPr>
              <w:t>RTO</w:t>
            </w:r>
          </w:p>
        </w:tc>
        <w:tc>
          <w:tcPr>
            <w:tcW w:w="7780" w:type="dxa"/>
            <w:tcBorders>
              <w:bottom w:val="single" w:color="00A3A6" w:sz="8" w:space="0"/>
              <w:right w:val="single" w:color="00A3A6" w:sz="8" w:space="0"/>
            </w:tcBorders>
            <w:shd w:val="clear" w:color="auto" w:fill="auto"/>
            <w:vAlign w:val="center"/>
          </w:tcPr>
          <w:p w:rsidR="006E6D7A" w:rsidRDefault="00B16C64" w14:paraId="671579EE" w14:textId="77777777">
            <w:pPr>
              <w:rPr>
                <w:rFonts w:ascii="Calibri" w:hAnsi="Calibri" w:cs="Calibri"/>
                <w:color w:val="000000"/>
              </w:rPr>
            </w:pPr>
            <w:r>
              <w:rPr>
                <w:rFonts w:cs="Calibri"/>
                <w:color w:val="000000"/>
              </w:rPr>
              <w:t>Restart Time Objective : Objectif de délai de remise en service</w:t>
            </w:r>
          </w:p>
        </w:tc>
      </w:tr>
      <w:tr w:rsidR="006E6D7A" w14:paraId="671579F2"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F0" w14:textId="77777777">
            <w:pPr>
              <w:rPr>
                <w:rFonts w:ascii="Times New Roman" w:hAnsi="Times New Roman" w:cs="Times New Roman"/>
                <w:color w:val="00A3A6"/>
                <w:sz w:val="20"/>
                <w:szCs w:val="20"/>
              </w:rPr>
            </w:pPr>
            <w:r>
              <w:rPr>
                <w:color w:val="00A3A6"/>
                <w:sz w:val="20"/>
                <w:szCs w:val="20"/>
              </w:rPr>
              <w:t>SaaS</w:t>
            </w:r>
          </w:p>
        </w:tc>
        <w:tc>
          <w:tcPr>
            <w:tcW w:w="7780" w:type="dxa"/>
            <w:tcBorders>
              <w:bottom w:val="single" w:color="00A3A6" w:sz="8" w:space="0"/>
              <w:right w:val="single" w:color="00A3A6" w:sz="8" w:space="0"/>
            </w:tcBorders>
            <w:shd w:val="clear" w:color="auto" w:fill="auto"/>
            <w:vAlign w:val="center"/>
          </w:tcPr>
          <w:p w:rsidR="006E6D7A" w:rsidRDefault="00B16C64" w14:paraId="671579F1" w14:textId="77777777">
            <w:pPr>
              <w:rPr>
                <w:rFonts w:ascii="Calibri" w:hAnsi="Calibri" w:cs="Calibri"/>
                <w:color w:val="000000"/>
              </w:rPr>
            </w:pPr>
            <w:r>
              <w:rPr>
                <w:rFonts w:cs="Calibri"/>
                <w:color w:val="000000"/>
              </w:rPr>
              <w:t xml:space="preserve">Software as </w:t>
            </w:r>
            <w:proofErr w:type="gramStart"/>
            <w:r>
              <w:rPr>
                <w:rFonts w:cs="Calibri"/>
                <w:color w:val="000000"/>
              </w:rPr>
              <w:t>a</w:t>
            </w:r>
            <w:proofErr w:type="gramEnd"/>
            <w:r>
              <w:rPr>
                <w:rFonts w:cs="Calibri"/>
                <w:color w:val="000000"/>
              </w:rPr>
              <w:t xml:space="preserve"> Service</w:t>
            </w:r>
          </w:p>
        </w:tc>
      </w:tr>
      <w:tr w:rsidR="006E6D7A" w14:paraId="671579F5"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F3" w14:textId="77777777">
            <w:pPr>
              <w:rPr>
                <w:rFonts w:ascii="Times New Roman" w:hAnsi="Times New Roman" w:cs="Times New Roman"/>
                <w:color w:val="00A3A6"/>
                <w:sz w:val="20"/>
                <w:szCs w:val="20"/>
              </w:rPr>
            </w:pPr>
            <w:r>
              <w:rPr>
                <w:color w:val="00A3A6"/>
                <w:sz w:val="20"/>
                <w:szCs w:val="20"/>
              </w:rPr>
              <w:t>SCRUM</w:t>
            </w:r>
          </w:p>
        </w:tc>
        <w:tc>
          <w:tcPr>
            <w:tcW w:w="7780" w:type="dxa"/>
            <w:tcBorders>
              <w:bottom w:val="single" w:color="00A3A6" w:sz="8" w:space="0"/>
              <w:right w:val="single" w:color="00A3A6" w:sz="8" w:space="0"/>
            </w:tcBorders>
            <w:shd w:val="clear" w:color="auto" w:fill="auto"/>
            <w:vAlign w:val="center"/>
          </w:tcPr>
          <w:p w:rsidR="006E6D7A" w:rsidRDefault="00B16C64" w14:paraId="671579F4" w14:textId="77777777">
            <w:pPr>
              <w:rPr>
                <w:rFonts w:ascii="Calibri" w:hAnsi="Calibri" w:cs="Calibri"/>
                <w:color w:val="000000"/>
              </w:rPr>
            </w:pPr>
            <w:r>
              <w:rPr>
                <w:rFonts w:cs="Calibri"/>
                <w:color w:val="000000"/>
              </w:rPr>
              <w:t>"mêlée" en anglais : méthode agile consacrée à la gestion de projet</w:t>
            </w:r>
          </w:p>
        </w:tc>
      </w:tr>
      <w:tr w:rsidR="006E6D7A" w14:paraId="671579F8"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F6" w14:textId="77777777">
            <w:pPr>
              <w:rPr>
                <w:color w:val="00A3A6"/>
                <w:sz w:val="20"/>
                <w:szCs w:val="20"/>
              </w:rPr>
            </w:pPr>
            <w:r>
              <w:rPr>
                <w:color w:val="00A3A6"/>
                <w:sz w:val="20"/>
                <w:szCs w:val="20"/>
              </w:rPr>
              <w:t>SM</w:t>
            </w:r>
          </w:p>
        </w:tc>
        <w:tc>
          <w:tcPr>
            <w:tcW w:w="7780" w:type="dxa"/>
            <w:tcBorders>
              <w:bottom w:val="single" w:color="00A3A6" w:sz="8" w:space="0"/>
              <w:right w:val="single" w:color="00A3A6" w:sz="8" w:space="0"/>
            </w:tcBorders>
            <w:shd w:val="clear" w:color="auto" w:fill="auto"/>
            <w:vAlign w:val="center"/>
          </w:tcPr>
          <w:p w:rsidR="006E6D7A" w:rsidRDefault="00B16C64" w14:paraId="671579F7" w14:textId="77777777">
            <w:pPr>
              <w:rPr>
                <w:rFonts w:ascii="Calibri" w:hAnsi="Calibri" w:cs="Calibri"/>
                <w:color w:val="000000"/>
              </w:rPr>
            </w:pPr>
            <w:r>
              <w:rPr>
                <w:rFonts w:cs="Calibri"/>
                <w:color w:val="000000"/>
              </w:rPr>
              <w:t>Scrum Master</w:t>
            </w:r>
          </w:p>
        </w:tc>
      </w:tr>
      <w:tr w:rsidR="006E6D7A" w14:paraId="671579FB"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F9" w14:textId="77777777">
            <w:pPr>
              <w:rPr>
                <w:rFonts w:ascii="Times New Roman" w:hAnsi="Times New Roman" w:cs="Times New Roman"/>
                <w:color w:val="00A3A6"/>
                <w:sz w:val="20"/>
                <w:szCs w:val="20"/>
              </w:rPr>
            </w:pPr>
            <w:r>
              <w:rPr>
                <w:color w:val="00A3A6"/>
                <w:sz w:val="20"/>
                <w:szCs w:val="20"/>
              </w:rPr>
              <w:t>SLA</w:t>
            </w:r>
          </w:p>
        </w:tc>
        <w:tc>
          <w:tcPr>
            <w:tcW w:w="7780" w:type="dxa"/>
            <w:tcBorders>
              <w:bottom w:val="single" w:color="00A3A6" w:sz="8" w:space="0"/>
              <w:right w:val="single" w:color="00A3A6" w:sz="8" w:space="0"/>
            </w:tcBorders>
            <w:shd w:val="clear" w:color="auto" w:fill="auto"/>
            <w:vAlign w:val="center"/>
          </w:tcPr>
          <w:p w:rsidR="006E6D7A" w:rsidRDefault="00B16C64" w14:paraId="671579FA" w14:textId="77777777">
            <w:pPr>
              <w:rPr>
                <w:rFonts w:ascii="Calibri" w:hAnsi="Calibri" w:cs="Calibri"/>
                <w:color w:val="000000"/>
              </w:rPr>
            </w:pPr>
            <w:r>
              <w:rPr>
                <w:rFonts w:cs="Calibri"/>
                <w:color w:val="000000"/>
              </w:rPr>
              <w:t xml:space="preserve">Contrat de service (Service </w:t>
            </w:r>
            <w:proofErr w:type="spellStart"/>
            <w:r>
              <w:rPr>
                <w:rFonts w:cs="Calibri"/>
                <w:color w:val="000000"/>
              </w:rPr>
              <w:t>Level</w:t>
            </w:r>
            <w:proofErr w:type="spellEnd"/>
            <w:r>
              <w:rPr>
                <w:rFonts w:cs="Calibri"/>
                <w:color w:val="000000"/>
              </w:rPr>
              <w:t xml:space="preserve"> Agreement)</w:t>
            </w:r>
          </w:p>
        </w:tc>
      </w:tr>
      <w:tr w:rsidR="006E6D7A" w14:paraId="671579FE" w14:textId="77777777">
        <w:trPr>
          <w:trHeight w:val="59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FC" w14:textId="77777777">
            <w:pPr>
              <w:rPr>
                <w:rFonts w:ascii="Times New Roman" w:hAnsi="Times New Roman" w:cs="Times New Roman"/>
                <w:color w:val="00A3A6"/>
                <w:sz w:val="20"/>
                <w:szCs w:val="20"/>
              </w:rPr>
            </w:pPr>
            <w:r>
              <w:rPr>
                <w:color w:val="00A3A6"/>
                <w:sz w:val="20"/>
                <w:szCs w:val="20"/>
              </w:rPr>
              <w:t>TCO</w:t>
            </w:r>
          </w:p>
        </w:tc>
        <w:tc>
          <w:tcPr>
            <w:tcW w:w="7780" w:type="dxa"/>
            <w:tcBorders>
              <w:bottom w:val="single" w:color="00A3A6" w:sz="8" w:space="0"/>
              <w:right w:val="single" w:color="00A3A6" w:sz="8" w:space="0"/>
            </w:tcBorders>
            <w:shd w:val="clear" w:color="auto" w:fill="auto"/>
            <w:vAlign w:val="center"/>
          </w:tcPr>
          <w:p w:rsidR="006E6D7A" w:rsidRDefault="00B16C64" w14:paraId="671579FD" w14:textId="77777777">
            <w:pPr>
              <w:rPr>
                <w:rFonts w:ascii="Calibri" w:hAnsi="Calibri" w:cs="Calibri"/>
                <w:color w:val="000000"/>
              </w:rPr>
            </w:pPr>
            <w:r>
              <w:rPr>
                <w:rFonts w:cs="Calibri"/>
                <w:color w:val="000000"/>
              </w:rPr>
              <w:t xml:space="preserve">Coût total de possession du système (somme des coûts de mise en service et d’exploitation sur la durée de vie du système) : Total </w:t>
            </w:r>
            <w:proofErr w:type="spellStart"/>
            <w:r>
              <w:rPr>
                <w:rFonts w:cs="Calibri"/>
                <w:color w:val="000000"/>
              </w:rPr>
              <w:t>Cost</w:t>
            </w:r>
            <w:proofErr w:type="spellEnd"/>
            <w:r>
              <w:rPr>
                <w:rFonts w:cs="Calibri"/>
                <w:color w:val="000000"/>
              </w:rPr>
              <w:t xml:space="preserve"> of </w:t>
            </w:r>
            <w:proofErr w:type="spellStart"/>
            <w:r>
              <w:rPr>
                <w:rFonts w:cs="Calibri"/>
                <w:color w:val="000000"/>
              </w:rPr>
              <w:t>Ownership</w:t>
            </w:r>
            <w:proofErr w:type="spellEnd"/>
            <w:r>
              <w:rPr>
                <w:rFonts w:cs="Calibri"/>
                <w:color w:val="000000"/>
              </w:rPr>
              <w:t>.</w:t>
            </w:r>
          </w:p>
        </w:tc>
      </w:tr>
      <w:tr w:rsidR="006E6D7A" w14:paraId="67157A01"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9FF" w14:textId="77777777">
            <w:pPr>
              <w:rPr>
                <w:rFonts w:ascii="Times New Roman" w:hAnsi="Times New Roman" w:cs="Times New Roman"/>
                <w:color w:val="00A3A6"/>
                <w:sz w:val="20"/>
                <w:szCs w:val="20"/>
              </w:rPr>
            </w:pPr>
            <w:r>
              <w:rPr>
                <w:color w:val="00A3A6"/>
                <w:sz w:val="20"/>
                <w:szCs w:val="20"/>
              </w:rPr>
              <w:t>TMA</w:t>
            </w:r>
          </w:p>
        </w:tc>
        <w:tc>
          <w:tcPr>
            <w:tcW w:w="7780" w:type="dxa"/>
            <w:tcBorders>
              <w:bottom w:val="single" w:color="00A3A6" w:sz="8" w:space="0"/>
              <w:right w:val="single" w:color="00A3A6" w:sz="8" w:space="0"/>
            </w:tcBorders>
            <w:shd w:val="clear" w:color="auto" w:fill="auto"/>
            <w:vAlign w:val="center"/>
          </w:tcPr>
          <w:p w:rsidR="006E6D7A" w:rsidRDefault="00B16C64" w14:paraId="67157A00" w14:textId="77777777">
            <w:pPr>
              <w:rPr>
                <w:rFonts w:ascii="Calibri" w:hAnsi="Calibri" w:cs="Calibri"/>
                <w:color w:val="000000"/>
              </w:rPr>
            </w:pPr>
            <w:r>
              <w:rPr>
                <w:rFonts w:cs="Calibri"/>
                <w:color w:val="000000"/>
              </w:rPr>
              <w:t>Tierce Maintenance Applicative (prestataire)</w:t>
            </w:r>
          </w:p>
        </w:tc>
      </w:tr>
      <w:tr w:rsidR="006E6D7A" w14:paraId="67157A04"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02" w14:textId="77777777">
            <w:pPr>
              <w:rPr>
                <w:rFonts w:ascii="Times New Roman" w:hAnsi="Times New Roman" w:cs="Times New Roman"/>
                <w:color w:val="00A3A6"/>
                <w:sz w:val="20"/>
                <w:szCs w:val="20"/>
              </w:rPr>
            </w:pPr>
            <w:r>
              <w:rPr>
                <w:color w:val="00A3A6"/>
                <w:sz w:val="20"/>
                <w:szCs w:val="20"/>
              </w:rPr>
              <w:t>VA</w:t>
            </w:r>
          </w:p>
        </w:tc>
        <w:tc>
          <w:tcPr>
            <w:tcW w:w="7780" w:type="dxa"/>
            <w:tcBorders>
              <w:bottom w:val="single" w:color="00A3A6" w:sz="8" w:space="0"/>
              <w:right w:val="single" w:color="00A3A6" w:sz="8" w:space="0"/>
            </w:tcBorders>
            <w:shd w:val="clear" w:color="auto" w:fill="auto"/>
            <w:vAlign w:val="center"/>
          </w:tcPr>
          <w:p w:rsidR="006E6D7A" w:rsidRDefault="00B16C64" w14:paraId="67157A03" w14:textId="77777777">
            <w:pPr>
              <w:rPr>
                <w:rFonts w:ascii="Calibri" w:hAnsi="Calibri" w:cs="Calibri"/>
                <w:color w:val="000000"/>
              </w:rPr>
            </w:pPr>
            <w:r>
              <w:rPr>
                <w:rFonts w:cs="Calibri"/>
                <w:color w:val="000000"/>
              </w:rPr>
              <w:t>Vérification d'Aptitude</w:t>
            </w:r>
          </w:p>
        </w:tc>
      </w:tr>
      <w:tr w:rsidR="006E6D7A" w14:paraId="67157A07"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05" w14:textId="77777777">
            <w:pPr>
              <w:rPr>
                <w:rFonts w:ascii="Times New Roman" w:hAnsi="Times New Roman" w:cs="Times New Roman"/>
                <w:color w:val="00A3A6"/>
                <w:sz w:val="20"/>
                <w:szCs w:val="20"/>
              </w:rPr>
            </w:pPr>
            <w:r>
              <w:rPr>
                <w:color w:val="00A3A6"/>
                <w:sz w:val="20"/>
                <w:szCs w:val="20"/>
              </w:rPr>
              <w:t>VSR</w:t>
            </w:r>
          </w:p>
        </w:tc>
        <w:tc>
          <w:tcPr>
            <w:tcW w:w="7780" w:type="dxa"/>
            <w:tcBorders>
              <w:bottom w:val="single" w:color="00A3A6" w:sz="8" w:space="0"/>
              <w:right w:val="single" w:color="00A3A6" w:sz="8" w:space="0"/>
            </w:tcBorders>
            <w:shd w:val="clear" w:color="auto" w:fill="auto"/>
            <w:vAlign w:val="center"/>
          </w:tcPr>
          <w:p w:rsidR="006E6D7A" w:rsidRDefault="00B16C64" w14:paraId="67157A06" w14:textId="77777777">
            <w:pPr>
              <w:rPr>
                <w:rFonts w:ascii="Calibri" w:hAnsi="Calibri" w:cs="Calibri"/>
                <w:color w:val="000000"/>
              </w:rPr>
            </w:pPr>
            <w:r>
              <w:rPr>
                <w:rFonts w:cs="Calibri"/>
                <w:color w:val="000000"/>
              </w:rPr>
              <w:t>Vérification de Service Régulier</w:t>
            </w:r>
          </w:p>
        </w:tc>
      </w:tr>
      <w:tr w:rsidR="006E6D7A" w14:paraId="67157A0A"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08" w14:textId="77777777">
            <w:pPr>
              <w:rPr>
                <w:rFonts w:ascii="Times New Roman" w:hAnsi="Times New Roman" w:cs="Times New Roman"/>
                <w:color w:val="00A3A6"/>
                <w:sz w:val="20"/>
                <w:szCs w:val="20"/>
              </w:rPr>
            </w:pPr>
            <w:r>
              <w:rPr>
                <w:color w:val="00A3A6"/>
                <w:sz w:val="20"/>
                <w:szCs w:val="20"/>
              </w:rPr>
              <w:t>DIFA</w:t>
            </w:r>
          </w:p>
        </w:tc>
        <w:tc>
          <w:tcPr>
            <w:tcW w:w="7780" w:type="dxa"/>
            <w:tcBorders>
              <w:bottom w:val="single" w:color="00A3A6" w:sz="8" w:space="0"/>
              <w:right w:val="single" w:color="00A3A6" w:sz="8" w:space="0"/>
            </w:tcBorders>
            <w:shd w:val="clear" w:color="auto" w:fill="auto"/>
            <w:vAlign w:val="center"/>
          </w:tcPr>
          <w:p w:rsidR="006E6D7A" w:rsidRDefault="00B16C64" w14:paraId="67157A09" w14:textId="77777777">
            <w:pPr>
              <w:rPr>
                <w:rFonts w:ascii="Calibri" w:hAnsi="Calibri" w:cs="Calibri"/>
                <w:color w:val="000000"/>
              </w:rPr>
            </w:pPr>
            <w:r>
              <w:rPr>
                <w:rFonts w:cs="Calibri"/>
                <w:color w:val="000000"/>
              </w:rPr>
              <w:t>Direction du financement et des achats</w:t>
            </w:r>
          </w:p>
        </w:tc>
      </w:tr>
      <w:tr w:rsidR="006E6D7A" w14:paraId="67157A0D"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0B" w14:textId="77777777">
            <w:pPr>
              <w:rPr>
                <w:rFonts w:ascii="Times New Roman" w:hAnsi="Times New Roman" w:cs="Times New Roman"/>
                <w:color w:val="00A3A6"/>
                <w:sz w:val="20"/>
                <w:szCs w:val="20"/>
              </w:rPr>
            </w:pPr>
            <w:r>
              <w:rPr>
                <w:color w:val="00A3A6"/>
                <w:sz w:val="20"/>
                <w:szCs w:val="20"/>
              </w:rPr>
              <w:t>INFRA</w:t>
            </w:r>
          </w:p>
        </w:tc>
        <w:tc>
          <w:tcPr>
            <w:tcW w:w="7780" w:type="dxa"/>
            <w:tcBorders>
              <w:bottom w:val="single" w:color="00A3A6" w:sz="8" w:space="0"/>
              <w:right w:val="single" w:color="00A3A6" w:sz="8" w:space="0"/>
            </w:tcBorders>
            <w:shd w:val="clear" w:color="auto" w:fill="auto"/>
            <w:vAlign w:val="center"/>
          </w:tcPr>
          <w:p w:rsidR="006E6D7A" w:rsidRDefault="00B16C64" w14:paraId="67157A0C" w14:textId="77777777">
            <w:pPr>
              <w:rPr>
                <w:rFonts w:ascii="Calibri" w:hAnsi="Calibri" w:cs="Calibri"/>
                <w:color w:val="000000"/>
              </w:rPr>
            </w:pPr>
            <w:r>
              <w:rPr>
                <w:rFonts w:cs="Calibri"/>
                <w:color w:val="000000"/>
              </w:rPr>
              <w:t>Pôle DSI : Infrastructures informatiques et services</w:t>
            </w:r>
          </w:p>
        </w:tc>
      </w:tr>
      <w:tr w:rsidR="006E6D7A" w14:paraId="67157A10"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0E" w14:textId="77777777">
            <w:pPr>
              <w:rPr>
                <w:rFonts w:ascii="Times New Roman" w:hAnsi="Times New Roman" w:cs="Times New Roman"/>
                <w:color w:val="00A3A6"/>
                <w:sz w:val="20"/>
                <w:szCs w:val="20"/>
              </w:rPr>
            </w:pPr>
            <w:r>
              <w:rPr>
                <w:color w:val="00A3A6"/>
                <w:sz w:val="20"/>
                <w:szCs w:val="20"/>
              </w:rPr>
              <w:t>INRAE</w:t>
            </w:r>
          </w:p>
        </w:tc>
        <w:tc>
          <w:tcPr>
            <w:tcW w:w="7780" w:type="dxa"/>
            <w:tcBorders>
              <w:bottom w:val="single" w:color="00A3A6" w:sz="8" w:space="0"/>
              <w:right w:val="single" w:color="00A3A6" w:sz="8" w:space="0"/>
            </w:tcBorders>
            <w:shd w:val="clear" w:color="auto" w:fill="auto"/>
            <w:vAlign w:val="center"/>
          </w:tcPr>
          <w:p w:rsidR="006E6D7A" w:rsidRDefault="00B16C64" w14:paraId="67157A0F" w14:textId="77777777">
            <w:pPr>
              <w:rPr>
                <w:rFonts w:ascii="Calibri" w:hAnsi="Calibri" w:cs="Calibri"/>
                <w:color w:val="000000"/>
              </w:rPr>
            </w:pPr>
            <w:r>
              <w:rPr>
                <w:rFonts w:cs="Calibri"/>
                <w:color w:val="000000"/>
              </w:rPr>
              <w:t>Institut national de recherche pour l'agriculture, l'alimentation et l'environnement</w:t>
            </w:r>
          </w:p>
        </w:tc>
      </w:tr>
      <w:tr w:rsidR="006E6D7A" w14:paraId="67157A13"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11" w14:textId="77777777">
            <w:pPr>
              <w:rPr>
                <w:rFonts w:ascii="Times New Roman" w:hAnsi="Times New Roman" w:cs="Times New Roman"/>
                <w:color w:val="00A3A6"/>
                <w:sz w:val="20"/>
                <w:szCs w:val="20"/>
              </w:rPr>
            </w:pPr>
            <w:r>
              <w:rPr>
                <w:color w:val="00A3A6"/>
                <w:sz w:val="20"/>
                <w:szCs w:val="20"/>
              </w:rPr>
              <w:t>RUIL</w:t>
            </w:r>
          </w:p>
        </w:tc>
        <w:tc>
          <w:tcPr>
            <w:tcW w:w="7780" w:type="dxa"/>
            <w:tcBorders>
              <w:bottom w:val="single" w:color="00A3A6" w:sz="8" w:space="0"/>
              <w:right w:val="single" w:color="00A3A6" w:sz="8" w:space="0"/>
            </w:tcBorders>
            <w:shd w:val="clear" w:color="auto" w:fill="auto"/>
            <w:vAlign w:val="center"/>
          </w:tcPr>
          <w:p w:rsidR="006E6D7A" w:rsidRDefault="00B16C64" w14:paraId="67157A12" w14:textId="77777777">
            <w:pPr>
              <w:rPr>
                <w:rFonts w:ascii="Calibri" w:hAnsi="Calibri" w:cs="Calibri"/>
                <w:color w:val="000000"/>
              </w:rPr>
            </w:pPr>
            <w:r>
              <w:rPr>
                <w:rFonts w:cs="Calibri"/>
                <w:color w:val="000000"/>
              </w:rPr>
              <w:t>Pôle Relations utilisateurs et soutien local</w:t>
            </w:r>
          </w:p>
        </w:tc>
      </w:tr>
      <w:tr w:rsidR="006E6D7A" w14:paraId="67157A16"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14" w14:textId="77777777">
            <w:pPr>
              <w:rPr>
                <w:rFonts w:ascii="Times New Roman" w:hAnsi="Times New Roman" w:cs="Times New Roman"/>
                <w:color w:val="00A3A6"/>
                <w:sz w:val="20"/>
                <w:szCs w:val="20"/>
              </w:rPr>
            </w:pPr>
            <w:r>
              <w:rPr>
                <w:color w:val="00A3A6"/>
                <w:sz w:val="20"/>
                <w:szCs w:val="20"/>
              </w:rPr>
              <w:t>SOLAIRE</w:t>
            </w:r>
          </w:p>
        </w:tc>
        <w:tc>
          <w:tcPr>
            <w:tcW w:w="7780" w:type="dxa"/>
            <w:tcBorders>
              <w:bottom w:val="single" w:color="00A3A6" w:sz="8" w:space="0"/>
              <w:right w:val="single" w:color="00A3A6" w:sz="8" w:space="0"/>
            </w:tcBorders>
            <w:shd w:val="clear" w:color="auto" w:fill="auto"/>
            <w:vAlign w:val="center"/>
          </w:tcPr>
          <w:p w:rsidR="006E6D7A" w:rsidRDefault="00B16C64" w14:paraId="67157A15" w14:textId="77777777">
            <w:pPr>
              <w:rPr>
                <w:rFonts w:ascii="Calibri" w:hAnsi="Calibri" w:cs="Calibri"/>
                <w:color w:val="000000"/>
              </w:rPr>
            </w:pPr>
            <w:r>
              <w:rPr>
                <w:rFonts w:cs="Calibri"/>
                <w:color w:val="000000"/>
              </w:rPr>
              <w:t>Pôle Solutions Applicatives de la DSI</w:t>
            </w:r>
          </w:p>
        </w:tc>
      </w:tr>
      <w:tr w:rsidR="006E6D7A" w14:paraId="67157A19" w14:textId="77777777">
        <w:trPr>
          <w:trHeight w:val="30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17" w14:textId="77777777">
            <w:pPr>
              <w:rPr>
                <w:rFonts w:ascii="Times New Roman" w:hAnsi="Times New Roman" w:cs="Times New Roman"/>
                <w:color w:val="00A3A6"/>
                <w:sz w:val="20"/>
                <w:szCs w:val="20"/>
              </w:rPr>
            </w:pPr>
            <w:proofErr w:type="spellStart"/>
            <w:r>
              <w:rPr>
                <w:color w:val="00A3A6"/>
                <w:sz w:val="20"/>
                <w:szCs w:val="20"/>
              </w:rPr>
              <w:t>TdB</w:t>
            </w:r>
            <w:proofErr w:type="spellEnd"/>
          </w:p>
        </w:tc>
        <w:tc>
          <w:tcPr>
            <w:tcW w:w="7780" w:type="dxa"/>
            <w:tcBorders>
              <w:bottom w:val="single" w:color="00A3A6" w:sz="8" w:space="0"/>
              <w:right w:val="single" w:color="00A3A6" w:sz="8" w:space="0"/>
            </w:tcBorders>
            <w:shd w:val="clear" w:color="auto" w:fill="auto"/>
            <w:vAlign w:val="center"/>
          </w:tcPr>
          <w:p w:rsidR="006E6D7A" w:rsidRDefault="00B16C64" w14:paraId="67157A18" w14:textId="77777777">
            <w:pPr>
              <w:rPr>
                <w:rFonts w:ascii="Calibri" w:hAnsi="Calibri" w:cs="Calibri"/>
                <w:color w:val="000000"/>
              </w:rPr>
            </w:pPr>
            <w:r>
              <w:rPr>
                <w:rFonts w:cs="Calibri"/>
                <w:color w:val="000000"/>
              </w:rPr>
              <w:t>Tableau de Bord</w:t>
            </w:r>
          </w:p>
        </w:tc>
      </w:tr>
      <w:tr w:rsidR="006E6D7A" w14:paraId="67157A1C" w14:textId="77777777">
        <w:trPr>
          <w:trHeight w:val="88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1A" w14:textId="77777777">
            <w:pPr>
              <w:rPr>
                <w:rFonts w:ascii="Times New Roman" w:hAnsi="Times New Roman" w:cs="Times New Roman"/>
                <w:color w:val="00A3A6"/>
                <w:sz w:val="20"/>
                <w:szCs w:val="20"/>
              </w:rPr>
            </w:pPr>
            <w:r>
              <w:rPr>
                <w:color w:val="00A3A6"/>
                <w:sz w:val="20"/>
                <w:szCs w:val="20"/>
              </w:rPr>
              <w:t>ESB</w:t>
            </w:r>
          </w:p>
        </w:tc>
        <w:tc>
          <w:tcPr>
            <w:tcW w:w="7780" w:type="dxa"/>
            <w:tcBorders>
              <w:bottom w:val="single" w:color="00A3A6" w:sz="8" w:space="0"/>
              <w:right w:val="single" w:color="00A3A6" w:sz="8" w:space="0"/>
            </w:tcBorders>
            <w:shd w:val="clear" w:color="auto" w:fill="auto"/>
            <w:vAlign w:val="center"/>
          </w:tcPr>
          <w:p w:rsidR="006E6D7A" w:rsidRDefault="00B16C64" w14:paraId="67157A1B" w14:textId="77777777">
            <w:pPr>
              <w:rPr>
                <w:rFonts w:ascii="Calibri" w:hAnsi="Calibri" w:cs="Calibri"/>
                <w:color w:val="000000"/>
              </w:rPr>
            </w:pPr>
            <w:r>
              <w:rPr>
                <w:rFonts w:cs="Calibri"/>
                <w:color w:val="000000"/>
              </w:rPr>
              <w:t>Enterprise Service Bus / Composant informatique dont le but est de permettre la communication entre des applications qui n'ont pas été conçues pour fonctionner ensemble.</w:t>
            </w:r>
          </w:p>
        </w:tc>
      </w:tr>
      <w:tr w:rsidR="006E6D7A" w14:paraId="67157A1F"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1D" w14:textId="77777777">
            <w:pPr>
              <w:rPr>
                <w:rFonts w:ascii="Times New Roman" w:hAnsi="Times New Roman" w:cs="Times New Roman"/>
                <w:color w:val="00A3A6"/>
                <w:sz w:val="20"/>
                <w:szCs w:val="20"/>
              </w:rPr>
            </w:pPr>
            <w:r>
              <w:rPr>
                <w:color w:val="00A3A6"/>
                <w:sz w:val="20"/>
                <w:szCs w:val="20"/>
              </w:rPr>
              <w:t>GED</w:t>
            </w:r>
          </w:p>
        </w:tc>
        <w:tc>
          <w:tcPr>
            <w:tcW w:w="7780" w:type="dxa"/>
            <w:tcBorders>
              <w:bottom w:val="single" w:color="00A3A6" w:sz="8" w:space="0"/>
              <w:right w:val="single" w:color="00A3A6" w:sz="8" w:space="0"/>
            </w:tcBorders>
            <w:shd w:val="clear" w:color="auto" w:fill="auto"/>
            <w:vAlign w:val="center"/>
          </w:tcPr>
          <w:p w:rsidR="006E6D7A" w:rsidRDefault="00B16C64" w14:paraId="67157A1E" w14:textId="77777777">
            <w:pPr>
              <w:rPr>
                <w:rFonts w:ascii="Calibri" w:hAnsi="Calibri" w:cs="Calibri"/>
                <w:color w:val="000000"/>
              </w:rPr>
            </w:pPr>
            <w:r>
              <w:rPr>
                <w:rFonts w:cs="Calibri"/>
                <w:color w:val="000000"/>
              </w:rPr>
              <w:t>Gestion Electronique des Documents</w:t>
            </w:r>
          </w:p>
        </w:tc>
      </w:tr>
      <w:tr w:rsidR="006E6D7A" w14:paraId="67157A22"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20" w14:textId="77777777">
            <w:pPr>
              <w:rPr>
                <w:color w:val="00A3A6"/>
                <w:sz w:val="20"/>
                <w:szCs w:val="20"/>
              </w:rPr>
            </w:pPr>
            <w:r>
              <w:rPr>
                <w:color w:val="00A3A6"/>
                <w:sz w:val="20"/>
                <w:szCs w:val="20"/>
              </w:rPr>
              <w:t>HNO</w:t>
            </w:r>
          </w:p>
        </w:tc>
        <w:tc>
          <w:tcPr>
            <w:tcW w:w="7780" w:type="dxa"/>
            <w:tcBorders>
              <w:bottom w:val="single" w:color="00A3A6" w:sz="8" w:space="0"/>
              <w:right w:val="single" w:color="00A3A6" w:sz="8" w:space="0"/>
            </w:tcBorders>
            <w:shd w:val="clear" w:color="auto" w:fill="auto"/>
            <w:vAlign w:val="center"/>
          </w:tcPr>
          <w:p w:rsidR="006E6D7A" w:rsidRDefault="00B16C64" w14:paraId="67157A21" w14:textId="77777777">
            <w:pPr>
              <w:rPr>
                <w:rFonts w:ascii="Calibri" w:hAnsi="Calibri" w:cs="Calibri"/>
                <w:color w:val="000000"/>
              </w:rPr>
            </w:pPr>
            <w:r>
              <w:rPr>
                <w:rFonts w:cs="Calibri"/>
                <w:color w:val="000000"/>
              </w:rPr>
              <w:t>Heures Non Ouvrées</w:t>
            </w:r>
          </w:p>
        </w:tc>
      </w:tr>
      <w:tr w:rsidR="006E6D7A" w14:paraId="67157A25"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23" w14:textId="77777777">
            <w:pPr>
              <w:rPr>
                <w:rFonts w:ascii="Times New Roman" w:hAnsi="Times New Roman" w:cs="Times New Roman"/>
                <w:color w:val="00A3A6"/>
                <w:sz w:val="20"/>
                <w:szCs w:val="20"/>
              </w:rPr>
            </w:pPr>
            <w:r>
              <w:rPr>
                <w:color w:val="00A3A6"/>
                <w:sz w:val="20"/>
                <w:szCs w:val="20"/>
              </w:rPr>
              <w:t>IAM</w:t>
            </w:r>
          </w:p>
        </w:tc>
        <w:tc>
          <w:tcPr>
            <w:tcW w:w="7780" w:type="dxa"/>
            <w:tcBorders>
              <w:bottom w:val="single" w:color="00A3A6" w:sz="8" w:space="0"/>
              <w:right w:val="single" w:color="00A3A6" w:sz="8" w:space="0"/>
            </w:tcBorders>
            <w:shd w:val="clear" w:color="auto" w:fill="auto"/>
            <w:vAlign w:val="center"/>
          </w:tcPr>
          <w:p w:rsidR="006E6D7A" w:rsidRDefault="00B16C64" w14:paraId="67157A24" w14:textId="77777777">
            <w:pPr>
              <w:rPr>
                <w:rFonts w:ascii="Calibri" w:hAnsi="Calibri" w:cs="Calibri"/>
                <w:color w:val="000000"/>
              </w:rPr>
            </w:pPr>
            <w:r>
              <w:rPr>
                <w:rFonts w:cs="Calibri"/>
                <w:color w:val="000000"/>
              </w:rPr>
              <w:t>Identity and Access Management / gestion des identités et des accès</w:t>
            </w:r>
          </w:p>
        </w:tc>
      </w:tr>
      <w:tr w:rsidR="006E6D7A" w14:paraId="67157A28"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26" w14:textId="77777777">
            <w:pPr>
              <w:rPr>
                <w:rFonts w:ascii="Times New Roman" w:hAnsi="Times New Roman" w:cs="Times New Roman"/>
                <w:color w:val="00A3A6"/>
                <w:sz w:val="20"/>
                <w:szCs w:val="20"/>
              </w:rPr>
            </w:pPr>
            <w:r>
              <w:rPr>
                <w:color w:val="00A3A6"/>
                <w:sz w:val="20"/>
                <w:szCs w:val="20"/>
              </w:rPr>
              <w:t>MDM</w:t>
            </w:r>
          </w:p>
        </w:tc>
        <w:tc>
          <w:tcPr>
            <w:tcW w:w="7780" w:type="dxa"/>
            <w:tcBorders>
              <w:bottom w:val="single" w:color="00A3A6" w:sz="8" w:space="0"/>
              <w:right w:val="single" w:color="00A3A6" w:sz="8" w:space="0"/>
            </w:tcBorders>
            <w:shd w:val="clear" w:color="auto" w:fill="auto"/>
            <w:vAlign w:val="center"/>
          </w:tcPr>
          <w:p w:rsidR="006E6D7A" w:rsidRDefault="00B16C64" w14:paraId="67157A27" w14:textId="77777777">
            <w:pPr>
              <w:rPr>
                <w:rFonts w:ascii="Calibri" w:hAnsi="Calibri" w:cs="Calibri"/>
                <w:color w:val="000000"/>
              </w:rPr>
            </w:pPr>
            <w:r>
              <w:rPr>
                <w:rFonts w:cs="Calibri"/>
                <w:color w:val="000000"/>
              </w:rPr>
              <w:t>Master Data Management : centralise les données pour créer un enregistrement unique et fiable de l'information pour tout le SI.</w:t>
            </w:r>
          </w:p>
        </w:tc>
      </w:tr>
      <w:tr w:rsidR="006E6D7A" w14:paraId="67157A2B"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29" w14:textId="77777777">
            <w:pPr>
              <w:rPr>
                <w:rFonts w:ascii="Times New Roman" w:hAnsi="Times New Roman" w:cs="Times New Roman"/>
                <w:color w:val="00A3A6"/>
                <w:sz w:val="20"/>
                <w:szCs w:val="20"/>
              </w:rPr>
            </w:pPr>
            <w:r>
              <w:rPr>
                <w:color w:val="00A3A6"/>
                <w:sz w:val="20"/>
                <w:szCs w:val="20"/>
              </w:rPr>
              <w:t>SI</w:t>
            </w:r>
          </w:p>
        </w:tc>
        <w:tc>
          <w:tcPr>
            <w:tcW w:w="7780" w:type="dxa"/>
            <w:tcBorders>
              <w:bottom w:val="single" w:color="00A3A6" w:sz="8" w:space="0"/>
              <w:right w:val="single" w:color="00A3A6" w:sz="8" w:space="0"/>
            </w:tcBorders>
            <w:shd w:val="clear" w:color="auto" w:fill="auto"/>
            <w:vAlign w:val="center"/>
          </w:tcPr>
          <w:p w:rsidR="006E6D7A" w:rsidRDefault="00B16C64" w14:paraId="67157A2A" w14:textId="77777777">
            <w:pPr>
              <w:rPr>
                <w:rFonts w:ascii="Calibri" w:hAnsi="Calibri" w:cs="Calibri"/>
                <w:color w:val="000000"/>
              </w:rPr>
            </w:pPr>
            <w:r>
              <w:rPr>
                <w:rFonts w:cs="Calibri"/>
                <w:color w:val="000000"/>
              </w:rPr>
              <w:t>Système d’information</w:t>
            </w:r>
          </w:p>
        </w:tc>
      </w:tr>
      <w:tr w:rsidR="006E6D7A" w14:paraId="67157A2E"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2C" w14:textId="77777777">
            <w:pPr>
              <w:rPr>
                <w:rFonts w:ascii="Times New Roman" w:hAnsi="Times New Roman" w:cs="Times New Roman"/>
                <w:color w:val="00A3A6"/>
                <w:sz w:val="20"/>
                <w:szCs w:val="20"/>
              </w:rPr>
            </w:pPr>
            <w:r>
              <w:rPr>
                <w:color w:val="00A3A6"/>
                <w:sz w:val="20"/>
                <w:szCs w:val="20"/>
              </w:rPr>
              <w:t>Anomalie de documentation</w:t>
            </w:r>
          </w:p>
        </w:tc>
        <w:tc>
          <w:tcPr>
            <w:tcW w:w="7780" w:type="dxa"/>
            <w:tcBorders>
              <w:bottom w:val="single" w:color="00A3A6" w:sz="8" w:space="0"/>
              <w:right w:val="single" w:color="00A3A6" w:sz="8" w:space="0"/>
            </w:tcBorders>
            <w:shd w:val="clear" w:color="auto" w:fill="auto"/>
            <w:vAlign w:val="center"/>
          </w:tcPr>
          <w:p w:rsidR="006E6D7A" w:rsidRDefault="00B16C64" w14:paraId="67157A2D" w14:textId="77777777">
            <w:pPr>
              <w:rPr>
                <w:rFonts w:ascii="Calibri" w:hAnsi="Calibri" w:cs="Calibri"/>
                <w:color w:val="000000"/>
              </w:rPr>
            </w:pPr>
            <w:r>
              <w:rPr>
                <w:rFonts w:cs="Calibri"/>
                <w:color w:val="000000"/>
              </w:rPr>
              <w:t>Désigne une non-conformité sur le document livré.</w:t>
            </w:r>
          </w:p>
        </w:tc>
      </w:tr>
      <w:tr w:rsidR="006E6D7A" w14:paraId="67157A31"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2F" w14:textId="77777777">
            <w:pPr>
              <w:rPr>
                <w:rFonts w:ascii="Times New Roman" w:hAnsi="Times New Roman" w:cs="Times New Roman"/>
                <w:color w:val="00A3A6"/>
                <w:sz w:val="20"/>
                <w:szCs w:val="20"/>
              </w:rPr>
            </w:pPr>
            <w:r>
              <w:rPr>
                <w:color w:val="00A3A6"/>
                <w:sz w:val="20"/>
                <w:szCs w:val="20"/>
              </w:rPr>
              <w:t>Client / usager</w:t>
            </w:r>
          </w:p>
        </w:tc>
        <w:tc>
          <w:tcPr>
            <w:tcW w:w="7780" w:type="dxa"/>
            <w:tcBorders>
              <w:bottom w:val="single" w:color="00A3A6" w:sz="8" w:space="0"/>
              <w:right w:val="single" w:color="00A3A6" w:sz="8" w:space="0"/>
            </w:tcBorders>
            <w:shd w:val="clear" w:color="auto" w:fill="auto"/>
            <w:vAlign w:val="center"/>
          </w:tcPr>
          <w:p w:rsidR="006E6D7A" w:rsidRDefault="00B16C64" w14:paraId="67157A30" w14:textId="77777777">
            <w:pPr>
              <w:rPr>
                <w:rFonts w:ascii="Calibri" w:hAnsi="Calibri" w:cs="Calibri"/>
                <w:color w:val="000000"/>
              </w:rPr>
            </w:pPr>
            <w:r>
              <w:rPr>
                <w:rFonts w:cs="Calibri"/>
                <w:color w:val="000000"/>
              </w:rPr>
              <w:t>L’établissement et/ou la direction métier pour lesquels sont fournis les services SI. Le client est interne (MOA INRAE) ou externe (Ecoles Agro, autres partenaires institutionnels, Tiers commerciaux / prestataires, …)</w:t>
            </w:r>
          </w:p>
        </w:tc>
      </w:tr>
      <w:tr w:rsidR="006E6D7A" w14:paraId="67157A34"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32" w14:textId="77777777">
            <w:pPr>
              <w:rPr>
                <w:rFonts w:ascii="Times New Roman" w:hAnsi="Times New Roman" w:cs="Times New Roman"/>
                <w:color w:val="00A3A6"/>
                <w:sz w:val="20"/>
                <w:szCs w:val="20"/>
              </w:rPr>
            </w:pPr>
            <w:r>
              <w:rPr>
                <w:color w:val="00A3A6"/>
                <w:sz w:val="20"/>
                <w:szCs w:val="20"/>
              </w:rPr>
              <w:t>Demande</w:t>
            </w:r>
          </w:p>
        </w:tc>
        <w:tc>
          <w:tcPr>
            <w:tcW w:w="7780" w:type="dxa"/>
            <w:tcBorders>
              <w:bottom w:val="single" w:color="00A3A6" w:sz="8" w:space="0"/>
              <w:right w:val="single" w:color="00A3A6" w:sz="8" w:space="0"/>
            </w:tcBorders>
            <w:shd w:val="clear" w:color="auto" w:fill="auto"/>
            <w:vAlign w:val="center"/>
          </w:tcPr>
          <w:p w:rsidR="006E6D7A" w:rsidRDefault="00B16C64" w14:paraId="67157A33" w14:textId="77777777">
            <w:pPr>
              <w:rPr>
                <w:rFonts w:ascii="Calibri" w:hAnsi="Calibri" w:cs="Calibri"/>
                <w:color w:val="000000"/>
              </w:rPr>
            </w:pPr>
            <w:r>
              <w:rPr>
                <w:rFonts w:cs="Calibri"/>
                <w:color w:val="000000"/>
              </w:rPr>
              <w:t>Toute question/formulation d’un besoin d’un acteur vers un autre ou d’une équipe vers une autre. Voir processus de gestion des demandes.</w:t>
            </w:r>
          </w:p>
        </w:tc>
      </w:tr>
      <w:tr w:rsidR="006E6D7A" w14:paraId="67157A37"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35" w14:textId="77777777">
            <w:pPr>
              <w:rPr>
                <w:rFonts w:ascii="Times New Roman" w:hAnsi="Times New Roman" w:cs="Times New Roman"/>
                <w:color w:val="00A3A6"/>
                <w:sz w:val="20"/>
                <w:szCs w:val="20"/>
              </w:rPr>
            </w:pPr>
            <w:r>
              <w:rPr>
                <w:color w:val="00A3A6"/>
                <w:sz w:val="20"/>
                <w:szCs w:val="20"/>
              </w:rPr>
              <w:lastRenderedPageBreak/>
              <w:t>Développement Spécifique</w:t>
            </w:r>
          </w:p>
        </w:tc>
        <w:tc>
          <w:tcPr>
            <w:tcW w:w="7780" w:type="dxa"/>
            <w:tcBorders>
              <w:bottom w:val="single" w:color="00A3A6" w:sz="8" w:space="0"/>
              <w:right w:val="single" w:color="00A3A6" w:sz="8" w:space="0"/>
            </w:tcBorders>
            <w:shd w:val="clear" w:color="auto" w:fill="auto"/>
            <w:vAlign w:val="center"/>
          </w:tcPr>
          <w:p w:rsidR="006E6D7A" w:rsidRDefault="00B16C64" w14:paraId="67157A36" w14:textId="77777777">
            <w:pPr>
              <w:rPr>
                <w:rFonts w:ascii="Calibri" w:hAnsi="Calibri" w:cs="Calibri"/>
                <w:color w:val="000000"/>
              </w:rPr>
            </w:pPr>
            <w:r>
              <w:rPr>
                <w:rFonts w:cs="Calibri"/>
                <w:color w:val="000000"/>
              </w:rPr>
              <w:t xml:space="preserve">Désigne les logiciels développés à façon (transactions, </w:t>
            </w:r>
            <w:proofErr w:type="spellStart"/>
            <w:r>
              <w:rPr>
                <w:rFonts w:cs="Calibri"/>
                <w:color w:val="000000"/>
              </w:rPr>
              <w:t>batchs</w:t>
            </w:r>
            <w:proofErr w:type="spellEnd"/>
            <w:r>
              <w:rPr>
                <w:rFonts w:cs="Calibri"/>
                <w:color w:val="000000"/>
              </w:rPr>
              <w:t>, rapports, interfaces) et dont le code est sous responsabilité INRAE. C’est par exemple la dénomination appliquée aux développements permettant de compléter les fonctionnalités d’un Progiciel avec les outils de développement contenus dans celui-ci afin de couvrir des besoins spécifiques du Client non couverts par le Progiciel</w:t>
            </w:r>
          </w:p>
        </w:tc>
      </w:tr>
      <w:tr w:rsidR="006E6D7A" w14:paraId="67157A3A"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38" w14:textId="77777777">
            <w:pPr>
              <w:rPr>
                <w:rFonts w:ascii="Times New Roman" w:hAnsi="Times New Roman" w:cs="Times New Roman"/>
                <w:color w:val="00A3A6"/>
                <w:sz w:val="20"/>
                <w:szCs w:val="20"/>
              </w:rPr>
            </w:pPr>
            <w:r>
              <w:rPr>
                <w:color w:val="00A3A6"/>
                <w:sz w:val="20"/>
                <w:szCs w:val="20"/>
              </w:rPr>
              <w:t>Documentation</w:t>
            </w:r>
          </w:p>
        </w:tc>
        <w:tc>
          <w:tcPr>
            <w:tcW w:w="7780" w:type="dxa"/>
            <w:tcBorders>
              <w:bottom w:val="single" w:color="00A3A6" w:sz="8" w:space="0"/>
              <w:right w:val="single" w:color="00A3A6" w:sz="8" w:space="0"/>
            </w:tcBorders>
            <w:shd w:val="clear" w:color="auto" w:fill="auto"/>
            <w:vAlign w:val="center"/>
          </w:tcPr>
          <w:p w:rsidR="006E6D7A" w:rsidRDefault="00B16C64" w14:paraId="67157A39" w14:textId="77777777">
            <w:pPr>
              <w:rPr>
                <w:rFonts w:ascii="Calibri" w:hAnsi="Calibri" w:cs="Calibri"/>
                <w:color w:val="000000"/>
              </w:rPr>
            </w:pPr>
            <w:r>
              <w:rPr>
                <w:rFonts w:cs="Calibri"/>
                <w:color w:val="000000"/>
              </w:rPr>
              <w:t>Désigne tout document, guide et/ou livrable émis par le prestataire ou INRAE</w:t>
            </w:r>
          </w:p>
        </w:tc>
      </w:tr>
      <w:tr w:rsidR="006E6D7A" w14:paraId="67157A3D"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3B" w14:textId="77777777">
            <w:pPr>
              <w:rPr>
                <w:rFonts w:ascii="Times New Roman" w:hAnsi="Times New Roman" w:cs="Times New Roman"/>
                <w:color w:val="00A3A6"/>
                <w:sz w:val="20"/>
                <w:szCs w:val="20"/>
              </w:rPr>
            </w:pPr>
            <w:r>
              <w:rPr>
                <w:color w:val="00A3A6"/>
                <w:sz w:val="20"/>
                <w:szCs w:val="20"/>
              </w:rPr>
              <w:t>Editeur</w:t>
            </w:r>
          </w:p>
        </w:tc>
        <w:tc>
          <w:tcPr>
            <w:tcW w:w="7780" w:type="dxa"/>
            <w:tcBorders>
              <w:bottom w:val="single" w:color="00A3A6" w:sz="8" w:space="0"/>
              <w:right w:val="single" w:color="00A3A6" w:sz="8" w:space="0"/>
            </w:tcBorders>
            <w:shd w:val="clear" w:color="auto" w:fill="auto"/>
            <w:vAlign w:val="center"/>
          </w:tcPr>
          <w:p w:rsidR="006E6D7A" w:rsidRDefault="00B16C64" w14:paraId="67157A3C" w14:textId="77777777">
            <w:pPr>
              <w:rPr>
                <w:rFonts w:ascii="Calibri" w:hAnsi="Calibri" w:cs="Calibri"/>
                <w:color w:val="000000"/>
              </w:rPr>
            </w:pPr>
            <w:r>
              <w:rPr>
                <w:rFonts w:cs="Calibri"/>
                <w:color w:val="000000"/>
              </w:rPr>
              <w:t>Fournisseur de logiciels / progiciels</w:t>
            </w:r>
          </w:p>
        </w:tc>
      </w:tr>
      <w:tr w:rsidR="006E6D7A" w14:paraId="67157A40"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3E" w14:textId="77777777">
            <w:pPr>
              <w:rPr>
                <w:rFonts w:ascii="Times New Roman" w:hAnsi="Times New Roman" w:cs="Times New Roman"/>
                <w:color w:val="00A3A6"/>
                <w:sz w:val="20"/>
                <w:szCs w:val="20"/>
              </w:rPr>
            </w:pPr>
            <w:r>
              <w:rPr>
                <w:color w:val="00A3A6"/>
                <w:sz w:val="20"/>
                <w:szCs w:val="20"/>
              </w:rPr>
              <w:t>Exigence</w:t>
            </w:r>
          </w:p>
        </w:tc>
        <w:tc>
          <w:tcPr>
            <w:tcW w:w="7780" w:type="dxa"/>
            <w:tcBorders>
              <w:bottom w:val="single" w:color="00A3A6" w:sz="8" w:space="0"/>
              <w:right w:val="single" w:color="00A3A6" w:sz="8" w:space="0"/>
            </w:tcBorders>
            <w:shd w:val="clear" w:color="auto" w:fill="auto"/>
            <w:vAlign w:val="center"/>
          </w:tcPr>
          <w:p w:rsidR="006E6D7A" w:rsidRDefault="00B16C64" w14:paraId="67157A3F" w14:textId="77777777">
            <w:pPr>
              <w:rPr>
                <w:rFonts w:ascii="Calibri" w:hAnsi="Calibri" w:cs="Calibri"/>
                <w:color w:val="000000"/>
              </w:rPr>
            </w:pPr>
            <w:r>
              <w:rPr>
                <w:rFonts w:cs="Calibri"/>
                <w:color w:val="000000"/>
              </w:rPr>
              <w:t>Niveau de qualité ou de conformité attendu en relation avec une norme ou une spécification.</w:t>
            </w:r>
            <w:r>
              <w:rPr>
                <w:rFonts w:cs="Calibri"/>
                <w:color w:val="000000"/>
              </w:rPr>
              <w:br/>
            </w:r>
            <w:r>
              <w:rPr>
                <w:rFonts w:cs="Calibri"/>
                <w:color w:val="000000"/>
              </w:rPr>
              <w:t>Besoin ou attente formulés, habituellement implicites, ou imposés.</w:t>
            </w:r>
            <w:r>
              <w:rPr>
                <w:rFonts w:cs="Calibri"/>
                <w:color w:val="000000"/>
              </w:rPr>
              <w:br/>
            </w:r>
            <w:r>
              <w:rPr>
                <w:rFonts w:cs="Calibri"/>
                <w:color w:val="000000"/>
              </w:rPr>
              <w:t>C’est aussi l’expression dans le contenu d'un document formulant les critères à respecter afin de prétendre à la conformité avec le document, et avec lesquels aucun écart n'est permis</w:t>
            </w:r>
          </w:p>
        </w:tc>
      </w:tr>
      <w:tr w:rsidR="006E6D7A" w14:paraId="67157A43"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41" w14:textId="77777777">
            <w:pPr>
              <w:rPr>
                <w:rFonts w:ascii="Times New Roman" w:hAnsi="Times New Roman" w:cs="Times New Roman"/>
                <w:color w:val="00A3A6"/>
                <w:sz w:val="20"/>
                <w:szCs w:val="20"/>
              </w:rPr>
            </w:pPr>
            <w:r>
              <w:rPr>
                <w:color w:val="00A3A6"/>
                <w:sz w:val="20"/>
                <w:szCs w:val="20"/>
              </w:rPr>
              <w:t>Incident</w:t>
            </w:r>
          </w:p>
        </w:tc>
        <w:tc>
          <w:tcPr>
            <w:tcW w:w="7780" w:type="dxa"/>
            <w:tcBorders>
              <w:bottom w:val="single" w:color="00A3A6" w:sz="8" w:space="0"/>
              <w:right w:val="single" w:color="00A3A6" w:sz="8" w:space="0"/>
            </w:tcBorders>
            <w:shd w:val="clear" w:color="auto" w:fill="auto"/>
            <w:vAlign w:val="center"/>
          </w:tcPr>
          <w:p w:rsidR="006E6D7A" w:rsidRDefault="00B16C64" w14:paraId="67157A42" w14:textId="77777777">
            <w:pPr>
              <w:rPr>
                <w:rFonts w:ascii="Calibri" w:hAnsi="Calibri" w:cs="Calibri"/>
                <w:color w:val="000000"/>
              </w:rPr>
            </w:pPr>
            <w:r>
              <w:rPr>
                <w:rFonts w:cs="Calibri"/>
                <w:color w:val="000000"/>
              </w:rPr>
              <w:t>Événement ne faisant pas partie du fonctionnement normal d’un service en production et entraînant (ou pouvant entraîner) une détérioration de sa qualité</w:t>
            </w:r>
          </w:p>
        </w:tc>
      </w:tr>
      <w:tr w:rsidR="006E6D7A" w14:paraId="67157A46"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44" w14:textId="77777777">
            <w:pPr>
              <w:rPr>
                <w:rFonts w:ascii="Times New Roman" w:hAnsi="Times New Roman" w:cs="Times New Roman"/>
                <w:color w:val="00A3A6"/>
                <w:sz w:val="20"/>
                <w:szCs w:val="20"/>
              </w:rPr>
            </w:pPr>
            <w:r>
              <w:rPr>
                <w:color w:val="00A3A6"/>
                <w:sz w:val="20"/>
                <w:szCs w:val="20"/>
              </w:rPr>
              <w:t>Lot de changement</w:t>
            </w:r>
          </w:p>
        </w:tc>
        <w:tc>
          <w:tcPr>
            <w:tcW w:w="7780" w:type="dxa"/>
            <w:tcBorders>
              <w:bottom w:val="single" w:color="00A3A6" w:sz="8" w:space="0"/>
              <w:right w:val="single" w:color="00A3A6" w:sz="8" w:space="0"/>
            </w:tcBorders>
            <w:shd w:val="clear" w:color="auto" w:fill="auto"/>
            <w:vAlign w:val="center"/>
          </w:tcPr>
          <w:p w:rsidR="006E6D7A" w:rsidRDefault="00B16C64" w14:paraId="67157A45" w14:textId="77777777">
            <w:pPr>
              <w:rPr>
                <w:rFonts w:ascii="Calibri" w:hAnsi="Calibri" w:cs="Calibri"/>
                <w:color w:val="000000"/>
              </w:rPr>
            </w:pPr>
            <w:r>
              <w:rPr>
                <w:rFonts w:cs="Calibri"/>
                <w:color w:val="000000"/>
              </w:rPr>
              <w:t>Liste des composants regroupés dans une même livraison et issus indifféremment :</w:t>
            </w:r>
            <w:r>
              <w:rPr>
                <w:rFonts w:cs="Calibri"/>
                <w:color w:val="000000"/>
              </w:rPr>
              <w:br/>
            </w:r>
            <w:r>
              <w:rPr>
                <w:rFonts w:cs="Calibri"/>
                <w:color w:val="000000"/>
              </w:rPr>
              <w:t>- Du processus de maintenance corrective ou préventive</w:t>
            </w:r>
            <w:r>
              <w:rPr>
                <w:rFonts w:cs="Calibri"/>
                <w:color w:val="000000"/>
              </w:rPr>
              <w:br/>
            </w:r>
            <w:r>
              <w:rPr>
                <w:rFonts w:cs="Calibri"/>
                <w:color w:val="000000"/>
              </w:rPr>
              <w:t>- Du processus de maintenance évolutive</w:t>
            </w:r>
          </w:p>
        </w:tc>
      </w:tr>
      <w:tr w:rsidR="006E6D7A" w14:paraId="67157A49"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47" w14:textId="77777777">
            <w:pPr>
              <w:rPr>
                <w:rFonts w:ascii="Times New Roman" w:hAnsi="Times New Roman" w:cs="Times New Roman"/>
                <w:color w:val="00A3A6"/>
                <w:sz w:val="20"/>
                <w:szCs w:val="20"/>
              </w:rPr>
            </w:pPr>
            <w:r>
              <w:rPr>
                <w:color w:val="00A3A6"/>
                <w:sz w:val="20"/>
                <w:szCs w:val="20"/>
              </w:rPr>
              <w:t>Maintenance</w:t>
            </w:r>
          </w:p>
        </w:tc>
        <w:tc>
          <w:tcPr>
            <w:tcW w:w="7780" w:type="dxa"/>
            <w:tcBorders>
              <w:bottom w:val="single" w:color="00A3A6" w:sz="8" w:space="0"/>
              <w:right w:val="single" w:color="00A3A6" w:sz="8" w:space="0"/>
            </w:tcBorders>
            <w:shd w:val="clear" w:color="auto" w:fill="auto"/>
            <w:vAlign w:val="center"/>
          </w:tcPr>
          <w:p w:rsidR="006E6D7A" w:rsidRDefault="00B16C64" w14:paraId="67157A48" w14:textId="77777777">
            <w:pPr>
              <w:rPr>
                <w:rFonts w:ascii="Calibri" w:hAnsi="Calibri" w:cs="Calibri"/>
                <w:color w:val="000000"/>
              </w:rPr>
            </w:pPr>
            <w:r>
              <w:rPr>
                <w:rFonts w:cs="Calibri"/>
                <w:color w:val="000000"/>
              </w:rPr>
              <w:t>Action consistant à faire évoluer un système pour qu’il soit opérant et rende le service prévu.</w:t>
            </w:r>
          </w:p>
        </w:tc>
      </w:tr>
      <w:tr w:rsidR="006E6D7A" w14:paraId="67157A4C"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4A" w14:textId="77777777">
            <w:pPr>
              <w:rPr>
                <w:rFonts w:ascii="Times New Roman" w:hAnsi="Times New Roman" w:cs="Times New Roman"/>
                <w:color w:val="00A3A6"/>
                <w:sz w:val="20"/>
                <w:szCs w:val="20"/>
              </w:rPr>
            </w:pPr>
            <w:r>
              <w:rPr>
                <w:color w:val="00A3A6"/>
                <w:sz w:val="20"/>
                <w:szCs w:val="20"/>
              </w:rPr>
              <w:t>Maintenance Corrective</w:t>
            </w:r>
          </w:p>
        </w:tc>
        <w:tc>
          <w:tcPr>
            <w:tcW w:w="7780" w:type="dxa"/>
            <w:tcBorders>
              <w:bottom w:val="single" w:color="00A3A6" w:sz="8" w:space="0"/>
              <w:right w:val="single" w:color="00A3A6" w:sz="8" w:space="0"/>
            </w:tcBorders>
            <w:shd w:val="clear" w:color="auto" w:fill="auto"/>
            <w:vAlign w:val="center"/>
          </w:tcPr>
          <w:p w:rsidR="006E6D7A" w:rsidRDefault="00B16C64" w14:paraId="67157A4B" w14:textId="77777777">
            <w:pPr>
              <w:rPr>
                <w:rFonts w:ascii="Calibri" w:hAnsi="Calibri" w:cs="Calibri"/>
                <w:color w:val="000000"/>
              </w:rPr>
            </w:pPr>
            <w:r>
              <w:rPr>
                <w:rFonts w:cs="Calibri"/>
                <w:color w:val="000000"/>
              </w:rPr>
              <w:t xml:space="preserve">S’applique à la correction des non conformités </w:t>
            </w:r>
            <w:proofErr w:type="gramStart"/>
            <w:r>
              <w:rPr>
                <w:rFonts w:cs="Calibri"/>
                <w:color w:val="000000"/>
              </w:rPr>
              <w:t>( incidents</w:t>
            </w:r>
            <w:proofErr w:type="gramEnd"/>
            <w:r>
              <w:rPr>
                <w:rFonts w:cs="Calibri"/>
                <w:color w:val="000000"/>
              </w:rPr>
              <w:t xml:space="preserve"> et problèmes) sur les composants du système d’information</w:t>
            </w:r>
          </w:p>
        </w:tc>
      </w:tr>
      <w:tr w:rsidR="006E6D7A" w14:paraId="67157A4F"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4D" w14:textId="77777777">
            <w:pPr>
              <w:rPr>
                <w:rFonts w:ascii="Times New Roman" w:hAnsi="Times New Roman" w:cs="Times New Roman"/>
                <w:color w:val="00A3A6"/>
                <w:sz w:val="20"/>
                <w:szCs w:val="20"/>
              </w:rPr>
            </w:pPr>
            <w:r>
              <w:rPr>
                <w:color w:val="00A3A6"/>
                <w:sz w:val="20"/>
                <w:szCs w:val="20"/>
              </w:rPr>
              <w:t>Maintenance Evolutive</w:t>
            </w:r>
          </w:p>
        </w:tc>
        <w:tc>
          <w:tcPr>
            <w:tcW w:w="7780" w:type="dxa"/>
            <w:tcBorders>
              <w:bottom w:val="single" w:color="00A3A6" w:sz="8" w:space="0"/>
              <w:right w:val="single" w:color="00A3A6" w:sz="8" w:space="0"/>
            </w:tcBorders>
            <w:shd w:val="clear" w:color="auto" w:fill="auto"/>
            <w:vAlign w:val="center"/>
          </w:tcPr>
          <w:p w:rsidR="006E6D7A" w:rsidRDefault="00B16C64" w14:paraId="67157A4E" w14:textId="77777777">
            <w:pPr>
              <w:rPr>
                <w:rFonts w:ascii="Calibri" w:hAnsi="Calibri" w:cs="Calibri"/>
                <w:color w:val="000000"/>
              </w:rPr>
            </w:pPr>
            <w:r>
              <w:rPr>
                <w:rFonts w:cs="Calibri"/>
                <w:color w:val="000000"/>
              </w:rPr>
              <w:t>S’applique à l’évolution des composants du système d’information</w:t>
            </w:r>
          </w:p>
        </w:tc>
      </w:tr>
      <w:tr w:rsidR="006E6D7A" w14:paraId="67157A52"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50" w14:textId="77777777">
            <w:pPr>
              <w:rPr>
                <w:rFonts w:ascii="Times New Roman" w:hAnsi="Times New Roman" w:cs="Times New Roman"/>
                <w:color w:val="00A3A6"/>
                <w:sz w:val="20"/>
                <w:szCs w:val="20"/>
              </w:rPr>
            </w:pPr>
            <w:r>
              <w:rPr>
                <w:color w:val="00A3A6"/>
                <w:sz w:val="20"/>
                <w:szCs w:val="20"/>
              </w:rPr>
              <w:t>Maintenance Préventive</w:t>
            </w:r>
          </w:p>
        </w:tc>
        <w:tc>
          <w:tcPr>
            <w:tcW w:w="7780" w:type="dxa"/>
            <w:tcBorders>
              <w:bottom w:val="single" w:color="00A3A6" w:sz="8" w:space="0"/>
              <w:right w:val="single" w:color="00A3A6" w:sz="8" w:space="0"/>
            </w:tcBorders>
            <w:shd w:val="clear" w:color="auto" w:fill="auto"/>
            <w:vAlign w:val="center"/>
          </w:tcPr>
          <w:p w:rsidR="006E6D7A" w:rsidRDefault="00B16C64" w14:paraId="67157A51" w14:textId="77777777">
            <w:pPr>
              <w:rPr>
                <w:rFonts w:ascii="Calibri" w:hAnsi="Calibri" w:cs="Calibri"/>
                <w:color w:val="000000"/>
              </w:rPr>
            </w:pPr>
            <w:r>
              <w:rPr>
                <w:rFonts w:cs="Calibri"/>
                <w:color w:val="000000"/>
              </w:rPr>
              <w:t>S’applique à un problème potentiel non avéré, généralement lié au processus d’anticipation de l’obsolescence.</w:t>
            </w:r>
            <w:r>
              <w:rPr>
                <w:rFonts w:cs="Calibri"/>
                <w:color w:val="000000"/>
              </w:rPr>
              <w:br/>
            </w:r>
            <w:r>
              <w:rPr>
                <w:rFonts w:cs="Calibri"/>
                <w:color w:val="000000"/>
              </w:rPr>
              <w:t>La maintenance préventive consiste à effectuer des changements de version de façon à résoudre des problèmes potentiels / risques (en particulier l’application de patchs éditeur, après validation de INRAE.)</w:t>
            </w:r>
          </w:p>
        </w:tc>
      </w:tr>
      <w:tr w:rsidR="006E6D7A" w14:paraId="67157A55"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53" w14:textId="77777777">
            <w:pPr>
              <w:rPr>
                <w:rFonts w:ascii="Times New Roman" w:hAnsi="Times New Roman" w:cs="Times New Roman"/>
                <w:color w:val="00A3A6"/>
                <w:sz w:val="20"/>
                <w:szCs w:val="20"/>
              </w:rPr>
            </w:pPr>
            <w:r>
              <w:rPr>
                <w:color w:val="00A3A6"/>
                <w:sz w:val="20"/>
                <w:szCs w:val="20"/>
              </w:rPr>
              <w:t>Plan Assurance Qualité</w:t>
            </w:r>
          </w:p>
        </w:tc>
        <w:tc>
          <w:tcPr>
            <w:tcW w:w="7780" w:type="dxa"/>
            <w:tcBorders>
              <w:bottom w:val="single" w:color="00A3A6" w:sz="8" w:space="0"/>
              <w:right w:val="single" w:color="00A3A6" w:sz="8" w:space="0"/>
            </w:tcBorders>
            <w:shd w:val="clear" w:color="auto" w:fill="auto"/>
            <w:vAlign w:val="center"/>
          </w:tcPr>
          <w:p w:rsidR="006E6D7A" w:rsidRDefault="00B16C64" w14:paraId="67157A54" w14:textId="77777777">
            <w:pPr>
              <w:rPr>
                <w:rFonts w:ascii="Calibri" w:hAnsi="Calibri" w:cs="Calibri"/>
                <w:color w:val="000000"/>
              </w:rPr>
            </w:pPr>
            <w:proofErr w:type="gramStart"/>
            <w:r>
              <w:rPr>
                <w:rFonts w:cs="Calibri"/>
                <w:color w:val="000000"/>
              </w:rPr>
              <w:t>ou</w:t>
            </w:r>
            <w:proofErr w:type="gramEnd"/>
            <w:r>
              <w:rPr>
                <w:rFonts w:cs="Calibri"/>
                <w:color w:val="000000"/>
              </w:rPr>
              <w:t xml:space="preserve"> « PAQ » : désigne le document traitant de l’ensemble des dispositions qualité (normes, méthodes, procédures, organisation, </w:t>
            </w:r>
            <w:proofErr w:type="spellStart"/>
            <w:r>
              <w:rPr>
                <w:rFonts w:cs="Calibri"/>
                <w:color w:val="000000"/>
              </w:rPr>
              <w:t>etc</w:t>
            </w:r>
            <w:proofErr w:type="spellEnd"/>
            <w:r>
              <w:rPr>
                <w:rFonts w:cs="Calibri"/>
                <w:color w:val="000000"/>
              </w:rPr>
              <w:t>)</w:t>
            </w:r>
          </w:p>
        </w:tc>
      </w:tr>
      <w:tr w:rsidR="006E6D7A" w14:paraId="67157A58"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56" w14:textId="77777777">
            <w:pPr>
              <w:rPr>
                <w:rFonts w:ascii="Times New Roman" w:hAnsi="Times New Roman" w:cs="Times New Roman"/>
                <w:color w:val="00A3A6"/>
                <w:sz w:val="20"/>
                <w:szCs w:val="20"/>
              </w:rPr>
            </w:pPr>
            <w:r>
              <w:rPr>
                <w:color w:val="00A3A6"/>
                <w:sz w:val="20"/>
                <w:szCs w:val="20"/>
              </w:rPr>
              <w:t>Plan Assurance Sécurité</w:t>
            </w:r>
          </w:p>
        </w:tc>
        <w:tc>
          <w:tcPr>
            <w:tcW w:w="7780" w:type="dxa"/>
            <w:tcBorders>
              <w:bottom w:val="single" w:color="00A3A6" w:sz="8" w:space="0"/>
              <w:right w:val="single" w:color="00A3A6" w:sz="8" w:space="0"/>
            </w:tcBorders>
            <w:shd w:val="clear" w:color="auto" w:fill="auto"/>
            <w:vAlign w:val="center"/>
          </w:tcPr>
          <w:p w:rsidR="006E6D7A" w:rsidRDefault="00B16C64" w14:paraId="67157A57" w14:textId="77777777">
            <w:pPr>
              <w:rPr>
                <w:rFonts w:ascii="Calibri" w:hAnsi="Calibri" w:cs="Calibri"/>
                <w:color w:val="000000"/>
              </w:rPr>
            </w:pPr>
            <w:r>
              <w:rPr>
                <w:rFonts w:cs="Calibri"/>
                <w:color w:val="000000"/>
              </w:rPr>
              <w:t>Ou « PAS » : désigne le document traitant de l’ensemble des dispositions sécurité / conformité règlementaire (normes – RGPD, PSSI, RGS, engagements de confidentialité, hygiène et sécurité, …)</w:t>
            </w:r>
          </w:p>
        </w:tc>
      </w:tr>
      <w:tr w:rsidR="006E6D7A" w14:paraId="67157A5B"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59" w14:textId="77777777">
            <w:pPr>
              <w:rPr>
                <w:rFonts w:ascii="Times New Roman" w:hAnsi="Times New Roman" w:cs="Times New Roman"/>
                <w:color w:val="00A3A6"/>
                <w:sz w:val="20"/>
                <w:szCs w:val="20"/>
              </w:rPr>
            </w:pPr>
            <w:r>
              <w:rPr>
                <w:color w:val="00A3A6"/>
                <w:sz w:val="20"/>
                <w:szCs w:val="20"/>
              </w:rPr>
              <w:t>Point Ouvert</w:t>
            </w:r>
          </w:p>
        </w:tc>
        <w:tc>
          <w:tcPr>
            <w:tcW w:w="7780" w:type="dxa"/>
            <w:tcBorders>
              <w:bottom w:val="single" w:color="00A3A6" w:sz="8" w:space="0"/>
              <w:right w:val="single" w:color="00A3A6" w:sz="8" w:space="0"/>
            </w:tcBorders>
            <w:shd w:val="clear" w:color="auto" w:fill="auto"/>
            <w:vAlign w:val="center"/>
          </w:tcPr>
          <w:p w:rsidR="006E6D7A" w:rsidRDefault="00B16C64" w14:paraId="67157A5A" w14:textId="77777777">
            <w:pPr>
              <w:rPr>
                <w:rFonts w:ascii="Calibri" w:hAnsi="Calibri" w:cs="Calibri"/>
                <w:color w:val="000000"/>
              </w:rPr>
            </w:pPr>
            <w:r>
              <w:rPr>
                <w:rFonts w:cs="Calibri"/>
                <w:color w:val="000000"/>
              </w:rPr>
              <w:t>Tout sujet qui ne peut être traduit immédiatement sous forme de demande, qui nécessite une instruction management et qui limite l’atteinte d’un objectif.</w:t>
            </w:r>
          </w:p>
        </w:tc>
      </w:tr>
      <w:tr w:rsidR="006E6D7A" w14:paraId="67157A5E"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5C" w14:textId="77777777">
            <w:pPr>
              <w:rPr>
                <w:rFonts w:ascii="Times New Roman" w:hAnsi="Times New Roman" w:cs="Times New Roman"/>
                <w:color w:val="00A3A6"/>
                <w:sz w:val="20"/>
                <w:szCs w:val="20"/>
              </w:rPr>
            </w:pPr>
            <w:r>
              <w:rPr>
                <w:color w:val="00A3A6"/>
                <w:sz w:val="20"/>
                <w:szCs w:val="20"/>
              </w:rPr>
              <w:t>Problème</w:t>
            </w:r>
          </w:p>
        </w:tc>
        <w:tc>
          <w:tcPr>
            <w:tcW w:w="7780" w:type="dxa"/>
            <w:tcBorders>
              <w:bottom w:val="single" w:color="00A3A6" w:sz="8" w:space="0"/>
              <w:right w:val="single" w:color="00A3A6" w:sz="8" w:space="0"/>
            </w:tcBorders>
            <w:shd w:val="clear" w:color="auto" w:fill="auto"/>
            <w:vAlign w:val="center"/>
          </w:tcPr>
          <w:p w:rsidR="006E6D7A" w:rsidRDefault="00B16C64" w14:paraId="67157A5D" w14:textId="77777777">
            <w:pPr>
              <w:rPr>
                <w:rFonts w:ascii="Calibri" w:hAnsi="Calibri" w:cs="Calibri"/>
                <w:color w:val="000000"/>
              </w:rPr>
            </w:pPr>
            <w:r>
              <w:rPr>
                <w:rFonts w:cs="Calibri"/>
                <w:color w:val="000000"/>
              </w:rPr>
              <w:t>Tout évènement avéré (problème constaté) ou potentiel (risque) susceptible de dégrader le niveau de service.</w:t>
            </w:r>
          </w:p>
        </w:tc>
      </w:tr>
      <w:tr w:rsidR="006E6D7A" w14:paraId="67157A61"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5F" w14:textId="77777777">
            <w:pPr>
              <w:rPr>
                <w:rFonts w:ascii="Times New Roman" w:hAnsi="Times New Roman" w:cs="Times New Roman"/>
                <w:color w:val="00A3A6"/>
                <w:sz w:val="20"/>
                <w:szCs w:val="20"/>
              </w:rPr>
            </w:pPr>
            <w:r>
              <w:rPr>
                <w:color w:val="00A3A6"/>
                <w:sz w:val="20"/>
                <w:szCs w:val="20"/>
              </w:rPr>
              <w:t>Projet</w:t>
            </w:r>
          </w:p>
        </w:tc>
        <w:tc>
          <w:tcPr>
            <w:tcW w:w="7780" w:type="dxa"/>
            <w:tcBorders>
              <w:bottom w:val="single" w:color="00A3A6" w:sz="8" w:space="0"/>
              <w:right w:val="single" w:color="00A3A6" w:sz="8" w:space="0"/>
            </w:tcBorders>
            <w:shd w:val="clear" w:color="auto" w:fill="auto"/>
            <w:vAlign w:val="center"/>
          </w:tcPr>
          <w:p w:rsidR="006E6D7A" w:rsidRDefault="00B16C64" w14:paraId="67157A60" w14:textId="77777777">
            <w:pPr>
              <w:rPr>
                <w:rFonts w:ascii="Calibri" w:hAnsi="Calibri" w:cs="Calibri"/>
                <w:color w:val="000000"/>
              </w:rPr>
            </w:pPr>
            <w:r>
              <w:rPr>
                <w:rFonts w:cs="Calibri"/>
                <w:color w:val="000000"/>
              </w:rPr>
              <w:t>Désigne l’ensemble des Prestations de mise en œuvre de la Solution ayant pour objectif la livraison d’un produit fini (dont service ou nouvelle version d’un service du catalogue DSI)</w:t>
            </w:r>
          </w:p>
        </w:tc>
      </w:tr>
      <w:tr w:rsidR="006E6D7A" w14:paraId="67157A64"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62" w14:textId="77777777">
            <w:pPr>
              <w:rPr>
                <w:rFonts w:ascii="Times New Roman" w:hAnsi="Times New Roman" w:cs="Times New Roman"/>
                <w:color w:val="00A3A6"/>
                <w:sz w:val="20"/>
                <w:szCs w:val="20"/>
              </w:rPr>
            </w:pPr>
            <w:r>
              <w:rPr>
                <w:color w:val="00A3A6"/>
                <w:sz w:val="20"/>
                <w:szCs w:val="20"/>
              </w:rPr>
              <w:t>Risque</w:t>
            </w:r>
          </w:p>
        </w:tc>
        <w:tc>
          <w:tcPr>
            <w:tcW w:w="7780" w:type="dxa"/>
            <w:tcBorders>
              <w:bottom w:val="single" w:color="00A3A6" w:sz="8" w:space="0"/>
              <w:right w:val="single" w:color="00A3A6" w:sz="8" w:space="0"/>
            </w:tcBorders>
            <w:shd w:val="clear" w:color="auto" w:fill="auto"/>
            <w:vAlign w:val="center"/>
          </w:tcPr>
          <w:p w:rsidR="006E6D7A" w:rsidRDefault="00B16C64" w14:paraId="67157A63" w14:textId="77777777">
            <w:pPr>
              <w:rPr>
                <w:rFonts w:ascii="Calibri" w:hAnsi="Calibri" w:cs="Calibri"/>
                <w:color w:val="000000"/>
              </w:rPr>
            </w:pPr>
            <w:r>
              <w:rPr>
                <w:rFonts w:cs="Calibri"/>
                <w:color w:val="000000"/>
              </w:rPr>
              <w:t>Tout évènement non réalisé et donc potentiel susceptible d’impacter positivement ou négativement le résultat attendu. Les risques sont gérés sous forme de problèmes potentiels.</w:t>
            </w:r>
          </w:p>
        </w:tc>
      </w:tr>
      <w:tr w:rsidR="006E6D7A" w14:paraId="67157A67"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65" w14:textId="77777777">
            <w:pPr>
              <w:rPr>
                <w:rFonts w:ascii="Times New Roman" w:hAnsi="Times New Roman" w:cs="Times New Roman"/>
                <w:color w:val="00A3A6"/>
                <w:sz w:val="20"/>
                <w:szCs w:val="20"/>
              </w:rPr>
            </w:pPr>
            <w:r>
              <w:rPr>
                <w:color w:val="00A3A6"/>
                <w:sz w:val="20"/>
                <w:szCs w:val="20"/>
              </w:rPr>
              <w:lastRenderedPageBreak/>
              <w:t>Utilisateur</w:t>
            </w:r>
          </w:p>
        </w:tc>
        <w:tc>
          <w:tcPr>
            <w:tcW w:w="7780" w:type="dxa"/>
            <w:tcBorders>
              <w:bottom w:val="single" w:color="00A3A6" w:sz="8" w:space="0"/>
              <w:right w:val="single" w:color="00A3A6" w:sz="8" w:space="0"/>
            </w:tcBorders>
            <w:shd w:val="clear" w:color="auto" w:fill="auto"/>
            <w:vAlign w:val="center"/>
          </w:tcPr>
          <w:p w:rsidR="006E6D7A" w:rsidRDefault="00B16C64" w14:paraId="67157A66" w14:textId="77777777">
            <w:pPr>
              <w:rPr>
                <w:rFonts w:ascii="Calibri" w:hAnsi="Calibri" w:cs="Calibri"/>
                <w:color w:val="000000"/>
              </w:rPr>
            </w:pPr>
            <w:r>
              <w:rPr>
                <w:rFonts w:cs="Calibri"/>
                <w:color w:val="000000"/>
              </w:rPr>
              <w:t>Personne utilisatrice de l’un des services SI et rattachée à un client/usager. Il est membre des directions métier ou d’unité utilisatrices des services applicatifs.</w:t>
            </w:r>
            <w:r>
              <w:rPr>
                <w:rFonts w:cs="Calibri"/>
                <w:color w:val="000000"/>
              </w:rPr>
              <w:br/>
            </w:r>
            <w:r>
              <w:rPr>
                <w:rFonts w:cs="Calibri"/>
                <w:color w:val="000000"/>
              </w:rPr>
              <w:t>Bénéficiaire du service.</w:t>
            </w:r>
          </w:p>
        </w:tc>
      </w:tr>
      <w:tr w:rsidR="006E6D7A" w14:paraId="67157A6A"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68" w14:textId="77777777">
            <w:pPr>
              <w:rPr>
                <w:rFonts w:ascii="Times New Roman" w:hAnsi="Times New Roman" w:cs="Times New Roman"/>
                <w:color w:val="00A3A6"/>
                <w:sz w:val="20"/>
                <w:szCs w:val="20"/>
              </w:rPr>
            </w:pPr>
            <w:r>
              <w:rPr>
                <w:color w:val="00A3A6"/>
                <w:sz w:val="20"/>
                <w:szCs w:val="20"/>
              </w:rPr>
              <w:t>Processus</w:t>
            </w:r>
          </w:p>
        </w:tc>
        <w:tc>
          <w:tcPr>
            <w:tcW w:w="7780" w:type="dxa"/>
            <w:tcBorders>
              <w:bottom w:val="single" w:color="00A3A6" w:sz="8" w:space="0"/>
              <w:right w:val="single" w:color="00A3A6" w:sz="8" w:space="0"/>
            </w:tcBorders>
            <w:shd w:val="clear" w:color="auto" w:fill="auto"/>
            <w:vAlign w:val="center"/>
          </w:tcPr>
          <w:p w:rsidR="006E6D7A" w:rsidRDefault="00B16C64" w14:paraId="67157A69" w14:textId="77777777">
            <w:pPr>
              <w:rPr>
                <w:rFonts w:ascii="Calibri" w:hAnsi="Calibri" w:cs="Calibri"/>
                <w:color w:val="000000"/>
              </w:rPr>
            </w:pPr>
            <w:r>
              <w:rPr>
                <w:rFonts w:cs="Calibri"/>
                <w:color w:val="000000"/>
              </w:rPr>
              <w:t>Enchaînement piloté d’activités.</w:t>
            </w:r>
          </w:p>
        </w:tc>
      </w:tr>
      <w:tr w:rsidR="006E6D7A" w14:paraId="67157A6D"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6B" w14:textId="77777777">
            <w:pPr>
              <w:rPr>
                <w:rFonts w:ascii="Times New Roman" w:hAnsi="Times New Roman" w:cs="Times New Roman"/>
                <w:color w:val="00A3A6"/>
                <w:sz w:val="20"/>
                <w:szCs w:val="20"/>
              </w:rPr>
            </w:pPr>
            <w:r>
              <w:rPr>
                <w:color w:val="00A3A6"/>
                <w:sz w:val="20"/>
                <w:szCs w:val="20"/>
              </w:rPr>
              <w:t>Processus critique</w:t>
            </w:r>
          </w:p>
        </w:tc>
        <w:tc>
          <w:tcPr>
            <w:tcW w:w="7780" w:type="dxa"/>
            <w:tcBorders>
              <w:bottom w:val="single" w:color="00A3A6" w:sz="8" w:space="0"/>
              <w:right w:val="single" w:color="00A3A6" w:sz="8" w:space="0"/>
            </w:tcBorders>
            <w:shd w:val="clear" w:color="auto" w:fill="auto"/>
            <w:vAlign w:val="center"/>
          </w:tcPr>
          <w:p w:rsidR="006E6D7A" w:rsidRDefault="00B16C64" w14:paraId="67157A6C" w14:textId="77777777">
            <w:pPr>
              <w:rPr>
                <w:rFonts w:ascii="Calibri" w:hAnsi="Calibri" w:cs="Calibri"/>
                <w:color w:val="000000"/>
              </w:rPr>
            </w:pPr>
            <w:r>
              <w:rPr>
                <w:rFonts w:cs="Calibri"/>
                <w:color w:val="000000"/>
              </w:rPr>
              <w:t>Processus sur le chemin critique et dont le dysfonctionnement impacte lourdement l’activité</w:t>
            </w:r>
          </w:p>
        </w:tc>
      </w:tr>
      <w:tr w:rsidR="006E6D7A" w14:paraId="67157A70"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6E" w14:textId="77777777">
            <w:pPr>
              <w:rPr>
                <w:rFonts w:ascii="Times New Roman" w:hAnsi="Times New Roman" w:cs="Times New Roman"/>
                <w:color w:val="00A3A6"/>
                <w:sz w:val="20"/>
                <w:szCs w:val="20"/>
              </w:rPr>
            </w:pPr>
            <w:r>
              <w:rPr>
                <w:color w:val="00A3A6"/>
                <w:sz w:val="20"/>
                <w:szCs w:val="20"/>
              </w:rPr>
              <w:t>Protocole</w:t>
            </w:r>
          </w:p>
        </w:tc>
        <w:tc>
          <w:tcPr>
            <w:tcW w:w="7780" w:type="dxa"/>
            <w:tcBorders>
              <w:bottom w:val="single" w:color="00A3A6" w:sz="8" w:space="0"/>
              <w:right w:val="single" w:color="00A3A6" w:sz="8" w:space="0"/>
            </w:tcBorders>
            <w:shd w:val="clear" w:color="auto" w:fill="auto"/>
            <w:vAlign w:val="center"/>
          </w:tcPr>
          <w:p w:rsidR="006E6D7A" w:rsidRDefault="00B16C64" w14:paraId="67157A6F" w14:textId="77777777">
            <w:pPr>
              <w:rPr>
                <w:rFonts w:ascii="Calibri" w:hAnsi="Calibri" w:cs="Calibri"/>
                <w:color w:val="000000"/>
              </w:rPr>
            </w:pPr>
            <w:r>
              <w:rPr>
                <w:rFonts w:cs="Calibri"/>
                <w:color w:val="000000"/>
              </w:rPr>
              <w:t>Les Protocoles sont des documents qui précisent pour chaque point de décision les conditions du déroulement de la réception, les conditions d'acceptation des fournitures et la méthode de suivi.</w:t>
            </w:r>
          </w:p>
        </w:tc>
      </w:tr>
      <w:tr w:rsidR="006E6D7A" w14:paraId="67157A73"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71" w14:textId="77777777">
            <w:pPr>
              <w:rPr>
                <w:rFonts w:ascii="Times New Roman" w:hAnsi="Times New Roman" w:cs="Times New Roman"/>
                <w:color w:val="00A3A6"/>
                <w:sz w:val="20"/>
                <w:szCs w:val="20"/>
              </w:rPr>
            </w:pPr>
            <w:r>
              <w:rPr>
                <w:color w:val="00A3A6"/>
                <w:sz w:val="20"/>
                <w:szCs w:val="20"/>
              </w:rPr>
              <w:t>Devis</w:t>
            </w:r>
          </w:p>
        </w:tc>
        <w:tc>
          <w:tcPr>
            <w:tcW w:w="7780" w:type="dxa"/>
            <w:tcBorders>
              <w:bottom w:val="single" w:color="00A3A6" w:sz="8" w:space="0"/>
              <w:right w:val="single" w:color="00A3A6" w:sz="8" w:space="0"/>
            </w:tcBorders>
            <w:shd w:val="clear" w:color="auto" w:fill="auto"/>
            <w:vAlign w:val="center"/>
          </w:tcPr>
          <w:p w:rsidR="006E6D7A" w:rsidRDefault="00B16C64" w14:paraId="67157A72" w14:textId="77777777">
            <w:pPr>
              <w:rPr>
                <w:rFonts w:ascii="Calibri" w:hAnsi="Calibri" w:cs="Calibri"/>
                <w:color w:val="000000"/>
              </w:rPr>
            </w:pPr>
            <w:r>
              <w:rPr>
                <w:rFonts w:cs="Calibri"/>
                <w:color w:val="000000"/>
              </w:rPr>
              <w:t>Estimation de coût (charge/investissement) et de délai pour répondre à une demande.</w:t>
            </w:r>
          </w:p>
        </w:tc>
      </w:tr>
      <w:tr w:rsidR="006E6D7A" w14:paraId="67157A76"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74" w14:textId="77777777">
            <w:pPr>
              <w:rPr>
                <w:rFonts w:ascii="Times New Roman" w:hAnsi="Times New Roman" w:cs="Times New Roman"/>
                <w:color w:val="00A3A6"/>
                <w:sz w:val="20"/>
                <w:szCs w:val="20"/>
              </w:rPr>
            </w:pPr>
            <w:r>
              <w:rPr>
                <w:color w:val="00A3A6"/>
                <w:sz w:val="20"/>
                <w:szCs w:val="20"/>
              </w:rPr>
              <w:t>Prestataire</w:t>
            </w:r>
          </w:p>
        </w:tc>
        <w:tc>
          <w:tcPr>
            <w:tcW w:w="7780" w:type="dxa"/>
            <w:tcBorders>
              <w:bottom w:val="single" w:color="00A3A6" w:sz="8" w:space="0"/>
              <w:right w:val="single" w:color="00A3A6" w:sz="8" w:space="0"/>
            </w:tcBorders>
            <w:shd w:val="clear" w:color="auto" w:fill="auto"/>
            <w:vAlign w:val="center"/>
          </w:tcPr>
          <w:p w:rsidR="006E6D7A" w:rsidRDefault="00B16C64" w14:paraId="67157A75" w14:textId="77777777">
            <w:pPr>
              <w:rPr>
                <w:rFonts w:ascii="Calibri" w:hAnsi="Calibri" w:cs="Calibri"/>
                <w:color w:val="000000"/>
              </w:rPr>
            </w:pPr>
            <w:r>
              <w:rPr>
                <w:rFonts w:cs="Calibri"/>
                <w:color w:val="000000"/>
              </w:rPr>
              <w:t>Fournisseur auquel a été attribué le marché ou l’</w:t>
            </w:r>
            <w:r>
              <w:t>accord-cadre</w:t>
            </w:r>
            <w:r>
              <w:rPr>
                <w:rFonts w:cs="Calibri"/>
                <w:color w:val="000000"/>
              </w:rPr>
              <w:t xml:space="preserve"> de prestations</w:t>
            </w:r>
          </w:p>
        </w:tc>
      </w:tr>
      <w:tr w:rsidR="006E6D7A" w14:paraId="67157A79"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77" w14:textId="77777777">
            <w:pPr>
              <w:rPr>
                <w:rFonts w:ascii="Times New Roman" w:hAnsi="Times New Roman" w:cs="Times New Roman"/>
                <w:color w:val="00A3A6"/>
                <w:sz w:val="20"/>
                <w:szCs w:val="20"/>
              </w:rPr>
            </w:pPr>
            <w:r>
              <w:rPr>
                <w:color w:val="00A3A6"/>
                <w:sz w:val="20"/>
                <w:szCs w:val="20"/>
              </w:rPr>
              <w:t>Prestation</w:t>
            </w:r>
          </w:p>
        </w:tc>
        <w:tc>
          <w:tcPr>
            <w:tcW w:w="7780" w:type="dxa"/>
            <w:tcBorders>
              <w:bottom w:val="single" w:color="00A3A6" w:sz="8" w:space="0"/>
              <w:right w:val="single" w:color="00A3A6" w:sz="8" w:space="0"/>
            </w:tcBorders>
            <w:shd w:val="clear" w:color="auto" w:fill="auto"/>
            <w:vAlign w:val="center"/>
          </w:tcPr>
          <w:p w:rsidR="006E6D7A" w:rsidRDefault="00B16C64" w14:paraId="67157A78" w14:textId="77777777">
            <w:pPr>
              <w:rPr>
                <w:rFonts w:ascii="Calibri" w:hAnsi="Calibri" w:cs="Calibri"/>
                <w:color w:val="000000"/>
              </w:rPr>
            </w:pPr>
            <w:r>
              <w:rPr>
                <w:rFonts w:cs="Calibri"/>
                <w:color w:val="000000"/>
              </w:rPr>
              <w:t>Désigne l’ensemble des activités de maîtrise d’œuvre, de conseil, d’assistance, de développement et/ou de paramétrage, de formation, … effectuées par le prestataire</w:t>
            </w:r>
          </w:p>
        </w:tc>
      </w:tr>
      <w:tr w:rsidR="006E6D7A" w14:paraId="67157A7C"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7A" w14:textId="77777777">
            <w:pPr>
              <w:rPr>
                <w:rFonts w:ascii="Times New Roman" w:hAnsi="Times New Roman" w:cs="Times New Roman"/>
                <w:color w:val="00A3A6"/>
                <w:sz w:val="20"/>
                <w:szCs w:val="20"/>
              </w:rPr>
            </w:pPr>
            <w:proofErr w:type="gramStart"/>
            <w:r>
              <w:rPr>
                <w:color w:val="00A3A6"/>
                <w:sz w:val="20"/>
                <w:szCs w:val="20"/>
              </w:rPr>
              <w:t>½</w:t>
            </w:r>
            <w:proofErr w:type="gramEnd"/>
            <w:r>
              <w:rPr>
                <w:color w:val="00A3A6"/>
                <w:sz w:val="20"/>
                <w:szCs w:val="20"/>
              </w:rPr>
              <w:t xml:space="preserve"> Interface</w:t>
            </w:r>
          </w:p>
        </w:tc>
        <w:tc>
          <w:tcPr>
            <w:tcW w:w="7780" w:type="dxa"/>
            <w:tcBorders>
              <w:bottom w:val="single" w:color="00A3A6" w:sz="8" w:space="0"/>
              <w:right w:val="single" w:color="00A3A6" w:sz="8" w:space="0"/>
            </w:tcBorders>
            <w:shd w:val="clear" w:color="auto" w:fill="auto"/>
            <w:vAlign w:val="center"/>
          </w:tcPr>
          <w:p w:rsidR="006E6D7A" w:rsidRDefault="00B16C64" w14:paraId="67157A7B" w14:textId="77777777">
            <w:pPr>
              <w:rPr>
                <w:rFonts w:ascii="Calibri" w:hAnsi="Calibri" w:cs="Calibri"/>
                <w:color w:val="000000"/>
              </w:rPr>
            </w:pPr>
            <w:r>
              <w:rPr>
                <w:rFonts w:cs="Calibri"/>
                <w:color w:val="000000"/>
              </w:rPr>
              <w:t>Désigne le composant / Service applicatif permettant l’émission ou la réception de données pour un objet de gestion.</w:t>
            </w:r>
          </w:p>
        </w:tc>
      </w:tr>
      <w:tr w:rsidR="006E6D7A" w14:paraId="67157A7F"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7D" w14:textId="77777777">
            <w:pPr>
              <w:rPr>
                <w:rFonts w:ascii="Times New Roman" w:hAnsi="Times New Roman" w:cs="Times New Roman"/>
                <w:color w:val="00A3A6"/>
                <w:sz w:val="20"/>
                <w:szCs w:val="20"/>
              </w:rPr>
            </w:pPr>
            <w:r>
              <w:rPr>
                <w:color w:val="00A3A6"/>
                <w:sz w:val="20"/>
                <w:szCs w:val="20"/>
              </w:rPr>
              <w:t>Composant</w:t>
            </w:r>
          </w:p>
        </w:tc>
        <w:tc>
          <w:tcPr>
            <w:tcW w:w="7780" w:type="dxa"/>
            <w:tcBorders>
              <w:bottom w:val="single" w:color="00A3A6" w:sz="8" w:space="0"/>
              <w:right w:val="single" w:color="00A3A6" w:sz="8" w:space="0"/>
            </w:tcBorders>
            <w:shd w:val="clear" w:color="auto" w:fill="auto"/>
            <w:vAlign w:val="center"/>
          </w:tcPr>
          <w:p w:rsidR="006E6D7A" w:rsidRDefault="00B16C64" w14:paraId="67157A7E" w14:textId="77777777">
            <w:pPr>
              <w:rPr>
                <w:rFonts w:ascii="Calibri" w:hAnsi="Calibri" w:cs="Calibri"/>
                <w:color w:val="000000"/>
              </w:rPr>
            </w:pPr>
            <w:r>
              <w:rPr>
                <w:rFonts w:cs="Calibri"/>
                <w:color w:val="000000"/>
              </w:rPr>
              <w:t xml:space="preserve">Par composant, il faut entendre toute fonction / fonctionnalité applicative ou </w:t>
            </w:r>
            <w:proofErr w:type="gramStart"/>
            <w:r>
              <w:rPr>
                <w:rFonts w:cs="Calibri"/>
                <w:color w:val="000000"/>
              </w:rPr>
              <w:t>technique  clairement</w:t>
            </w:r>
            <w:proofErr w:type="gramEnd"/>
            <w:r>
              <w:rPr>
                <w:rFonts w:cs="Calibri"/>
                <w:color w:val="000000"/>
              </w:rPr>
              <w:t xml:space="preserve"> identifiable et identifiée par une codification, qui constitue un élément unitaire de la livraison de produits finis.</w:t>
            </w:r>
            <w:r>
              <w:rPr>
                <w:rFonts w:cs="Calibri"/>
                <w:color w:val="000000"/>
              </w:rPr>
              <w:br/>
            </w:r>
            <w:r>
              <w:rPr>
                <w:rFonts w:cs="Calibri"/>
                <w:color w:val="000000"/>
              </w:rPr>
              <w:t>Les composants élémentaires seront suivis sous la forme d’un référentiel.</w:t>
            </w:r>
          </w:p>
        </w:tc>
      </w:tr>
      <w:tr w:rsidR="006E6D7A" w14:paraId="67157A82"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80" w14:textId="77777777">
            <w:pPr>
              <w:rPr>
                <w:rFonts w:ascii="Times New Roman" w:hAnsi="Times New Roman" w:cs="Times New Roman"/>
                <w:color w:val="00A3A6"/>
                <w:sz w:val="20"/>
                <w:szCs w:val="20"/>
              </w:rPr>
            </w:pPr>
            <w:r>
              <w:rPr>
                <w:color w:val="00A3A6"/>
                <w:sz w:val="20"/>
                <w:szCs w:val="20"/>
              </w:rPr>
              <w:t>Composant applicatif</w:t>
            </w:r>
          </w:p>
        </w:tc>
        <w:tc>
          <w:tcPr>
            <w:tcW w:w="7780" w:type="dxa"/>
            <w:tcBorders>
              <w:bottom w:val="single" w:color="00A3A6" w:sz="8" w:space="0"/>
              <w:right w:val="single" w:color="00A3A6" w:sz="8" w:space="0"/>
            </w:tcBorders>
            <w:shd w:val="clear" w:color="auto" w:fill="auto"/>
            <w:vAlign w:val="center"/>
          </w:tcPr>
          <w:p w:rsidR="006E6D7A" w:rsidRDefault="00B16C64" w14:paraId="67157A81" w14:textId="77777777">
            <w:pPr>
              <w:rPr>
                <w:rFonts w:ascii="Calibri" w:hAnsi="Calibri" w:cs="Calibri"/>
                <w:color w:val="000000"/>
              </w:rPr>
            </w:pPr>
            <w:r>
              <w:rPr>
                <w:rFonts w:cs="Calibri"/>
                <w:color w:val="000000"/>
              </w:rPr>
              <w:t>Fonction ou fonctionnalité unitaire d’une application</w:t>
            </w:r>
          </w:p>
        </w:tc>
      </w:tr>
      <w:tr w:rsidR="006E6D7A" w14:paraId="67157A85"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83" w14:textId="77777777">
            <w:pPr>
              <w:rPr>
                <w:rFonts w:ascii="Times New Roman" w:hAnsi="Times New Roman" w:cs="Times New Roman"/>
                <w:color w:val="00A3A6"/>
                <w:sz w:val="20"/>
                <w:szCs w:val="20"/>
              </w:rPr>
            </w:pPr>
            <w:r>
              <w:rPr>
                <w:color w:val="00A3A6"/>
                <w:sz w:val="20"/>
                <w:szCs w:val="20"/>
              </w:rPr>
              <w:t>Composant technique ou d’infrastructure</w:t>
            </w:r>
          </w:p>
        </w:tc>
        <w:tc>
          <w:tcPr>
            <w:tcW w:w="7780" w:type="dxa"/>
            <w:tcBorders>
              <w:bottom w:val="single" w:color="00A3A6" w:sz="8" w:space="0"/>
              <w:right w:val="single" w:color="00A3A6" w:sz="8" w:space="0"/>
            </w:tcBorders>
            <w:shd w:val="clear" w:color="auto" w:fill="auto"/>
            <w:vAlign w:val="center"/>
          </w:tcPr>
          <w:p w:rsidR="006E6D7A" w:rsidRDefault="00B16C64" w14:paraId="67157A84" w14:textId="77777777">
            <w:pPr>
              <w:rPr>
                <w:rFonts w:ascii="Calibri" w:hAnsi="Calibri" w:cs="Calibri"/>
                <w:color w:val="000000"/>
              </w:rPr>
            </w:pPr>
            <w:r>
              <w:rPr>
                <w:rFonts w:cs="Calibri"/>
                <w:color w:val="000000"/>
              </w:rPr>
              <w:t>Logiciel ou matériel unitaire constituant le socle technique d’une application et de son intégration en environnement INRAE.</w:t>
            </w:r>
          </w:p>
        </w:tc>
      </w:tr>
      <w:tr w:rsidR="006E6D7A" w14:paraId="67157A88"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86" w14:textId="77777777">
            <w:pPr>
              <w:rPr>
                <w:rFonts w:ascii="Times New Roman" w:hAnsi="Times New Roman" w:cs="Times New Roman"/>
                <w:color w:val="00A3A6"/>
                <w:sz w:val="20"/>
                <w:szCs w:val="20"/>
              </w:rPr>
            </w:pPr>
            <w:r>
              <w:rPr>
                <w:color w:val="00A3A6"/>
                <w:sz w:val="20"/>
                <w:szCs w:val="20"/>
              </w:rPr>
              <w:t>Interface</w:t>
            </w:r>
          </w:p>
        </w:tc>
        <w:tc>
          <w:tcPr>
            <w:tcW w:w="7780" w:type="dxa"/>
            <w:tcBorders>
              <w:bottom w:val="single" w:color="00A3A6" w:sz="8" w:space="0"/>
              <w:right w:val="single" w:color="00A3A6" w:sz="8" w:space="0"/>
            </w:tcBorders>
            <w:shd w:val="clear" w:color="auto" w:fill="auto"/>
            <w:vAlign w:val="center"/>
          </w:tcPr>
          <w:p w:rsidR="006E6D7A" w:rsidRDefault="00B16C64" w14:paraId="67157A87" w14:textId="77777777">
            <w:pPr>
              <w:rPr>
                <w:rFonts w:ascii="Calibri" w:hAnsi="Calibri" w:cs="Calibri"/>
                <w:color w:val="000000"/>
              </w:rPr>
            </w:pPr>
            <w:r>
              <w:rPr>
                <w:rFonts w:cs="Calibri"/>
                <w:color w:val="000000"/>
              </w:rPr>
              <w:t>Désigne le flux de bout en bout mettant en relation les ½ interfaces de la source et de la cible.</w:t>
            </w:r>
            <w:r>
              <w:rPr>
                <w:rFonts w:cs="Calibri"/>
                <w:color w:val="000000"/>
              </w:rPr>
              <w:br/>
            </w:r>
            <w:r>
              <w:rPr>
                <w:rFonts w:cs="Calibri"/>
                <w:color w:val="000000"/>
              </w:rPr>
              <w:t>Les composants d’une interface sont :</w:t>
            </w:r>
            <w:r>
              <w:rPr>
                <w:rFonts w:cs="Calibri"/>
                <w:color w:val="000000"/>
              </w:rPr>
              <w:br/>
            </w:r>
            <w:proofErr w:type="gramStart"/>
            <w:r>
              <w:rPr>
                <w:rFonts w:cs="Calibri"/>
                <w:color w:val="000000"/>
              </w:rPr>
              <w:t>-  ½</w:t>
            </w:r>
            <w:proofErr w:type="gramEnd"/>
            <w:r>
              <w:rPr>
                <w:rFonts w:cs="Calibri"/>
                <w:color w:val="000000"/>
              </w:rPr>
              <w:t xml:space="preserve"> Interface d’extraction des données de la source (E)</w:t>
            </w:r>
            <w:r>
              <w:rPr>
                <w:rFonts w:cs="Calibri"/>
                <w:color w:val="000000"/>
              </w:rPr>
              <w:br/>
            </w:r>
            <w:r>
              <w:rPr>
                <w:rFonts w:cs="Calibri"/>
                <w:color w:val="000000"/>
              </w:rPr>
              <w:t>-  Utilisation d’outils de transport/transformation de données (T)</w:t>
            </w:r>
            <w:r>
              <w:rPr>
                <w:rFonts w:cs="Calibri"/>
                <w:color w:val="000000"/>
              </w:rPr>
              <w:br/>
            </w:r>
            <w:r>
              <w:rPr>
                <w:rFonts w:cs="Calibri"/>
                <w:color w:val="000000"/>
              </w:rPr>
              <w:t>-  ½ Interface d’intégration des données sur la cible (L)</w:t>
            </w:r>
          </w:p>
        </w:tc>
      </w:tr>
      <w:tr w:rsidR="006E6D7A" w14:paraId="67157A8B"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89" w14:textId="77777777">
            <w:pPr>
              <w:rPr>
                <w:rFonts w:ascii="Times New Roman" w:hAnsi="Times New Roman" w:cs="Times New Roman"/>
                <w:color w:val="00A3A6"/>
                <w:sz w:val="20"/>
                <w:szCs w:val="20"/>
              </w:rPr>
            </w:pPr>
            <w:r>
              <w:rPr>
                <w:color w:val="00A3A6"/>
                <w:sz w:val="20"/>
                <w:szCs w:val="20"/>
              </w:rPr>
              <w:t>Lot de composants</w:t>
            </w:r>
          </w:p>
        </w:tc>
        <w:tc>
          <w:tcPr>
            <w:tcW w:w="7780" w:type="dxa"/>
            <w:tcBorders>
              <w:bottom w:val="single" w:color="00A3A6" w:sz="8" w:space="0"/>
              <w:right w:val="single" w:color="00A3A6" w:sz="8" w:space="0"/>
            </w:tcBorders>
            <w:shd w:val="clear" w:color="auto" w:fill="auto"/>
            <w:vAlign w:val="center"/>
          </w:tcPr>
          <w:p w:rsidR="006E6D7A" w:rsidRDefault="00B16C64" w14:paraId="67157A8A" w14:textId="77777777">
            <w:pPr>
              <w:rPr>
                <w:rFonts w:ascii="Calibri" w:hAnsi="Calibri" w:cs="Calibri"/>
                <w:color w:val="000000"/>
              </w:rPr>
            </w:pPr>
            <w:r>
              <w:rPr>
                <w:rFonts w:cs="Calibri"/>
                <w:color w:val="000000"/>
              </w:rPr>
              <w:t>Groupe de composants pour livraison / Synonyme de lot de changements</w:t>
            </w:r>
          </w:p>
        </w:tc>
      </w:tr>
      <w:tr w:rsidR="006E6D7A" w14:paraId="67157A8E"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8C" w14:textId="77777777">
            <w:pPr>
              <w:rPr>
                <w:rFonts w:ascii="Times New Roman" w:hAnsi="Times New Roman" w:cs="Times New Roman"/>
                <w:color w:val="00A3A6"/>
                <w:sz w:val="20"/>
                <w:szCs w:val="20"/>
              </w:rPr>
            </w:pPr>
            <w:r>
              <w:rPr>
                <w:color w:val="00A3A6"/>
                <w:sz w:val="20"/>
                <w:szCs w:val="20"/>
              </w:rPr>
              <w:t>Périmètre Fonctionnel</w:t>
            </w:r>
          </w:p>
        </w:tc>
        <w:tc>
          <w:tcPr>
            <w:tcW w:w="7780" w:type="dxa"/>
            <w:tcBorders>
              <w:bottom w:val="single" w:color="00A3A6" w:sz="8" w:space="0"/>
              <w:right w:val="single" w:color="00A3A6" w:sz="8" w:space="0"/>
            </w:tcBorders>
            <w:shd w:val="clear" w:color="auto" w:fill="auto"/>
            <w:vAlign w:val="center"/>
          </w:tcPr>
          <w:p w:rsidR="006E6D7A" w:rsidRDefault="00B16C64" w14:paraId="67157A8D" w14:textId="77777777">
            <w:pPr>
              <w:rPr>
                <w:rFonts w:ascii="Calibri" w:hAnsi="Calibri" w:cs="Calibri"/>
                <w:color w:val="000000"/>
              </w:rPr>
            </w:pPr>
            <w:r>
              <w:rPr>
                <w:rFonts w:cs="Calibri"/>
                <w:color w:val="000000"/>
              </w:rPr>
              <w:t>Désigne les processus fonctionnels essentiels et/ou les fonctionnalités essentielles de la Solution, les Développements Spécifiques ainsi que les Interfaces applicatives.</w:t>
            </w:r>
          </w:p>
        </w:tc>
      </w:tr>
      <w:tr w:rsidR="006E6D7A" w14:paraId="67157A91"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8F" w14:textId="77777777">
            <w:pPr>
              <w:rPr>
                <w:rFonts w:ascii="Times New Roman" w:hAnsi="Times New Roman" w:cs="Times New Roman"/>
                <w:color w:val="00A3A6"/>
                <w:sz w:val="20"/>
                <w:szCs w:val="20"/>
              </w:rPr>
            </w:pPr>
            <w:r>
              <w:rPr>
                <w:color w:val="00A3A6"/>
                <w:sz w:val="20"/>
                <w:szCs w:val="20"/>
              </w:rPr>
              <w:t>Produit</w:t>
            </w:r>
          </w:p>
        </w:tc>
        <w:tc>
          <w:tcPr>
            <w:tcW w:w="7780" w:type="dxa"/>
            <w:tcBorders>
              <w:bottom w:val="single" w:color="00A3A6" w:sz="8" w:space="0"/>
              <w:right w:val="single" w:color="00A3A6" w:sz="8" w:space="0"/>
            </w:tcBorders>
            <w:shd w:val="clear" w:color="auto" w:fill="auto"/>
            <w:vAlign w:val="center"/>
          </w:tcPr>
          <w:p w:rsidR="006E6D7A" w:rsidRDefault="00B16C64" w14:paraId="67157A90" w14:textId="77777777">
            <w:pPr>
              <w:rPr>
                <w:rFonts w:ascii="Calibri" w:hAnsi="Calibri" w:cs="Calibri"/>
                <w:color w:val="000000"/>
              </w:rPr>
            </w:pPr>
            <w:r>
              <w:rPr>
                <w:rFonts w:cs="Calibri"/>
                <w:color w:val="000000"/>
              </w:rPr>
              <w:t> Système d’Information répondant à un besoin permettant au client d’utiliser un service de manière autonome.</w:t>
            </w:r>
          </w:p>
        </w:tc>
      </w:tr>
      <w:tr w:rsidR="006E6D7A" w14:paraId="67157A94"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92" w14:textId="77777777">
            <w:pPr>
              <w:rPr>
                <w:rFonts w:ascii="Times New Roman" w:hAnsi="Times New Roman" w:cs="Times New Roman"/>
                <w:color w:val="00A3A6"/>
                <w:sz w:val="20"/>
                <w:szCs w:val="20"/>
              </w:rPr>
            </w:pPr>
            <w:r>
              <w:rPr>
                <w:color w:val="00A3A6"/>
                <w:sz w:val="20"/>
                <w:szCs w:val="20"/>
              </w:rPr>
              <w:t>Service</w:t>
            </w:r>
          </w:p>
        </w:tc>
        <w:tc>
          <w:tcPr>
            <w:tcW w:w="7780" w:type="dxa"/>
            <w:tcBorders>
              <w:bottom w:val="single" w:color="00A3A6" w:sz="8" w:space="0"/>
              <w:right w:val="single" w:color="00A3A6" w:sz="8" w:space="0"/>
            </w:tcBorders>
            <w:shd w:val="clear" w:color="auto" w:fill="auto"/>
            <w:vAlign w:val="center"/>
          </w:tcPr>
          <w:p w:rsidR="006E6D7A" w:rsidRDefault="00B16C64" w14:paraId="67157A93" w14:textId="77777777">
            <w:pPr>
              <w:rPr>
                <w:rFonts w:ascii="Calibri" w:hAnsi="Calibri" w:cs="Calibri"/>
                <w:color w:val="000000"/>
              </w:rPr>
            </w:pPr>
            <w:r>
              <w:rPr>
                <w:rFonts w:cs="Calibri"/>
                <w:color w:val="000000"/>
              </w:rPr>
              <w:t>Prestation ou produit fini fourni par la DSI vers le métier. Les services sont d’ordre applicatifs ou techniques.</w:t>
            </w:r>
          </w:p>
        </w:tc>
      </w:tr>
      <w:tr w:rsidR="006E6D7A" w14:paraId="67157A97"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95" w14:textId="77777777">
            <w:pPr>
              <w:rPr>
                <w:rFonts w:ascii="Times New Roman" w:hAnsi="Times New Roman" w:cs="Times New Roman"/>
                <w:color w:val="00A3A6"/>
                <w:sz w:val="20"/>
                <w:szCs w:val="20"/>
              </w:rPr>
            </w:pPr>
            <w:r>
              <w:rPr>
                <w:color w:val="00A3A6"/>
                <w:sz w:val="20"/>
                <w:szCs w:val="20"/>
              </w:rPr>
              <w:t>Solution</w:t>
            </w:r>
          </w:p>
        </w:tc>
        <w:tc>
          <w:tcPr>
            <w:tcW w:w="7780" w:type="dxa"/>
            <w:tcBorders>
              <w:bottom w:val="single" w:color="00A3A6" w:sz="8" w:space="0"/>
              <w:right w:val="single" w:color="00A3A6" w:sz="8" w:space="0"/>
            </w:tcBorders>
            <w:shd w:val="clear" w:color="auto" w:fill="auto"/>
            <w:vAlign w:val="center"/>
          </w:tcPr>
          <w:p w:rsidR="006E6D7A" w:rsidRDefault="00B16C64" w14:paraId="67157A96" w14:textId="77777777">
            <w:pPr>
              <w:rPr>
                <w:rFonts w:ascii="Calibri" w:hAnsi="Calibri" w:cs="Calibri"/>
                <w:color w:val="000000"/>
              </w:rPr>
            </w:pPr>
            <w:r>
              <w:rPr>
                <w:rFonts w:cs="Calibri"/>
                <w:color w:val="000000"/>
              </w:rPr>
              <w:t>La Solution correspond à l’ensemble des éléments de l’architecture dont les procédures d’utilisation et les composants applicatifs ou techniques, qui contribuent à rendre le service convenu vers les Utilisateurs (Solution Finances, Solution RH, …).</w:t>
            </w:r>
          </w:p>
        </w:tc>
      </w:tr>
      <w:tr w:rsidR="006E6D7A" w14:paraId="67157A9A" w14:textId="77777777">
        <w:trPr>
          <w:trHeight w:val="20"/>
        </w:trPr>
        <w:tc>
          <w:tcPr>
            <w:tcW w:w="2240" w:type="dxa"/>
            <w:tcBorders>
              <w:left w:val="single" w:color="00A3A6" w:sz="8" w:space="0"/>
              <w:bottom w:val="single" w:color="00A3A6" w:sz="8" w:space="0"/>
              <w:right w:val="single" w:color="00A3A6" w:sz="8" w:space="0"/>
            </w:tcBorders>
            <w:shd w:val="clear" w:color="auto" w:fill="auto"/>
            <w:vAlign w:val="center"/>
          </w:tcPr>
          <w:p w:rsidR="006E6D7A" w:rsidRDefault="00B16C64" w14:paraId="67157A98" w14:textId="77777777">
            <w:pPr>
              <w:rPr>
                <w:rFonts w:ascii="Times New Roman" w:hAnsi="Times New Roman" w:cs="Times New Roman"/>
                <w:color w:val="00A3A6"/>
                <w:sz w:val="20"/>
                <w:szCs w:val="20"/>
              </w:rPr>
            </w:pPr>
            <w:r>
              <w:rPr>
                <w:color w:val="00A3A6"/>
                <w:sz w:val="20"/>
                <w:szCs w:val="20"/>
              </w:rPr>
              <w:t>Taxonomie des tests</w:t>
            </w:r>
          </w:p>
        </w:tc>
        <w:tc>
          <w:tcPr>
            <w:tcW w:w="7780" w:type="dxa"/>
            <w:tcBorders>
              <w:bottom w:val="single" w:color="00A3A6" w:sz="8" w:space="0"/>
              <w:right w:val="single" w:color="00A3A6" w:sz="8" w:space="0"/>
            </w:tcBorders>
            <w:shd w:val="clear" w:color="auto" w:fill="auto"/>
            <w:vAlign w:val="center"/>
          </w:tcPr>
          <w:p w:rsidR="006E6D7A" w:rsidRDefault="00B16C64" w14:paraId="67157A99" w14:textId="77777777">
            <w:pPr>
              <w:rPr>
                <w:rFonts w:ascii="Calibri" w:hAnsi="Calibri" w:cs="Calibri"/>
                <w:color w:val="000000"/>
              </w:rPr>
            </w:pPr>
            <w:r>
              <w:rPr>
                <w:rFonts w:cs="Calibri"/>
                <w:color w:val="000000"/>
              </w:rPr>
              <w:t>Démarche de classification des tests informatiques.</w:t>
            </w:r>
          </w:p>
        </w:tc>
      </w:tr>
    </w:tbl>
    <w:p w:rsidR="006E6D7A" w:rsidRDefault="00B16C64" w14:paraId="67157A9B" w14:textId="77777777">
      <w:pPr>
        <w:pStyle w:val="Titre2"/>
      </w:pPr>
      <w:bookmarkStart w:name="_ENF" w:id="190"/>
      <w:bookmarkStart w:name="_Toc221095605" w:id="191"/>
      <w:bookmarkEnd w:id="190"/>
      <w:r>
        <w:lastRenderedPageBreak/>
        <w:t>Exigences Non Fonctionnelle (ENF)</w:t>
      </w:r>
      <w:bookmarkEnd w:id="191"/>
    </w:p>
    <w:p w:rsidR="006E6D7A" w:rsidRDefault="00B16C64" w14:paraId="67157A9C" w14:textId="77777777">
      <w:pPr>
        <w:pStyle w:val="Titre3"/>
        <w:numPr>
          <w:ilvl w:val="3"/>
          <w:numId w:val="3"/>
        </w:numPr>
      </w:pPr>
      <w:bookmarkStart w:name="_Toc221095606" w:id="192"/>
      <w:r>
        <w:rPr>
          <w:smallCaps w:val="0"/>
        </w:rPr>
        <w:t>Exploitabilité</w:t>
      </w:r>
      <w:bookmarkEnd w:id="192"/>
      <w:r>
        <w:rPr>
          <w:smallCaps w:val="0"/>
        </w:rPr>
        <w:t xml:space="preserve"> </w:t>
      </w:r>
    </w:p>
    <w:p w:rsidR="006E6D7A" w:rsidRDefault="00B16C64" w14:paraId="67157A9D" w14:textId="77777777">
      <w:proofErr w:type="gramStart"/>
      <w:r>
        <w:t>référence</w:t>
      </w:r>
      <w:proofErr w:type="gramEnd"/>
      <w:r>
        <w:t xml:space="preserve"> : ISO/IEC 25000 SQUARE                                  version du modèle : 1.3</w:t>
      </w:r>
    </w:p>
    <w:tbl>
      <w:tblPr>
        <w:tblW w:w="6209" w:type="dxa"/>
        <w:tblLayout w:type="fixed"/>
        <w:tblCellMar>
          <w:top w:w="100" w:type="dxa"/>
          <w:left w:w="100" w:type="dxa"/>
          <w:bottom w:w="100" w:type="dxa"/>
          <w:right w:w="100" w:type="dxa"/>
        </w:tblCellMar>
        <w:tblLook w:val="04A0" w:firstRow="1" w:lastRow="0" w:firstColumn="1" w:lastColumn="0" w:noHBand="0" w:noVBand="1"/>
      </w:tblPr>
      <w:tblGrid>
        <w:gridCol w:w="1815"/>
        <w:gridCol w:w="1437"/>
        <w:gridCol w:w="1655"/>
        <w:gridCol w:w="1302"/>
      </w:tblGrid>
      <w:tr w:rsidR="006E6D7A" w14:paraId="67157A9F" w14:textId="77777777">
        <w:trPr>
          <w:trHeight w:val="420"/>
        </w:trPr>
        <w:tc>
          <w:tcPr>
            <w:tcW w:w="6208" w:type="dxa"/>
            <w:gridSpan w:val="4"/>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9E" w14:textId="77777777">
            <w:pPr>
              <w:pStyle w:val="NormalWeb"/>
              <w:spacing w:beforeAutospacing="0" w:after="0" w:afterAutospacing="0"/>
            </w:pPr>
            <w:r>
              <w:rPr>
                <w:rFonts w:ascii="Arial" w:hAnsi="Arial" w:cs="Arial"/>
                <w:color w:val="FFFFFF"/>
              </w:rPr>
              <w:t xml:space="preserve">Communauté en charge : </w:t>
            </w:r>
            <w:proofErr w:type="spellStart"/>
            <w:r>
              <w:rPr>
                <w:rFonts w:ascii="Arial" w:hAnsi="Arial" w:cs="Arial"/>
                <w:b/>
                <w:bCs/>
                <w:color w:val="FFFFFF"/>
              </w:rPr>
              <w:t>DevSecOps</w:t>
            </w:r>
            <w:proofErr w:type="spellEnd"/>
          </w:p>
        </w:tc>
      </w:tr>
      <w:tr w:rsidR="006E6D7A" w14:paraId="67157AA4" w14:textId="77777777">
        <w:tc>
          <w:tcPr>
            <w:tcW w:w="1814"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A0" w14:textId="77777777">
            <w:pPr>
              <w:pStyle w:val="NormalWeb"/>
              <w:spacing w:beforeAutospacing="0" w:after="0" w:afterAutospacing="0"/>
            </w:pPr>
            <w:r>
              <w:rPr>
                <w:rFonts w:ascii="Arial" w:hAnsi="Arial" w:cs="Arial"/>
                <w:color w:val="FFFFFF"/>
              </w:rPr>
              <w:t>Libellé ENF</w:t>
            </w:r>
          </w:p>
        </w:tc>
        <w:tc>
          <w:tcPr>
            <w:tcW w:w="1437" w:type="dxa"/>
            <w:tcBorders>
              <w:top w:val="single" w:color="000000" w:sz="8" w:space="0"/>
              <w:left w:val="single" w:color="000000" w:sz="8" w:space="0"/>
              <w:bottom w:val="single" w:color="000000" w:sz="8" w:space="0"/>
              <w:right w:val="single" w:color="000000" w:sz="8" w:space="0"/>
            </w:tcBorders>
          </w:tcPr>
          <w:p w:rsidR="006E6D7A" w:rsidRDefault="00B16C64" w14:paraId="67157AA1" w14:textId="77777777">
            <w:pPr>
              <w:pStyle w:val="NormalWeb"/>
              <w:spacing w:beforeAutospacing="0" w:after="0" w:afterAutospacing="0"/>
            </w:pPr>
            <w:r>
              <w:rPr>
                <w:rFonts w:ascii="Arial" w:hAnsi="Arial" w:cs="Arial"/>
                <w:color w:val="000000"/>
              </w:rPr>
              <w:t>Exploitabilité</w:t>
            </w:r>
          </w:p>
        </w:tc>
        <w:tc>
          <w:tcPr>
            <w:tcW w:w="1655"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A2" w14:textId="77777777">
            <w:pPr>
              <w:pStyle w:val="NormalWeb"/>
              <w:spacing w:beforeAutospacing="0" w:after="0" w:afterAutospacing="0"/>
            </w:pPr>
            <w:r>
              <w:rPr>
                <w:rFonts w:ascii="Arial" w:hAnsi="Arial" w:cs="Arial"/>
                <w:color w:val="FFFFFF"/>
              </w:rPr>
              <w:t>Identifiant ENF</w:t>
            </w:r>
          </w:p>
        </w:tc>
        <w:tc>
          <w:tcPr>
            <w:tcW w:w="1302" w:type="dxa"/>
            <w:tcBorders>
              <w:top w:val="single" w:color="000000" w:sz="8" w:space="0"/>
              <w:left w:val="single" w:color="000000" w:sz="8" w:space="0"/>
              <w:bottom w:val="single" w:color="000000" w:sz="8" w:space="0"/>
              <w:right w:val="single" w:color="000000" w:sz="8" w:space="0"/>
            </w:tcBorders>
          </w:tcPr>
          <w:p w:rsidR="006E6D7A" w:rsidRDefault="00B16C64" w14:paraId="67157AA3" w14:textId="77777777">
            <w:pPr>
              <w:pStyle w:val="NormalWeb"/>
              <w:spacing w:beforeAutospacing="0" w:after="0" w:afterAutospacing="0"/>
            </w:pPr>
            <w:r>
              <w:rPr>
                <w:rFonts w:ascii="Arial" w:hAnsi="Arial" w:cs="Arial"/>
                <w:color w:val="000000"/>
              </w:rPr>
              <w:t>13</w:t>
            </w:r>
          </w:p>
        </w:tc>
      </w:tr>
      <w:tr w:rsidR="006E6D7A" w14:paraId="67157AA9" w14:textId="77777777">
        <w:tc>
          <w:tcPr>
            <w:tcW w:w="1814"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A5" w14:textId="77777777">
            <w:pPr>
              <w:pStyle w:val="NormalWeb"/>
              <w:spacing w:beforeAutospacing="0" w:after="0" w:afterAutospacing="0"/>
            </w:pPr>
            <w:r>
              <w:rPr>
                <w:rFonts w:ascii="Arial" w:hAnsi="Arial" w:cs="Arial"/>
                <w:color w:val="FFFFFF"/>
              </w:rPr>
              <w:t>Type ENF</w:t>
            </w:r>
          </w:p>
        </w:tc>
        <w:tc>
          <w:tcPr>
            <w:tcW w:w="1437" w:type="dxa"/>
            <w:tcBorders>
              <w:top w:val="single" w:color="000000" w:sz="8" w:space="0"/>
              <w:left w:val="single" w:color="000000" w:sz="8" w:space="0"/>
              <w:bottom w:val="single" w:color="000000" w:sz="8" w:space="0"/>
              <w:right w:val="single" w:color="000000" w:sz="8" w:space="0"/>
            </w:tcBorders>
          </w:tcPr>
          <w:p w:rsidR="006E6D7A" w:rsidRDefault="00B16C64" w14:paraId="67157AA6" w14:textId="77777777">
            <w:pPr>
              <w:pStyle w:val="NormalWeb"/>
              <w:spacing w:beforeAutospacing="0" w:after="0" w:afterAutospacing="0"/>
            </w:pPr>
            <w:r>
              <w:rPr>
                <w:rFonts w:ascii="Arial" w:hAnsi="Arial" w:cs="Arial"/>
                <w:color w:val="000000"/>
              </w:rPr>
              <w:t>Exploitabilité</w:t>
            </w:r>
          </w:p>
        </w:tc>
        <w:tc>
          <w:tcPr>
            <w:tcW w:w="1655"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A7" w14:textId="77777777">
            <w:pPr>
              <w:pStyle w:val="NormalWeb"/>
              <w:spacing w:beforeAutospacing="0" w:after="0" w:afterAutospacing="0"/>
            </w:pPr>
            <w:r>
              <w:rPr>
                <w:rFonts w:ascii="Arial" w:hAnsi="Arial" w:cs="Arial"/>
                <w:color w:val="FFFFFF"/>
              </w:rPr>
              <w:t>Version</w:t>
            </w:r>
          </w:p>
        </w:tc>
        <w:tc>
          <w:tcPr>
            <w:tcW w:w="1302" w:type="dxa"/>
            <w:tcBorders>
              <w:top w:val="single" w:color="000000" w:sz="8" w:space="0"/>
              <w:left w:val="single" w:color="000000" w:sz="8" w:space="0"/>
              <w:bottom w:val="single" w:color="000000" w:sz="8" w:space="0"/>
              <w:right w:val="single" w:color="000000" w:sz="8" w:space="0"/>
            </w:tcBorders>
          </w:tcPr>
          <w:p w:rsidR="006E6D7A" w:rsidRDefault="00B16C64" w14:paraId="67157AA8" w14:textId="77777777">
            <w:pPr>
              <w:pStyle w:val="NormalWeb"/>
              <w:spacing w:beforeAutospacing="0" w:after="0" w:afterAutospacing="0"/>
            </w:pPr>
            <w:r>
              <w:rPr>
                <w:rFonts w:ascii="Arial" w:hAnsi="Arial" w:cs="Arial"/>
                <w:color w:val="000000"/>
              </w:rPr>
              <w:t>1.1.0</w:t>
            </w:r>
          </w:p>
        </w:tc>
      </w:tr>
      <w:tr w:rsidR="006E6D7A" w14:paraId="67157AAE" w14:textId="77777777">
        <w:tc>
          <w:tcPr>
            <w:tcW w:w="1814"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AA" w14:textId="77777777">
            <w:pPr>
              <w:pStyle w:val="NormalWeb"/>
              <w:spacing w:beforeAutospacing="0" w:after="0" w:afterAutospacing="0"/>
            </w:pPr>
            <w:r>
              <w:rPr>
                <w:rFonts w:ascii="Arial" w:hAnsi="Arial" w:cs="Arial"/>
                <w:color w:val="FFFFFF"/>
              </w:rPr>
              <w:t>Date de création</w:t>
            </w:r>
          </w:p>
        </w:tc>
        <w:tc>
          <w:tcPr>
            <w:tcW w:w="1437" w:type="dxa"/>
            <w:tcBorders>
              <w:top w:val="single" w:color="000000" w:sz="8" w:space="0"/>
              <w:left w:val="single" w:color="000000" w:sz="8" w:space="0"/>
              <w:bottom w:val="single" w:color="000000" w:sz="8" w:space="0"/>
              <w:right w:val="single" w:color="000000" w:sz="8" w:space="0"/>
            </w:tcBorders>
          </w:tcPr>
          <w:p w:rsidR="006E6D7A" w:rsidRDefault="00B16C64" w14:paraId="67157AAB" w14:textId="77777777">
            <w:pPr>
              <w:pStyle w:val="NormalWeb"/>
              <w:spacing w:beforeAutospacing="0" w:after="0" w:afterAutospacing="0"/>
            </w:pPr>
            <w:r>
              <w:rPr>
                <w:rFonts w:ascii="Arial" w:hAnsi="Arial" w:cs="Arial"/>
                <w:color w:val="000000"/>
              </w:rPr>
              <w:t>23/09/2019</w:t>
            </w:r>
          </w:p>
        </w:tc>
        <w:tc>
          <w:tcPr>
            <w:tcW w:w="1655"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AC" w14:textId="77777777">
            <w:pPr>
              <w:pStyle w:val="NormalWeb"/>
              <w:spacing w:beforeAutospacing="0" w:after="0" w:afterAutospacing="0"/>
            </w:pPr>
            <w:r>
              <w:rPr>
                <w:rFonts w:ascii="Arial" w:hAnsi="Arial" w:cs="Arial"/>
                <w:color w:val="FFFFFF"/>
              </w:rPr>
              <w:t>Date de maj</w:t>
            </w:r>
          </w:p>
        </w:tc>
        <w:tc>
          <w:tcPr>
            <w:tcW w:w="1302" w:type="dxa"/>
            <w:tcBorders>
              <w:top w:val="single" w:color="000000" w:sz="8" w:space="0"/>
              <w:left w:val="single" w:color="000000" w:sz="8" w:space="0"/>
              <w:bottom w:val="single" w:color="000000" w:sz="8" w:space="0"/>
              <w:right w:val="single" w:color="000000" w:sz="8" w:space="0"/>
            </w:tcBorders>
          </w:tcPr>
          <w:p w:rsidR="006E6D7A" w:rsidRDefault="00B16C64" w14:paraId="67157AAD" w14:textId="77777777">
            <w:pPr>
              <w:pStyle w:val="NormalWeb"/>
              <w:spacing w:beforeAutospacing="0" w:after="0" w:afterAutospacing="0"/>
            </w:pPr>
            <w:r>
              <w:rPr>
                <w:rFonts w:ascii="Arial" w:hAnsi="Arial" w:cs="Arial"/>
                <w:color w:val="000000"/>
              </w:rPr>
              <w:t>04/04/2022</w:t>
            </w:r>
          </w:p>
        </w:tc>
      </w:tr>
    </w:tbl>
    <w:p w:rsidR="006E6D7A" w:rsidRDefault="006E6D7A" w14:paraId="67157AAF" w14:textId="77777777"/>
    <w:tbl>
      <w:tblPr>
        <w:tblW w:w="9619" w:type="dxa"/>
        <w:tblLayout w:type="fixed"/>
        <w:tblCellMar>
          <w:top w:w="100" w:type="dxa"/>
          <w:left w:w="100" w:type="dxa"/>
          <w:bottom w:w="100" w:type="dxa"/>
          <w:right w:w="100" w:type="dxa"/>
        </w:tblCellMar>
        <w:tblLook w:val="04A0" w:firstRow="1" w:lastRow="0" w:firstColumn="1" w:lastColumn="0" w:noHBand="0" w:noVBand="1"/>
      </w:tblPr>
      <w:tblGrid>
        <w:gridCol w:w="1321"/>
        <w:gridCol w:w="1421"/>
        <w:gridCol w:w="1353"/>
        <w:gridCol w:w="1187"/>
        <w:gridCol w:w="889"/>
        <w:gridCol w:w="932"/>
        <w:gridCol w:w="1432"/>
        <w:gridCol w:w="1084"/>
      </w:tblGrid>
      <w:tr w:rsidR="006E6D7A" w14:paraId="67157AB1" w14:textId="77777777">
        <w:trPr>
          <w:trHeight w:val="420"/>
          <w:tblHeader/>
        </w:trPr>
        <w:tc>
          <w:tcPr>
            <w:tcW w:w="9617" w:type="dxa"/>
            <w:gridSpan w:val="8"/>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B0" w14:textId="77777777">
            <w:pPr>
              <w:pStyle w:val="NormalWeb"/>
              <w:spacing w:beforeAutospacing="0" w:after="0" w:afterAutospacing="0"/>
              <w:jc w:val="center"/>
            </w:pPr>
            <w:r>
              <w:rPr>
                <w:rFonts w:ascii="Arial" w:hAnsi="Arial" w:cs="Arial"/>
                <w:color w:val="FFFFFF"/>
              </w:rPr>
              <w:t>Caractéristique ENF</w:t>
            </w:r>
          </w:p>
        </w:tc>
      </w:tr>
      <w:tr w:rsidR="006E6D7A" w14:paraId="67157ABA" w14:textId="77777777">
        <w:tc>
          <w:tcPr>
            <w:tcW w:w="1320" w:type="dxa"/>
            <w:tcBorders>
              <w:top w:val="single" w:color="000000" w:sz="8" w:space="0"/>
              <w:left w:val="single" w:color="000000" w:sz="8" w:space="0"/>
              <w:bottom w:val="single" w:color="000000" w:sz="8" w:space="0"/>
              <w:right w:val="single" w:color="000000" w:sz="8" w:space="0"/>
            </w:tcBorders>
            <w:shd w:val="clear" w:color="auto" w:fill="FFFFFF"/>
          </w:tcPr>
          <w:p w:rsidR="006E6D7A" w:rsidRDefault="00B16C64" w14:paraId="67157AB2" w14:textId="77777777">
            <w:pPr>
              <w:pStyle w:val="NormalWeb"/>
              <w:spacing w:beforeAutospacing="0" w:after="0" w:afterAutospacing="0"/>
            </w:pPr>
            <w:r>
              <w:rPr>
                <w:rFonts w:ascii="Arial" w:hAnsi="Arial" w:cs="Arial"/>
                <w:strike/>
                <w:color w:val="000000"/>
                <w:sz w:val="20"/>
                <w:szCs w:val="20"/>
              </w:rPr>
              <w:t>Adéquation fonctionnelle</w:t>
            </w:r>
          </w:p>
        </w:tc>
        <w:tc>
          <w:tcPr>
            <w:tcW w:w="1420" w:type="dxa"/>
            <w:tcBorders>
              <w:top w:val="single" w:color="000000" w:sz="8" w:space="0"/>
              <w:left w:val="single" w:color="000000" w:sz="8" w:space="0"/>
              <w:bottom w:val="single" w:color="000000" w:sz="8" w:space="0"/>
              <w:right w:val="single" w:color="000000" w:sz="8" w:space="0"/>
            </w:tcBorders>
            <w:shd w:val="clear" w:color="auto" w:fill="FFFFFF"/>
          </w:tcPr>
          <w:p w:rsidR="006E6D7A" w:rsidRDefault="00B16C64" w14:paraId="67157AB3" w14:textId="77777777">
            <w:pPr>
              <w:pStyle w:val="NormalWeb"/>
              <w:spacing w:beforeAutospacing="0" w:after="0" w:afterAutospacing="0"/>
            </w:pPr>
            <w:r>
              <w:rPr>
                <w:rFonts w:ascii="Arial" w:hAnsi="Arial" w:cs="Arial"/>
                <w:strike/>
                <w:color w:val="000000"/>
                <w:sz w:val="20"/>
                <w:szCs w:val="20"/>
              </w:rPr>
              <w:t>Efficience des performances</w:t>
            </w:r>
          </w:p>
        </w:tc>
        <w:tc>
          <w:tcPr>
            <w:tcW w:w="1353" w:type="dxa"/>
            <w:tcBorders>
              <w:top w:val="single" w:color="000000" w:sz="8" w:space="0"/>
              <w:left w:val="single" w:color="000000" w:sz="8" w:space="0"/>
              <w:bottom w:val="single" w:color="000000" w:sz="8" w:space="0"/>
              <w:right w:val="single" w:color="000000" w:sz="8" w:space="0"/>
            </w:tcBorders>
            <w:shd w:val="clear" w:color="auto" w:fill="FFFFFF"/>
          </w:tcPr>
          <w:p w:rsidR="006E6D7A" w:rsidRDefault="00B16C64" w14:paraId="67157AB4" w14:textId="77777777">
            <w:pPr>
              <w:pStyle w:val="NormalWeb"/>
              <w:spacing w:beforeAutospacing="0" w:after="0" w:afterAutospacing="0"/>
            </w:pPr>
            <w:r>
              <w:rPr>
                <w:rFonts w:ascii="Arial" w:hAnsi="Arial" w:cs="Arial"/>
                <w:strike/>
                <w:color w:val="000000"/>
                <w:sz w:val="20"/>
                <w:szCs w:val="20"/>
              </w:rPr>
              <w:t>Compatibilité</w:t>
            </w:r>
          </w:p>
        </w:tc>
        <w:tc>
          <w:tcPr>
            <w:tcW w:w="1187" w:type="dxa"/>
            <w:tcBorders>
              <w:top w:val="single" w:color="000000" w:sz="8" w:space="0"/>
              <w:left w:val="single" w:color="000000" w:sz="8" w:space="0"/>
              <w:bottom w:val="single" w:color="000000" w:sz="8" w:space="0"/>
              <w:right w:val="single" w:color="000000" w:sz="8" w:space="0"/>
            </w:tcBorders>
            <w:shd w:val="clear" w:color="auto" w:fill="FFFFFF"/>
          </w:tcPr>
          <w:p w:rsidR="006E6D7A" w:rsidRDefault="00B16C64" w14:paraId="67157AB5" w14:textId="77777777">
            <w:pPr>
              <w:pStyle w:val="NormalWeb"/>
              <w:spacing w:beforeAutospacing="0" w:after="0" w:afterAutospacing="0"/>
            </w:pPr>
            <w:r>
              <w:rPr>
                <w:rFonts w:ascii="Arial" w:hAnsi="Arial" w:cs="Arial"/>
                <w:strike/>
                <w:color w:val="000000"/>
                <w:sz w:val="20"/>
                <w:szCs w:val="20"/>
              </w:rPr>
              <w:t>Facilité d’utilisation</w:t>
            </w:r>
          </w:p>
        </w:tc>
        <w:tc>
          <w:tcPr>
            <w:tcW w:w="889" w:type="dxa"/>
            <w:tcBorders>
              <w:top w:val="single" w:color="000000" w:sz="8" w:space="0"/>
              <w:left w:val="single" w:color="000000" w:sz="8" w:space="0"/>
              <w:bottom w:val="single" w:color="000000" w:sz="8" w:space="0"/>
              <w:right w:val="single" w:color="000000" w:sz="8" w:space="0"/>
            </w:tcBorders>
            <w:shd w:val="clear" w:color="auto" w:fill="F4CCCC"/>
          </w:tcPr>
          <w:p w:rsidR="006E6D7A" w:rsidRDefault="00B16C64" w14:paraId="67157AB6" w14:textId="77777777">
            <w:pPr>
              <w:pStyle w:val="NormalWeb"/>
              <w:spacing w:beforeAutospacing="0" w:after="0" w:afterAutospacing="0"/>
            </w:pPr>
            <w:r>
              <w:rPr>
                <w:rFonts w:ascii="Arial" w:hAnsi="Arial" w:cs="Arial"/>
                <w:color w:val="000000"/>
                <w:sz w:val="20"/>
                <w:szCs w:val="20"/>
              </w:rPr>
              <w:t>Fiabilité</w:t>
            </w:r>
          </w:p>
        </w:tc>
        <w:tc>
          <w:tcPr>
            <w:tcW w:w="932" w:type="dxa"/>
            <w:tcBorders>
              <w:top w:val="single" w:color="000000" w:sz="8" w:space="0"/>
              <w:left w:val="single" w:color="000000" w:sz="8" w:space="0"/>
              <w:bottom w:val="single" w:color="000000" w:sz="8" w:space="0"/>
              <w:right w:val="single" w:color="000000" w:sz="8" w:space="0"/>
            </w:tcBorders>
            <w:shd w:val="clear" w:color="auto" w:fill="FFFFFF"/>
          </w:tcPr>
          <w:p w:rsidR="006E6D7A" w:rsidRDefault="00B16C64" w14:paraId="67157AB7" w14:textId="77777777">
            <w:pPr>
              <w:pStyle w:val="NormalWeb"/>
              <w:spacing w:beforeAutospacing="0" w:after="0" w:afterAutospacing="0"/>
            </w:pPr>
            <w:r>
              <w:rPr>
                <w:rFonts w:ascii="Arial" w:hAnsi="Arial" w:cs="Arial"/>
                <w:strike/>
                <w:color w:val="000000"/>
                <w:sz w:val="20"/>
                <w:szCs w:val="20"/>
              </w:rPr>
              <w:t>Sécurité</w:t>
            </w:r>
          </w:p>
        </w:tc>
        <w:tc>
          <w:tcPr>
            <w:tcW w:w="1432" w:type="dxa"/>
            <w:tcBorders>
              <w:top w:val="single" w:color="000000" w:sz="8" w:space="0"/>
              <w:left w:val="single" w:color="000000" w:sz="8" w:space="0"/>
              <w:bottom w:val="single" w:color="000000" w:sz="8" w:space="0"/>
              <w:right w:val="single" w:color="000000" w:sz="8" w:space="0"/>
            </w:tcBorders>
            <w:shd w:val="clear" w:color="auto" w:fill="F4CCCC"/>
          </w:tcPr>
          <w:p w:rsidR="006E6D7A" w:rsidRDefault="00B16C64" w14:paraId="67157AB8" w14:textId="77777777">
            <w:pPr>
              <w:pStyle w:val="NormalWeb"/>
              <w:spacing w:beforeAutospacing="0" w:after="0" w:afterAutospacing="0"/>
            </w:pPr>
            <w:r>
              <w:rPr>
                <w:rFonts w:ascii="Arial" w:hAnsi="Arial" w:cs="Arial"/>
                <w:color w:val="000000"/>
                <w:sz w:val="20"/>
                <w:szCs w:val="20"/>
              </w:rPr>
              <w:t>Maintenabilité</w:t>
            </w:r>
          </w:p>
        </w:tc>
        <w:tc>
          <w:tcPr>
            <w:tcW w:w="1084" w:type="dxa"/>
            <w:tcBorders>
              <w:top w:val="single" w:color="000000" w:sz="8" w:space="0"/>
              <w:left w:val="single" w:color="000000" w:sz="8" w:space="0"/>
              <w:bottom w:val="single" w:color="000000" w:sz="8" w:space="0"/>
              <w:right w:val="single" w:color="000000" w:sz="8" w:space="0"/>
            </w:tcBorders>
            <w:shd w:val="clear" w:color="auto" w:fill="FFFFFF"/>
          </w:tcPr>
          <w:p w:rsidR="006E6D7A" w:rsidRDefault="00B16C64" w14:paraId="67157AB9" w14:textId="77777777">
            <w:pPr>
              <w:pStyle w:val="NormalWeb"/>
              <w:spacing w:beforeAutospacing="0" w:after="0" w:afterAutospacing="0"/>
            </w:pPr>
            <w:r>
              <w:rPr>
                <w:rFonts w:ascii="Arial" w:hAnsi="Arial" w:cs="Arial"/>
                <w:strike/>
                <w:color w:val="000000"/>
                <w:sz w:val="20"/>
                <w:szCs w:val="20"/>
              </w:rPr>
              <w:t>Portabilité</w:t>
            </w:r>
          </w:p>
        </w:tc>
      </w:tr>
      <w:tr w:rsidR="006E6D7A" w14:paraId="67157ABC" w14:textId="77777777">
        <w:trPr>
          <w:trHeight w:val="400"/>
        </w:trPr>
        <w:tc>
          <w:tcPr>
            <w:tcW w:w="9617" w:type="dxa"/>
            <w:gridSpan w:val="8"/>
            <w:tcBorders>
              <w:top w:val="single" w:color="000000" w:sz="8" w:space="0"/>
              <w:left w:val="single" w:color="000000" w:sz="8" w:space="0"/>
              <w:bottom w:val="single" w:color="000000" w:sz="8" w:space="0"/>
              <w:right w:val="single" w:color="000000" w:sz="8" w:space="0"/>
            </w:tcBorders>
            <w:shd w:val="clear" w:color="auto" w:fill="FFFFFF"/>
          </w:tcPr>
          <w:p w:rsidR="006E6D7A" w:rsidRDefault="00B16C64" w14:paraId="67157ABB" w14:textId="77777777">
            <w:pPr>
              <w:pStyle w:val="NormalWeb"/>
              <w:spacing w:beforeAutospacing="0" w:after="0" w:afterAutospacing="0"/>
            </w:pPr>
            <w:r>
              <w:rPr>
                <w:rFonts w:ascii="Arial" w:hAnsi="Arial" w:cs="Arial"/>
                <w:color w:val="000000"/>
              </w:rPr>
              <w:t>Rappel : Toute ENF non satisfaite par une équipe doit faire l’objet d’un partage avec le PO, la communauté porteuse de l’ENF d’autre part.</w:t>
            </w:r>
          </w:p>
        </w:tc>
      </w:tr>
    </w:tbl>
    <w:p w:rsidR="006E6D7A" w:rsidRDefault="006E6D7A" w14:paraId="67157ABD" w14:textId="77777777"/>
    <w:tbl>
      <w:tblPr>
        <w:tblW w:w="9619" w:type="dxa"/>
        <w:tblLayout w:type="fixed"/>
        <w:tblCellMar>
          <w:top w:w="100" w:type="dxa"/>
          <w:left w:w="100" w:type="dxa"/>
          <w:bottom w:w="100" w:type="dxa"/>
          <w:right w:w="100" w:type="dxa"/>
        </w:tblCellMar>
        <w:tblLook w:val="04A0" w:firstRow="1" w:lastRow="0" w:firstColumn="1" w:lastColumn="0" w:noHBand="0" w:noVBand="1"/>
      </w:tblPr>
      <w:tblGrid>
        <w:gridCol w:w="1760"/>
        <w:gridCol w:w="7859"/>
      </w:tblGrid>
      <w:tr w:rsidR="006E6D7A" w14:paraId="67157AC0" w14:textId="77777777">
        <w:tc>
          <w:tcPr>
            <w:tcW w:w="1760"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BE" w14:textId="77777777">
            <w:pPr>
              <w:pStyle w:val="NormalWeb"/>
              <w:spacing w:beforeAutospacing="0" w:after="0" w:afterAutospacing="0"/>
            </w:pPr>
            <w:r>
              <w:rPr>
                <w:rFonts w:ascii="Arial" w:hAnsi="Arial" w:cs="Arial"/>
                <w:b/>
                <w:bCs/>
                <w:color w:val="FFFFFF"/>
                <w:shd w:val="clear" w:color="auto" w:fill="00A3A6"/>
              </w:rPr>
              <w:t>Objectif(s)</w:t>
            </w:r>
          </w:p>
        </w:tc>
        <w:tc>
          <w:tcPr>
            <w:tcW w:w="7858" w:type="dxa"/>
            <w:tcBorders>
              <w:top w:val="single" w:color="000000" w:sz="8" w:space="0"/>
              <w:left w:val="single" w:color="000000" w:sz="8" w:space="0"/>
              <w:bottom w:val="single" w:color="000000" w:sz="8" w:space="0"/>
              <w:right w:val="single" w:color="000000" w:sz="8" w:space="0"/>
            </w:tcBorders>
          </w:tcPr>
          <w:p w:rsidR="006E6D7A" w:rsidRDefault="00B16C64" w14:paraId="67157ABF" w14:textId="77777777">
            <w:pPr>
              <w:pStyle w:val="NormalWeb"/>
              <w:spacing w:beforeAutospacing="0" w:after="0" w:afterAutospacing="0"/>
            </w:pPr>
            <w:r>
              <w:rPr>
                <w:rFonts w:ascii="Arial" w:hAnsi="Arial" w:cs="Arial"/>
                <w:color w:val="000000"/>
              </w:rPr>
              <w:t>Assurer le suivi des produits SOLAIRE en production</w:t>
            </w:r>
          </w:p>
        </w:tc>
      </w:tr>
      <w:tr w:rsidR="006E6D7A" w14:paraId="67157AC3" w14:textId="77777777">
        <w:tc>
          <w:tcPr>
            <w:tcW w:w="1760"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C1" w14:textId="77777777">
            <w:pPr>
              <w:pStyle w:val="NormalWeb"/>
              <w:spacing w:beforeAutospacing="0" w:after="0" w:afterAutospacing="0"/>
            </w:pPr>
            <w:r>
              <w:rPr>
                <w:rFonts w:ascii="Arial" w:hAnsi="Arial" w:cs="Arial"/>
                <w:b/>
                <w:bCs/>
                <w:color w:val="FFFFFF"/>
                <w:shd w:val="clear" w:color="auto" w:fill="00A3A6"/>
              </w:rPr>
              <w:t>Ce que l’on mesure</w:t>
            </w:r>
          </w:p>
        </w:tc>
        <w:tc>
          <w:tcPr>
            <w:tcW w:w="7858" w:type="dxa"/>
            <w:tcBorders>
              <w:top w:val="single" w:color="000000" w:sz="8" w:space="0"/>
              <w:left w:val="single" w:color="000000" w:sz="8" w:space="0"/>
              <w:bottom w:val="single" w:color="000000" w:sz="8" w:space="0"/>
              <w:right w:val="single" w:color="000000" w:sz="8" w:space="0"/>
            </w:tcBorders>
          </w:tcPr>
          <w:p w:rsidR="006E6D7A" w:rsidRDefault="00B16C64" w14:paraId="67157AC2" w14:textId="77777777">
            <w:pPr>
              <w:pStyle w:val="NormalWeb"/>
              <w:spacing w:beforeAutospacing="0" w:after="0" w:afterAutospacing="0"/>
            </w:pPr>
            <w:r>
              <w:rPr>
                <w:rFonts w:ascii="Arial" w:hAnsi="Arial" w:cs="Arial"/>
                <w:color w:val="000000"/>
              </w:rPr>
              <w:t>La mise en place d’outils et de procédures permettant pour chaque produit de connaître son état de fonctionnement opérationnel sur la production et de relancer l’applicatif ou son traitement</w:t>
            </w:r>
          </w:p>
        </w:tc>
      </w:tr>
      <w:tr w:rsidR="006E6D7A" w14:paraId="67157AC8" w14:textId="77777777">
        <w:tc>
          <w:tcPr>
            <w:tcW w:w="1760"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C4" w14:textId="77777777">
            <w:pPr>
              <w:pStyle w:val="NormalWeb"/>
              <w:spacing w:beforeAutospacing="0" w:after="0" w:afterAutospacing="0"/>
            </w:pPr>
            <w:r>
              <w:rPr>
                <w:rFonts w:ascii="Arial" w:hAnsi="Arial" w:cs="Arial"/>
                <w:b/>
                <w:bCs/>
                <w:color w:val="FFFFFF"/>
                <w:shd w:val="clear" w:color="auto" w:fill="00A3A6"/>
              </w:rPr>
              <w:t>Comment on le mesure</w:t>
            </w:r>
          </w:p>
        </w:tc>
        <w:tc>
          <w:tcPr>
            <w:tcW w:w="7858" w:type="dxa"/>
            <w:tcBorders>
              <w:top w:val="single" w:color="000000" w:sz="8" w:space="0"/>
              <w:left w:val="single" w:color="000000" w:sz="8" w:space="0"/>
              <w:bottom w:val="single" w:color="000000" w:sz="8" w:space="0"/>
              <w:right w:val="single" w:color="000000" w:sz="8" w:space="0"/>
            </w:tcBorders>
          </w:tcPr>
          <w:p w:rsidR="006E6D7A" w:rsidRDefault="00B16C64" w14:paraId="67157AC5" w14:textId="77777777">
            <w:pPr>
              <w:pStyle w:val="NormalWeb"/>
              <w:spacing w:beforeAutospacing="0" w:after="0" w:afterAutospacing="0"/>
            </w:pPr>
            <w:r>
              <w:rPr>
                <w:rFonts w:ascii="Arial" w:hAnsi="Arial" w:cs="Arial"/>
                <w:color w:val="000000"/>
              </w:rPr>
              <w:t>Présence de documents techniques et procédures</w:t>
            </w:r>
          </w:p>
          <w:p w:rsidR="006E6D7A" w:rsidRDefault="00B16C64" w14:paraId="67157AC6" w14:textId="77777777">
            <w:pPr>
              <w:pStyle w:val="NormalWeb"/>
              <w:spacing w:beforeAutospacing="0" w:after="0" w:afterAutospacing="0"/>
            </w:pPr>
            <w:r>
              <w:rPr>
                <w:rFonts w:ascii="Arial" w:hAnsi="Arial" w:cs="Arial"/>
                <w:color w:val="000000"/>
              </w:rPr>
              <w:t>Monitoring applicatif</w:t>
            </w:r>
          </w:p>
          <w:p w:rsidR="006E6D7A" w:rsidRDefault="00B16C64" w14:paraId="67157AC7" w14:textId="77777777">
            <w:pPr>
              <w:pStyle w:val="NormalWeb"/>
              <w:spacing w:beforeAutospacing="0" w:after="0" w:afterAutospacing="0"/>
            </w:pPr>
            <w:r>
              <w:rPr>
                <w:rFonts w:ascii="Arial" w:hAnsi="Arial" w:cs="Arial"/>
                <w:color w:val="000000"/>
              </w:rPr>
              <w:t>Partage avec l’équipe d’exploitation des documents et validation des procédures</w:t>
            </w:r>
          </w:p>
        </w:tc>
      </w:tr>
    </w:tbl>
    <w:p w:rsidR="006E6D7A" w:rsidRDefault="006E6D7A" w14:paraId="67157AC9" w14:textId="77777777"/>
    <w:tbl>
      <w:tblPr>
        <w:tblW w:w="10480" w:type="dxa"/>
        <w:tblLayout w:type="fixed"/>
        <w:tblCellMar>
          <w:top w:w="100" w:type="dxa"/>
          <w:left w:w="100" w:type="dxa"/>
          <w:bottom w:w="100" w:type="dxa"/>
          <w:right w:w="100" w:type="dxa"/>
        </w:tblCellMar>
        <w:tblLook w:val="04A0" w:firstRow="1" w:lastRow="0" w:firstColumn="1" w:lastColumn="0" w:noHBand="0" w:noVBand="1"/>
      </w:tblPr>
      <w:tblGrid>
        <w:gridCol w:w="3555"/>
        <w:gridCol w:w="3239"/>
        <w:gridCol w:w="3686"/>
      </w:tblGrid>
      <w:tr w:rsidR="006E6D7A" w14:paraId="67157ACD" w14:textId="77777777">
        <w:tc>
          <w:tcPr>
            <w:tcW w:w="3555"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CA" w14:textId="77777777">
            <w:pPr>
              <w:pStyle w:val="NormalWeb"/>
              <w:spacing w:beforeAutospacing="0" w:after="0" w:afterAutospacing="0"/>
              <w:jc w:val="center"/>
            </w:pPr>
            <w:r>
              <w:rPr>
                <w:rFonts w:ascii="Arial" w:hAnsi="Arial" w:cs="Arial"/>
                <w:b/>
                <w:bCs/>
                <w:color w:val="FFFFFF"/>
              </w:rPr>
              <w:t>Minimal attendu</w:t>
            </w:r>
          </w:p>
        </w:tc>
        <w:tc>
          <w:tcPr>
            <w:tcW w:w="3239"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CB" w14:textId="77777777">
            <w:pPr>
              <w:pStyle w:val="NormalWeb"/>
              <w:spacing w:beforeAutospacing="0" w:after="0" w:afterAutospacing="0"/>
              <w:jc w:val="center"/>
            </w:pPr>
            <w:r>
              <w:rPr>
                <w:rFonts w:ascii="Arial" w:hAnsi="Arial" w:cs="Arial"/>
                <w:b/>
                <w:bCs/>
                <w:color w:val="FFFFFF"/>
              </w:rPr>
              <w:t>Contraintes</w:t>
            </w:r>
          </w:p>
        </w:tc>
        <w:tc>
          <w:tcPr>
            <w:tcW w:w="3686" w:type="dxa"/>
            <w:tcBorders>
              <w:top w:val="single" w:color="000000" w:sz="8" w:space="0"/>
              <w:left w:val="single" w:color="000000" w:sz="8" w:space="0"/>
              <w:bottom w:val="single" w:color="000000" w:sz="8" w:space="0"/>
              <w:right w:val="single" w:color="000000" w:sz="8" w:space="0"/>
            </w:tcBorders>
            <w:shd w:val="clear" w:color="auto" w:fill="00A3A6"/>
          </w:tcPr>
          <w:p w:rsidR="006E6D7A" w:rsidRDefault="00B16C64" w14:paraId="67157ACC" w14:textId="77777777">
            <w:pPr>
              <w:pStyle w:val="NormalWeb"/>
              <w:spacing w:beforeAutospacing="0" w:after="0" w:afterAutospacing="0"/>
              <w:jc w:val="center"/>
            </w:pPr>
            <w:r>
              <w:rPr>
                <w:rFonts w:ascii="Arial" w:hAnsi="Arial" w:cs="Arial"/>
                <w:b/>
                <w:bCs/>
                <w:color w:val="FFFFFF"/>
              </w:rPr>
              <w:t>Cible</w:t>
            </w:r>
          </w:p>
        </w:tc>
      </w:tr>
      <w:tr w:rsidR="006E6D7A" w14:paraId="67157AE0" w14:textId="77777777">
        <w:tc>
          <w:tcPr>
            <w:tcW w:w="3555" w:type="dxa"/>
            <w:tcBorders>
              <w:top w:val="single" w:color="000000" w:sz="8" w:space="0"/>
              <w:left w:val="single" w:color="000000" w:sz="8" w:space="0"/>
              <w:bottom w:val="single" w:color="000000" w:sz="8" w:space="0"/>
              <w:right w:val="single" w:color="000000" w:sz="8" w:space="0"/>
            </w:tcBorders>
            <w:vAlign w:val="center"/>
          </w:tcPr>
          <w:p w:rsidR="006E6D7A" w:rsidRDefault="00B16C64" w14:paraId="67157ACE" w14:textId="77777777">
            <w:pPr>
              <w:pStyle w:val="NormalWeb"/>
              <w:widowControl w:val="0"/>
              <w:numPr>
                <w:ilvl w:val="0"/>
                <w:numId w:val="44"/>
              </w:numPr>
              <w:tabs>
                <w:tab w:val="left" w:pos="0"/>
              </w:tabs>
              <w:spacing w:beforeAutospacing="0" w:after="0" w:afterAutospacing="0"/>
              <w:ind w:left="1170"/>
              <w:jc w:val="left"/>
            </w:pPr>
            <w:r>
              <w:rPr>
                <w:rFonts w:ascii="Arial" w:hAnsi="Arial" w:cs="Arial"/>
                <w:color w:val="000000"/>
              </w:rPr>
              <w:t>Documentation sur le produit et ses traitements</w:t>
            </w:r>
          </w:p>
          <w:p w:rsidR="006E6D7A" w:rsidRDefault="00B16C64" w14:paraId="67157ACF" w14:textId="77777777">
            <w:pPr>
              <w:pStyle w:val="NormalWeb"/>
              <w:widowControl w:val="0"/>
              <w:numPr>
                <w:ilvl w:val="0"/>
                <w:numId w:val="44"/>
              </w:numPr>
              <w:tabs>
                <w:tab w:val="left" w:pos="0"/>
              </w:tabs>
              <w:spacing w:beforeAutospacing="0" w:after="0" w:afterAutospacing="0"/>
              <w:ind w:left="1170"/>
              <w:jc w:val="left"/>
            </w:pPr>
            <w:r>
              <w:rPr>
                <w:rFonts w:ascii="Arial" w:hAnsi="Arial" w:cs="Arial"/>
                <w:color w:val="000000"/>
              </w:rPr>
              <w:t>Procédures de démarrage/arrêt/relance du produit (ou du flux)</w:t>
            </w:r>
          </w:p>
          <w:p w:rsidR="006E6D7A" w:rsidRDefault="00B16C64" w14:paraId="67157AD0" w14:textId="77777777">
            <w:pPr>
              <w:pStyle w:val="NormalWeb"/>
              <w:widowControl w:val="0"/>
              <w:numPr>
                <w:ilvl w:val="0"/>
                <w:numId w:val="44"/>
              </w:numPr>
              <w:tabs>
                <w:tab w:val="left" w:pos="0"/>
              </w:tabs>
              <w:spacing w:beforeAutospacing="0" w:after="0" w:afterAutospacing="0"/>
              <w:ind w:left="1170"/>
              <w:jc w:val="left"/>
            </w:pPr>
            <w:r>
              <w:rPr>
                <w:rFonts w:ascii="Arial" w:hAnsi="Arial" w:cs="Arial"/>
                <w:color w:val="000000"/>
              </w:rPr>
              <w:t>Sondes applicatives de surveillance du produit /ou mécanisme de surveillance du traitement</w:t>
            </w:r>
          </w:p>
          <w:p w:rsidR="006E6D7A" w:rsidRDefault="00B16C64" w14:paraId="67157AD1" w14:textId="77777777">
            <w:pPr>
              <w:pStyle w:val="NormalWeb"/>
              <w:widowControl w:val="0"/>
              <w:numPr>
                <w:ilvl w:val="0"/>
                <w:numId w:val="44"/>
              </w:numPr>
              <w:tabs>
                <w:tab w:val="left" w:pos="0"/>
              </w:tabs>
              <w:spacing w:beforeAutospacing="0" w:after="0" w:afterAutospacing="0"/>
              <w:ind w:left="1170"/>
              <w:jc w:val="left"/>
            </w:pPr>
            <w:r>
              <w:rPr>
                <w:rFonts w:ascii="Arial" w:hAnsi="Arial" w:cs="Arial"/>
                <w:color w:val="000000"/>
              </w:rPr>
              <w:t>Partage avec l’équipe en charge d’exploiter le produit</w:t>
            </w:r>
          </w:p>
          <w:p w:rsidR="006E6D7A" w:rsidRDefault="00B16C64" w14:paraId="67157AD2" w14:textId="77777777">
            <w:pPr>
              <w:pStyle w:val="NormalWeb"/>
              <w:numPr>
                <w:ilvl w:val="0"/>
                <w:numId w:val="33"/>
              </w:numPr>
              <w:spacing w:beforeAutospacing="0" w:after="0" w:afterAutospacing="0"/>
              <w:ind w:left="450"/>
              <w:rPr>
                <w:rFonts w:ascii="Arial" w:hAnsi="Arial" w:cs="Arial"/>
                <w:color w:val="000000"/>
              </w:rPr>
            </w:pPr>
            <w:r>
              <w:rPr>
                <w:rFonts w:ascii="Arial" w:hAnsi="Arial" w:cs="Arial"/>
                <w:color w:val="000000"/>
              </w:rPr>
              <w:lastRenderedPageBreak/>
              <w:t>L’application produit des logs</w:t>
            </w:r>
          </w:p>
        </w:tc>
        <w:tc>
          <w:tcPr>
            <w:tcW w:w="3239" w:type="dxa"/>
            <w:tcBorders>
              <w:top w:val="single" w:color="000000" w:sz="8" w:space="0"/>
              <w:left w:val="single" w:color="000000" w:sz="8" w:space="0"/>
              <w:bottom w:val="single" w:color="000000" w:sz="8" w:space="0"/>
              <w:right w:val="single" w:color="000000" w:sz="8" w:space="0"/>
            </w:tcBorders>
            <w:vAlign w:val="center"/>
          </w:tcPr>
          <w:p w:rsidR="006E6D7A" w:rsidRDefault="00B16C64" w14:paraId="67157AD3" w14:textId="77777777">
            <w:pPr>
              <w:pStyle w:val="NormalWeb"/>
              <w:widowControl w:val="0"/>
              <w:numPr>
                <w:ilvl w:val="0"/>
                <w:numId w:val="45"/>
              </w:numPr>
              <w:tabs>
                <w:tab w:val="left" w:pos="0"/>
              </w:tabs>
              <w:spacing w:beforeAutospacing="0" w:after="0" w:afterAutospacing="0"/>
              <w:ind w:left="1260"/>
              <w:jc w:val="left"/>
            </w:pPr>
            <w:proofErr w:type="gramStart"/>
            <w:r>
              <w:rPr>
                <w:rFonts w:ascii="Arial" w:hAnsi="Arial" w:cs="Arial"/>
                <w:color w:val="000000"/>
              </w:rPr>
              <w:lastRenderedPageBreak/>
              <w:t>mise</w:t>
            </w:r>
            <w:proofErr w:type="gramEnd"/>
            <w:r>
              <w:rPr>
                <w:rFonts w:ascii="Arial" w:hAnsi="Arial" w:cs="Arial"/>
                <w:color w:val="000000"/>
              </w:rPr>
              <w:t xml:space="preserve"> à jour centralisée de la documentation sur les environnements et l’exploitation suivant la </w:t>
            </w:r>
            <w:r>
              <w:rPr>
                <w:rFonts w:ascii="Arial" w:hAnsi="Arial" w:cs="Arial"/>
              </w:rPr>
              <w:t>nomenclature</w:t>
            </w:r>
            <w:r>
              <w:rPr>
                <w:rFonts w:ascii="Arial" w:hAnsi="Arial" w:cs="Arial"/>
                <w:color w:val="000000"/>
              </w:rPr>
              <w:t> </w:t>
            </w:r>
          </w:p>
          <w:p w:rsidR="006E6D7A" w:rsidRDefault="00B16C64" w14:paraId="67157AD4" w14:textId="77777777">
            <w:pPr>
              <w:pStyle w:val="NormalWeb"/>
              <w:widowControl w:val="0"/>
              <w:numPr>
                <w:ilvl w:val="0"/>
                <w:numId w:val="45"/>
              </w:numPr>
              <w:tabs>
                <w:tab w:val="left" w:pos="0"/>
              </w:tabs>
              <w:spacing w:beforeAutospacing="0" w:after="0" w:afterAutospacing="0"/>
              <w:ind w:left="1260"/>
              <w:jc w:val="left"/>
            </w:pPr>
            <w:proofErr w:type="gramStart"/>
            <w:r>
              <w:rPr>
                <w:rFonts w:ascii="Arial" w:hAnsi="Arial" w:cs="Arial"/>
                <w:color w:val="000000"/>
              </w:rPr>
              <w:t>mise</w:t>
            </w:r>
            <w:proofErr w:type="gramEnd"/>
            <w:r>
              <w:rPr>
                <w:rFonts w:ascii="Arial" w:hAnsi="Arial" w:cs="Arial"/>
                <w:color w:val="000000"/>
              </w:rPr>
              <w:t xml:space="preserve"> à jour des procédures d’arrêt, démarrage et relance de traitement (ex : sur la forge  </w:t>
            </w:r>
            <w:proofErr w:type="spellStart"/>
            <w:r>
              <w:rPr>
                <w:rFonts w:ascii="Arial" w:hAnsi="Arial" w:cs="Arial"/>
              </w:rPr>
              <w:t>Gitlab</w:t>
            </w:r>
            <w:proofErr w:type="spellEnd"/>
            <w:r>
              <w:rPr>
                <w:rFonts w:ascii="Arial" w:hAnsi="Arial" w:cs="Arial"/>
                <w:color w:val="1155CC"/>
                <w:u w:val="single"/>
              </w:rPr>
              <w:t>)</w:t>
            </w:r>
          </w:p>
          <w:p w:rsidR="006E6D7A" w:rsidRDefault="00B16C64" w14:paraId="67157AD5" w14:textId="77777777">
            <w:pPr>
              <w:pStyle w:val="NormalWeb"/>
              <w:widowControl w:val="0"/>
              <w:numPr>
                <w:ilvl w:val="0"/>
                <w:numId w:val="45"/>
              </w:numPr>
              <w:tabs>
                <w:tab w:val="left" w:pos="0"/>
              </w:tabs>
              <w:spacing w:beforeAutospacing="0" w:after="0" w:afterAutospacing="0"/>
              <w:ind w:left="1260"/>
              <w:jc w:val="left"/>
            </w:pPr>
            <w:proofErr w:type="gramStart"/>
            <w:r>
              <w:rPr>
                <w:rFonts w:ascii="Arial" w:hAnsi="Arial" w:cs="Arial"/>
                <w:color w:val="000000"/>
              </w:rPr>
              <w:t>mise</w:t>
            </w:r>
            <w:proofErr w:type="gramEnd"/>
            <w:r>
              <w:rPr>
                <w:rFonts w:ascii="Arial" w:hAnsi="Arial" w:cs="Arial"/>
                <w:color w:val="000000"/>
              </w:rPr>
              <w:t xml:space="preserve"> en place de </w:t>
            </w:r>
            <w:r>
              <w:rPr>
                <w:rFonts w:ascii="Arial" w:hAnsi="Arial" w:cs="Arial"/>
                <w:color w:val="000000"/>
              </w:rPr>
              <w:lastRenderedPageBreak/>
              <w:t xml:space="preserve">Sondes </w:t>
            </w:r>
            <w:r>
              <w:rPr>
                <w:rFonts w:ascii="Arial" w:hAnsi="Arial" w:cs="Arial"/>
              </w:rPr>
              <w:t>Centreon</w:t>
            </w:r>
          </w:p>
          <w:p w:rsidR="006E6D7A" w:rsidRDefault="00B16C64" w14:paraId="67157AD6" w14:textId="77777777">
            <w:pPr>
              <w:pStyle w:val="NormalWeb"/>
              <w:widowControl w:val="0"/>
              <w:numPr>
                <w:ilvl w:val="0"/>
                <w:numId w:val="45"/>
              </w:numPr>
              <w:tabs>
                <w:tab w:val="left" w:pos="0"/>
              </w:tabs>
              <w:spacing w:beforeAutospacing="0" w:after="0" w:afterAutospacing="0"/>
              <w:ind w:left="1260"/>
              <w:jc w:val="left"/>
            </w:pPr>
            <w:r>
              <w:rPr>
                <w:rFonts w:ascii="Arial" w:hAnsi="Arial" w:cs="Arial"/>
                <w:color w:val="000000"/>
              </w:rPr>
              <w:t xml:space="preserve">Mise à jour du fichier de </w:t>
            </w:r>
            <w:r>
              <w:rPr>
                <w:rFonts w:ascii="Arial" w:hAnsi="Arial" w:cs="Arial"/>
              </w:rPr>
              <w:t>Nomenclature</w:t>
            </w:r>
            <w:r>
              <w:rPr>
                <w:rFonts w:ascii="Arial" w:hAnsi="Arial" w:cs="Arial"/>
                <w:color w:val="000000"/>
              </w:rPr>
              <w:t xml:space="preserve"> (PO)</w:t>
            </w:r>
          </w:p>
          <w:p w:rsidR="006E6D7A" w:rsidRDefault="00B16C64" w14:paraId="67157AD7" w14:textId="77777777">
            <w:pPr>
              <w:rPr>
                <w:rFonts w:ascii="Times New Roman" w:hAnsi="Times New Roman" w:cs="Times New Roman"/>
                <w:sz w:val="24"/>
                <w:szCs w:val="24"/>
              </w:rPr>
            </w:pPr>
            <w:r>
              <w:t> </w:t>
            </w:r>
          </w:p>
        </w:tc>
        <w:tc>
          <w:tcPr>
            <w:tcW w:w="3686" w:type="dxa"/>
            <w:tcBorders>
              <w:top w:val="single" w:color="000000" w:sz="8" w:space="0"/>
              <w:left w:val="single" w:color="000000" w:sz="8" w:space="0"/>
              <w:bottom w:val="single" w:color="000000" w:sz="8" w:space="0"/>
              <w:right w:val="single" w:color="000000" w:sz="8" w:space="0"/>
            </w:tcBorders>
            <w:vAlign w:val="center"/>
          </w:tcPr>
          <w:p w:rsidR="006E6D7A" w:rsidRDefault="00B16C64" w14:paraId="67157AD8" w14:textId="77777777">
            <w:pPr>
              <w:pStyle w:val="NormalWeb"/>
              <w:widowControl w:val="0"/>
              <w:numPr>
                <w:ilvl w:val="0"/>
                <w:numId w:val="46"/>
              </w:numPr>
              <w:tabs>
                <w:tab w:val="left" w:pos="0"/>
              </w:tabs>
              <w:spacing w:beforeAutospacing="0" w:after="0" w:afterAutospacing="0"/>
              <w:ind w:left="1440"/>
              <w:jc w:val="left"/>
            </w:pPr>
            <w:r>
              <w:rPr>
                <w:rFonts w:ascii="Arial" w:hAnsi="Arial" w:cs="Arial"/>
                <w:color w:val="000000"/>
              </w:rPr>
              <w:lastRenderedPageBreak/>
              <w:t>Partager les procédures de MCO de niveau 1</w:t>
            </w:r>
          </w:p>
          <w:p w:rsidR="006E6D7A" w:rsidRDefault="00B16C64" w14:paraId="67157AD9" w14:textId="77777777">
            <w:pPr>
              <w:pStyle w:val="NormalWeb"/>
              <w:widowControl w:val="0"/>
              <w:numPr>
                <w:ilvl w:val="0"/>
                <w:numId w:val="46"/>
              </w:numPr>
              <w:tabs>
                <w:tab w:val="left" w:pos="0"/>
              </w:tabs>
              <w:spacing w:beforeAutospacing="0" w:after="0" w:afterAutospacing="0"/>
              <w:ind w:left="1440"/>
              <w:jc w:val="left"/>
            </w:pPr>
            <w:r>
              <w:rPr>
                <w:rFonts w:ascii="Arial" w:hAnsi="Arial" w:cs="Arial"/>
                <w:color w:val="000000"/>
              </w:rPr>
              <w:t xml:space="preserve">S’assurer que l’application fonctionne de manière nominale </w:t>
            </w:r>
          </w:p>
          <w:p w:rsidR="006E6D7A" w:rsidRDefault="00B16C64" w14:paraId="67157ADA" w14:textId="77777777">
            <w:pPr>
              <w:pStyle w:val="NormalWeb"/>
              <w:widowControl w:val="0"/>
              <w:numPr>
                <w:ilvl w:val="0"/>
                <w:numId w:val="46"/>
              </w:numPr>
              <w:tabs>
                <w:tab w:val="left" w:pos="0"/>
              </w:tabs>
              <w:spacing w:beforeAutospacing="0" w:after="0" w:afterAutospacing="0"/>
              <w:ind w:left="1440"/>
              <w:jc w:val="left"/>
            </w:pPr>
            <w:r>
              <w:rPr>
                <w:rFonts w:ascii="Arial" w:hAnsi="Arial" w:cs="Arial"/>
                <w:color w:val="000000"/>
              </w:rPr>
              <w:t>Être alerté en cas de limites atteintes (CPU, mémoire, espace disque, etc.)</w:t>
            </w:r>
          </w:p>
          <w:p w:rsidR="006E6D7A" w:rsidRDefault="00B16C64" w14:paraId="67157ADB" w14:textId="77777777">
            <w:pPr>
              <w:pStyle w:val="NormalWeb"/>
              <w:widowControl w:val="0"/>
              <w:numPr>
                <w:ilvl w:val="0"/>
                <w:numId w:val="46"/>
              </w:numPr>
              <w:tabs>
                <w:tab w:val="left" w:pos="0"/>
              </w:tabs>
              <w:spacing w:beforeAutospacing="0" w:after="0" w:afterAutospacing="0"/>
              <w:ind w:left="1440"/>
              <w:jc w:val="left"/>
            </w:pPr>
            <w:r>
              <w:rPr>
                <w:rFonts w:ascii="Arial" w:hAnsi="Arial" w:cs="Arial"/>
                <w:color w:val="000000"/>
              </w:rPr>
              <w:t>Être alerté en cas d’erreur sur le produit</w:t>
            </w:r>
          </w:p>
          <w:p w:rsidR="006E6D7A" w:rsidRDefault="00B16C64" w14:paraId="67157ADC" w14:textId="77777777">
            <w:pPr>
              <w:pStyle w:val="NormalWeb"/>
              <w:widowControl w:val="0"/>
              <w:spacing w:beforeAutospacing="0" w:after="0" w:afterAutospacing="0"/>
              <w:ind w:left="340" w:right="227"/>
            </w:pPr>
            <w:r>
              <w:lastRenderedPageBreak/>
              <w:t> </w:t>
            </w:r>
          </w:p>
          <w:p w:rsidR="006E6D7A" w:rsidRDefault="00B16C64" w14:paraId="67157ADD" w14:textId="77777777">
            <w:pPr>
              <w:pStyle w:val="NormalWeb"/>
              <w:widowControl w:val="0"/>
              <w:numPr>
                <w:ilvl w:val="0"/>
                <w:numId w:val="47"/>
              </w:numPr>
              <w:tabs>
                <w:tab w:val="left" w:pos="0"/>
              </w:tabs>
              <w:spacing w:beforeAutospacing="0" w:after="0" w:afterAutospacing="0"/>
              <w:ind w:left="1440"/>
              <w:jc w:val="left"/>
            </w:pPr>
            <w:r>
              <w:rPr>
                <w:rFonts w:ascii="Arial" w:hAnsi="Arial" w:cs="Arial"/>
                <w:i/>
                <w:iCs/>
                <w:color w:val="000000"/>
              </w:rPr>
              <w:t xml:space="preserve">Les logs sont remontés à travers </w:t>
            </w:r>
            <w:proofErr w:type="gramStart"/>
            <w:r>
              <w:rPr>
                <w:rFonts w:ascii="Arial" w:hAnsi="Arial" w:cs="Arial"/>
                <w:i/>
                <w:iCs/>
                <w:color w:val="000000"/>
              </w:rPr>
              <w:t>la stack</w:t>
            </w:r>
            <w:proofErr w:type="gramEnd"/>
            <w:r>
              <w:rPr>
                <w:rFonts w:ascii="Arial" w:hAnsi="Arial" w:cs="Arial"/>
                <w:i/>
                <w:iCs/>
                <w:color w:val="000000"/>
              </w:rPr>
              <w:t xml:space="preserve"> ELK</w:t>
            </w:r>
          </w:p>
          <w:p w:rsidR="006E6D7A" w:rsidRDefault="00B16C64" w14:paraId="67157ADE" w14:textId="77777777">
            <w:pPr>
              <w:pStyle w:val="NormalWeb"/>
              <w:widowControl w:val="0"/>
              <w:numPr>
                <w:ilvl w:val="0"/>
                <w:numId w:val="47"/>
              </w:numPr>
              <w:tabs>
                <w:tab w:val="left" w:pos="0"/>
              </w:tabs>
              <w:spacing w:beforeAutospacing="0" w:after="0" w:afterAutospacing="0"/>
              <w:ind w:left="1440"/>
              <w:jc w:val="left"/>
            </w:pPr>
            <w:r>
              <w:rPr>
                <w:rFonts w:ascii="Arial" w:hAnsi="Arial" w:cs="Arial"/>
                <w:i/>
                <w:iCs/>
                <w:color w:val="000000"/>
              </w:rPr>
              <w:t xml:space="preserve">Mise à jour du </w:t>
            </w:r>
            <w:r>
              <w:rPr>
                <w:rFonts w:ascii="Arial" w:hAnsi="Arial" w:cs="Arial"/>
                <w:i/>
                <w:iCs/>
              </w:rPr>
              <w:t>plan de production</w:t>
            </w:r>
          </w:p>
          <w:p w:rsidR="006E6D7A" w:rsidRDefault="00B16C64" w14:paraId="67157ADF" w14:textId="77777777">
            <w:pPr>
              <w:pStyle w:val="NormalWeb"/>
              <w:numPr>
                <w:ilvl w:val="0"/>
                <w:numId w:val="34"/>
              </w:numPr>
              <w:spacing w:beforeAutospacing="0" w:after="0" w:afterAutospacing="0"/>
              <w:rPr>
                <w:rFonts w:ascii="Arial" w:hAnsi="Arial" w:cs="Arial"/>
                <w:color w:val="000000"/>
              </w:rPr>
            </w:pPr>
            <w:r>
              <w:rPr>
                <w:rFonts w:ascii="Arial" w:hAnsi="Arial" w:cs="Arial"/>
                <w:i/>
                <w:iCs/>
                <w:color w:val="000000"/>
              </w:rPr>
              <w:t xml:space="preserve">Mise à jour de la </w:t>
            </w:r>
            <w:r>
              <w:rPr>
                <w:rFonts w:ascii="Arial" w:hAnsi="Arial" w:cs="Arial"/>
                <w:i/>
                <w:iCs/>
              </w:rPr>
              <w:t>Matrice d’antériorité des produits</w:t>
            </w:r>
          </w:p>
        </w:tc>
      </w:tr>
    </w:tbl>
    <w:p w:rsidR="006E6D7A" w:rsidRDefault="006E6D7A" w14:paraId="67157AE1" w14:textId="77777777"/>
    <w:p w:rsidR="006E6D7A" w:rsidRDefault="00B16C64" w14:paraId="67157AE2" w14:textId="77777777">
      <w:r>
        <w:t>Stratégie de logs (lien hypertexte supprimé pour DCE)</w:t>
      </w:r>
    </w:p>
    <w:p w:rsidR="006E6D7A" w:rsidRDefault="00B16C64" w14:paraId="67157AE3" w14:textId="77777777">
      <w:r>
        <w:t>Préconisation agrégation de logs (lien hypertexte supprimé pour DCE)</w:t>
      </w:r>
    </w:p>
    <w:p w:rsidR="006E6D7A" w:rsidRDefault="00B16C64" w14:paraId="67157AE4" w14:textId="77777777">
      <w:r>
        <w:t>Template de création de sondes (lien hypertexte supprimé pour DCE)</w:t>
      </w:r>
    </w:p>
    <w:p w:rsidR="006E6D7A" w:rsidRDefault="00B16C64" w14:paraId="67157AE5" w14:textId="77777777">
      <w:pPr>
        <w:pStyle w:val="Titre3"/>
        <w:numPr>
          <w:ilvl w:val="3"/>
          <w:numId w:val="3"/>
        </w:numPr>
      </w:pPr>
      <w:bookmarkStart w:name="_Toc221095607" w:id="193"/>
      <w:r>
        <w:t xml:space="preserve">ENF </w:t>
      </w:r>
      <w:proofErr w:type="spellStart"/>
      <w:r>
        <w:t>Securite</w:t>
      </w:r>
      <w:bookmarkEnd w:id="193"/>
      <w:proofErr w:type="spellEnd"/>
    </w:p>
    <w:p w:rsidR="006E6D7A" w:rsidRDefault="006E6D7A" w14:paraId="67157AE6" w14:textId="77777777"/>
    <w:p w:rsidR="006E6D7A" w:rsidRDefault="00B16C64" w14:paraId="67157AE7" w14:textId="77777777">
      <w:pPr>
        <w:pStyle w:val="docy"/>
        <w:shd w:val="clear" w:color="auto" w:fill="FFFFFF"/>
        <w:spacing w:before="0" w:beforeAutospacing="0" w:after="0" w:afterAutospacing="0"/>
        <w:ind w:left="-585"/>
      </w:pPr>
      <w:proofErr w:type="gramStart"/>
      <w:r>
        <w:rPr>
          <w:rFonts w:ascii="Arial" w:hAnsi="Arial" w:cs="Arial"/>
          <w:color w:val="000000"/>
          <w:sz w:val="22"/>
          <w:szCs w:val="22"/>
        </w:rPr>
        <w:t>référence</w:t>
      </w:r>
      <w:proofErr w:type="gramEnd"/>
      <w:r>
        <w:rPr>
          <w:rFonts w:ascii="Arial" w:hAnsi="Arial" w:cs="Arial"/>
          <w:color w:val="000000"/>
          <w:sz w:val="22"/>
          <w:szCs w:val="22"/>
        </w:rPr>
        <w:t xml:space="preserve"> : ISO/IEC 25000 SQUARE                                  version du modèle : 1.3</w:t>
      </w:r>
    </w:p>
    <w:p w:rsidR="006E6D7A" w:rsidRDefault="00B16C64" w14:paraId="67157AE8" w14:textId="77777777">
      <w:pPr>
        <w:pStyle w:val="NormalWeb"/>
        <w:shd w:val="clear" w:color="auto" w:fill="FFFFFF"/>
        <w:spacing w:beforeAutospacing="0" w:after="0" w:afterAutospacing="0"/>
        <w:ind w:left="-585"/>
      </w:pPr>
      <w:r>
        <w:t> </w:t>
      </w:r>
    </w:p>
    <w:tbl>
      <w:tblPr>
        <w:tblW w:w="0" w:type="auto"/>
        <w:tblCellSpacing w:w="0" w:type="dxa"/>
        <w:tblInd w:w="-58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00" w:type="dxa"/>
          <w:left w:w="100" w:type="dxa"/>
          <w:bottom w:w="100" w:type="dxa"/>
          <w:right w:w="100" w:type="dxa"/>
        </w:tblCellMar>
        <w:tblLook w:val="04A0" w:firstRow="1" w:lastRow="0" w:firstColumn="1" w:lastColumn="0" w:noHBand="0" w:noVBand="1"/>
      </w:tblPr>
      <w:tblGrid>
        <w:gridCol w:w="1935"/>
        <w:gridCol w:w="3390"/>
        <w:gridCol w:w="2160"/>
        <w:gridCol w:w="2460"/>
      </w:tblGrid>
      <w:tr w:rsidR="006E6D7A" w14:paraId="67157AEA" w14:textId="77777777">
        <w:trPr>
          <w:trHeight w:val="420"/>
          <w:tblCellSpacing w:w="0" w:type="dxa"/>
        </w:trPr>
        <w:tc>
          <w:tcPr>
            <w:tcW w:w="9945" w:type="dxa"/>
            <w:gridSpan w:val="4"/>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AE9" w14:textId="77777777">
            <w:pPr>
              <w:pStyle w:val="NormalWeb"/>
              <w:widowControl w:val="0"/>
              <w:shd w:val="clear" w:color="auto" w:fill="FFFFFF"/>
              <w:spacing w:beforeAutospacing="0" w:after="0" w:afterAutospacing="0"/>
            </w:pPr>
            <w:r>
              <w:rPr>
                <w:rFonts w:ascii="Arial" w:hAnsi="Arial" w:cs="Arial"/>
              </w:rPr>
              <w:t>Communauté en charge : Sécurité</w:t>
            </w:r>
          </w:p>
        </w:tc>
      </w:tr>
      <w:tr w:rsidR="006E6D7A" w14:paraId="67157AEF" w14:textId="77777777">
        <w:trPr>
          <w:tblCellSpacing w:w="0" w:type="dxa"/>
        </w:trPr>
        <w:tc>
          <w:tcPr>
            <w:tcW w:w="1935"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AEB" w14:textId="77777777">
            <w:pPr>
              <w:pStyle w:val="NormalWeb"/>
              <w:widowControl w:val="0"/>
              <w:shd w:val="clear" w:color="auto" w:fill="FFFFFF"/>
              <w:spacing w:beforeAutospacing="0" w:after="0" w:afterAutospacing="0"/>
            </w:pPr>
            <w:r>
              <w:rPr>
                <w:rFonts w:ascii="Arial" w:hAnsi="Arial" w:cs="Arial"/>
              </w:rPr>
              <w:t>Libellé ENF</w:t>
            </w:r>
          </w:p>
        </w:tc>
        <w:tc>
          <w:tcPr>
            <w:tcW w:w="339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AEC" w14:textId="77777777">
            <w:pPr>
              <w:pStyle w:val="NormalWeb"/>
              <w:widowControl w:val="0"/>
              <w:shd w:val="clear" w:color="auto" w:fill="FFFFFF"/>
              <w:spacing w:beforeAutospacing="0" w:after="0" w:afterAutospacing="0"/>
            </w:pPr>
            <w:r>
              <w:rPr>
                <w:rFonts w:ascii="Arial" w:hAnsi="Arial" w:cs="Arial"/>
                <w:color w:val="000000"/>
              </w:rPr>
              <w:t>Règles de sécurité minimales</w:t>
            </w:r>
          </w:p>
        </w:tc>
        <w:tc>
          <w:tcPr>
            <w:tcW w:w="2160"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AED" w14:textId="77777777">
            <w:pPr>
              <w:pStyle w:val="NormalWeb"/>
              <w:widowControl w:val="0"/>
              <w:shd w:val="clear" w:color="auto" w:fill="FFFFFF"/>
              <w:spacing w:beforeAutospacing="0" w:after="0" w:afterAutospacing="0"/>
            </w:pPr>
            <w:r>
              <w:rPr>
                <w:rFonts w:ascii="Arial" w:hAnsi="Arial" w:cs="Arial"/>
              </w:rPr>
              <w:t>Identifiant ENF</w:t>
            </w:r>
          </w:p>
        </w:tc>
        <w:tc>
          <w:tcPr>
            <w:tcW w:w="246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AEE" w14:textId="77777777">
            <w:pPr>
              <w:pStyle w:val="NormalWeb"/>
              <w:widowControl w:val="0"/>
              <w:shd w:val="clear" w:color="auto" w:fill="FFFFFF"/>
              <w:spacing w:beforeAutospacing="0" w:after="0" w:afterAutospacing="0"/>
            </w:pPr>
            <w:r>
              <w:rPr>
                <w:rFonts w:ascii="Arial" w:hAnsi="Arial" w:cs="Arial"/>
                <w:color w:val="000000"/>
              </w:rPr>
              <w:t>ENFXX</w:t>
            </w:r>
          </w:p>
        </w:tc>
      </w:tr>
      <w:tr w:rsidR="006E6D7A" w14:paraId="67157AF4" w14:textId="77777777">
        <w:trPr>
          <w:tblCellSpacing w:w="0" w:type="dxa"/>
        </w:trPr>
        <w:tc>
          <w:tcPr>
            <w:tcW w:w="1935"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AF0" w14:textId="77777777">
            <w:pPr>
              <w:pStyle w:val="NormalWeb"/>
              <w:widowControl w:val="0"/>
              <w:shd w:val="clear" w:color="auto" w:fill="FFFFFF"/>
              <w:spacing w:beforeAutospacing="0" w:after="0" w:afterAutospacing="0"/>
            </w:pPr>
            <w:r>
              <w:rPr>
                <w:rFonts w:ascii="Arial" w:hAnsi="Arial" w:cs="Arial"/>
              </w:rPr>
              <w:t>Type ENF</w:t>
            </w:r>
          </w:p>
        </w:tc>
        <w:tc>
          <w:tcPr>
            <w:tcW w:w="339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AF1" w14:textId="77777777">
            <w:pPr>
              <w:pStyle w:val="NormalWeb"/>
              <w:widowControl w:val="0"/>
              <w:shd w:val="clear" w:color="auto" w:fill="FFFFFF"/>
              <w:spacing w:beforeAutospacing="0" w:after="0" w:afterAutospacing="0"/>
            </w:pPr>
            <w:r>
              <w:rPr>
                <w:rFonts w:ascii="Arial" w:hAnsi="Arial" w:cs="Arial"/>
                <w:color w:val="000000"/>
              </w:rPr>
              <w:t>Sécurité</w:t>
            </w:r>
          </w:p>
        </w:tc>
        <w:tc>
          <w:tcPr>
            <w:tcW w:w="2160"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AF2" w14:textId="77777777">
            <w:pPr>
              <w:pStyle w:val="NormalWeb"/>
              <w:widowControl w:val="0"/>
              <w:shd w:val="clear" w:color="auto" w:fill="FFFFFF"/>
              <w:spacing w:beforeAutospacing="0" w:after="0" w:afterAutospacing="0"/>
            </w:pPr>
            <w:r>
              <w:rPr>
                <w:rFonts w:ascii="Arial" w:hAnsi="Arial" w:cs="Arial"/>
              </w:rPr>
              <w:t xml:space="preserve">Version </w:t>
            </w:r>
          </w:p>
        </w:tc>
        <w:tc>
          <w:tcPr>
            <w:tcW w:w="246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AF3" w14:textId="77777777">
            <w:pPr>
              <w:pStyle w:val="NormalWeb"/>
              <w:widowControl w:val="0"/>
              <w:shd w:val="clear" w:color="auto" w:fill="FFFFFF"/>
              <w:spacing w:beforeAutospacing="0" w:after="0" w:afterAutospacing="0"/>
            </w:pPr>
            <w:r>
              <w:rPr>
                <w:rFonts w:ascii="Arial" w:hAnsi="Arial" w:cs="Arial"/>
                <w:color w:val="000000"/>
              </w:rPr>
              <w:t>1.0</w:t>
            </w:r>
          </w:p>
        </w:tc>
      </w:tr>
      <w:tr w:rsidR="006E6D7A" w14:paraId="67157AF9" w14:textId="77777777">
        <w:trPr>
          <w:tblCellSpacing w:w="0" w:type="dxa"/>
        </w:trPr>
        <w:tc>
          <w:tcPr>
            <w:tcW w:w="1935"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AF5" w14:textId="77777777">
            <w:pPr>
              <w:pStyle w:val="NormalWeb"/>
              <w:widowControl w:val="0"/>
              <w:shd w:val="clear" w:color="auto" w:fill="FFFFFF"/>
              <w:spacing w:beforeAutospacing="0" w:after="0" w:afterAutospacing="0"/>
            </w:pPr>
            <w:r>
              <w:rPr>
                <w:rFonts w:ascii="Arial" w:hAnsi="Arial" w:cs="Arial"/>
              </w:rPr>
              <w:t>Date de création</w:t>
            </w:r>
          </w:p>
        </w:tc>
        <w:tc>
          <w:tcPr>
            <w:tcW w:w="339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AF6" w14:textId="77777777">
            <w:pPr>
              <w:pStyle w:val="NormalWeb"/>
              <w:widowControl w:val="0"/>
              <w:shd w:val="clear" w:color="auto" w:fill="FFFFFF"/>
              <w:spacing w:beforeAutospacing="0" w:after="0" w:afterAutospacing="0"/>
            </w:pPr>
            <w:r>
              <w:rPr>
                <w:rFonts w:ascii="Arial" w:hAnsi="Arial" w:cs="Arial"/>
                <w:color w:val="000000"/>
              </w:rPr>
              <w:t>06/2024</w:t>
            </w:r>
          </w:p>
        </w:tc>
        <w:tc>
          <w:tcPr>
            <w:tcW w:w="2160"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AF7" w14:textId="77777777">
            <w:pPr>
              <w:pStyle w:val="NormalWeb"/>
              <w:widowControl w:val="0"/>
              <w:shd w:val="clear" w:color="auto" w:fill="FFFFFF"/>
              <w:spacing w:beforeAutospacing="0" w:after="0" w:afterAutospacing="0"/>
              <w:rPr>
                <w:rFonts w:ascii="Arial" w:hAnsi="Arial" w:cs="Arial"/>
              </w:rPr>
            </w:pPr>
            <w:r>
              <w:rPr>
                <w:rFonts w:ascii="Arial" w:hAnsi="Arial" w:cs="Arial"/>
              </w:rPr>
              <w:t>Date de maj</w:t>
            </w:r>
          </w:p>
        </w:tc>
        <w:tc>
          <w:tcPr>
            <w:tcW w:w="246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AF8" w14:textId="77777777">
            <w:pPr>
              <w:pStyle w:val="NormalWeb"/>
              <w:widowControl w:val="0"/>
              <w:shd w:val="clear" w:color="auto" w:fill="FFFFFF"/>
              <w:spacing w:beforeAutospacing="0" w:after="0" w:afterAutospacing="0"/>
            </w:pPr>
            <w:r>
              <w:t> </w:t>
            </w:r>
          </w:p>
        </w:tc>
      </w:tr>
    </w:tbl>
    <w:p w:rsidR="006E6D7A" w:rsidRDefault="00B16C64" w14:paraId="67157AFA" w14:textId="77777777">
      <w:pPr>
        <w:pStyle w:val="NormalWeb"/>
        <w:shd w:val="clear" w:color="auto" w:fill="FFFFFF"/>
        <w:spacing w:beforeAutospacing="0" w:after="0" w:afterAutospacing="0"/>
        <w:ind w:left="-585"/>
      </w:pPr>
      <w:r>
        <w:t> </w:t>
      </w:r>
    </w:p>
    <w:p w:rsidR="006E6D7A" w:rsidRDefault="00B16C64" w14:paraId="67157AFB" w14:textId="77777777">
      <w:pPr>
        <w:pStyle w:val="NormalWeb"/>
        <w:shd w:val="clear" w:color="auto" w:fill="FFFFFF"/>
        <w:spacing w:beforeAutospacing="0" w:after="0" w:afterAutospacing="0"/>
        <w:ind w:left="-585"/>
      </w:pPr>
      <w:r>
        <w:t> </w:t>
      </w:r>
    </w:p>
    <w:tbl>
      <w:tblPr>
        <w:tblW w:w="0" w:type="auto"/>
        <w:tblCellSpacing w:w="0" w:type="dxa"/>
        <w:tblInd w:w="-58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00" w:type="dxa"/>
          <w:left w:w="100" w:type="dxa"/>
          <w:bottom w:w="100" w:type="dxa"/>
          <w:right w:w="100" w:type="dxa"/>
        </w:tblCellMar>
        <w:tblLook w:val="04A0" w:firstRow="1" w:lastRow="0" w:firstColumn="1" w:lastColumn="0" w:noHBand="0" w:noVBand="1"/>
      </w:tblPr>
      <w:tblGrid>
        <w:gridCol w:w="1466"/>
        <w:gridCol w:w="1489"/>
        <w:gridCol w:w="1442"/>
        <w:gridCol w:w="1206"/>
        <w:gridCol w:w="925"/>
        <w:gridCol w:w="963"/>
        <w:gridCol w:w="1498"/>
        <w:gridCol w:w="1214"/>
      </w:tblGrid>
      <w:tr w:rsidR="006E6D7A" w14:paraId="67157AFD" w14:textId="77777777">
        <w:trPr>
          <w:trHeight w:val="420"/>
          <w:tblCellSpacing w:w="0" w:type="dxa"/>
        </w:trPr>
        <w:tc>
          <w:tcPr>
            <w:tcW w:w="10680" w:type="dxa"/>
            <w:gridSpan w:val="8"/>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AFC" w14:textId="77777777">
            <w:pPr>
              <w:pStyle w:val="NormalWeb"/>
              <w:widowControl w:val="0"/>
              <w:shd w:val="clear" w:color="auto" w:fill="FFFFFF"/>
              <w:spacing w:beforeAutospacing="0" w:after="0" w:afterAutospacing="0"/>
              <w:jc w:val="center"/>
            </w:pPr>
            <w:r>
              <w:rPr>
                <w:rFonts w:ascii="Arial" w:hAnsi="Arial" w:cs="Arial"/>
              </w:rPr>
              <w:t xml:space="preserve">Caractéristique </w:t>
            </w:r>
            <w:r>
              <w:rPr>
                <w:rFonts w:ascii="Arial" w:hAnsi="Arial" w:cs="Arial"/>
                <w:color w:val="FFFFFF"/>
              </w:rPr>
              <w:t xml:space="preserve">ENF </w:t>
            </w:r>
          </w:p>
        </w:tc>
      </w:tr>
      <w:tr w:rsidR="006E6D7A" w14:paraId="67157B06" w14:textId="77777777">
        <w:trPr>
          <w:tblCellSpacing w:w="0" w:type="dxa"/>
        </w:trPr>
        <w:tc>
          <w:tcPr>
            <w:tcW w:w="1545"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AFE" w14:textId="77777777">
            <w:pPr>
              <w:pStyle w:val="NormalWeb"/>
              <w:widowControl w:val="0"/>
              <w:shd w:val="clear" w:color="auto" w:fill="FFFFFF"/>
              <w:spacing w:beforeAutospacing="0" w:after="0" w:afterAutospacing="0"/>
            </w:pPr>
            <w:r>
              <w:rPr>
                <w:rFonts w:ascii="Arial" w:hAnsi="Arial" w:cs="Arial"/>
                <w:strike/>
                <w:color w:val="000000"/>
                <w:sz w:val="20"/>
                <w:szCs w:val="20"/>
              </w:rPr>
              <w:t>Adéquation fonctionnelle</w:t>
            </w:r>
          </w:p>
        </w:tc>
        <w:tc>
          <w:tcPr>
            <w:tcW w:w="1545"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AFF" w14:textId="77777777">
            <w:pPr>
              <w:pStyle w:val="NormalWeb"/>
              <w:widowControl w:val="0"/>
              <w:shd w:val="clear" w:color="auto" w:fill="FFFFFF"/>
              <w:spacing w:beforeAutospacing="0" w:after="0" w:afterAutospacing="0"/>
            </w:pPr>
            <w:r>
              <w:rPr>
                <w:rFonts w:ascii="Arial" w:hAnsi="Arial" w:cs="Arial"/>
                <w:strike/>
                <w:color w:val="000000"/>
                <w:sz w:val="20"/>
                <w:szCs w:val="20"/>
              </w:rPr>
              <w:t>Efficience des performances</w:t>
            </w:r>
          </w:p>
        </w:tc>
        <w:tc>
          <w:tcPr>
            <w:tcW w:w="1515"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00" w14:textId="77777777">
            <w:pPr>
              <w:pStyle w:val="NormalWeb"/>
              <w:widowControl w:val="0"/>
              <w:shd w:val="clear" w:color="auto" w:fill="FFFFFF"/>
              <w:spacing w:beforeAutospacing="0" w:after="0" w:afterAutospacing="0"/>
            </w:pPr>
            <w:r>
              <w:rPr>
                <w:rFonts w:ascii="Arial" w:hAnsi="Arial" w:cs="Arial"/>
                <w:strike/>
                <w:color w:val="000000"/>
                <w:sz w:val="20"/>
                <w:szCs w:val="20"/>
              </w:rPr>
              <w:t>Compatibilité</w:t>
            </w:r>
          </w:p>
        </w:tc>
        <w:tc>
          <w:tcPr>
            <w:tcW w:w="126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01" w14:textId="77777777">
            <w:pPr>
              <w:pStyle w:val="NormalWeb"/>
              <w:widowControl w:val="0"/>
              <w:shd w:val="clear" w:color="auto" w:fill="FFFFFF"/>
              <w:spacing w:beforeAutospacing="0" w:after="0" w:afterAutospacing="0"/>
            </w:pPr>
            <w:r>
              <w:rPr>
                <w:rFonts w:ascii="Arial" w:hAnsi="Arial" w:cs="Arial"/>
                <w:strike/>
                <w:color w:val="000000"/>
                <w:sz w:val="20"/>
                <w:szCs w:val="20"/>
              </w:rPr>
              <w:t>Facilité d’utilisation</w:t>
            </w:r>
          </w:p>
        </w:tc>
        <w:tc>
          <w:tcPr>
            <w:tcW w:w="96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02" w14:textId="77777777">
            <w:pPr>
              <w:pStyle w:val="NormalWeb"/>
              <w:widowControl w:val="0"/>
              <w:shd w:val="clear" w:color="auto" w:fill="FFFFFF"/>
              <w:spacing w:beforeAutospacing="0" w:after="0" w:afterAutospacing="0"/>
            </w:pPr>
            <w:r>
              <w:rPr>
                <w:rFonts w:ascii="Arial" w:hAnsi="Arial" w:cs="Arial"/>
                <w:color w:val="000000"/>
                <w:sz w:val="20"/>
                <w:szCs w:val="20"/>
              </w:rPr>
              <w:t>Fiabilité</w:t>
            </w:r>
          </w:p>
        </w:tc>
        <w:tc>
          <w:tcPr>
            <w:tcW w:w="1005"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03" w14:textId="77777777">
            <w:pPr>
              <w:pStyle w:val="NormalWeb"/>
              <w:widowControl w:val="0"/>
              <w:shd w:val="clear" w:color="auto" w:fill="FFFFFF"/>
              <w:spacing w:beforeAutospacing="0" w:after="0" w:afterAutospacing="0"/>
            </w:pPr>
            <w:r>
              <w:rPr>
                <w:rFonts w:ascii="Arial" w:hAnsi="Arial" w:cs="Arial"/>
                <w:color w:val="000000"/>
                <w:sz w:val="20"/>
                <w:szCs w:val="20"/>
              </w:rPr>
              <w:t>Sécurité</w:t>
            </w:r>
          </w:p>
        </w:tc>
        <w:tc>
          <w:tcPr>
            <w:tcW w:w="1575"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04" w14:textId="77777777">
            <w:pPr>
              <w:pStyle w:val="NormalWeb"/>
              <w:widowControl w:val="0"/>
              <w:shd w:val="clear" w:color="auto" w:fill="FFFFFF"/>
              <w:spacing w:beforeAutospacing="0" w:after="0" w:afterAutospacing="0"/>
            </w:pPr>
            <w:r>
              <w:rPr>
                <w:rFonts w:ascii="Arial" w:hAnsi="Arial" w:cs="Arial"/>
                <w:color w:val="000000"/>
                <w:sz w:val="20"/>
                <w:szCs w:val="20"/>
              </w:rPr>
              <w:t>Maintenabilité</w:t>
            </w:r>
          </w:p>
        </w:tc>
        <w:tc>
          <w:tcPr>
            <w:tcW w:w="1275"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05" w14:textId="77777777">
            <w:pPr>
              <w:pStyle w:val="NormalWeb"/>
              <w:widowControl w:val="0"/>
              <w:shd w:val="clear" w:color="auto" w:fill="FFFFFF"/>
              <w:spacing w:beforeAutospacing="0" w:after="0" w:afterAutospacing="0"/>
            </w:pPr>
            <w:r>
              <w:rPr>
                <w:rFonts w:ascii="Arial" w:hAnsi="Arial" w:cs="Arial"/>
                <w:strike/>
                <w:color w:val="000000"/>
                <w:sz w:val="20"/>
                <w:szCs w:val="20"/>
              </w:rPr>
              <w:t>Portabilité</w:t>
            </w:r>
          </w:p>
        </w:tc>
      </w:tr>
      <w:tr w:rsidR="006E6D7A" w14:paraId="67157B08" w14:textId="77777777">
        <w:trPr>
          <w:trHeight w:val="400"/>
          <w:tblCellSpacing w:w="0" w:type="dxa"/>
        </w:trPr>
        <w:tc>
          <w:tcPr>
            <w:tcW w:w="10680" w:type="dxa"/>
            <w:gridSpan w:val="8"/>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07" w14:textId="77777777">
            <w:pPr>
              <w:pStyle w:val="NormalWeb"/>
              <w:widowControl w:val="0"/>
              <w:spacing w:beforeAutospacing="0" w:after="0" w:afterAutospacing="0"/>
            </w:pPr>
            <w:r>
              <w:rPr>
                <w:rFonts w:ascii="Arial" w:hAnsi="Arial" w:cs="Arial"/>
                <w:color w:val="000000"/>
              </w:rPr>
              <w:t>Rappel : Toute ENF non satisfaite par une équipe doit faire l’objet d’un partage avec le PO, le CPI ou le responsable de service, la communauté porteuse de l’ENF d’autre part.</w:t>
            </w:r>
          </w:p>
        </w:tc>
      </w:tr>
    </w:tbl>
    <w:p w:rsidR="006E6D7A" w:rsidRDefault="00B16C64" w14:paraId="67157B09" w14:textId="77777777">
      <w:pPr>
        <w:pStyle w:val="NormalWeb"/>
        <w:shd w:val="clear" w:color="auto" w:fill="FFFFFF"/>
        <w:spacing w:beforeAutospacing="0" w:after="0" w:afterAutospacing="0"/>
        <w:ind w:left="-585"/>
      </w:pPr>
      <w:r>
        <w:t> </w:t>
      </w:r>
    </w:p>
    <w:p w:rsidR="006E6D7A" w:rsidRDefault="00B16C64" w14:paraId="67157B0A" w14:textId="77777777">
      <w:pPr>
        <w:pStyle w:val="NormalWeb"/>
        <w:shd w:val="clear" w:color="auto" w:fill="FFFFFF"/>
        <w:spacing w:beforeAutospacing="0" w:after="0" w:afterAutospacing="0"/>
        <w:ind w:left="-585"/>
      </w:pPr>
      <w:r>
        <w:t> </w:t>
      </w:r>
    </w:p>
    <w:tbl>
      <w:tblPr>
        <w:tblW w:w="0" w:type="auto"/>
        <w:tblCellSpacing w:w="0" w:type="dxa"/>
        <w:tblInd w:w="-58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00" w:type="dxa"/>
          <w:left w:w="100" w:type="dxa"/>
          <w:bottom w:w="100" w:type="dxa"/>
          <w:right w:w="100" w:type="dxa"/>
        </w:tblCellMar>
        <w:tblLook w:val="04A0" w:firstRow="1" w:lastRow="0" w:firstColumn="1" w:lastColumn="0" w:noHBand="0" w:noVBand="1"/>
      </w:tblPr>
      <w:tblGrid>
        <w:gridCol w:w="2700"/>
        <w:gridCol w:w="6900"/>
      </w:tblGrid>
      <w:tr w:rsidR="006E6D7A" w14:paraId="67157B0F" w14:textId="77777777">
        <w:trPr>
          <w:tblCellSpacing w:w="0" w:type="dxa"/>
        </w:trPr>
        <w:tc>
          <w:tcPr>
            <w:tcW w:w="2700"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B0B" w14:textId="77777777">
            <w:pPr>
              <w:pStyle w:val="NormalWeb"/>
              <w:widowControl w:val="0"/>
              <w:shd w:val="clear" w:color="auto" w:fill="FFFFFF"/>
              <w:spacing w:beforeAutospacing="0" w:after="0" w:afterAutospacing="0"/>
            </w:pPr>
            <w:r>
              <w:rPr>
                <w:rFonts w:ascii="Arial" w:hAnsi="Arial" w:cs="Arial"/>
                <w:color w:val="000000"/>
                <w:shd w:val="clear" w:color="auto" w:fill="FFFFFF"/>
              </w:rPr>
              <w:t>Objectif(s)</w:t>
            </w:r>
          </w:p>
        </w:tc>
        <w:tc>
          <w:tcPr>
            <w:tcW w:w="690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0C" w14:textId="77777777">
            <w:pPr>
              <w:pStyle w:val="NormalWeb"/>
              <w:widowControl w:val="0"/>
              <w:shd w:val="clear" w:color="auto" w:fill="FFFFFF"/>
              <w:spacing w:beforeAutospacing="0" w:after="0" w:afterAutospacing="0"/>
            </w:pPr>
            <w:r>
              <w:rPr>
                <w:rFonts w:ascii="Arial" w:hAnsi="Arial" w:cs="Arial"/>
                <w:color w:val="000000"/>
              </w:rPr>
              <w:t>Définir un ensemble de règles à respecter pour les développements</w:t>
            </w:r>
          </w:p>
          <w:p w:rsidR="006E6D7A" w:rsidRDefault="00B16C64" w14:paraId="67157B0D" w14:textId="77777777">
            <w:pPr>
              <w:pStyle w:val="NormalWeb"/>
              <w:widowControl w:val="0"/>
              <w:shd w:val="clear" w:color="auto" w:fill="FFFFFF"/>
              <w:spacing w:beforeAutospacing="0" w:after="0" w:afterAutospacing="0"/>
            </w:pPr>
            <w:r>
              <w:rPr>
                <w:rFonts w:ascii="Arial" w:hAnsi="Arial" w:cs="Arial"/>
                <w:color w:val="000000"/>
              </w:rPr>
              <w:t>Améliorer le niveau de sécurité des applications.</w:t>
            </w:r>
          </w:p>
          <w:p w:rsidR="006E6D7A" w:rsidRDefault="00B16C64" w14:paraId="67157B0E" w14:textId="77777777">
            <w:pPr>
              <w:pStyle w:val="NormalWeb"/>
              <w:widowControl w:val="0"/>
              <w:shd w:val="clear" w:color="auto" w:fill="FFFFFF"/>
              <w:spacing w:beforeAutospacing="0" w:after="0" w:afterAutospacing="0"/>
            </w:pPr>
            <w:r>
              <w:rPr>
                <w:rFonts w:ascii="Arial" w:hAnsi="Arial" w:cs="Arial"/>
                <w:color w:val="000000"/>
              </w:rPr>
              <w:t>Se prémunir des failles de sécurité au plus tôt.</w:t>
            </w:r>
          </w:p>
        </w:tc>
      </w:tr>
      <w:tr w:rsidR="006E6D7A" w14:paraId="67157B12" w14:textId="77777777">
        <w:trPr>
          <w:tblCellSpacing w:w="0" w:type="dxa"/>
        </w:trPr>
        <w:tc>
          <w:tcPr>
            <w:tcW w:w="2700"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B10" w14:textId="77777777">
            <w:pPr>
              <w:pStyle w:val="NormalWeb"/>
              <w:widowControl w:val="0"/>
              <w:shd w:val="clear" w:color="auto" w:fill="FFFFFF"/>
              <w:spacing w:beforeAutospacing="0" w:after="0" w:afterAutospacing="0"/>
            </w:pPr>
            <w:r>
              <w:rPr>
                <w:rFonts w:ascii="Arial" w:hAnsi="Arial" w:cs="Arial"/>
                <w:color w:val="000000"/>
                <w:shd w:val="clear" w:color="auto" w:fill="FFFFFF"/>
              </w:rPr>
              <w:t>Ce que l’on mesure</w:t>
            </w:r>
          </w:p>
        </w:tc>
        <w:tc>
          <w:tcPr>
            <w:tcW w:w="690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11" w14:textId="77777777">
            <w:pPr>
              <w:pStyle w:val="NormalWeb"/>
              <w:widowControl w:val="0"/>
              <w:spacing w:beforeAutospacing="0" w:after="0" w:afterAutospacing="0"/>
            </w:pPr>
            <w:r>
              <w:rPr>
                <w:rFonts w:ascii="Arial" w:hAnsi="Arial" w:cs="Arial"/>
                <w:color w:val="000000"/>
              </w:rPr>
              <w:t>Le niveau de vulnérabilité des applications SOLAIRE</w:t>
            </w:r>
          </w:p>
        </w:tc>
      </w:tr>
      <w:tr w:rsidR="006E6D7A" w14:paraId="67157B15" w14:textId="77777777">
        <w:trPr>
          <w:tblCellSpacing w:w="0" w:type="dxa"/>
        </w:trPr>
        <w:tc>
          <w:tcPr>
            <w:tcW w:w="2700"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B13" w14:textId="77777777">
            <w:pPr>
              <w:pStyle w:val="NormalWeb"/>
              <w:widowControl w:val="0"/>
              <w:shd w:val="clear" w:color="auto" w:fill="FFFFFF"/>
              <w:spacing w:beforeAutospacing="0" w:after="0" w:afterAutospacing="0"/>
            </w:pPr>
            <w:r>
              <w:rPr>
                <w:rFonts w:ascii="Arial" w:hAnsi="Arial" w:cs="Arial"/>
                <w:color w:val="000000"/>
                <w:shd w:val="clear" w:color="auto" w:fill="FFFFFF"/>
              </w:rPr>
              <w:t>Comment on le mesure</w:t>
            </w:r>
          </w:p>
        </w:tc>
        <w:tc>
          <w:tcPr>
            <w:tcW w:w="6900"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14" w14:textId="77777777">
            <w:pPr>
              <w:pStyle w:val="NormalWeb"/>
              <w:widowControl w:val="0"/>
              <w:shd w:val="clear" w:color="auto" w:fill="FFFFFF"/>
              <w:spacing w:beforeAutospacing="0" w:after="0" w:afterAutospacing="0"/>
            </w:pPr>
            <w:r>
              <w:rPr>
                <w:rFonts w:ascii="Arial" w:hAnsi="Arial" w:cs="Arial"/>
                <w:color w:val="000000"/>
              </w:rPr>
              <w:t>Rapport du niveau de sécurité des différents produits</w:t>
            </w:r>
          </w:p>
        </w:tc>
      </w:tr>
    </w:tbl>
    <w:p w:rsidR="006E6D7A" w:rsidRDefault="00B16C64" w14:paraId="67157B16" w14:textId="77777777">
      <w:pPr>
        <w:pStyle w:val="NormalWeb"/>
        <w:shd w:val="clear" w:color="auto" w:fill="FFFFFF"/>
        <w:spacing w:beforeAutospacing="0" w:after="0" w:afterAutospacing="0"/>
        <w:ind w:left="-585"/>
      </w:pPr>
      <w:r>
        <w:t> </w:t>
      </w:r>
    </w:p>
    <w:p w:rsidR="006E6D7A" w:rsidRDefault="00B16C64" w14:paraId="67157B17" w14:textId="77777777">
      <w:pPr>
        <w:pStyle w:val="NormalWeb"/>
        <w:shd w:val="clear" w:color="auto" w:fill="FFFFFF"/>
        <w:spacing w:beforeAutospacing="0" w:after="0" w:afterAutospacing="0"/>
        <w:ind w:left="-585"/>
      </w:pPr>
      <w:r>
        <w:t> </w:t>
      </w:r>
    </w:p>
    <w:tbl>
      <w:tblPr>
        <w:tblW w:w="0" w:type="auto"/>
        <w:tblCellSpacing w:w="0" w:type="dxa"/>
        <w:tblInd w:w="-58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00" w:type="dxa"/>
          <w:left w:w="100" w:type="dxa"/>
          <w:bottom w:w="100" w:type="dxa"/>
          <w:right w:w="100" w:type="dxa"/>
        </w:tblCellMar>
        <w:tblLook w:val="04A0" w:firstRow="1" w:lastRow="0" w:firstColumn="1" w:lastColumn="0" w:noHBand="0" w:noVBand="1"/>
      </w:tblPr>
      <w:tblGrid>
        <w:gridCol w:w="3205"/>
        <w:gridCol w:w="3205"/>
        <w:gridCol w:w="3205"/>
      </w:tblGrid>
      <w:tr w:rsidR="006E6D7A" w14:paraId="67157B1B" w14:textId="77777777">
        <w:trPr>
          <w:tblCellSpacing w:w="0" w:type="dxa"/>
        </w:trPr>
        <w:tc>
          <w:tcPr>
            <w:tcW w:w="3205"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B18" w14:textId="77777777">
            <w:pPr>
              <w:pStyle w:val="NormalWeb"/>
              <w:widowControl w:val="0"/>
              <w:shd w:val="clear" w:color="auto" w:fill="FFFFFF"/>
              <w:spacing w:beforeAutospacing="0" w:after="0" w:afterAutospacing="0"/>
              <w:jc w:val="center"/>
              <w:rPr>
                <w:rFonts w:ascii="Arial" w:hAnsi="Arial" w:cs="Arial"/>
              </w:rPr>
            </w:pPr>
            <w:r>
              <w:rPr>
                <w:rFonts w:ascii="Arial" w:hAnsi="Arial" w:cs="Arial"/>
              </w:rPr>
              <w:t>Minimal attendu</w:t>
            </w:r>
          </w:p>
        </w:tc>
        <w:tc>
          <w:tcPr>
            <w:tcW w:w="3205"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B19" w14:textId="77777777">
            <w:pPr>
              <w:pStyle w:val="NormalWeb"/>
              <w:widowControl w:val="0"/>
              <w:shd w:val="clear" w:color="auto" w:fill="FFFFFF"/>
              <w:spacing w:beforeAutospacing="0" w:after="0" w:afterAutospacing="0"/>
              <w:jc w:val="center"/>
              <w:rPr>
                <w:rFonts w:ascii="Arial" w:hAnsi="Arial" w:cs="Arial"/>
              </w:rPr>
            </w:pPr>
            <w:r>
              <w:rPr>
                <w:rFonts w:ascii="Arial" w:hAnsi="Arial" w:cs="Arial"/>
              </w:rPr>
              <w:t>Contraintes</w:t>
            </w:r>
          </w:p>
        </w:tc>
        <w:tc>
          <w:tcPr>
            <w:tcW w:w="3205" w:type="dxa"/>
            <w:tcBorders>
              <w:top w:val="single" w:color="000000" w:sz="8" w:space="0"/>
              <w:left w:val="single" w:color="000000" w:sz="8" w:space="0"/>
              <w:bottom w:val="single" w:color="000000" w:sz="8" w:space="0"/>
              <w:right w:val="single" w:color="000000" w:sz="8" w:space="0"/>
            </w:tcBorders>
            <w:shd w:val="clear" w:color="auto" w:fill="00A3A6"/>
            <w:vAlign w:val="center"/>
          </w:tcPr>
          <w:p w:rsidR="006E6D7A" w:rsidRDefault="00B16C64" w14:paraId="67157B1A" w14:textId="77777777">
            <w:pPr>
              <w:pStyle w:val="NormalWeb"/>
              <w:widowControl w:val="0"/>
              <w:shd w:val="clear" w:color="auto" w:fill="FFFFFF"/>
              <w:spacing w:beforeAutospacing="0" w:after="0" w:afterAutospacing="0"/>
              <w:jc w:val="center"/>
              <w:rPr>
                <w:rFonts w:ascii="Arial" w:hAnsi="Arial" w:cs="Arial"/>
              </w:rPr>
            </w:pPr>
            <w:r>
              <w:rPr>
                <w:rFonts w:ascii="Arial" w:hAnsi="Arial" w:cs="Arial"/>
              </w:rPr>
              <w:t>Cible</w:t>
            </w:r>
          </w:p>
        </w:tc>
      </w:tr>
      <w:tr w:rsidR="006E6D7A" w14:paraId="67157B28" w14:textId="77777777">
        <w:trPr>
          <w:tblCellSpacing w:w="0" w:type="dxa"/>
        </w:trPr>
        <w:tc>
          <w:tcPr>
            <w:tcW w:w="3205"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1C" w14:textId="77777777">
            <w:pPr>
              <w:pStyle w:val="NormalWeb"/>
              <w:widowControl w:val="0"/>
              <w:spacing w:beforeAutospacing="0" w:after="0" w:afterAutospacing="0"/>
            </w:pPr>
            <w:r>
              <w:rPr>
                <w:rFonts w:ascii="Arial" w:hAnsi="Arial" w:cs="Arial"/>
                <w:color w:val="000000"/>
                <w:u w:val="single"/>
              </w:rPr>
              <w:lastRenderedPageBreak/>
              <w:t xml:space="preserve">Pour les projets </w:t>
            </w:r>
            <w:proofErr w:type="spellStart"/>
            <w:r>
              <w:rPr>
                <w:rFonts w:ascii="Arial" w:hAnsi="Arial" w:cs="Arial"/>
                <w:color w:val="000000"/>
                <w:u w:val="single"/>
              </w:rPr>
              <w:t>legacy</w:t>
            </w:r>
            <w:proofErr w:type="spellEnd"/>
            <w:r>
              <w:rPr>
                <w:rFonts w:ascii="Arial" w:hAnsi="Arial" w:cs="Arial"/>
                <w:color w:val="000000"/>
                <w:u w:val="single"/>
              </w:rPr>
              <w:t xml:space="preserve"> :</w:t>
            </w:r>
          </w:p>
          <w:p w:rsidR="006E6D7A" w:rsidRDefault="00B16C64" w14:paraId="67157B1D" w14:textId="77777777">
            <w:pPr>
              <w:pStyle w:val="NormalWeb"/>
              <w:widowControl w:val="0"/>
              <w:spacing w:beforeAutospacing="0" w:after="0" w:afterAutospacing="0"/>
            </w:pPr>
            <w:r>
              <w:rPr>
                <w:rFonts w:ascii="Arial" w:hAnsi="Arial" w:cs="Arial"/>
                <w:color w:val="000000"/>
              </w:rPr>
              <w:t xml:space="preserve">Fournir un rapport de l’état d’un produit par rapport à la </w:t>
            </w:r>
            <w:proofErr w:type="spellStart"/>
            <w:r>
              <w:rPr>
                <w:rFonts w:ascii="Arial" w:hAnsi="Arial" w:cs="Arial"/>
                <w:color w:val="000000"/>
              </w:rPr>
              <w:t>Quality</w:t>
            </w:r>
            <w:proofErr w:type="spellEnd"/>
            <w:r>
              <w:rPr>
                <w:rFonts w:ascii="Arial" w:hAnsi="Arial" w:cs="Arial"/>
                <w:color w:val="000000"/>
              </w:rPr>
              <w:t xml:space="preserve"> </w:t>
            </w:r>
            <w:proofErr w:type="spellStart"/>
            <w:r>
              <w:rPr>
                <w:rFonts w:ascii="Arial" w:hAnsi="Arial" w:cs="Arial"/>
                <w:color w:val="000000"/>
              </w:rPr>
              <w:t>Gate</w:t>
            </w:r>
            <w:proofErr w:type="spellEnd"/>
            <w:r>
              <w:rPr>
                <w:rFonts w:ascii="Arial" w:hAnsi="Arial" w:cs="Arial"/>
                <w:color w:val="000000"/>
              </w:rPr>
              <w:t xml:space="preserve"> </w:t>
            </w:r>
            <w:proofErr w:type="spellStart"/>
            <w:r>
              <w:rPr>
                <w:rFonts w:ascii="Arial" w:hAnsi="Arial" w:cs="Arial"/>
                <w:color w:val="000000"/>
              </w:rPr>
              <w:t>SonarQube</w:t>
            </w:r>
            <w:proofErr w:type="spellEnd"/>
            <w:r>
              <w:rPr>
                <w:rFonts w:ascii="Arial" w:hAnsi="Arial" w:cs="Arial"/>
                <w:color w:val="000000"/>
              </w:rPr>
              <w:t>.</w:t>
            </w:r>
          </w:p>
          <w:p w:rsidR="006E6D7A" w:rsidRDefault="00B16C64" w14:paraId="67157B1E" w14:textId="77777777">
            <w:pPr>
              <w:pStyle w:val="NormalWeb"/>
              <w:widowControl w:val="0"/>
              <w:spacing w:beforeAutospacing="0" w:after="0" w:afterAutospacing="0"/>
              <w:jc w:val="center"/>
            </w:pPr>
            <w:r>
              <w:t> </w:t>
            </w:r>
          </w:p>
          <w:p w:rsidR="006E6D7A" w:rsidRDefault="00B16C64" w14:paraId="67157B1F" w14:textId="77777777">
            <w:pPr>
              <w:pStyle w:val="NormalWeb"/>
              <w:widowControl w:val="0"/>
              <w:spacing w:beforeAutospacing="0" w:after="0" w:afterAutospacing="0"/>
            </w:pPr>
            <w:r>
              <w:rPr>
                <w:rFonts w:ascii="Arial" w:hAnsi="Arial" w:cs="Arial"/>
                <w:color w:val="000000"/>
                <w:u w:val="single"/>
              </w:rPr>
              <w:t>Pour les nouveaux projets :</w:t>
            </w:r>
            <w:r>
              <w:rPr>
                <w:rFonts w:ascii="Arial" w:hAnsi="Arial" w:cs="Arial"/>
                <w:color w:val="000000"/>
              </w:rPr>
              <w:t xml:space="preserve"> </w:t>
            </w:r>
            <w:r>
              <w:rPr>
                <w:rFonts w:ascii="Arial" w:hAnsi="Arial" w:cs="Arial"/>
                <w:color w:val="000000"/>
              </w:rPr>
              <w:br/>
            </w:r>
            <w:r>
              <w:rPr>
                <w:rFonts w:ascii="Arial" w:hAnsi="Arial" w:cs="Arial"/>
                <w:color w:val="000000"/>
              </w:rPr>
              <w:t xml:space="preserve"> - Conformité à la </w:t>
            </w:r>
            <w:proofErr w:type="spellStart"/>
            <w:r>
              <w:rPr>
                <w:rFonts w:ascii="Arial" w:hAnsi="Arial" w:cs="Arial"/>
                <w:color w:val="000000"/>
              </w:rPr>
              <w:t>Quality</w:t>
            </w:r>
            <w:proofErr w:type="spellEnd"/>
            <w:r>
              <w:rPr>
                <w:rFonts w:ascii="Arial" w:hAnsi="Arial" w:cs="Arial"/>
                <w:color w:val="000000"/>
              </w:rPr>
              <w:t xml:space="preserve"> </w:t>
            </w:r>
            <w:proofErr w:type="spellStart"/>
            <w:r>
              <w:rPr>
                <w:rFonts w:ascii="Arial" w:hAnsi="Arial" w:cs="Arial"/>
                <w:color w:val="000000"/>
              </w:rPr>
              <w:t>Gate</w:t>
            </w:r>
            <w:proofErr w:type="spellEnd"/>
            <w:r>
              <w:rPr>
                <w:rFonts w:ascii="Arial" w:hAnsi="Arial" w:cs="Arial"/>
                <w:color w:val="000000"/>
              </w:rPr>
              <w:t xml:space="preserve"> </w:t>
            </w:r>
            <w:proofErr w:type="spellStart"/>
            <w:r>
              <w:rPr>
                <w:rFonts w:ascii="Arial" w:hAnsi="Arial" w:cs="Arial"/>
                <w:color w:val="000000"/>
              </w:rPr>
              <w:t>SonarQube</w:t>
            </w:r>
            <w:proofErr w:type="spellEnd"/>
            <w:r>
              <w:rPr>
                <w:rFonts w:ascii="Arial" w:hAnsi="Arial" w:cs="Arial"/>
                <w:color w:val="000000"/>
              </w:rPr>
              <w:t>.</w:t>
            </w:r>
          </w:p>
          <w:p w:rsidR="006E6D7A" w:rsidRDefault="00B16C64" w14:paraId="67157B20" w14:textId="77777777">
            <w:pPr>
              <w:pStyle w:val="NormalWeb"/>
              <w:widowControl w:val="0"/>
              <w:spacing w:beforeAutospacing="0" w:after="0" w:afterAutospacing="0"/>
            </w:pPr>
            <w:r>
              <w:rPr>
                <w:rFonts w:ascii="Arial" w:hAnsi="Arial" w:cs="Arial"/>
                <w:color w:val="000000"/>
              </w:rPr>
              <w:t xml:space="preserve">- Analyser </w:t>
            </w:r>
            <w:proofErr w:type="spellStart"/>
            <w:r>
              <w:rPr>
                <w:rFonts w:ascii="Arial" w:hAnsi="Arial" w:cs="Arial"/>
                <w:color w:val="000000"/>
              </w:rPr>
              <w:t>l&amp;</w:t>
            </w:r>
            <w:proofErr w:type="gramStart"/>
            <w:r>
              <w:rPr>
                <w:rFonts w:ascii="Arial" w:hAnsi="Arial" w:cs="Arial"/>
                <w:color w:val="000000"/>
              </w:rPr>
              <w:t>apos;absence</w:t>
            </w:r>
            <w:proofErr w:type="spellEnd"/>
            <w:proofErr w:type="gramEnd"/>
            <w:r>
              <w:rPr>
                <w:rFonts w:ascii="Arial" w:hAnsi="Arial" w:cs="Arial"/>
                <w:color w:val="000000"/>
              </w:rPr>
              <w:t xml:space="preserve"> de mot de passe en clair dans le code versionné (</w:t>
            </w:r>
            <w:proofErr w:type="spellStart"/>
            <w:r>
              <w:rPr>
                <w:rFonts w:ascii="Arial" w:hAnsi="Arial" w:cs="Arial"/>
                <w:color w:val="000000"/>
              </w:rPr>
              <w:t>Gitleaks</w:t>
            </w:r>
            <w:proofErr w:type="spellEnd"/>
            <w:r>
              <w:rPr>
                <w:rFonts w:ascii="Arial" w:hAnsi="Arial" w:cs="Arial"/>
                <w:color w:val="000000"/>
              </w:rPr>
              <w:t>)</w:t>
            </w:r>
          </w:p>
          <w:p w:rsidR="006E6D7A" w:rsidRDefault="00B16C64" w14:paraId="67157B21" w14:textId="77777777">
            <w:pPr>
              <w:pStyle w:val="NormalWeb"/>
              <w:widowControl w:val="0"/>
              <w:spacing w:beforeAutospacing="0" w:after="0" w:afterAutospacing="0"/>
            </w:pPr>
            <w:r>
              <w:t> </w:t>
            </w:r>
          </w:p>
          <w:p w:rsidR="006E6D7A" w:rsidRDefault="00B16C64" w14:paraId="67157B22" w14:textId="77777777">
            <w:pPr>
              <w:pStyle w:val="NormalWeb"/>
              <w:widowControl w:val="0"/>
              <w:spacing w:beforeAutospacing="0" w:after="0" w:afterAutospacing="0"/>
            </w:pPr>
            <w:r>
              <w:rPr>
                <w:rFonts w:ascii="Arial" w:hAnsi="Arial" w:cs="Arial"/>
                <w:color w:val="000000"/>
                <w:u w:val="single"/>
              </w:rPr>
              <w:t>Pour les projets conteneurisés :</w:t>
            </w:r>
            <w:r>
              <w:rPr>
                <w:rFonts w:ascii="Arial" w:hAnsi="Arial" w:cs="Arial"/>
                <w:color w:val="000000"/>
              </w:rPr>
              <w:t> </w:t>
            </w:r>
          </w:p>
          <w:p w:rsidR="006E6D7A" w:rsidRDefault="00B16C64" w14:paraId="67157B23" w14:textId="77777777">
            <w:pPr>
              <w:pStyle w:val="NormalWeb"/>
              <w:widowControl w:val="0"/>
              <w:spacing w:beforeAutospacing="0" w:after="0" w:afterAutospacing="0"/>
            </w:pPr>
            <w:r>
              <w:rPr>
                <w:rFonts w:ascii="Arial" w:hAnsi="Arial" w:cs="Arial"/>
                <w:color w:val="000000"/>
              </w:rPr>
              <w:t>Faire des analyses de sécurité statiques pour les containers en utilisant Trivy (</w:t>
            </w:r>
            <w:r>
              <w:rPr>
                <w:rFonts w:ascii="Arial" w:hAnsi="Arial" w:cs="Arial"/>
                <w:i/>
                <w:iCs/>
                <w:color w:val="000000"/>
              </w:rPr>
              <w:t>ou équivalent</w:t>
            </w:r>
            <w:r>
              <w:rPr>
                <w:rFonts w:ascii="Arial" w:hAnsi="Arial" w:cs="Arial"/>
                <w:color w:val="000000"/>
              </w:rPr>
              <w:t>) dans la CI</w:t>
            </w:r>
          </w:p>
        </w:tc>
        <w:tc>
          <w:tcPr>
            <w:tcW w:w="3205"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24" w14:textId="77777777">
            <w:pPr>
              <w:pStyle w:val="NormalWeb"/>
              <w:widowControl w:val="0"/>
              <w:shd w:val="clear" w:color="auto" w:fill="FFFFFF"/>
              <w:spacing w:beforeAutospacing="0" w:after="0" w:afterAutospacing="0"/>
            </w:pPr>
            <w:r>
              <w:rPr>
                <w:rFonts w:ascii="Arial" w:hAnsi="Arial" w:cs="Arial"/>
                <w:color w:val="000000"/>
              </w:rPr>
              <w:t xml:space="preserve">Maintenir / Réévaluer / Compléter régulièrement les règles de sécurité appliquées (via </w:t>
            </w:r>
            <w:proofErr w:type="spellStart"/>
            <w:r>
              <w:rPr>
                <w:rFonts w:ascii="Arial" w:hAnsi="Arial" w:cs="Arial"/>
                <w:color w:val="000000"/>
              </w:rPr>
              <w:t>Sonarqube</w:t>
            </w:r>
            <w:proofErr w:type="spellEnd"/>
            <w:r>
              <w:rPr>
                <w:rFonts w:ascii="Arial" w:hAnsi="Arial" w:cs="Arial"/>
                <w:color w:val="000000"/>
              </w:rPr>
              <w:t xml:space="preserve"> et/ou l’intégration continue).</w:t>
            </w:r>
          </w:p>
        </w:tc>
        <w:tc>
          <w:tcPr>
            <w:tcW w:w="3205" w:type="dxa"/>
            <w:tcBorders>
              <w:top w:val="single" w:color="000000" w:sz="8" w:space="0"/>
              <w:left w:val="single" w:color="000000" w:sz="8" w:space="0"/>
              <w:bottom w:val="single" w:color="000000" w:sz="8" w:space="0"/>
              <w:right w:val="single" w:color="000000" w:sz="8" w:space="0"/>
            </w:tcBorders>
            <w:shd w:val="clear" w:color="auto" w:fill="FFFFFF"/>
            <w:vAlign w:val="center"/>
          </w:tcPr>
          <w:p w:rsidR="006E6D7A" w:rsidRDefault="00B16C64" w14:paraId="67157B25" w14:textId="77777777">
            <w:pPr>
              <w:pStyle w:val="NormalWeb"/>
              <w:widowControl w:val="0"/>
              <w:shd w:val="clear" w:color="auto" w:fill="FFFFFF"/>
              <w:spacing w:beforeAutospacing="0" w:after="0" w:afterAutospacing="0"/>
            </w:pPr>
            <w:r>
              <w:rPr>
                <w:rFonts w:ascii="Arial" w:hAnsi="Arial" w:cs="Arial"/>
                <w:color w:val="000000"/>
              </w:rPr>
              <w:t>Analyser / Mettre à jour / Corriger les problèmes remontés, de manière régulière.</w:t>
            </w:r>
          </w:p>
          <w:p w:rsidR="006E6D7A" w:rsidRDefault="00B16C64" w14:paraId="67157B26" w14:textId="77777777">
            <w:pPr>
              <w:pStyle w:val="NormalWeb"/>
              <w:widowControl w:val="0"/>
              <w:shd w:val="clear" w:color="auto" w:fill="FFFFFF"/>
              <w:spacing w:beforeAutospacing="0" w:after="0" w:afterAutospacing="0"/>
            </w:pPr>
            <w:r>
              <w:t> </w:t>
            </w:r>
          </w:p>
          <w:p w:rsidR="006E6D7A" w:rsidRDefault="00B16C64" w14:paraId="67157B27" w14:textId="77777777">
            <w:pPr>
              <w:pStyle w:val="NormalWeb"/>
              <w:widowControl w:val="0"/>
              <w:shd w:val="clear" w:color="auto" w:fill="FFFFFF"/>
              <w:spacing w:beforeAutospacing="0" w:after="0" w:afterAutospacing="0"/>
            </w:pPr>
            <w:r>
              <w:rPr>
                <w:rFonts w:ascii="Arial" w:hAnsi="Arial" w:cs="Arial"/>
                <w:color w:val="000000"/>
              </w:rPr>
              <w:t xml:space="preserve">Améliorer globalement l’indicateur de sécurité d’un produit (p/r à la </w:t>
            </w:r>
            <w:proofErr w:type="spellStart"/>
            <w:r>
              <w:rPr>
                <w:rFonts w:ascii="Arial" w:hAnsi="Arial" w:cs="Arial"/>
                <w:color w:val="000000"/>
              </w:rPr>
              <w:t>Quality</w:t>
            </w:r>
            <w:proofErr w:type="spellEnd"/>
            <w:r>
              <w:rPr>
                <w:rFonts w:ascii="Arial" w:hAnsi="Arial" w:cs="Arial"/>
                <w:color w:val="000000"/>
              </w:rPr>
              <w:t xml:space="preserve"> </w:t>
            </w:r>
            <w:proofErr w:type="spellStart"/>
            <w:r>
              <w:rPr>
                <w:rFonts w:ascii="Arial" w:hAnsi="Arial" w:cs="Arial"/>
                <w:color w:val="000000"/>
              </w:rPr>
              <w:t>Gate</w:t>
            </w:r>
            <w:proofErr w:type="spellEnd"/>
            <w:r>
              <w:rPr>
                <w:rFonts w:ascii="Arial" w:hAnsi="Arial" w:cs="Arial"/>
                <w:color w:val="000000"/>
              </w:rPr>
              <w:t>) ou maintenir cet indicateur à la conformité à la QG.</w:t>
            </w:r>
          </w:p>
        </w:tc>
      </w:tr>
    </w:tbl>
    <w:p w:rsidR="006E6D7A" w:rsidRDefault="00B16C64" w14:paraId="67157B29" w14:textId="77777777">
      <w:pPr>
        <w:pStyle w:val="NormalWeb"/>
        <w:shd w:val="clear" w:color="auto" w:fill="FFFFFF"/>
        <w:spacing w:beforeAutospacing="0" w:after="0" w:afterAutospacing="0"/>
        <w:ind w:left="-585"/>
      </w:pPr>
      <w:r>
        <w:t> </w:t>
      </w:r>
    </w:p>
    <w:p w:rsidR="006E6D7A" w:rsidRDefault="00B16C64" w14:paraId="67157B2A" w14:textId="77777777">
      <w:pPr>
        <w:pStyle w:val="NormalWeb"/>
        <w:spacing w:beforeAutospacing="0" w:after="0" w:afterAutospacing="0"/>
        <w:ind w:left="-585"/>
      </w:pPr>
      <w:proofErr w:type="spellStart"/>
      <w:r>
        <w:rPr>
          <w:rFonts w:ascii="Arial" w:hAnsi="Arial" w:cs="Arial"/>
          <w:color w:val="000000"/>
        </w:rPr>
        <w:t>SonarQube</w:t>
      </w:r>
      <w:proofErr w:type="spellEnd"/>
      <w:r>
        <w:rPr>
          <w:rFonts w:ascii="Arial" w:hAnsi="Arial" w:cs="Arial"/>
          <w:color w:val="000000"/>
        </w:rPr>
        <w:t xml:space="preserve"> supporte les langages Java, Javascript, </w:t>
      </w:r>
      <w:proofErr w:type="spellStart"/>
      <w:r>
        <w:rPr>
          <w:rFonts w:ascii="Arial" w:hAnsi="Arial" w:cs="Arial"/>
          <w:color w:val="000000"/>
        </w:rPr>
        <w:t>Typescript</w:t>
      </w:r>
      <w:proofErr w:type="spellEnd"/>
      <w:r>
        <w:rPr>
          <w:rFonts w:ascii="Arial" w:hAnsi="Arial" w:cs="Arial"/>
          <w:color w:val="000000"/>
        </w:rPr>
        <w:t xml:space="preserve">, Python et PHP (entre autres), et fournit un ensemble de règles de sécurité basées sur les standards des </w:t>
      </w:r>
      <w:hyperlink w:tooltip="https://cwe.mitre.org/" w:history="1" r:id="rId116">
        <w:r>
          <w:rPr>
            <w:rStyle w:val="Lienhypertexte"/>
            <w:rFonts w:ascii="Arial" w:hAnsi="Arial" w:cs="Arial"/>
            <w:color w:val="1155CC"/>
          </w:rPr>
          <w:t>CWE</w:t>
        </w:r>
      </w:hyperlink>
      <w:r>
        <w:rPr>
          <w:rFonts w:ascii="Arial" w:hAnsi="Arial" w:cs="Arial"/>
          <w:color w:val="000000"/>
        </w:rPr>
        <w:t xml:space="preserve"> et de l’OWASP (</w:t>
      </w:r>
      <w:hyperlink w:tooltip="https://owasp.org/www-project-top-ten/" w:history="1" r:id="rId117">
        <w:r>
          <w:rPr>
            <w:rStyle w:val="Lienhypertexte"/>
            <w:rFonts w:ascii="Arial" w:hAnsi="Arial" w:cs="Arial"/>
            <w:color w:val="1155CC"/>
          </w:rPr>
          <w:t xml:space="preserve">Top </w:t>
        </w:r>
        <w:proofErr w:type="spellStart"/>
        <w:r>
          <w:rPr>
            <w:rStyle w:val="Lienhypertexte"/>
            <w:rFonts w:ascii="Arial" w:hAnsi="Arial" w:cs="Arial"/>
            <w:color w:val="1155CC"/>
          </w:rPr>
          <w:t>Ten</w:t>
        </w:r>
        <w:proofErr w:type="spellEnd"/>
      </w:hyperlink>
      <w:r>
        <w:rPr>
          <w:rFonts w:ascii="Arial" w:hAnsi="Arial" w:cs="Arial"/>
          <w:color w:val="000000"/>
        </w:rPr>
        <w:t>). </w:t>
      </w:r>
    </w:p>
    <w:p w:rsidR="006E6D7A" w:rsidRDefault="00B16C64" w14:paraId="67157B2B" w14:textId="77777777">
      <w:pPr>
        <w:pStyle w:val="Titre2"/>
      </w:pPr>
      <w:bookmarkStart w:name="_Annexe_Plan_de" w:id="194"/>
      <w:bookmarkStart w:name="_Toc221095608" w:id="195"/>
      <w:bookmarkEnd w:id="194"/>
      <w:r>
        <w:t>Exemple de Plan de MEP Simulation PAIE</w:t>
      </w:r>
      <w:bookmarkEnd w:id="195"/>
    </w:p>
    <w:p w:rsidR="006E6D7A" w:rsidRDefault="00B16C64" w14:paraId="67157B2C" w14:textId="77777777">
      <w:proofErr w:type="spellStart"/>
      <w:r>
        <w:rPr>
          <w:rFonts w:ascii="Arial" w:hAnsi="Arial" w:cs="Arial"/>
          <w:color w:val="000000"/>
        </w:rPr>
        <w:t>SonarQube</w:t>
      </w:r>
      <w:proofErr w:type="spellEnd"/>
      <w:r>
        <w:rPr>
          <w:rFonts w:ascii="Arial" w:hAnsi="Arial" w:cs="Arial"/>
          <w:color w:val="000000"/>
        </w:rPr>
        <w:t xml:space="preserve"> supporte les langages Java, Javascript, </w:t>
      </w:r>
      <w:proofErr w:type="spellStart"/>
      <w:r>
        <w:rPr>
          <w:rFonts w:ascii="Arial" w:hAnsi="Arial" w:cs="Arial"/>
          <w:color w:val="000000"/>
        </w:rPr>
        <w:t>Typescript</w:t>
      </w:r>
      <w:proofErr w:type="spellEnd"/>
      <w:r>
        <w:rPr>
          <w:rFonts w:ascii="Arial" w:hAnsi="Arial" w:cs="Arial"/>
          <w:color w:val="000000"/>
        </w:rPr>
        <w:t>, Python et PHP (entre autres), et fournit un ensemble de règles</w:t>
      </w:r>
    </w:p>
    <w:p w:rsidR="006E6D7A" w:rsidRDefault="00B16C64" w14:paraId="67157B2D" w14:textId="77777777">
      <w:pPr>
        <w:pStyle w:val="Titre3"/>
        <w:numPr>
          <w:ilvl w:val="3"/>
          <w:numId w:val="3"/>
        </w:numPr>
      </w:pPr>
      <w:bookmarkStart w:name="_Toc221095609" w:id="196"/>
      <w:r>
        <w:t>But du document</w:t>
      </w:r>
      <w:bookmarkEnd w:id="196"/>
    </w:p>
    <w:p w:rsidR="006E6D7A" w:rsidRDefault="00B16C64" w14:paraId="67157B2E" w14:textId="77777777">
      <w:pPr>
        <w:pStyle w:val="NormalWeb"/>
        <w:spacing w:beforeAutospacing="0" w:after="0" w:afterAutospacing="0"/>
      </w:pPr>
      <w:r>
        <w:rPr>
          <w:rFonts w:ascii="Arial" w:hAnsi="Arial" w:cs="Arial"/>
          <w:color w:val="000000"/>
        </w:rPr>
        <w:t xml:space="preserve">Ce document décrit pas à pas la procédure de mise en production de SIMPAIE </w:t>
      </w:r>
      <w:r>
        <w:rPr>
          <w:rFonts w:ascii="Arial" w:hAnsi="Arial" w:cs="Arial"/>
          <w:b/>
          <w:bCs/>
          <w:color w:val="000000"/>
        </w:rPr>
        <w:t>V1</w:t>
      </w:r>
      <w:r>
        <w:rPr>
          <w:rFonts w:ascii="Arial" w:hAnsi="Arial" w:cs="Arial"/>
          <w:color w:val="000000"/>
        </w:rPr>
        <w:t> </w:t>
      </w:r>
    </w:p>
    <w:p w:rsidR="006E6D7A" w:rsidRDefault="00B16C64" w14:paraId="67157B2F" w14:textId="77777777">
      <w:pPr>
        <w:pStyle w:val="NormalWeb"/>
        <w:spacing w:beforeAutospacing="0" w:after="0" w:afterAutospacing="0"/>
      </w:pPr>
      <w:r>
        <w:rPr>
          <w:rFonts w:ascii="Arial" w:hAnsi="Arial" w:cs="Arial"/>
          <w:color w:val="000000"/>
        </w:rPr>
        <w:t>Cette procédure est à destination d’un ou des exploitants.</w:t>
      </w:r>
    </w:p>
    <w:p w:rsidR="006E6D7A" w:rsidRDefault="006E6D7A" w14:paraId="67157B30" w14:textId="77777777"/>
    <w:p w:rsidR="006E6D7A" w:rsidRDefault="00B16C64" w14:paraId="67157B31" w14:textId="77777777">
      <w:pPr>
        <w:pStyle w:val="Titre3"/>
        <w:numPr>
          <w:ilvl w:val="3"/>
          <w:numId w:val="3"/>
        </w:numPr>
      </w:pPr>
      <w:bookmarkStart w:name="_Toc221095610" w:id="197"/>
      <w:r>
        <w:t>Release note</w:t>
      </w:r>
      <w:bookmarkEnd w:id="197"/>
      <w:r>
        <w:t> </w:t>
      </w:r>
    </w:p>
    <w:p w:rsidR="006E6D7A" w:rsidRDefault="00B16C64" w14:paraId="67157B32" w14:textId="77777777">
      <w:pPr>
        <w:pStyle w:val="NormalWeb"/>
        <w:spacing w:beforeAutospacing="0" w:after="0" w:afterAutospacing="0"/>
      </w:pPr>
      <w:r>
        <w:rPr>
          <w:rFonts w:ascii="Arial" w:hAnsi="Arial" w:cs="Arial"/>
          <w:color w:val="000000"/>
        </w:rPr>
        <w:t xml:space="preserve">La release note est disponible </w:t>
      </w:r>
      <w:hyperlink w:tooltip="https://docs.google.com/document/d/1hsHigicWsVOMMWYYCAVvamBOp9yRkW3crfXvP6TInEo/edit?tab=t.0" w:history="1" r:id="rId118">
        <w:r>
          <w:rPr>
            <w:rStyle w:val="Lienhypertexte"/>
            <w:rFonts w:ascii="Arial" w:hAnsi="Arial" w:cs="Arial"/>
            <w:color w:val="1155CC"/>
          </w:rPr>
          <w:t>ICI</w:t>
        </w:r>
      </w:hyperlink>
      <w:r>
        <w:rPr>
          <w:rFonts w:ascii="Arial" w:hAnsi="Arial" w:cs="Arial"/>
          <w:color w:val="000000"/>
        </w:rPr>
        <w:t>. </w:t>
      </w:r>
    </w:p>
    <w:p w:rsidR="006E6D7A" w:rsidRDefault="006E6D7A" w14:paraId="67157B33" w14:textId="77777777"/>
    <w:p w:rsidR="006E6D7A" w:rsidRDefault="00B16C64" w14:paraId="67157B34" w14:textId="77777777">
      <w:pPr>
        <w:pStyle w:val="Titre3"/>
        <w:numPr>
          <w:ilvl w:val="3"/>
          <w:numId w:val="3"/>
        </w:numPr>
      </w:pPr>
      <w:bookmarkStart w:name="_Toc221095611" w:id="198"/>
      <w:proofErr w:type="spellStart"/>
      <w:r>
        <w:t>Pré-requis</w:t>
      </w:r>
      <w:bookmarkEnd w:id="198"/>
      <w:proofErr w:type="spellEnd"/>
    </w:p>
    <w:p w:rsidR="006E6D7A" w:rsidRDefault="006E6D7A" w14:paraId="67157B35" w14:textId="77777777"/>
    <w:tbl>
      <w:tblPr>
        <w:tblW w:w="0" w:type="auto"/>
        <w:tblCellMar>
          <w:top w:w="15" w:type="dxa"/>
          <w:left w:w="15" w:type="dxa"/>
          <w:bottom w:w="15" w:type="dxa"/>
          <w:right w:w="15" w:type="dxa"/>
        </w:tblCellMar>
        <w:tblLook w:val="04A0" w:firstRow="1" w:lastRow="0" w:firstColumn="1" w:lastColumn="0" w:noHBand="0" w:noVBand="1"/>
      </w:tblPr>
      <w:tblGrid>
        <w:gridCol w:w="1324"/>
        <w:gridCol w:w="2493"/>
        <w:gridCol w:w="1534"/>
        <w:gridCol w:w="4267"/>
      </w:tblGrid>
      <w:tr w:rsidR="006E6D7A" w14:paraId="67157B3A" w14:textId="77777777">
        <w:tc>
          <w:tcPr>
            <w:tcW w:w="0" w:type="auto"/>
            <w:tcBorders>
              <w:top w:val="single" w:color="000000" w:sz="8" w:space="0"/>
              <w:left w:val="single" w:color="000000" w:sz="8" w:space="0"/>
              <w:bottom w:val="single" w:color="000000" w:sz="8" w:space="0"/>
              <w:right w:val="single" w:color="000000" w:sz="8" w:space="0"/>
            </w:tcBorders>
            <w:shd w:val="clear" w:color="auto" w:fill="C9DAF8"/>
            <w:tcMar>
              <w:top w:w="100" w:type="dxa"/>
              <w:left w:w="100" w:type="dxa"/>
              <w:bottom w:w="100" w:type="dxa"/>
              <w:right w:w="100" w:type="dxa"/>
            </w:tcMar>
          </w:tcPr>
          <w:p w:rsidR="006E6D7A" w:rsidRDefault="00B16C64" w14:paraId="67157B36" w14:textId="77777777">
            <w:pPr>
              <w:pStyle w:val="NormalWeb"/>
              <w:spacing w:beforeAutospacing="0" w:after="0" w:afterAutospacing="0"/>
            </w:pPr>
            <w:r>
              <w:rPr>
                <w:rFonts w:ascii="Arial" w:hAnsi="Arial" w:cs="Arial"/>
                <w:b/>
                <w:bCs/>
                <w:color w:val="000000"/>
              </w:rPr>
              <w:t>Mode / protocole</w:t>
            </w:r>
          </w:p>
        </w:tc>
        <w:tc>
          <w:tcPr>
            <w:tcW w:w="0" w:type="auto"/>
            <w:tcBorders>
              <w:top w:val="single" w:color="000000" w:sz="8" w:space="0"/>
              <w:left w:val="single" w:color="000000" w:sz="8" w:space="0"/>
              <w:bottom w:val="single" w:color="000000" w:sz="8" w:space="0"/>
              <w:right w:val="single" w:color="000000" w:sz="8" w:space="0"/>
            </w:tcBorders>
            <w:shd w:val="clear" w:color="auto" w:fill="C9DAF8"/>
            <w:tcMar>
              <w:top w:w="100" w:type="dxa"/>
              <w:left w:w="100" w:type="dxa"/>
              <w:bottom w:w="100" w:type="dxa"/>
              <w:right w:w="100" w:type="dxa"/>
            </w:tcMar>
          </w:tcPr>
          <w:p w:rsidR="006E6D7A" w:rsidRDefault="00B16C64" w14:paraId="67157B37" w14:textId="77777777">
            <w:pPr>
              <w:pStyle w:val="NormalWeb"/>
              <w:spacing w:beforeAutospacing="0" w:after="0" w:afterAutospacing="0"/>
            </w:pPr>
            <w:r>
              <w:rPr>
                <w:rFonts w:ascii="Arial" w:hAnsi="Arial" w:cs="Arial"/>
                <w:b/>
                <w:bCs/>
                <w:color w:val="000000"/>
              </w:rPr>
              <w:t>Url</w:t>
            </w:r>
          </w:p>
        </w:tc>
        <w:tc>
          <w:tcPr>
            <w:tcW w:w="0" w:type="auto"/>
            <w:tcBorders>
              <w:top w:val="single" w:color="000000" w:sz="8" w:space="0"/>
              <w:left w:val="single" w:color="000000" w:sz="8" w:space="0"/>
              <w:bottom w:val="single" w:color="000000" w:sz="8" w:space="0"/>
              <w:right w:val="single" w:color="000000" w:sz="8" w:space="0"/>
            </w:tcBorders>
            <w:shd w:val="clear" w:color="auto" w:fill="C9DAF8"/>
            <w:tcMar>
              <w:top w:w="100" w:type="dxa"/>
              <w:left w:w="100" w:type="dxa"/>
              <w:bottom w:w="100" w:type="dxa"/>
              <w:right w:w="100" w:type="dxa"/>
            </w:tcMar>
          </w:tcPr>
          <w:p w:rsidR="006E6D7A" w:rsidRDefault="00B16C64" w14:paraId="67157B38" w14:textId="77777777">
            <w:pPr>
              <w:pStyle w:val="NormalWeb"/>
              <w:spacing w:beforeAutospacing="0" w:after="0" w:afterAutospacing="0"/>
            </w:pPr>
            <w:proofErr w:type="spellStart"/>
            <w:r>
              <w:rPr>
                <w:rFonts w:ascii="Arial" w:hAnsi="Arial" w:cs="Arial"/>
                <w:b/>
                <w:bCs/>
                <w:color w:val="000000"/>
              </w:rPr>
              <w:t>Credentials</w:t>
            </w:r>
            <w:proofErr w:type="spellEnd"/>
          </w:p>
        </w:tc>
        <w:tc>
          <w:tcPr>
            <w:tcW w:w="0" w:type="auto"/>
            <w:tcBorders>
              <w:top w:val="single" w:color="000000" w:sz="8" w:space="0"/>
              <w:left w:val="single" w:color="000000" w:sz="8" w:space="0"/>
              <w:bottom w:val="single" w:color="000000" w:sz="8" w:space="0"/>
              <w:right w:val="single" w:color="000000" w:sz="8" w:space="0"/>
            </w:tcBorders>
            <w:shd w:val="clear" w:color="auto" w:fill="C9DAF8"/>
            <w:tcMar>
              <w:top w:w="100" w:type="dxa"/>
              <w:left w:w="100" w:type="dxa"/>
              <w:bottom w:w="100" w:type="dxa"/>
              <w:right w:w="100" w:type="dxa"/>
            </w:tcMar>
          </w:tcPr>
          <w:p w:rsidR="006E6D7A" w:rsidRDefault="00B16C64" w14:paraId="67157B39" w14:textId="77777777">
            <w:pPr>
              <w:pStyle w:val="NormalWeb"/>
              <w:spacing w:beforeAutospacing="0" w:after="0" w:afterAutospacing="0"/>
            </w:pPr>
            <w:r>
              <w:rPr>
                <w:rFonts w:ascii="Arial" w:hAnsi="Arial" w:cs="Arial"/>
                <w:b/>
                <w:bCs/>
                <w:color w:val="000000"/>
              </w:rPr>
              <w:t>Résultat attendu</w:t>
            </w:r>
          </w:p>
        </w:tc>
      </w:tr>
      <w:tr w:rsidR="006E6D7A" w14:paraId="67157B40"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3B" w14:textId="77777777">
            <w:pPr>
              <w:pStyle w:val="NormalWeb"/>
              <w:spacing w:beforeAutospacing="0" w:after="0" w:afterAutospacing="0"/>
            </w:pPr>
            <w:proofErr w:type="gramStart"/>
            <w:r>
              <w:rPr>
                <w:rFonts w:ascii="Arial" w:hAnsi="Arial" w:cs="Arial"/>
                <w:color w:val="000000"/>
              </w:rPr>
              <w:t>terminal</w:t>
            </w:r>
            <w:proofErr w:type="gramEnd"/>
            <w:r>
              <w:rPr>
                <w:rFonts w:ascii="Arial" w:hAnsi="Arial" w:cs="Arial"/>
                <w:color w:val="000000"/>
              </w:rPr>
              <w:t xml:space="preserve"> / </w:t>
            </w:r>
            <w:proofErr w:type="spellStart"/>
            <w:r>
              <w:rPr>
                <w:rFonts w:ascii="Arial" w:hAnsi="Arial" w:cs="Arial"/>
                <w:color w:val="000000"/>
              </w:rPr>
              <w:t>ssh</w:t>
            </w:r>
            <w:proofErr w:type="spellEnd"/>
          </w:p>
          <w:p w:rsidR="006E6D7A" w:rsidRDefault="00B16C64" w14:paraId="67157B3C" w14:textId="77777777">
            <w:pPr>
              <w:pStyle w:val="NormalWeb"/>
              <w:spacing w:beforeAutospacing="0" w:after="0" w:afterAutospacing="0"/>
            </w:pPr>
            <w:proofErr w:type="gramStart"/>
            <w:r>
              <w:rPr>
                <w:rFonts w:ascii="Arial" w:hAnsi="Arial" w:cs="Arial"/>
                <w:color w:val="000000"/>
              </w:rPr>
              <w:t>production</w:t>
            </w:r>
            <w:proofErr w:type="gramEnd"/>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3D" w14:textId="77777777">
            <w:pPr>
              <w:pStyle w:val="NormalWeb"/>
              <w:spacing w:beforeAutospacing="0" w:after="0" w:afterAutospacing="0"/>
            </w:pPr>
            <w:r>
              <w:rPr>
                <w:rFonts w:ascii="Arial" w:hAnsi="Arial" w:cs="Arial"/>
                <w:color w:val="000000"/>
              </w:rPr>
              <w:t>vmi-prod-822.dcidf.inrae.fr</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3E" w14:textId="77777777">
            <w:pPr>
              <w:pStyle w:val="NormalWeb"/>
              <w:spacing w:beforeAutospacing="0" w:after="0" w:afterAutospacing="0"/>
            </w:pPr>
            <w:r>
              <w:rPr>
                <w:rFonts w:ascii="Arial" w:hAnsi="Arial" w:cs="Arial"/>
                <w:color w:val="000000"/>
              </w:rPr>
              <w:t>Clef RSA de l’exploitant</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3F" w14:textId="77777777">
            <w:pPr>
              <w:pStyle w:val="NormalWeb"/>
              <w:spacing w:beforeAutospacing="0" w:after="0" w:afterAutospacing="0"/>
            </w:pPr>
            <w:r>
              <w:rPr>
                <w:rFonts w:ascii="Arial" w:hAnsi="Arial" w:cs="Arial"/>
                <w:color w:val="000000"/>
              </w:rPr>
              <w:t>Vous voyez le message ‘Bienvenue sur le serveur vmi-prod-822’ dans le terminal</w:t>
            </w:r>
          </w:p>
        </w:tc>
      </w:tr>
      <w:tr w:rsidR="006E6D7A" w14:paraId="67157B45"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41" w14:textId="77777777">
            <w:pPr>
              <w:pStyle w:val="NormalWeb"/>
              <w:spacing w:beforeAutospacing="0" w:after="0" w:afterAutospacing="0"/>
            </w:pPr>
            <w:proofErr w:type="gramStart"/>
            <w:r>
              <w:rPr>
                <w:rFonts w:ascii="Arial" w:hAnsi="Arial" w:cs="Arial"/>
                <w:color w:val="000000"/>
              </w:rPr>
              <w:t>navigateur</w:t>
            </w:r>
            <w:proofErr w:type="gramEnd"/>
            <w:r>
              <w:rPr>
                <w:rFonts w:ascii="Arial" w:hAnsi="Arial" w:cs="Arial"/>
                <w:color w:val="000000"/>
              </w:rPr>
              <w:t xml:space="preserve"> / https</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000000" w14:paraId="67157B42" w14:textId="77777777">
            <w:pPr>
              <w:pStyle w:val="NormalWeb"/>
              <w:spacing w:beforeAutospacing="0" w:after="0" w:afterAutospacing="0"/>
            </w:pPr>
            <w:hyperlink w:tooltip="https://forge-dsi.dcidf.inrae.fr/finance/playbook/-/jobs" w:history="1" r:id="rId119">
              <w:proofErr w:type="gramStart"/>
              <w:r w:rsidR="00B16C64">
                <w:rPr>
                  <w:rStyle w:val="Lienhypertexte"/>
                  <w:rFonts w:ascii="Arial" w:hAnsi="Arial" w:cs="Arial"/>
                  <w:color w:val="1155CC"/>
                </w:rPr>
                <w:t>accès</w:t>
              </w:r>
              <w:proofErr w:type="gramEnd"/>
              <w:r w:rsidR="00B16C64">
                <w:rPr>
                  <w:rStyle w:val="Lienhypertexte"/>
                  <w:rFonts w:ascii="Arial" w:hAnsi="Arial" w:cs="Arial"/>
                  <w:color w:val="1155CC"/>
                </w:rPr>
                <w:t xml:space="preserve"> forge projet </w:t>
              </w:r>
              <w:proofErr w:type="spellStart"/>
              <w:r w:rsidR="00B16C64">
                <w:rPr>
                  <w:rStyle w:val="Lienhypertexte"/>
                  <w:rFonts w:ascii="Arial" w:hAnsi="Arial" w:cs="Arial"/>
                  <w:color w:val="1155CC"/>
                </w:rPr>
                <w:t>playbook</w:t>
              </w:r>
              <w:proofErr w:type="spellEnd"/>
              <w:r w:rsidR="00B16C64">
                <w:rPr>
                  <w:rStyle w:val="Lienhypertexte"/>
                  <w:rFonts w:ascii="Arial" w:hAnsi="Arial" w:cs="Arial"/>
                  <w:color w:val="1155CC"/>
                </w:rPr>
                <w:t xml:space="preserve"> jobs</w:t>
              </w:r>
            </w:hyperlink>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43" w14:textId="77777777">
            <w:pPr>
              <w:pStyle w:val="NormalWeb"/>
              <w:spacing w:beforeAutospacing="0" w:after="0" w:afterAutospacing="0"/>
            </w:pPr>
            <w:proofErr w:type="gramStart"/>
            <w:r>
              <w:rPr>
                <w:rFonts w:ascii="Arial" w:hAnsi="Arial" w:cs="Arial"/>
                <w:color w:val="000000"/>
              </w:rPr>
              <w:t>login</w:t>
            </w:r>
            <w:proofErr w:type="gramEnd"/>
            <w:r>
              <w:rPr>
                <w:rFonts w:ascii="Arial" w:hAnsi="Arial" w:cs="Arial"/>
                <w:color w:val="000000"/>
              </w:rPr>
              <w:t xml:space="preserve"> / MDP</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44" w14:textId="77777777">
            <w:pPr>
              <w:pStyle w:val="NormalWeb"/>
              <w:spacing w:beforeAutospacing="0" w:after="0" w:afterAutospacing="0"/>
            </w:pPr>
            <w:r>
              <w:rPr>
                <w:rFonts w:ascii="Arial" w:hAnsi="Arial" w:cs="Arial"/>
                <w:color w:val="000000"/>
                <w:sz w:val="20"/>
                <w:szCs w:val="20"/>
              </w:rPr>
              <w:t xml:space="preserve">Via le navigateur, </w:t>
            </w:r>
            <w:proofErr w:type="gramStart"/>
            <w:r>
              <w:rPr>
                <w:rFonts w:ascii="Arial" w:hAnsi="Arial" w:cs="Arial"/>
                <w:color w:val="000000"/>
                <w:sz w:val="20"/>
                <w:szCs w:val="20"/>
              </w:rPr>
              <w:t>le jobs</w:t>
            </w:r>
            <w:proofErr w:type="gramEnd"/>
            <w:r>
              <w:rPr>
                <w:rFonts w:ascii="Arial" w:hAnsi="Arial" w:cs="Arial"/>
                <w:color w:val="000000"/>
                <w:sz w:val="20"/>
                <w:szCs w:val="20"/>
              </w:rPr>
              <w:t xml:space="preserve"> de déploiement du projet </w:t>
            </w:r>
            <w:proofErr w:type="spellStart"/>
            <w:r>
              <w:rPr>
                <w:rFonts w:ascii="Arial" w:hAnsi="Arial" w:cs="Arial"/>
                <w:color w:val="000000"/>
                <w:sz w:val="20"/>
                <w:szCs w:val="20"/>
              </w:rPr>
              <w:t>Playbook</w:t>
            </w:r>
            <w:proofErr w:type="spellEnd"/>
            <w:r>
              <w:rPr>
                <w:rFonts w:ascii="Arial" w:hAnsi="Arial" w:cs="Arial"/>
                <w:color w:val="000000"/>
                <w:sz w:val="20"/>
                <w:szCs w:val="20"/>
              </w:rPr>
              <w:t xml:space="preserve"> finances s’affiche</w:t>
            </w:r>
          </w:p>
        </w:tc>
      </w:tr>
      <w:tr w:rsidR="006E6D7A" w14:paraId="67157B4A"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46" w14:textId="77777777">
            <w:pPr>
              <w:pStyle w:val="NormalWeb"/>
              <w:spacing w:beforeAutospacing="0" w:after="0" w:afterAutospacing="0"/>
            </w:pPr>
            <w:proofErr w:type="gramStart"/>
            <w:r>
              <w:rPr>
                <w:rFonts w:ascii="Arial" w:hAnsi="Arial" w:cs="Arial"/>
                <w:color w:val="000000"/>
              </w:rPr>
              <w:lastRenderedPageBreak/>
              <w:t>navigateur</w:t>
            </w:r>
            <w:proofErr w:type="gramEnd"/>
            <w:r>
              <w:rPr>
                <w:rFonts w:ascii="Arial" w:hAnsi="Arial" w:cs="Arial"/>
                <w:color w:val="000000"/>
              </w:rPr>
              <w:t xml:space="preserve"> / https</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000000" w14:paraId="67157B47" w14:textId="77777777">
            <w:pPr>
              <w:pStyle w:val="NormalWeb"/>
              <w:spacing w:beforeAutospacing="0" w:after="0" w:afterAutospacing="0"/>
            </w:pPr>
            <w:hyperlink w:tooltip="https://forge-dsi.dcidf.inrae.fr/finance/simulation-paie/-/pipelines" w:history="1" r:id="rId120">
              <w:proofErr w:type="gramStart"/>
              <w:r w:rsidR="00B16C64">
                <w:rPr>
                  <w:rStyle w:val="Lienhypertexte"/>
                  <w:rFonts w:ascii="Arial" w:hAnsi="Arial" w:cs="Arial"/>
                  <w:color w:val="1155CC"/>
                </w:rPr>
                <w:t>accès</w:t>
              </w:r>
              <w:proofErr w:type="gramEnd"/>
              <w:r w:rsidR="00B16C64">
                <w:rPr>
                  <w:rStyle w:val="Lienhypertexte"/>
                  <w:rFonts w:ascii="Arial" w:hAnsi="Arial" w:cs="Arial"/>
                  <w:color w:val="1155CC"/>
                </w:rPr>
                <w:t xml:space="preserve"> forge projet finances pipelines</w:t>
              </w:r>
            </w:hyperlink>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48" w14:textId="77777777">
            <w:pPr>
              <w:pStyle w:val="NormalWeb"/>
              <w:spacing w:beforeAutospacing="0" w:after="0" w:afterAutospacing="0"/>
            </w:pPr>
            <w:proofErr w:type="gramStart"/>
            <w:r>
              <w:rPr>
                <w:rFonts w:ascii="Arial" w:hAnsi="Arial" w:cs="Arial"/>
                <w:color w:val="000000"/>
              </w:rPr>
              <w:t>login</w:t>
            </w:r>
            <w:proofErr w:type="gramEnd"/>
            <w:r>
              <w:rPr>
                <w:rFonts w:ascii="Arial" w:hAnsi="Arial" w:cs="Arial"/>
                <w:color w:val="000000"/>
              </w:rPr>
              <w:t xml:space="preserve"> / MDP</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49" w14:textId="77777777">
            <w:pPr>
              <w:pStyle w:val="NormalWeb"/>
              <w:spacing w:beforeAutospacing="0" w:after="0" w:afterAutospacing="0"/>
            </w:pPr>
            <w:r>
              <w:rPr>
                <w:rFonts w:ascii="Arial" w:hAnsi="Arial" w:cs="Arial"/>
                <w:color w:val="000000"/>
                <w:sz w:val="20"/>
                <w:szCs w:val="20"/>
              </w:rPr>
              <w:t xml:space="preserve">Via le </w:t>
            </w:r>
            <w:proofErr w:type="gramStart"/>
            <w:r>
              <w:rPr>
                <w:rFonts w:ascii="Arial" w:hAnsi="Arial" w:cs="Arial"/>
                <w:color w:val="000000"/>
                <w:sz w:val="20"/>
                <w:szCs w:val="20"/>
              </w:rPr>
              <w:t>navigateur,  les</w:t>
            </w:r>
            <w:proofErr w:type="gramEnd"/>
            <w:r>
              <w:rPr>
                <w:rFonts w:ascii="Arial" w:hAnsi="Arial" w:cs="Arial"/>
                <w:color w:val="000000"/>
                <w:sz w:val="20"/>
                <w:szCs w:val="20"/>
              </w:rPr>
              <w:t xml:space="preserve"> pipelines du projet  simulation paie s’affiche</w:t>
            </w:r>
          </w:p>
        </w:tc>
      </w:tr>
    </w:tbl>
    <w:p w:rsidR="006E6D7A" w:rsidRDefault="006E6D7A" w14:paraId="67157B4B" w14:textId="77777777">
      <w:pPr>
        <w:spacing w:after="240"/>
      </w:pPr>
    </w:p>
    <w:p w:rsidR="006E6D7A" w:rsidRDefault="00B16C64" w14:paraId="67157B4C" w14:textId="77777777">
      <w:pPr>
        <w:pStyle w:val="Titre3"/>
        <w:numPr>
          <w:ilvl w:val="3"/>
          <w:numId w:val="3"/>
        </w:numPr>
      </w:pPr>
      <w:bookmarkStart w:name="_Toc221095612" w:id="199"/>
      <w:r>
        <w:t>Version des livrables à mettre en production</w:t>
      </w:r>
      <w:bookmarkEnd w:id="199"/>
    </w:p>
    <w:p w:rsidR="006E6D7A" w:rsidRDefault="006E6D7A" w14:paraId="67157B4D" w14:textId="77777777"/>
    <w:tbl>
      <w:tblPr>
        <w:tblW w:w="0" w:type="auto"/>
        <w:tblCellMar>
          <w:top w:w="15" w:type="dxa"/>
          <w:left w:w="15" w:type="dxa"/>
          <w:bottom w:w="15" w:type="dxa"/>
          <w:right w:w="15" w:type="dxa"/>
        </w:tblCellMar>
        <w:tblLook w:val="04A0" w:firstRow="1" w:lastRow="0" w:firstColumn="1" w:lastColumn="0" w:noHBand="0" w:noVBand="1"/>
      </w:tblPr>
      <w:tblGrid>
        <w:gridCol w:w="1968"/>
        <w:gridCol w:w="1007"/>
      </w:tblGrid>
      <w:tr w:rsidR="006E6D7A" w14:paraId="67157B50" w14:textId="77777777">
        <w:tc>
          <w:tcPr>
            <w:tcW w:w="0" w:type="auto"/>
            <w:tcBorders>
              <w:top w:val="single" w:color="000000" w:sz="8" w:space="0"/>
              <w:left w:val="single" w:color="000000" w:sz="8" w:space="0"/>
              <w:bottom w:val="single" w:color="000000" w:sz="8" w:space="0"/>
              <w:right w:val="single" w:color="000000" w:sz="8" w:space="0"/>
            </w:tcBorders>
            <w:shd w:val="clear" w:color="auto" w:fill="D9D9D9"/>
            <w:tcMar>
              <w:top w:w="100" w:type="dxa"/>
              <w:left w:w="100" w:type="dxa"/>
              <w:bottom w:w="100" w:type="dxa"/>
              <w:right w:w="100" w:type="dxa"/>
            </w:tcMar>
          </w:tcPr>
          <w:p w:rsidR="006E6D7A" w:rsidRDefault="00B16C64" w14:paraId="67157B4E" w14:textId="77777777">
            <w:pPr>
              <w:pStyle w:val="NormalWeb"/>
              <w:spacing w:beforeAutospacing="0" w:after="0" w:afterAutospacing="0"/>
            </w:pPr>
            <w:r>
              <w:rPr>
                <w:rFonts w:ascii="Arial" w:hAnsi="Arial" w:cs="Arial"/>
                <w:b/>
                <w:bCs/>
                <w:color w:val="000000"/>
              </w:rPr>
              <w:t>Composant</w:t>
            </w:r>
          </w:p>
        </w:tc>
        <w:tc>
          <w:tcPr>
            <w:tcW w:w="0" w:type="auto"/>
            <w:tcBorders>
              <w:top w:val="single" w:color="000000" w:sz="8" w:space="0"/>
              <w:left w:val="single" w:color="000000" w:sz="8" w:space="0"/>
              <w:bottom w:val="single" w:color="000000" w:sz="8" w:space="0"/>
              <w:right w:val="single" w:color="000000" w:sz="8" w:space="0"/>
            </w:tcBorders>
            <w:shd w:val="clear" w:color="auto" w:fill="D9D9D9"/>
            <w:tcMar>
              <w:top w:w="100" w:type="dxa"/>
              <w:left w:w="100" w:type="dxa"/>
              <w:bottom w:w="100" w:type="dxa"/>
              <w:right w:w="100" w:type="dxa"/>
            </w:tcMar>
          </w:tcPr>
          <w:p w:rsidR="006E6D7A" w:rsidRDefault="00B16C64" w14:paraId="67157B4F" w14:textId="77777777">
            <w:pPr>
              <w:pStyle w:val="NormalWeb"/>
              <w:spacing w:beforeAutospacing="0" w:after="0" w:afterAutospacing="0"/>
            </w:pPr>
            <w:r>
              <w:rPr>
                <w:rFonts w:ascii="Arial" w:hAnsi="Arial" w:cs="Arial"/>
                <w:b/>
                <w:bCs/>
                <w:color w:val="000000"/>
              </w:rPr>
              <w:t>Version</w:t>
            </w:r>
          </w:p>
        </w:tc>
      </w:tr>
      <w:tr w:rsidR="006E6D7A" w14:paraId="67157B53"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51" w14:textId="77777777">
            <w:pPr>
              <w:pStyle w:val="NormalWeb"/>
              <w:spacing w:beforeAutospacing="0" w:after="0" w:afterAutospacing="0"/>
            </w:pPr>
            <w:r>
              <w:rPr>
                <w:rFonts w:ascii="Arial" w:hAnsi="Arial" w:cs="Arial"/>
                <w:b/>
                <w:bCs/>
                <w:color w:val="000000"/>
                <w:sz w:val="20"/>
                <w:szCs w:val="20"/>
                <w:shd w:val="clear" w:color="auto" w:fill="FFFFFF"/>
              </w:rPr>
              <w:t>simulation-paie.jar</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52" w14:textId="77777777">
            <w:pPr>
              <w:pStyle w:val="NormalWeb"/>
              <w:spacing w:beforeAutospacing="0" w:after="0" w:afterAutospacing="0"/>
            </w:pPr>
            <w:r>
              <w:rPr>
                <w:rFonts w:ascii="Arial" w:hAnsi="Arial" w:cs="Arial"/>
                <w:b/>
                <w:bCs/>
                <w:color w:val="000000"/>
                <w:shd w:val="clear" w:color="auto" w:fill="FFFFFF"/>
              </w:rPr>
              <w:t>1.0.0</w:t>
            </w:r>
          </w:p>
        </w:tc>
      </w:tr>
    </w:tbl>
    <w:p w:rsidR="006E6D7A" w:rsidRDefault="006E6D7A" w14:paraId="67157B54" w14:textId="77777777"/>
    <w:p w:rsidR="006E6D7A" w:rsidRDefault="00B16C64" w14:paraId="67157B55" w14:textId="77777777">
      <w:pPr>
        <w:pStyle w:val="Titre3"/>
        <w:numPr>
          <w:ilvl w:val="3"/>
          <w:numId w:val="3"/>
        </w:numPr>
      </w:pPr>
      <w:bookmarkStart w:name="_Toc221095613" w:id="200"/>
      <w:r>
        <w:t>Backup</w:t>
      </w:r>
      <w:bookmarkEnd w:id="200"/>
      <w:r>
        <w:t> </w:t>
      </w:r>
    </w:p>
    <w:p w:rsidR="006E6D7A" w:rsidRDefault="00B16C64" w14:paraId="67157B56" w14:textId="77777777">
      <w:pPr>
        <w:pStyle w:val="NormalWeb"/>
        <w:spacing w:beforeAutospacing="0" w:after="0" w:afterAutospacing="0"/>
      </w:pPr>
      <w:proofErr w:type="gramStart"/>
      <w:r>
        <w:rPr>
          <w:rFonts w:ascii="Arial" w:hAnsi="Arial" w:cs="Arial"/>
          <w:color w:val="000000"/>
        </w:rPr>
        <w:t>première</w:t>
      </w:r>
      <w:proofErr w:type="gramEnd"/>
      <w:r>
        <w:rPr>
          <w:rFonts w:ascii="Arial" w:hAnsi="Arial" w:cs="Arial"/>
          <w:color w:val="000000"/>
        </w:rPr>
        <w:t xml:space="preserve"> livraison via le </w:t>
      </w:r>
      <w:proofErr w:type="spellStart"/>
      <w:r>
        <w:rPr>
          <w:rFonts w:ascii="Arial" w:hAnsi="Arial" w:cs="Arial"/>
          <w:color w:val="000000"/>
        </w:rPr>
        <w:t>playbook</w:t>
      </w:r>
      <w:proofErr w:type="spellEnd"/>
      <w:r>
        <w:rPr>
          <w:rFonts w:ascii="Arial" w:hAnsi="Arial" w:cs="Arial"/>
          <w:color w:val="000000"/>
        </w:rPr>
        <w:t xml:space="preserve"> donc à faire dans les étapes un peu plus bas</w:t>
      </w:r>
    </w:p>
    <w:tbl>
      <w:tblPr>
        <w:tblW w:w="0" w:type="auto"/>
        <w:tblCellMar>
          <w:top w:w="15" w:type="dxa"/>
          <w:left w:w="15" w:type="dxa"/>
          <w:bottom w:w="15" w:type="dxa"/>
          <w:right w:w="15" w:type="dxa"/>
        </w:tblCellMar>
        <w:tblLook w:val="04A0" w:firstRow="1" w:lastRow="0" w:firstColumn="1" w:lastColumn="0" w:noHBand="0" w:noVBand="1"/>
      </w:tblPr>
      <w:tblGrid>
        <w:gridCol w:w="5350"/>
        <w:gridCol w:w="3062"/>
      </w:tblGrid>
      <w:tr w:rsidR="006E6D7A" w14:paraId="67157B59" w14:textId="77777777">
        <w:tc>
          <w:tcPr>
            <w:tcW w:w="0" w:type="auto"/>
            <w:tcBorders>
              <w:top w:val="single" w:color="000000" w:sz="8" w:space="0"/>
              <w:left w:val="single" w:color="000000" w:sz="8" w:space="0"/>
              <w:bottom w:val="single" w:color="000000" w:sz="8" w:space="0"/>
              <w:right w:val="single" w:color="000000" w:sz="8" w:space="0"/>
            </w:tcBorders>
            <w:shd w:val="clear" w:color="auto" w:fill="CFE2F3"/>
            <w:tcMar>
              <w:top w:w="100" w:type="dxa"/>
              <w:left w:w="100" w:type="dxa"/>
              <w:bottom w:w="100" w:type="dxa"/>
              <w:right w:w="100" w:type="dxa"/>
            </w:tcMar>
          </w:tcPr>
          <w:p w:rsidR="006E6D7A" w:rsidRDefault="00B16C64" w14:paraId="67157B57" w14:textId="77777777">
            <w:pPr>
              <w:pStyle w:val="NormalWeb"/>
              <w:spacing w:beforeAutospacing="0" w:after="0" w:afterAutospacing="0"/>
              <w:jc w:val="center"/>
            </w:pPr>
            <w:r>
              <w:rPr>
                <w:rFonts w:ascii="Arial" w:hAnsi="Arial" w:cs="Arial"/>
                <w:b/>
                <w:bCs/>
                <w:color w:val="000000"/>
              </w:rPr>
              <w:t>Dump</w:t>
            </w:r>
          </w:p>
        </w:tc>
        <w:tc>
          <w:tcPr>
            <w:tcW w:w="0" w:type="auto"/>
            <w:tcBorders>
              <w:top w:val="single" w:color="000000" w:sz="8" w:space="0"/>
              <w:left w:val="single" w:color="000000" w:sz="8" w:space="0"/>
              <w:bottom w:val="single" w:color="000000" w:sz="8" w:space="0"/>
              <w:right w:val="single" w:color="000000" w:sz="8" w:space="0"/>
            </w:tcBorders>
            <w:shd w:val="clear" w:color="auto" w:fill="CFE2F3"/>
            <w:tcMar>
              <w:top w:w="100" w:type="dxa"/>
              <w:left w:w="100" w:type="dxa"/>
              <w:bottom w:w="100" w:type="dxa"/>
              <w:right w:w="100" w:type="dxa"/>
            </w:tcMar>
          </w:tcPr>
          <w:p w:rsidR="006E6D7A" w:rsidRDefault="00B16C64" w14:paraId="67157B58" w14:textId="77777777">
            <w:pPr>
              <w:pStyle w:val="NormalWeb"/>
              <w:spacing w:beforeAutospacing="0" w:after="0" w:afterAutospacing="0"/>
              <w:jc w:val="center"/>
            </w:pPr>
            <w:r>
              <w:rPr>
                <w:rFonts w:ascii="Arial" w:hAnsi="Arial" w:cs="Arial"/>
                <w:b/>
                <w:bCs/>
                <w:color w:val="000000"/>
              </w:rPr>
              <w:t>Résultat</w:t>
            </w:r>
          </w:p>
        </w:tc>
      </w:tr>
      <w:tr w:rsidR="006E6D7A" w14:paraId="67157B5E" w14:textId="77777777">
        <w:tc>
          <w:tcPr>
            <w:tcW w:w="0" w:type="auto"/>
            <w:tcBorders>
              <w:top w:val="single" w:color="000000" w:sz="8" w:space="0"/>
              <w:left w:val="single" w:color="000000" w:sz="8" w:space="0"/>
              <w:bottom w:val="single" w:color="000000" w:sz="8" w:space="0"/>
              <w:right w:val="single" w:color="000000" w:sz="8" w:space="0"/>
            </w:tcBorders>
            <w:shd w:val="clear" w:color="auto" w:fill="F5F5F5"/>
            <w:tcMar>
              <w:top w:w="100" w:type="dxa"/>
              <w:left w:w="100" w:type="dxa"/>
              <w:bottom w:w="100" w:type="dxa"/>
              <w:right w:w="100" w:type="dxa"/>
            </w:tcMar>
          </w:tcPr>
          <w:p w:rsidR="006E6D7A" w:rsidRDefault="00B16C64" w14:paraId="67157B5A" w14:textId="77777777">
            <w:pPr>
              <w:pStyle w:val="NormalWeb"/>
              <w:spacing w:beforeAutospacing="0" w:after="0" w:afterAutospacing="0"/>
            </w:pPr>
            <w:r>
              <w:rPr>
                <w:rFonts w:ascii="Arial" w:hAnsi="Arial" w:cs="Arial"/>
                <w:color w:val="000000"/>
              </w:rPr>
              <w:t xml:space="preserve">Lancer le Job </w:t>
            </w:r>
            <w:proofErr w:type="spellStart"/>
            <w:r>
              <w:rPr>
                <w:rFonts w:ascii="Arial" w:hAnsi="Arial" w:cs="Arial"/>
                <w:color w:val="000000"/>
              </w:rPr>
              <w:t>Rundeck</w:t>
            </w:r>
            <w:proofErr w:type="spellEnd"/>
            <w:r>
              <w:rPr>
                <w:rFonts w:ascii="Arial" w:hAnsi="Arial" w:cs="Arial"/>
                <w:color w:val="000000"/>
              </w:rPr>
              <w:t xml:space="preserve"> </w:t>
            </w:r>
            <w:hyperlink w:tooltip="https://ordo-solapp.dsi.inrae.fr/project/Simulation_Paie/job/show/f7c0e397-f737-4265-8816-f955c073b9bc" w:history="1" r:id="rId121">
              <w:r>
                <w:rPr>
                  <w:rStyle w:val="Lienhypertexte"/>
                  <w:rFonts w:ascii="Arial" w:hAnsi="Arial" w:cs="Arial"/>
                  <w:color w:val="1155CC"/>
                </w:rPr>
                <w:t>DUMP PostgreSQL</w:t>
              </w:r>
            </w:hyperlink>
            <w:r>
              <w:rPr>
                <w:rFonts w:ascii="Arial" w:hAnsi="Arial" w:cs="Arial"/>
                <w:color w:val="1155CC"/>
                <w:u w:val="single"/>
              </w:rPr>
              <w:t> </w:t>
            </w:r>
          </w:p>
          <w:p w:rsidR="006E6D7A" w:rsidRDefault="006E6D7A" w14:paraId="67157B5B" w14:textId="77777777"/>
          <w:p w:rsidR="006E6D7A" w:rsidRDefault="00B16C64" w14:paraId="67157B5C" w14:textId="77777777">
            <w:pPr>
              <w:pStyle w:val="NormalWeb"/>
              <w:spacing w:beforeAutospacing="0" w:after="0" w:afterAutospacing="0"/>
            </w:pPr>
            <w:r>
              <w:rPr>
                <w:rFonts w:ascii="Arial" w:hAnsi="Arial" w:cs="Arial"/>
                <w:color w:val="000000"/>
              </w:rPr>
              <w:t xml:space="preserve">Le dump de la base </w:t>
            </w:r>
            <w:proofErr w:type="spellStart"/>
            <w:r>
              <w:rPr>
                <w:rFonts w:ascii="Arial" w:hAnsi="Arial" w:cs="Arial"/>
                <w:color w:val="000000"/>
              </w:rPr>
              <w:t>mongodb</w:t>
            </w:r>
            <w:proofErr w:type="spellEnd"/>
            <w:r>
              <w:rPr>
                <w:rFonts w:ascii="Arial" w:hAnsi="Arial" w:cs="Arial"/>
                <w:color w:val="000000"/>
              </w:rPr>
              <w:t xml:space="preserve"> et </w:t>
            </w:r>
            <w:proofErr w:type="spellStart"/>
            <w:r>
              <w:rPr>
                <w:rFonts w:ascii="Arial" w:hAnsi="Arial" w:cs="Arial"/>
                <w:color w:val="000000"/>
              </w:rPr>
              <w:t>postgresql</w:t>
            </w:r>
            <w:proofErr w:type="spellEnd"/>
            <w:r>
              <w:rPr>
                <w:rFonts w:ascii="Arial" w:hAnsi="Arial" w:cs="Arial"/>
                <w:color w:val="000000"/>
              </w:rPr>
              <w:t xml:space="preserve"> </w:t>
            </w:r>
            <w:proofErr w:type="spellStart"/>
            <w:r>
              <w:rPr>
                <w:rFonts w:ascii="Arial" w:hAnsi="Arial" w:cs="Arial"/>
                <w:color w:val="000000"/>
              </w:rPr>
              <w:t>padre</w:t>
            </w:r>
            <w:proofErr w:type="spellEnd"/>
            <w:r>
              <w:rPr>
                <w:rFonts w:ascii="Arial" w:hAnsi="Arial" w:cs="Arial"/>
                <w:color w:val="000000"/>
              </w:rPr>
              <w:t xml:space="preserve"> v5</w:t>
            </w:r>
          </w:p>
        </w:tc>
        <w:tc>
          <w:tcPr>
            <w:tcW w:w="0" w:type="auto"/>
            <w:tcBorders>
              <w:top w:val="single" w:color="000000" w:sz="8" w:space="0"/>
              <w:left w:val="single" w:color="000000" w:sz="8" w:space="0"/>
              <w:bottom w:val="single" w:color="000000" w:sz="8" w:space="0"/>
              <w:right w:val="single" w:color="000000" w:sz="8" w:space="0"/>
            </w:tcBorders>
            <w:shd w:val="clear" w:color="auto" w:fill="FFE599"/>
            <w:tcMar>
              <w:top w:w="100" w:type="dxa"/>
              <w:left w:w="100" w:type="dxa"/>
              <w:bottom w:w="100" w:type="dxa"/>
              <w:right w:w="100" w:type="dxa"/>
            </w:tcMar>
          </w:tcPr>
          <w:p w:rsidR="006E6D7A" w:rsidRDefault="00B16C64" w14:paraId="67157B5D" w14:textId="77777777">
            <w:pPr>
              <w:pStyle w:val="NormalWeb"/>
              <w:spacing w:beforeAutospacing="0" w:after="0" w:afterAutospacing="0"/>
              <w:jc w:val="center"/>
            </w:pPr>
            <w:r>
              <w:rPr>
                <w:rFonts w:ascii="Arial" w:hAnsi="Arial" w:cs="Arial"/>
                <w:color w:val="000000"/>
              </w:rPr>
              <w:t>Le job s’exécute avec succès</w:t>
            </w:r>
          </w:p>
        </w:tc>
      </w:tr>
    </w:tbl>
    <w:p w:rsidR="006E6D7A" w:rsidRDefault="006E6D7A" w14:paraId="67157B5F" w14:textId="77777777">
      <w:pPr>
        <w:spacing w:after="240"/>
      </w:pPr>
    </w:p>
    <w:p w:rsidR="006E6D7A" w:rsidRDefault="00B16C64" w14:paraId="67157B60" w14:textId="77777777">
      <w:pPr>
        <w:pStyle w:val="NormalWeb"/>
        <w:spacing w:beforeAutospacing="0" w:after="0" w:afterAutospacing="0"/>
      </w:pPr>
      <w:r>
        <w:rPr>
          <w:rFonts w:ascii="Arial" w:hAnsi="Arial" w:cs="Arial"/>
          <w:color w:val="000000"/>
          <w:sz w:val="40"/>
          <w:szCs w:val="40"/>
        </w:rPr>
        <w:t>Procédure de livraison en productio</w:t>
      </w:r>
      <w:r>
        <w:rPr>
          <w:rFonts w:ascii="Arial" w:hAnsi="Arial" w:cs="Arial"/>
          <w:color w:val="000000"/>
          <w:sz w:val="32"/>
          <w:szCs w:val="32"/>
        </w:rPr>
        <w:t>n</w:t>
      </w:r>
    </w:p>
    <w:p w:rsidR="006E6D7A" w:rsidRDefault="006E6D7A" w14:paraId="67157B61" w14:textId="77777777"/>
    <w:tbl>
      <w:tblPr>
        <w:tblW w:w="0" w:type="auto"/>
        <w:tblCellMar>
          <w:top w:w="15" w:type="dxa"/>
          <w:left w:w="15" w:type="dxa"/>
          <w:bottom w:w="15" w:type="dxa"/>
          <w:right w:w="15" w:type="dxa"/>
        </w:tblCellMar>
        <w:tblLook w:val="04A0" w:firstRow="1" w:lastRow="0" w:firstColumn="1" w:lastColumn="0" w:noHBand="0" w:noVBand="1"/>
      </w:tblPr>
      <w:tblGrid>
        <w:gridCol w:w="5693"/>
        <w:gridCol w:w="3925"/>
      </w:tblGrid>
      <w:tr w:rsidR="006E6D7A" w14:paraId="67157B64" w14:textId="77777777">
        <w:tc>
          <w:tcPr>
            <w:tcW w:w="0" w:type="auto"/>
            <w:tcBorders>
              <w:top w:val="single" w:color="000000" w:sz="8" w:space="0"/>
              <w:left w:val="single" w:color="000000" w:sz="8" w:space="0"/>
              <w:bottom w:val="single" w:color="000000" w:sz="8" w:space="0"/>
              <w:right w:val="single" w:color="000000" w:sz="8" w:space="0"/>
            </w:tcBorders>
            <w:shd w:val="clear" w:color="auto" w:fill="B7B7B7"/>
            <w:tcMar>
              <w:top w:w="100" w:type="dxa"/>
              <w:left w:w="100" w:type="dxa"/>
              <w:bottom w:w="100" w:type="dxa"/>
              <w:right w:w="100" w:type="dxa"/>
            </w:tcMar>
          </w:tcPr>
          <w:p w:rsidR="006E6D7A" w:rsidRDefault="00B16C64" w14:paraId="67157B62" w14:textId="77777777">
            <w:pPr>
              <w:pStyle w:val="NormalWeb"/>
              <w:spacing w:beforeAutospacing="0" w:after="0" w:afterAutospacing="0"/>
              <w:jc w:val="center"/>
            </w:pPr>
            <w:r>
              <w:rPr>
                <w:rFonts w:ascii="Arial" w:hAnsi="Arial" w:cs="Arial"/>
                <w:b/>
                <w:bCs/>
                <w:color w:val="000000"/>
              </w:rPr>
              <w:t>Acquisition</w:t>
            </w:r>
          </w:p>
        </w:tc>
        <w:tc>
          <w:tcPr>
            <w:tcW w:w="0" w:type="auto"/>
            <w:tcBorders>
              <w:top w:val="single" w:color="000000" w:sz="8" w:space="0"/>
              <w:left w:val="single" w:color="000000" w:sz="8" w:space="0"/>
              <w:bottom w:val="single" w:color="000000" w:sz="8" w:space="0"/>
              <w:right w:val="single" w:color="000000" w:sz="8" w:space="0"/>
            </w:tcBorders>
            <w:shd w:val="clear" w:color="auto" w:fill="B7B7B7"/>
            <w:tcMar>
              <w:top w:w="100" w:type="dxa"/>
              <w:left w:w="100" w:type="dxa"/>
              <w:bottom w:w="100" w:type="dxa"/>
              <w:right w:w="100" w:type="dxa"/>
            </w:tcMar>
          </w:tcPr>
          <w:p w:rsidR="006E6D7A" w:rsidRDefault="00B16C64" w14:paraId="67157B63" w14:textId="77777777">
            <w:pPr>
              <w:pStyle w:val="NormalWeb"/>
              <w:spacing w:beforeAutospacing="0" w:after="0" w:afterAutospacing="0"/>
              <w:jc w:val="center"/>
            </w:pPr>
            <w:r>
              <w:rPr>
                <w:rFonts w:ascii="Arial" w:hAnsi="Arial" w:cs="Arial"/>
                <w:b/>
                <w:bCs/>
                <w:color w:val="000000"/>
              </w:rPr>
              <w:t>Résultat</w:t>
            </w:r>
          </w:p>
        </w:tc>
      </w:tr>
      <w:tr w:rsidR="006E6D7A" w14:paraId="67157B68" w14:textId="77777777">
        <w:tc>
          <w:tcPr>
            <w:tcW w:w="0" w:type="auto"/>
            <w:tcBorders>
              <w:top w:val="single" w:color="000000" w:sz="8" w:space="0"/>
              <w:left w:val="single" w:color="000000" w:sz="8" w:space="0"/>
              <w:bottom w:val="single" w:color="000000" w:sz="8" w:space="0"/>
              <w:right w:val="single" w:color="000000" w:sz="8" w:space="0"/>
            </w:tcBorders>
            <w:shd w:val="clear" w:color="auto" w:fill="F5F5F5"/>
            <w:tcMar>
              <w:top w:w="100" w:type="dxa"/>
              <w:left w:w="100" w:type="dxa"/>
              <w:bottom w:w="100" w:type="dxa"/>
              <w:right w:w="100" w:type="dxa"/>
            </w:tcMar>
          </w:tcPr>
          <w:p w:rsidR="006E6D7A" w:rsidRDefault="00B16C64" w14:paraId="67157B65" w14:textId="77777777">
            <w:pPr>
              <w:pStyle w:val="NormalWeb"/>
              <w:spacing w:beforeAutospacing="0" w:after="0" w:afterAutospacing="0"/>
            </w:pPr>
            <w:r>
              <w:rPr>
                <w:rFonts w:ascii="Arial" w:hAnsi="Arial" w:cs="Arial"/>
                <w:color w:val="000000"/>
              </w:rPr>
              <w:t xml:space="preserve">Via un navigateur aller dans le </w:t>
            </w:r>
            <w:proofErr w:type="spellStart"/>
            <w:r>
              <w:rPr>
                <w:rFonts w:ascii="Arial" w:hAnsi="Arial" w:cs="Arial"/>
                <w:color w:val="000000"/>
              </w:rPr>
              <w:t>playbook</w:t>
            </w:r>
            <w:proofErr w:type="spellEnd"/>
            <w:r>
              <w:rPr>
                <w:rFonts w:ascii="Arial" w:hAnsi="Arial" w:cs="Arial"/>
                <w:color w:val="000000"/>
              </w:rPr>
              <w:t xml:space="preserve"> la </w:t>
            </w:r>
            <w:hyperlink w:tooltip="https://forge-dsi.dcidf.inrae.fr/finance/playbook/-/blob/master/inventories/group_vars/production/version.yml?ref_type=heads" w:history="1" r:id="rId122">
              <w:proofErr w:type="spellStart"/>
              <w:r>
                <w:rPr>
                  <w:rStyle w:val="Lienhypertexte"/>
                  <w:rFonts w:ascii="Arial" w:hAnsi="Arial" w:cs="Arial"/>
                  <w:color w:val="1155CC"/>
                </w:rPr>
                <w:t>version.yml</w:t>
              </w:r>
              <w:proofErr w:type="spellEnd"/>
              <w:r>
                <w:rPr>
                  <w:rStyle w:val="Lienhypertexte"/>
                  <w:rFonts w:ascii="Arial" w:hAnsi="Arial" w:cs="Arial"/>
                  <w:color w:val="1155CC"/>
                </w:rPr>
                <w:t xml:space="preserve"> </w:t>
              </w:r>
            </w:hyperlink>
            <w:r>
              <w:rPr>
                <w:rFonts w:ascii="Arial" w:hAnsi="Arial" w:cs="Arial"/>
                <w:color w:val="000000"/>
              </w:rPr>
              <w:t xml:space="preserve">en production vérifier la version c’est bien </w:t>
            </w:r>
            <w:r>
              <w:rPr>
                <w:rFonts w:ascii="Arial" w:hAnsi="Arial" w:cs="Arial"/>
                <w:color w:val="1C4587"/>
              </w:rPr>
              <w:t>1.0.0</w:t>
            </w:r>
          </w:p>
          <w:p w:rsidR="006E6D7A" w:rsidRDefault="006E6D7A" w14:paraId="67157B66" w14:textId="77777777"/>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B16C64" w14:paraId="67157B67" w14:textId="77777777">
            <w:pPr>
              <w:pStyle w:val="NormalWeb"/>
              <w:spacing w:beforeAutospacing="0" w:after="0" w:afterAutospacing="0"/>
              <w:jc w:val="center"/>
            </w:pPr>
            <w:r>
              <w:rPr>
                <w:rFonts w:ascii="Arial" w:hAnsi="Arial" w:cs="Arial"/>
                <w:color w:val="000000"/>
              </w:rPr>
              <w:t xml:space="preserve">On a bien la variable </w:t>
            </w:r>
            <w:r>
              <w:rPr>
                <w:rFonts w:ascii="Arial" w:hAnsi="Arial" w:cs="Arial"/>
                <w:color w:val="1C4587"/>
              </w:rPr>
              <w:t>SIMULATION_PAIE_APP_</w:t>
            </w:r>
            <w:proofErr w:type="gramStart"/>
            <w:r>
              <w:rPr>
                <w:rFonts w:ascii="Arial" w:hAnsi="Arial" w:cs="Arial"/>
                <w:color w:val="1C4587"/>
              </w:rPr>
              <w:t>VERSION:</w:t>
            </w:r>
            <w:proofErr w:type="gramEnd"/>
            <w:r>
              <w:rPr>
                <w:rFonts w:ascii="Arial" w:hAnsi="Arial" w:cs="Arial"/>
                <w:color w:val="1C4587"/>
              </w:rPr>
              <w:t xml:space="preserve"> "1.0.0"</w:t>
            </w:r>
          </w:p>
        </w:tc>
      </w:tr>
      <w:tr w:rsidR="006E6D7A" w14:paraId="67157B72" w14:textId="77777777">
        <w:tc>
          <w:tcPr>
            <w:tcW w:w="0" w:type="auto"/>
            <w:tcBorders>
              <w:top w:val="single" w:color="000000" w:sz="8" w:space="0"/>
              <w:left w:val="single" w:color="000000" w:sz="8" w:space="0"/>
              <w:bottom w:val="single" w:color="000000" w:sz="8" w:space="0"/>
              <w:right w:val="single" w:color="000000" w:sz="8" w:space="0"/>
            </w:tcBorders>
            <w:shd w:val="clear" w:color="auto" w:fill="F5F5F5"/>
            <w:tcMar>
              <w:top w:w="100" w:type="dxa"/>
              <w:left w:w="100" w:type="dxa"/>
              <w:bottom w:w="100" w:type="dxa"/>
              <w:right w:w="100" w:type="dxa"/>
            </w:tcMar>
          </w:tcPr>
          <w:p w:rsidR="006E6D7A" w:rsidRDefault="00B16C64" w14:paraId="67157B69" w14:textId="77777777">
            <w:pPr>
              <w:pStyle w:val="NormalWeb"/>
              <w:spacing w:beforeAutospacing="0" w:after="0" w:afterAutospacing="0"/>
            </w:pPr>
            <w:r>
              <w:rPr>
                <w:rFonts w:ascii="Arial" w:hAnsi="Arial" w:cs="Arial"/>
                <w:color w:val="000000"/>
              </w:rPr>
              <w:t xml:space="preserve">Lancer </w:t>
            </w:r>
            <w:proofErr w:type="gramStart"/>
            <w:r>
              <w:rPr>
                <w:rFonts w:ascii="Arial" w:hAnsi="Arial" w:cs="Arial"/>
                <w:color w:val="000000"/>
              </w:rPr>
              <w:t>la pipeline</w:t>
            </w:r>
            <w:proofErr w:type="gramEnd"/>
            <w:r>
              <w:rPr>
                <w:rFonts w:ascii="Arial" w:hAnsi="Arial" w:cs="Arial"/>
                <w:color w:val="000000"/>
              </w:rPr>
              <w:t xml:space="preserve"> :</w:t>
            </w:r>
          </w:p>
          <w:p w:rsidR="006E6D7A" w:rsidRDefault="00000000" w14:paraId="67157B6A" w14:textId="77777777">
            <w:pPr>
              <w:pStyle w:val="NormalWeb"/>
              <w:spacing w:beforeAutospacing="0" w:after="0" w:afterAutospacing="0"/>
            </w:pPr>
            <w:hyperlink w:tooltip="https://forge-dsi.dcidf.inrae.fr/finance/playbook/-/jobs" w:history="1" r:id="rId123">
              <w:r w:rsidR="00B16C64">
                <w:rPr>
                  <w:rStyle w:val="Lienhypertexte"/>
                  <w:rFonts w:ascii="Arial" w:hAnsi="Arial" w:cs="Arial"/>
                  <w:color w:val="1155CC"/>
                </w:rPr>
                <w:t>https://forge-dsi.dcidf.inrae.fr/finance/playbook/-/jobs</w:t>
              </w:r>
            </w:hyperlink>
          </w:p>
          <w:p w:rsidR="006E6D7A" w:rsidRDefault="00B16C64" w14:paraId="67157B6B" w14:textId="77777777">
            <w:pPr>
              <w:pStyle w:val="NormalWeb"/>
              <w:spacing w:beforeAutospacing="0" w:after="0" w:afterAutospacing="0"/>
            </w:pPr>
            <w:r>
              <w:rPr>
                <w:rFonts w:ascii="Arial" w:hAnsi="Arial" w:cs="Arial"/>
                <w:color w:val="000000"/>
              </w:rPr>
              <w:t>Avec en paramètre :</w:t>
            </w:r>
          </w:p>
          <w:p w:rsidR="006E6D7A" w:rsidRDefault="00B16C64" w14:paraId="67157B6C" w14:textId="77777777">
            <w:pPr>
              <w:pStyle w:val="NormalWeb"/>
              <w:numPr>
                <w:ilvl w:val="0"/>
                <w:numId w:val="48"/>
              </w:numPr>
              <w:spacing w:beforeAutospacing="0" w:after="0" w:afterAutospacing="0"/>
              <w:jc w:val="left"/>
              <w:rPr>
                <w:rFonts w:ascii="Arial" w:hAnsi="Arial" w:cs="Arial"/>
                <w:color w:val="000000"/>
              </w:rPr>
            </w:pPr>
            <w:r>
              <w:rPr>
                <w:rFonts w:ascii="Arial" w:hAnsi="Arial" w:cs="Arial"/>
                <w:b/>
                <w:bCs/>
                <w:color w:val="000000"/>
              </w:rPr>
              <w:t xml:space="preserve">ENV </w:t>
            </w:r>
            <w:r>
              <w:rPr>
                <w:rFonts w:ascii="Arial" w:hAnsi="Arial" w:cs="Arial"/>
                <w:color w:val="000000"/>
              </w:rPr>
              <w:t>: production</w:t>
            </w:r>
          </w:p>
          <w:p w:rsidR="006E6D7A" w:rsidRDefault="00B16C64" w14:paraId="67157B6D" w14:textId="77777777">
            <w:pPr>
              <w:pStyle w:val="NormalWeb"/>
              <w:numPr>
                <w:ilvl w:val="0"/>
                <w:numId w:val="48"/>
              </w:numPr>
              <w:spacing w:beforeAutospacing="0" w:after="0" w:afterAutospacing="0"/>
              <w:jc w:val="left"/>
              <w:rPr>
                <w:rFonts w:ascii="Arial" w:hAnsi="Arial" w:cs="Arial"/>
                <w:color w:val="000000"/>
              </w:rPr>
            </w:pPr>
            <w:proofErr w:type="gramStart"/>
            <w:r>
              <w:rPr>
                <w:rFonts w:ascii="Arial" w:hAnsi="Arial" w:cs="Arial"/>
                <w:b/>
                <w:bCs/>
                <w:color w:val="000000"/>
              </w:rPr>
              <w:t>TAGS</w:t>
            </w:r>
            <w:r>
              <w:rPr>
                <w:rFonts w:ascii="Arial" w:hAnsi="Arial" w:cs="Arial"/>
                <w:color w:val="000000"/>
              </w:rPr>
              <w:t>:</w:t>
            </w:r>
            <w:proofErr w:type="gramEnd"/>
            <w:r>
              <w:rPr>
                <w:rFonts w:ascii="Arial" w:hAnsi="Arial" w:cs="Arial"/>
                <w:color w:val="000000"/>
              </w:rPr>
              <w:t xml:space="preserve"> all</w:t>
            </w:r>
          </w:p>
          <w:p w:rsidR="006E6D7A" w:rsidRDefault="00B16C64" w14:paraId="67157B6E" w14:textId="77777777">
            <w:pPr>
              <w:pStyle w:val="NormalWeb"/>
              <w:spacing w:beforeAutospacing="0" w:after="0" w:afterAutospacing="0"/>
              <w:rPr>
                <w:rFonts w:ascii="Times New Roman" w:hAnsi="Times New Roman" w:cs="Times New Roman"/>
                <w:sz w:val="24"/>
                <w:szCs w:val="24"/>
              </w:rPr>
            </w:pPr>
            <w:r>
              <w:rPr>
                <w:rFonts w:ascii="Arial" w:hAnsi="Arial" w:cs="Arial"/>
                <w:noProof/>
                <w:color w:val="000000"/>
              </w:rPr>
              <w:lastRenderedPageBreak/>
              <mc:AlternateContent>
                <mc:Choice Requires="wpg">
                  <w:drawing>
                    <wp:inline distT="0" distB="0" distL="0" distR="0" wp14:anchorId="67157C43" wp14:editId="67157C44">
                      <wp:extent cx="3459480" cy="2842260"/>
                      <wp:effectExtent l="0" t="0" r="7620" b="0"/>
                      <wp:docPr id="4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rotWithShape="1">
                              <a:blip r:embed="rId124"/>
                              <a:stretch/>
                            </pic:blipFill>
                            <pic:spPr bwMode="auto">
                              <a:xfrm>
                                <a:off x="0" y="0"/>
                                <a:ext cx="3459480" cy="2842260"/>
                              </a:xfrm>
                              <a:prstGeom prst="rect">
                                <a:avLst/>
                              </a:prstGeom>
                              <a:noFill/>
                              <a:ln>
                                <a:noFill/>
                              </a:ln>
                            </pic:spPr>
                          </pic:pic>
                        </a:graphicData>
                      </a:graphic>
                    </wp:inline>
                  </w:drawing>
                </mc:Choice>
                <mc:Fallback xmlns:a="http://schemas.openxmlformats.org/drawingml/2006/main">
                  <w:pict w14:anchorId="6BD7E52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39" style="width:272.40pt;height:223.80pt;mso-wrap-distance-left:0.00pt;mso-wrap-distance-top:0.00pt;mso-wrap-distance-right:0.00pt;mso-wrap-distance-bottom:0.00pt;z-index:1;" o:spid="_x0000_s39" stroked="f" type="#_x0000_t75">
                      <v:imagedata o:title="" r:id="rId125"/>
                      <o:lock v:ext="edit" rotation="t"/>
                    </v:shape>
                  </w:pict>
                </mc:Fallback>
              </mc:AlternateConten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6F" w14:textId="77777777">
            <w:pPr>
              <w:spacing w:after="240"/>
            </w:pPr>
          </w:p>
          <w:p w:rsidR="006E6D7A" w:rsidRDefault="00B16C64" w14:paraId="67157B70" w14:textId="77777777">
            <w:pPr>
              <w:pStyle w:val="NormalWeb"/>
              <w:spacing w:beforeAutospacing="0" w:after="0" w:afterAutospacing="0"/>
              <w:jc w:val="center"/>
            </w:pPr>
            <w:r>
              <w:rPr>
                <w:rFonts w:ascii="Arial" w:hAnsi="Arial" w:cs="Arial"/>
                <w:color w:val="000000"/>
              </w:rPr>
              <w:t>Ansible s’exécute sans erreur</w:t>
            </w:r>
          </w:p>
          <w:p w:rsidR="006E6D7A" w:rsidRDefault="006E6D7A" w14:paraId="67157B71" w14:textId="77777777"/>
        </w:tc>
      </w:tr>
      <w:tr w:rsidR="006E6D7A" w14:paraId="67157B75" w14:textId="77777777">
        <w:tc>
          <w:tcPr>
            <w:tcW w:w="0" w:type="auto"/>
            <w:tcBorders>
              <w:top w:val="single" w:color="000000" w:sz="8" w:space="0"/>
              <w:left w:val="single" w:color="000000" w:sz="8" w:space="0"/>
              <w:bottom w:val="single" w:color="000000" w:sz="8" w:space="0"/>
              <w:right w:val="single" w:color="000000" w:sz="8" w:space="0"/>
            </w:tcBorders>
            <w:shd w:val="clear" w:color="auto" w:fill="CFE2F3"/>
            <w:tcMar>
              <w:top w:w="100" w:type="dxa"/>
              <w:left w:w="100" w:type="dxa"/>
              <w:bottom w:w="100" w:type="dxa"/>
              <w:right w:w="100" w:type="dxa"/>
            </w:tcMar>
          </w:tcPr>
          <w:p w:rsidR="006E6D7A" w:rsidRDefault="00B16C64" w14:paraId="67157B73" w14:textId="77777777">
            <w:pPr>
              <w:pStyle w:val="NormalWeb"/>
              <w:spacing w:beforeAutospacing="0" w:after="0" w:afterAutospacing="0"/>
              <w:jc w:val="center"/>
            </w:pPr>
            <w:r>
              <w:rPr>
                <w:rFonts w:ascii="Arial" w:hAnsi="Arial" w:cs="Arial"/>
                <w:b/>
                <w:bCs/>
                <w:color w:val="000000"/>
              </w:rPr>
              <w:t>Dump</w:t>
            </w:r>
          </w:p>
        </w:tc>
        <w:tc>
          <w:tcPr>
            <w:tcW w:w="0" w:type="auto"/>
            <w:tcBorders>
              <w:top w:val="single" w:color="000000" w:sz="8" w:space="0"/>
              <w:left w:val="single" w:color="000000" w:sz="8" w:space="0"/>
              <w:bottom w:val="single" w:color="000000" w:sz="8" w:space="0"/>
              <w:right w:val="single" w:color="000000" w:sz="8" w:space="0"/>
            </w:tcBorders>
            <w:shd w:val="clear" w:color="auto" w:fill="CFE2F3"/>
            <w:tcMar>
              <w:top w:w="100" w:type="dxa"/>
              <w:left w:w="100" w:type="dxa"/>
              <w:bottom w:w="100" w:type="dxa"/>
              <w:right w:w="100" w:type="dxa"/>
            </w:tcMar>
          </w:tcPr>
          <w:p w:rsidR="006E6D7A" w:rsidRDefault="00B16C64" w14:paraId="67157B74" w14:textId="77777777">
            <w:pPr>
              <w:pStyle w:val="NormalWeb"/>
              <w:spacing w:beforeAutospacing="0" w:after="0" w:afterAutospacing="0"/>
              <w:jc w:val="center"/>
            </w:pPr>
            <w:r>
              <w:rPr>
                <w:rFonts w:ascii="Arial" w:hAnsi="Arial" w:cs="Arial"/>
                <w:b/>
                <w:bCs/>
                <w:color w:val="000000"/>
              </w:rPr>
              <w:t>Résultat</w:t>
            </w:r>
          </w:p>
        </w:tc>
      </w:tr>
      <w:tr w:rsidR="006E6D7A" w14:paraId="67157B7A" w14:textId="77777777">
        <w:tc>
          <w:tcPr>
            <w:tcW w:w="0" w:type="auto"/>
            <w:tcBorders>
              <w:top w:val="single" w:color="000000" w:sz="8" w:space="0"/>
              <w:left w:val="single" w:color="000000" w:sz="8" w:space="0"/>
              <w:bottom w:val="single" w:color="000000" w:sz="8" w:space="0"/>
              <w:right w:val="single" w:color="000000" w:sz="8" w:space="0"/>
            </w:tcBorders>
            <w:shd w:val="clear" w:color="auto" w:fill="F5F5F5"/>
            <w:tcMar>
              <w:top w:w="100" w:type="dxa"/>
              <w:left w:w="100" w:type="dxa"/>
              <w:bottom w:w="100" w:type="dxa"/>
              <w:right w:w="100" w:type="dxa"/>
            </w:tcMar>
          </w:tcPr>
          <w:p w:rsidR="006E6D7A" w:rsidRDefault="00B16C64" w14:paraId="67157B76" w14:textId="77777777">
            <w:pPr>
              <w:pStyle w:val="NormalWeb"/>
              <w:spacing w:beforeAutospacing="0" w:after="0" w:afterAutospacing="0"/>
              <w:rPr>
                <w:rFonts w:ascii="Arial" w:hAnsi="Arial" w:cs="Arial"/>
                <w:color w:val="000000"/>
              </w:rPr>
            </w:pPr>
            <w:r>
              <w:rPr>
                <w:rFonts w:ascii="Arial" w:hAnsi="Arial" w:cs="Arial"/>
                <w:color w:val="000000"/>
              </w:rPr>
              <w:t xml:space="preserve">Lancer le Job </w:t>
            </w:r>
            <w:proofErr w:type="spellStart"/>
            <w:r>
              <w:rPr>
                <w:rFonts w:ascii="Arial" w:hAnsi="Arial" w:cs="Arial"/>
                <w:color w:val="000000"/>
              </w:rPr>
              <w:t>Rundeck</w:t>
            </w:r>
            <w:proofErr w:type="spellEnd"/>
            <w:r>
              <w:rPr>
                <w:rFonts w:ascii="Arial" w:hAnsi="Arial" w:cs="Arial"/>
                <w:color w:val="000000"/>
              </w:rPr>
              <w:t xml:space="preserve"> </w:t>
            </w:r>
            <w:hyperlink w:tooltip="https://ordo-solapp.dsi.inrae.fr/project/Simulation_Paie/job/show/f7c0e397-f737-4265-8816-f955c073b9bc" w:history="1" r:id="rId126">
              <w:r>
                <w:rPr>
                  <w:color w:val="000000"/>
                </w:rPr>
                <w:t>DUMP PostgreSQL</w:t>
              </w:r>
            </w:hyperlink>
            <w:r>
              <w:rPr>
                <w:rFonts w:ascii="Arial" w:hAnsi="Arial" w:cs="Arial"/>
                <w:color w:val="000000"/>
              </w:rPr>
              <w:t> </w:t>
            </w:r>
          </w:p>
          <w:p w:rsidR="006E6D7A" w:rsidRDefault="006E6D7A" w14:paraId="67157B77" w14:textId="77777777">
            <w:pPr>
              <w:pStyle w:val="NormalWeb"/>
              <w:spacing w:beforeAutospacing="0" w:after="0" w:afterAutospacing="0"/>
              <w:rPr>
                <w:rFonts w:ascii="Arial" w:hAnsi="Arial" w:cs="Arial"/>
                <w:color w:val="000000"/>
              </w:rPr>
            </w:pPr>
          </w:p>
          <w:p w:rsidR="006E6D7A" w:rsidRDefault="00B16C64" w14:paraId="67157B78" w14:textId="77777777">
            <w:pPr>
              <w:pStyle w:val="NormalWeb"/>
              <w:spacing w:beforeAutospacing="0" w:after="0" w:afterAutospacing="0"/>
            </w:pPr>
            <w:r>
              <w:rPr>
                <w:rFonts w:ascii="Arial" w:hAnsi="Arial" w:cs="Arial"/>
                <w:color w:val="000000"/>
              </w:rPr>
              <w:t xml:space="preserve">Le dump de la base </w:t>
            </w:r>
            <w:proofErr w:type="spellStart"/>
            <w:r>
              <w:rPr>
                <w:rFonts w:ascii="Arial" w:hAnsi="Arial" w:cs="Arial"/>
                <w:color w:val="000000"/>
              </w:rPr>
              <w:t>mongodb</w:t>
            </w:r>
            <w:proofErr w:type="spellEnd"/>
            <w:r>
              <w:rPr>
                <w:rFonts w:ascii="Arial" w:hAnsi="Arial" w:cs="Arial"/>
                <w:color w:val="000000"/>
              </w:rPr>
              <w:t xml:space="preserve"> et </w:t>
            </w:r>
            <w:proofErr w:type="spellStart"/>
            <w:r>
              <w:rPr>
                <w:rFonts w:ascii="Arial" w:hAnsi="Arial" w:cs="Arial"/>
                <w:color w:val="000000"/>
              </w:rPr>
              <w:t>postgresql</w:t>
            </w:r>
            <w:proofErr w:type="spellEnd"/>
            <w:r>
              <w:rPr>
                <w:rFonts w:ascii="Arial" w:hAnsi="Arial" w:cs="Arial"/>
                <w:color w:val="000000"/>
              </w:rPr>
              <w:t xml:space="preserve"> </w:t>
            </w:r>
            <w:proofErr w:type="spellStart"/>
            <w:r>
              <w:rPr>
                <w:rFonts w:ascii="Arial" w:hAnsi="Arial" w:cs="Arial"/>
                <w:color w:val="000000"/>
              </w:rPr>
              <w:t>padre</w:t>
            </w:r>
            <w:proofErr w:type="spellEnd"/>
            <w:r>
              <w:rPr>
                <w:rFonts w:ascii="Arial" w:hAnsi="Arial" w:cs="Arial"/>
                <w:color w:val="000000"/>
              </w:rPr>
              <w:t xml:space="preserve"> v5</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B16C64" w14:paraId="67157B79" w14:textId="77777777">
            <w:pPr>
              <w:pStyle w:val="NormalWeb"/>
              <w:spacing w:beforeAutospacing="0" w:after="0" w:afterAutospacing="0"/>
              <w:jc w:val="center"/>
            </w:pPr>
            <w:r>
              <w:rPr>
                <w:rFonts w:ascii="Arial" w:hAnsi="Arial" w:cs="Arial"/>
                <w:color w:val="000000"/>
              </w:rPr>
              <w:t>Le job s’exécute avec succès</w:t>
            </w:r>
          </w:p>
        </w:tc>
      </w:tr>
      <w:tr w:rsidR="006E6D7A" w14:paraId="67157B7D" w14:textId="77777777">
        <w:tc>
          <w:tcPr>
            <w:tcW w:w="0" w:type="auto"/>
            <w:tcBorders>
              <w:top w:val="single" w:color="000000" w:sz="8" w:space="0"/>
              <w:left w:val="single" w:color="000000" w:sz="8" w:space="0"/>
              <w:bottom w:val="single" w:color="000000" w:sz="8" w:space="0"/>
              <w:right w:val="single" w:color="000000" w:sz="8" w:space="0"/>
            </w:tcBorders>
            <w:shd w:val="clear" w:color="auto" w:fill="B7B7B7"/>
            <w:tcMar>
              <w:top w:w="100" w:type="dxa"/>
              <w:left w:w="100" w:type="dxa"/>
              <w:bottom w:w="100" w:type="dxa"/>
              <w:right w:w="100" w:type="dxa"/>
            </w:tcMar>
          </w:tcPr>
          <w:p w:rsidR="006E6D7A" w:rsidRDefault="00B16C64" w14:paraId="67157B7B" w14:textId="77777777">
            <w:pPr>
              <w:pStyle w:val="NormalWeb"/>
              <w:spacing w:beforeAutospacing="0" w:after="0" w:afterAutospacing="0"/>
              <w:jc w:val="center"/>
            </w:pPr>
            <w:r>
              <w:rPr>
                <w:rFonts w:ascii="Arial" w:hAnsi="Arial" w:cs="Arial"/>
                <w:b/>
                <w:bCs/>
                <w:color w:val="000000"/>
              </w:rPr>
              <w:t>EXPOSITION</w:t>
            </w:r>
          </w:p>
        </w:tc>
        <w:tc>
          <w:tcPr>
            <w:tcW w:w="0" w:type="auto"/>
            <w:tcBorders>
              <w:top w:val="single" w:color="000000" w:sz="8" w:space="0"/>
              <w:left w:val="single" w:color="000000" w:sz="8" w:space="0"/>
              <w:bottom w:val="single" w:color="000000" w:sz="8" w:space="0"/>
              <w:right w:val="single" w:color="000000" w:sz="8" w:space="0"/>
            </w:tcBorders>
            <w:shd w:val="clear" w:color="auto" w:fill="B7B7B7"/>
            <w:tcMar>
              <w:top w:w="100" w:type="dxa"/>
              <w:left w:w="100" w:type="dxa"/>
              <w:bottom w:w="100" w:type="dxa"/>
              <w:right w:w="100" w:type="dxa"/>
            </w:tcMar>
          </w:tcPr>
          <w:p w:rsidR="006E6D7A" w:rsidRDefault="006E6D7A" w14:paraId="67157B7C" w14:textId="77777777"/>
        </w:tc>
      </w:tr>
      <w:tr w:rsidR="006E6D7A" w14:paraId="67157B82"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7E" w14:textId="77777777">
            <w:pPr>
              <w:pStyle w:val="NormalWeb"/>
              <w:spacing w:beforeAutospacing="0" w:after="0" w:afterAutospacing="0"/>
            </w:pPr>
            <w:r>
              <w:rPr>
                <w:rFonts w:ascii="Arial" w:hAnsi="Arial" w:cs="Arial"/>
                <w:color w:val="000000"/>
              </w:rPr>
              <w:t>Aller sur un navigateur et saisir </w:t>
            </w:r>
          </w:p>
          <w:p w:rsidR="006E6D7A" w:rsidRDefault="00000000" w14:paraId="67157B7F" w14:textId="77777777">
            <w:pPr>
              <w:pStyle w:val="NormalWeb"/>
              <w:spacing w:beforeAutospacing="0" w:after="0" w:afterAutospacing="0"/>
              <w:rPr>
                <w:color w:val="000000"/>
              </w:rPr>
            </w:pPr>
            <w:hyperlink w:tooltip="https://integration-paie.intranet.inrae.fr/actuator/health" w:history="1" r:id="rId127">
              <w:r w:rsidR="00B16C64">
                <w:rPr>
                  <w:color w:val="000000"/>
                </w:rPr>
                <w:t>https://integration-paie.intranet.inrae.fr/actuator/health</w:t>
              </w:r>
            </w:hyperlink>
            <w:r w:rsidR="00B16C64">
              <w:rPr>
                <w:color w:val="000000"/>
              </w:rPr>
              <w:t> </w:t>
            </w:r>
          </w:p>
          <w:p w:rsidR="006E6D7A" w:rsidRDefault="006E6D7A" w14:paraId="67157B80" w14:textId="77777777"/>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B16C64" w14:paraId="67157B81" w14:textId="77777777">
            <w:pPr>
              <w:pStyle w:val="NormalWeb"/>
              <w:spacing w:beforeAutospacing="0" w:after="0" w:afterAutospacing="0"/>
              <w:jc w:val="center"/>
            </w:pPr>
            <w:r>
              <w:rPr>
                <w:rFonts w:ascii="Arial" w:hAnsi="Arial" w:cs="Arial"/>
                <w:color w:val="000000"/>
              </w:rPr>
              <w:t xml:space="preserve">L’état de API est : </w:t>
            </w:r>
            <w:r>
              <w:rPr>
                <w:rFonts w:ascii="Arial" w:hAnsi="Arial" w:cs="Arial"/>
                <w:b/>
                <w:bCs/>
                <w:color w:val="073763"/>
              </w:rPr>
              <w:t>UP</w:t>
            </w:r>
          </w:p>
        </w:tc>
      </w:tr>
      <w:tr w:rsidR="006E6D7A" w14:paraId="67157B85" w14:textId="77777777">
        <w:tc>
          <w:tcPr>
            <w:tcW w:w="0" w:type="auto"/>
            <w:tcBorders>
              <w:top w:val="single" w:color="000000" w:sz="8" w:space="0"/>
              <w:left w:val="single" w:color="000000" w:sz="8" w:space="0"/>
              <w:bottom w:val="single" w:color="000000" w:sz="8" w:space="0"/>
              <w:right w:val="single" w:color="000000" w:sz="8" w:space="0"/>
            </w:tcBorders>
            <w:shd w:val="clear" w:color="auto" w:fill="B7B7B7"/>
            <w:tcMar>
              <w:top w:w="100" w:type="dxa"/>
              <w:left w:w="100" w:type="dxa"/>
              <w:bottom w:w="100" w:type="dxa"/>
              <w:right w:w="100" w:type="dxa"/>
            </w:tcMar>
          </w:tcPr>
          <w:p w:rsidR="006E6D7A" w:rsidRDefault="00B16C64" w14:paraId="67157B83" w14:textId="77777777">
            <w:pPr>
              <w:pStyle w:val="NormalWeb"/>
              <w:spacing w:beforeAutospacing="0" w:after="0" w:afterAutospacing="0"/>
              <w:jc w:val="center"/>
            </w:pPr>
            <w:r>
              <w:rPr>
                <w:rFonts w:ascii="Arial" w:hAnsi="Arial" w:cs="Arial"/>
                <w:b/>
                <w:bCs/>
                <w:color w:val="000000"/>
              </w:rPr>
              <w:t>TALEND</w:t>
            </w:r>
          </w:p>
        </w:tc>
        <w:tc>
          <w:tcPr>
            <w:tcW w:w="0" w:type="auto"/>
            <w:tcBorders>
              <w:top w:val="single" w:color="000000" w:sz="8" w:space="0"/>
              <w:left w:val="single" w:color="000000" w:sz="8" w:space="0"/>
              <w:bottom w:val="single" w:color="000000" w:sz="8" w:space="0"/>
              <w:right w:val="single" w:color="000000" w:sz="8" w:space="0"/>
            </w:tcBorders>
            <w:shd w:val="clear" w:color="auto" w:fill="B7B7B7"/>
            <w:tcMar>
              <w:top w:w="100" w:type="dxa"/>
              <w:left w:w="100" w:type="dxa"/>
              <w:bottom w:w="100" w:type="dxa"/>
              <w:right w:w="100" w:type="dxa"/>
            </w:tcMar>
          </w:tcPr>
          <w:p w:rsidR="006E6D7A" w:rsidRDefault="006E6D7A" w14:paraId="67157B84" w14:textId="77777777"/>
        </w:tc>
      </w:tr>
      <w:tr w:rsidR="006E6D7A" w14:paraId="67157B89" w14:textId="77777777">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000000" w14:paraId="67157B86" w14:textId="77777777">
            <w:pPr>
              <w:pStyle w:val="NormalWeb"/>
              <w:spacing w:beforeAutospacing="0" w:after="0" w:afterAutospacing="0"/>
              <w:rPr>
                <w:color w:val="000000"/>
              </w:rPr>
            </w:pPr>
            <w:hyperlink w:tooltip="https://docs.google.com/document/d/1i4f7AY16gEo64ppy1Lw8GC3gHcEUhXY5LWsE-L0FdN8/edit?tab=t.0#heading=h.aaxzmfc70r4l" w:history="1" w:anchor="heading=h.aaxzmfc70r4l" r:id="rId128">
              <w:r w:rsidR="00B16C64">
                <w:rPr>
                  <w:color w:val="000000"/>
                </w:rPr>
                <w:t>MEP des Jobs Talend </w:t>
              </w:r>
            </w:hyperlink>
          </w:p>
          <w:p w:rsidR="006E6D7A" w:rsidRDefault="006E6D7A" w14:paraId="67157B87" w14:textId="77777777"/>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B16C64" w14:paraId="67157B88" w14:textId="77777777">
            <w:pPr>
              <w:pStyle w:val="NormalWeb"/>
              <w:spacing w:beforeAutospacing="0" w:after="0" w:afterAutospacing="0"/>
              <w:jc w:val="center"/>
            </w:pPr>
            <w:r>
              <w:rPr>
                <w:rFonts w:ascii="Arial" w:hAnsi="Arial" w:cs="Arial"/>
                <w:color w:val="000000"/>
              </w:rPr>
              <w:t>MEP : OK</w:t>
            </w:r>
          </w:p>
        </w:tc>
      </w:tr>
    </w:tbl>
    <w:p w:rsidR="006E6D7A" w:rsidRDefault="00B16C64" w14:paraId="67157B8A" w14:textId="77777777">
      <w:pPr>
        <w:spacing w:after="240"/>
      </w:pPr>
      <w:r>
        <w:br/>
      </w:r>
    </w:p>
    <w:p w:rsidR="006E6D7A" w:rsidRDefault="00B16C64" w14:paraId="67157B8B" w14:textId="77777777">
      <w:pPr>
        <w:pStyle w:val="NormalWeb"/>
        <w:spacing w:beforeAutospacing="0" w:after="0" w:afterAutospacing="0"/>
      </w:pPr>
      <w:r>
        <w:rPr>
          <w:rFonts w:ascii="Arial" w:hAnsi="Arial" w:cs="Arial"/>
          <w:color w:val="000000"/>
          <w:sz w:val="32"/>
          <w:szCs w:val="32"/>
        </w:rPr>
        <w:t>Vérification en production</w:t>
      </w:r>
    </w:p>
    <w:tbl>
      <w:tblPr>
        <w:tblW w:w="0" w:type="auto"/>
        <w:tblCellMar>
          <w:top w:w="15" w:type="dxa"/>
          <w:left w:w="15" w:type="dxa"/>
          <w:bottom w:w="15" w:type="dxa"/>
          <w:right w:w="15" w:type="dxa"/>
        </w:tblCellMar>
        <w:tblLook w:val="04A0" w:firstRow="1" w:lastRow="0" w:firstColumn="1" w:lastColumn="0" w:noHBand="0" w:noVBand="1"/>
      </w:tblPr>
      <w:tblGrid>
        <w:gridCol w:w="5120"/>
        <w:gridCol w:w="2310"/>
        <w:gridCol w:w="2188"/>
      </w:tblGrid>
      <w:tr w:rsidR="006E6D7A" w14:paraId="67157B8F" w14:textId="77777777">
        <w:tc>
          <w:tcPr>
            <w:tcW w:w="0" w:type="auto"/>
            <w:tcBorders>
              <w:top w:val="single" w:color="000000" w:sz="8" w:space="0"/>
              <w:left w:val="single" w:color="000000" w:sz="8" w:space="0"/>
              <w:bottom w:val="single" w:color="000000" w:sz="8" w:space="0"/>
              <w:right w:val="single" w:color="000000" w:sz="8" w:space="0"/>
            </w:tcBorders>
            <w:shd w:val="clear" w:color="auto" w:fill="C9DAF8"/>
            <w:tcMar>
              <w:top w:w="100" w:type="dxa"/>
              <w:left w:w="100" w:type="dxa"/>
              <w:bottom w:w="100" w:type="dxa"/>
              <w:right w:w="100" w:type="dxa"/>
            </w:tcMar>
          </w:tcPr>
          <w:p w:rsidR="006E6D7A" w:rsidRDefault="00B16C64" w14:paraId="67157B8C" w14:textId="77777777">
            <w:pPr>
              <w:pStyle w:val="NormalWeb"/>
              <w:spacing w:beforeAutospacing="0" w:after="0" w:afterAutospacing="0"/>
              <w:jc w:val="center"/>
            </w:pPr>
            <w:r>
              <w:rPr>
                <w:rFonts w:ascii="Arial" w:hAnsi="Arial" w:cs="Arial"/>
                <w:b/>
                <w:bCs/>
                <w:color w:val="000000"/>
              </w:rPr>
              <w:t>Actions</w:t>
            </w:r>
          </w:p>
        </w:tc>
        <w:tc>
          <w:tcPr>
            <w:tcW w:w="0" w:type="auto"/>
            <w:tcBorders>
              <w:top w:val="single" w:color="000000" w:sz="8" w:space="0"/>
              <w:left w:val="single" w:color="000000" w:sz="8" w:space="0"/>
              <w:bottom w:val="single" w:color="000000" w:sz="8" w:space="0"/>
              <w:right w:val="single" w:color="000000" w:sz="8" w:space="0"/>
            </w:tcBorders>
            <w:shd w:val="clear" w:color="auto" w:fill="C9DAF8"/>
            <w:tcMar>
              <w:top w:w="100" w:type="dxa"/>
              <w:left w:w="100" w:type="dxa"/>
              <w:bottom w:w="100" w:type="dxa"/>
              <w:right w:w="100" w:type="dxa"/>
            </w:tcMar>
          </w:tcPr>
          <w:p w:rsidR="006E6D7A" w:rsidRDefault="00B16C64" w14:paraId="67157B8D" w14:textId="77777777">
            <w:pPr>
              <w:pStyle w:val="NormalWeb"/>
              <w:spacing w:beforeAutospacing="0" w:after="0" w:afterAutospacing="0"/>
              <w:jc w:val="center"/>
            </w:pPr>
            <w:r>
              <w:rPr>
                <w:rFonts w:ascii="Arial" w:hAnsi="Arial" w:cs="Arial"/>
                <w:b/>
                <w:bCs/>
                <w:color w:val="000000"/>
              </w:rPr>
              <w:t>Résultat attendu</w:t>
            </w:r>
          </w:p>
        </w:tc>
        <w:tc>
          <w:tcPr>
            <w:tcW w:w="0" w:type="auto"/>
            <w:tcBorders>
              <w:top w:val="single" w:color="000000" w:sz="8" w:space="0"/>
              <w:left w:val="single" w:color="000000" w:sz="8" w:space="0"/>
              <w:bottom w:val="single" w:color="000000" w:sz="8" w:space="0"/>
              <w:right w:val="single" w:color="000000" w:sz="8" w:space="0"/>
            </w:tcBorders>
            <w:shd w:val="clear" w:color="auto" w:fill="C9DAF8"/>
            <w:tcMar>
              <w:top w:w="100" w:type="dxa"/>
              <w:left w:w="100" w:type="dxa"/>
              <w:bottom w:w="100" w:type="dxa"/>
              <w:right w:w="100" w:type="dxa"/>
            </w:tcMar>
          </w:tcPr>
          <w:p w:rsidR="006E6D7A" w:rsidRDefault="00B16C64" w14:paraId="67157B8E" w14:textId="77777777">
            <w:pPr>
              <w:pStyle w:val="NormalWeb"/>
              <w:spacing w:beforeAutospacing="0" w:after="0" w:afterAutospacing="0"/>
              <w:jc w:val="center"/>
            </w:pPr>
            <w:r>
              <w:rPr>
                <w:rFonts w:ascii="Arial" w:hAnsi="Arial" w:cs="Arial"/>
                <w:b/>
                <w:bCs/>
                <w:color w:val="000000"/>
              </w:rPr>
              <w:t xml:space="preserve">Exécuté lors de la MEP </w:t>
            </w:r>
            <w:r>
              <w:rPr>
                <w:rFonts w:ascii="Arial" w:hAnsi="Arial" w:cs="Arial"/>
                <w:color w:val="000000"/>
                <w:sz w:val="20"/>
                <w:szCs w:val="20"/>
              </w:rPr>
              <w:t>(Mettre fond vert dans la case quand fait) ?</w:t>
            </w:r>
          </w:p>
        </w:tc>
      </w:tr>
      <w:tr w:rsidR="006E6D7A" w14:paraId="67157B95" w14:textId="77777777">
        <w:trPr>
          <w:trHeight w:val="915"/>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90" w14:textId="77777777">
            <w:pPr>
              <w:pStyle w:val="NormalWeb"/>
              <w:spacing w:beforeAutospacing="0" w:after="0" w:afterAutospacing="0"/>
            </w:pPr>
            <w:r>
              <w:rPr>
                <w:rFonts w:ascii="Arial" w:hAnsi="Arial" w:cs="Arial"/>
                <w:color w:val="000000"/>
              </w:rPr>
              <w:t>Aller sur un navigateur et saisir </w:t>
            </w:r>
          </w:p>
          <w:p w:rsidR="006E6D7A" w:rsidRDefault="00000000" w14:paraId="67157B91" w14:textId="77777777">
            <w:pPr>
              <w:pStyle w:val="NormalWeb"/>
              <w:spacing w:beforeAutospacing="0" w:after="0" w:afterAutospacing="0"/>
              <w:rPr>
                <w:color w:val="000000"/>
              </w:rPr>
            </w:pPr>
            <w:hyperlink w:tooltip="https://simulation-paie.intranet.inrae.fr/" w:history="1" r:id="rId129">
              <w:r w:rsidR="00B16C64">
                <w:rPr>
                  <w:color w:val="000000"/>
                </w:rPr>
                <w:t>https://simulation-paie.intranet.inrae.fr/</w:t>
              </w:r>
            </w:hyperlink>
          </w:p>
          <w:p w:rsidR="006E6D7A" w:rsidRDefault="006E6D7A" w14:paraId="67157B92" w14:textId="77777777"/>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93" w14:textId="77777777">
            <w:pPr>
              <w:pStyle w:val="NormalWeb"/>
              <w:spacing w:beforeAutospacing="0" w:after="0" w:afterAutospacing="0"/>
            </w:pPr>
            <w:r>
              <w:rPr>
                <w:rFonts w:ascii="Arial" w:hAnsi="Arial" w:cs="Arial"/>
                <w:color w:val="000000"/>
                <w:sz w:val="20"/>
                <w:szCs w:val="20"/>
              </w:rPr>
              <w:t>Je suis bien redirigé vers la page d'authentification</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94" w14:textId="77777777"/>
        </w:tc>
      </w:tr>
      <w:tr w:rsidR="006E6D7A" w14:paraId="67157B99" w14:textId="77777777">
        <w:trPr>
          <w:trHeight w:val="915"/>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96" w14:textId="77777777">
            <w:pPr>
              <w:pStyle w:val="NormalWeb"/>
              <w:spacing w:beforeAutospacing="0" w:after="0" w:afterAutospacing="0"/>
            </w:pPr>
            <w:r>
              <w:rPr>
                <w:rFonts w:ascii="Arial" w:hAnsi="Arial" w:cs="Arial"/>
                <w:color w:val="000000"/>
              </w:rPr>
              <w:t xml:space="preserve">Saisir son login </w:t>
            </w:r>
            <w:proofErr w:type="spellStart"/>
            <w:r>
              <w:rPr>
                <w:rFonts w:ascii="Arial" w:hAnsi="Arial" w:cs="Arial"/>
                <w:color w:val="000000"/>
              </w:rPr>
              <w:t>ldap</w:t>
            </w:r>
            <w:proofErr w:type="spellEnd"/>
            <w:r>
              <w:rPr>
                <w:rFonts w:ascii="Arial" w:hAnsi="Arial" w:cs="Arial"/>
                <w:color w:val="000000"/>
              </w:rPr>
              <w:t xml:space="preserve"> et mot de passe</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97" w14:textId="77777777">
            <w:pPr>
              <w:pStyle w:val="NormalWeb"/>
              <w:spacing w:beforeAutospacing="0" w:after="0" w:afterAutospacing="0"/>
            </w:pPr>
            <w:r>
              <w:rPr>
                <w:rFonts w:ascii="Arial" w:hAnsi="Arial" w:cs="Arial"/>
                <w:color w:val="000000"/>
                <w:sz w:val="20"/>
                <w:szCs w:val="20"/>
              </w:rPr>
              <w:t>J'accède bien à l’interface utilisateur</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98" w14:textId="77777777"/>
        </w:tc>
      </w:tr>
      <w:tr w:rsidR="006E6D7A" w14:paraId="67157BA0" w14:textId="77777777">
        <w:trPr>
          <w:trHeight w:val="915"/>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9A" w14:textId="77777777">
            <w:pPr>
              <w:pStyle w:val="NormalWeb"/>
              <w:spacing w:beforeAutospacing="0" w:after="0" w:afterAutospacing="0"/>
            </w:pPr>
            <w:r>
              <w:rPr>
                <w:rFonts w:ascii="Arial" w:hAnsi="Arial" w:cs="Arial"/>
                <w:color w:val="000000"/>
              </w:rPr>
              <w:lastRenderedPageBreak/>
              <w:t>On a bien la liste des centres dont on a accès </w:t>
            </w:r>
          </w:p>
          <w:p w:rsidR="006E6D7A" w:rsidRDefault="00B16C64" w14:paraId="67157B9B" w14:textId="77777777">
            <w:pPr>
              <w:pStyle w:val="NormalWeb"/>
              <w:spacing w:beforeAutospacing="0" w:after="0" w:afterAutospacing="0"/>
            </w:pPr>
            <w:r>
              <w:rPr>
                <w:rFonts w:ascii="Arial" w:hAnsi="Arial" w:cs="Arial"/>
                <w:color w:val="000000"/>
              </w:rPr>
              <w:t>Cliquer sur le Centre 14 </w:t>
            </w:r>
          </w:p>
          <w:p w:rsidR="006E6D7A" w:rsidRDefault="00B16C64" w14:paraId="67157B9C" w14:textId="77777777">
            <w:pPr>
              <w:pStyle w:val="NormalWeb"/>
              <w:spacing w:beforeAutospacing="0" w:after="0" w:afterAutospacing="0"/>
            </w:pPr>
            <w:r>
              <w:rPr>
                <w:rFonts w:ascii="Arial" w:hAnsi="Arial" w:cs="Arial"/>
                <w:color w:val="000000"/>
              </w:rPr>
              <w:t>On a bien les deux boutons, voir l’image </w:t>
            </w:r>
          </w:p>
          <w:p w:rsidR="006E6D7A" w:rsidRDefault="00B16C64" w14:paraId="67157B9D" w14:textId="77777777">
            <w:pPr>
              <w:pStyle w:val="NormalWeb"/>
              <w:spacing w:beforeAutospacing="0" w:after="0" w:afterAutospacing="0"/>
            </w:pPr>
            <w:r>
              <w:rPr>
                <w:rFonts w:ascii="Arial" w:hAnsi="Arial" w:cs="Arial"/>
                <w:noProof/>
                <w:color w:val="000000"/>
              </w:rPr>
              <mc:AlternateContent>
                <mc:Choice Requires="wpg">
                  <w:drawing>
                    <wp:inline distT="0" distB="0" distL="0" distR="0" wp14:anchorId="67157C45" wp14:editId="67157C46">
                      <wp:extent cx="3124200" cy="982980"/>
                      <wp:effectExtent l="0" t="0" r="0" b="7620"/>
                      <wp:docPr id="41"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rotWithShape="1">
                              <a:blip r:embed="rId130"/>
                              <a:stretch/>
                            </pic:blipFill>
                            <pic:spPr bwMode="auto">
                              <a:xfrm>
                                <a:off x="0" y="0"/>
                                <a:ext cx="3124200" cy="982980"/>
                              </a:xfrm>
                              <a:prstGeom prst="rect">
                                <a:avLst/>
                              </a:prstGeom>
                              <a:noFill/>
                              <a:ln>
                                <a:noFill/>
                              </a:ln>
                            </pic:spPr>
                          </pic:pic>
                        </a:graphicData>
                      </a:graphic>
                    </wp:inline>
                  </w:drawing>
                </mc:Choice>
                <mc:Fallback xmlns:a="http://schemas.openxmlformats.org/drawingml/2006/main">
                  <w:pict w14:anchorId="3355F89C">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40" style="width:246.00pt;height:77.40pt;mso-wrap-distance-left:0.00pt;mso-wrap-distance-top:0.00pt;mso-wrap-distance-right:0.00pt;mso-wrap-distance-bottom:0.00pt;z-index:1;" o:spid="_x0000_s40" stroked="f" type="#_x0000_t75">
                      <v:imagedata o:title="" r:id="rId131"/>
                      <o:lock v:ext="edit" rotation="t"/>
                    </v:shape>
                  </w:pict>
                </mc:Fallback>
              </mc:AlternateConten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9E" w14:textId="77777777">
            <w:pPr>
              <w:pStyle w:val="NormalWeb"/>
              <w:spacing w:beforeAutospacing="0" w:after="0" w:afterAutospacing="0"/>
            </w:pPr>
            <w:r>
              <w:rPr>
                <w:rFonts w:ascii="Arial" w:hAnsi="Arial" w:cs="Arial"/>
                <w:color w:val="000000"/>
                <w:sz w:val="20"/>
                <w:szCs w:val="20"/>
              </w:rPr>
              <w:t>Sur l’interface utilisateur, on verra les étapes du processus. Attendre l’étape </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B16C64" w14:paraId="67157B9F" w14:textId="77777777">
            <w:pPr>
              <w:pStyle w:val="NormalWeb"/>
              <w:spacing w:beforeAutospacing="0" w:after="0" w:afterAutospacing="0"/>
            </w:pPr>
            <w:r>
              <w:rPr>
                <w:rFonts w:ascii="Arial" w:hAnsi="Arial" w:cs="Arial"/>
                <w:color w:val="000000"/>
              </w:rPr>
              <w:t>Demander au PO pour vérifier</w:t>
            </w:r>
          </w:p>
        </w:tc>
      </w:tr>
    </w:tbl>
    <w:p w:rsidR="006E6D7A" w:rsidRDefault="006E6D7A" w14:paraId="67157BA1" w14:textId="77777777"/>
    <w:p w:rsidR="006E6D7A" w:rsidRDefault="00B16C64" w14:paraId="67157BA2" w14:textId="77777777">
      <w:pPr>
        <w:pStyle w:val="Titre2"/>
        <w:numPr>
          <w:ilvl w:val="0"/>
          <w:numId w:val="0"/>
        </w:numPr>
      </w:pPr>
      <w:bookmarkStart w:name="_Toc221095614" w:id="201"/>
      <w:r>
        <w:t>En cas de retour arrière</w:t>
      </w:r>
      <w:bookmarkEnd w:id="201"/>
    </w:p>
    <w:p w:rsidR="006E6D7A" w:rsidRDefault="006E6D7A" w14:paraId="67157BA3" w14:textId="77777777"/>
    <w:tbl>
      <w:tblPr>
        <w:tblW w:w="0" w:type="auto"/>
        <w:tblCellMar>
          <w:top w:w="15" w:type="dxa"/>
          <w:left w:w="15" w:type="dxa"/>
          <w:bottom w:w="15" w:type="dxa"/>
          <w:right w:w="15" w:type="dxa"/>
        </w:tblCellMar>
        <w:tblLook w:val="04A0" w:firstRow="1" w:lastRow="0" w:firstColumn="1" w:lastColumn="0" w:noHBand="0" w:noVBand="1"/>
      </w:tblPr>
      <w:tblGrid>
        <w:gridCol w:w="7087"/>
        <w:gridCol w:w="2531"/>
      </w:tblGrid>
      <w:tr w:rsidR="006E6D7A" w14:paraId="67157BA6" w14:textId="77777777">
        <w:tc>
          <w:tcPr>
            <w:tcW w:w="0" w:type="auto"/>
            <w:tcBorders>
              <w:top w:val="single" w:color="000000" w:sz="8" w:space="0"/>
              <w:left w:val="single" w:color="000000" w:sz="8" w:space="0"/>
              <w:bottom w:val="single" w:color="000000" w:sz="8" w:space="0"/>
              <w:right w:val="single" w:color="000000" w:sz="8" w:space="0"/>
            </w:tcBorders>
            <w:shd w:val="clear" w:color="auto" w:fill="CFE2F3"/>
            <w:tcMar>
              <w:top w:w="100" w:type="dxa"/>
              <w:left w:w="100" w:type="dxa"/>
              <w:bottom w:w="100" w:type="dxa"/>
              <w:right w:w="100" w:type="dxa"/>
            </w:tcMar>
          </w:tcPr>
          <w:p w:rsidR="006E6D7A" w:rsidRDefault="00B16C64" w14:paraId="67157BA4" w14:textId="77777777">
            <w:pPr>
              <w:pStyle w:val="NormalWeb"/>
              <w:spacing w:beforeAutospacing="0" w:after="0" w:afterAutospacing="0"/>
              <w:jc w:val="center"/>
            </w:pPr>
            <w:r>
              <w:rPr>
                <w:rFonts w:ascii="Arial" w:hAnsi="Arial" w:cs="Arial"/>
                <w:b/>
                <w:bCs/>
                <w:color w:val="000000"/>
              </w:rPr>
              <w:t>Restore</w:t>
            </w:r>
          </w:p>
        </w:tc>
        <w:tc>
          <w:tcPr>
            <w:tcW w:w="0" w:type="auto"/>
            <w:tcBorders>
              <w:top w:val="single" w:color="000000" w:sz="8" w:space="0"/>
              <w:left w:val="single" w:color="000000" w:sz="8" w:space="0"/>
              <w:bottom w:val="single" w:color="000000" w:sz="8" w:space="0"/>
              <w:right w:val="single" w:color="000000" w:sz="8" w:space="0"/>
            </w:tcBorders>
            <w:shd w:val="clear" w:color="auto" w:fill="CFE2F3"/>
            <w:tcMar>
              <w:top w:w="100" w:type="dxa"/>
              <w:left w:w="100" w:type="dxa"/>
              <w:bottom w:w="100" w:type="dxa"/>
              <w:right w:w="100" w:type="dxa"/>
            </w:tcMar>
          </w:tcPr>
          <w:p w:rsidR="006E6D7A" w:rsidRDefault="00B16C64" w14:paraId="67157BA5" w14:textId="77777777">
            <w:pPr>
              <w:pStyle w:val="NormalWeb"/>
              <w:spacing w:beforeAutospacing="0" w:after="0" w:afterAutospacing="0"/>
              <w:jc w:val="center"/>
            </w:pPr>
            <w:r>
              <w:rPr>
                <w:rFonts w:ascii="Arial" w:hAnsi="Arial" w:cs="Arial"/>
                <w:b/>
                <w:bCs/>
                <w:color w:val="000000"/>
              </w:rPr>
              <w:t>Résultat</w:t>
            </w:r>
          </w:p>
        </w:tc>
      </w:tr>
      <w:tr w:rsidR="006E6D7A" w14:paraId="67157BA9" w14:textId="77777777">
        <w:tc>
          <w:tcPr>
            <w:tcW w:w="0" w:type="auto"/>
            <w:tcBorders>
              <w:top w:val="single" w:color="000000" w:sz="8" w:space="0"/>
              <w:left w:val="single" w:color="000000" w:sz="8" w:space="0"/>
              <w:bottom w:val="single" w:color="000000" w:sz="8" w:space="0"/>
              <w:right w:val="single" w:color="000000" w:sz="8" w:space="0"/>
            </w:tcBorders>
            <w:shd w:val="clear" w:color="auto" w:fill="F5F5F5"/>
            <w:tcMar>
              <w:top w:w="100" w:type="dxa"/>
              <w:left w:w="100" w:type="dxa"/>
              <w:bottom w:w="100" w:type="dxa"/>
              <w:right w:w="100" w:type="dxa"/>
            </w:tcMar>
          </w:tcPr>
          <w:p w:rsidR="006E6D7A" w:rsidRDefault="00B16C64" w14:paraId="67157BA7" w14:textId="77777777">
            <w:pPr>
              <w:pStyle w:val="NormalWeb"/>
              <w:spacing w:beforeAutospacing="0" w:after="0" w:afterAutospacing="0"/>
              <w:rPr>
                <w:rFonts w:ascii="Arial" w:hAnsi="Arial" w:cs="Arial"/>
                <w:color w:val="000000"/>
              </w:rPr>
            </w:pPr>
            <w:r>
              <w:rPr>
                <w:rFonts w:ascii="Arial" w:hAnsi="Arial" w:cs="Arial"/>
                <w:color w:val="000000"/>
              </w:rPr>
              <w:t xml:space="preserve">Exécuter le Job avec </w:t>
            </w:r>
            <w:proofErr w:type="spellStart"/>
            <w:r>
              <w:rPr>
                <w:rFonts w:ascii="Arial" w:hAnsi="Arial" w:cs="Arial"/>
                <w:color w:val="000000"/>
              </w:rPr>
              <w:t>Rundeck</w:t>
            </w:r>
            <w:proofErr w:type="spellEnd"/>
            <w:r>
              <w:rPr>
                <w:rFonts w:ascii="Arial" w:hAnsi="Arial" w:cs="Arial"/>
                <w:color w:val="000000"/>
              </w:rPr>
              <w:t xml:space="preserve">  </w:t>
            </w:r>
            <w:hyperlink w:tooltip="https://ordo-solapp.dsi.inrae.fr/project/Simulation_Paie/job/show/314666b0-4869-489c-ad35-4ddee2f0a9f8" w:history="1" r:id="rId132">
              <w:r>
                <w:rPr>
                  <w:color w:val="000000"/>
                </w:rPr>
                <w:t xml:space="preserve">Restore </w:t>
              </w:r>
              <w:proofErr w:type="spellStart"/>
              <w:r>
                <w:rPr>
                  <w:color w:val="000000"/>
                </w:rPr>
                <w:t>postgresql</w:t>
              </w:r>
              <w:proofErr w:type="spellEnd"/>
            </w:hyperlink>
            <w:r>
              <w:rPr>
                <w:rFonts w:ascii="Arial" w:hAnsi="Arial" w:cs="Arial"/>
                <w:color w:val="000000"/>
              </w:rPr>
              <w:t xml:space="preserve"> avec les bons paramètres</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A8" w14:textId="77777777">
            <w:pPr>
              <w:pStyle w:val="NormalWeb"/>
              <w:spacing w:beforeAutospacing="0" w:after="0" w:afterAutospacing="0"/>
              <w:jc w:val="center"/>
            </w:pPr>
            <w:r>
              <w:rPr>
                <w:rFonts w:ascii="Arial" w:hAnsi="Arial" w:cs="Arial"/>
                <w:color w:val="000000"/>
              </w:rPr>
              <w:t>Le job s’exécute sans erreur</w:t>
            </w:r>
          </w:p>
        </w:tc>
      </w:tr>
      <w:tr w:rsidR="006E6D7A" w14:paraId="67157BB4" w14:textId="77777777">
        <w:tc>
          <w:tcPr>
            <w:tcW w:w="0" w:type="auto"/>
            <w:tcBorders>
              <w:top w:val="single" w:color="000000" w:sz="8" w:space="0"/>
              <w:left w:val="single" w:color="000000" w:sz="8" w:space="0"/>
              <w:bottom w:val="single" w:color="000000" w:sz="8" w:space="0"/>
              <w:right w:val="single" w:color="000000" w:sz="8" w:space="0"/>
            </w:tcBorders>
            <w:shd w:val="clear" w:color="auto" w:fill="F5F5F5"/>
            <w:tcMar>
              <w:top w:w="100" w:type="dxa"/>
              <w:left w:w="100" w:type="dxa"/>
              <w:bottom w:w="100" w:type="dxa"/>
              <w:right w:w="100" w:type="dxa"/>
            </w:tcMar>
          </w:tcPr>
          <w:p w:rsidR="006E6D7A" w:rsidRDefault="00B16C64" w14:paraId="67157BAA" w14:textId="77777777">
            <w:pPr>
              <w:pStyle w:val="NormalWeb"/>
              <w:spacing w:beforeAutospacing="0" w:after="0" w:afterAutospacing="0"/>
              <w:rPr>
                <w:rFonts w:ascii="Arial" w:hAnsi="Arial" w:cs="Arial"/>
                <w:color w:val="000000"/>
              </w:rPr>
            </w:pPr>
            <w:r>
              <w:rPr>
                <w:rFonts w:ascii="Arial" w:hAnsi="Arial" w:cs="Arial"/>
                <w:color w:val="000000"/>
              </w:rPr>
              <w:t xml:space="preserve">Lancer </w:t>
            </w:r>
            <w:proofErr w:type="gramStart"/>
            <w:r>
              <w:rPr>
                <w:rFonts w:ascii="Arial" w:hAnsi="Arial" w:cs="Arial"/>
                <w:color w:val="000000"/>
              </w:rPr>
              <w:t>la pipeline</w:t>
            </w:r>
            <w:proofErr w:type="gramEnd"/>
            <w:r>
              <w:rPr>
                <w:rFonts w:ascii="Arial" w:hAnsi="Arial" w:cs="Arial"/>
                <w:color w:val="000000"/>
              </w:rPr>
              <w:t xml:space="preserve"> :</w:t>
            </w:r>
          </w:p>
          <w:p w:rsidR="006E6D7A" w:rsidRDefault="00000000" w14:paraId="67157BAB" w14:textId="77777777">
            <w:pPr>
              <w:pStyle w:val="NormalWeb"/>
              <w:spacing w:beforeAutospacing="0" w:after="0" w:afterAutospacing="0"/>
              <w:rPr>
                <w:rFonts w:ascii="Arial" w:hAnsi="Arial" w:cs="Arial"/>
                <w:color w:val="000000"/>
              </w:rPr>
            </w:pPr>
            <w:hyperlink w:tooltip="https://forge-dsi.dcidf.inrae.fr/finance/playbook/-/jobs" w:history="1" r:id="rId133">
              <w:r w:rsidR="00B16C64">
                <w:rPr>
                  <w:color w:val="000000"/>
                </w:rPr>
                <w:t>https://forge-dsi.dcidf.inrae.fr/finance/playbook/-/jobs</w:t>
              </w:r>
            </w:hyperlink>
          </w:p>
          <w:p w:rsidR="006E6D7A" w:rsidRDefault="00B16C64" w14:paraId="67157BAC" w14:textId="77777777">
            <w:pPr>
              <w:pStyle w:val="NormalWeb"/>
              <w:spacing w:beforeAutospacing="0" w:after="0" w:afterAutospacing="0"/>
              <w:rPr>
                <w:rFonts w:ascii="Arial" w:hAnsi="Arial" w:cs="Arial"/>
                <w:color w:val="000000"/>
              </w:rPr>
            </w:pPr>
            <w:r>
              <w:rPr>
                <w:rFonts w:ascii="Arial" w:hAnsi="Arial" w:cs="Arial"/>
                <w:color w:val="000000"/>
              </w:rPr>
              <w:t>Avec en paramètre :</w:t>
            </w:r>
          </w:p>
          <w:p w:rsidR="006E6D7A" w:rsidRDefault="00B16C64" w14:paraId="67157BAD" w14:textId="77777777">
            <w:pPr>
              <w:pStyle w:val="NormalWeb"/>
              <w:numPr>
                <w:ilvl w:val="0"/>
                <w:numId w:val="49"/>
              </w:numPr>
              <w:spacing w:beforeAutospacing="0" w:after="0" w:afterAutospacing="0"/>
              <w:jc w:val="left"/>
              <w:rPr>
                <w:rFonts w:ascii="Arial" w:hAnsi="Arial" w:cs="Arial"/>
                <w:color w:val="000000"/>
              </w:rPr>
            </w:pPr>
            <w:r>
              <w:rPr>
                <w:rFonts w:ascii="Arial" w:hAnsi="Arial" w:cs="Arial"/>
                <w:color w:val="000000"/>
              </w:rPr>
              <w:t>ENV : production</w:t>
            </w:r>
          </w:p>
          <w:p w:rsidR="006E6D7A" w:rsidRDefault="00B16C64" w14:paraId="67157BAE" w14:textId="77777777">
            <w:pPr>
              <w:pStyle w:val="NormalWeb"/>
              <w:numPr>
                <w:ilvl w:val="0"/>
                <w:numId w:val="49"/>
              </w:numPr>
              <w:spacing w:beforeAutospacing="0" w:after="0" w:afterAutospacing="0"/>
              <w:jc w:val="left"/>
              <w:rPr>
                <w:rFonts w:ascii="Arial" w:hAnsi="Arial" w:cs="Arial"/>
                <w:color w:val="000000"/>
              </w:rPr>
            </w:pPr>
            <w:r>
              <w:rPr>
                <w:rFonts w:ascii="Arial" w:hAnsi="Arial" w:cs="Arial"/>
                <w:color w:val="000000"/>
              </w:rPr>
              <w:t>SIMULATION_PAIE_APP_</w:t>
            </w:r>
            <w:proofErr w:type="gramStart"/>
            <w:r>
              <w:rPr>
                <w:rFonts w:ascii="Arial" w:hAnsi="Arial" w:cs="Arial"/>
                <w:color w:val="000000"/>
              </w:rPr>
              <w:t>VERSION:</w:t>
            </w:r>
            <w:proofErr w:type="gramEnd"/>
            <w:r>
              <w:rPr>
                <w:rFonts w:ascii="Arial" w:hAnsi="Arial" w:cs="Arial"/>
                <w:color w:val="000000"/>
              </w:rPr>
              <w:t xml:space="preserve"> 0.0.10</w:t>
            </w:r>
          </w:p>
          <w:p w:rsidR="006E6D7A" w:rsidRDefault="00B16C64" w14:paraId="67157BAF" w14:textId="77777777">
            <w:pPr>
              <w:pStyle w:val="NormalWeb"/>
              <w:numPr>
                <w:ilvl w:val="0"/>
                <w:numId w:val="49"/>
              </w:numPr>
              <w:spacing w:beforeAutospacing="0" w:after="0" w:afterAutospacing="0"/>
              <w:jc w:val="left"/>
              <w:rPr>
                <w:rFonts w:ascii="Arial" w:hAnsi="Arial" w:cs="Arial"/>
                <w:color w:val="000000"/>
              </w:rPr>
            </w:pPr>
            <w:proofErr w:type="gramStart"/>
            <w:r>
              <w:rPr>
                <w:rFonts w:ascii="Arial" w:hAnsi="Arial" w:cs="Arial"/>
                <w:color w:val="000000"/>
              </w:rPr>
              <w:t>TAGS:</w:t>
            </w:r>
            <w:proofErr w:type="gramEnd"/>
            <w:r>
              <w:rPr>
                <w:rFonts w:ascii="Arial" w:hAnsi="Arial" w:cs="Arial"/>
                <w:color w:val="000000"/>
              </w:rPr>
              <w:t xml:space="preserve"> all</w:t>
            </w:r>
          </w:p>
          <w:p w:rsidR="006E6D7A" w:rsidRDefault="00B16C64" w14:paraId="67157BB0" w14:textId="77777777">
            <w:pPr>
              <w:pStyle w:val="NormalWeb"/>
              <w:spacing w:beforeAutospacing="0" w:after="0" w:afterAutospacing="0"/>
              <w:rPr>
                <w:rFonts w:ascii="Arial" w:hAnsi="Arial" w:cs="Arial"/>
                <w:color w:val="000000"/>
              </w:rPr>
            </w:pPr>
            <w:r>
              <w:rPr>
                <w:rFonts w:ascii="Arial" w:hAnsi="Arial" w:cs="Arial"/>
                <w:noProof/>
                <w:color w:val="000000"/>
              </w:rPr>
              <mc:AlternateContent>
                <mc:Choice Requires="wpg">
                  <w:drawing>
                    <wp:inline distT="0" distB="0" distL="0" distR="0" wp14:anchorId="67157C47" wp14:editId="67157C48">
                      <wp:extent cx="3451860" cy="2827020"/>
                      <wp:effectExtent l="0" t="0" r="0" b="0"/>
                      <wp:docPr id="42"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rotWithShape="1">
                              <a:blip r:embed="rId134"/>
                              <a:stretch/>
                            </pic:blipFill>
                            <pic:spPr bwMode="auto">
                              <a:xfrm>
                                <a:off x="0" y="0"/>
                                <a:ext cx="3451860" cy="2827020"/>
                              </a:xfrm>
                              <a:prstGeom prst="rect">
                                <a:avLst/>
                              </a:prstGeom>
                              <a:noFill/>
                              <a:ln>
                                <a:noFill/>
                              </a:ln>
                            </pic:spPr>
                          </pic:pic>
                        </a:graphicData>
                      </a:graphic>
                    </wp:inline>
                  </w:drawing>
                </mc:Choice>
                <mc:Fallback xmlns:a="http://schemas.openxmlformats.org/drawingml/2006/main">
                  <w:pict w14:anchorId="6BE25615">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41" style="width:271.80pt;height:222.60pt;mso-wrap-distance-left:0.00pt;mso-wrap-distance-top:0.00pt;mso-wrap-distance-right:0.00pt;mso-wrap-distance-bottom:0.00pt;z-index:1;" o:spid="_x0000_s41" stroked="f" type="#_x0000_t75">
                      <v:imagedata o:title="" r:id="rId135"/>
                      <o:lock v:ext="edit" rotation="t"/>
                    </v:shape>
                  </w:pict>
                </mc:Fallback>
              </mc:AlternateContent>
            </w:r>
          </w:p>
        </w:tc>
        <w:tc>
          <w:tcPr>
            <w:tcW w:w="0" w:type="auto"/>
            <w:tcBorders>
              <w:top w:val="single" w:color="000000" w:sz="8" w:space="0"/>
              <w:left w:val="single" w:color="000000" w:sz="8" w:space="0"/>
              <w:bottom w:val="single" w:color="000000" w:sz="8" w:space="0"/>
              <w:right w:val="single" w:color="000000" w:sz="8" w:space="0"/>
            </w:tcBorders>
            <w:shd w:val="clear" w:color="auto" w:fill="F5F5F5"/>
            <w:tcMar>
              <w:top w:w="100" w:type="dxa"/>
              <w:left w:w="100" w:type="dxa"/>
              <w:bottom w:w="100" w:type="dxa"/>
              <w:right w:w="100" w:type="dxa"/>
            </w:tcMar>
          </w:tcPr>
          <w:p w:rsidR="006E6D7A" w:rsidRDefault="006E6D7A" w14:paraId="67157BB1" w14:textId="77777777">
            <w:pPr>
              <w:spacing w:after="240"/>
            </w:pPr>
          </w:p>
          <w:p w:rsidR="006E6D7A" w:rsidRDefault="00B16C64" w14:paraId="67157BB2" w14:textId="77777777">
            <w:pPr>
              <w:pStyle w:val="NormalWeb"/>
              <w:spacing w:beforeAutospacing="0" w:after="0" w:afterAutospacing="0"/>
              <w:jc w:val="center"/>
            </w:pPr>
            <w:r>
              <w:rPr>
                <w:rFonts w:ascii="Arial" w:hAnsi="Arial" w:cs="Arial"/>
                <w:color w:val="000000"/>
              </w:rPr>
              <w:t>Ansible s’exécute sans erreur</w:t>
            </w:r>
          </w:p>
          <w:p w:rsidR="006E6D7A" w:rsidRDefault="006E6D7A" w14:paraId="67157BB3" w14:textId="77777777"/>
        </w:tc>
      </w:tr>
    </w:tbl>
    <w:p w:rsidR="006E6D7A" w:rsidRDefault="00B16C64" w14:paraId="67157BB5" w14:textId="77777777">
      <w:pPr>
        <w:spacing w:after="240"/>
      </w:pPr>
      <w:r>
        <w:br/>
      </w:r>
    </w:p>
    <w:p w:rsidR="006E6D7A" w:rsidRDefault="00B16C64" w14:paraId="67157BB6" w14:textId="77777777">
      <w:pPr>
        <w:pStyle w:val="Titre3"/>
        <w:numPr>
          <w:ilvl w:val="3"/>
          <w:numId w:val="3"/>
        </w:numPr>
      </w:pPr>
      <w:bookmarkStart w:name="_Toc221095615" w:id="202"/>
      <w:r>
        <w:t>Mise à jour du suivi des environnements</w:t>
      </w:r>
      <w:bookmarkEnd w:id="202"/>
    </w:p>
    <w:tbl>
      <w:tblPr>
        <w:tblW w:w="0" w:type="auto"/>
        <w:tblCellMar>
          <w:top w:w="15" w:type="dxa"/>
          <w:left w:w="15" w:type="dxa"/>
          <w:bottom w:w="15" w:type="dxa"/>
          <w:right w:w="15" w:type="dxa"/>
        </w:tblCellMar>
        <w:tblLook w:val="04A0" w:firstRow="1" w:lastRow="0" w:firstColumn="1" w:lastColumn="0" w:noHBand="0" w:noVBand="1"/>
      </w:tblPr>
      <w:tblGrid>
        <w:gridCol w:w="9051"/>
        <w:gridCol w:w="567"/>
      </w:tblGrid>
      <w:tr w:rsidR="006E6D7A" w14:paraId="67157BB8" w14:textId="77777777">
        <w:tc>
          <w:tcPr>
            <w:tcW w:w="0" w:type="auto"/>
            <w:gridSpan w:val="2"/>
            <w:tcBorders>
              <w:top w:val="single" w:color="000000" w:sz="8" w:space="0"/>
              <w:left w:val="single" w:color="000000" w:sz="8" w:space="0"/>
              <w:bottom w:val="single" w:color="000000" w:sz="8" w:space="0"/>
              <w:right w:val="single" w:color="000000" w:sz="8" w:space="0"/>
            </w:tcBorders>
            <w:shd w:val="clear" w:color="auto" w:fill="D9D9D9"/>
            <w:tcMar>
              <w:top w:w="100" w:type="dxa"/>
              <w:left w:w="100" w:type="dxa"/>
              <w:bottom w:w="100" w:type="dxa"/>
              <w:right w:w="100" w:type="dxa"/>
            </w:tcMar>
          </w:tcPr>
          <w:p w:rsidR="006E6D7A" w:rsidRDefault="00B16C64" w14:paraId="67157BB7" w14:textId="77777777">
            <w:pPr>
              <w:pStyle w:val="NormalWeb"/>
              <w:spacing w:beforeAutospacing="0" w:after="0" w:afterAutospacing="0"/>
              <w:jc w:val="center"/>
            </w:pPr>
            <w:r>
              <w:rPr>
                <w:rFonts w:ascii="Trebuchet MS" w:hAnsi="Trebuchet MS"/>
                <w:color w:val="000000"/>
                <w:sz w:val="32"/>
                <w:szCs w:val="32"/>
              </w:rPr>
              <w:t>Mise à jour du suivi des environnements</w:t>
            </w:r>
          </w:p>
        </w:tc>
      </w:tr>
      <w:tr w:rsidR="006E6D7A" w14:paraId="67157BBB" w14:textId="77777777">
        <w:trPr>
          <w:trHeight w:val="750"/>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B9" w14:textId="77777777">
            <w:pPr>
              <w:pStyle w:val="NormalWeb"/>
              <w:spacing w:beforeAutospacing="0" w:after="0" w:afterAutospacing="0"/>
              <w:rPr>
                <w:rFonts w:ascii="Arial" w:hAnsi="Arial" w:cs="Arial"/>
                <w:color w:val="000000"/>
              </w:rPr>
            </w:pPr>
            <w:r>
              <w:rPr>
                <w:rFonts w:ascii="Arial" w:hAnsi="Arial" w:cs="Arial"/>
                <w:color w:val="000000"/>
              </w:rPr>
              <w:lastRenderedPageBreak/>
              <w:t xml:space="preserve">Mettre à jour la date de la version sur le document de </w:t>
            </w:r>
            <w:hyperlink w:tooltip="https://docs.google.com/document/d/1hsHigicWsVOMMWYYCAVvamBOp9yRkW3crfXvP6TInEo/edit?tab=t.0" w:history="1" r:id="rId136">
              <w:r>
                <w:rPr>
                  <w:color w:val="000000"/>
                </w:rPr>
                <w:t>Release Notes</w:t>
              </w:r>
            </w:hyperlink>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BA" w14:textId="77777777"/>
        </w:tc>
      </w:tr>
      <w:tr w:rsidR="006E6D7A" w14:paraId="67157BC0" w14:textId="77777777">
        <w:trPr>
          <w:trHeight w:val="750"/>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BC" w14:textId="77777777">
            <w:pPr>
              <w:pStyle w:val="NormalWeb"/>
              <w:spacing w:beforeAutospacing="0" w:after="0" w:afterAutospacing="0"/>
              <w:rPr>
                <w:rFonts w:ascii="Arial" w:hAnsi="Arial" w:cs="Arial"/>
                <w:color w:val="000000"/>
              </w:rPr>
            </w:pPr>
            <w:r>
              <w:rPr>
                <w:rFonts w:ascii="Arial" w:hAnsi="Arial" w:cs="Arial"/>
                <w:color w:val="000000"/>
              </w:rPr>
              <w:t xml:space="preserve">Mettre à jour le </w:t>
            </w:r>
            <w:hyperlink w:tooltip="https://docs.google.com/spreadsheets/d/1TnVNeNgeHm0MxA6qPf0PvCw_gZBapsO70Ei77-nCW3w/edit?gid=11291926#gid=11291926" w:history="1" w:anchor="gid=11291926" r:id="rId137">
              <w:r>
                <w:rPr>
                  <w:color w:val="000000"/>
                </w:rPr>
                <w:t>document de suivi des environnements</w:t>
              </w:r>
            </w:hyperlink>
            <w:r>
              <w:rPr>
                <w:rFonts w:ascii="Arial" w:hAnsi="Arial" w:cs="Arial"/>
                <w:color w:val="000000"/>
              </w:rPr>
              <w:t xml:space="preserve"> avec la version déployée sur chaque environnement et les dates de déploiement</w:t>
            </w:r>
          </w:p>
          <w:p w:rsidR="006E6D7A" w:rsidRDefault="00B16C64" w14:paraId="67157BBD" w14:textId="77777777">
            <w:pPr>
              <w:pStyle w:val="NormalWeb"/>
              <w:spacing w:beforeAutospacing="0" w:after="0" w:afterAutospacing="0"/>
              <w:rPr>
                <w:rFonts w:ascii="Arial" w:hAnsi="Arial" w:cs="Arial"/>
                <w:color w:val="000000"/>
              </w:rPr>
            </w:pPr>
            <w:r>
              <w:rPr>
                <w:rFonts w:ascii="Arial" w:hAnsi="Arial" w:cs="Arial"/>
                <w:color w:val="000000"/>
              </w:rPr>
              <w:t>L’onglet de l’application SIMPAIE “SIMPAIE - FINANCE” comme suivante : </w:t>
            </w:r>
          </w:p>
          <w:p w:rsidR="006E6D7A" w:rsidRDefault="00B16C64" w14:paraId="67157BBE" w14:textId="77777777">
            <w:pPr>
              <w:pStyle w:val="NormalWeb"/>
              <w:numPr>
                <w:ilvl w:val="0"/>
                <w:numId w:val="50"/>
              </w:numPr>
              <w:spacing w:beforeAutospacing="0" w:after="0" w:afterAutospacing="0"/>
              <w:rPr>
                <w:rFonts w:ascii="Arial" w:hAnsi="Arial" w:cs="Arial"/>
                <w:color w:val="000000"/>
              </w:rPr>
            </w:pPr>
            <w:r>
              <w:rPr>
                <w:rFonts w:ascii="Arial" w:hAnsi="Arial" w:cs="Arial"/>
                <w:color w:val="000000"/>
              </w:rPr>
              <w:t>Simulation-paie : mettre à jour pour la version 1.0.0</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BF" w14:textId="77777777">
            <w:pPr>
              <w:rPr>
                <w:rFonts w:ascii="Times New Roman" w:hAnsi="Times New Roman" w:cs="Times New Roman"/>
                <w:sz w:val="24"/>
                <w:szCs w:val="24"/>
              </w:rPr>
            </w:pPr>
          </w:p>
        </w:tc>
      </w:tr>
      <w:tr w:rsidR="006E6D7A" w14:paraId="67157BC3" w14:textId="77777777">
        <w:trPr>
          <w:trHeight w:val="750"/>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C1" w14:textId="77777777">
            <w:pPr>
              <w:pStyle w:val="NormalWeb"/>
              <w:spacing w:beforeAutospacing="0" w:after="0" w:afterAutospacing="0"/>
              <w:rPr>
                <w:rFonts w:ascii="Arial" w:hAnsi="Arial" w:cs="Arial"/>
                <w:color w:val="000000"/>
              </w:rPr>
            </w:pPr>
            <w:r>
              <w:rPr>
                <w:rFonts w:ascii="Arial" w:hAnsi="Arial" w:cs="Arial"/>
                <w:color w:val="000000"/>
              </w:rPr>
              <w:t xml:space="preserve">Mettre à jour le </w:t>
            </w:r>
            <w:hyperlink w:tooltip="https://docs.google.com/spreadsheets/d/1kudqX-bm3RoEz65lohbycXq99p5ETUL9MjsC-GHBFhY/edit" w:history="1" r:id="rId138">
              <w:r>
                <w:rPr>
                  <w:color w:val="000000"/>
                </w:rPr>
                <w:t>document de suivi</w:t>
              </w:r>
            </w:hyperlink>
            <w:r>
              <w:rPr>
                <w:rFonts w:ascii="Arial" w:hAnsi="Arial" w:cs="Arial"/>
                <w:color w:val="000000"/>
              </w:rPr>
              <w:t xml:space="preserve"> de production mettre le lien du plan de MEP dans la colonne MEP</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C2" w14:textId="77777777"/>
        </w:tc>
      </w:tr>
      <w:tr w:rsidR="006E6D7A" w14:paraId="67157BC6" w14:textId="77777777">
        <w:trPr>
          <w:trHeight w:val="750"/>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C4" w14:textId="77777777">
            <w:pPr>
              <w:pStyle w:val="NormalWeb"/>
              <w:spacing w:beforeAutospacing="0" w:after="0" w:afterAutospacing="0"/>
              <w:rPr>
                <w:rFonts w:ascii="Arial" w:hAnsi="Arial" w:cs="Arial"/>
                <w:color w:val="000000"/>
              </w:rPr>
            </w:pPr>
            <w:r>
              <w:rPr>
                <w:rFonts w:ascii="Arial" w:hAnsi="Arial" w:cs="Arial"/>
                <w:color w:val="000000"/>
              </w:rPr>
              <w:t>Mettre à jour le fichier</w:t>
            </w:r>
            <w:hyperlink w:tooltip="https://docs.google.com/spreadsheets/d/1QPNddHkiV6ArMpMALDyiw6K0f8ufIuQIGZP2gFs3AVw/edit#gid=1436438371" w:history="1" w:anchor="gid=1436438371" r:id="rId139">
              <w:r>
                <w:rPr>
                  <w:color w:val="000000"/>
                </w:rPr>
                <w:t xml:space="preserve"> </w:t>
              </w:r>
            </w:hyperlink>
            <w:hyperlink w:tooltip="https://docs.google.com/spreadsheets/d/1Bfwf9CtdI13ZlVB8e2nIjZP698NbXW9tvlXqoWjDzpI/edit?gid=1436438371#gid=1436438371" w:history="1" w:anchor="gid=1436438371" r:id="rId140">
              <w:r>
                <w:rPr>
                  <w:color w:val="000000"/>
                </w:rPr>
                <w:t>indicateurs</w:t>
              </w:r>
            </w:hyperlink>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C5" w14:textId="77777777"/>
        </w:tc>
      </w:tr>
      <w:tr w:rsidR="006E6D7A" w14:paraId="67157BC8" w14:textId="77777777">
        <w:trPr>
          <w:trHeight w:val="750"/>
        </w:trPr>
        <w:tc>
          <w:tcPr>
            <w:tcW w:w="0" w:type="auto"/>
            <w:gridSpan w:val="2"/>
            <w:tcBorders>
              <w:top w:val="single" w:color="000000" w:sz="8" w:space="0"/>
              <w:left w:val="single" w:color="000000" w:sz="8" w:space="0"/>
              <w:bottom w:val="single" w:color="000000" w:sz="8" w:space="0"/>
              <w:right w:val="single" w:color="000000" w:sz="8" w:space="0"/>
            </w:tcBorders>
            <w:shd w:val="clear" w:color="auto" w:fill="D9D9D9"/>
            <w:tcMar>
              <w:top w:w="100" w:type="dxa"/>
              <w:left w:w="100" w:type="dxa"/>
              <w:bottom w:w="100" w:type="dxa"/>
              <w:right w:w="100" w:type="dxa"/>
            </w:tcMar>
          </w:tcPr>
          <w:p w:rsidR="006E6D7A" w:rsidRDefault="00B16C64" w14:paraId="67157BC7" w14:textId="77777777">
            <w:pPr>
              <w:pStyle w:val="NormalWeb"/>
              <w:spacing w:beforeAutospacing="0" w:after="0" w:afterAutospacing="0"/>
              <w:jc w:val="center"/>
            </w:pPr>
            <w:r>
              <w:rPr>
                <w:rFonts w:ascii="Trebuchet MS" w:hAnsi="Trebuchet MS"/>
                <w:color w:val="000000"/>
                <w:sz w:val="32"/>
                <w:szCs w:val="32"/>
              </w:rPr>
              <w:t>Mise à jour des fichiers de suivi de la production</w:t>
            </w:r>
          </w:p>
        </w:tc>
      </w:tr>
      <w:tr w:rsidR="006E6D7A" w14:paraId="67157BCB" w14:textId="77777777">
        <w:trPr>
          <w:trHeight w:val="750"/>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C9" w14:textId="77777777">
            <w:pPr>
              <w:pStyle w:val="NormalWeb"/>
              <w:spacing w:beforeAutospacing="0" w:after="0" w:afterAutospacing="0"/>
              <w:rPr>
                <w:rFonts w:ascii="Arial" w:hAnsi="Arial" w:cs="Arial"/>
                <w:color w:val="000000"/>
              </w:rPr>
            </w:pPr>
            <w:r>
              <w:rPr>
                <w:rFonts w:ascii="Arial" w:hAnsi="Arial" w:cs="Arial"/>
                <w:color w:val="000000"/>
              </w:rPr>
              <w:t xml:space="preserve">Mettre à jour les versions des Framework et dépendances </w:t>
            </w:r>
            <w:hyperlink w:tooltip="https://docs.google.com/spreadsheets/d/182JNBd06kLIEzS1sm455MhbEyJAL9309cVd-yqbmaNY/edit#gid=0" w:history="1" w:anchor="gid=0" r:id="rId141">
              <w:r>
                <w:rPr>
                  <w:color w:val="000000"/>
                </w:rPr>
                <w:t xml:space="preserve">document de suivi des environnements </w:t>
              </w:r>
            </w:hyperlink>
            <w:r>
              <w:rPr>
                <w:rFonts w:ascii="Arial" w:hAnsi="Arial" w:cs="Arial"/>
                <w:color w:val="000000"/>
              </w:rPr>
              <w:t>si y a eu des mises à jour</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CA" w14:textId="77777777"/>
        </w:tc>
      </w:tr>
      <w:tr w:rsidR="006E6D7A" w14:paraId="67157BCE" w14:textId="77777777">
        <w:trPr>
          <w:trHeight w:val="750"/>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CC" w14:textId="77777777">
            <w:pPr>
              <w:pStyle w:val="NormalWeb"/>
              <w:spacing w:beforeAutospacing="0" w:after="0" w:afterAutospacing="0"/>
              <w:rPr>
                <w:rFonts w:ascii="Arial" w:hAnsi="Arial" w:cs="Arial"/>
                <w:color w:val="000000"/>
              </w:rPr>
            </w:pPr>
            <w:r>
              <w:rPr>
                <w:rFonts w:ascii="Arial" w:hAnsi="Arial" w:cs="Arial"/>
                <w:color w:val="000000"/>
              </w:rPr>
              <w:t xml:space="preserve">Mettre à jour </w:t>
            </w:r>
            <w:hyperlink w:tooltip="https://docs.google.com/spreadsheets/d/1Ixv9DPXJy14DUr9HINuK-jwz9VmoikTA61tySzARdYM/edit#gid=0" w:history="1" w:anchor="gid=0" r:id="rId142">
              <w:r>
                <w:rPr>
                  <w:color w:val="000000"/>
                </w:rPr>
                <w:t xml:space="preserve">le plan de production </w:t>
              </w:r>
            </w:hyperlink>
            <w:r>
              <w:rPr>
                <w:rFonts w:ascii="Arial" w:hAnsi="Arial" w:cs="Arial"/>
                <w:color w:val="000000"/>
              </w:rPr>
              <w:t>si on a un traitement qui s'exécute tous les jours</w:t>
            </w:r>
          </w:p>
        </w:tc>
        <w:tc>
          <w:tcPr>
            <w:tcW w:w="0" w:type="auto"/>
            <w:tcBorders>
              <w:top w:val="single" w:color="000000" w:sz="8" w:space="0"/>
              <w:left w:val="single" w:color="000000" w:sz="8" w:space="0"/>
              <w:bottom w:val="single" w:color="000000" w:sz="8" w:space="0"/>
              <w:right w:val="single" w:color="000000" w:sz="8" w:space="0"/>
            </w:tcBorders>
            <w:shd w:val="clear" w:color="auto" w:fill="FFE599"/>
            <w:tcMar>
              <w:top w:w="100" w:type="dxa"/>
              <w:left w:w="100" w:type="dxa"/>
              <w:bottom w:w="100" w:type="dxa"/>
              <w:right w:w="100" w:type="dxa"/>
            </w:tcMar>
          </w:tcPr>
          <w:p w:rsidR="006E6D7A" w:rsidRDefault="00B16C64" w14:paraId="67157BCD" w14:textId="77777777">
            <w:pPr>
              <w:pStyle w:val="NormalWeb"/>
              <w:spacing w:beforeAutospacing="0" w:after="0" w:afterAutospacing="0"/>
              <w:ind w:left="360" w:hanging="360"/>
            </w:pPr>
            <w:r>
              <w:rPr>
                <w:rFonts w:ascii="Arial" w:hAnsi="Arial" w:cs="Arial"/>
                <w:color w:val="000000"/>
              </w:rPr>
              <w:t>N/A</w:t>
            </w:r>
          </w:p>
        </w:tc>
      </w:tr>
      <w:tr w:rsidR="006E6D7A" w14:paraId="67157BD0" w14:textId="77777777">
        <w:trPr>
          <w:trHeight w:val="750"/>
        </w:trPr>
        <w:tc>
          <w:tcPr>
            <w:tcW w:w="0" w:type="auto"/>
            <w:gridSpan w:val="2"/>
            <w:tcBorders>
              <w:top w:val="single" w:color="000000" w:sz="8" w:space="0"/>
              <w:left w:val="single" w:color="000000" w:sz="8" w:space="0"/>
              <w:bottom w:val="single" w:color="000000" w:sz="8" w:space="0"/>
              <w:right w:val="single" w:color="000000" w:sz="8" w:space="0"/>
            </w:tcBorders>
            <w:shd w:val="clear" w:color="auto" w:fill="D9D9D9"/>
            <w:tcMar>
              <w:top w:w="100" w:type="dxa"/>
              <w:left w:w="100" w:type="dxa"/>
              <w:bottom w:w="100" w:type="dxa"/>
              <w:right w:w="100" w:type="dxa"/>
            </w:tcMar>
          </w:tcPr>
          <w:p w:rsidR="006E6D7A" w:rsidRDefault="00B16C64" w14:paraId="67157BCF" w14:textId="77777777">
            <w:pPr>
              <w:pStyle w:val="NormalWeb"/>
              <w:spacing w:beforeAutospacing="0" w:after="0" w:afterAutospacing="0"/>
              <w:jc w:val="center"/>
            </w:pPr>
            <w:r>
              <w:rPr>
                <w:rFonts w:ascii="Trebuchet MS" w:hAnsi="Trebuchet MS"/>
                <w:color w:val="000000"/>
                <w:sz w:val="32"/>
                <w:szCs w:val="32"/>
              </w:rPr>
              <w:t>Mise à jour du plan de MEP</w:t>
            </w:r>
          </w:p>
        </w:tc>
      </w:tr>
      <w:tr w:rsidR="006E6D7A" w14:paraId="67157BD3" w14:textId="77777777">
        <w:trPr>
          <w:trHeight w:val="750"/>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D1" w14:textId="77777777">
            <w:pPr>
              <w:pStyle w:val="NormalWeb"/>
              <w:spacing w:beforeAutospacing="0" w:after="0" w:afterAutospacing="0"/>
            </w:pPr>
            <w:r>
              <w:rPr>
                <w:rFonts w:ascii="Arial" w:hAnsi="Arial" w:cs="Arial"/>
                <w:color w:val="000000"/>
              </w:rPr>
              <w:t xml:space="preserve">Mettre à jour le nom de ce plan de MEP, pour bien mettre la date du </w:t>
            </w:r>
            <w:proofErr w:type="gramStart"/>
            <w:r>
              <w:rPr>
                <w:rFonts w:ascii="Arial" w:hAnsi="Arial" w:cs="Arial"/>
                <w:color w:val="000000"/>
              </w:rPr>
              <w:t>jour  de</w:t>
            </w:r>
            <w:proofErr w:type="gramEnd"/>
            <w:r>
              <w:rPr>
                <w:rFonts w:ascii="Arial" w:hAnsi="Arial" w:cs="Arial"/>
                <w:color w:val="000000"/>
              </w:rPr>
              <w:t xml:space="preserve"> la MEP </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D2" w14:textId="77777777"/>
        </w:tc>
      </w:tr>
      <w:tr w:rsidR="006E6D7A" w14:paraId="67157BD6" w14:textId="77777777">
        <w:trPr>
          <w:trHeight w:val="750"/>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D4" w14:textId="77777777">
            <w:pPr>
              <w:pStyle w:val="NormalWeb"/>
              <w:spacing w:beforeAutospacing="0" w:after="0" w:afterAutospacing="0"/>
            </w:pPr>
            <w:r>
              <w:rPr>
                <w:rFonts w:ascii="Arial" w:hAnsi="Arial" w:cs="Arial"/>
                <w:color w:val="000000"/>
              </w:rPr>
              <w:t>Déplacer le document dans le répertoire des “</w:t>
            </w:r>
            <w:hyperlink w:tooltip="https://drive.google.com/drive/folders/11hDmVQFGB4Qdz6KEd06OXibzre4F5mYr" w:history="1" r:id="rId143">
              <w:r>
                <w:rPr>
                  <w:color w:val="000000"/>
                </w:rPr>
                <w:t>MEP exécutés</w:t>
              </w:r>
            </w:hyperlink>
            <w:r>
              <w:rPr>
                <w:rFonts w:ascii="Arial" w:hAnsi="Arial" w:cs="Arial"/>
                <w:color w:val="000000"/>
              </w:rPr>
              <w:t>”.</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D5" w14:textId="77777777"/>
        </w:tc>
      </w:tr>
    </w:tbl>
    <w:p w:rsidR="006E6D7A" w:rsidRDefault="00B16C64" w14:paraId="67157BD7" w14:textId="77777777">
      <w:pPr>
        <w:pStyle w:val="Titre3"/>
        <w:numPr>
          <w:ilvl w:val="3"/>
          <w:numId w:val="3"/>
        </w:numPr>
      </w:pPr>
      <w:bookmarkStart w:name="_Toc221095616" w:id="203"/>
      <w:r>
        <w:t>Communication à l’équipe de développement</w:t>
      </w:r>
      <w:bookmarkEnd w:id="203"/>
    </w:p>
    <w:tbl>
      <w:tblPr>
        <w:tblW w:w="0" w:type="auto"/>
        <w:tblCellMar>
          <w:top w:w="15" w:type="dxa"/>
          <w:left w:w="15" w:type="dxa"/>
          <w:bottom w:w="15" w:type="dxa"/>
          <w:right w:w="15" w:type="dxa"/>
        </w:tblCellMar>
        <w:tblLook w:val="04A0" w:firstRow="1" w:lastRow="0" w:firstColumn="1" w:lastColumn="0" w:noHBand="0" w:noVBand="1"/>
      </w:tblPr>
      <w:tblGrid>
        <w:gridCol w:w="9412"/>
        <w:gridCol w:w="206"/>
      </w:tblGrid>
      <w:tr w:rsidR="006E6D7A" w14:paraId="67157BD9" w14:textId="77777777">
        <w:trPr>
          <w:trHeight w:val="495"/>
        </w:trPr>
        <w:tc>
          <w:tcPr>
            <w:tcW w:w="0" w:type="auto"/>
            <w:gridSpan w:val="2"/>
            <w:tcBorders>
              <w:top w:val="single" w:color="000000" w:sz="8" w:space="0"/>
              <w:left w:val="single" w:color="000000" w:sz="8" w:space="0"/>
              <w:bottom w:val="single" w:color="000000" w:sz="8" w:space="0"/>
              <w:right w:val="single" w:color="000000" w:sz="8" w:space="0"/>
            </w:tcBorders>
            <w:shd w:val="clear" w:color="auto" w:fill="D9D9D9"/>
            <w:tcMar>
              <w:top w:w="100" w:type="dxa"/>
              <w:left w:w="100" w:type="dxa"/>
              <w:bottom w:w="100" w:type="dxa"/>
              <w:right w:w="100" w:type="dxa"/>
            </w:tcMar>
          </w:tcPr>
          <w:p w:rsidR="006E6D7A" w:rsidRDefault="00B16C64" w14:paraId="67157BD8" w14:textId="77777777">
            <w:pPr>
              <w:pStyle w:val="NormalWeb"/>
              <w:spacing w:beforeAutospacing="0" w:after="0" w:afterAutospacing="0"/>
              <w:jc w:val="center"/>
            </w:pPr>
            <w:r>
              <w:rPr>
                <w:rFonts w:ascii="Arial" w:hAnsi="Arial" w:cs="Arial"/>
                <w:b/>
                <w:bCs/>
                <w:color w:val="073763"/>
              </w:rPr>
              <w:t xml:space="preserve">Channel </w:t>
            </w:r>
            <w:proofErr w:type="spellStart"/>
            <w:r>
              <w:rPr>
                <w:rFonts w:ascii="Arial" w:hAnsi="Arial" w:cs="Arial"/>
                <w:b/>
                <w:bCs/>
                <w:color w:val="073763"/>
              </w:rPr>
              <w:t>Mattermost</w:t>
            </w:r>
            <w:proofErr w:type="spellEnd"/>
            <w:r>
              <w:rPr>
                <w:rFonts w:ascii="Arial" w:hAnsi="Arial" w:cs="Arial"/>
                <w:color w:val="000000"/>
              </w:rPr>
              <w:t> </w:t>
            </w:r>
          </w:p>
        </w:tc>
      </w:tr>
      <w:tr w:rsidR="006E6D7A" w14:paraId="67157BDC" w14:textId="77777777">
        <w:trPr>
          <w:trHeight w:val="855"/>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DA" w14:textId="77777777">
            <w:pPr>
              <w:pStyle w:val="NormalWeb"/>
              <w:spacing w:beforeAutospacing="0" w:after="0" w:afterAutospacing="0"/>
            </w:pPr>
            <w:r>
              <w:rPr>
                <w:rFonts w:ascii="Arial" w:hAnsi="Arial" w:cs="Arial"/>
                <w:color w:val="000000"/>
              </w:rPr>
              <w:t xml:space="preserve">Avertir le </w:t>
            </w:r>
            <w:proofErr w:type="gramStart"/>
            <w:r>
              <w:rPr>
                <w:rFonts w:ascii="Arial" w:hAnsi="Arial" w:cs="Arial"/>
                <w:color w:val="000000"/>
              </w:rPr>
              <w:t>PO  via</w:t>
            </w:r>
            <w:proofErr w:type="gramEnd"/>
            <w:r>
              <w:rPr>
                <w:rFonts w:ascii="Arial" w:hAnsi="Arial" w:cs="Arial"/>
                <w:color w:val="000000"/>
              </w:rPr>
              <w:t xml:space="preserve"> le chat </w:t>
            </w:r>
            <w:proofErr w:type="spellStart"/>
            <w:r>
              <w:rPr>
                <w:rFonts w:ascii="Arial" w:hAnsi="Arial" w:cs="Arial"/>
                <w:color w:val="000000"/>
              </w:rPr>
              <w:t>Mattermost</w:t>
            </w:r>
            <w:proofErr w:type="spellEnd"/>
            <w:r>
              <w:rPr>
                <w:rFonts w:ascii="Arial" w:hAnsi="Arial" w:cs="Arial"/>
                <w:color w:val="000000"/>
              </w:rPr>
              <w:t xml:space="preserve"> que la MEP est finie et que les services sont réouverts</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DB" w14:textId="77777777"/>
        </w:tc>
      </w:tr>
      <w:tr w:rsidR="006E6D7A" w14:paraId="67157BDF" w14:textId="77777777">
        <w:trPr>
          <w:trHeight w:val="780"/>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6E6D7A" w:rsidRDefault="00B16C64" w14:paraId="67157BDD" w14:textId="77777777">
            <w:pPr>
              <w:pStyle w:val="NormalWeb"/>
              <w:spacing w:beforeAutospacing="0" w:after="0" w:afterAutospacing="0"/>
            </w:pPr>
            <w:r>
              <w:rPr>
                <w:rFonts w:ascii="Arial" w:hAnsi="Arial" w:cs="Arial"/>
                <w:color w:val="000000"/>
              </w:rPr>
              <w:t xml:space="preserve">De la même façon, informer le </w:t>
            </w:r>
            <w:proofErr w:type="gramStart"/>
            <w:r>
              <w:rPr>
                <w:rFonts w:ascii="Arial" w:hAnsi="Arial" w:cs="Arial"/>
                <w:color w:val="000000"/>
              </w:rPr>
              <w:t>collectif  via</w:t>
            </w:r>
            <w:proofErr w:type="gramEnd"/>
            <w:r>
              <w:rPr>
                <w:rFonts w:ascii="Arial" w:hAnsi="Arial" w:cs="Arial"/>
                <w:color w:val="000000"/>
              </w:rPr>
              <w:t xml:space="preserve"> le chat </w:t>
            </w:r>
            <w:proofErr w:type="spellStart"/>
            <w:r>
              <w:rPr>
                <w:rFonts w:ascii="Arial" w:hAnsi="Arial" w:cs="Arial"/>
                <w:color w:val="000000"/>
              </w:rPr>
              <w:t>Mattermost</w:t>
            </w:r>
            <w:proofErr w:type="spellEnd"/>
            <w:r>
              <w:rPr>
                <w:rFonts w:ascii="Arial" w:hAnsi="Arial" w:cs="Arial"/>
                <w:color w:val="000000"/>
              </w:rPr>
              <w:t xml:space="preserve"> que la MEP est terminée et donner le numéro de version fonctionnelle de PADRE</w:t>
            </w:r>
          </w:p>
        </w:tc>
        <w:tc>
          <w:tcPr>
            <w:tcW w:w="0" w:type="auto"/>
            <w:tcBorders>
              <w:top w:val="single" w:color="000000" w:sz="8" w:space="0"/>
              <w:left w:val="single" w:color="000000" w:sz="8" w:space="0"/>
              <w:bottom w:val="single" w:color="000000" w:sz="8" w:space="0"/>
              <w:right w:val="single" w:color="000000" w:sz="8" w:space="0"/>
            </w:tcBorders>
            <w:shd w:val="clear" w:color="auto" w:fill="B6D7A8"/>
            <w:tcMar>
              <w:top w:w="100" w:type="dxa"/>
              <w:left w:w="100" w:type="dxa"/>
              <w:bottom w:w="100" w:type="dxa"/>
              <w:right w:w="100" w:type="dxa"/>
            </w:tcMar>
          </w:tcPr>
          <w:p w:rsidR="006E6D7A" w:rsidRDefault="006E6D7A" w14:paraId="67157BDE" w14:textId="77777777"/>
        </w:tc>
      </w:tr>
    </w:tbl>
    <w:p w:rsidR="006E6D7A" w:rsidRDefault="006E6D7A" w14:paraId="67157BE0" w14:textId="77777777"/>
    <w:p w:rsidR="006E6D7A" w:rsidRDefault="006E6D7A" w14:paraId="67157BE1" w14:textId="77777777"/>
    <w:p w:rsidR="006E6D7A" w:rsidRDefault="006E6D7A" w14:paraId="67157BE2" w14:textId="77777777"/>
    <w:p w:rsidR="006E6D7A" w:rsidRDefault="00B16C64" w14:paraId="67157BE3" w14:textId="77777777">
      <w:pPr>
        <w:pStyle w:val="Titre2"/>
      </w:pPr>
      <w:bookmarkStart w:name="_Toc221095617" w:id="204"/>
      <w:r>
        <w:t>Exigences sur utilisation d’outil d’authentification</w:t>
      </w:r>
      <w:bookmarkEnd w:id="204"/>
    </w:p>
    <w:p w:rsidR="006E6D7A" w:rsidRDefault="00B16C64" w14:paraId="67157BE4" w14:textId="77777777">
      <w:pPr>
        <w:pBdr>
          <w:top w:val="none" w:color="000000" w:sz="4" w:space="0"/>
          <w:left w:val="none" w:color="000000" w:sz="4" w:space="0"/>
          <w:bottom w:val="none" w:color="000000" w:sz="4" w:space="0"/>
          <w:right w:val="none" w:color="000000" w:sz="4" w:space="0"/>
        </w:pBdr>
        <w:shd w:val="clear" w:color="FFFFFF" w:fill="FFFFFF"/>
        <w:spacing w:after="150"/>
      </w:pPr>
      <w:r>
        <w:rPr>
          <w:rFonts w:ascii="Arial" w:hAnsi="Arial" w:eastAsia="Arial" w:cs="Arial"/>
          <w:color w:val="333333"/>
          <w:sz w:val="21"/>
        </w:rPr>
        <w:t>Nous vous </w:t>
      </w:r>
      <w:r>
        <w:rPr>
          <w:rFonts w:ascii="Arial" w:hAnsi="Arial" w:eastAsia="Arial" w:cs="Arial"/>
          <w:b/>
          <w:color w:val="333333"/>
          <w:sz w:val="21"/>
        </w:rPr>
        <w:t>recommandons de privilégier le raccordement direct entre l'application et le SSO INRAE</w:t>
      </w:r>
      <w:r>
        <w:rPr>
          <w:rFonts w:ascii="Arial" w:hAnsi="Arial" w:eastAsia="Arial" w:cs="Arial"/>
          <w:color w:val="333333"/>
          <w:sz w:val="21"/>
        </w:rPr>
        <w:t>. Mais </w:t>
      </w:r>
      <w:r>
        <w:rPr>
          <w:rFonts w:ascii="Arial" w:hAnsi="Arial" w:eastAsia="Arial" w:cs="Arial"/>
          <w:b/>
          <w:i/>
          <w:color w:val="333333"/>
          <w:sz w:val="21"/>
        </w:rPr>
        <w:t>si cela n'est pas possible, veuillez trouver ci-dessous nos recommandations</w:t>
      </w:r>
      <w:r>
        <w:rPr>
          <w:rFonts w:ascii="Arial" w:hAnsi="Arial" w:eastAsia="Arial" w:cs="Arial"/>
          <w:color w:val="333333"/>
          <w:sz w:val="21"/>
        </w:rPr>
        <w:t> :</w:t>
      </w:r>
    </w:p>
    <w:p w:rsidR="006E6D7A" w:rsidRDefault="00B16C64" w14:paraId="67157BE5"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 xml:space="preserve">Déclarer toutes les applications raccordées au </w:t>
      </w:r>
      <w:proofErr w:type="spellStart"/>
      <w:r>
        <w:rPr>
          <w:rFonts w:ascii="Arial" w:hAnsi="Arial" w:eastAsia="Arial"/>
          <w:color w:val="333333"/>
          <w:sz w:val="21"/>
        </w:rPr>
        <w:t>keycloak</w:t>
      </w:r>
      <w:proofErr w:type="spellEnd"/>
      <w:r>
        <w:rPr>
          <w:rFonts w:ascii="Arial" w:hAnsi="Arial" w:eastAsia="Arial"/>
          <w:color w:val="333333"/>
          <w:sz w:val="21"/>
        </w:rPr>
        <w:t xml:space="preserve"> ou autre solution (même lorsqu’elles ne sont pas directement connectées au SSO INRAE)</w:t>
      </w:r>
    </w:p>
    <w:p w:rsidR="006E6D7A" w:rsidRDefault="00B16C64" w14:paraId="67157BE6"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Désactiver l’auto-enrôlement des utilisateurs externes. À défaut, exiger une validation manuelle par un administrateur.</w:t>
      </w:r>
    </w:p>
    <w:p w:rsidR="006E6D7A" w:rsidRDefault="00B16C64" w14:paraId="67157BE7"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Désactiver l’auto-enrôlement des utilisateurs INRAE</w:t>
      </w:r>
    </w:p>
    <w:p w:rsidR="006E6D7A" w:rsidRDefault="00B16C64" w14:paraId="67157BE8"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Désactiver les “Social Login” (Google, Facebook, GitHub, etc.)</w:t>
      </w:r>
    </w:p>
    <w:p w:rsidR="006E6D7A" w:rsidRDefault="00B16C64" w14:paraId="67157BE9"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 xml:space="preserve">Ne jamais raccorder les </w:t>
      </w:r>
      <w:proofErr w:type="spellStart"/>
      <w:r>
        <w:rPr>
          <w:rFonts w:ascii="Arial" w:hAnsi="Arial" w:eastAsia="Arial"/>
          <w:color w:val="333333"/>
          <w:sz w:val="21"/>
        </w:rPr>
        <w:t>LDAPs</w:t>
      </w:r>
      <w:proofErr w:type="spellEnd"/>
      <w:r>
        <w:rPr>
          <w:rFonts w:ascii="Arial" w:hAnsi="Arial" w:eastAsia="Arial"/>
          <w:color w:val="333333"/>
          <w:sz w:val="21"/>
        </w:rPr>
        <w:t xml:space="preserve"> INRAE à un </w:t>
      </w:r>
      <w:proofErr w:type="spellStart"/>
      <w:r>
        <w:rPr>
          <w:rFonts w:ascii="Arial" w:hAnsi="Arial" w:eastAsia="Arial"/>
          <w:color w:val="333333"/>
          <w:sz w:val="21"/>
        </w:rPr>
        <w:t>Keycloak</w:t>
      </w:r>
      <w:proofErr w:type="spellEnd"/>
      <w:r>
        <w:rPr>
          <w:rFonts w:ascii="Arial" w:hAnsi="Arial" w:eastAsia="Arial"/>
          <w:color w:val="333333"/>
          <w:sz w:val="21"/>
        </w:rPr>
        <w:t xml:space="preserve"> ou autre solution afin d’éviter tout risque d’exposition des données internes.</w:t>
      </w:r>
    </w:p>
    <w:p w:rsidR="006E6D7A" w:rsidRDefault="00B16C64" w14:paraId="67157BEA"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Si possible et pertinent, limiter les sources d’identité aux services maîtrisés : comptes CRU ou comptes externes gérés par l’INRAE.</w:t>
      </w:r>
    </w:p>
    <w:p w:rsidR="006E6D7A" w:rsidRDefault="00B16C64" w14:paraId="67157BEB"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 xml:space="preserve">Utiliser prioritairement les habilitations fournies par la DSI, plutôt que celles définies localement dans </w:t>
      </w:r>
      <w:proofErr w:type="spellStart"/>
      <w:r>
        <w:rPr>
          <w:rFonts w:ascii="Arial" w:hAnsi="Arial" w:eastAsia="Arial"/>
          <w:color w:val="333333"/>
          <w:sz w:val="21"/>
        </w:rPr>
        <w:t>Keycloak</w:t>
      </w:r>
      <w:proofErr w:type="spellEnd"/>
      <w:r>
        <w:rPr>
          <w:rFonts w:ascii="Arial" w:hAnsi="Arial" w:eastAsia="Arial"/>
          <w:color w:val="333333"/>
          <w:sz w:val="21"/>
        </w:rPr>
        <w:t>.</w:t>
      </w:r>
    </w:p>
    <w:p w:rsidR="006E6D7A" w:rsidRDefault="00B16C64" w14:paraId="67157BEC"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Mettre en place un processus automatisé de désactivation des comptes internes et externes lors des départs.</w:t>
      </w:r>
    </w:p>
    <w:p w:rsidR="006E6D7A" w:rsidRDefault="00B16C64" w14:paraId="67157BED"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Maintenir une traçabilité complète de la création, modification et suppression des comptes.</w:t>
      </w:r>
    </w:p>
    <w:p w:rsidR="006E6D7A" w:rsidRDefault="00B16C64" w14:paraId="67157BEE" w14:textId="77777777">
      <w:pPr>
        <w:pStyle w:val="Paragraphedeliste"/>
        <w:numPr>
          <w:ilvl w:val="0"/>
          <w:numId w:val="241"/>
        </w:numPr>
        <w:pBdr>
          <w:top w:val="none" w:color="000000" w:sz="4" w:space="0"/>
          <w:left w:val="none" w:color="000000" w:sz="4" w:space="0"/>
          <w:bottom w:val="none" w:color="000000" w:sz="4" w:space="0"/>
          <w:right w:val="none" w:color="000000" w:sz="4" w:space="0"/>
        </w:pBdr>
        <w:shd w:val="clear" w:color="FFFFFF" w:fill="FFFFFF"/>
      </w:pPr>
      <w:r>
        <w:rPr>
          <w:rFonts w:ascii="Arial" w:hAnsi="Arial" w:eastAsia="Arial"/>
          <w:color w:val="333333"/>
          <w:sz w:val="21"/>
        </w:rPr>
        <w:t xml:space="preserve">Effectuer des revues régulières des comptes pour détecter </w:t>
      </w:r>
      <w:proofErr w:type="gramStart"/>
      <w:r>
        <w:rPr>
          <w:rFonts w:ascii="Arial" w:hAnsi="Arial" w:eastAsia="Arial"/>
          <w:color w:val="333333"/>
          <w:sz w:val="21"/>
        </w:rPr>
        <w:t>les comptes dormant</w:t>
      </w:r>
      <w:proofErr w:type="gramEnd"/>
      <w:r>
        <w:rPr>
          <w:rFonts w:ascii="Arial" w:hAnsi="Arial" w:eastAsia="Arial"/>
          <w:color w:val="333333"/>
          <w:sz w:val="21"/>
        </w:rPr>
        <w:t>, orphelins ou non autorisés.</w:t>
      </w:r>
    </w:p>
    <w:p w:rsidR="006E6D7A" w:rsidRDefault="00B16C64" w14:paraId="67157BEF" w14:textId="77777777">
      <w:pPr>
        <w:pStyle w:val="Titre2"/>
      </w:pPr>
      <w:bookmarkStart w:name="_Toc221095618" w:id="205"/>
      <w:r>
        <w:t>Lignes directrices de la politique SSI INRAE</w:t>
      </w:r>
      <w:bookmarkEnd w:id="205"/>
    </w:p>
    <w:p w:rsidR="006E6D7A" w:rsidRDefault="00B16C64" w14:paraId="67157BF0" w14:textId="77777777">
      <w:pPr>
        <w:pBdr>
          <w:top w:val="none" w:color="000000" w:sz="4" w:space="0"/>
          <w:left w:val="none" w:color="000000" w:sz="4" w:space="0"/>
          <w:bottom w:val="none" w:color="000000" w:sz="4" w:space="0"/>
          <w:right w:val="none" w:color="000000" w:sz="4" w:space="0"/>
        </w:pBdr>
        <w:shd w:val="clear" w:color="FFFFFF" w:fill="FFFFFF"/>
        <w:ind w:left="709"/>
      </w:pPr>
      <w:r>
        <w:rPr>
          <w:rFonts w:ascii="Calibri" w:hAnsi="Calibri" w:eastAsia="Calibri" w:cs="Calibri"/>
          <w:color w:val="000000"/>
          <w:sz w:val="24"/>
        </w:rPr>
        <w:t xml:space="preserve">Quelques éléments relatifs à la politique SSI </w:t>
      </w:r>
      <w:proofErr w:type="spellStart"/>
      <w:r>
        <w:rPr>
          <w:rFonts w:ascii="Calibri" w:hAnsi="Calibri" w:eastAsia="Calibri" w:cs="Calibri"/>
          <w:color w:val="000000"/>
          <w:sz w:val="24"/>
        </w:rPr>
        <w:t>Inrae</w:t>
      </w:r>
      <w:proofErr w:type="spellEnd"/>
      <w:r>
        <w:rPr>
          <w:rFonts w:ascii="Calibri" w:hAnsi="Calibri" w:eastAsia="Calibri" w:cs="Calibri"/>
          <w:color w:val="000000"/>
          <w:sz w:val="24"/>
        </w:rPr>
        <w:t> :</w:t>
      </w:r>
    </w:p>
    <w:p w:rsidR="006E6D7A" w:rsidRDefault="00B16C64" w14:paraId="67157BF1" w14:textId="77777777">
      <w:pPr>
        <w:pStyle w:val="Paragraphedeliste"/>
        <w:numPr>
          <w:ilvl w:val="0"/>
          <w:numId w:val="249"/>
        </w:numPr>
        <w:pBdr>
          <w:top w:val="none" w:color="000000" w:sz="4" w:space="0"/>
          <w:left w:val="none" w:color="000000" w:sz="4" w:space="0"/>
          <w:bottom w:val="none" w:color="000000" w:sz="4" w:space="0"/>
          <w:right w:val="none" w:color="000000" w:sz="4" w:space="0"/>
        </w:pBdr>
        <w:shd w:val="clear" w:color="FFFFFF" w:fill="FFFFFF"/>
      </w:pPr>
      <w:r>
        <w:rPr>
          <w:rFonts w:eastAsia="Calibri" w:cs="Calibri"/>
          <w:color w:val="000000"/>
          <w:sz w:val="24"/>
        </w:rPr>
        <w:t>Conformité minimale des postes : OS supporté et à jour, outil de protection contre les codes malveillants, inventorié, compte utilisateur standard sans privilège</w:t>
      </w:r>
    </w:p>
    <w:p w:rsidR="006E6D7A" w:rsidRDefault="00B16C64" w14:paraId="67157BF2" w14:textId="77777777">
      <w:pPr>
        <w:pStyle w:val="Paragraphedeliste"/>
        <w:numPr>
          <w:ilvl w:val="0"/>
          <w:numId w:val="249"/>
        </w:numPr>
        <w:pBdr>
          <w:top w:val="none" w:color="000000" w:sz="4" w:space="0"/>
          <w:left w:val="none" w:color="000000" w:sz="4" w:space="0"/>
          <w:bottom w:val="none" w:color="000000" w:sz="4" w:space="0"/>
          <w:right w:val="none" w:color="000000" w:sz="4" w:space="0"/>
        </w:pBdr>
        <w:shd w:val="clear" w:color="FFFFFF" w:fill="FFFFFF"/>
      </w:pPr>
      <w:r>
        <w:rPr>
          <w:rFonts w:eastAsia="Calibri" w:cs="Calibri"/>
          <w:color w:val="000000"/>
          <w:sz w:val="24"/>
        </w:rPr>
        <w:t>Configuration et accès aux environnements : par compte nominatif non-cessible, avec VPN et MFA si besoin et gestion des habilitations</w:t>
      </w:r>
    </w:p>
    <w:p w:rsidR="006E6D7A" w:rsidRDefault="00B16C64" w14:paraId="67157BF3" w14:textId="77777777">
      <w:pPr>
        <w:pStyle w:val="Paragraphedeliste"/>
        <w:numPr>
          <w:ilvl w:val="0"/>
          <w:numId w:val="249"/>
        </w:numPr>
        <w:pBdr>
          <w:top w:val="none" w:color="000000" w:sz="4" w:space="0"/>
          <w:left w:val="none" w:color="000000" w:sz="4" w:space="0"/>
          <w:bottom w:val="none" w:color="000000" w:sz="4" w:space="0"/>
          <w:right w:val="none" w:color="000000" w:sz="4" w:space="0"/>
        </w:pBdr>
        <w:shd w:val="clear" w:color="FFFFFF" w:fill="FFFFFF"/>
      </w:pPr>
      <w:r>
        <w:rPr>
          <w:rFonts w:eastAsia="Calibri" w:cs="Calibri"/>
          <w:color w:val="000000"/>
          <w:sz w:val="24"/>
        </w:rPr>
        <w:t>Chiffrement des communications et cloisonnement des SI</w:t>
      </w:r>
    </w:p>
    <w:p w:rsidR="006E6D7A" w:rsidRDefault="00B16C64" w14:paraId="67157BF4" w14:textId="77777777">
      <w:pPr>
        <w:pStyle w:val="Paragraphedeliste"/>
        <w:numPr>
          <w:ilvl w:val="0"/>
          <w:numId w:val="249"/>
        </w:numPr>
        <w:pBdr>
          <w:top w:val="none" w:color="000000" w:sz="4" w:space="0"/>
          <w:left w:val="none" w:color="000000" w:sz="4" w:space="0"/>
          <w:bottom w:val="none" w:color="000000" w:sz="4" w:space="0"/>
          <w:right w:val="none" w:color="000000" w:sz="4" w:space="0"/>
        </w:pBdr>
        <w:shd w:val="clear" w:color="FFFFFF" w:fill="FFFFFF"/>
      </w:pPr>
      <w:r>
        <w:rPr>
          <w:rFonts w:eastAsia="Calibri" w:cs="Calibri"/>
          <w:color w:val="000000"/>
          <w:sz w:val="24"/>
        </w:rPr>
        <w:t>Homologation SSI des services via https://monservicesecurise.cyber.gouv.fr/</w:t>
      </w:r>
    </w:p>
    <w:p w:rsidR="006E6D7A" w:rsidRDefault="00B16C64" w14:paraId="67157BF5" w14:textId="77777777">
      <w:pPr>
        <w:pStyle w:val="Paragraphedeliste"/>
        <w:numPr>
          <w:ilvl w:val="0"/>
          <w:numId w:val="249"/>
        </w:numPr>
        <w:pBdr>
          <w:top w:val="none" w:color="000000" w:sz="4" w:space="0"/>
          <w:left w:val="none" w:color="000000" w:sz="4" w:space="0"/>
          <w:bottom w:val="none" w:color="000000" w:sz="4" w:space="0"/>
          <w:right w:val="none" w:color="000000" w:sz="4" w:space="0"/>
        </w:pBdr>
        <w:shd w:val="clear" w:color="FFFFFF" w:fill="FFFFFF"/>
      </w:pPr>
      <w:r>
        <w:rPr>
          <w:rFonts w:eastAsia="Calibri" w:cs="Calibri"/>
          <w:color w:val="000000"/>
          <w:sz w:val="24"/>
        </w:rPr>
        <w:t>Les moyens de communication : une matrice de flux réseaux sera définie</w:t>
      </w:r>
    </w:p>
    <w:p w:rsidR="006E6D7A" w:rsidRDefault="00B16C64" w14:paraId="67157BF6" w14:textId="77777777">
      <w:r>
        <w:t>Les précisions seront fournies à la réunion de lancement et pourront évoluer sur la durée du marché.</w:t>
      </w:r>
    </w:p>
    <w:sectPr w:rsidR="006E6D7A">
      <w:headerReference w:type="default" r:id="rId144"/>
      <w:footerReference w:type="default" r:id="rId145"/>
      <w:headerReference w:type="first" r:id="rId146"/>
      <w:footerReference w:type="first" r:id="rId147"/>
      <w:footnotePr>
        <w:numFmt w:val="chicago"/>
      </w:footnotePr>
      <w:pgSz w:w="11906" w:h="16838" w:orient="portrait"/>
      <w:pgMar w:top="1134" w:right="1134" w:bottom="1134" w:left="1134" w:header="454" w:footer="454"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nitials="OL(" w:author="Ollivier Levy (ollivier.levy@inrae.fr)" w:date="2025-12-05T12:18:00Z" w:id="137">
    <w:p w:rsidR="006E6D7A" w:rsidRDefault="00B16C64" w14:paraId="67157C49" w14:textId="77777777">
      <w:pPr>
        <w:spacing w:after="0"/>
        <w:jc w:val="left"/>
      </w:pPr>
      <w:r>
        <w:rPr>
          <w:rFonts w:ascii="Arial" w:hAnsi="Arial" w:eastAsia="Arial" w:cs="Arial"/>
        </w:rPr>
        <w:t>Ne pas remodifier. Discussion avec direction de la DSI et le service des marchés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7157C4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7157C49" w16cid:durableId="7E19835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80FEF" w:rsidRDefault="00080FEF" w14:paraId="1BEEAB82" w14:textId="77777777">
      <w:pPr>
        <w:spacing w:after="0"/>
      </w:pPr>
      <w:r>
        <w:separator/>
      </w:r>
    </w:p>
  </w:endnote>
  <w:endnote w:type="continuationSeparator" w:id="0">
    <w:p w:rsidR="00080FEF" w:rsidRDefault="00080FEF" w14:paraId="77D37B95" w14:textId="777777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OpenSymbol">
    <w:altName w:val="Calibri"/>
    <w:charset w:val="00"/>
    <w:family w:val="auto"/>
    <w:pitch w:val="default"/>
  </w:font>
  <w:font w:name="Helv">
    <w:altName w:val="Arial"/>
    <w:panose1 w:val="020B0604020202030204"/>
    <w:charset w:val="00"/>
    <w:family w:val="auto"/>
    <w:pitch w:val="default"/>
  </w:font>
  <w:font w:name="Arial Gras">
    <w:panose1 w:val="020B0704020202020204"/>
    <w:charset w:val="00"/>
    <w:family w:val="auto"/>
    <w:pitch w:val="default"/>
  </w:font>
  <w:font w:name="Times">
    <w:panose1 w:val="020206030504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iberation Serif">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EY Gothic Comp Book">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charset w:val="00"/>
    <w:family w:val="auto"/>
    <w:pitch w:val="default"/>
  </w:font>
  <w:font w:name="Noto Sans">
    <w:charset w:val="00"/>
    <w:family w:val="swiss"/>
    <w:pitch w:val="variable"/>
    <w:sig w:usb0="E00082FF" w:usb1="400078FF" w:usb2="00000021" w:usb3="00000000" w:csb0="0000019F" w:csb1="00000000"/>
  </w:font>
  <w:font w:name="NotoSans NF">
    <w:charset w:val="00"/>
    <w:family w:val="auto"/>
    <w:pitch w:val="default"/>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1)">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DejaVu Sans">
    <w:charset w:val="00"/>
    <w:family w:val="auto"/>
    <w:pitch w:val="default"/>
  </w:font>
  <w:font w:name="Andale Sans UI">
    <w:charset w:val="00"/>
    <w:family w:val="auto"/>
    <w:pitch w:val="default"/>
  </w:font>
  <w:font w:name="Poppins">
    <w:charset w:val="00"/>
    <w:family w:val="auto"/>
    <w:pitch w:val="variable"/>
    <w:sig w:usb0="00008007" w:usb1="00000000" w:usb2="00000000" w:usb3="00000000" w:csb0="00000093"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E6D7A" w:rsidRDefault="00B16C64" w14:paraId="67157C50" w14:textId="77777777">
    <w:pPr>
      <w:pStyle w:val="Pieddepage"/>
      <w:pBdr>
        <w:top w:val="single" w:color="6C9E00" w:themeColor="accent2" w:themeShade="BF" w:sz="4" w:space="1"/>
      </w:pBdr>
      <w:tabs>
        <w:tab w:val="center" w:pos="4253"/>
        <w:tab w:val="right" w:pos="9639"/>
      </w:tabs>
    </w:pPr>
    <w:r>
      <w:tab/>
    </w:r>
    <w:r>
      <w:t xml:space="preserve">Page </w:t>
    </w:r>
    <w:r>
      <w:fldChar w:fldCharType="begin"/>
    </w:r>
    <w:r>
      <w:instrText xml:space="preserve"> PAGE </w:instrText>
    </w:r>
    <w:r>
      <w:fldChar w:fldCharType="separate"/>
    </w:r>
    <w:r>
      <w:t>17</w:t>
    </w:r>
    <w:r>
      <w:fldChar w:fldCharType="end"/>
    </w:r>
    <w:r>
      <w:t>/</w:t>
    </w:r>
    <w:fldSimple w:instr="NUMPAGES \* MERGEFORMAT">
      <w:r>
        <w:t>130</w:t>
      </w:r>
    </w:fldSimple>
  </w:p>
  <w:p w:rsidR="006E6D7A" w:rsidRDefault="006E6D7A" w14:paraId="67157C51" w14:textId="777777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E6D7A" w:rsidRDefault="006E6D7A" w14:paraId="67157C53" w14:textId="77777777">
    <w:pPr>
      <w:pBdr>
        <w:top w:val="single" w:color="6C9E00" w:themeColor="accent2" w:themeShade="BF" w:sz="4" w:space="1"/>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80FEF" w:rsidRDefault="00080FEF" w14:paraId="764F2B66" w14:textId="77777777">
      <w:r>
        <w:separator/>
      </w:r>
    </w:p>
  </w:footnote>
  <w:footnote w:type="continuationSeparator" w:id="0">
    <w:p w:rsidR="00080FEF" w:rsidRDefault="00080FEF" w14:paraId="0FED8240" w14:textId="77777777">
      <w:r>
        <w:continuationSeparator/>
      </w:r>
    </w:p>
  </w:footnote>
  <w:footnote w:id="1">
    <w:p w:rsidR="006E6D7A" w:rsidRDefault="00B16C64" w14:paraId="67157C56" w14:textId="77777777">
      <w:pPr>
        <w:pStyle w:val="Notedebasdepage"/>
      </w:pPr>
      <w:r>
        <w:rPr>
          <w:rStyle w:val="Appelnotedebasdep"/>
        </w:rPr>
        <w:footnoteRef/>
      </w:r>
      <w:r>
        <w:t xml:space="preserve"> Études, Pilotage de la FDR, Soutien à l’Innovation, Accompagnement au numérique pour la Science</w:t>
      </w:r>
    </w:p>
  </w:footnote>
  <w:footnote w:id="2">
    <w:p w:rsidR="006E6D7A" w:rsidRDefault="00B16C64" w14:paraId="67157C57" w14:textId="77777777">
      <w:pPr>
        <w:pStyle w:val="Notedebasdepage"/>
      </w:pPr>
      <w:r>
        <w:rPr>
          <w:rStyle w:val="Appelnotedebasdep"/>
        </w:rPr>
        <w:footnoteRef/>
      </w:r>
      <w:r>
        <w:t xml:space="preserve"> SOLAIRE : Solutions applicatives, intégration et référentiels</w:t>
      </w:r>
    </w:p>
  </w:footnote>
  <w:footnote w:id="3">
    <w:p w:rsidR="006E6D7A" w:rsidRDefault="00B16C64" w14:paraId="67157C58" w14:textId="77777777">
      <w:pPr>
        <w:pStyle w:val="Notedebasdepage"/>
      </w:pPr>
      <w:r>
        <w:rPr>
          <w:rStyle w:val="FootnoteCharacters"/>
        </w:rPr>
        <w:t>*</w:t>
      </w:r>
      <w:r>
        <w:rPr>
          <w:rStyle w:val="FootnoteCharactersuser"/>
        </w:rPr>
        <w:t>**</w:t>
      </w:r>
      <w:r>
        <w:t xml:space="preserve"> Exigence spécifique au contexte département SOLAIRE</w:t>
      </w:r>
    </w:p>
  </w:footnote>
  <w:footnote w:id="4">
    <w:p w:rsidR="006E6D7A" w:rsidRDefault="00B16C64" w14:paraId="67157C59" w14:textId="77777777">
      <w:pPr>
        <w:pStyle w:val="Notedebasdepage"/>
      </w:pPr>
      <w:r>
        <w:rPr>
          <w:rStyle w:val="FootnoteCharacters"/>
        </w:rPr>
        <w:footnoteRef/>
      </w:r>
      <w:r>
        <w:t xml:space="preserve"> Keep It Simply Stupid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mc:Ignorable="w14 w15 w16se w16cid w16 w16cex w16sdtdh wp14">
  <w:p w:rsidR="006E6D7A" w:rsidRDefault="00B16C64" w14:paraId="67157C4E" w14:textId="77777777">
    <w:pPr>
      <w:pBdr>
        <w:bottom w:val="single" w:color="6C9E00" w:themeColor="accent2" w:themeShade="BF" w:sz="4" w:space="1"/>
      </w:pBdr>
      <w:tabs>
        <w:tab w:val="center" w:pos="5387"/>
        <w:tab w:val="right" w:pos="9639"/>
      </w:tabs>
      <w:rPr>
        <w:lang w:val="en-GB"/>
      </w:rPr>
    </w:pPr>
    <w:r>
      <w:rPr>
        <w:noProof/>
      </w:rPr>
      <mc:AlternateContent>
        <mc:Choice Requires="wpg">
          <w:drawing>
            <wp:inline distT="0" distB="0" distL="0" distR="0" wp14:anchorId="67157C54" wp14:editId="67157C55">
              <wp:extent cx="628650" cy="159385"/>
              <wp:effectExtent l="0" t="0" r="0" b="0"/>
              <wp:docPr id="1" name="Graphiqu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phique 59"/>
                      <pic:cNvPicPr>
                        <a:picLocks noChangeAspect="1"/>
                      </pic:cNvPicPr>
                    </pic:nvPicPr>
                    <pic:blipFill rotWithShape="1">
                      <a:blip r:embed="rId1">
                        <a:extLst>
                          <a:ext uri="{96DAC541-7B7A-43D3-8B79-37D633B846F1}">
                            <asvg:svgBlip xmlns:asvg="http://schemas.microsoft.com/office/drawing/2016/SVG/main" r:embed="rId2"/>
                          </a:ext>
                        </a:extLst>
                      </a:blip>
                      <a:stretch/>
                    </pic:blipFill>
                    <pic:spPr bwMode="auto">
                      <a:xfrm>
                        <a:off x="0" y="0"/>
                        <a:ext cx="628650" cy="159385"/>
                      </a:xfrm>
                      <a:prstGeom prst="rect">
                        <a:avLst/>
                      </a:prstGeom>
                      <a:noFill/>
                    </pic:spPr>
                  </pic:pic>
                </a:graphicData>
              </a:graphic>
            </wp:inline>
          </w:drawing>
        </mc:Choice>
        <mc:Fallback xmlns:a="http://schemas.openxmlformats.org/drawingml/2006/main">
          <w:pict w14:anchorId="6F0344A9">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0" style="width:49.50pt;height:12.55pt;mso-wrap-distance-left:0.00pt;mso-wrap-distance-top:0.00pt;mso-wrap-distance-right:0.00pt;mso-wrap-distance-bottom:0.00pt;z-index:1;" o:spid="_x0000_s0" stroked="false" type="#_x0000_t75">
              <v:imagedata o:title="" r:id="rId3"/>
              <o:lock v:ext="edit" rotation="t"/>
            </v:shape>
          </w:pict>
        </mc:Fallback>
      </mc:AlternateContent>
    </w:r>
    <w:r>
      <w:rPr>
        <w:lang w:val="en-GB"/>
      </w:rPr>
      <w:tab/>
    </w:r>
    <w:r>
      <w:rPr>
        <w:lang w:val="en-GB"/>
      </w:rPr>
      <w:tab/>
    </w:r>
  </w:p>
  <w:p w:rsidR="006E6D7A" w:rsidRDefault="006E6D7A" w14:paraId="67157C4F"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E6D7A" w:rsidRDefault="006E6D7A" w14:paraId="67157C52" w14:textId="77777777">
    <w:pPr>
      <w:pStyle w:val="En-tte"/>
      <w:pBdr>
        <w:bottom w:val="single" w:color="6C9E00" w:themeColor="accent2" w:themeShade="BF" w:sz="4" w:space="1"/>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610B0"/>
    <w:multiLevelType w:val="multilevel"/>
    <w:tmpl w:val="E5B25982"/>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decimal"/>
      <w:lvlText w:val="%3."/>
      <w:lvlJc w:val="left"/>
      <w:pPr>
        <w:ind w:left="2160" w:hanging="360"/>
      </w:pPr>
    </w:lvl>
    <w:lvl w:ilvl="3">
      <w:start w:val="1"/>
      <w:numFmt w:val="bullet"/>
      <w:lvlText w:val=""/>
      <w:lvlJc w:val="left"/>
      <w:pPr>
        <w:ind w:left="2880" w:hanging="360"/>
      </w:pPr>
      <w:rPr>
        <w:rFonts w:hint="default" w:ascii="Wingdings" w:hAnsi="Wingdings" w:eastAsia="Wingdings" w:cs="Wingdings"/>
      </w:rPr>
    </w:lvl>
    <w:lvl w:ilvl="4">
      <w:start w:val="1"/>
      <w:numFmt w:val="bullet"/>
      <w:lvlText w:val=""/>
      <w:lvlJc w:val="left"/>
      <w:pPr>
        <w:ind w:left="3600" w:hanging="360"/>
      </w:pPr>
      <w:rPr>
        <w:rFonts w:hint="default" w:ascii="Wingdings" w:hAnsi="Wingdings" w:eastAsia="Wingdings" w:cs="Wingdings"/>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Wingdings" w:hAnsi="Wingdings" w:eastAsia="Wingdings" w:cs="Wingdings"/>
      </w:rPr>
    </w:lvl>
    <w:lvl w:ilvl="7">
      <w:start w:val="1"/>
      <w:numFmt w:val="bullet"/>
      <w:lvlText w:val=""/>
      <w:lvlJc w:val="left"/>
      <w:pPr>
        <w:ind w:left="5760" w:hanging="360"/>
      </w:pPr>
      <w:rPr>
        <w:rFonts w:hint="default" w:ascii="Wingdings" w:hAnsi="Wingdings" w:eastAsia="Wingdings" w:cs="Wingdings"/>
      </w:rPr>
    </w:lvl>
    <w:lvl w:ilvl="8">
      <w:start w:val="1"/>
      <w:numFmt w:val="bullet"/>
      <w:lvlText w:val=""/>
      <w:lvlJc w:val="left"/>
      <w:pPr>
        <w:ind w:left="6480" w:hanging="360"/>
      </w:pPr>
      <w:rPr>
        <w:rFonts w:hint="default" w:ascii="Wingdings" w:hAnsi="Wingdings" w:eastAsia="Wingdings" w:cs="Wingdings"/>
      </w:rPr>
    </w:lvl>
  </w:abstractNum>
  <w:abstractNum w:abstractNumId="1" w15:restartNumberingAfterBreak="0">
    <w:nsid w:val="00BE2510"/>
    <w:multiLevelType w:val="multilevel"/>
    <w:tmpl w:val="016AB15A"/>
    <w:lvl w:ilvl="0">
      <w:start w:val="1"/>
      <w:numFmt w:val="bullet"/>
      <w:lvlText w:val="·"/>
      <w:lvlJc w:val="left"/>
      <w:pPr>
        <w:ind w:left="1417" w:hanging="360"/>
      </w:pPr>
      <w:rPr>
        <w:rFonts w:hint="default" w:ascii="Symbol" w:hAnsi="Symbol" w:eastAsia="Symbol" w:cs="Symbol"/>
      </w:rPr>
    </w:lvl>
    <w:lvl w:ilvl="1">
      <w:start w:val="1"/>
      <w:numFmt w:val="bullet"/>
      <w:lvlText w:val="o"/>
      <w:lvlJc w:val="left"/>
      <w:pPr>
        <w:ind w:left="2137" w:hanging="360"/>
      </w:pPr>
      <w:rPr>
        <w:rFonts w:hint="default" w:ascii="Courier New" w:hAnsi="Courier New" w:eastAsia="Courier New" w:cs="Courier New"/>
      </w:rPr>
    </w:lvl>
    <w:lvl w:ilvl="2">
      <w:start w:val="1"/>
      <w:numFmt w:val="bullet"/>
      <w:lvlText w:val="§"/>
      <w:lvlJc w:val="left"/>
      <w:pPr>
        <w:ind w:left="2857" w:hanging="360"/>
      </w:pPr>
      <w:rPr>
        <w:rFonts w:hint="default" w:ascii="Wingdings" w:hAnsi="Wingdings" w:eastAsia="Wingdings" w:cs="Wingdings"/>
      </w:rPr>
    </w:lvl>
    <w:lvl w:ilvl="3">
      <w:start w:val="1"/>
      <w:numFmt w:val="bullet"/>
      <w:lvlText w:val="·"/>
      <w:lvlJc w:val="left"/>
      <w:pPr>
        <w:ind w:left="3577" w:hanging="360"/>
      </w:pPr>
      <w:rPr>
        <w:rFonts w:hint="default" w:ascii="Symbol" w:hAnsi="Symbol" w:eastAsia="Symbol" w:cs="Symbol"/>
      </w:rPr>
    </w:lvl>
    <w:lvl w:ilvl="4">
      <w:start w:val="1"/>
      <w:numFmt w:val="bullet"/>
      <w:lvlText w:val="o"/>
      <w:lvlJc w:val="left"/>
      <w:pPr>
        <w:ind w:left="4297" w:hanging="360"/>
      </w:pPr>
      <w:rPr>
        <w:rFonts w:hint="default" w:ascii="Courier New" w:hAnsi="Courier New" w:eastAsia="Courier New" w:cs="Courier New"/>
      </w:rPr>
    </w:lvl>
    <w:lvl w:ilvl="5">
      <w:start w:val="1"/>
      <w:numFmt w:val="bullet"/>
      <w:lvlText w:val="§"/>
      <w:lvlJc w:val="left"/>
      <w:pPr>
        <w:ind w:left="5017" w:hanging="360"/>
      </w:pPr>
      <w:rPr>
        <w:rFonts w:hint="default" w:ascii="Wingdings" w:hAnsi="Wingdings" w:eastAsia="Wingdings" w:cs="Wingdings"/>
      </w:rPr>
    </w:lvl>
    <w:lvl w:ilvl="6">
      <w:start w:val="1"/>
      <w:numFmt w:val="bullet"/>
      <w:lvlText w:val="·"/>
      <w:lvlJc w:val="left"/>
      <w:pPr>
        <w:ind w:left="5737" w:hanging="360"/>
      </w:pPr>
      <w:rPr>
        <w:rFonts w:hint="default" w:ascii="Symbol" w:hAnsi="Symbol" w:eastAsia="Symbol" w:cs="Symbol"/>
      </w:rPr>
    </w:lvl>
    <w:lvl w:ilvl="7">
      <w:start w:val="1"/>
      <w:numFmt w:val="bullet"/>
      <w:lvlText w:val="o"/>
      <w:lvlJc w:val="left"/>
      <w:pPr>
        <w:ind w:left="6457" w:hanging="360"/>
      </w:pPr>
      <w:rPr>
        <w:rFonts w:hint="default" w:ascii="Courier New" w:hAnsi="Courier New" w:eastAsia="Courier New" w:cs="Courier New"/>
      </w:rPr>
    </w:lvl>
    <w:lvl w:ilvl="8">
      <w:start w:val="1"/>
      <w:numFmt w:val="bullet"/>
      <w:lvlText w:val="§"/>
      <w:lvlJc w:val="left"/>
      <w:pPr>
        <w:ind w:left="7177" w:hanging="360"/>
      </w:pPr>
      <w:rPr>
        <w:rFonts w:hint="default" w:ascii="Wingdings" w:hAnsi="Wingdings" w:eastAsia="Wingdings" w:cs="Wingdings"/>
      </w:rPr>
    </w:lvl>
  </w:abstractNum>
  <w:abstractNum w:abstractNumId="2" w15:restartNumberingAfterBreak="0">
    <w:nsid w:val="00E217EA"/>
    <w:multiLevelType w:val="multilevel"/>
    <w:tmpl w:val="2C064676"/>
    <w:lvl w:ilvl="0">
      <w:start w:val="4"/>
      <w:numFmt w:val="decimal"/>
      <w:lvlText w:val="%1."/>
      <w:lvlJc w:val="left"/>
      <w:pPr>
        <w:ind w:left="70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0EF0BBC"/>
    <w:multiLevelType w:val="multilevel"/>
    <w:tmpl w:val="DCAEAFBA"/>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4" w15:restartNumberingAfterBreak="0">
    <w:nsid w:val="018F7AD5"/>
    <w:multiLevelType w:val="multilevel"/>
    <w:tmpl w:val="13DE93D0"/>
    <w:lvl w:ilvl="0">
      <w:start w:val="1"/>
      <w:numFmt w:val="bullet"/>
      <w:lvlText w:val="•"/>
      <w:lvlJc w:val="left"/>
      <w:pPr>
        <w:tabs>
          <w:tab w:val="num" w:pos="720"/>
        </w:tabs>
        <w:ind w:left="720" w:hanging="360"/>
      </w:pPr>
      <w:rPr>
        <w:rFonts w:hint="default" w:ascii="Arial" w:hAnsi="Arial"/>
      </w:rPr>
    </w:lvl>
    <w:lvl w:ilvl="1">
      <w:start w:val="1"/>
      <w:numFmt w:val="bullet"/>
      <w:lvlText w:val="•"/>
      <w:lvlJc w:val="left"/>
      <w:pPr>
        <w:tabs>
          <w:tab w:val="num" w:pos="1440"/>
        </w:tabs>
        <w:ind w:left="1440" w:hanging="360"/>
      </w:pPr>
      <w:rPr>
        <w:rFonts w:hint="default" w:ascii="Arial" w:hAnsi="Arial"/>
      </w:rPr>
    </w:lvl>
    <w:lvl w:ilvl="2">
      <w:start w:val="1"/>
      <w:numFmt w:val="bullet"/>
      <w:lvlText w:val="•"/>
      <w:lvlJc w:val="left"/>
      <w:pPr>
        <w:tabs>
          <w:tab w:val="num" w:pos="2160"/>
        </w:tabs>
        <w:ind w:left="2160" w:hanging="360"/>
      </w:pPr>
      <w:rPr>
        <w:rFonts w:hint="default" w:ascii="Arial" w:hAnsi="Arial"/>
      </w:rPr>
    </w:lvl>
    <w:lvl w:ilvl="3">
      <w:start w:val="1"/>
      <w:numFmt w:val="bullet"/>
      <w:lvlText w:val="•"/>
      <w:lvlJc w:val="left"/>
      <w:pPr>
        <w:tabs>
          <w:tab w:val="num" w:pos="2880"/>
        </w:tabs>
        <w:ind w:left="2880" w:hanging="360"/>
      </w:pPr>
      <w:rPr>
        <w:rFonts w:hint="default" w:ascii="Arial" w:hAnsi="Arial"/>
      </w:rPr>
    </w:lvl>
    <w:lvl w:ilvl="4">
      <w:start w:val="1"/>
      <w:numFmt w:val="bullet"/>
      <w:lvlText w:val="•"/>
      <w:lvlJc w:val="left"/>
      <w:pPr>
        <w:tabs>
          <w:tab w:val="num" w:pos="3600"/>
        </w:tabs>
        <w:ind w:left="3600" w:hanging="360"/>
      </w:pPr>
      <w:rPr>
        <w:rFonts w:hint="default" w:ascii="Arial" w:hAnsi="Arial"/>
      </w:rPr>
    </w:lvl>
    <w:lvl w:ilvl="5">
      <w:start w:val="1"/>
      <w:numFmt w:val="bullet"/>
      <w:lvlText w:val="•"/>
      <w:lvlJc w:val="left"/>
      <w:pPr>
        <w:tabs>
          <w:tab w:val="num" w:pos="4320"/>
        </w:tabs>
        <w:ind w:left="4320" w:hanging="360"/>
      </w:pPr>
      <w:rPr>
        <w:rFonts w:hint="default" w:ascii="Arial" w:hAnsi="Arial"/>
      </w:rPr>
    </w:lvl>
    <w:lvl w:ilvl="6">
      <w:start w:val="1"/>
      <w:numFmt w:val="bullet"/>
      <w:lvlText w:val="•"/>
      <w:lvlJc w:val="left"/>
      <w:pPr>
        <w:tabs>
          <w:tab w:val="num" w:pos="5040"/>
        </w:tabs>
        <w:ind w:left="5040" w:hanging="360"/>
      </w:pPr>
      <w:rPr>
        <w:rFonts w:hint="default" w:ascii="Arial" w:hAnsi="Arial"/>
      </w:rPr>
    </w:lvl>
    <w:lvl w:ilvl="7">
      <w:start w:val="1"/>
      <w:numFmt w:val="bullet"/>
      <w:lvlText w:val="•"/>
      <w:lvlJc w:val="left"/>
      <w:pPr>
        <w:tabs>
          <w:tab w:val="num" w:pos="5760"/>
        </w:tabs>
        <w:ind w:left="5760" w:hanging="360"/>
      </w:pPr>
      <w:rPr>
        <w:rFonts w:hint="default" w:ascii="Arial" w:hAnsi="Arial"/>
      </w:rPr>
    </w:lvl>
    <w:lvl w:ilvl="8">
      <w:start w:val="1"/>
      <w:numFmt w:val="bullet"/>
      <w:lvlText w:val="•"/>
      <w:lvlJc w:val="left"/>
      <w:pPr>
        <w:tabs>
          <w:tab w:val="num" w:pos="6480"/>
        </w:tabs>
        <w:ind w:left="6480" w:hanging="360"/>
      </w:pPr>
      <w:rPr>
        <w:rFonts w:hint="default" w:ascii="Arial" w:hAnsi="Arial"/>
      </w:rPr>
    </w:lvl>
  </w:abstractNum>
  <w:abstractNum w:abstractNumId="5" w15:restartNumberingAfterBreak="0">
    <w:nsid w:val="01BE073E"/>
    <w:multiLevelType w:val="multilevel"/>
    <w:tmpl w:val="018A8CD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02B04A5F"/>
    <w:multiLevelType w:val="multilevel"/>
    <w:tmpl w:val="D99838B0"/>
    <w:lvl w:ilvl="0">
      <w:start w:val="1"/>
      <w:numFmt w:val="bullet"/>
      <w:lvlText w:val=""/>
      <w:lvlJc w:val="left"/>
      <w:pPr>
        <w:ind w:left="720" w:hanging="360"/>
      </w:pPr>
      <w:rPr>
        <w:rFonts w:hint="default" w:ascii="Symbol" w:hAnsi="Symbol" w:eastAsia="Symbol" w:cs="Symbol"/>
      </w:rPr>
    </w:lvl>
    <w:lvl w:ilvl="1">
      <w:start w:val="1"/>
      <w:numFmt w:val="bullet"/>
      <w:lvlText w:val=""/>
      <w:lvlJc w:val="left"/>
      <w:pPr>
        <w:ind w:left="1440" w:hanging="360"/>
      </w:pPr>
      <w:rPr>
        <w:rFonts w:hint="default" w:ascii="Wingdings" w:hAnsi="Wingdings" w:eastAsia="Wingdings" w:cs="Wingdings"/>
      </w:rPr>
    </w:lvl>
    <w:lvl w:ilvl="2">
      <w:start w:val="1"/>
      <w:numFmt w:val="bullet"/>
      <w:lvlText w:val="-"/>
      <w:lvlJc w:val="left"/>
      <w:pPr>
        <w:ind w:left="2160" w:hanging="360"/>
      </w:pPr>
      <w:rPr>
        <w:rFonts w:hint="default" w:ascii="Symbol" w:hAnsi="Symbol" w:eastAsia="Symbol" w:cs="Symbol"/>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7" w15:restartNumberingAfterBreak="0">
    <w:nsid w:val="02DA0ACF"/>
    <w:multiLevelType w:val="multilevel"/>
    <w:tmpl w:val="AC9092C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03131CEF"/>
    <w:multiLevelType w:val="multilevel"/>
    <w:tmpl w:val="444C924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03A4660E"/>
    <w:multiLevelType w:val="multilevel"/>
    <w:tmpl w:val="E86C336A"/>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0" w15:restartNumberingAfterBreak="0">
    <w:nsid w:val="04154522"/>
    <w:multiLevelType w:val="multilevel"/>
    <w:tmpl w:val="F0187D2A"/>
    <w:lvl w:ilvl="0">
      <w:start w:val="1"/>
      <w:numFmt w:val="bullet"/>
      <w:lvlText w:val=""/>
      <w:lvlJc w:val="left"/>
      <w:pPr>
        <w:tabs>
          <w:tab w:val="num" w:pos="720"/>
        </w:tabs>
        <w:ind w:left="720" w:hanging="360"/>
      </w:pPr>
      <w:rPr>
        <w:rFonts w:hint="default" w:ascii="Symbol" w:hAnsi="Symbol" w:cs="Symbol"/>
        <w:sz w:val="20"/>
      </w:rPr>
    </w:lvl>
    <w:lvl w:ilvl="1">
      <w:start w:val="1"/>
      <w:numFmt w:val="bullet"/>
      <w:lvlText w:val="o"/>
      <w:lvlJc w:val="left"/>
      <w:pPr>
        <w:tabs>
          <w:tab w:val="num" w:pos="1440"/>
        </w:tabs>
        <w:ind w:left="1440" w:hanging="360"/>
      </w:pPr>
      <w:rPr>
        <w:rFonts w:hint="default" w:ascii="Courier New" w:hAnsi="Courier New" w:cs="Courier New"/>
        <w:sz w:val="20"/>
      </w:rPr>
    </w:lvl>
    <w:lvl w:ilvl="2">
      <w:start w:val="1"/>
      <w:numFmt w:val="bullet"/>
      <w:lvlText w:val=""/>
      <w:lvlJc w:val="left"/>
      <w:pPr>
        <w:tabs>
          <w:tab w:val="num" w:pos="2160"/>
        </w:tabs>
        <w:ind w:left="2160" w:hanging="360"/>
      </w:pPr>
      <w:rPr>
        <w:rFonts w:hint="default" w:ascii="Wingdings" w:hAnsi="Wingdings" w:cs="Wingdings"/>
        <w:sz w:val="20"/>
      </w:rPr>
    </w:lvl>
    <w:lvl w:ilvl="3">
      <w:start w:val="1"/>
      <w:numFmt w:val="bullet"/>
      <w:lvlText w:val=""/>
      <w:lvlJc w:val="left"/>
      <w:pPr>
        <w:tabs>
          <w:tab w:val="num" w:pos="2880"/>
        </w:tabs>
        <w:ind w:left="2880" w:hanging="360"/>
      </w:pPr>
      <w:rPr>
        <w:rFonts w:hint="default" w:ascii="Wingdings" w:hAnsi="Wingdings" w:cs="Wingdings"/>
        <w:sz w:val="20"/>
      </w:rPr>
    </w:lvl>
    <w:lvl w:ilvl="4">
      <w:start w:val="1"/>
      <w:numFmt w:val="bullet"/>
      <w:lvlText w:val=""/>
      <w:lvlJc w:val="left"/>
      <w:pPr>
        <w:tabs>
          <w:tab w:val="num" w:pos="3600"/>
        </w:tabs>
        <w:ind w:left="3600" w:hanging="360"/>
      </w:pPr>
      <w:rPr>
        <w:rFonts w:hint="default" w:ascii="Wingdings" w:hAnsi="Wingdings" w:cs="Wingdings"/>
        <w:sz w:val="20"/>
      </w:rPr>
    </w:lvl>
    <w:lvl w:ilvl="5">
      <w:start w:val="1"/>
      <w:numFmt w:val="bullet"/>
      <w:lvlText w:val=""/>
      <w:lvlJc w:val="left"/>
      <w:pPr>
        <w:tabs>
          <w:tab w:val="num" w:pos="4320"/>
        </w:tabs>
        <w:ind w:left="4320" w:hanging="360"/>
      </w:pPr>
      <w:rPr>
        <w:rFonts w:hint="default" w:ascii="Wingdings" w:hAnsi="Wingdings" w:cs="Wingdings"/>
        <w:sz w:val="20"/>
      </w:rPr>
    </w:lvl>
    <w:lvl w:ilvl="6">
      <w:start w:val="1"/>
      <w:numFmt w:val="bullet"/>
      <w:lvlText w:val=""/>
      <w:lvlJc w:val="left"/>
      <w:pPr>
        <w:tabs>
          <w:tab w:val="num" w:pos="5040"/>
        </w:tabs>
        <w:ind w:left="5040" w:hanging="360"/>
      </w:pPr>
      <w:rPr>
        <w:rFonts w:hint="default" w:ascii="Wingdings" w:hAnsi="Wingdings" w:cs="Wingdings"/>
        <w:sz w:val="20"/>
      </w:rPr>
    </w:lvl>
    <w:lvl w:ilvl="7">
      <w:start w:val="1"/>
      <w:numFmt w:val="bullet"/>
      <w:lvlText w:val=""/>
      <w:lvlJc w:val="left"/>
      <w:pPr>
        <w:tabs>
          <w:tab w:val="num" w:pos="5760"/>
        </w:tabs>
        <w:ind w:left="5760" w:hanging="360"/>
      </w:pPr>
      <w:rPr>
        <w:rFonts w:hint="default" w:ascii="Wingdings" w:hAnsi="Wingdings" w:cs="Wingdings"/>
        <w:sz w:val="20"/>
      </w:rPr>
    </w:lvl>
    <w:lvl w:ilvl="8">
      <w:start w:val="1"/>
      <w:numFmt w:val="bullet"/>
      <w:lvlText w:val=""/>
      <w:lvlJc w:val="left"/>
      <w:pPr>
        <w:tabs>
          <w:tab w:val="num" w:pos="6480"/>
        </w:tabs>
        <w:ind w:left="6480" w:hanging="360"/>
      </w:pPr>
      <w:rPr>
        <w:rFonts w:hint="default" w:ascii="Wingdings" w:hAnsi="Wingdings" w:cs="Wingdings"/>
        <w:sz w:val="20"/>
      </w:rPr>
    </w:lvl>
  </w:abstractNum>
  <w:abstractNum w:abstractNumId="11" w15:restartNumberingAfterBreak="0">
    <w:nsid w:val="05694797"/>
    <w:multiLevelType w:val="multilevel"/>
    <w:tmpl w:val="67163C20"/>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2" w15:restartNumberingAfterBreak="0">
    <w:nsid w:val="060B0803"/>
    <w:multiLevelType w:val="multilevel"/>
    <w:tmpl w:val="3D904F56"/>
    <w:lvl w:ilvl="0">
      <w:start w:val="1"/>
      <w:numFmt w:val="bullet"/>
      <w:pStyle w:val="Puce2INRAE"/>
      <w:lvlText w:val=""/>
      <w:lvlJc w:val="left"/>
      <w:pPr>
        <w:tabs>
          <w:tab w:val="num" w:pos="0"/>
        </w:tabs>
        <w:ind w:left="1800" w:hanging="360"/>
      </w:pPr>
      <w:rPr>
        <w:rFonts w:hint="default" w:ascii="Wingdings" w:hAnsi="Wingdings" w:cs="Wingdings"/>
        <w:color w:val="03A3A6"/>
      </w:rPr>
    </w:lvl>
    <w:lvl w:ilvl="1">
      <w:start w:val="1"/>
      <w:numFmt w:val="bullet"/>
      <w:lvlText w:val="o"/>
      <w:lvlJc w:val="left"/>
      <w:pPr>
        <w:tabs>
          <w:tab w:val="num" w:pos="0"/>
        </w:tabs>
        <w:ind w:left="2520" w:hanging="360"/>
      </w:pPr>
      <w:rPr>
        <w:rFonts w:hint="default" w:ascii="Courier New" w:hAnsi="Courier New" w:cs="Courier New"/>
      </w:rPr>
    </w:lvl>
    <w:lvl w:ilvl="2">
      <w:start w:val="1"/>
      <w:numFmt w:val="bullet"/>
      <w:lvlText w:val=""/>
      <w:lvlJc w:val="left"/>
      <w:pPr>
        <w:tabs>
          <w:tab w:val="num" w:pos="0"/>
        </w:tabs>
        <w:ind w:left="3240" w:hanging="360"/>
      </w:pPr>
      <w:rPr>
        <w:rFonts w:hint="default" w:ascii="Wingdings" w:hAnsi="Wingdings" w:cs="Wingdings"/>
      </w:rPr>
    </w:lvl>
    <w:lvl w:ilvl="3">
      <w:start w:val="1"/>
      <w:numFmt w:val="bullet"/>
      <w:lvlText w:val=""/>
      <w:lvlJc w:val="left"/>
      <w:pPr>
        <w:tabs>
          <w:tab w:val="num" w:pos="0"/>
        </w:tabs>
        <w:ind w:left="3960" w:hanging="360"/>
      </w:pPr>
      <w:rPr>
        <w:rFonts w:hint="default" w:ascii="Symbol" w:hAnsi="Symbol" w:cs="Symbol"/>
      </w:rPr>
    </w:lvl>
    <w:lvl w:ilvl="4">
      <w:start w:val="1"/>
      <w:numFmt w:val="bullet"/>
      <w:lvlText w:val="o"/>
      <w:lvlJc w:val="left"/>
      <w:pPr>
        <w:tabs>
          <w:tab w:val="num" w:pos="0"/>
        </w:tabs>
        <w:ind w:left="4680" w:hanging="360"/>
      </w:pPr>
      <w:rPr>
        <w:rFonts w:hint="default" w:ascii="Courier New" w:hAnsi="Courier New" w:cs="Courier New"/>
      </w:rPr>
    </w:lvl>
    <w:lvl w:ilvl="5">
      <w:start w:val="1"/>
      <w:numFmt w:val="bullet"/>
      <w:lvlText w:val=""/>
      <w:lvlJc w:val="left"/>
      <w:pPr>
        <w:tabs>
          <w:tab w:val="num" w:pos="0"/>
        </w:tabs>
        <w:ind w:left="5400" w:hanging="360"/>
      </w:pPr>
      <w:rPr>
        <w:rFonts w:hint="default" w:ascii="Wingdings" w:hAnsi="Wingdings" w:cs="Wingdings"/>
      </w:rPr>
    </w:lvl>
    <w:lvl w:ilvl="6">
      <w:start w:val="1"/>
      <w:numFmt w:val="bullet"/>
      <w:lvlText w:val=""/>
      <w:lvlJc w:val="left"/>
      <w:pPr>
        <w:tabs>
          <w:tab w:val="num" w:pos="0"/>
        </w:tabs>
        <w:ind w:left="6120" w:hanging="360"/>
      </w:pPr>
      <w:rPr>
        <w:rFonts w:hint="default" w:ascii="Symbol" w:hAnsi="Symbol" w:cs="Symbol"/>
      </w:rPr>
    </w:lvl>
    <w:lvl w:ilvl="7">
      <w:start w:val="1"/>
      <w:numFmt w:val="bullet"/>
      <w:lvlText w:val="o"/>
      <w:lvlJc w:val="left"/>
      <w:pPr>
        <w:tabs>
          <w:tab w:val="num" w:pos="0"/>
        </w:tabs>
        <w:ind w:left="6840" w:hanging="360"/>
      </w:pPr>
      <w:rPr>
        <w:rFonts w:hint="default" w:ascii="Courier New" w:hAnsi="Courier New" w:cs="Courier New"/>
      </w:rPr>
    </w:lvl>
    <w:lvl w:ilvl="8">
      <w:start w:val="1"/>
      <w:numFmt w:val="bullet"/>
      <w:lvlText w:val=""/>
      <w:lvlJc w:val="left"/>
      <w:pPr>
        <w:tabs>
          <w:tab w:val="num" w:pos="0"/>
        </w:tabs>
        <w:ind w:left="7560" w:hanging="360"/>
      </w:pPr>
      <w:rPr>
        <w:rFonts w:hint="default" w:ascii="Wingdings" w:hAnsi="Wingdings" w:cs="Wingdings"/>
      </w:rPr>
    </w:lvl>
  </w:abstractNum>
  <w:abstractNum w:abstractNumId="13" w15:restartNumberingAfterBreak="0">
    <w:nsid w:val="064705FC"/>
    <w:multiLevelType w:val="multilevel"/>
    <w:tmpl w:val="A220436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07D11F9E"/>
    <w:multiLevelType w:val="multilevel"/>
    <w:tmpl w:val="600AF12C"/>
    <w:lvl w:ilvl="0">
      <w:start w:val="3"/>
      <w:numFmt w:val="decimal"/>
      <w:lvlText w:val="%1."/>
      <w:lvlJc w:val="left"/>
      <w:pPr>
        <w:tabs>
          <w:tab w:val="num" w:pos="720"/>
        </w:tabs>
        <w:ind w:left="720" w:hanging="360"/>
      </w:pPr>
    </w:lvl>
    <w:lvl w:ilvl="1">
      <w:start w:val="3"/>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7F72F25"/>
    <w:multiLevelType w:val="multilevel"/>
    <w:tmpl w:val="A27AD54C"/>
    <w:lvl w:ilvl="0">
      <w:start w:val="1"/>
      <w:numFmt w:val="bullet"/>
      <w:pStyle w:val="puce-"/>
      <w:lvlText w:val="-"/>
      <w:lvlJc w:val="left"/>
      <w:pPr>
        <w:tabs>
          <w:tab w:val="num" w:pos="0"/>
        </w:tabs>
        <w:ind w:left="720" w:hanging="360"/>
      </w:pPr>
      <w:rPr>
        <w:rFonts w:hint="default" w:ascii="Arial" w:hAnsi="Arial" w:cs="Aria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6" w15:restartNumberingAfterBreak="0">
    <w:nsid w:val="081E1E00"/>
    <w:multiLevelType w:val="multilevel"/>
    <w:tmpl w:val="524ED1E6"/>
    <w:lvl w:ilvl="0">
      <w:start w:val="1"/>
      <w:numFmt w:val="bullet"/>
      <w:lvlText w:val="·"/>
      <w:lvlJc w:val="left"/>
      <w:pPr>
        <w:ind w:left="709" w:hanging="360"/>
      </w:pPr>
      <w:rPr>
        <w:rFonts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17" w15:restartNumberingAfterBreak="0">
    <w:nsid w:val="08CD42E8"/>
    <w:multiLevelType w:val="multilevel"/>
    <w:tmpl w:val="0FAEC6F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08FB4610"/>
    <w:multiLevelType w:val="multilevel"/>
    <w:tmpl w:val="52061C98"/>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9" w15:restartNumberingAfterBreak="0">
    <w:nsid w:val="0AD1325C"/>
    <w:multiLevelType w:val="multilevel"/>
    <w:tmpl w:val="81D43A26"/>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0" w15:restartNumberingAfterBreak="0">
    <w:nsid w:val="0B131BF7"/>
    <w:multiLevelType w:val="multilevel"/>
    <w:tmpl w:val="27868D1E"/>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1" w15:restartNumberingAfterBreak="0">
    <w:nsid w:val="0C332A17"/>
    <w:multiLevelType w:val="multilevel"/>
    <w:tmpl w:val="E8B85DDC"/>
    <w:lvl w:ilvl="0">
      <w:start w:val="8"/>
      <w:numFmt w:val="decimal"/>
      <w:lvlText w:val="%1."/>
      <w:lvlJc w:val="left"/>
      <w:pPr>
        <w:ind w:left="70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D6F0F2D"/>
    <w:multiLevelType w:val="multilevel"/>
    <w:tmpl w:val="CBBED76A"/>
    <w:lvl w:ilvl="0">
      <w:start w:val="1"/>
      <w:numFmt w:val="bullet"/>
      <w:pStyle w:val="Puce3"/>
      <w:lvlText w:val=""/>
      <w:lvlJc w:val="left"/>
      <w:pPr>
        <w:tabs>
          <w:tab w:val="num" w:pos="0"/>
        </w:tabs>
        <w:ind w:left="1911" w:hanging="360"/>
      </w:pPr>
      <w:rPr>
        <w:rFonts w:hint="default" w:ascii="Wingdings" w:hAnsi="Wingdings" w:cs="Wingdings"/>
        <w:color w:val="06A6A3"/>
      </w:rPr>
    </w:lvl>
    <w:lvl w:ilvl="1">
      <w:start w:val="1"/>
      <w:numFmt w:val="bullet"/>
      <w:lvlText w:val="o"/>
      <w:lvlJc w:val="left"/>
      <w:pPr>
        <w:tabs>
          <w:tab w:val="num" w:pos="0"/>
        </w:tabs>
        <w:ind w:left="2631" w:hanging="360"/>
      </w:pPr>
      <w:rPr>
        <w:rFonts w:hint="default" w:ascii="Courier New" w:hAnsi="Courier New" w:cs="Courier New"/>
      </w:rPr>
    </w:lvl>
    <w:lvl w:ilvl="2">
      <w:start w:val="1"/>
      <w:numFmt w:val="bullet"/>
      <w:lvlText w:val=""/>
      <w:lvlJc w:val="left"/>
      <w:pPr>
        <w:tabs>
          <w:tab w:val="num" w:pos="0"/>
        </w:tabs>
        <w:ind w:left="3351" w:hanging="360"/>
      </w:pPr>
      <w:rPr>
        <w:rFonts w:hint="default" w:ascii="Wingdings" w:hAnsi="Wingdings" w:cs="Wingdings"/>
      </w:rPr>
    </w:lvl>
    <w:lvl w:ilvl="3">
      <w:start w:val="1"/>
      <w:numFmt w:val="bullet"/>
      <w:lvlText w:val=""/>
      <w:lvlJc w:val="left"/>
      <w:pPr>
        <w:tabs>
          <w:tab w:val="num" w:pos="0"/>
        </w:tabs>
        <w:ind w:left="4071" w:hanging="360"/>
      </w:pPr>
      <w:rPr>
        <w:rFonts w:hint="default" w:ascii="Symbol" w:hAnsi="Symbol" w:cs="Symbol"/>
      </w:rPr>
    </w:lvl>
    <w:lvl w:ilvl="4">
      <w:start w:val="1"/>
      <w:numFmt w:val="bullet"/>
      <w:lvlText w:val="o"/>
      <w:lvlJc w:val="left"/>
      <w:pPr>
        <w:tabs>
          <w:tab w:val="num" w:pos="0"/>
        </w:tabs>
        <w:ind w:left="4791" w:hanging="360"/>
      </w:pPr>
      <w:rPr>
        <w:rFonts w:hint="default" w:ascii="Courier New" w:hAnsi="Courier New" w:cs="Courier New"/>
      </w:rPr>
    </w:lvl>
    <w:lvl w:ilvl="5">
      <w:start w:val="1"/>
      <w:numFmt w:val="bullet"/>
      <w:lvlText w:val=""/>
      <w:lvlJc w:val="left"/>
      <w:pPr>
        <w:tabs>
          <w:tab w:val="num" w:pos="0"/>
        </w:tabs>
        <w:ind w:left="5511" w:hanging="360"/>
      </w:pPr>
      <w:rPr>
        <w:rFonts w:hint="default" w:ascii="Wingdings" w:hAnsi="Wingdings" w:cs="Wingdings"/>
      </w:rPr>
    </w:lvl>
    <w:lvl w:ilvl="6">
      <w:start w:val="1"/>
      <w:numFmt w:val="bullet"/>
      <w:lvlText w:val=""/>
      <w:lvlJc w:val="left"/>
      <w:pPr>
        <w:tabs>
          <w:tab w:val="num" w:pos="0"/>
        </w:tabs>
        <w:ind w:left="6231" w:hanging="360"/>
      </w:pPr>
      <w:rPr>
        <w:rFonts w:hint="default" w:ascii="Symbol" w:hAnsi="Symbol" w:cs="Symbol"/>
      </w:rPr>
    </w:lvl>
    <w:lvl w:ilvl="7">
      <w:start w:val="1"/>
      <w:numFmt w:val="bullet"/>
      <w:lvlText w:val="o"/>
      <w:lvlJc w:val="left"/>
      <w:pPr>
        <w:tabs>
          <w:tab w:val="num" w:pos="0"/>
        </w:tabs>
        <w:ind w:left="6951" w:hanging="360"/>
      </w:pPr>
      <w:rPr>
        <w:rFonts w:hint="default" w:ascii="Courier New" w:hAnsi="Courier New" w:cs="Courier New"/>
      </w:rPr>
    </w:lvl>
    <w:lvl w:ilvl="8">
      <w:start w:val="1"/>
      <w:numFmt w:val="bullet"/>
      <w:lvlText w:val=""/>
      <w:lvlJc w:val="left"/>
      <w:pPr>
        <w:tabs>
          <w:tab w:val="num" w:pos="0"/>
        </w:tabs>
        <w:ind w:left="7671" w:hanging="360"/>
      </w:pPr>
      <w:rPr>
        <w:rFonts w:hint="default" w:ascii="Wingdings" w:hAnsi="Wingdings" w:cs="Wingdings"/>
      </w:rPr>
    </w:lvl>
  </w:abstractNum>
  <w:abstractNum w:abstractNumId="23" w15:restartNumberingAfterBreak="0">
    <w:nsid w:val="0D9F382A"/>
    <w:multiLevelType w:val="multilevel"/>
    <w:tmpl w:val="E9503A12"/>
    <w:lvl w:ilvl="0">
      <w:start w:val="1"/>
      <w:numFmt w:val="bullet"/>
      <w:pStyle w:val="Retrai1"/>
      <w:lvlText w:val=""/>
      <w:lvlJc w:val="left"/>
      <w:pPr>
        <w:tabs>
          <w:tab w:val="num" w:pos="510"/>
        </w:tabs>
        <w:ind w:left="510" w:hanging="510"/>
      </w:pPr>
      <w:rPr>
        <w:rFonts w:hint="default" w:ascii="Wingdings" w:hAnsi="Wingdings" w:cs="Wingdings"/>
        <w:sz w:val="3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0DD30A94"/>
    <w:multiLevelType w:val="multilevel"/>
    <w:tmpl w:val="EF5E7598"/>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5" w15:restartNumberingAfterBreak="0">
    <w:nsid w:val="0E713FE1"/>
    <w:multiLevelType w:val="multilevel"/>
    <w:tmpl w:val="C930CF20"/>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6" w15:restartNumberingAfterBreak="0">
    <w:nsid w:val="0FFF54CC"/>
    <w:multiLevelType w:val="multilevel"/>
    <w:tmpl w:val="D66EE2D6"/>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107A459B"/>
    <w:multiLevelType w:val="multilevel"/>
    <w:tmpl w:val="0C3A7BCA"/>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28" w15:restartNumberingAfterBreak="0">
    <w:nsid w:val="110D55F0"/>
    <w:multiLevelType w:val="multilevel"/>
    <w:tmpl w:val="61D81F86"/>
    <w:lvl w:ilvl="0">
      <w:start w:val="1"/>
      <w:numFmt w:val="bullet"/>
      <w:pStyle w:val="E1"/>
      <w:lvlText w:val=""/>
      <w:lvlJc w:val="left"/>
      <w:pPr>
        <w:tabs>
          <w:tab w:val="num" w:pos="1069"/>
        </w:tabs>
        <w:ind w:left="1069" w:hanging="360"/>
      </w:pPr>
      <w:rPr>
        <w:rFonts w:hint="default" w:ascii="Symbol" w:hAnsi="Symbol" w:cs="Symbol"/>
      </w:rPr>
    </w:lvl>
    <w:lvl w:ilvl="1">
      <w:start w:val="1"/>
      <w:numFmt w:val="bullet"/>
      <w:lvlText w:val="o"/>
      <w:lvlJc w:val="left"/>
      <w:pPr>
        <w:tabs>
          <w:tab w:val="num" w:pos="1440"/>
        </w:tabs>
        <w:ind w:left="1440" w:hanging="360"/>
      </w:pPr>
      <w:rPr>
        <w:rFonts w:hint="default" w:ascii="Courier New" w:hAnsi="Courier New" w:cs="Courier New"/>
      </w:rPr>
    </w:lvl>
    <w:lvl w:ilvl="2">
      <w:start w:val="1"/>
      <w:numFmt w:val="bullet"/>
      <w:lvlText w:val=""/>
      <w:lvlJc w:val="left"/>
      <w:pPr>
        <w:tabs>
          <w:tab w:val="num" w:pos="2160"/>
        </w:tabs>
        <w:ind w:left="2160" w:hanging="360"/>
      </w:pPr>
      <w:rPr>
        <w:rFonts w:hint="default" w:ascii="Wingdings" w:hAnsi="Wingdings" w:cs="Wingdings"/>
      </w:rPr>
    </w:lvl>
    <w:lvl w:ilvl="3">
      <w:start w:val="1"/>
      <w:numFmt w:val="bullet"/>
      <w:lvlText w:val=""/>
      <w:lvlJc w:val="left"/>
      <w:pPr>
        <w:tabs>
          <w:tab w:val="num" w:pos="2880"/>
        </w:tabs>
        <w:ind w:left="2880" w:hanging="360"/>
      </w:pPr>
      <w:rPr>
        <w:rFonts w:hint="default" w:ascii="Symbol" w:hAnsi="Symbol" w:cs="Symbol"/>
      </w:rPr>
    </w:lvl>
    <w:lvl w:ilvl="4">
      <w:start w:val="1"/>
      <w:numFmt w:val="bullet"/>
      <w:lvlText w:val="o"/>
      <w:lvlJc w:val="left"/>
      <w:pPr>
        <w:tabs>
          <w:tab w:val="num" w:pos="3600"/>
        </w:tabs>
        <w:ind w:left="3600" w:hanging="360"/>
      </w:pPr>
      <w:rPr>
        <w:rFonts w:hint="default" w:ascii="Courier New" w:hAnsi="Courier New" w:cs="Courier New"/>
      </w:rPr>
    </w:lvl>
    <w:lvl w:ilvl="5">
      <w:start w:val="1"/>
      <w:numFmt w:val="bullet"/>
      <w:lvlText w:val=""/>
      <w:lvlJc w:val="left"/>
      <w:pPr>
        <w:tabs>
          <w:tab w:val="num" w:pos="4320"/>
        </w:tabs>
        <w:ind w:left="4320" w:hanging="360"/>
      </w:pPr>
      <w:rPr>
        <w:rFonts w:hint="default" w:ascii="Wingdings" w:hAnsi="Wingdings" w:cs="Wingdings"/>
      </w:rPr>
    </w:lvl>
    <w:lvl w:ilvl="6">
      <w:start w:val="1"/>
      <w:numFmt w:val="bullet"/>
      <w:lvlText w:val=""/>
      <w:lvlJc w:val="left"/>
      <w:pPr>
        <w:tabs>
          <w:tab w:val="num" w:pos="5040"/>
        </w:tabs>
        <w:ind w:left="5040" w:hanging="360"/>
      </w:pPr>
      <w:rPr>
        <w:rFonts w:hint="default" w:ascii="Symbol" w:hAnsi="Symbol" w:cs="Symbol"/>
      </w:rPr>
    </w:lvl>
    <w:lvl w:ilvl="7">
      <w:start w:val="1"/>
      <w:numFmt w:val="bullet"/>
      <w:lvlText w:val="o"/>
      <w:lvlJc w:val="left"/>
      <w:pPr>
        <w:tabs>
          <w:tab w:val="num" w:pos="5760"/>
        </w:tabs>
        <w:ind w:left="5760" w:hanging="360"/>
      </w:pPr>
      <w:rPr>
        <w:rFonts w:hint="default" w:ascii="Courier New" w:hAnsi="Courier New" w:cs="Courier New"/>
      </w:rPr>
    </w:lvl>
    <w:lvl w:ilvl="8">
      <w:start w:val="1"/>
      <w:numFmt w:val="bullet"/>
      <w:lvlText w:val=""/>
      <w:lvlJc w:val="left"/>
      <w:pPr>
        <w:tabs>
          <w:tab w:val="num" w:pos="6480"/>
        </w:tabs>
        <w:ind w:left="6480" w:hanging="360"/>
      </w:pPr>
      <w:rPr>
        <w:rFonts w:hint="default" w:ascii="Wingdings" w:hAnsi="Wingdings" w:cs="Wingdings"/>
      </w:rPr>
    </w:lvl>
  </w:abstractNum>
  <w:abstractNum w:abstractNumId="29" w15:restartNumberingAfterBreak="0">
    <w:nsid w:val="113D175C"/>
    <w:multiLevelType w:val="multilevel"/>
    <w:tmpl w:val="C484719E"/>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0" w15:restartNumberingAfterBreak="0">
    <w:nsid w:val="119700FB"/>
    <w:multiLevelType w:val="multilevel"/>
    <w:tmpl w:val="73B68E74"/>
    <w:lvl w:ilvl="0">
      <w:start w:val="1"/>
      <w:numFmt w:val="bullet"/>
      <w:lvlText w:val="·"/>
      <w:lvlJc w:val="left"/>
      <w:pPr>
        <w:ind w:left="709" w:hanging="360"/>
      </w:pPr>
      <w:rPr>
        <w:rFonts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31" w15:restartNumberingAfterBreak="0">
    <w:nsid w:val="12783616"/>
    <w:multiLevelType w:val="multilevel"/>
    <w:tmpl w:val="4036B68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2" w15:restartNumberingAfterBreak="0">
    <w:nsid w:val="12BF6788"/>
    <w:multiLevelType w:val="multilevel"/>
    <w:tmpl w:val="1ADCE7F0"/>
    <w:lvl w:ilvl="0">
      <w:start w:val="1"/>
      <w:numFmt w:val="decimal"/>
      <w:lvlText w:val="Partie %1 - "/>
      <w:lvlJc w:val="left"/>
      <w:pPr>
        <w:ind w:left="0" w:firstLine="0"/>
      </w:pPr>
      <w:rPr>
        <w:color w:val="03A6A3"/>
        <w:sz w:val="48"/>
      </w:rPr>
    </w:lvl>
    <w:lvl w:ilvl="1">
      <w:start w:val="1"/>
      <w:numFmt w:val="decimal"/>
      <w:lvlText w:val="%2."/>
      <w:lvlJc w:val="left"/>
      <w:pPr>
        <w:ind w:left="360" w:hanging="360"/>
      </w:pPr>
    </w:lvl>
    <w:lvl w:ilvl="2">
      <w:start w:val="1"/>
      <w:numFmt w:val="decimal"/>
      <w:lvlText w:val="%2.%3."/>
      <w:lvlJc w:val="left"/>
      <w:pPr>
        <w:ind w:left="567" w:hanging="567"/>
      </w:pPr>
      <w:rPr>
        <w:color w:val="03A6A3"/>
      </w:rPr>
    </w:lvl>
    <w:lvl w:ilvl="3">
      <w:start w:val="1"/>
      <w:numFmt w:val="decimal"/>
      <w:lvlText w:val="%2.%3.%4."/>
      <w:lvlJc w:val="left"/>
      <w:pPr>
        <w:ind w:left="851" w:hanging="851"/>
      </w:pPr>
      <w:rPr>
        <w:color w:val="03A6A3"/>
      </w:rPr>
    </w:lvl>
    <w:lvl w:ilvl="4">
      <w:start w:val="1"/>
      <w:numFmt w:val="decimal"/>
      <w:lvlText w:val="%2.%3.%4.%5."/>
      <w:lvlJc w:val="left"/>
      <w:pPr>
        <w:ind w:left="1134" w:hanging="1134"/>
      </w:pPr>
      <w:rPr>
        <w:color w:val="03A6A3"/>
      </w:rPr>
    </w:lvl>
    <w:lvl w:ilvl="5">
      <w:start w:val="1"/>
      <w:numFmt w:val="lowerLetter"/>
      <w:lvlText w:val="%6)"/>
      <w:lvlJc w:val="left"/>
      <w:pPr>
        <w:ind w:left="737" w:hanging="170"/>
      </w:pPr>
    </w:lvl>
    <w:lvl w:ilvl="6">
      <w:start w:val="1"/>
      <w:numFmt w:val="lowerRoman"/>
      <w:lvlText w:val="%7."/>
      <w:lvlJc w:val="right"/>
      <w:pPr>
        <w:ind w:left="1134" w:hanging="283"/>
      </w:pPr>
    </w:lvl>
    <w:lvl w:ilvl="7">
      <w:start w:val="1"/>
      <w:numFmt w:val="lowerLetter"/>
      <w:lvlText w:val="%8."/>
      <w:lvlJc w:val="left"/>
      <w:pPr>
        <w:ind w:left="2880" w:hanging="360"/>
      </w:pPr>
    </w:lvl>
    <w:lvl w:ilvl="8">
      <w:start w:val="1"/>
      <w:numFmt w:val="lowerRoman"/>
      <w:lvlText w:val="%9."/>
      <w:lvlJc w:val="right"/>
      <w:pPr>
        <w:ind w:left="3240" w:hanging="360"/>
      </w:pPr>
    </w:lvl>
  </w:abstractNum>
  <w:abstractNum w:abstractNumId="33" w15:restartNumberingAfterBreak="0">
    <w:nsid w:val="12E33363"/>
    <w:multiLevelType w:val="multilevel"/>
    <w:tmpl w:val="1AC0B5B4"/>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4" w15:restartNumberingAfterBreak="0">
    <w:nsid w:val="135427A3"/>
    <w:multiLevelType w:val="multilevel"/>
    <w:tmpl w:val="AA0AD41E"/>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144667F7"/>
    <w:multiLevelType w:val="multilevel"/>
    <w:tmpl w:val="793C5AB8"/>
    <w:lvl w:ilvl="0">
      <w:start w:val="1"/>
      <w:numFmt w:val="bullet"/>
      <w:lvlText w:val="·"/>
      <w:lvlJc w:val="left"/>
      <w:pPr>
        <w:ind w:left="709" w:hanging="360"/>
      </w:pPr>
      <w:rPr>
        <w:rFonts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36" w15:restartNumberingAfterBreak="0">
    <w:nsid w:val="14801B78"/>
    <w:multiLevelType w:val="multilevel"/>
    <w:tmpl w:val="DEF268D8"/>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7" w15:restartNumberingAfterBreak="0">
    <w:nsid w:val="15482EDC"/>
    <w:multiLevelType w:val="multilevel"/>
    <w:tmpl w:val="D61C9AF8"/>
    <w:lvl w:ilvl="0">
      <w:start w:val="1"/>
      <w:numFmt w:val="bullet"/>
      <w:suff w:val="space"/>
      <w:lvlText w:val="·"/>
      <w:lvlJc w:val="left"/>
      <w:pPr>
        <w:tabs>
          <w:tab w:val="num" w:pos="0"/>
        </w:tabs>
        <w:ind w:left="0" w:firstLine="0"/>
      </w:pPr>
      <w:rPr>
        <w:rFonts w:hint="default" w:ascii="Symbol" w:hAnsi="Symbol" w:eastAsia="Symbol" w:cs="Symbol"/>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8" w15:restartNumberingAfterBreak="0">
    <w:nsid w:val="159825D8"/>
    <w:multiLevelType w:val="multilevel"/>
    <w:tmpl w:val="2A7C2C4E"/>
    <w:lvl w:ilvl="0">
      <w:start w:val="1"/>
      <w:numFmt w:val="bullet"/>
      <w:lvlText w:val=""/>
      <w:lvlJc w:val="left"/>
      <w:pPr>
        <w:ind w:left="720" w:hanging="360"/>
      </w:pPr>
      <w:rPr>
        <w:rFonts w:hint="default" w:ascii="Symbol" w:hAnsi="Symbol" w:eastAsia="Symbol" w:cs="Symbol"/>
      </w:rPr>
    </w:lvl>
    <w:lvl w:ilvl="1">
      <w:start w:val="1"/>
      <w:numFmt w:val="bullet"/>
      <w:lvlText w:val=""/>
      <w:lvlJc w:val="left"/>
      <w:pPr>
        <w:ind w:left="1440" w:hanging="360"/>
      </w:pPr>
      <w:rPr>
        <w:rFonts w:hint="default" w:ascii="Wingdings" w:hAnsi="Wingdings" w:eastAsia="Wingdings" w:cs="Wingdings"/>
      </w:rPr>
    </w:lvl>
    <w:lvl w:ilvl="2">
      <w:start w:val="1"/>
      <w:numFmt w:val="bullet"/>
      <w:lvlText w:val="-"/>
      <w:lvlJc w:val="left"/>
      <w:pPr>
        <w:ind w:left="2160" w:hanging="360"/>
      </w:pPr>
      <w:rPr>
        <w:rFonts w:hint="default" w:ascii="Symbol" w:hAnsi="Symbol" w:eastAsia="Symbol" w:cs="Symbol"/>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39" w15:restartNumberingAfterBreak="0">
    <w:nsid w:val="161026BE"/>
    <w:multiLevelType w:val="multilevel"/>
    <w:tmpl w:val="EA5A2D0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164C1855"/>
    <w:multiLevelType w:val="multilevel"/>
    <w:tmpl w:val="6E72994A"/>
    <w:lvl w:ilvl="0">
      <w:start w:val="1"/>
      <w:numFmt w:val="bullet"/>
      <w:pStyle w:val="Tableau-puce11"/>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41" w15:restartNumberingAfterBreak="0">
    <w:nsid w:val="16672E3C"/>
    <w:multiLevelType w:val="multilevel"/>
    <w:tmpl w:val="CD5A8190"/>
    <w:lvl w:ilvl="0">
      <w:start w:val="1"/>
      <w:numFmt w:val="bullet"/>
      <w:lvlText w:val="·"/>
      <w:lvlJc w:val="left"/>
      <w:pPr>
        <w:ind w:left="709" w:hanging="360"/>
      </w:pPr>
      <w:rPr>
        <w:rFonts w:hint="default" w:ascii="Symbol" w:hAnsi="Symbol" w:eastAsia="Symbol" w:cs="Symbol"/>
        <w:color w:val="000000"/>
        <w:sz w:val="24"/>
      </w:rPr>
    </w:lvl>
    <w:lvl w:ilvl="1">
      <w:start w:val="1"/>
      <w:numFmt w:val="bullet"/>
      <w:lvlText w:val="·"/>
      <w:lvlJc w:val="left"/>
      <w:pPr>
        <w:ind w:left="1429" w:hanging="360"/>
      </w:pPr>
      <w:rPr>
        <w:rFonts w:hint="default" w:ascii="Symbol" w:hAnsi="Symbol" w:eastAsia="Symbol" w:cs="Symbol"/>
        <w:color w:val="000000"/>
        <w:sz w:val="24"/>
      </w:rPr>
    </w:lvl>
    <w:lvl w:ilvl="2">
      <w:start w:val="1"/>
      <w:numFmt w:val="bullet"/>
      <w:lvlText w:val="·"/>
      <w:lvlJc w:val="left"/>
      <w:pPr>
        <w:ind w:left="2149" w:hanging="360"/>
      </w:pPr>
      <w:rPr>
        <w:rFonts w:hint="default" w:ascii="Symbol" w:hAnsi="Symbol" w:eastAsia="Symbol" w:cs="Symbol"/>
        <w:color w:val="000000"/>
        <w:sz w:val="24"/>
      </w:rPr>
    </w:lvl>
    <w:lvl w:ilvl="3">
      <w:start w:val="1"/>
      <w:numFmt w:val="bullet"/>
      <w:lvlText w:val="·"/>
      <w:lvlJc w:val="left"/>
      <w:pPr>
        <w:ind w:left="2869" w:hanging="360"/>
      </w:pPr>
      <w:rPr>
        <w:rFonts w:hint="default" w:ascii="Symbol" w:hAnsi="Symbol" w:eastAsia="Symbol" w:cs="Symbol"/>
        <w:color w:val="000000"/>
        <w:sz w:val="24"/>
      </w:rPr>
    </w:lvl>
    <w:lvl w:ilvl="4">
      <w:start w:val="1"/>
      <w:numFmt w:val="bullet"/>
      <w:lvlText w:val="·"/>
      <w:lvlJc w:val="left"/>
      <w:pPr>
        <w:ind w:left="3589" w:hanging="360"/>
      </w:pPr>
      <w:rPr>
        <w:rFonts w:hint="default" w:ascii="Symbol" w:hAnsi="Symbol" w:eastAsia="Symbol" w:cs="Symbol"/>
        <w:color w:val="000000"/>
        <w:sz w:val="24"/>
      </w:rPr>
    </w:lvl>
    <w:lvl w:ilvl="5">
      <w:start w:val="1"/>
      <w:numFmt w:val="bullet"/>
      <w:lvlText w:val="·"/>
      <w:lvlJc w:val="left"/>
      <w:pPr>
        <w:ind w:left="4309" w:hanging="360"/>
      </w:pPr>
      <w:rPr>
        <w:rFonts w:hint="default" w:ascii="Symbol" w:hAnsi="Symbol" w:eastAsia="Symbol" w:cs="Symbol"/>
        <w:color w:val="000000"/>
        <w:sz w:val="24"/>
      </w:rPr>
    </w:lvl>
    <w:lvl w:ilvl="6">
      <w:start w:val="1"/>
      <w:numFmt w:val="bullet"/>
      <w:lvlText w:val="·"/>
      <w:lvlJc w:val="left"/>
      <w:pPr>
        <w:ind w:left="5029" w:hanging="360"/>
      </w:pPr>
      <w:rPr>
        <w:rFonts w:hint="default" w:ascii="Symbol" w:hAnsi="Symbol" w:eastAsia="Symbol" w:cs="Symbol"/>
        <w:color w:val="000000"/>
        <w:sz w:val="24"/>
      </w:rPr>
    </w:lvl>
    <w:lvl w:ilvl="7">
      <w:start w:val="1"/>
      <w:numFmt w:val="bullet"/>
      <w:lvlText w:val="·"/>
      <w:lvlJc w:val="left"/>
      <w:pPr>
        <w:ind w:left="5749" w:hanging="360"/>
      </w:pPr>
      <w:rPr>
        <w:rFonts w:hint="default" w:ascii="Symbol" w:hAnsi="Symbol" w:eastAsia="Symbol" w:cs="Symbol"/>
        <w:color w:val="000000"/>
        <w:sz w:val="24"/>
      </w:rPr>
    </w:lvl>
    <w:lvl w:ilvl="8">
      <w:start w:val="1"/>
      <w:numFmt w:val="bullet"/>
      <w:lvlText w:val="·"/>
      <w:lvlJc w:val="left"/>
      <w:pPr>
        <w:ind w:left="6469" w:hanging="360"/>
      </w:pPr>
      <w:rPr>
        <w:rFonts w:hint="default" w:ascii="Symbol" w:hAnsi="Symbol" w:eastAsia="Symbol" w:cs="Symbol"/>
        <w:color w:val="000000"/>
        <w:sz w:val="24"/>
      </w:rPr>
    </w:lvl>
  </w:abstractNum>
  <w:abstractNum w:abstractNumId="42" w15:restartNumberingAfterBreak="0">
    <w:nsid w:val="16882435"/>
    <w:multiLevelType w:val="multilevel"/>
    <w:tmpl w:val="9738DD20"/>
    <w:lvl w:ilvl="0">
      <w:start w:val="1"/>
      <w:numFmt w:val="upperRoman"/>
      <w:lvlText w:val="%1"/>
      <w:lvlJc w:val="left"/>
      <w:pPr>
        <w:tabs>
          <w:tab w:val="num" w:pos="0"/>
        </w:tabs>
        <w:ind w:left="680" w:hanging="680"/>
      </w:pPr>
      <w:rPr>
        <w:rFonts w:cs="Times New Roman"/>
        <w:b/>
        <w:i w:val="0"/>
        <w:caps/>
        <w:strike w:val="0"/>
        <w:vanish w:val="0"/>
        <w:color w:val="00000A"/>
        <w:spacing w:val="0"/>
        <w:position w:val="0"/>
        <w:sz w:val="32"/>
        <w:u w:val="none"/>
        <w:vertAlign w:val="baseline"/>
      </w:rPr>
    </w:lvl>
    <w:lvl w:ilvl="1">
      <w:start w:val="1"/>
      <w:numFmt w:val="decimal"/>
      <w:lvlText w:val="%1.%2"/>
      <w:lvlJc w:val="left"/>
      <w:pPr>
        <w:tabs>
          <w:tab w:val="num" w:pos="0"/>
        </w:tabs>
        <w:ind w:left="-49" w:hanging="851"/>
      </w:pPr>
      <w:rPr>
        <w:rFonts w:cs="Times New Roman"/>
        <w:b w:val="0"/>
        <w:sz w:val="22"/>
      </w:rPr>
    </w:lvl>
    <w:lvl w:ilvl="2">
      <w:start w:val="1"/>
      <w:numFmt w:val="decimal"/>
      <w:lvlText w:val="%1.%2.%3"/>
      <w:lvlJc w:val="left"/>
      <w:pPr>
        <w:tabs>
          <w:tab w:val="num" w:pos="0"/>
        </w:tabs>
        <w:ind w:left="-180" w:hanging="720"/>
      </w:pPr>
      <w:rPr>
        <w:rFonts w:cs="Times New Roman"/>
        <w:b w:val="0"/>
        <w:sz w:val="22"/>
      </w:rPr>
    </w:lvl>
    <w:lvl w:ilvl="3">
      <w:start w:val="1"/>
      <w:numFmt w:val="decimal"/>
      <w:pStyle w:val="Style4"/>
      <w:lvlText w:val="%1.%2.%3.%4"/>
      <w:lvlJc w:val="left"/>
      <w:pPr>
        <w:tabs>
          <w:tab w:val="num" w:pos="0"/>
        </w:tabs>
        <w:ind w:left="-36" w:hanging="864"/>
      </w:pPr>
      <w:rPr>
        <w:rFonts w:cs="Times New Roman"/>
        <w:b w:val="0"/>
        <w:sz w:val="22"/>
      </w:rPr>
    </w:lvl>
    <w:lvl w:ilvl="4">
      <w:start w:val="1"/>
      <w:numFmt w:val="upperLetter"/>
      <w:lvlText w:val="%1.%2.%3.%4.%5"/>
      <w:lvlJc w:val="left"/>
      <w:pPr>
        <w:tabs>
          <w:tab w:val="num" w:pos="0"/>
        </w:tabs>
        <w:ind w:left="347" w:hanging="1247"/>
      </w:pPr>
      <w:rPr>
        <w:rFonts w:cs="Times New Roman"/>
        <w:b w:val="0"/>
        <w:bCs w:val="0"/>
        <w:i w:val="0"/>
        <w:iCs w:val="0"/>
        <w:caps w:val="0"/>
        <w:smallCaps w:val="0"/>
        <w:strike w:val="0"/>
        <w:vanish w:val="0"/>
        <w:color w:val="000000"/>
        <w:spacing w:val="0"/>
        <w:position w:val="0"/>
        <w:sz w:val="22"/>
        <w:u w:val="none"/>
        <w:vertAlign w:val="baseline"/>
      </w:rPr>
    </w:lvl>
    <w:lvl w:ilvl="5">
      <w:start w:val="1"/>
      <w:numFmt w:val="decimal"/>
      <w:lvlText w:val="%1.%2.%3.%4.%5.%6"/>
      <w:lvlJc w:val="left"/>
      <w:pPr>
        <w:tabs>
          <w:tab w:val="num" w:pos="0"/>
        </w:tabs>
        <w:ind w:left="252" w:hanging="1152"/>
      </w:pPr>
      <w:rPr>
        <w:rFonts w:cs="Times New Roman"/>
        <w:b w:val="0"/>
        <w:sz w:val="22"/>
      </w:rPr>
    </w:lvl>
    <w:lvl w:ilvl="6">
      <w:start w:val="1"/>
      <w:numFmt w:val="decimal"/>
      <w:lvlText w:val="%1.%2.%3.%4.%5.%6.%7"/>
      <w:lvlJc w:val="left"/>
      <w:pPr>
        <w:tabs>
          <w:tab w:val="num" w:pos="0"/>
        </w:tabs>
        <w:ind w:left="396" w:hanging="1296"/>
      </w:pPr>
      <w:rPr>
        <w:rFonts w:cs="Times New Roman"/>
        <w:b w:val="0"/>
        <w:sz w:val="22"/>
      </w:rPr>
    </w:lvl>
    <w:lvl w:ilvl="7">
      <w:start w:val="1"/>
      <w:numFmt w:val="decimal"/>
      <w:lvlText w:val="%1.%2.%3.%4.%5.%6.%7.%8"/>
      <w:lvlJc w:val="left"/>
      <w:pPr>
        <w:tabs>
          <w:tab w:val="num" w:pos="0"/>
        </w:tabs>
        <w:ind w:left="540" w:hanging="1440"/>
      </w:pPr>
      <w:rPr>
        <w:rFonts w:cs="Times New Roman"/>
        <w:b w:val="0"/>
        <w:sz w:val="22"/>
      </w:rPr>
    </w:lvl>
    <w:lvl w:ilvl="8">
      <w:start w:val="1"/>
      <w:numFmt w:val="decimal"/>
      <w:lvlText w:val="%1.%2.%3.%4.%5.%6.%7.%8.%9"/>
      <w:lvlJc w:val="left"/>
      <w:pPr>
        <w:tabs>
          <w:tab w:val="num" w:pos="0"/>
        </w:tabs>
        <w:ind w:left="684" w:hanging="1584"/>
      </w:pPr>
      <w:rPr>
        <w:rFonts w:cs="Times New Roman"/>
        <w:b w:val="0"/>
        <w:sz w:val="22"/>
      </w:rPr>
    </w:lvl>
  </w:abstractNum>
  <w:abstractNum w:abstractNumId="43" w15:restartNumberingAfterBreak="0">
    <w:nsid w:val="16C066BA"/>
    <w:multiLevelType w:val="multilevel"/>
    <w:tmpl w:val="8D4C34B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4" w15:restartNumberingAfterBreak="0">
    <w:nsid w:val="17460FC1"/>
    <w:multiLevelType w:val="multilevel"/>
    <w:tmpl w:val="247AD782"/>
    <w:lvl w:ilvl="0">
      <w:start w:val="1"/>
      <w:numFmt w:val="bullet"/>
      <w:lvlText w:val="•"/>
      <w:lvlJc w:val="left"/>
      <w:pPr>
        <w:tabs>
          <w:tab w:val="num" w:pos="720"/>
        </w:tabs>
        <w:ind w:left="720" w:hanging="360"/>
      </w:pPr>
      <w:rPr>
        <w:rFonts w:hint="default" w:ascii="Arial" w:hAnsi="Arial"/>
      </w:rPr>
    </w:lvl>
    <w:lvl w:ilvl="1">
      <w:start w:val="1"/>
      <w:numFmt w:val="bullet"/>
      <w:lvlText w:val="•"/>
      <w:lvlJc w:val="left"/>
      <w:pPr>
        <w:tabs>
          <w:tab w:val="num" w:pos="1440"/>
        </w:tabs>
        <w:ind w:left="1440" w:hanging="360"/>
      </w:pPr>
      <w:rPr>
        <w:rFonts w:hint="default" w:ascii="Arial" w:hAnsi="Arial"/>
      </w:rPr>
    </w:lvl>
    <w:lvl w:ilvl="2">
      <w:start w:val="1"/>
      <w:numFmt w:val="bullet"/>
      <w:lvlText w:val="•"/>
      <w:lvlJc w:val="left"/>
      <w:pPr>
        <w:tabs>
          <w:tab w:val="num" w:pos="2160"/>
        </w:tabs>
        <w:ind w:left="2160" w:hanging="360"/>
      </w:pPr>
      <w:rPr>
        <w:rFonts w:hint="default" w:ascii="Arial" w:hAnsi="Arial"/>
      </w:rPr>
    </w:lvl>
    <w:lvl w:ilvl="3">
      <w:start w:val="1"/>
      <w:numFmt w:val="bullet"/>
      <w:lvlText w:val="•"/>
      <w:lvlJc w:val="left"/>
      <w:pPr>
        <w:tabs>
          <w:tab w:val="num" w:pos="2880"/>
        </w:tabs>
        <w:ind w:left="2880" w:hanging="360"/>
      </w:pPr>
      <w:rPr>
        <w:rFonts w:hint="default" w:ascii="Arial" w:hAnsi="Arial"/>
      </w:rPr>
    </w:lvl>
    <w:lvl w:ilvl="4">
      <w:start w:val="1"/>
      <w:numFmt w:val="bullet"/>
      <w:lvlText w:val="•"/>
      <w:lvlJc w:val="left"/>
      <w:pPr>
        <w:tabs>
          <w:tab w:val="num" w:pos="3600"/>
        </w:tabs>
        <w:ind w:left="3600" w:hanging="360"/>
      </w:pPr>
      <w:rPr>
        <w:rFonts w:hint="default" w:ascii="Arial" w:hAnsi="Arial"/>
      </w:rPr>
    </w:lvl>
    <w:lvl w:ilvl="5">
      <w:start w:val="1"/>
      <w:numFmt w:val="bullet"/>
      <w:lvlText w:val="•"/>
      <w:lvlJc w:val="left"/>
      <w:pPr>
        <w:tabs>
          <w:tab w:val="num" w:pos="4320"/>
        </w:tabs>
        <w:ind w:left="4320" w:hanging="360"/>
      </w:pPr>
      <w:rPr>
        <w:rFonts w:hint="default" w:ascii="Arial" w:hAnsi="Arial"/>
      </w:rPr>
    </w:lvl>
    <w:lvl w:ilvl="6">
      <w:start w:val="1"/>
      <w:numFmt w:val="bullet"/>
      <w:lvlText w:val="•"/>
      <w:lvlJc w:val="left"/>
      <w:pPr>
        <w:tabs>
          <w:tab w:val="num" w:pos="5040"/>
        </w:tabs>
        <w:ind w:left="5040" w:hanging="360"/>
      </w:pPr>
      <w:rPr>
        <w:rFonts w:hint="default" w:ascii="Arial" w:hAnsi="Arial"/>
      </w:rPr>
    </w:lvl>
    <w:lvl w:ilvl="7">
      <w:start w:val="1"/>
      <w:numFmt w:val="bullet"/>
      <w:lvlText w:val="•"/>
      <w:lvlJc w:val="left"/>
      <w:pPr>
        <w:tabs>
          <w:tab w:val="num" w:pos="5760"/>
        </w:tabs>
        <w:ind w:left="5760" w:hanging="360"/>
      </w:pPr>
      <w:rPr>
        <w:rFonts w:hint="default" w:ascii="Arial" w:hAnsi="Arial"/>
      </w:rPr>
    </w:lvl>
    <w:lvl w:ilvl="8">
      <w:start w:val="1"/>
      <w:numFmt w:val="bullet"/>
      <w:lvlText w:val="•"/>
      <w:lvlJc w:val="left"/>
      <w:pPr>
        <w:tabs>
          <w:tab w:val="num" w:pos="6480"/>
        </w:tabs>
        <w:ind w:left="6480" w:hanging="360"/>
      </w:pPr>
      <w:rPr>
        <w:rFonts w:hint="default" w:ascii="Arial" w:hAnsi="Arial"/>
      </w:rPr>
    </w:lvl>
  </w:abstractNum>
  <w:abstractNum w:abstractNumId="45" w15:restartNumberingAfterBreak="0">
    <w:nsid w:val="17887F42"/>
    <w:multiLevelType w:val="multilevel"/>
    <w:tmpl w:val="9EB2BE54"/>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6" w15:restartNumberingAfterBreak="0">
    <w:nsid w:val="18A76AC2"/>
    <w:multiLevelType w:val="multilevel"/>
    <w:tmpl w:val="B09CD276"/>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47" w15:restartNumberingAfterBreak="0">
    <w:nsid w:val="18EA0385"/>
    <w:multiLevelType w:val="multilevel"/>
    <w:tmpl w:val="757EBFFA"/>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8" w15:restartNumberingAfterBreak="0">
    <w:nsid w:val="19021253"/>
    <w:multiLevelType w:val="multilevel"/>
    <w:tmpl w:val="63BCA4CE"/>
    <w:lvl w:ilvl="0">
      <w:start w:val="1"/>
      <w:numFmt w:val="decimal"/>
      <w:pStyle w:val="Partie"/>
      <w:suff w:val="space"/>
      <w:lvlText w:val="Partie %1 - "/>
      <w:lvlJc w:val="left"/>
      <w:pPr>
        <w:tabs>
          <w:tab w:val="num" w:pos="0"/>
        </w:tabs>
        <w:ind w:left="0" w:firstLine="0"/>
      </w:pPr>
      <w:rPr>
        <w:rFonts w:ascii="Calibri" w:hAnsi="Calibri"/>
        <w:caps/>
        <w:color w:val="03A6A3"/>
      </w:rPr>
    </w:lvl>
    <w:lvl w:ilvl="1">
      <w:start w:val="1"/>
      <w:numFmt w:val="decimal"/>
      <w:pStyle w:val="Titre1"/>
      <w:lvlText w:val="%2."/>
      <w:lvlJc w:val="left"/>
      <w:pPr>
        <w:tabs>
          <w:tab w:val="num" w:pos="0"/>
        </w:tabs>
        <w:ind w:left="360" w:hanging="360"/>
      </w:pPr>
    </w:lvl>
    <w:lvl w:ilvl="2">
      <w:start w:val="1"/>
      <w:numFmt w:val="decimal"/>
      <w:pStyle w:val="Titre2"/>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9" w15:restartNumberingAfterBreak="0">
    <w:nsid w:val="19631177"/>
    <w:multiLevelType w:val="multilevel"/>
    <w:tmpl w:val="89060DD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50" w15:restartNumberingAfterBreak="0">
    <w:nsid w:val="196B6167"/>
    <w:multiLevelType w:val="multilevel"/>
    <w:tmpl w:val="E95E57FA"/>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51" w15:restartNumberingAfterBreak="0">
    <w:nsid w:val="19F87590"/>
    <w:multiLevelType w:val="multilevel"/>
    <w:tmpl w:val="ECEE2864"/>
    <w:lvl w:ilvl="0">
      <w:start w:val="1"/>
      <w:numFmt w:val="bullet"/>
      <w:lvlText w:val="·"/>
      <w:lvlJc w:val="left"/>
      <w:pPr>
        <w:ind w:left="709" w:hanging="360"/>
      </w:pPr>
      <w:rPr>
        <w:rFonts w:hint="default" w:ascii="Symbol" w:hAnsi="Symbol" w:eastAsia="Symbol" w:cs="Symbol"/>
        <w:color w:val="000000"/>
        <w:sz w:val="24"/>
      </w:rPr>
    </w:lvl>
    <w:lvl w:ilvl="1">
      <w:start w:val="1"/>
      <w:numFmt w:val="bullet"/>
      <w:lvlText w:val="·"/>
      <w:lvlJc w:val="left"/>
      <w:pPr>
        <w:ind w:left="1429" w:hanging="360"/>
      </w:pPr>
      <w:rPr>
        <w:rFonts w:hint="default" w:ascii="Symbol" w:hAnsi="Symbol" w:eastAsia="Symbol" w:cs="Symbol"/>
        <w:color w:val="000000"/>
        <w:sz w:val="24"/>
      </w:rPr>
    </w:lvl>
    <w:lvl w:ilvl="2">
      <w:start w:val="1"/>
      <w:numFmt w:val="bullet"/>
      <w:lvlText w:val="·"/>
      <w:lvlJc w:val="left"/>
      <w:pPr>
        <w:ind w:left="2149" w:hanging="360"/>
      </w:pPr>
      <w:rPr>
        <w:rFonts w:hint="default" w:ascii="Symbol" w:hAnsi="Symbol" w:eastAsia="Symbol" w:cs="Symbol"/>
        <w:color w:val="000000"/>
        <w:sz w:val="24"/>
      </w:rPr>
    </w:lvl>
    <w:lvl w:ilvl="3">
      <w:start w:val="1"/>
      <w:numFmt w:val="bullet"/>
      <w:lvlText w:val="·"/>
      <w:lvlJc w:val="left"/>
      <w:pPr>
        <w:ind w:left="2869" w:hanging="360"/>
      </w:pPr>
      <w:rPr>
        <w:rFonts w:hint="default" w:ascii="Symbol" w:hAnsi="Symbol" w:eastAsia="Symbol" w:cs="Symbol"/>
        <w:color w:val="000000"/>
        <w:sz w:val="24"/>
      </w:rPr>
    </w:lvl>
    <w:lvl w:ilvl="4">
      <w:start w:val="1"/>
      <w:numFmt w:val="bullet"/>
      <w:lvlText w:val="·"/>
      <w:lvlJc w:val="left"/>
      <w:pPr>
        <w:ind w:left="3589" w:hanging="360"/>
      </w:pPr>
      <w:rPr>
        <w:rFonts w:hint="default" w:ascii="Symbol" w:hAnsi="Symbol" w:eastAsia="Symbol" w:cs="Symbol"/>
        <w:color w:val="000000"/>
        <w:sz w:val="24"/>
      </w:rPr>
    </w:lvl>
    <w:lvl w:ilvl="5">
      <w:start w:val="1"/>
      <w:numFmt w:val="bullet"/>
      <w:lvlText w:val="·"/>
      <w:lvlJc w:val="left"/>
      <w:pPr>
        <w:ind w:left="4309" w:hanging="360"/>
      </w:pPr>
      <w:rPr>
        <w:rFonts w:hint="default" w:ascii="Symbol" w:hAnsi="Symbol" w:eastAsia="Symbol" w:cs="Symbol"/>
        <w:color w:val="000000"/>
        <w:sz w:val="24"/>
      </w:rPr>
    </w:lvl>
    <w:lvl w:ilvl="6">
      <w:start w:val="1"/>
      <w:numFmt w:val="bullet"/>
      <w:lvlText w:val="·"/>
      <w:lvlJc w:val="left"/>
      <w:pPr>
        <w:ind w:left="5029" w:hanging="360"/>
      </w:pPr>
      <w:rPr>
        <w:rFonts w:hint="default" w:ascii="Symbol" w:hAnsi="Symbol" w:eastAsia="Symbol" w:cs="Symbol"/>
        <w:color w:val="000000"/>
        <w:sz w:val="24"/>
      </w:rPr>
    </w:lvl>
    <w:lvl w:ilvl="7">
      <w:start w:val="1"/>
      <w:numFmt w:val="bullet"/>
      <w:lvlText w:val="·"/>
      <w:lvlJc w:val="left"/>
      <w:pPr>
        <w:ind w:left="5749" w:hanging="360"/>
      </w:pPr>
      <w:rPr>
        <w:rFonts w:hint="default" w:ascii="Symbol" w:hAnsi="Symbol" w:eastAsia="Symbol" w:cs="Symbol"/>
        <w:color w:val="000000"/>
        <w:sz w:val="24"/>
      </w:rPr>
    </w:lvl>
    <w:lvl w:ilvl="8">
      <w:start w:val="1"/>
      <w:numFmt w:val="bullet"/>
      <w:lvlText w:val="·"/>
      <w:lvlJc w:val="left"/>
      <w:pPr>
        <w:ind w:left="6469" w:hanging="360"/>
      </w:pPr>
      <w:rPr>
        <w:rFonts w:hint="default" w:ascii="Symbol" w:hAnsi="Symbol" w:eastAsia="Symbol" w:cs="Symbol"/>
        <w:color w:val="000000"/>
        <w:sz w:val="24"/>
      </w:rPr>
    </w:lvl>
  </w:abstractNum>
  <w:abstractNum w:abstractNumId="52" w15:restartNumberingAfterBreak="0">
    <w:nsid w:val="1A0F5697"/>
    <w:multiLevelType w:val="multilevel"/>
    <w:tmpl w:val="72D265DC"/>
    <w:lvl w:ilvl="0">
      <w:start w:val="1"/>
      <w:numFmt w:val="bullet"/>
      <w:lvlText w:val=""/>
      <w:lvlJc w:val="left"/>
      <w:pPr>
        <w:tabs>
          <w:tab w:val="num" w:pos="720"/>
        </w:tabs>
        <w:ind w:left="720" w:hanging="360"/>
      </w:pPr>
      <w:rPr>
        <w:rFonts w:hint="default" w:ascii="Symbol" w:hAnsi="Symbol" w:cs="Symbol"/>
        <w:sz w:val="20"/>
      </w:rPr>
    </w:lvl>
    <w:lvl w:ilvl="1">
      <w:start w:val="1"/>
      <w:numFmt w:val="bullet"/>
      <w:lvlText w:val="o"/>
      <w:lvlJc w:val="left"/>
      <w:pPr>
        <w:tabs>
          <w:tab w:val="num" w:pos="1440"/>
        </w:tabs>
        <w:ind w:left="1440" w:hanging="360"/>
      </w:pPr>
      <w:rPr>
        <w:rFonts w:hint="default" w:ascii="Courier New" w:hAnsi="Courier New" w:cs="Courier New"/>
        <w:sz w:val="20"/>
      </w:rPr>
    </w:lvl>
    <w:lvl w:ilvl="2">
      <w:start w:val="1"/>
      <w:numFmt w:val="bullet"/>
      <w:lvlText w:val=""/>
      <w:lvlJc w:val="left"/>
      <w:pPr>
        <w:tabs>
          <w:tab w:val="num" w:pos="2160"/>
        </w:tabs>
        <w:ind w:left="2160" w:hanging="360"/>
      </w:pPr>
      <w:rPr>
        <w:rFonts w:hint="default" w:ascii="Wingdings" w:hAnsi="Wingdings" w:cs="Wingdings"/>
        <w:sz w:val="20"/>
      </w:rPr>
    </w:lvl>
    <w:lvl w:ilvl="3">
      <w:start w:val="1"/>
      <w:numFmt w:val="bullet"/>
      <w:lvlText w:val=""/>
      <w:lvlJc w:val="left"/>
      <w:pPr>
        <w:tabs>
          <w:tab w:val="num" w:pos="2880"/>
        </w:tabs>
        <w:ind w:left="2880" w:hanging="360"/>
      </w:pPr>
      <w:rPr>
        <w:rFonts w:hint="default" w:ascii="Wingdings" w:hAnsi="Wingdings" w:cs="Wingdings"/>
        <w:sz w:val="20"/>
      </w:rPr>
    </w:lvl>
    <w:lvl w:ilvl="4">
      <w:start w:val="1"/>
      <w:numFmt w:val="bullet"/>
      <w:lvlText w:val=""/>
      <w:lvlJc w:val="left"/>
      <w:pPr>
        <w:tabs>
          <w:tab w:val="num" w:pos="3600"/>
        </w:tabs>
        <w:ind w:left="3600" w:hanging="360"/>
      </w:pPr>
      <w:rPr>
        <w:rFonts w:hint="default" w:ascii="Wingdings" w:hAnsi="Wingdings" w:cs="Wingdings"/>
        <w:sz w:val="20"/>
      </w:rPr>
    </w:lvl>
    <w:lvl w:ilvl="5">
      <w:start w:val="1"/>
      <w:numFmt w:val="bullet"/>
      <w:lvlText w:val=""/>
      <w:lvlJc w:val="left"/>
      <w:pPr>
        <w:tabs>
          <w:tab w:val="num" w:pos="4320"/>
        </w:tabs>
        <w:ind w:left="4320" w:hanging="360"/>
      </w:pPr>
      <w:rPr>
        <w:rFonts w:hint="default" w:ascii="Wingdings" w:hAnsi="Wingdings" w:cs="Wingdings"/>
        <w:sz w:val="20"/>
      </w:rPr>
    </w:lvl>
    <w:lvl w:ilvl="6">
      <w:start w:val="1"/>
      <w:numFmt w:val="bullet"/>
      <w:lvlText w:val=""/>
      <w:lvlJc w:val="left"/>
      <w:pPr>
        <w:tabs>
          <w:tab w:val="num" w:pos="5040"/>
        </w:tabs>
        <w:ind w:left="5040" w:hanging="360"/>
      </w:pPr>
      <w:rPr>
        <w:rFonts w:hint="default" w:ascii="Wingdings" w:hAnsi="Wingdings" w:cs="Wingdings"/>
        <w:sz w:val="20"/>
      </w:rPr>
    </w:lvl>
    <w:lvl w:ilvl="7">
      <w:start w:val="1"/>
      <w:numFmt w:val="bullet"/>
      <w:lvlText w:val=""/>
      <w:lvlJc w:val="left"/>
      <w:pPr>
        <w:tabs>
          <w:tab w:val="num" w:pos="5760"/>
        </w:tabs>
        <w:ind w:left="5760" w:hanging="360"/>
      </w:pPr>
      <w:rPr>
        <w:rFonts w:hint="default" w:ascii="Wingdings" w:hAnsi="Wingdings" w:cs="Wingdings"/>
        <w:sz w:val="20"/>
      </w:rPr>
    </w:lvl>
    <w:lvl w:ilvl="8">
      <w:start w:val="1"/>
      <w:numFmt w:val="bullet"/>
      <w:lvlText w:val=""/>
      <w:lvlJc w:val="left"/>
      <w:pPr>
        <w:tabs>
          <w:tab w:val="num" w:pos="6480"/>
        </w:tabs>
        <w:ind w:left="6480" w:hanging="360"/>
      </w:pPr>
      <w:rPr>
        <w:rFonts w:hint="default" w:ascii="Wingdings" w:hAnsi="Wingdings" w:cs="Wingdings"/>
        <w:sz w:val="20"/>
      </w:rPr>
    </w:lvl>
  </w:abstractNum>
  <w:abstractNum w:abstractNumId="53" w15:restartNumberingAfterBreak="0">
    <w:nsid w:val="1A3528A0"/>
    <w:multiLevelType w:val="multilevel"/>
    <w:tmpl w:val="71449F7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54" w15:restartNumberingAfterBreak="0">
    <w:nsid w:val="1AAF669F"/>
    <w:multiLevelType w:val="multilevel"/>
    <w:tmpl w:val="669CCDB2"/>
    <w:lvl w:ilvl="0">
      <w:start w:val="1"/>
      <w:numFmt w:val="bullet"/>
      <w:lvlText w:val=""/>
      <w:lvlJc w:val="left"/>
      <w:pPr>
        <w:tabs>
          <w:tab w:val="num" w:pos="284"/>
        </w:tabs>
        <w:ind w:left="284" w:hanging="284"/>
      </w:pPr>
      <w:rPr>
        <w:rFonts w:hint="default" w:ascii="Symbol" w:hAnsi="Symbol" w:cs="Symbol"/>
        <w:color w:val="00ABE9"/>
      </w:rPr>
    </w:lvl>
    <w:lvl w:ilvl="1">
      <w:start w:val="1"/>
      <w:numFmt w:val="bullet"/>
      <w:pStyle w:val="Listepuces2"/>
      <w:lvlText w:val="o"/>
      <w:lvlJc w:val="left"/>
      <w:pPr>
        <w:tabs>
          <w:tab w:val="num" w:pos="567"/>
        </w:tabs>
        <w:ind w:left="567" w:hanging="283"/>
      </w:pPr>
      <w:rPr>
        <w:rFonts w:hint="default" w:ascii="Courier New" w:hAnsi="Courier New" w:cs="Courier New"/>
        <w:color w:val="00ABE9"/>
      </w:rPr>
    </w:lvl>
    <w:lvl w:ilvl="2">
      <w:start w:val="1"/>
      <w:numFmt w:val="bullet"/>
      <w:pStyle w:val="Listepuces3"/>
      <w:lvlText w:val=""/>
      <w:lvlJc w:val="left"/>
      <w:pPr>
        <w:tabs>
          <w:tab w:val="num" w:pos="851"/>
        </w:tabs>
        <w:ind w:left="851" w:hanging="284"/>
      </w:pPr>
      <w:rPr>
        <w:rFonts w:hint="default" w:ascii="Wingdings" w:hAnsi="Wingdings" w:cs="Wingdings"/>
        <w:color w:val="00ABE9"/>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55" w15:restartNumberingAfterBreak="0">
    <w:nsid w:val="1B122B39"/>
    <w:multiLevelType w:val="multilevel"/>
    <w:tmpl w:val="B0040F98"/>
    <w:lvl w:ilvl="0">
      <w:start w:val="1"/>
      <w:numFmt w:val="bullet"/>
      <w:pStyle w:val="Puceniveau1"/>
      <w:lvlText w:val=""/>
      <w:lvlJc w:val="left"/>
      <w:pPr>
        <w:tabs>
          <w:tab w:val="num" w:pos="1287"/>
        </w:tabs>
        <w:ind w:left="1287" w:hanging="360"/>
      </w:pPr>
      <w:rPr>
        <w:rFonts w:hint="default" w:ascii="Wingdings" w:hAnsi="Wingdings" w:cs="Wingdings"/>
      </w:rPr>
    </w:lvl>
    <w:lvl w:ilvl="1">
      <w:start w:val="1"/>
      <w:numFmt w:val="bullet"/>
      <w:lvlText w:val="o"/>
      <w:lvlJc w:val="left"/>
      <w:pPr>
        <w:tabs>
          <w:tab w:val="num" w:pos="2007"/>
        </w:tabs>
        <w:ind w:left="2007" w:hanging="360"/>
      </w:pPr>
      <w:rPr>
        <w:rFonts w:hint="default" w:ascii="Courier New" w:hAnsi="Courier New" w:cs="Courier New"/>
      </w:rPr>
    </w:lvl>
    <w:lvl w:ilvl="2">
      <w:start w:val="1"/>
      <w:numFmt w:val="bullet"/>
      <w:lvlText w:val=""/>
      <w:lvlJc w:val="left"/>
      <w:pPr>
        <w:tabs>
          <w:tab w:val="num" w:pos="2727"/>
        </w:tabs>
        <w:ind w:left="2727" w:hanging="360"/>
      </w:pPr>
      <w:rPr>
        <w:rFonts w:hint="default" w:ascii="Wingdings" w:hAnsi="Wingdings" w:cs="Wingdings"/>
      </w:rPr>
    </w:lvl>
    <w:lvl w:ilvl="3">
      <w:start w:val="1"/>
      <w:numFmt w:val="bullet"/>
      <w:lvlText w:val=""/>
      <w:lvlJc w:val="left"/>
      <w:pPr>
        <w:tabs>
          <w:tab w:val="num" w:pos="3447"/>
        </w:tabs>
        <w:ind w:left="3447" w:hanging="360"/>
      </w:pPr>
      <w:rPr>
        <w:rFonts w:hint="default" w:ascii="Symbol" w:hAnsi="Symbol" w:cs="Symbol"/>
      </w:rPr>
    </w:lvl>
    <w:lvl w:ilvl="4">
      <w:start w:val="1"/>
      <w:numFmt w:val="bullet"/>
      <w:lvlText w:val="o"/>
      <w:lvlJc w:val="left"/>
      <w:pPr>
        <w:tabs>
          <w:tab w:val="num" w:pos="4167"/>
        </w:tabs>
        <w:ind w:left="4167" w:hanging="360"/>
      </w:pPr>
      <w:rPr>
        <w:rFonts w:hint="default" w:ascii="Courier New" w:hAnsi="Courier New" w:cs="Courier New"/>
      </w:rPr>
    </w:lvl>
    <w:lvl w:ilvl="5">
      <w:start w:val="1"/>
      <w:numFmt w:val="bullet"/>
      <w:lvlText w:val=""/>
      <w:lvlJc w:val="left"/>
      <w:pPr>
        <w:tabs>
          <w:tab w:val="num" w:pos="4887"/>
        </w:tabs>
        <w:ind w:left="4887" w:hanging="360"/>
      </w:pPr>
      <w:rPr>
        <w:rFonts w:hint="default" w:ascii="Wingdings" w:hAnsi="Wingdings" w:cs="Wingdings"/>
      </w:rPr>
    </w:lvl>
    <w:lvl w:ilvl="6">
      <w:start w:val="1"/>
      <w:numFmt w:val="bullet"/>
      <w:lvlText w:val=""/>
      <w:lvlJc w:val="left"/>
      <w:pPr>
        <w:tabs>
          <w:tab w:val="num" w:pos="5607"/>
        </w:tabs>
        <w:ind w:left="5607" w:hanging="360"/>
      </w:pPr>
      <w:rPr>
        <w:rFonts w:hint="default" w:ascii="Symbol" w:hAnsi="Symbol" w:cs="Symbol"/>
      </w:rPr>
    </w:lvl>
    <w:lvl w:ilvl="7">
      <w:start w:val="1"/>
      <w:numFmt w:val="bullet"/>
      <w:lvlText w:val="o"/>
      <w:lvlJc w:val="left"/>
      <w:pPr>
        <w:tabs>
          <w:tab w:val="num" w:pos="6327"/>
        </w:tabs>
        <w:ind w:left="6327" w:hanging="360"/>
      </w:pPr>
      <w:rPr>
        <w:rFonts w:hint="default" w:ascii="Courier New" w:hAnsi="Courier New" w:cs="Courier New"/>
      </w:rPr>
    </w:lvl>
    <w:lvl w:ilvl="8">
      <w:start w:val="1"/>
      <w:numFmt w:val="bullet"/>
      <w:lvlText w:val=""/>
      <w:lvlJc w:val="left"/>
      <w:pPr>
        <w:tabs>
          <w:tab w:val="num" w:pos="7047"/>
        </w:tabs>
        <w:ind w:left="7047" w:hanging="360"/>
      </w:pPr>
      <w:rPr>
        <w:rFonts w:hint="default" w:ascii="Wingdings" w:hAnsi="Wingdings" w:cs="Wingdings"/>
      </w:rPr>
    </w:lvl>
  </w:abstractNum>
  <w:abstractNum w:abstractNumId="56" w15:restartNumberingAfterBreak="0">
    <w:nsid w:val="1C1B7A48"/>
    <w:multiLevelType w:val="multilevel"/>
    <w:tmpl w:val="F3C0BF04"/>
    <w:lvl w:ilvl="0">
      <w:start w:val="6"/>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57" w15:restartNumberingAfterBreak="0">
    <w:nsid w:val="1CB57F28"/>
    <w:multiLevelType w:val="multilevel"/>
    <w:tmpl w:val="09A6958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58" w15:restartNumberingAfterBreak="0">
    <w:nsid w:val="1CED5E51"/>
    <w:multiLevelType w:val="multilevel"/>
    <w:tmpl w:val="2F58C3E6"/>
    <w:lvl w:ilvl="0">
      <w:start w:val="1"/>
      <w:numFmt w:val="decimal"/>
      <w:lvlText w:val="Partie %1 - "/>
      <w:lvlJc w:val="left"/>
      <w:pPr>
        <w:ind w:left="0" w:firstLine="0"/>
      </w:pPr>
      <w:rPr>
        <w:color w:val="03A6A3"/>
        <w:sz w:val="48"/>
      </w:rPr>
    </w:lvl>
    <w:lvl w:ilvl="1">
      <w:start w:val="1"/>
      <w:numFmt w:val="decimal"/>
      <w:lvlText w:val="%2."/>
      <w:lvlJc w:val="left"/>
      <w:pPr>
        <w:ind w:left="360" w:hanging="360"/>
      </w:pPr>
    </w:lvl>
    <w:lvl w:ilvl="2">
      <w:start w:val="1"/>
      <w:numFmt w:val="decimal"/>
      <w:lvlText w:val="%2.%3."/>
      <w:lvlJc w:val="left"/>
      <w:pPr>
        <w:ind w:left="567" w:hanging="567"/>
      </w:pPr>
      <w:rPr>
        <w:color w:val="03A6A3"/>
      </w:rPr>
    </w:lvl>
    <w:lvl w:ilvl="3">
      <w:start w:val="1"/>
      <w:numFmt w:val="decimal"/>
      <w:lvlText w:val="%2.%3.%4."/>
      <w:lvlJc w:val="left"/>
      <w:pPr>
        <w:ind w:left="851" w:hanging="851"/>
      </w:pPr>
      <w:rPr>
        <w:color w:val="03A6A3"/>
      </w:rPr>
    </w:lvl>
    <w:lvl w:ilvl="4">
      <w:start w:val="1"/>
      <w:numFmt w:val="decimal"/>
      <w:lvlText w:val="%2.%3.%4.%5."/>
      <w:lvlJc w:val="left"/>
      <w:pPr>
        <w:ind w:left="1134" w:hanging="1134"/>
      </w:pPr>
      <w:rPr>
        <w:color w:val="03A6A3"/>
      </w:rPr>
    </w:lvl>
    <w:lvl w:ilvl="5">
      <w:start w:val="1"/>
      <w:numFmt w:val="lowerLetter"/>
      <w:lvlText w:val="%6)"/>
      <w:lvlJc w:val="left"/>
      <w:pPr>
        <w:ind w:left="737" w:hanging="170"/>
      </w:pPr>
    </w:lvl>
    <w:lvl w:ilvl="6">
      <w:start w:val="1"/>
      <w:numFmt w:val="lowerRoman"/>
      <w:lvlText w:val="%7."/>
      <w:lvlJc w:val="right"/>
      <w:pPr>
        <w:ind w:left="1134" w:hanging="283"/>
      </w:pPr>
    </w:lvl>
    <w:lvl w:ilvl="7">
      <w:start w:val="1"/>
      <w:numFmt w:val="lowerLetter"/>
      <w:lvlText w:val="%8."/>
      <w:lvlJc w:val="left"/>
      <w:pPr>
        <w:ind w:left="2880" w:hanging="360"/>
      </w:pPr>
    </w:lvl>
    <w:lvl w:ilvl="8">
      <w:start w:val="1"/>
      <w:numFmt w:val="lowerRoman"/>
      <w:lvlText w:val="%9."/>
      <w:lvlJc w:val="right"/>
      <w:pPr>
        <w:ind w:left="3240" w:hanging="360"/>
      </w:pPr>
    </w:lvl>
  </w:abstractNum>
  <w:abstractNum w:abstractNumId="59" w15:restartNumberingAfterBreak="0">
    <w:nsid w:val="1D7B3A38"/>
    <w:multiLevelType w:val="multilevel"/>
    <w:tmpl w:val="585401D2"/>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60" w15:restartNumberingAfterBreak="0">
    <w:nsid w:val="1E58534E"/>
    <w:multiLevelType w:val="multilevel"/>
    <w:tmpl w:val="243EBAEA"/>
    <w:lvl w:ilvl="0">
      <w:start w:val="1"/>
      <w:numFmt w:val="bullet"/>
      <w:lvlText w:val=""/>
      <w:lvlJc w:val="left"/>
      <w:pPr>
        <w:tabs>
          <w:tab w:val="num" w:pos="0"/>
        </w:tabs>
        <w:ind w:left="720" w:hanging="360"/>
      </w:pPr>
      <w:rPr>
        <w:rFonts w:hint="default" w:ascii="Symbol" w:hAnsi="Symbol" w:cs="Symbol"/>
        <w:color w:val="03A3A6"/>
        <w:u w:val="none"/>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61" w15:restartNumberingAfterBreak="0">
    <w:nsid w:val="1F773D24"/>
    <w:multiLevelType w:val="multilevel"/>
    <w:tmpl w:val="93DAB974"/>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62" w15:restartNumberingAfterBreak="0">
    <w:nsid w:val="1F954EC9"/>
    <w:multiLevelType w:val="multilevel"/>
    <w:tmpl w:val="7F4ACA6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63" w15:restartNumberingAfterBreak="0">
    <w:nsid w:val="1FBB01A9"/>
    <w:multiLevelType w:val="multilevel"/>
    <w:tmpl w:val="D388B09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64" w15:restartNumberingAfterBreak="0">
    <w:nsid w:val="20866517"/>
    <w:multiLevelType w:val="multilevel"/>
    <w:tmpl w:val="D89A4C90"/>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65" w15:restartNumberingAfterBreak="0">
    <w:nsid w:val="211D0F89"/>
    <w:multiLevelType w:val="multilevel"/>
    <w:tmpl w:val="6582A576"/>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66" w15:restartNumberingAfterBreak="0">
    <w:nsid w:val="21C110D0"/>
    <w:multiLevelType w:val="multilevel"/>
    <w:tmpl w:val="4AE8F33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67" w15:restartNumberingAfterBreak="0">
    <w:nsid w:val="21FB4189"/>
    <w:multiLevelType w:val="multilevel"/>
    <w:tmpl w:val="BAD02D02"/>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68" w15:restartNumberingAfterBreak="0">
    <w:nsid w:val="22A83253"/>
    <w:multiLevelType w:val="multilevel"/>
    <w:tmpl w:val="AFF4CBA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9" w15:restartNumberingAfterBreak="0">
    <w:nsid w:val="22EF5A31"/>
    <w:multiLevelType w:val="multilevel"/>
    <w:tmpl w:val="C7081532"/>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70" w15:restartNumberingAfterBreak="0">
    <w:nsid w:val="23AB06CA"/>
    <w:multiLevelType w:val="multilevel"/>
    <w:tmpl w:val="43101F0C"/>
    <w:lvl w:ilvl="0">
      <w:numFmt w:val="bullet"/>
      <w:pStyle w:val="Paragraphedeliste"/>
      <w:lvlText w:val="-"/>
      <w:lvlJc w:val="left"/>
      <w:pPr>
        <w:tabs>
          <w:tab w:val="num" w:pos="0"/>
        </w:tabs>
        <w:ind w:left="720" w:hanging="360"/>
      </w:pPr>
      <w:rPr>
        <w:rFonts w:hint="default" w:ascii="Arial" w:hAnsi="Arial" w:cs="Aria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71" w15:restartNumberingAfterBreak="0">
    <w:nsid w:val="23DC677B"/>
    <w:multiLevelType w:val="multilevel"/>
    <w:tmpl w:val="620CE7C4"/>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72" w15:restartNumberingAfterBreak="0">
    <w:nsid w:val="24E46773"/>
    <w:multiLevelType w:val="multilevel"/>
    <w:tmpl w:val="FD5C79B0"/>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73" w15:restartNumberingAfterBreak="0">
    <w:nsid w:val="259F07EA"/>
    <w:multiLevelType w:val="multilevel"/>
    <w:tmpl w:val="9686F990"/>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74" w15:restartNumberingAfterBreak="0">
    <w:nsid w:val="25A27F38"/>
    <w:multiLevelType w:val="multilevel"/>
    <w:tmpl w:val="DB865AAC"/>
    <w:lvl w:ilvl="0">
      <w:start w:val="1"/>
      <w:numFmt w:val="decimal"/>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5" w15:restartNumberingAfterBreak="0">
    <w:nsid w:val="2638590C"/>
    <w:multiLevelType w:val="multilevel"/>
    <w:tmpl w:val="F982824C"/>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76" w15:restartNumberingAfterBreak="0">
    <w:nsid w:val="26496D79"/>
    <w:multiLevelType w:val="multilevel"/>
    <w:tmpl w:val="1C7AB4EA"/>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77" w15:restartNumberingAfterBreak="0">
    <w:nsid w:val="26C57AEF"/>
    <w:multiLevelType w:val="multilevel"/>
    <w:tmpl w:val="DC462608"/>
    <w:lvl w:ilvl="0">
      <w:start w:val="3"/>
      <w:numFmt w:val="decimal"/>
      <w:lvlText w:val="%1."/>
      <w:lvlJc w:val="right"/>
      <w:pPr>
        <w:ind w:left="70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2775704C"/>
    <w:multiLevelType w:val="multilevel"/>
    <w:tmpl w:val="AEF6A9A4"/>
    <w:lvl w:ilvl="0">
      <w:start w:val="1"/>
      <w:numFmt w:val="bullet"/>
      <w:lvlText w:val=""/>
      <w:lvlJc w:val="left"/>
      <w:pPr>
        <w:tabs>
          <w:tab w:val="num" w:pos="720"/>
        </w:tabs>
        <w:ind w:left="720" w:hanging="360"/>
      </w:pPr>
      <w:rPr>
        <w:rFonts w:hint="default" w:ascii="Symbol" w:hAnsi="Symbol" w:cs="Symbol"/>
      </w:rPr>
    </w:lvl>
    <w:lvl w:ilvl="1">
      <w:start w:val="1"/>
      <w:numFmt w:val="bullet"/>
      <w:lvlText w:val="◦"/>
      <w:lvlJc w:val="left"/>
      <w:pPr>
        <w:tabs>
          <w:tab w:val="num" w:pos="1080"/>
        </w:tabs>
        <w:ind w:left="1080" w:hanging="360"/>
      </w:pPr>
      <w:rPr>
        <w:rFonts w:hint="default" w:ascii="OpenSymbol" w:hAnsi="OpenSymbol" w:cs="OpenSymbol"/>
      </w:rPr>
    </w:lvl>
    <w:lvl w:ilvl="2">
      <w:start w:val="1"/>
      <w:numFmt w:val="bullet"/>
      <w:lvlText w:val="▪"/>
      <w:lvlJc w:val="left"/>
      <w:pPr>
        <w:tabs>
          <w:tab w:val="num" w:pos="1440"/>
        </w:tabs>
        <w:ind w:left="1440" w:hanging="360"/>
      </w:pPr>
      <w:rPr>
        <w:rFonts w:hint="default" w:ascii="OpenSymbol" w:hAnsi="OpenSymbol" w:cs="OpenSymbol"/>
      </w:rPr>
    </w:lvl>
    <w:lvl w:ilvl="3">
      <w:start w:val="1"/>
      <w:numFmt w:val="bullet"/>
      <w:lvlText w:val=""/>
      <w:lvlJc w:val="left"/>
      <w:pPr>
        <w:tabs>
          <w:tab w:val="num" w:pos="1800"/>
        </w:tabs>
        <w:ind w:left="1800" w:hanging="360"/>
      </w:pPr>
      <w:rPr>
        <w:rFonts w:hint="default" w:ascii="Symbol" w:hAnsi="Symbol" w:cs="Symbol"/>
      </w:rPr>
    </w:lvl>
    <w:lvl w:ilvl="4">
      <w:start w:val="1"/>
      <w:numFmt w:val="bullet"/>
      <w:lvlText w:val="◦"/>
      <w:lvlJc w:val="left"/>
      <w:pPr>
        <w:tabs>
          <w:tab w:val="num" w:pos="2160"/>
        </w:tabs>
        <w:ind w:left="2160" w:hanging="360"/>
      </w:pPr>
      <w:rPr>
        <w:rFonts w:hint="default" w:ascii="OpenSymbol" w:hAnsi="OpenSymbol" w:cs="OpenSymbol"/>
      </w:rPr>
    </w:lvl>
    <w:lvl w:ilvl="5">
      <w:start w:val="1"/>
      <w:numFmt w:val="bullet"/>
      <w:lvlText w:val="▪"/>
      <w:lvlJc w:val="left"/>
      <w:pPr>
        <w:tabs>
          <w:tab w:val="num" w:pos="2520"/>
        </w:tabs>
        <w:ind w:left="2520" w:hanging="360"/>
      </w:pPr>
      <w:rPr>
        <w:rFonts w:hint="default" w:ascii="OpenSymbol" w:hAnsi="OpenSymbol" w:cs="OpenSymbol"/>
      </w:rPr>
    </w:lvl>
    <w:lvl w:ilvl="6">
      <w:start w:val="1"/>
      <w:numFmt w:val="bullet"/>
      <w:lvlText w:val=""/>
      <w:lvlJc w:val="left"/>
      <w:pPr>
        <w:tabs>
          <w:tab w:val="num" w:pos="2880"/>
        </w:tabs>
        <w:ind w:left="2880" w:hanging="360"/>
      </w:pPr>
      <w:rPr>
        <w:rFonts w:hint="default" w:ascii="Symbol" w:hAnsi="Symbol" w:cs="Symbol"/>
      </w:rPr>
    </w:lvl>
    <w:lvl w:ilvl="7">
      <w:start w:val="1"/>
      <w:numFmt w:val="bullet"/>
      <w:lvlText w:val="◦"/>
      <w:lvlJc w:val="left"/>
      <w:pPr>
        <w:tabs>
          <w:tab w:val="num" w:pos="3240"/>
        </w:tabs>
        <w:ind w:left="3240" w:hanging="360"/>
      </w:pPr>
      <w:rPr>
        <w:rFonts w:hint="default" w:ascii="OpenSymbol" w:hAnsi="OpenSymbol" w:cs="OpenSymbol"/>
      </w:rPr>
    </w:lvl>
    <w:lvl w:ilvl="8">
      <w:start w:val="1"/>
      <w:numFmt w:val="bullet"/>
      <w:lvlText w:val="▪"/>
      <w:lvlJc w:val="left"/>
      <w:pPr>
        <w:tabs>
          <w:tab w:val="num" w:pos="3600"/>
        </w:tabs>
        <w:ind w:left="3600" w:hanging="360"/>
      </w:pPr>
      <w:rPr>
        <w:rFonts w:hint="default" w:ascii="OpenSymbol" w:hAnsi="OpenSymbol" w:cs="OpenSymbol"/>
      </w:rPr>
    </w:lvl>
  </w:abstractNum>
  <w:abstractNum w:abstractNumId="79" w15:restartNumberingAfterBreak="0">
    <w:nsid w:val="27B7552D"/>
    <w:multiLevelType w:val="multilevel"/>
    <w:tmpl w:val="B9A0A570"/>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0" w15:restartNumberingAfterBreak="0">
    <w:nsid w:val="27CF78AA"/>
    <w:multiLevelType w:val="multilevel"/>
    <w:tmpl w:val="DC38DD00"/>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81" w15:restartNumberingAfterBreak="0">
    <w:nsid w:val="283359D2"/>
    <w:multiLevelType w:val="multilevel"/>
    <w:tmpl w:val="4D2C29FC"/>
    <w:lvl w:ilvl="0">
      <w:start w:val="1"/>
      <w:numFmt w:val="bullet"/>
      <w:pStyle w:val="Listepuces"/>
      <w:lvlText w:val=""/>
      <w:lvlJc w:val="left"/>
      <w:pPr>
        <w:tabs>
          <w:tab w:val="num" w:pos="0"/>
        </w:tabs>
        <w:ind w:left="360" w:hanging="360"/>
      </w:pPr>
      <w:rPr>
        <w:rFonts w:hint="default" w:ascii="Symbol" w:hAnsi="Symbol" w:cs="Symbol"/>
      </w:rPr>
    </w:lvl>
    <w:lvl w:ilvl="1">
      <w:start w:val="1"/>
      <w:numFmt w:val="bullet"/>
      <w:lvlText w:val="o"/>
      <w:lvlJc w:val="left"/>
      <w:pPr>
        <w:tabs>
          <w:tab w:val="num" w:pos="0"/>
        </w:tabs>
        <w:ind w:left="1080" w:hanging="360"/>
      </w:pPr>
      <w:rPr>
        <w:rFonts w:hint="default" w:ascii="Courier New" w:hAnsi="Courier New" w:cs="Courier New"/>
      </w:rPr>
    </w:lvl>
    <w:lvl w:ilvl="2">
      <w:start w:val="1"/>
      <w:numFmt w:val="bullet"/>
      <w:lvlText w:val=""/>
      <w:lvlJc w:val="left"/>
      <w:pPr>
        <w:tabs>
          <w:tab w:val="num" w:pos="0"/>
        </w:tabs>
        <w:ind w:left="1800" w:hanging="360"/>
      </w:pPr>
      <w:rPr>
        <w:rFonts w:hint="default" w:ascii="Wingdings" w:hAnsi="Wingdings" w:cs="Wingdings"/>
      </w:rPr>
    </w:lvl>
    <w:lvl w:ilvl="3">
      <w:start w:val="1"/>
      <w:numFmt w:val="bullet"/>
      <w:lvlText w:val=""/>
      <w:lvlJc w:val="left"/>
      <w:pPr>
        <w:tabs>
          <w:tab w:val="num" w:pos="0"/>
        </w:tabs>
        <w:ind w:left="2520" w:hanging="360"/>
      </w:pPr>
      <w:rPr>
        <w:rFonts w:hint="default" w:ascii="Symbol" w:hAnsi="Symbol" w:cs="Symbol"/>
      </w:rPr>
    </w:lvl>
    <w:lvl w:ilvl="4">
      <w:start w:val="1"/>
      <w:numFmt w:val="bullet"/>
      <w:lvlText w:val="o"/>
      <w:lvlJc w:val="left"/>
      <w:pPr>
        <w:tabs>
          <w:tab w:val="num" w:pos="0"/>
        </w:tabs>
        <w:ind w:left="3240" w:hanging="360"/>
      </w:pPr>
      <w:rPr>
        <w:rFonts w:hint="default" w:ascii="Courier New" w:hAnsi="Courier New" w:cs="Courier New"/>
      </w:rPr>
    </w:lvl>
    <w:lvl w:ilvl="5">
      <w:start w:val="1"/>
      <w:numFmt w:val="bullet"/>
      <w:lvlText w:val=""/>
      <w:lvlJc w:val="left"/>
      <w:pPr>
        <w:tabs>
          <w:tab w:val="num" w:pos="0"/>
        </w:tabs>
        <w:ind w:left="3960" w:hanging="360"/>
      </w:pPr>
      <w:rPr>
        <w:rFonts w:hint="default" w:ascii="Wingdings" w:hAnsi="Wingdings" w:cs="Wingdings"/>
      </w:rPr>
    </w:lvl>
    <w:lvl w:ilvl="6">
      <w:start w:val="1"/>
      <w:numFmt w:val="bullet"/>
      <w:lvlText w:val=""/>
      <w:lvlJc w:val="left"/>
      <w:pPr>
        <w:tabs>
          <w:tab w:val="num" w:pos="0"/>
        </w:tabs>
        <w:ind w:left="4680" w:hanging="360"/>
      </w:pPr>
      <w:rPr>
        <w:rFonts w:hint="default" w:ascii="Symbol" w:hAnsi="Symbol" w:cs="Symbol"/>
      </w:rPr>
    </w:lvl>
    <w:lvl w:ilvl="7">
      <w:start w:val="1"/>
      <w:numFmt w:val="bullet"/>
      <w:lvlText w:val="o"/>
      <w:lvlJc w:val="left"/>
      <w:pPr>
        <w:tabs>
          <w:tab w:val="num" w:pos="0"/>
        </w:tabs>
        <w:ind w:left="5400" w:hanging="360"/>
      </w:pPr>
      <w:rPr>
        <w:rFonts w:hint="default" w:ascii="Courier New" w:hAnsi="Courier New" w:cs="Courier New"/>
      </w:rPr>
    </w:lvl>
    <w:lvl w:ilvl="8">
      <w:start w:val="1"/>
      <w:numFmt w:val="bullet"/>
      <w:lvlText w:val=""/>
      <w:lvlJc w:val="left"/>
      <w:pPr>
        <w:tabs>
          <w:tab w:val="num" w:pos="0"/>
        </w:tabs>
        <w:ind w:left="6120" w:hanging="360"/>
      </w:pPr>
      <w:rPr>
        <w:rFonts w:hint="default" w:ascii="Wingdings" w:hAnsi="Wingdings" w:cs="Wingdings"/>
      </w:rPr>
    </w:lvl>
  </w:abstractNum>
  <w:abstractNum w:abstractNumId="82" w15:restartNumberingAfterBreak="0">
    <w:nsid w:val="287839B2"/>
    <w:multiLevelType w:val="multilevel"/>
    <w:tmpl w:val="4B16DE8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83" w15:restartNumberingAfterBreak="0">
    <w:nsid w:val="28D54093"/>
    <w:multiLevelType w:val="multilevel"/>
    <w:tmpl w:val="071AF4EE"/>
    <w:lvl w:ilvl="0">
      <w:start w:val="1"/>
      <w:numFmt w:val="bullet"/>
      <w:pStyle w:val="Tableau-Puce1"/>
      <w:lvlText w:val=""/>
      <w:lvlJc w:val="left"/>
      <w:pPr>
        <w:tabs>
          <w:tab w:val="num" w:pos="0"/>
        </w:tabs>
        <w:ind w:left="720" w:hanging="360"/>
      </w:pPr>
      <w:rPr>
        <w:rFonts w:hint="default" w:ascii="Symbol" w:hAnsi="Symbol" w:cs="Symbol"/>
        <w:color w:val="03A3A6"/>
        <w:u w:val="none"/>
      </w:rPr>
    </w:lvl>
    <w:lvl w:ilvl="1">
      <w:numFmt w:val="bullet"/>
      <w:lvlText w:val="-"/>
      <w:lvlJc w:val="left"/>
      <w:pPr>
        <w:tabs>
          <w:tab w:val="num" w:pos="0"/>
        </w:tabs>
        <w:ind w:left="1440" w:hanging="360"/>
      </w:pPr>
      <w:rPr>
        <w:rFonts w:hint="default" w:ascii="Arial" w:hAnsi="Arial" w:cs="Arial"/>
        <w:color w:val="6C9E00" w:themeColor="accent2" w:themeShade="BF"/>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84" w15:restartNumberingAfterBreak="0">
    <w:nsid w:val="2AC871F6"/>
    <w:multiLevelType w:val="multilevel"/>
    <w:tmpl w:val="79C62338"/>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29" w:hanging="360"/>
      </w:pPr>
      <w:rPr>
        <w:rFonts w:hint="default" w:ascii="Courier New" w:hAnsi="Courier New" w:eastAsia="Courier New" w:cs="Courier New"/>
      </w:rPr>
    </w:lvl>
    <w:lvl w:ilvl="2">
      <w:start w:val="1"/>
      <w:numFmt w:val="bullet"/>
      <w:lvlText w:val="§"/>
      <w:lvlJc w:val="left"/>
      <w:pPr>
        <w:ind w:left="2149" w:hanging="360"/>
      </w:pPr>
      <w:rPr>
        <w:rFonts w:hint="default" w:ascii="Wingdings" w:hAnsi="Wingdings" w:eastAsia="Wingdings" w:cs="Wingdings"/>
      </w:rPr>
    </w:lvl>
    <w:lvl w:ilvl="3">
      <w:start w:val="1"/>
      <w:numFmt w:val="bullet"/>
      <w:lvlText w:val="·"/>
      <w:lvlJc w:val="left"/>
      <w:pPr>
        <w:ind w:left="2869" w:hanging="360"/>
      </w:pPr>
      <w:rPr>
        <w:rFonts w:hint="default" w:ascii="Symbol" w:hAnsi="Symbol" w:eastAsia="Symbol" w:cs="Symbol"/>
      </w:rPr>
    </w:lvl>
    <w:lvl w:ilvl="4">
      <w:start w:val="1"/>
      <w:numFmt w:val="bullet"/>
      <w:lvlText w:val="o"/>
      <w:lvlJc w:val="left"/>
      <w:pPr>
        <w:ind w:left="3589" w:hanging="360"/>
      </w:pPr>
      <w:rPr>
        <w:rFonts w:hint="default" w:ascii="Courier New" w:hAnsi="Courier New" w:eastAsia="Courier New" w:cs="Courier New"/>
      </w:rPr>
    </w:lvl>
    <w:lvl w:ilvl="5">
      <w:start w:val="1"/>
      <w:numFmt w:val="bullet"/>
      <w:lvlText w:val="§"/>
      <w:lvlJc w:val="left"/>
      <w:pPr>
        <w:ind w:left="4309" w:hanging="360"/>
      </w:pPr>
      <w:rPr>
        <w:rFonts w:hint="default" w:ascii="Wingdings" w:hAnsi="Wingdings" w:eastAsia="Wingdings" w:cs="Wingdings"/>
      </w:rPr>
    </w:lvl>
    <w:lvl w:ilvl="6">
      <w:start w:val="1"/>
      <w:numFmt w:val="bullet"/>
      <w:lvlText w:val="·"/>
      <w:lvlJc w:val="left"/>
      <w:pPr>
        <w:ind w:left="5029" w:hanging="360"/>
      </w:pPr>
      <w:rPr>
        <w:rFonts w:hint="default" w:ascii="Symbol" w:hAnsi="Symbol" w:eastAsia="Symbol" w:cs="Symbol"/>
      </w:rPr>
    </w:lvl>
    <w:lvl w:ilvl="7">
      <w:start w:val="1"/>
      <w:numFmt w:val="bullet"/>
      <w:lvlText w:val="o"/>
      <w:lvlJc w:val="left"/>
      <w:pPr>
        <w:ind w:left="5749" w:hanging="360"/>
      </w:pPr>
      <w:rPr>
        <w:rFonts w:hint="default" w:ascii="Courier New" w:hAnsi="Courier New" w:eastAsia="Courier New" w:cs="Courier New"/>
      </w:rPr>
    </w:lvl>
    <w:lvl w:ilvl="8">
      <w:start w:val="1"/>
      <w:numFmt w:val="bullet"/>
      <w:lvlText w:val="§"/>
      <w:lvlJc w:val="left"/>
      <w:pPr>
        <w:ind w:left="6469" w:hanging="360"/>
      </w:pPr>
      <w:rPr>
        <w:rFonts w:hint="default" w:ascii="Wingdings" w:hAnsi="Wingdings" w:eastAsia="Wingdings" w:cs="Wingdings"/>
      </w:rPr>
    </w:lvl>
  </w:abstractNum>
  <w:abstractNum w:abstractNumId="85" w15:restartNumberingAfterBreak="0">
    <w:nsid w:val="2BEC26CD"/>
    <w:multiLevelType w:val="multilevel"/>
    <w:tmpl w:val="6BDE8748"/>
    <w:lvl w:ilvl="0">
      <w:start w:val="1"/>
      <w:numFmt w:val="decimal"/>
      <w:lvlText w:val="%1."/>
      <w:lvlJc w:val="righ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86" w15:restartNumberingAfterBreak="0">
    <w:nsid w:val="2C2546D7"/>
    <w:multiLevelType w:val="multilevel"/>
    <w:tmpl w:val="EF567E02"/>
    <w:lvl w:ilvl="0">
      <w:start w:val="1"/>
      <w:numFmt w:val="bullet"/>
      <w:lvlText w:val=""/>
      <w:lvlJc w:val="left"/>
      <w:pPr>
        <w:tabs>
          <w:tab w:val="num" w:pos="0"/>
        </w:tabs>
        <w:ind w:left="720" w:hanging="360"/>
      </w:pPr>
      <w:rPr>
        <w:rFonts w:hint="default" w:ascii="Symbol" w:hAnsi="Symbol" w:cs="Symbol"/>
        <w:color w:val="03A3A6"/>
        <w:u w:val="none"/>
      </w:rPr>
    </w:lvl>
    <w:lvl w:ilvl="1">
      <w:numFmt w:val="bullet"/>
      <w:lvlText w:val="-"/>
      <w:lvlJc w:val="left"/>
      <w:pPr>
        <w:tabs>
          <w:tab w:val="num" w:pos="0"/>
        </w:tabs>
        <w:ind w:left="1440" w:hanging="360"/>
      </w:pPr>
      <w:rPr>
        <w:rFonts w:hint="default" w:ascii="Arial" w:hAnsi="Arial" w:cs="Arial"/>
        <w:color w:val="6C9E00" w:themeColor="accent2" w:themeShade="BF"/>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87" w15:restartNumberingAfterBreak="0">
    <w:nsid w:val="2DD91959"/>
    <w:multiLevelType w:val="multilevel"/>
    <w:tmpl w:val="4F3C334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88" w15:restartNumberingAfterBreak="0">
    <w:nsid w:val="2FED56C3"/>
    <w:multiLevelType w:val="multilevel"/>
    <w:tmpl w:val="667C2492"/>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89" w15:restartNumberingAfterBreak="0">
    <w:nsid w:val="30526DFD"/>
    <w:multiLevelType w:val="multilevel"/>
    <w:tmpl w:val="B9880C22"/>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90" w15:restartNumberingAfterBreak="0">
    <w:nsid w:val="30B3069D"/>
    <w:multiLevelType w:val="multilevel"/>
    <w:tmpl w:val="E0E2B79C"/>
    <w:lvl w:ilvl="0">
      <w:start w:val="1"/>
      <w:numFmt w:val="bullet"/>
      <w:lvlText w:val=""/>
      <w:lvlJc w:val="left"/>
      <w:pPr>
        <w:ind w:left="720" w:hanging="360"/>
      </w:pPr>
      <w:rPr>
        <w:rFonts w:hint="default" w:ascii="Symbol" w:hAnsi="Symbol" w:eastAsia="Symbol" w:cs="Symbol"/>
      </w:rPr>
    </w:lvl>
    <w:lvl w:ilvl="1">
      <w:start w:val="1"/>
      <w:numFmt w:val="bullet"/>
      <w:lvlText w:val=""/>
      <w:lvlJc w:val="left"/>
      <w:pPr>
        <w:ind w:left="1440" w:hanging="360"/>
      </w:pPr>
      <w:rPr>
        <w:rFonts w:hint="default" w:ascii="Wingdings" w:hAnsi="Wingdings" w:eastAsia="Wingdings" w:cs="Wingdings"/>
      </w:rPr>
    </w:lvl>
    <w:lvl w:ilvl="2">
      <w:start w:val="1"/>
      <w:numFmt w:val="bullet"/>
      <w:lvlText w:val="-"/>
      <w:lvlJc w:val="left"/>
      <w:pPr>
        <w:ind w:left="2160" w:hanging="360"/>
      </w:pPr>
      <w:rPr>
        <w:rFonts w:hint="default" w:ascii="Symbol" w:hAnsi="Symbol" w:eastAsia="Symbol" w:cs="Symbol"/>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91" w15:restartNumberingAfterBreak="0">
    <w:nsid w:val="30F90C7C"/>
    <w:multiLevelType w:val="multilevel"/>
    <w:tmpl w:val="4F84CB10"/>
    <w:lvl w:ilvl="0">
      <w:start w:val="1"/>
      <w:numFmt w:val="bullet"/>
      <w:pStyle w:val="Puce1"/>
      <w:lvlText w:val=""/>
      <w:lvlJc w:val="left"/>
      <w:pPr>
        <w:tabs>
          <w:tab w:val="num" w:pos="0"/>
        </w:tabs>
        <w:ind w:left="720" w:hanging="360"/>
      </w:pPr>
      <w:rPr>
        <w:rFonts w:hint="default" w:ascii="Symbol" w:hAnsi="Symbol" w:cs="Symbol"/>
        <w:color w:val="03A3A6"/>
      </w:rPr>
    </w:lvl>
    <w:lvl w:ilvl="1">
      <w:start w:val="1"/>
      <w:numFmt w:val="bullet"/>
      <w:lvlText w:val=""/>
      <w:lvlJc w:val="left"/>
      <w:pPr>
        <w:tabs>
          <w:tab w:val="num" w:pos="0"/>
        </w:tabs>
        <w:ind w:left="1440" w:hanging="360"/>
      </w:pPr>
      <w:rPr>
        <w:rFonts w:hint="default" w:ascii="Wingdings" w:hAnsi="Wingdings" w:cs="Wingdings"/>
        <w:color w:val="6C9E00" w:themeColor="accent2" w:themeShade="BF"/>
      </w:rPr>
    </w:lvl>
    <w:lvl w:ilvl="2">
      <w:numFmt w:val="bullet"/>
      <w:lvlText w:val="-"/>
      <w:lvlJc w:val="left"/>
      <w:pPr>
        <w:tabs>
          <w:tab w:val="num" w:pos="0"/>
        </w:tabs>
        <w:ind w:left="2160" w:hanging="360"/>
      </w:pPr>
      <w:rPr>
        <w:rFonts w:hint="default" w:ascii="Arial" w:hAnsi="Arial" w:cs="Arial"/>
        <w:color w:val="6C9E00" w:themeColor="accent2" w:themeShade="BF"/>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92" w15:restartNumberingAfterBreak="0">
    <w:nsid w:val="31071029"/>
    <w:multiLevelType w:val="multilevel"/>
    <w:tmpl w:val="5CD6D1FA"/>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93" w15:restartNumberingAfterBreak="0">
    <w:nsid w:val="312F2211"/>
    <w:multiLevelType w:val="multilevel"/>
    <w:tmpl w:val="2A961CBC"/>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94" w15:restartNumberingAfterBreak="0">
    <w:nsid w:val="316A6DDF"/>
    <w:multiLevelType w:val="multilevel"/>
    <w:tmpl w:val="C9E619E8"/>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95" w15:restartNumberingAfterBreak="0">
    <w:nsid w:val="31BB1941"/>
    <w:multiLevelType w:val="multilevel"/>
    <w:tmpl w:val="05BC71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6" w15:restartNumberingAfterBreak="0">
    <w:nsid w:val="31E56076"/>
    <w:multiLevelType w:val="multilevel"/>
    <w:tmpl w:val="93F817EA"/>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97" w15:restartNumberingAfterBreak="0">
    <w:nsid w:val="3256480A"/>
    <w:multiLevelType w:val="multilevel"/>
    <w:tmpl w:val="C2082302"/>
    <w:lvl w:ilvl="0">
      <w:start w:val="1"/>
      <w:numFmt w:val="bullet"/>
      <w:pStyle w:val="R"/>
      <w:lvlText w:val=""/>
      <w:lvlJc w:val="left"/>
      <w:pPr>
        <w:tabs>
          <w:tab w:val="num" w:pos="360"/>
        </w:tabs>
        <w:ind w:left="340" w:hanging="340"/>
      </w:pPr>
      <w:rPr>
        <w:rFonts w:hint="default" w:ascii="Wingdings" w:hAnsi="Wingdings" w:cs="Wingdings"/>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8" w15:restartNumberingAfterBreak="0">
    <w:nsid w:val="335C0EAD"/>
    <w:multiLevelType w:val="multilevel"/>
    <w:tmpl w:val="099E3744"/>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29" w:hanging="360"/>
      </w:pPr>
      <w:rPr>
        <w:rFonts w:hint="default" w:ascii="Courier New" w:hAnsi="Courier New" w:eastAsia="Courier New" w:cs="Courier New"/>
      </w:rPr>
    </w:lvl>
    <w:lvl w:ilvl="2">
      <w:start w:val="1"/>
      <w:numFmt w:val="bullet"/>
      <w:lvlText w:val="§"/>
      <w:lvlJc w:val="left"/>
      <w:pPr>
        <w:ind w:left="2149" w:hanging="360"/>
      </w:pPr>
      <w:rPr>
        <w:rFonts w:hint="default" w:ascii="Wingdings" w:hAnsi="Wingdings" w:eastAsia="Wingdings" w:cs="Wingdings"/>
      </w:rPr>
    </w:lvl>
    <w:lvl w:ilvl="3">
      <w:start w:val="1"/>
      <w:numFmt w:val="bullet"/>
      <w:lvlText w:val="·"/>
      <w:lvlJc w:val="left"/>
      <w:pPr>
        <w:ind w:left="2869" w:hanging="360"/>
      </w:pPr>
      <w:rPr>
        <w:rFonts w:hint="default" w:ascii="Symbol" w:hAnsi="Symbol" w:eastAsia="Symbol" w:cs="Symbol"/>
      </w:rPr>
    </w:lvl>
    <w:lvl w:ilvl="4">
      <w:start w:val="1"/>
      <w:numFmt w:val="bullet"/>
      <w:lvlText w:val="o"/>
      <w:lvlJc w:val="left"/>
      <w:pPr>
        <w:ind w:left="3589" w:hanging="360"/>
      </w:pPr>
      <w:rPr>
        <w:rFonts w:hint="default" w:ascii="Courier New" w:hAnsi="Courier New" w:eastAsia="Courier New" w:cs="Courier New"/>
      </w:rPr>
    </w:lvl>
    <w:lvl w:ilvl="5">
      <w:start w:val="1"/>
      <w:numFmt w:val="bullet"/>
      <w:lvlText w:val="§"/>
      <w:lvlJc w:val="left"/>
      <w:pPr>
        <w:ind w:left="4309" w:hanging="360"/>
      </w:pPr>
      <w:rPr>
        <w:rFonts w:hint="default" w:ascii="Wingdings" w:hAnsi="Wingdings" w:eastAsia="Wingdings" w:cs="Wingdings"/>
      </w:rPr>
    </w:lvl>
    <w:lvl w:ilvl="6">
      <w:start w:val="1"/>
      <w:numFmt w:val="bullet"/>
      <w:lvlText w:val="·"/>
      <w:lvlJc w:val="left"/>
      <w:pPr>
        <w:ind w:left="5029" w:hanging="360"/>
      </w:pPr>
      <w:rPr>
        <w:rFonts w:hint="default" w:ascii="Symbol" w:hAnsi="Symbol" w:eastAsia="Symbol" w:cs="Symbol"/>
      </w:rPr>
    </w:lvl>
    <w:lvl w:ilvl="7">
      <w:start w:val="1"/>
      <w:numFmt w:val="bullet"/>
      <w:lvlText w:val="o"/>
      <w:lvlJc w:val="left"/>
      <w:pPr>
        <w:ind w:left="5749" w:hanging="360"/>
      </w:pPr>
      <w:rPr>
        <w:rFonts w:hint="default" w:ascii="Courier New" w:hAnsi="Courier New" w:eastAsia="Courier New" w:cs="Courier New"/>
      </w:rPr>
    </w:lvl>
    <w:lvl w:ilvl="8">
      <w:start w:val="1"/>
      <w:numFmt w:val="bullet"/>
      <w:lvlText w:val="§"/>
      <w:lvlJc w:val="left"/>
      <w:pPr>
        <w:ind w:left="6469" w:hanging="360"/>
      </w:pPr>
      <w:rPr>
        <w:rFonts w:hint="default" w:ascii="Wingdings" w:hAnsi="Wingdings" w:eastAsia="Wingdings" w:cs="Wingdings"/>
      </w:rPr>
    </w:lvl>
  </w:abstractNum>
  <w:abstractNum w:abstractNumId="99" w15:restartNumberingAfterBreak="0">
    <w:nsid w:val="33A45550"/>
    <w:multiLevelType w:val="multilevel"/>
    <w:tmpl w:val="4BE03A1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00" w15:restartNumberingAfterBreak="0">
    <w:nsid w:val="33B201CA"/>
    <w:multiLevelType w:val="multilevel"/>
    <w:tmpl w:val="A314E4C4"/>
    <w:lvl w:ilvl="0">
      <w:numFmt w:val="bullet"/>
      <w:pStyle w:val="Puce4"/>
      <w:lvlText w:val=""/>
      <w:lvlJc w:val="left"/>
      <w:pPr>
        <w:tabs>
          <w:tab w:val="num" w:pos="0"/>
        </w:tabs>
        <w:ind w:left="720" w:hanging="360"/>
      </w:pPr>
      <w:rPr>
        <w:rFonts w:hint="default" w:ascii="Wingdings" w:hAnsi="Wingdings" w:eastAsiaTheme="minorHAnsi" w:cstheme="minorBidi"/>
        <w:color w:val="03A3A6"/>
      </w:rPr>
    </w:lvl>
    <w:lvl w:ilvl="1">
      <w:numFmt w:val="bullet"/>
      <w:lvlText w:val=""/>
      <w:lvlJc w:val="left"/>
      <w:pPr>
        <w:tabs>
          <w:tab w:val="num" w:pos="0"/>
        </w:tabs>
        <w:ind w:left="1440" w:hanging="360"/>
      </w:pPr>
      <w:rPr>
        <w:rFonts w:hint="default" w:ascii="Wingdings" w:hAnsi="Wingdings" w:eastAsiaTheme="minorHAnsi" w:cstheme="minorBidi"/>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01" w15:restartNumberingAfterBreak="0">
    <w:nsid w:val="33B8486C"/>
    <w:multiLevelType w:val="multilevel"/>
    <w:tmpl w:val="21BA4B2C"/>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02" w15:restartNumberingAfterBreak="0">
    <w:nsid w:val="343933AC"/>
    <w:multiLevelType w:val="multilevel"/>
    <w:tmpl w:val="39D8A5B6"/>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03" w15:restartNumberingAfterBreak="0">
    <w:nsid w:val="345D1B02"/>
    <w:multiLevelType w:val="multilevel"/>
    <w:tmpl w:val="C8CE4394"/>
    <w:lvl w:ilvl="0">
      <w:start w:val="1"/>
      <w:numFmt w:val="bullet"/>
      <w:lvlText w:val="–"/>
      <w:lvlJc w:val="left"/>
      <w:pPr>
        <w:ind w:left="709" w:hanging="360"/>
      </w:pPr>
      <w:rPr>
        <w:rFonts w:hint="default" w:ascii="Arial" w:hAnsi="Arial" w:eastAsia="Arial" w:cs="Arial"/>
      </w:rPr>
    </w:lvl>
    <w:lvl w:ilvl="1">
      <w:start w:val="1"/>
      <w:numFmt w:val="bullet"/>
      <w:lvlText w:val="o"/>
      <w:lvlJc w:val="left"/>
      <w:pPr>
        <w:ind w:left="1429" w:hanging="360"/>
      </w:pPr>
      <w:rPr>
        <w:rFonts w:hint="default" w:ascii="Courier New" w:hAnsi="Courier New" w:eastAsia="Courier New" w:cs="Courier New"/>
      </w:rPr>
    </w:lvl>
    <w:lvl w:ilvl="2">
      <w:start w:val="1"/>
      <w:numFmt w:val="bullet"/>
      <w:lvlText w:val="§"/>
      <w:lvlJc w:val="left"/>
      <w:pPr>
        <w:ind w:left="2149" w:hanging="360"/>
      </w:pPr>
      <w:rPr>
        <w:rFonts w:hint="default" w:ascii="Wingdings" w:hAnsi="Wingdings" w:eastAsia="Wingdings" w:cs="Wingdings"/>
      </w:rPr>
    </w:lvl>
    <w:lvl w:ilvl="3">
      <w:start w:val="1"/>
      <w:numFmt w:val="bullet"/>
      <w:lvlText w:val="·"/>
      <w:lvlJc w:val="left"/>
      <w:pPr>
        <w:ind w:left="2869" w:hanging="360"/>
      </w:pPr>
      <w:rPr>
        <w:rFonts w:hint="default" w:ascii="Symbol" w:hAnsi="Symbol" w:eastAsia="Symbol" w:cs="Symbol"/>
      </w:rPr>
    </w:lvl>
    <w:lvl w:ilvl="4">
      <w:start w:val="1"/>
      <w:numFmt w:val="bullet"/>
      <w:lvlText w:val="o"/>
      <w:lvlJc w:val="left"/>
      <w:pPr>
        <w:ind w:left="3589" w:hanging="360"/>
      </w:pPr>
      <w:rPr>
        <w:rFonts w:hint="default" w:ascii="Courier New" w:hAnsi="Courier New" w:eastAsia="Courier New" w:cs="Courier New"/>
      </w:rPr>
    </w:lvl>
    <w:lvl w:ilvl="5">
      <w:start w:val="1"/>
      <w:numFmt w:val="bullet"/>
      <w:lvlText w:val="§"/>
      <w:lvlJc w:val="left"/>
      <w:pPr>
        <w:ind w:left="4309" w:hanging="360"/>
      </w:pPr>
      <w:rPr>
        <w:rFonts w:hint="default" w:ascii="Wingdings" w:hAnsi="Wingdings" w:eastAsia="Wingdings" w:cs="Wingdings"/>
      </w:rPr>
    </w:lvl>
    <w:lvl w:ilvl="6">
      <w:start w:val="1"/>
      <w:numFmt w:val="bullet"/>
      <w:lvlText w:val="·"/>
      <w:lvlJc w:val="left"/>
      <w:pPr>
        <w:ind w:left="5029" w:hanging="360"/>
      </w:pPr>
      <w:rPr>
        <w:rFonts w:hint="default" w:ascii="Symbol" w:hAnsi="Symbol" w:eastAsia="Symbol" w:cs="Symbol"/>
      </w:rPr>
    </w:lvl>
    <w:lvl w:ilvl="7">
      <w:start w:val="1"/>
      <w:numFmt w:val="bullet"/>
      <w:lvlText w:val="o"/>
      <w:lvlJc w:val="left"/>
      <w:pPr>
        <w:ind w:left="5749" w:hanging="360"/>
      </w:pPr>
      <w:rPr>
        <w:rFonts w:hint="default" w:ascii="Courier New" w:hAnsi="Courier New" w:eastAsia="Courier New" w:cs="Courier New"/>
      </w:rPr>
    </w:lvl>
    <w:lvl w:ilvl="8">
      <w:start w:val="1"/>
      <w:numFmt w:val="bullet"/>
      <w:lvlText w:val="§"/>
      <w:lvlJc w:val="left"/>
      <w:pPr>
        <w:ind w:left="6469" w:hanging="360"/>
      </w:pPr>
      <w:rPr>
        <w:rFonts w:hint="default" w:ascii="Wingdings" w:hAnsi="Wingdings" w:eastAsia="Wingdings" w:cs="Wingdings"/>
      </w:rPr>
    </w:lvl>
  </w:abstractNum>
  <w:abstractNum w:abstractNumId="104" w15:restartNumberingAfterBreak="0">
    <w:nsid w:val="34BC51DF"/>
    <w:multiLevelType w:val="multilevel"/>
    <w:tmpl w:val="22F47568"/>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105" w15:restartNumberingAfterBreak="0">
    <w:nsid w:val="34D173AE"/>
    <w:multiLevelType w:val="multilevel"/>
    <w:tmpl w:val="674436A2"/>
    <w:lvl w:ilvl="0">
      <w:start w:val="1"/>
      <w:numFmt w:val="bullet"/>
      <w:lvlText w:val="·"/>
      <w:lvlJc w:val="left"/>
      <w:pPr>
        <w:ind w:left="709" w:hanging="360"/>
      </w:pPr>
      <w:rPr>
        <w:rFonts w:hint="default" w:ascii="Symbol" w:hAnsi="Symbol" w:eastAsia="Symbol" w:cs="Symbol"/>
        <w:color w:val="000000"/>
        <w:sz w:val="24"/>
      </w:rPr>
    </w:lvl>
    <w:lvl w:ilvl="1">
      <w:start w:val="1"/>
      <w:numFmt w:val="bullet"/>
      <w:lvlText w:val="·"/>
      <w:lvlJc w:val="left"/>
      <w:pPr>
        <w:ind w:left="1429" w:hanging="360"/>
      </w:pPr>
      <w:rPr>
        <w:rFonts w:hint="default" w:ascii="Symbol" w:hAnsi="Symbol" w:eastAsia="Symbol" w:cs="Symbol"/>
        <w:color w:val="000000"/>
        <w:sz w:val="24"/>
      </w:rPr>
    </w:lvl>
    <w:lvl w:ilvl="2">
      <w:start w:val="1"/>
      <w:numFmt w:val="bullet"/>
      <w:lvlText w:val="·"/>
      <w:lvlJc w:val="left"/>
      <w:pPr>
        <w:ind w:left="2149" w:hanging="360"/>
      </w:pPr>
      <w:rPr>
        <w:rFonts w:hint="default" w:ascii="Symbol" w:hAnsi="Symbol" w:eastAsia="Symbol" w:cs="Symbol"/>
        <w:color w:val="000000"/>
        <w:sz w:val="24"/>
      </w:rPr>
    </w:lvl>
    <w:lvl w:ilvl="3">
      <w:start w:val="1"/>
      <w:numFmt w:val="bullet"/>
      <w:lvlText w:val="·"/>
      <w:lvlJc w:val="left"/>
      <w:pPr>
        <w:ind w:left="2869" w:hanging="360"/>
      </w:pPr>
      <w:rPr>
        <w:rFonts w:hint="default" w:ascii="Symbol" w:hAnsi="Symbol" w:eastAsia="Symbol" w:cs="Symbol"/>
        <w:color w:val="000000"/>
        <w:sz w:val="24"/>
      </w:rPr>
    </w:lvl>
    <w:lvl w:ilvl="4">
      <w:start w:val="1"/>
      <w:numFmt w:val="bullet"/>
      <w:lvlText w:val="·"/>
      <w:lvlJc w:val="left"/>
      <w:pPr>
        <w:ind w:left="3589" w:hanging="360"/>
      </w:pPr>
      <w:rPr>
        <w:rFonts w:hint="default" w:ascii="Symbol" w:hAnsi="Symbol" w:eastAsia="Symbol" w:cs="Symbol"/>
        <w:color w:val="000000"/>
        <w:sz w:val="24"/>
      </w:rPr>
    </w:lvl>
    <w:lvl w:ilvl="5">
      <w:start w:val="1"/>
      <w:numFmt w:val="bullet"/>
      <w:lvlText w:val="·"/>
      <w:lvlJc w:val="left"/>
      <w:pPr>
        <w:ind w:left="4309" w:hanging="360"/>
      </w:pPr>
      <w:rPr>
        <w:rFonts w:hint="default" w:ascii="Symbol" w:hAnsi="Symbol" w:eastAsia="Symbol" w:cs="Symbol"/>
        <w:color w:val="000000"/>
        <w:sz w:val="24"/>
      </w:rPr>
    </w:lvl>
    <w:lvl w:ilvl="6">
      <w:start w:val="1"/>
      <w:numFmt w:val="bullet"/>
      <w:lvlText w:val="·"/>
      <w:lvlJc w:val="left"/>
      <w:pPr>
        <w:ind w:left="5029" w:hanging="360"/>
      </w:pPr>
      <w:rPr>
        <w:rFonts w:hint="default" w:ascii="Symbol" w:hAnsi="Symbol" w:eastAsia="Symbol" w:cs="Symbol"/>
        <w:color w:val="000000"/>
        <w:sz w:val="24"/>
      </w:rPr>
    </w:lvl>
    <w:lvl w:ilvl="7">
      <w:start w:val="1"/>
      <w:numFmt w:val="bullet"/>
      <w:lvlText w:val="·"/>
      <w:lvlJc w:val="left"/>
      <w:pPr>
        <w:ind w:left="5749" w:hanging="360"/>
      </w:pPr>
      <w:rPr>
        <w:rFonts w:hint="default" w:ascii="Symbol" w:hAnsi="Symbol" w:eastAsia="Symbol" w:cs="Symbol"/>
        <w:color w:val="000000"/>
        <w:sz w:val="24"/>
      </w:rPr>
    </w:lvl>
    <w:lvl w:ilvl="8">
      <w:start w:val="1"/>
      <w:numFmt w:val="bullet"/>
      <w:lvlText w:val="·"/>
      <w:lvlJc w:val="left"/>
      <w:pPr>
        <w:ind w:left="6469" w:hanging="360"/>
      </w:pPr>
      <w:rPr>
        <w:rFonts w:hint="default" w:ascii="Symbol" w:hAnsi="Symbol" w:eastAsia="Symbol" w:cs="Symbol"/>
        <w:color w:val="000000"/>
        <w:sz w:val="24"/>
      </w:rPr>
    </w:lvl>
  </w:abstractNum>
  <w:abstractNum w:abstractNumId="106" w15:restartNumberingAfterBreak="0">
    <w:nsid w:val="351949DE"/>
    <w:multiLevelType w:val="multilevel"/>
    <w:tmpl w:val="FF3E8AB2"/>
    <w:lvl w:ilvl="0">
      <w:start w:val="1"/>
      <w:numFmt w:val="bullet"/>
      <w:pStyle w:val="Puce2"/>
      <w:lvlText w:val=""/>
      <w:lvlJc w:val="left"/>
      <w:pPr>
        <w:tabs>
          <w:tab w:val="num" w:pos="0"/>
        </w:tabs>
        <w:ind w:left="1800" w:hanging="360"/>
      </w:pPr>
      <w:rPr>
        <w:rFonts w:hint="default" w:ascii="Wingdings" w:hAnsi="Wingdings" w:cs="Wingdings"/>
        <w:color w:val="03A3A6"/>
      </w:rPr>
    </w:lvl>
    <w:lvl w:ilvl="1">
      <w:start w:val="1"/>
      <w:numFmt w:val="bullet"/>
      <w:lvlText w:val="o"/>
      <w:lvlJc w:val="left"/>
      <w:pPr>
        <w:tabs>
          <w:tab w:val="num" w:pos="0"/>
        </w:tabs>
        <w:ind w:left="2520" w:hanging="360"/>
      </w:pPr>
      <w:rPr>
        <w:rFonts w:hint="default" w:ascii="Courier New" w:hAnsi="Courier New" w:cs="Courier New"/>
      </w:rPr>
    </w:lvl>
    <w:lvl w:ilvl="2">
      <w:start w:val="1"/>
      <w:numFmt w:val="bullet"/>
      <w:lvlText w:val=""/>
      <w:lvlJc w:val="left"/>
      <w:pPr>
        <w:tabs>
          <w:tab w:val="num" w:pos="0"/>
        </w:tabs>
        <w:ind w:left="3240" w:hanging="360"/>
      </w:pPr>
      <w:rPr>
        <w:rFonts w:hint="default" w:ascii="Wingdings" w:hAnsi="Wingdings" w:cs="Wingdings"/>
      </w:rPr>
    </w:lvl>
    <w:lvl w:ilvl="3">
      <w:start w:val="1"/>
      <w:numFmt w:val="bullet"/>
      <w:lvlText w:val=""/>
      <w:lvlJc w:val="left"/>
      <w:pPr>
        <w:tabs>
          <w:tab w:val="num" w:pos="0"/>
        </w:tabs>
        <w:ind w:left="3960" w:hanging="360"/>
      </w:pPr>
      <w:rPr>
        <w:rFonts w:hint="default" w:ascii="Symbol" w:hAnsi="Symbol" w:cs="Symbol"/>
      </w:rPr>
    </w:lvl>
    <w:lvl w:ilvl="4">
      <w:start w:val="1"/>
      <w:numFmt w:val="bullet"/>
      <w:lvlText w:val="o"/>
      <w:lvlJc w:val="left"/>
      <w:pPr>
        <w:tabs>
          <w:tab w:val="num" w:pos="0"/>
        </w:tabs>
        <w:ind w:left="4680" w:hanging="360"/>
      </w:pPr>
      <w:rPr>
        <w:rFonts w:hint="default" w:ascii="Courier New" w:hAnsi="Courier New" w:cs="Courier New"/>
      </w:rPr>
    </w:lvl>
    <w:lvl w:ilvl="5">
      <w:start w:val="1"/>
      <w:numFmt w:val="bullet"/>
      <w:lvlText w:val=""/>
      <w:lvlJc w:val="left"/>
      <w:pPr>
        <w:tabs>
          <w:tab w:val="num" w:pos="0"/>
        </w:tabs>
        <w:ind w:left="5400" w:hanging="360"/>
      </w:pPr>
      <w:rPr>
        <w:rFonts w:hint="default" w:ascii="Wingdings" w:hAnsi="Wingdings" w:cs="Wingdings"/>
      </w:rPr>
    </w:lvl>
    <w:lvl w:ilvl="6">
      <w:start w:val="1"/>
      <w:numFmt w:val="bullet"/>
      <w:lvlText w:val=""/>
      <w:lvlJc w:val="left"/>
      <w:pPr>
        <w:tabs>
          <w:tab w:val="num" w:pos="0"/>
        </w:tabs>
        <w:ind w:left="6120" w:hanging="360"/>
      </w:pPr>
      <w:rPr>
        <w:rFonts w:hint="default" w:ascii="Symbol" w:hAnsi="Symbol" w:cs="Symbol"/>
      </w:rPr>
    </w:lvl>
    <w:lvl w:ilvl="7">
      <w:start w:val="1"/>
      <w:numFmt w:val="bullet"/>
      <w:lvlText w:val="o"/>
      <w:lvlJc w:val="left"/>
      <w:pPr>
        <w:tabs>
          <w:tab w:val="num" w:pos="0"/>
        </w:tabs>
        <w:ind w:left="6840" w:hanging="360"/>
      </w:pPr>
      <w:rPr>
        <w:rFonts w:hint="default" w:ascii="Courier New" w:hAnsi="Courier New" w:cs="Courier New"/>
      </w:rPr>
    </w:lvl>
    <w:lvl w:ilvl="8">
      <w:start w:val="1"/>
      <w:numFmt w:val="bullet"/>
      <w:lvlText w:val=""/>
      <w:lvlJc w:val="left"/>
      <w:pPr>
        <w:tabs>
          <w:tab w:val="num" w:pos="0"/>
        </w:tabs>
        <w:ind w:left="7560" w:hanging="360"/>
      </w:pPr>
      <w:rPr>
        <w:rFonts w:hint="default" w:ascii="Wingdings" w:hAnsi="Wingdings" w:cs="Wingdings"/>
      </w:rPr>
    </w:lvl>
  </w:abstractNum>
  <w:abstractNum w:abstractNumId="107" w15:restartNumberingAfterBreak="0">
    <w:nsid w:val="357D2ABF"/>
    <w:multiLevelType w:val="multilevel"/>
    <w:tmpl w:val="4D76021E"/>
    <w:lvl w:ilvl="0">
      <w:start w:val="1"/>
      <w:numFmt w:val="bullet"/>
      <w:pStyle w:val="ListepuceNiv3"/>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08" w15:restartNumberingAfterBreak="0">
    <w:nsid w:val="35E83DAF"/>
    <w:multiLevelType w:val="multilevel"/>
    <w:tmpl w:val="4308F918"/>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09" w15:restartNumberingAfterBreak="0">
    <w:nsid w:val="36790FE3"/>
    <w:multiLevelType w:val="multilevel"/>
    <w:tmpl w:val="708AF368"/>
    <w:lvl w:ilvl="0">
      <w:start w:val="1"/>
      <w:numFmt w:val="bullet"/>
      <w:lvlText w:val=""/>
      <w:lvlJc w:val="left"/>
      <w:pPr>
        <w:tabs>
          <w:tab w:val="num" w:pos="720"/>
        </w:tabs>
        <w:ind w:left="720" w:hanging="360"/>
      </w:pPr>
      <w:rPr>
        <w:rFonts w:hint="default" w:ascii="Symbol" w:hAnsi="Symbol" w:cs="Symbol"/>
      </w:rPr>
    </w:lvl>
    <w:lvl w:ilvl="1">
      <w:start w:val="1"/>
      <w:numFmt w:val="bullet"/>
      <w:lvlText w:val="◦"/>
      <w:lvlJc w:val="left"/>
      <w:pPr>
        <w:tabs>
          <w:tab w:val="num" w:pos="1080"/>
        </w:tabs>
        <w:ind w:left="1080" w:hanging="360"/>
      </w:pPr>
      <w:rPr>
        <w:rFonts w:hint="default" w:ascii="OpenSymbol" w:hAnsi="OpenSymbol" w:cs="OpenSymbol"/>
      </w:rPr>
    </w:lvl>
    <w:lvl w:ilvl="2">
      <w:start w:val="1"/>
      <w:numFmt w:val="bullet"/>
      <w:lvlText w:val="▪"/>
      <w:lvlJc w:val="left"/>
      <w:pPr>
        <w:tabs>
          <w:tab w:val="num" w:pos="1440"/>
        </w:tabs>
        <w:ind w:left="1440" w:hanging="360"/>
      </w:pPr>
      <w:rPr>
        <w:rFonts w:hint="default" w:ascii="OpenSymbol" w:hAnsi="OpenSymbol" w:cs="OpenSymbol"/>
      </w:rPr>
    </w:lvl>
    <w:lvl w:ilvl="3">
      <w:start w:val="1"/>
      <w:numFmt w:val="bullet"/>
      <w:lvlText w:val=""/>
      <w:lvlJc w:val="left"/>
      <w:pPr>
        <w:tabs>
          <w:tab w:val="num" w:pos="1800"/>
        </w:tabs>
        <w:ind w:left="1800" w:hanging="360"/>
      </w:pPr>
      <w:rPr>
        <w:rFonts w:hint="default" w:ascii="Symbol" w:hAnsi="Symbol" w:cs="Symbol"/>
      </w:rPr>
    </w:lvl>
    <w:lvl w:ilvl="4">
      <w:start w:val="1"/>
      <w:numFmt w:val="bullet"/>
      <w:lvlText w:val="◦"/>
      <w:lvlJc w:val="left"/>
      <w:pPr>
        <w:tabs>
          <w:tab w:val="num" w:pos="2160"/>
        </w:tabs>
        <w:ind w:left="2160" w:hanging="360"/>
      </w:pPr>
      <w:rPr>
        <w:rFonts w:hint="default" w:ascii="OpenSymbol" w:hAnsi="OpenSymbol" w:cs="OpenSymbol"/>
      </w:rPr>
    </w:lvl>
    <w:lvl w:ilvl="5">
      <w:start w:val="1"/>
      <w:numFmt w:val="bullet"/>
      <w:lvlText w:val="▪"/>
      <w:lvlJc w:val="left"/>
      <w:pPr>
        <w:tabs>
          <w:tab w:val="num" w:pos="2520"/>
        </w:tabs>
        <w:ind w:left="2520" w:hanging="360"/>
      </w:pPr>
      <w:rPr>
        <w:rFonts w:hint="default" w:ascii="OpenSymbol" w:hAnsi="OpenSymbol" w:cs="OpenSymbol"/>
      </w:rPr>
    </w:lvl>
    <w:lvl w:ilvl="6">
      <w:start w:val="1"/>
      <w:numFmt w:val="bullet"/>
      <w:lvlText w:val=""/>
      <w:lvlJc w:val="left"/>
      <w:pPr>
        <w:tabs>
          <w:tab w:val="num" w:pos="2880"/>
        </w:tabs>
        <w:ind w:left="2880" w:hanging="360"/>
      </w:pPr>
      <w:rPr>
        <w:rFonts w:hint="default" w:ascii="Symbol" w:hAnsi="Symbol" w:cs="Symbol"/>
      </w:rPr>
    </w:lvl>
    <w:lvl w:ilvl="7">
      <w:start w:val="1"/>
      <w:numFmt w:val="bullet"/>
      <w:lvlText w:val="◦"/>
      <w:lvlJc w:val="left"/>
      <w:pPr>
        <w:tabs>
          <w:tab w:val="num" w:pos="3240"/>
        </w:tabs>
        <w:ind w:left="3240" w:hanging="360"/>
      </w:pPr>
      <w:rPr>
        <w:rFonts w:hint="default" w:ascii="OpenSymbol" w:hAnsi="OpenSymbol" w:cs="OpenSymbol"/>
      </w:rPr>
    </w:lvl>
    <w:lvl w:ilvl="8">
      <w:start w:val="1"/>
      <w:numFmt w:val="bullet"/>
      <w:lvlText w:val="▪"/>
      <w:lvlJc w:val="left"/>
      <w:pPr>
        <w:tabs>
          <w:tab w:val="num" w:pos="3600"/>
        </w:tabs>
        <w:ind w:left="3600" w:hanging="360"/>
      </w:pPr>
      <w:rPr>
        <w:rFonts w:hint="default" w:ascii="OpenSymbol" w:hAnsi="OpenSymbol" w:cs="OpenSymbol"/>
      </w:rPr>
    </w:lvl>
  </w:abstractNum>
  <w:abstractNum w:abstractNumId="110" w15:restartNumberingAfterBreak="0">
    <w:nsid w:val="37EE6E48"/>
    <w:multiLevelType w:val="multilevel"/>
    <w:tmpl w:val="1EC030C2"/>
    <w:lvl w:ilvl="0">
      <w:start w:val="1"/>
      <w:numFmt w:val="bullet"/>
      <w:lvlText w:val=""/>
      <w:lvlJc w:val="left"/>
      <w:pPr>
        <w:tabs>
          <w:tab w:val="num" w:pos="0"/>
        </w:tabs>
        <w:ind w:left="720" w:hanging="360"/>
      </w:pPr>
      <w:rPr>
        <w:rFonts w:hint="default" w:ascii="Symbol" w:hAnsi="Symbol" w:cs="Symbol"/>
        <w:color w:val="03A3A6"/>
      </w:rPr>
    </w:lvl>
    <w:lvl w:ilvl="1">
      <w:start w:val="1"/>
      <w:numFmt w:val="bullet"/>
      <w:lvlText w:val=""/>
      <w:lvlJc w:val="left"/>
      <w:pPr>
        <w:tabs>
          <w:tab w:val="num" w:pos="0"/>
        </w:tabs>
        <w:ind w:left="1440" w:hanging="360"/>
      </w:pPr>
      <w:rPr>
        <w:rFonts w:hint="default" w:ascii="Wingdings" w:hAnsi="Wingdings" w:cs="Wingdings"/>
        <w:color w:val="6C9E00" w:themeColor="accent2" w:themeShade="BF"/>
      </w:rPr>
    </w:lvl>
    <w:lvl w:ilvl="2">
      <w:numFmt w:val="bullet"/>
      <w:lvlText w:val="-"/>
      <w:lvlJc w:val="left"/>
      <w:pPr>
        <w:tabs>
          <w:tab w:val="num" w:pos="0"/>
        </w:tabs>
        <w:ind w:left="2160" w:hanging="360"/>
      </w:pPr>
      <w:rPr>
        <w:rFonts w:hint="default" w:ascii="Arial" w:hAnsi="Arial" w:cs="Arial"/>
        <w:color w:val="6C9E00" w:themeColor="accent2" w:themeShade="BF"/>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11" w15:restartNumberingAfterBreak="0">
    <w:nsid w:val="383C1B1C"/>
    <w:multiLevelType w:val="multilevel"/>
    <w:tmpl w:val="69EC0236"/>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12" w15:restartNumberingAfterBreak="0">
    <w:nsid w:val="3948364C"/>
    <w:multiLevelType w:val="multilevel"/>
    <w:tmpl w:val="6A3C1630"/>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13" w15:restartNumberingAfterBreak="0">
    <w:nsid w:val="39E243DA"/>
    <w:multiLevelType w:val="multilevel"/>
    <w:tmpl w:val="98EE7EEE"/>
    <w:lvl w:ilvl="0">
      <w:start w:val="1"/>
      <w:numFmt w:val="bullet"/>
      <w:suff w:val="space"/>
      <w:lvlText w:val="·"/>
      <w:lvlJc w:val="left"/>
      <w:pPr>
        <w:tabs>
          <w:tab w:val="num" w:pos="0"/>
        </w:tabs>
        <w:ind w:left="0" w:firstLine="0"/>
      </w:pPr>
      <w:rPr>
        <w:rFonts w:hint="default" w:ascii="Symbol" w:hAnsi="Symbol" w:eastAsia="Symbol" w:cs="Symbol"/>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14" w15:restartNumberingAfterBreak="0">
    <w:nsid w:val="3ABB6831"/>
    <w:multiLevelType w:val="multilevel"/>
    <w:tmpl w:val="CE121278"/>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15" w15:restartNumberingAfterBreak="0">
    <w:nsid w:val="3AC12C9E"/>
    <w:multiLevelType w:val="multilevel"/>
    <w:tmpl w:val="D1CE6310"/>
    <w:lvl w:ilvl="0">
      <w:start w:val="1"/>
      <w:numFmt w:val="bullet"/>
      <w:lvlText w:val=""/>
      <w:lvlJc w:val="left"/>
      <w:pPr>
        <w:tabs>
          <w:tab w:val="num" w:pos="720"/>
        </w:tabs>
        <w:ind w:left="720" w:hanging="360"/>
      </w:pPr>
      <w:rPr>
        <w:rFonts w:hint="default" w:ascii="Symbol" w:hAnsi="Symbol" w:cs="Symbol"/>
      </w:rPr>
    </w:lvl>
    <w:lvl w:ilvl="1">
      <w:start w:val="1"/>
      <w:numFmt w:val="bullet"/>
      <w:lvlText w:val="◦"/>
      <w:lvlJc w:val="left"/>
      <w:pPr>
        <w:tabs>
          <w:tab w:val="num" w:pos="1080"/>
        </w:tabs>
        <w:ind w:left="1080" w:hanging="360"/>
      </w:pPr>
      <w:rPr>
        <w:rFonts w:hint="default" w:ascii="OpenSymbol" w:hAnsi="OpenSymbol" w:cs="OpenSymbol"/>
      </w:rPr>
    </w:lvl>
    <w:lvl w:ilvl="2">
      <w:start w:val="1"/>
      <w:numFmt w:val="bullet"/>
      <w:lvlText w:val="▪"/>
      <w:lvlJc w:val="left"/>
      <w:pPr>
        <w:tabs>
          <w:tab w:val="num" w:pos="1440"/>
        </w:tabs>
        <w:ind w:left="1440" w:hanging="360"/>
      </w:pPr>
      <w:rPr>
        <w:rFonts w:hint="default" w:ascii="OpenSymbol" w:hAnsi="OpenSymbol" w:cs="OpenSymbol"/>
      </w:rPr>
    </w:lvl>
    <w:lvl w:ilvl="3">
      <w:start w:val="1"/>
      <w:numFmt w:val="bullet"/>
      <w:lvlText w:val=""/>
      <w:lvlJc w:val="left"/>
      <w:pPr>
        <w:tabs>
          <w:tab w:val="num" w:pos="1800"/>
        </w:tabs>
        <w:ind w:left="1800" w:hanging="360"/>
      </w:pPr>
      <w:rPr>
        <w:rFonts w:hint="default" w:ascii="Symbol" w:hAnsi="Symbol" w:cs="Symbol"/>
      </w:rPr>
    </w:lvl>
    <w:lvl w:ilvl="4">
      <w:start w:val="1"/>
      <w:numFmt w:val="bullet"/>
      <w:lvlText w:val="◦"/>
      <w:lvlJc w:val="left"/>
      <w:pPr>
        <w:tabs>
          <w:tab w:val="num" w:pos="2160"/>
        </w:tabs>
        <w:ind w:left="2160" w:hanging="360"/>
      </w:pPr>
      <w:rPr>
        <w:rFonts w:hint="default" w:ascii="OpenSymbol" w:hAnsi="OpenSymbol" w:cs="OpenSymbol"/>
      </w:rPr>
    </w:lvl>
    <w:lvl w:ilvl="5">
      <w:start w:val="1"/>
      <w:numFmt w:val="bullet"/>
      <w:lvlText w:val="▪"/>
      <w:lvlJc w:val="left"/>
      <w:pPr>
        <w:tabs>
          <w:tab w:val="num" w:pos="2520"/>
        </w:tabs>
        <w:ind w:left="2520" w:hanging="360"/>
      </w:pPr>
      <w:rPr>
        <w:rFonts w:hint="default" w:ascii="OpenSymbol" w:hAnsi="OpenSymbol" w:cs="OpenSymbol"/>
      </w:rPr>
    </w:lvl>
    <w:lvl w:ilvl="6">
      <w:start w:val="1"/>
      <w:numFmt w:val="bullet"/>
      <w:lvlText w:val=""/>
      <w:lvlJc w:val="left"/>
      <w:pPr>
        <w:tabs>
          <w:tab w:val="num" w:pos="2880"/>
        </w:tabs>
        <w:ind w:left="2880" w:hanging="360"/>
      </w:pPr>
      <w:rPr>
        <w:rFonts w:hint="default" w:ascii="Symbol" w:hAnsi="Symbol" w:cs="Symbol"/>
      </w:rPr>
    </w:lvl>
    <w:lvl w:ilvl="7">
      <w:start w:val="1"/>
      <w:numFmt w:val="bullet"/>
      <w:lvlText w:val="◦"/>
      <w:lvlJc w:val="left"/>
      <w:pPr>
        <w:tabs>
          <w:tab w:val="num" w:pos="3240"/>
        </w:tabs>
        <w:ind w:left="3240" w:hanging="360"/>
      </w:pPr>
      <w:rPr>
        <w:rFonts w:hint="default" w:ascii="OpenSymbol" w:hAnsi="OpenSymbol" w:cs="OpenSymbol"/>
      </w:rPr>
    </w:lvl>
    <w:lvl w:ilvl="8">
      <w:start w:val="1"/>
      <w:numFmt w:val="bullet"/>
      <w:lvlText w:val="▪"/>
      <w:lvlJc w:val="left"/>
      <w:pPr>
        <w:tabs>
          <w:tab w:val="num" w:pos="3600"/>
        </w:tabs>
        <w:ind w:left="3600" w:hanging="360"/>
      </w:pPr>
      <w:rPr>
        <w:rFonts w:hint="default" w:ascii="OpenSymbol" w:hAnsi="OpenSymbol" w:cs="OpenSymbol"/>
      </w:rPr>
    </w:lvl>
  </w:abstractNum>
  <w:abstractNum w:abstractNumId="116" w15:restartNumberingAfterBreak="0">
    <w:nsid w:val="3AF22739"/>
    <w:multiLevelType w:val="multilevel"/>
    <w:tmpl w:val="C50E25DC"/>
    <w:lvl w:ilvl="0">
      <w:start w:val="1"/>
      <w:numFmt w:val="bullet"/>
      <w:lvlText w:val=""/>
      <w:lvlJc w:val="left"/>
      <w:pPr>
        <w:tabs>
          <w:tab w:val="num" w:pos="0"/>
        </w:tabs>
        <w:ind w:left="720" w:hanging="360"/>
      </w:pPr>
      <w:rPr>
        <w:rFonts w:hint="default" w:ascii="Symbol" w:hAnsi="Symbol" w:cs="Symbol"/>
        <w:color w:val="03A3A6"/>
      </w:rPr>
    </w:lvl>
    <w:lvl w:ilvl="1">
      <w:start w:val="1"/>
      <w:numFmt w:val="bullet"/>
      <w:lvlText w:val=""/>
      <w:lvlJc w:val="left"/>
      <w:pPr>
        <w:tabs>
          <w:tab w:val="num" w:pos="0"/>
        </w:tabs>
        <w:ind w:left="1440" w:hanging="360"/>
      </w:pPr>
      <w:rPr>
        <w:rFonts w:hint="default" w:ascii="Wingdings" w:hAnsi="Wingdings" w:cs="Wingdings"/>
        <w:color w:val="6C9E00" w:themeColor="accent2" w:themeShade="BF"/>
      </w:rPr>
    </w:lvl>
    <w:lvl w:ilvl="2">
      <w:numFmt w:val="bullet"/>
      <w:lvlText w:val="-"/>
      <w:lvlJc w:val="left"/>
      <w:pPr>
        <w:tabs>
          <w:tab w:val="num" w:pos="0"/>
        </w:tabs>
        <w:ind w:left="2160" w:hanging="360"/>
      </w:pPr>
      <w:rPr>
        <w:rFonts w:hint="default" w:ascii="Arial" w:hAnsi="Arial" w:cs="Arial"/>
        <w:color w:val="6C9E00" w:themeColor="accent2" w:themeShade="BF"/>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17" w15:restartNumberingAfterBreak="0">
    <w:nsid w:val="3B056AAE"/>
    <w:multiLevelType w:val="multilevel"/>
    <w:tmpl w:val="C29A1448"/>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18" w15:restartNumberingAfterBreak="0">
    <w:nsid w:val="3B102233"/>
    <w:multiLevelType w:val="multilevel"/>
    <w:tmpl w:val="6304255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19" w15:restartNumberingAfterBreak="0">
    <w:nsid w:val="3BB67770"/>
    <w:multiLevelType w:val="multilevel"/>
    <w:tmpl w:val="99E800BE"/>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20" w15:restartNumberingAfterBreak="0">
    <w:nsid w:val="3BF8514B"/>
    <w:multiLevelType w:val="multilevel"/>
    <w:tmpl w:val="C61EE7CA"/>
    <w:lvl w:ilvl="0">
      <w:start w:val="1"/>
      <w:numFmt w:val="bullet"/>
      <w:pStyle w:val="Tableaupuce"/>
      <w:lvlText w:val=""/>
      <w:lvlJc w:val="left"/>
      <w:pPr>
        <w:tabs>
          <w:tab w:val="num" w:pos="170"/>
        </w:tabs>
        <w:ind w:left="170" w:hanging="170"/>
      </w:pPr>
      <w:rPr>
        <w:rFonts w:hint="default" w:ascii="Symbol" w:hAnsi="Symbol" w:cs="Symbol"/>
        <w:color w:val="8099CC"/>
        <w:sz w:val="20"/>
      </w:rPr>
    </w:lvl>
    <w:lvl w:ilvl="1">
      <w:start w:val="1"/>
      <w:numFmt w:val="bullet"/>
      <w:lvlText w:val="o"/>
      <w:lvlJc w:val="left"/>
      <w:pPr>
        <w:tabs>
          <w:tab w:val="num" w:pos="1440"/>
        </w:tabs>
        <w:ind w:left="1440" w:hanging="360"/>
      </w:pPr>
      <w:rPr>
        <w:rFonts w:hint="default" w:ascii="Courier New" w:hAnsi="Courier New" w:cs="Courier New"/>
      </w:rPr>
    </w:lvl>
    <w:lvl w:ilvl="2">
      <w:start w:val="1"/>
      <w:numFmt w:val="bullet"/>
      <w:lvlText w:val=""/>
      <w:lvlJc w:val="left"/>
      <w:pPr>
        <w:tabs>
          <w:tab w:val="num" w:pos="2160"/>
        </w:tabs>
        <w:ind w:left="2160" w:hanging="360"/>
      </w:pPr>
      <w:rPr>
        <w:rFonts w:hint="default" w:ascii="Wingdings" w:hAnsi="Wingdings" w:cs="Wingdings"/>
      </w:rPr>
    </w:lvl>
    <w:lvl w:ilvl="3">
      <w:start w:val="1"/>
      <w:numFmt w:val="bullet"/>
      <w:lvlText w:val=""/>
      <w:lvlJc w:val="left"/>
      <w:pPr>
        <w:tabs>
          <w:tab w:val="num" w:pos="2880"/>
        </w:tabs>
        <w:ind w:left="2880" w:hanging="360"/>
      </w:pPr>
      <w:rPr>
        <w:rFonts w:hint="default" w:ascii="Symbol" w:hAnsi="Symbol" w:cs="Symbol"/>
      </w:rPr>
    </w:lvl>
    <w:lvl w:ilvl="4">
      <w:start w:val="1"/>
      <w:numFmt w:val="bullet"/>
      <w:lvlText w:val="o"/>
      <w:lvlJc w:val="left"/>
      <w:pPr>
        <w:tabs>
          <w:tab w:val="num" w:pos="3600"/>
        </w:tabs>
        <w:ind w:left="3600" w:hanging="360"/>
      </w:pPr>
      <w:rPr>
        <w:rFonts w:hint="default" w:ascii="Courier New" w:hAnsi="Courier New" w:cs="Courier New"/>
      </w:rPr>
    </w:lvl>
    <w:lvl w:ilvl="5">
      <w:start w:val="1"/>
      <w:numFmt w:val="bullet"/>
      <w:lvlText w:val=""/>
      <w:lvlJc w:val="left"/>
      <w:pPr>
        <w:tabs>
          <w:tab w:val="num" w:pos="4320"/>
        </w:tabs>
        <w:ind w:left="4320" w:hanging="360"/>
      </w:pPr>
      <w:rPr>
        <w:rFonts w:hint="default" w:ascii="Wingdings" w:hAnsi="Wingdings" w:cs="Wingdings"/>
      </w:rPr>
    </w:lvl>
    <w:lvl w:ilvl="6">
      <w:start w:val="1"/>
      <w:numFmt w:val="bullet"/>
      <w:lvlText w:val=""/>
      <w:lvlJc w:val="left"/>
      <w:pPr>
        <w:tabs>
          <w:tab w:val="num" w:pos="5040"/>
        </w:tabs>
        <w:ind w:left="5040" w:hanging="360"/>
      </w:pPr>
      <w:rPr>
        <w:rFonts w:hint="default" w:ascii="Symbol" w:hAnsi="Symbol" w:cs="Symbol"/>
      </w:rPr>
    </w:lvl>
    <w:lvl w:ilvl="7">
      <w:start w:val="1"/>
      <w:numFmt w:val="bullet"/>
      <w:lvlText w:val="o"/>
      <w:lvlJc w:val="left"/>
      <w:pPr>
        <w:tabs>
          <w:tab w:val="num" w:pos="5760"/>
        </w:tabs>
        <w:ind w:left="5760" w:hanging="360"/>
      </w:pPr>
      <w:rPr>
        <w:rFonts w:hint="default" w:ascii="Courier New" w:hAnsi="Courier New" w:cs="Courier New"/>
      </w:rPr>
    </w:lvl>
    <w:lvl w:ilvl="8">
      <w:start w:val="1"/>
      <w:numFmt w:val="bullet"/>
      <w:lvlText w:val=""/>
      <w:lvlJc w:val="left"/>
      <w:pPr>
        <w:tabs>
          <w:tab w:val="num" w:pos="6480"/>
        </w:tabs>
        <w:ind w:left="6480" w:hanging="360"/>
      </w:pPr>
      <w:rPr>
        <w:rFonts w:hint="default" w:ascii="Wingdings" w:hAnsi="Wingdings" w:cs="Wingdings"/>
      </w:rPr>
    </w:lvl>
  </w:abstractNum>
  <w:abstractNum w:abstractNumId="121" w15:restartNumberingAfterBreak="0">
    <w:nsid w:val="3C246B60"/>
    <w:multiLevelType w:val="multilevel"/>
    <w:tmpl w:val="3412E98C"/>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22" w15:restartNumberingAfterBreak="0">
    <w:nsid w:val="3C4A310A"/>
    <w:multiLevelType w:val="multilevel"/>
    <w:tmpl w:val="0F7C6C14"/>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23" w15:restartNumberingAfterBreak="0">
    <w:nsid w:val="3C5E282D"/>
    <w:multiLevelType w:val="multilevel"/>
    <w:tmpl w:val="0B866C68"/>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24" w15:restartNumberingAfterBreak="0">
    <w:nsid w:val="3D0D4C74"/>
    <w:multiLevelType w:val="multilevel"/>
    <w:tmpl w:val="744E4282"/>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125" w15:restartNumberingAfterBreak="0">
    <w:nsid w:val="3D86048A"/>
    <w:multiLevelType w:val="multilevel"/>
    <w:tmpl w:val="98C8C7E2"/>
    <w:lvl w:ilvl="0">
      <w:start w:val="1"/>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pStyle w:val="Puce3INRAE"/>
      <w:lvlText w:val=""/>
      <w:lvlJc w:val="left"/>
      <w:pPr>
        <w:tabs>
          <w:tab w:val="num" w:pos="0"/>
        </w:tabs>
        <w:ind w:left="2160" w:hanging="360"/>
      </w:pPr>
      <w:rPr>
        <w:rFonts w:hint="default" w:ascii="Wingdings" w:hAnsi="Wingdings" w:cs="Wingdings"/>
        <w:color w:val="06A6A3"/>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26" w15:restartNumberingAfterBreak="0">
    <w:nsid w:val="3DD37B42"/>
    <w:multiLevelType w:val="multilevel"/>
    <w:tmpl w:val="D9DEBD24"/>
    <w:lvl w:ilvl="0">
      <w:start w:val="7"/>
      <w:numFmt w:val="decimal"/>
      <w:lvlText w:val="%1."/>
      <w:lvlJc w:val="left"/>
      <w:pPr>
        <w:ind w:left="70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3DF10DB3"/>
    <w:multiLevelType w:val="multilevel"/>
    <w:tmpl w:val="5E82060A"/>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28" w15:restartNumberingAfterBreak="0">
    <w:nsid w:val="3E015DE2"/>
    <w:multiLevelType w:val="multilevel"/>
    <w:tmpl w:val="E64236B6"/>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3E89497B"/>
    <w:multiLevelType w:val="multilevel"/>
    <w:tmpl w:val="924E5EBA"/>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30" w15:restartNumberingAfterBreak="0">
    <w:nsid w:val="3FAA1B95"/>
    <w:multiLevelType w:val="multilevel"/>
    <w:tmpl w:val="AEB62A48"/>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31" w15:restartNumberingAfterBreak="0">
    <w:nsid w:val="42545B84"/>
    <w:multiLevelType w:val="multilevel"/>
    <w:tmpl w:val="6032E8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32" w15:restartNumberingAfterBreak="0">
    <w:nsid w:val="425A3635"/>
    <w:multiLevelType w:val="multilevel"/>
    <w:tmpl w:val="BC1028C2"/>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33" w15:restartNumberingAfterBreak="0">
    <w:nsid w:val="428E0894"/>
    <w:multiLevelType w:val="multilevel"/>
    <w:tmpl w:val="88EEB29E"/>
    <w:lvl w:ilvl="0">
      <w:start w:val="1"/>
      <w:numFmt w:val="bullet"/>
      <w:lvlText w:val=""/>
      <w:lvlJc w:val="left"/>
      <w:pPr>
        <w:tabs>
          <w:tab w:val="num" w:pos="720"/>
        </w:tabs>
        <w:ind w:left="709" w:hanging="360"/>
      </w:pPr>
      <w:rPr>
        <w:rFonts w:hint="default" w:ascii="Symbol" w:hAnsi="Symbol"/>
        <w:sz w:val="20"/>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34" w15:restartNumberingAfterBreak="0">
    <w:nsid w:val="42CB1E1F"/>
    <w:multiLevelType w:val="multilevel"/>
    <w:tmpl w:val="8682AD1A"/>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35" w15:restartNumberingAfterBreak="0">
    <w:nsid w:val="430B2CDD"/>
    <w:multiLevelType w:val="multilevel"/>
    <w:tmpl w:val="BEBA8686"/>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36" w15:restartNumberingAfterBreak="0">
    <w:nsid w:val="43C231F1"/>
    <w:multiLevelType w:val="multilevel"/>
    <w:tmpl w:val="41CA626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37" w15:restartNumberingAfterBreak="0">
    <w:nsid w:val="44C90827"/>
    <w:multiLevelType w:val="multilevel"/>
    <w:tmpl w:val="E04A1C44"/>
    <w:lvl w:ilvl="0">
      <w:start w:val="1"/>
      <w:numFmt w:val="bullet"/>
      <w:lvlText w:val="·"/>
      <w:lvlJc w:val="left"/>
      <w:pPr>
        <w:tabs>
          <w:tab w:val="num" w:pos="0"/>
        </w:tabs>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38" w15:restartNumberingAfterBreak="0">
    <w:nsid w:val="46D94451"/>
    <w:multiLevelType w:val="multilevel"/>
    <w:tmpl w:val="5718940C"/>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39" w15:restartNumberingAfterBreak="0">
    <w:nsid w:val="4857722D"/>
    <w:multiLevelType w:val="multilevel"/>
    <w:tmpl w:val="F7E2632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15:restartNumberingAfterBreak="0">
    <w:nsid w:val="49825147"/>
    <w:multiLevelType w:val="multilevel"/>
    <w:tmpl w:val="C71E7896"/>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141" w15:restartNumberingAfterBreak="0">
    <w:nsid w:val="49934F12"/>
    <w:multiLevelType w:val="multilevel"/>
    <w:tmpl w:val="3A5ADA72"/>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42" w15:restartNumberingAfterBreak="0">
    <w:nsid w:val="49C07CA0"/>
    <w:multiLevelType w:val="multilevel"/>
    <w:tmpl w:val="B2FCED8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43" w15:restartNumberingAfterBreak="0">
    <w:nsid w:val="4AAE4C13"/>
    <w:multiLevelType w:val="multilevel"/>
    <w:tmpl w:val="87C4EA08"/>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44" w15:restartNumberingAfterBreak="0">
    <w:nsid w:val="4D823828"/>
    <w:multiLevelType w:val="multilevel"/>
    <w:tmpl w:val="49C44B4E"/>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45" w15:restartNumberingAfterBreak="0">
    <w:nsid w:val="4EEB53AA"/>
    <w:multiLevelType w:val="multilevel"/>
    <w:tmpl w:val="B7F8166C"/>
    <w:lvl w:ilvl="0">
      <w:start w:val="5"/>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46" w15:restartNumberingAfterBreak="0">
    <w:nsid w:val="4F0A012E"/>
    <w:multiLevelType w:val="multilevel"/>
    <w:tmpl w:val="DD56DFD6"/>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47" w15:restartNumberingAfterBreak="0">
    <w:nsid w:val="4F344B2D"/>
    <w:multiLevelType w:val="multilevel"/>
    <w:tmpl w:val="95AC5A7C"/>
    <w:lvl w:ilvl="0">
      <w:start w:val="1"/>
      <w:numFmt w:val="bullet"/>
      <w:lvlText w:val=""/>
      <w:lvlJc w:val="left"/>
      <w:pPr>
        <w:tabs>
          <w:tab w:val="num" w:pos="0"/>
        </w:tabs>
        <w:ind w:left="720" w:hanging="360"/>
      </w:pPr>
      <w:rPr>
        <w:rFonts w:hint="default" w:ascii="Symbol" w:hAnsi="Symbol" w:cs="Symbol"/>
        <w:color w:val="03A3A6"/>
        <w:u w:val="none"/>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48" w15:restartNumberingAfterBreak="0">
    <w:nsid w:val="502A1932"/>
    <w:multiLevelType w:val="multilevel"/>
    <w:tmpl w:val="6D50F20C"/>
    <w:lvl w:ilvl="0">
      <w:start w:val="1"/>
      <w:numFmt w:val="bullet"/>
      <w:lvlText w:val=""/>
      <w:lvlJc w:val="left"/>
      <w:pPr>
        <w:ind w:left="720" w:hanging="360"/>
      </w:pPr>
      <w:rPr>
        <w:rFonts w:hint="default" w:ascii="Symbol" w:hAnsi="Symbol" w:eastAsia="Symbol" w:cs="Symbol"/>
      </w:rPr>
    </w:lvl>
    <w:lvl w:ilvl="1">
      <w:start w:val="1"/>
      <w:numFmt w:val="bullet"/>
      <w:lvlText w:val=""/>
      <w:lvlJc w:val="left"/>
      <w:pPr>
        <w:ind w:left="1440" w:hanging="360"/>
      </w:pPr>
      <w:rPr>
        <w:rFonts w:hint="default" w:ascii="Wingdings" w:hAnsi="Wingdings" w:eastAsia="Wingdings" w:cs="Wingdings"/>
      </w:rPr>
    </w:lvl>
    <w:lvl w:ilvl="2">
      <w:start w:val="1"/>
      <w:numFmt w:val="bullet"/>
      <w:lvlText w:val="-"/>
      <w:lvlJc w:val="left"/>
      <w:pPr>
        <w:ind w:left="2160" w:hanging="360"/>
      </w:pPr>
      <w:rPr>
        <w:rFonts w:hint="default" w:ascii="Symbol" w:hAnsi="Symbol" w:eastAsia="Symbol" w:cs="Symbol"/>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49" w15:restartNumberingAfterBreak="0">
    <w:nsid w:val="50F33A93"/>
    <w:multiLevelType w:val="multilevel"/>
    <w:tmpl w:val="CB6C9038"/>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150" w15:restartNumberingAfterBreak="0">
    <w:nsid w:val="517379A6"/>
    <w:multiLevelType w:val="multilevel"/>
    <w:tmpl w:val="54ACD62C"/>
    <w:lvl w:ilvl="0">
      <w:start w:val="2"/>
      <w:numFmt w:val="bullet"/>
      <w:lvlText w:val=""/>
      <w:lvlJc w:val="left"/>
      <w:pPr>
        <w:tabs>
          <w:tab w:val="num" w:pos="0"/>
        </w:tabs>
        <w:ind w:left="720" w:hanging="360"/>
      </w:pPr>
      <w:rPr>
        <w:rFonts w:hint="default" w:ascii="Symbol" w:hAnsi="Symbol" w:cs="Symbol"/>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51" w15:restartNumberingAfterBreak="0">
    <w:nsid w:val="51A26CDF"/>
    <w:multiLevelType w:val="multilevel"/>
    <w:tmpl w:val="F13AECC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52" w15:restartNumberingAfterBreak="0">
    <w:nsid w:val="51E6225E"/>
    <w:multiLevelType w:val="multilevel"/>
    <w:tmpl w:val="3BC43564"/>
    <w:lvl w:ilvl="0">
      <w:start w:val="1"/>
      <w:numFmt w:val="bullet"/>
      <w:lvlText w:val=""/>
      <w:lvlJc w:val="left"/>
      <w:pPr>
        <w:tabs>
          <w:tab w:val="num" w:pos="720"/>
        </w:tabs>
        <w:ind w:left="709" w:hanging="360"/>
      </w:pPr>
      <w:rPr>
        <w:rFonts w:hint="default" w:ascii="Symbol" w:hAnsi="Symbol"/>
        <w:sz w:val="20"/>
      </w:rPr>
    </w:lvl>
    <w:lvl w:ilvl="1">
      <w:start w:val="1"/>
      <w:numFmt w:val="bullet"/>
      <w:lvlText w:val="o"/>
      <w:lvlJc w:val="left"/>
      <w:pPr>
        <w:tabs>
          <w:tab w:val="num" w:pos="1440"/>
        </w:tabs>
        <w:ind w:left="1429" w:hanging="360"/>
      </w:pPr>
      <w:rPr>
        <w:rFonts w:hint="default" w:ascii="Courier New" w:hAnsi="Courier New"/>
        <w:sz w:val="20"/>
      </w:rPr>
    </w:lvl>
    <w:lvl w:ilvl="2">
      <w:start w:val="1"/>
      <w:numFmt w:val="bullet"/>
      <w:lvlText w:val=""/>
      <w:lvlJc w:val="left"/>
      <w:pPr>
        <w:tabs>
          <w:tab w:val="num" w:pos="2160"/>
        </w:tabs>
        <w:ind w:left="2149" w:hanging="360"/>
      </w:pPr>
      <w:rPr>
        <w:rFonts w:hint="default" w:ascii="Wingdings" w:hAnsi="Wingdings"/>
        <w:sz w:val="20"/>
      </w:rPr>
    </w:lvl>
    <w:lvl w:ilvl="3">
      <w:start w:val="1"/>
      <w:numFmt w:val="bullet"/>
      <w:lvlText w:val=""/>
      <w:lvlJc w:val="left"/>
      <w:pPr>
        <w:tabs>
          <w:tab w:val="num" w:pos="2880"/>
        </w:tabs>
        <w:ind w:left="2869" w:hanging="360"/>
      </w:pPr>
      <w:rPr>
        <w:rFonts w:hint="default" w:ascii="Wingdings" w:hAnsi="Wingdings"/>
        <w:sz w:val="20"/>
      </w:rPr>
    </w:lvl>
    <w:lvl w:ilvl="4">
      <w:start w:val="1"/>
      <w:numFmt w:val="bullet"/>
      <w:lvlText w:val=""/>
      <w:lvlJc w:val="left"/>
      <w:pPr>
        <w:tabs>
          <w:tab w:val="num" w:pos="3600"/>
        </w:tabs>
        <w:ind w:left="3589" w:hanging="360"/>
      </w:pPr>
      <w:rPr>
        <w:rFonts w:hint="default" w:ascii="Wingdings" w:hAnsi="Wingdings"/>
        <w:sz w:val="20"/>
      </w:rPr>
    </w:lvl>
    <w:lvl w:ilvl="5">
      <w:start w:val="1"/>
      <w:numFmt w:val="bullet"/>
      <w:lvlText w:val=""/>
      <w:lvlJc w:val="left"/>
      <w:pPr>
        <w:tabs>
          <w:tab w:val="num" w:pos="4320"/>
        </w:tabs>
        <w:ind w:left="4309" w:hanging="360"/>
      </w:pPr>
      <w:rPr>
        <w:rFonts w:hint="default" w:ascii="Wingdings" w:hAnsi="Wingdings"/>
        <w:sz w:val="20"/>
      </w:rPr>
    </w:lvl>
    <w:lvl w:ilvl="6">
      <w:start w:val="1"/>
      <w:numFmt w:val="bullet"/>
      <w:lvlText w:val=""/>
      <w:lvlJc w:val="left"/>
      <w:pPr>
        <w:tabs>
          <w:tab w:val="num" w:pos="5040"/>
        </w:tabs>
        <w:ind w:left="5029" w:hanging="360"/>
      </w:pPr>
      <w:rPr>
        <w:rFonts w:hint="default" w:ascii="Wingdings" w:hAnsi="Wingdings"/>
        <w:sz w:val="20"/>
      </w:rPr>
    </w:lvl>
    <w:lvl w:ilvl="7">
      <w:start w:val="1"/>
      <w:numFmt w:val="bullet"/>
      <w:lvlText w:val=""/>
      <w:lvlJc w:val="left"/>
      <w:pPr>
        <w:tabs>
          <w:tab w:val="num" w:pos="5760"/>
        </w:tabs>
        <w:ind w:left="5749" w:hanging="360"/>
      </w:pPr>
      <w:rPr>
        <w:rFonts w:hint="default" w:ascii="Wingdings" w:hAnsi="Wingdings"/>
        <w:sz w:val="20"/>
      </w:rPr>
    </w:lvl>
    <w:lvl w:ilvl="8">
      <w:start w:val="1"/>
      <w:numFmt w:val="bullet"/>
      <w:lvlText w:val=""/>
      <w:lvlJc w:val="left"/>
      <w:pPr>
        <w:tabs>
          <w:tab w:val="num" w:pos="6480"/>
        </w:tabs>
        <w:ind w:left="6469" w:hanging="360"/>
      </w:pPr>
      <w:rPr>
        <w:rFonts w:hint="default" w:ascii="Wingdings" w:hAnsi="Wingdings"/>
        <w:sz w:val="20"/>
      </w:rPr>
    </w:lvl>
  </w:abstractNum>
  <w:abstractNum w:abstractNumId="153" w15:restartNumberingAfterBreak="0">
    <w:nsid w:val="52055B13"/>
    <w:multiLevelType w:val="multilevel"/>
    <w:tmpl w:val="867A92B8"/>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54" w15:restartNumberingAfterBreak="0">
    <w:nsid w:val="524E4B50"/>
    <w:multiLevelType w:val="multilevel"/>
    <w:tmpl w:val="03FC2912"/>
    <w:lvl w:ilvl="0">
      <w:start w:val="1"/>
      <w:numFmt w:val="bullet"/>
      <w:lvlText w:val=""/>
      <w:lvlJc w:val="left"/>
      <w:pPr>
        <w:tabs>
          <w:tab w:val="num" w:pos="0"/>
        </w:tabs>
        <w:ind w:left="720" w:hanging="360"/>
      </w:pPr>
      <w:rPr>
        <w:rFonts w:hint="default" w:ascii="Symbol" w:hAnsi="Symbol" w:cs="Symbol"/>
        <w:color w:val="03A3A6"/>
      </w:rPr>
    </w:lvl>
    <w:lvl w:ilvl="1">
      <w:start w:val="1"/>
      <w:numFmt w:val="bullet"/>
      <w:lvlText w:val=""/>
      <w:lvlJc w:val="left"/>
      <w:pPr>
        <w:tabs>
          <w:tab w:val="num" w:pos="0"/>
        </w:tabs>
        <w:ind w:left="1440" w:hanging="360"/>
      </w:pPr>
      <w:rPr>
        <w:rFonts w:hint="default" w:ascii="Wingdings" w:hAnsi="Wingdings" w:cs="Wingdings"/>
        <w:color w:val="6C9E00" w:themeColor="accent2" w:themeShade="BF"/>
      </w:rPr>
    </w:lvl>
    <w:lvl w:ilvl="2">
      <w:numFmt w:val="bullet"/>
      <w:lvlText w:val="-"/>
      <w:lvlJc w:val="left"/>
      <w:pPr>
        <w:tabs>
          <w:tab w:val="num" w:pos="0"/>
        </w:tabs>
        <w:ind w:left="2160" w:hanging="360"/>
      </w:pPr>
      <w:rPr>
        <w:rFonts w:hint="default" w:ascii="Arial" w:hAnsi="Arial" w:cs="Arial"/>
        <w:color w:val="6C9E00" w:themeColor="accent2" w:themeShade="BF"/>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55" w15:restartNumberingAfterBreak="0">
    <w:nsid w:val="527E73F7"/>
    <w:multiLevelType w:val="multilevel"/>
    <w:tmpl w:val="43D6E636"/>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56" w15:restartNumberingAfterBreak="0">
    <w:nsid w:val="52BD7605"/>
    <w:multiLevelType w:val="multilevel"/>
    <w:tmpl w:val="F80CA98A"/>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157" w15:restartNumberingAfterBreak="0">
    <w:nsid w:val="52C10567"/>
    <w:multiLevelType w:val="multilevel"/>
    <w:tmpl w:val="DF7E64EA"/>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158" w15:restartNumberingAfterBreak="0">
    <w:nsid w:val="530114A8"/>
    <w:multiLevelType w:val="multilevel"/>
    <w:tmpl w:val="4D74BAC0"/>
    <w:lvl w:ilvl="0">
      <w:start w:val="1"/>
      <w:numFmt w:val="bullet"/>
      <w:lvlText w:val=""/>
      <w:lvlJc w:val="left"/>
      <w:pPr>
        <w:tabs>
          <w:tab w:val="num" w:pos="720"/>
        </w:tabs>
        <w:ind w:left="709" w:hanging="360"/>
      </w:pPr>
      <w:rPr>
        <w:rFonts w:hint="default" w:ascii="Symbol" w:hAnsi="Symbol"/>
        <w:sz w:val="20"/>
      </w:rPr>
    </w:lvl>
    <w:lvl w:ilvl="1">
      <w:start w:val="1"/>
      <w:numFmt w:val="bullet"/>
      <w:lvlText w:val="o"/>
      <w:lvlJc w:val="left"/>
      <w:pPr>
        <w:tabs>
          <w:tab w:val="num" w:pos="1440"/>
        </w:tabs>
        <w:ind w:left="1429" w:hanging="360"/>
      </w:pPr>
      <w:rPr>
        <w:rFonts w:hint="default" w:ascii="Courier New" w:hAnsi="Courier New"/>
        <w:sz w:val="20"/>
      </w:rPr>
    </w:lvl>
    <w:lvl w:ilvl="2">
      <w:start w:val="1"/>
      <w:numFmt w:val="bullet"/>
      <w:lvlText w:val=""/>
      <w:lvlJc w:val="left"/>
      <w:pPr>
        <w:tabs>
          <w:tab w:val="num" w:pos="2160"/>
        </w:tabs>
        <w:ind w:left="2149" w:hanging="360"/>
      </w:pPr>
      <w:rPr>
        <w:rFonts w:hint="default" w:ascii="Wingdings" w:hAnsi="Wingdings"/>
        <w:sz w:val="20"/>
      </w:rPr>
    </w:lvl>
    <w:lvl w:ilvl="3">
      <w:start w:val="1"/>
      <w:numFmt w:val="bullet"/>
      <w:lvlText w:val=""/>
      <w:lvlJc w:val="left"/>
      <w:pPr>
        <w:tabs>
          <w:tab w:val="num" w:pos="2880"/>
        </w:tabs>
        <w:ind w:left="2869" w:hanging="360"/>
      </w:pPr>
      <w:rPr>
        <w:rFonts w:hint="default" w:ascii="Wingdings" w:hAnsi="Wingdings"/>
        <w:sz w:val="20"/>
      </w:rPr>
    </w:lvl>
    <w:lvl w:ilvl="4">
      <w:start w:val="1"/>
      <w:numFmt w:val="bullet"/>
      <w:lvlText w:val=""/>
      <w:lvlJc w:val="left"/>
      <w:pPr>
        <w:tabs>
          <w:tab w:val="num" w:pos="3600"/>
        </w:tabs>
        <w:ind w:left="3589" w:hanging="360"/>
      </w:pPr>
      <w:rPr>
        <w:rFonts w:hint="default" w:ascii="Wingdings" w:hAnsi="Wingdings"/>
        <w:sz w:val="20"/>
      </w:rPr>
    </w:lvl>
    <w:lvl w:ilvl="5">
      <w:start w:val="1"/>
      <w:numFmt w:val="bullet"/>
      <w:lvlText w:val=""/>
      <w:lvlJc w:val="left"/>
      <w:pPr>
        <w:tabs>
          <w:tab w:val="num" w:pos="4320"/>
        </w:tabs>
        <w:ind w:left="4309" w:hanging="360"/>
      </w:pPr>
      <w:rPr>
        <w:rFonts w:hint="default" w:ascii="Wingdings" w:hAnsi="Wingdings"/>
        <w:sz w:val="20"/>
      </w:rPr>
    </w:lvl>
    <w:lvl w:ilvl="6">
      <w:start w:val="1"/>
      <w:numFmt w:val="bullet"/>
      <w:lvlText w:val=""/>
      <w:lvlJc w:val="left"/>
      <w:pPr>
        <w:tabs>
          <w:tab w:val="num" w:pos="5040"/>
        </w:tabs>
        <w:ind w:left="5029" w:hanging="360"/>
      </w:pPr>
      <w:rPr>
        <w:rFonts w:hint="default" w:ascii="Wingdings" w:hAnsi="Wingdings"/>
        <w:sz w:val="20"/>
      </w:rPr>
    </w:lvl>
    <w:lvl w:ilvl="7">
      <w:start w:val="1"/>
      <w:numFmt w:val="bullet"/>
      <w:lvlText w:val=""/>
      <w:lvlJc w:val="left"/>
      <w:pPr>
        <w:tabs>
          <w:tab w:val="num" w:pos="5760"/>
        </w:tabs>
        <w:ind w:left="5749" w:hanging="360"/>
      </w:pPr>
      <w:rPr>
        <w:rFonts w:hint="default" w:ascii="Wingdings" w:hAnsi="Wingdings"/>
        <w:sz w:val="20"/>
      </w:rPr>
    </w:lvl>
    <w:lvl w:ilvl="8">
      <w:start w:val="1"/>
      <w:numFmt w:val="bullet"/>
      <w:lvlText w:val=""/>
      <w:lvlJc w:val="left"/>
      <w:pPr>
        <w:tabs>
          <w:tab w:val="num" w:pos="6480"/>
        </w:tabs>
        <w:ind w:left="6469" w:hanging="360"/>
      </w:pPr>
      <w:rPr>
        <w:rFonts w:hint="default" w:ascii="Wingdings" w:hAnsi="Wingdings"/>
        <w:sz w:val="20"/>
      </w:rPr>
    </w:lvl>
  </w:abstractNum>
  <w:abstractNum w:abstractNumId="159" w15:restartNumberingAfterBreak="0">
    <w:nsid w:val="53314208"/>
    <w:multiLevelType w:val="multilevel"/>
    <w:tmpl w:val="F91429A8"/>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60" w15:restartNumberingAfterBreak="0">
    <w:nsid w:val="535C2944"/>
    <w:multiLevelType w:val="multilevel"/>
    <w:tmpl w:val="A68CF372"/>
    <w:lvl w:ilvl="0">
      <w:start w:val="1"/>
      <w:numFmt w:val="bullet"/>
      <w:lvlText w:val=""/>
      <w:lvlJc w:val="left"/>
      <w:pPr>
        <w:tabs>
          <w:tab w:val="num" w:pos="720"/>
        </w:tabs>
        <w:ind w:left="720" w:hanging="360"/>
      </w:pPr>
      <w:rPr>
        <w:rFonts w:hint="default" w:ascii="Symbol" w:hAnsi="Symbol" w:cs="Symbol"/>
      </w:rPr>
    </w:lvl>
    <w:lvl w:ilvl="1">
      <w:start w:val="1"/>
      <w:numFmt w:val="bullet"/>
      <w:lvlText w:val="◦"/>
      <w:lvlJc w:val="left"/>
      <w:pPr>
        <w:tabs>
          <w:tab w:val="num" w:pos="1080"/>
        </w:tabs>
        <w:ind w:left="1080" w:hanging="360"/>
      </w:pPr>
      <w:rPr>
        <w:rFonts w:hint="default" w:ascii="OpenSymbol" w:hAnsi="OpenSymbol" w:cs="OpenSymbol"/>
      </w:rPr>
    </w:lvl>
    <w:lvl w:ilvl="2">
      <w:start w:val="1"/>
      <w:numFmt w:val="bullet"/>
      <w:lvlText w:val="▪"/>
      <w:lvlJc w:val="left"/>
      <w:pPr>
        <w:tabs>
          <w:tab w:val="num" w:pos="1440"/>
        </w:tabs>
        <w:ind w:left="1440" w:hanging="360"/>
      </w:pPr>
      <w:rPr>
        <w:rFonts w:hint="default" w:ascii="OpenSymbol" w:hAnsi="OpenSymbol" w:cs="OpenSymbol"/>
      </w:rPr>
    </w:lvl>
    <w:lvl w:ilvl="3">
      <w:start w:val="1"/>
      <w:numFmt w:val="bullet"/>
      <w:lvlText w:val=""/>
      <w:lvlJc w:val="left"/>
      <w:pPr>
        <w:tabs>
          <w:tab w:val="num" w:pos="1800"/>
        </w:tabs>
        <w:ind w:left="1800" w:hanging="360"/>
      </w:pPr>
      <w:rPr>
        <w:rFonts w:hint="default" w:ascii="Symbol" w:hAnsi="Symbol" w:cs="Symbol"/>
      </w:rPr>
    </w:lvl>
    <w:lvl w:ilvl="4">
      <w:start w:val="1"/>
      <w:numFmt w:val="bullet"/>
      <w:lvlText w:val="◦"/>
      <w:lvlJc w:val="left"/>
      <w:pPr>
        <w:tabs>
          <w:tab w:val="num" w:pos="2160"/>
        </w:tabs>
        <w:ind w:left="2160" w:hanging="360"/>
      </w:pPr>
      <w:rPr>
        <w:rFonts w:hint="default" w:ascii="OpenSymbol" w:hAnsi="OpenSymbol" w:cs="OpenSymbol"/>
      </w:rPr>
    </w:lvl>
    <w:lvl w:ilvl="5">
      <w:start w:val="1"/>
      <w:numFmt w:val="bullet"/>
      <w:lvlText w:val="▪"/>
      <w:lvlJc w:val="left"/>
      <w:pPr>
        <w:tabs>
          <w:tab w:val="num" w:pos="2520"/>
        </w:tabs>
        <w:ind w:left="2520" w:hanging="360"/>
      </w:pPr>
      <w:rPr>
        <w:rFonts w:hint="default" w:ascii="OpenSymbol" w:hAnsi="OpenSymbol" w:cs="OpenSymbol"/>
      </w:rPr>
    </w:lvl>
    <w:lvl w:ilvl="6">
      <w:start w:val="1"/>
      <w:numFmt w:val="bullet"/>
      <w:lvlText w:val=""/>
      <w:lvlJc w:val="left"/>
      <w:pPr>
        <w:tabs>
          <w:tab w:val="num" w:pos="2880"/>
        </w:tabs>
        <w:ind w:left="2880" w:hanging="360"/>
      </w:pPr>
      <w:rPr>
        <w:rFonts w:hint="default" w:ascii="Symbol" w:hAnsi="Symbol" w:cs="Symbol"/>
      </w:rPr>
    </w:lvl>
    <w:lvl w:ilvl="7">
      <w:start w:val="1"/>
      <w:numFmt w:val="bullet"/>
      <w:lvlText w:val="◦"/>
      <w:lvlJc w:val="left"/>
      <w:pPr>
        <w:tabs>
          <w:tab w:val="num" w:pos="3240"/>
        </w:tabs>
        <w:ind w:left="3240" w:hanging="360"/>
      </w:pPr>
      <w:rPr>
        <w:rFonts w:hint="default" w:ascii="OpenSymbol" w:hAnsi="OpenSymbol" w:cs="OpenSymbol"/>
      </w:rPr>
    </w:lvl>
    <w:lvl w:ilvl="8">
      <w:start w:val="1"/>
      <w:numFmt w:val="bullet"/>
      <w:lvlText w:val="▪"/>
      <w:lvlJc w:val="left"/>
      <w:pPr>
        <w:tabs>
          <w:tab w:val="num" w:pos="3600"/>
        </w:tabs>
        <w:ind w:left="3600" w:hanging="360"/>
      </w:pPr>
      <w:rPr>
        <w:rFonts w:hint="default" w:ascii="OpenSymbol" w:hAnsi="OpenSymbol" w:cs="OpenSymbol"/>
      </w:rPr>
    </w:lvl>
  </w:abstractNum>
  <w:abstractNum w:abstractNumId="161" w15:restartNumberingAfterBreak="0">
    <w:nsid w:val="53756748"/>
    <w:multiLevelType w:val="multilevel"/>
    <w:tmpl w:val="0884FD2C"/>
    <w:lvl w:ilvl="0">
      <w:start w:val="1"/>
      <w:numFmt w:val="bullet"/>
      <w:lvlText w:val="·"/>
      <w:lvlJc w:val="left"/>
      <w:pPr>
        <w:ind w:left="709" w:hanging="360"/>
      </w:pPr>
      <w:rPr>
        <w:rFonts w:hint="default" w:ascii="Symbol" w:hAnsi="Symbol" w:eastAsia="Symbol" w:cs="Symbol"/>
        <w:color w:val="000000"/>
        <w:sz w:val="24"/>
      </w:rPr>
    </w:lvl>
    <w:lvl w:ilvl="1">
      <w:start w:val="1"/>
      <w:numFmt w:val="bullet"/>
      <w:lvlText w:val="·"/>
      <w:lvlJc w:val="left"/>
      <w:pPr>
        <w:ind w:left="1429" w:hanging="360"/>
      </w:pPr>
      <w:rPr>
        <w:rFonts w:hint="default" w:ascii="Symbol" w:hAnsi="Symbol" w:eastAsia="Symbol" w:cs="Symbol"/>
        <w:color w:val="000000"/>
        <w:sz w:val="24"/>
      </w:rPr>
    </w:lvl>
    <w:lvl w:ilvl="2">
      <w:start w:val="1"/>
      <w:numFmt w:val="bullet"/>
      <w:lvlText w:val="·"/>
      <w:lvlJc w:val="left"/>
      <w:pPr>
        <w:ind w:left="2149" w:hanging="360"/>
      </w:pPr>
      <w:rPr>
        <w:rFonts w:hint="default" w:ascii="Symbol" w:hAnsi="Symbol" w:eastAsia="Symbol" w:cs="Symbol"/>
        <w:color w:val="000000"/>
        <w:sz w:val="24"/>
      </w:rPr>
    </w:lvl>
    <w:lvl w:ilvl="3">
      <w:start w:val="1"/>
      <w:numFmt w:val="bullet"/>
      <w:lvlText w:val="·"/>
      <w:lvlJc w:val="left"/>
      <w:pPr>
        <w:ind w:left="2869" w:hanging="360"/>
      </w:pPr>
      <w:rPr>
        <w:rFonts w:hint="default" w:ascii="Symbol" w:hAnsi="Symbol" w:eastAsia="Symbol" w:cs="Symbol"/>
        <w:color w:val="000000"/>
        <w:sz w:val="24"/>
      </w:rPr>
    </w:lvl>
    <w:lvl w:ilvl="4">
      <w:start w:val="1"/>
      <w:numFmt w:val="bullet"/>
      <w:lvlText w:val="·"/>
      <w:lvlJc w:val="left"/>
      <w:pPr>
        <w:ind w:left="3589" w:hanging="360"/>
      </w:pPr>
      <w:rPr>
        <w:rFonts w:hint="default" w:ascii="Symbol" w:hAnsi="Symbol" w:eastAsia="Symbol" w:cs="Symbol"/>
        <w:color w:val="000000"/>
        <w:sz w:val="24"/>
      </w:rPr>
    </w:lvl>
    <w:lvl w:ilvl="5">
      <w:start w:val="1"/>
      <w:numFmt w:val="bullet"/>
      <w:lvlText w:val="·"/>
      <w:lvlJc w:val="left"/>
      <w:pPr>
        <w:ind w:left="4309" w:hanging="360"/>
      </w:pPr>
      <w:rPr>
        <w:rFonts w:hint="default" w:ascii="Symbol" w:hAnsi="Symbol" w:eastAsia="Symbol" w:cs="Symbol"/>
        <w:color w:val="000000"/>
        <w:sz w:val="24"/>
      </w:rPr>
    </w:lvl>
    <w:lvl w:ilvl="6">
      <w:start w:val="1"/>
      <w:numFmt w:val="bullet"/>
      <w:lvlText w:val="·"/>
      <w:lvlJc w:val="left"/>
      <w:pPr>
        <w:ind w:left="5029" w:hanging="360"/>
      </w:pPr>
      <w:rPr>
        <w:rFonts w:hint="default" w:ascii="Symbol" w:hAnsi="Symbol" w:eastAsia="Symbol" w:cs="Symbol"/>
        <w:color w:val="000000"/>
        <w:sz w:val="24"/>
      </w:rPr>
    </w:lvl>
    <w:lvl w:ilvl="7">
      <w:start w:val="1"/>
      <w:numFmt w:val="bullet"/>
      <w:lvlText w:val="·"/>
      <w:lvlJc w:val="left"/>
      <w:pPr>
        <w:ind w:left="5749" w:hanging="360"/>
      </w:pPr>
      <w:rPr>
        <w:rFonts w:hint="default" w:ascii="Symbol" w:hAnsi="Symbol" w:eastAsia="Symbol" w:cs="Symbol"/>
        <w:color w:val="000000"/>
        <w:sz w:val="24"/>
      </w:rPr>
    </w:lvl>
    <w:lvl w:ilvl="8">
      <w:start w:val="1"/>
      <w:numFmt w:val="bullet"/>
      <w:lvlText w:val="·"/>
      <w:lvlJc w:val="left"/>
      <w:pPr>
        <w:ind w:left="6469" w:hanging="360"/>
      </w:pPr>
      <w:rPr>
        <w:rFonts w:hint="default" w:ascii="Symbol" w:hAnsi="Symbol" w:eastAsia="Symbol" w:cs="Symbol"/>
        <w:color w:val="000000"/>
        <w:sz w:val="24"/>
      </w:rPr>
    </w:lvl>
  </w:abstractNum>
  <w:abstractNum w:abstractNumId="162" w15:restartNumberingAfterBreak="0">
    <w:nsid w:val="5456369C"/>
    <w:multiLevelType w:val="multilevel"/>
    <w:tmpl w:val="90EE873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63" w15:restartNumberingAfterBreak="0">
    <w:nsid w:val="54712B56"/>
    <w:multiLevelType w:val="multilevel"/>
    <w:tmpl w:val="A04271D4"/>
    <w:lvl w:ilvl="0">
      <w:start w:val="8"/>
      <w:numFmt w:val="decimal"/>
      <w:lvlText w:val="%1."/>
      <w:lvlJc w:val="right"/>
      <w:pPr>
        <w:ind w:left="709" w:hanging="432"/>
      </w:pPr>
    </w:lvl>
    <w:lvl w:ilvl="1">
      <w:start w:val="1"/>
      <w:numFmt w:val="decimal"/>
      <w:pStyle w:val="Titre21"/>
      <w:lvlText w:val="%1.%2."/>
      <w:lvlJc w:val="left"/>
      <w:pPr>
        <w:ind w:left="853" w:hanging="576"/>
      </w:pPr>
    </w:lvl>
    <w:lvl w:ilvl="2">
      <w:start w:val="1"/>
      <w:numFmt w:val="decimal"/>
      <w:pStyle w:val="Titre31"/>
      <w:lvlText w:val="%1.%2.%3."/>
      <w:lvlJc w:val="left"/>
      <w:pPr>
        <w:ind w:left="997" w:hanging="720"/>
      </w:pPr>
    </w:lvl>
    <w:lvl w:ilvl="3">
      <w:start w:val="1"/>
      <w:numFmt w:val="decimal"/>
      <w:pStyle w:val="Titre41"/>
      <w:lvlText w:val="%1.%2.%3.%4."/>
      <w:lvlJc w:val="left"/>
      <w:pPr>
        <w:ind w:left="1141" w:hanging="864"/>
      </w:pPr>
    </w:lvl>
    <w:lvl w:ilvl="4">
      <w:start w:val="1"/>
      <w:numFmt w:val="decimal"/>
      <w:lvlText w:val="%1.%2.%3.%4.%5."/>
      <w:lvlJc w:val="left"/>
      <w:pPr>
        <w:ind w:left="1285" w:hanging="1008"/>
      </w:pPr>
    </w:lvl>
    <w:lvl w:ilvl="5">
      <w:start w:val="1"/>
      <w:numFmt w:val="decimal"/>
      <w:lvlText w:val="%1.%2.%3.%4.%5.%6."/>
      <w:lvlJc w:val="left"/>
      <w:pPr>
        <w:ind w:left="1429" w:hanging="1152"/>
      </w:pPr>
    </w:lvl>
    <w:lvl w:ilvl="6">
      <w:start w:val="1"/>
      <w:numFmt w:val="decimal"/>
      <w:lvlText w:val="%1.%2.%3.%4.%5.%6.%7."/>
      <w:lvlJc w:val="left"/>
      <w:pPr>
        <w:ind w:left="1573" w:hanging="1296"/>
      </w:pPr>
    </w:lvl>
    <w:lvl w:ilvl="7">
      <w:start w:val="1"/>
      <w:numFmt w:val="decimal"/>
      <w:lvlText w:val="%1.%2.%3.%4.%5.%6.%7.%8."/>
      <w:lvlJc w:val="left"/>
      <w:pPr>
        <w:ind w:left="1717" w:hanging="1440"/>
      </w:pPr>
    </w:lvl>
    <w:lvl w:ilvl="8">
      <w:start w:val="1"/>
      <w:numFmt w:val="decimal"/>
      <w:lvlText w:val="%1.%2.%3.%4.%5.%6.%7.%8.%9."/>
      <w:lvlJc w:val="left"/>
      <w:pPr>
        <w:ind w:left="1861" w:hanging="1584"/>
      </w:pPr>
    </w:lvl>
  </w:abstractNum>
  <w:abstractNum w:abstractNumId="164" w15:restartNumberingAfterBreak="0">
    <w:nsid w:val="549E7F1B"/>
    <w:multiLevelType w:val="multilevel"/>
    <w:tmpl w:val="259AF7EC"/>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65" w15:restartNumberingAfterBreak="0">
    <w:nsid w:val="5528310A"/>
    <w:multiLevelType w:val="multilevel"/>
    <w:tmpl w:val="26EA56B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66" w15:restartNumberingAfterBreak="0">
    <w:nsid w:val="55BE1C4F"/>
    <w:multiLevelType w:val="multilevel"/>
    <w:tmpl w:val="77AC8352"/>
    <w:lvl w:ilvl="0">
      <w:start w:val="1"/>
      <w:numFmt w:val="bullet"/>
      <w:lvlText w:val=""/>
      <w:lvlJc w:val="left"/>
      <w:pPr>
        <w:tabs>
          <w:tab w:val="num" w:pos="720"/>
        </w:tabs>
        <w:ind w:left="709" w:hanging="360"/>
      </w:pPr>
      <w:rPr>
        <w:rFonts w:hint="default" w:ascii="Symbol" w:hAnsi="Symbol"/>
        <w:sz w:val="20"/>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67" w15:restartNumberingAfterBreak="0">
    <w:nsid w:val="55D16DCC"/>
    <w:multiLevelType w:val="multilevel"/>
    <w:tmpl w:val="EF60BCA6"/>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68" w15:restartNumberingAfterBreak="0">
    <w:nsid w:val="564B3EC8"/>
    <w:multiLevelType w:val="multilevel"/>
    <w:tmpl w:val="64941158"/>
    <w:lvl w:ilvl="0">
      <w:start w:val="1"/>
      <w:numFmt w:val="bullet"/>
      <w:pStyle w:val="Listepuces4"/>
      <w:lvlText w:val=""/>
      <w:lvlJc w:val="left"/>
      <w:pPr>
        <w:tabs>
          <w:tab w:val="num" w:pos="1209"/>
        </w:tabs>
        <w:ind w:left="1209" w:hanging="360"/>
      </w:pPr>
      <w:rPr>
        <w:rFonts w:hint="default" w:ascii="Symbol" w:hAnsi="Symbol"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9" w15:restartNumberingAfterBreak="0">
    <w:nsid w:val="56831829"/>
    <w:multiLevelType w:val="multilevel"/>
    <w:tmpl w:val="FF3C5716"/>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70" w15:restartNumberingAfterBreak="0">
    <w:nsid w:val="56A1156D"/>
    <w:multiLevelType w:val="multilevel"/>
    <w:tmpl w:val="634A7734"/>
    <w:lvl w:ilvl="0">
      <w:start w:val="1"/>
      <w:numFmt w:val="decimal"/>
      <w:lvlText w:val="%1."/>
      <w:lvlJc w:val="left"/>
      <w:pPr>
        <w:tabs>
          <w:tab w:val="num" w:pos="454"/>
        </w:tabs>
        <w:ind w:left="567" w:hanging="567"/>
      </w:pPr>
    </w:lvl>
    <w:lvl w:ilvl="1">
      <w:start w:val="1"/>
      <w:numFmt w:val="decimal"/>
      <w:lvlText w:val="%1.%2."/>
      <w:lvlJc w:val="left"/>
      <w:pPr>
        <w:tabs>
          <w:tab w:val="num" w:pos="1276"/>
        </w:tabs>
        <w:ind w:left="1276" w:hanging="708"/>
      </w:pPr>
    </w:lvl>
    <w:lvl w:ilvl="2">
      <w:start w:val="1"/>
      <w:numFmt w:val="decimal"/>
      <w:lvlText w:val="%1.%2.%3."/>
      <w:lvlJc w:val="left"/>
      <w:pPr>
        <w:tabs>
          <w:tab w:val="num" w:pos="3119"/>
        </w:tabs>
        <w:ind w:left="3119" w:hanging="1645"/>
      </w:pPr>
      <w:rPr>
        <w:b w:val="0"/>
        <w:color w:val="002776" w:themeColor="accent1"/>
        <w:sz w:val="24"/>
        <w:szCs w:val="24"/>
      </w:rPr>
    </w:lvl>
    <w:lvl w:ilvl="3">
      <w:start w:val="1"/>
      <w:numFmt w:val="decimal"/>
      <w:lvlText w:val="%1.%2.%3.%4."/>
      <w:lvlJc w:val="left"/>
      <w:pPr>
        <w:tabs>
          <w:tab w:val="num" w:pos="3"/>
        </w:tabs>
        <w:ind w:left="2835" w:hanging="708"/>
      </w:pPr>
      <w:rPr>
        <w:rFonts w:ascii="Arial" w:hAnsi="Arial" w:cs="Arial"/>
        <w:b w:val="0"/>
        <w:i w:val="0"/>
      </w:rPr>
    </w:lvl>
    <w:lvl w:ilvl="4">
      <w:start w:val="1"/>
      <w:numFmt w:val="decimal"/>
      <w:lvlText w:val="%1.%2.%3.%4.%5."/>
      <w:lvlJc w:val="left"/>
      <w:pPr>
        <w:tabs>
          <w:tab w:val="num" w:pos="0"/>
        </w:tabs>
        <w:ind w:left="3540" w:hanging="708"/>
      </w:pPr>
    </w:lvl>
    <w:lvl w:ilvl="5">
      <w:start w:val="1"/>
      <w:numFmt w:val="decimal"/>
      <w:lvlText w:val="%1.%2.%3.%4.%5.%6."/>
      <w:lvlJc w:val="left"/>
      <w:pPr>
        <w:tabs>
          <w:tab w:val="num" w:pos="0"/>
        </w:tabs>
        <w:ind w:left="4248" w:hanging="708"/>
      </w:pPr>
    </w:lvl>
    <w:lvl w:ilvl="6">
      <w:start w:val="1"/>
      <w:numFmt w:val="decimal"/>
      <w:pStyle w:val="Titre7"/>
      <w:lvlText w:val="%1.%2.%3.%4.%5.%6.%7."/>
      <w:lvlJc w:val="left"/>
      <w:pPr>
        <w:tabs>
          <w:tab w:val="num" w:pos="0"/>
        </w:tabs>
        <w:ind w:left="4956" w:hanging="708"/>
      </w:pPr>
    </w:lvl>
    <w:lvl w:ilvl="7">
      <w:start w:val="1"/>
      <w:numFmt w:val="decimal"/>
      <w:pStyle w:val="Titre8"/>
      <w:lvlText w:val="%1.%2.%3.%4.%5.%6.%7.%8."/>
      <w:lvlJc w:val="left"/>
      <w:pPr>
        <w:tabs>
          <w:tab w:val="num" w:pos="0"/>
        </w:tabs>
        <w:ind w:left="5664" w:hanging="708"/>
      </w:pPr>
    </w:lvl>
    <w:lvl w:ilvl="8">
      <w:start w:val="1"/>
      <w:numFmt w:val="decimal"/>
      <w:pStyle w:val="Titre9"/>
      <w:lvlText w:val="%1.%2.%3.%4.%5.%6.%7.%8.%9."/>
      <w:lvlJc w:val="left"/>
      <w:pPr>
        <w:tabs>
          <w:tab w:val="num" w:pos="0"/>
        </w:tabs>
        <w:ind w:left="6372" w:hanging="708"/>
      </w:pPr>
    </w:lvl>
  </w:abstractNum>
  <w:abstractNum w:abstractNumId="171" w15:restartNumberingAfterBreak="0">
    <w:nsid w:val="57676603"/>
    <w:multiLevelType w:val="multilevel"/>
    <w:tmpl w:val="9B8E4072"/>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72" w15:restartNumberingAfterBreak="0">
    <w:nsid w:val="57994961"/>
    <w:multiLevelType w:val="multilevel"/>
    <w:tmpl w:val="B9CA2D04"/>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73" w15:restartNumberingAfterBreak="0">
    <w:nsid w:val="59CD0108"/>
    <w:multiLevelType w:val="multilevel"/>
    <w:tmpl w:val="4B78BDF4"/>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29" w:hanging="360"/>
      </w:pPr>
      <w:rPr>
        <w:rFonts w:hint="default" w:ascii="Courier New" w:hAnsi="Courier New" w:eastAsia="Courier New" w:cs="Courier New"/>
      </w:rPr>
    </w:lvl>
    <w:lvl w:ilvl="2">
      <w:start w:val="1"/>
      <w:numFmt w:val="bullet"/>
      <w:lvlText w:val="§"/>
      <w:lvlJc w:val="left"/>
      <w:pPr>
        <w:ind w:left="2149" w:hanging="360"/>
      </w:pPr>
      <w:rPr>
        <w:rFonts w:hint="default" w:ascii="Wingdings" w:hAnsi="Wingdings" w:eastAsia="Wingdings" w:cs="Wingdings"/>
      </w:rPr>
    </w:lvl>
    <w:lvl w:ilvl="3">
      <w:start w:val="1"/>
      <w:numFmt w:val="bullet"/>
      <w:lvlText w:val="·"/>
      <w:lvlJc w:val="left"/>
      <w:pPr>
        <w:ind w:left="2869" w:hanging="360"/>
      </w:pPr>
      <w:rPr>
        <w:rFonts w:hint="default" w:ascii="Symbol" w:hAnsi="Symbol" w:eastAsia="Symbol" w:cs="Symbol"/>
      </w:rPr>
    </w:lvl>
    <w:lvl w:ilvl="4">
      <w:start w:val="1"/>
      <w:numFmt w:val="bullet"/>
      <w:lvlText w:val="o"/>
      <w:lvlJc w:val="left"/>
      <w:pPr>
        <w:ind w:left="3589" w:hanging="360"/>
      </w:pPr>
      <w:rPr>
        <w:rFonts w:hint="default" w:ascii="Courier New" w:hAnsi="Courier New" w:eastAsia="Courier New" w:cs="Courier New"/>
      </w:rPr>
    </w:lvl>
    <w:lvl w:ilvl="5">
      <w:start w:val="1"/>
      <w:numFmt w:val="bullet"/>
      <w:lvlText w:val="§"/>
      <w:lvlJc w:val="left"/>
      <w:pPr>
        <w:ind w:left="4309" w:hanging="360"/>
      </w:pPr>
      <w:rPr>
        <w:rFonts w:hint="default" w:ascii="Wingdings" w:hAnsi="Wingdings" w:eastAsia="Wingdings" w:cs="Wingdings"/>
      </w:rPr>
    </w:lvl>
    <w:lvl w:ilvl="6">
      <w:start w:val="1"/>
      <w:numFmt w:val="bullet"/>
      <w:lvlText w:val="·"/>
      <w:lvlJc w:val="left"/>
      <w:pPr>
        <w:ind w:left="5029" w:hanging="360"/>
      </w:pPr>
      <w:rPr>
        <w:rFonts w:hint="default" w:ascii="Symbol" w:hAnsi="Symbol" w:eastAsia="Symbol" w:cs="Symbol"/>
      </w:rPr>
    </w:lvl>
    <w:lvl w:ilvl="7">
      <w:start w:val="1"/>
      <w:numFmt w:val="bullet"/>
      <w:lvlText w:val="o"/>
      <w:lvlJc w:val="left"/>
      <w:pPr>
        <w:ind w:left="5749" w:hanging="360"/>
      </w:pPr>
      <w:rPr>
        <w:rFonts w:hint="default" w:ascii="Courier New" w:hAnsi="Courier New" w:eastAsia="Courier New" w:cs="Courier New"/>
      </w:rPr>
    </w:lvl>
    <w:lvl w:ilvl="8">
      <w:start w:val="1"/>
      <w:numFmt w:val="bullet"/>
      <w:lvlText w:val="§"/>
      <w:lvlJc w:val="left"/>
      <w:pPr>
        <w:ind w:left="6469" w:hanging="360"/>
      </w:pPr>
      <w:rPr>
        <w:rFonts w:hint="default" w:ascii="Wingdings" w:hAnsi="Wingdings" w:eastAsia="Wingdings" w:cs="Wingdings"/>
      </w:rPr>
    </w:lvl>
  </w:abstractNum>
  <w:abstractNum w:abstractNumId="174" w15:restartNumberingAfterBreak="0">
    <w:nsid w:val="5A05A0C9"/>
    <w:multiLevelType w:val="multilevel"/>
    <w:tmpl w:val="F0F23CBC"/>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29" w:hanging="360"/>
      </w:pPr>
      <w:rPr>
        <w:rFonts w:hint="default" w:ascii="Courier New" w:hAnsi="Courier New" w:eastAsia="Courier New" w:cs="Courier New"/>
      </w:rPr>
    </w:lvl>
    <w:lvl w:ilvl="2">
      <w:start w:val="1"/>
      <w:numFmt w:val="bullet"/>
      <w:lvlText w:val="§"/>
      <w:lvlJc w:val="left"/>
      <w:pPr>
        <w:ind w:left="2149" w:hanging="360"/>
      </w:pPr>
      <w:rPr>
        <w:rFonts w:hint="default" w:ascii="Wingdings" w:hAnsi="Wingdings" w:eastAsia="Wingdings" w:cs="Wingdings"/>
      </w:rPr>
    </w:lvl>
    <w:lvl w:ilvl="3">
      <w:start w:val="1"/>
      <w:numFmt w:val="bullet"/>
      <w:lvlText w:val="·"/>
      <w:lvlJc w:val="left"/>
      <w:pPr>
        <w:ind w:left="2869" w:hanging="360"/>
      </w:pPr>
      <w:rPr>
        <w:rFonts w:hint="default" w:ascii="Symbol" w:hAnsi="Symbol" w:eastAsia="Symbol" w:cs="Symbol"/>
      </w:rPr>
    </w:lvl>
    <w:lvl w:ilvl="4">
      <w:start w:val="1"/>
      <w:numFmt w:val="bullet"/>
      <w:lvlText w:val="o"/>
      <w:lvlJc w:val="left"/>
      <w:pPr>
        <w:ind w:left="3589" w:hanging="360"/>
      </w:pPr>
      <w:rPr>
        <w:rFonts w:hint="default" w:ascii="Courier New" w:hAnsi="Courier New" w:eastAsia="Courier New" w:cs="Courier New"/>
      </w:rPr>
    </w:lvl>
    <w:lvl w:ilvl="5">
      <w:start w:val="1"/>
      <w:numFmt w:val="bullet"/>
      <w:lvlText w:val="§"/>
      <w:lvlJc w:val="left"/>
      <w:pPr>
        <w:ind w:left="4309" w:hanging="360"/>
      </w:pPr>
      <w:rPr>
        <w:rFonts w:hint="default" w:ascii="Wingdings" w:hAnsi="Wingdings" w:eastAsia="Wingdings" w:cs="Wingdings"/>
      </w:rPr>
    </w:lvl>
    <w:lvl w:ilvl="6">
      <w:start w:val="1"/>
      <w:numFmt w:val="bullet"/>
      <w:lvlText w:val="·"/>
      <w:lvlJc w:val="left"/>
      <w:pPr>
        <w:ind w:left="5029" w:hanging="360"/>
      </w:pPr>
      <w:rPr>
        <w:rFonts w:hint="default" w:ascii="Symbol" w:hAnsi="Symbol" w:eastAsia="Symbol" w:cs="Symbol"/>
      </w:rPr>
    </w:lvl>
    <w:lvl w:ilvl="7">
      <w:start w:val="1"/>
      <w:numFmt w:val="bullet"/>
      <w:lvlText w:val="o"/>
      <w:lvlJc w:val="left"/>
      <w:pPr>
        <w:ind w:left="5749" w:hanging="360"/>
      </w:pPr>
      <w:rPr>
        <w:rFonts w:hint="default" w:ascii="Courier New" w:hAnsi="Courier New" w:eastAsia="Courier New" w:cs="Courier New"/>
      </w:rPr>
    </w:lvl>
    <w:lvl w:ilvl="8">
      <w:start w:val="1"/>
      <w:numFmt w:val="bullet"/>
      <w:lvlText w:val="§"/>
      <w:lvlJc w:val="left"/>
      <w:pPr>
        <w:ind w:left="6469" w:hanging="360"/>
      </w:pPr>
      <w:rPr>
        <w:rFonts w:hint="default" w:ascii="Wingdings" w:hAnsi="Wingdings" w:eastAsia="Wingdings" w:cs="Wingdings"/>
      </w:rPr>
    </w:lvl>
  </w:abstractNum>
  <w:abstractNum w:abstractNumId="175" w15:restartNumberingAfterBreak="0">
    <w:nsid w:val="5A9022A0"/>
    <w:multiLevelType w:val="multilevel"/>
    <w:tmpl w:val="2C542138"/>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29" w:hanging="360"/>
      </w:pPr>
      <w:rPr>
        <w:rFonts w:hint="default" w:ascii="Courier New" w:hAnsi="Courier New" w:eastAsia="Courier New" w:cs="Courier New"/>
      </w:rPr>
    </w:lvl>
    <w:lvl w:ilvl="2">
      <w:start w:val="1"/>
      <w:numFmt w:val="bullet"/>
      <w:lvlText w:val="§"/>
      <w:lvlJc w:val="left"/>
      <w:pPr>
        <w:ind w:left="2149" w:hanging="360"/>
      </w:pPr>
      <w:rPr>
        <w:rFonts w:hint="default" w:ascii="Wingdings" w:hAnsi="Wingdings" w:eastAsia="Wingdings" w:cs="Wingdings"/>
      </w:rPr>
    </w:lvl>
    <w:lvl w:ilvl="3">
      <w:start w:val="1"/>
      <w:numFmt w:val="bullet"/>
      <w:lvlText w:val="·"/>
      <w:lvlJc w:val="left"/>
      <w:pPr>
        <w:ind w:left="2869" w:hanging="360"/>
      </w:pPr>
      <w:rPr>
        <w:rFonts w:hint="default" w:ascii="Symbol" w:hAnsi="Symbol" w:eastAsia="Symbol" w:cs="Symbol"/>
      </w:rPr>
    </w:lvl>
    <w:lvl w:ilvl="4">
      <w:start w:val="1"/>
      <w:numFmt w:val="bullet"/>
      <w:lvlText w:val="o"/>
      <w:lvlJc w:val="left"/>
      <w:pPr>
        <w:ind w:left="3589" w:hanging="360"/>
      </w:pPr>
      <w:rPr>
        <w:rFonts w:hint="default" w:ascii="Courier New" w:hAnsi="Courier New" w:eastAsia="Courier New" w:cs="Courier New"/>
      </w:rPr>
    </w:lvl>
    <w:lvl w:ilvl="5">
      <w:start w:val="1"/>
      <w:numFmt w:val="bullet"/>
      <w:lvlText w:val="§"/>
      <w:lvlJc w:val="left"/>
      <w:pPr>
        <w:ind w:left="4309" w:hanging="360"/>
      </w:pPr>
      <w:rPr>
        <w:rFonts w:hint="default" w:ascii="Wingdings" w:hAnsi="Wingdings" w:eastAsia="Wingdings" w:cs="Wingdings"/>
      </w:rPr>
    </w:lvl>
    <w:lvl w:ilvl="6">
      <w:start w:val="1"/>
      <w:numFmt w:val="bullet"/>
      <w:lvlText w:val="·"/>
      <w:lvlJc w:val="left"/>
      <w:pPr>
        <w:ind w:left="5029" w:hanging="360"/>
      </w:pPr>
      <w:rPr>
        <w:rFonts w:hint="default" w:ascii="Symbol" w:hAnsi="Symbol" w:eastAsia="Symbol" w:cs="Symbol"/>
      </w:rPr>
    </w:lvl>
    <w:lvl w:ilvl="7">
      <w:start w:val="1"/>
      <w:numFmt w:val="bullet"/>
      <w:lvlText w:val="o"/>
      <w:lvlJc w:val="left"/>
      <w:pPr>
        <w:ind w:left="5749" w:hanging="360"/>
      </w:pPr>
      <w:rPr>
        <w:rFonts w:hint="default" w:ascii="Courier New" w:hAnsi="Courier New" w:eastAsia="Courier New" w:cs="Courier New"/>
      </w:rPr>
    </w:lvl>
    <w:lvl w:ilvl="8">
      <w:start w:val="1"/>
      <w:numFmt w:val="bullet"/>
      <w:lvlText w:val="§"/>
      <w:lvlJc w:val="left"/>
      <w:pPr>
        <w:ind w:left="6469" w:hanging="360"/>
      </w:pPr>
      <w:rPr>
        <w:rFonts w:hint="default" w:ascii="Wingdings" w:hAnsi="Wingdings" w:eastAsia="Wingdings" w:cs="Wingdings"/>
      </w:rPr>
    </w:lvl>
  </w:abstractNum>
  <w:abstractNum w:abstractNumId="176" w15:restartNumberingAfterBreak="0">
    <w:nsid w:val="5AB059EE"/>
    <w:multiLevelType w:val="multilevel"/>
    <w:tmpl w:val="7BDC2EF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77" w15:restartNumberingAfterBreak="0">
    <w:nsid w:val="5AB75B7E"/>
    <w:multiLevelType w:val="multilevel"/>
    <w:tmpl w:val="88EC2CA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15:restartNumberingAfterBreak="0">
    <w:nsid w:val="5BFA470C"/>
    <w:multiLevelType w:val="multilevel"/>
    <w:tmpl w:val="DB365D0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9" w15:restartNumberingAfterBreak="0">
    <w:nsid w:val="5D2A67AC"/>
    <w:multiLevelType w:val="multilevel"/>
    <w:tmpl w:val="083663D8"/>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80" w15:restartNumberingAfterBreak="0">
    <w:nsid w:val="5E047FCF"/>
    <w:multiLevelType w:val="multilevel"/>
    <w:tmpl w:val="125236F0"/>
    <w:lvl w:ilvl="0">
      <w:start w:val="1"/>
      <w:numFmt w:val="bullet"/>
      <w:lvlText w:val="·"/>
      <w:lvlJc w:val="left"/>
      <w:pPr>
        <w:ind w:left="709" w:hanging="360"/>
      </w:pPr>
      <w:rPr>
        <w:rFonts w:hint="default" w:ascii="Symbol" w:hAnsi="Symbol" w:eastAsia="Symbol" w:cs="Symbol"/>
        <w:color w:val="000000"/>
        <w:sz w:val="24"/>
      </w:rPr>
    </w:lvl>
    <w:lvl w:ilvl="1">
      <w:start w:val="1"/>
      <w:numFmt w:val="bullet"/>
      <w:lvlText w:val="·"/>
      <w:lvlJc w:val="left"/>
      <w:pPr>
        <w:ind w:left="1429" w:hanging="360"/>
      </w:pPr>
      <w:rPr>
        <w:rFonts w:hint="default" w:ascii="Symbol" w:hAnsi="Symbol" w:eastAsia="Symbol" w:cs="Symbol"/>
        <w:color w:val="000000"/>
        <w:sz w:val="24"/>
      </w:rPr>
    </w:lvl>
    <w:lvl w:ilvl="2">
      <w:start w:val="1"/>
      <w:numFmt w:val="bullet"/>
      <w:lvlText w:val="·"/>
      <w:lvlJc w:val="left"/>
      <w:pPr>
        <w:ind w:left="2149" w:hanging="360"/>
      </w:pPr>
      <w:rPr>
        <w:rFonts w:hint="default" w:ascii="Symbol" w:hAnsi="Symbol" w:eastAsia="Symbol" w:cs="Symbol"/>
        <w:color w:val="000000"/>
        <w:sz w:val="24"/>
      </w:rPr>
    </w:lvl>
    <w:lvl w:ilvl="3">
      <w:start w:val="1"/>
      <w:numFmt w:val="bullet"/>
      <w:lvlText w:val="·"/>
      <w:lvlJc w:val="left"/>
      <w:pPr>
        <w:ind w:left="2869" w:hanging="360"/>
      </w:pPr>
      <w:rPr>
        <w:rFonts w:hint="default" w:ascii="Symbol" w:hAnsi="Symbol" w:eastAsia="Symbol" w:cs="Symbol"/>
        <w:color w:val="000000"/>
        <w:sz w:val="24"/>
      </w:rPr>
    </w:lvl>
    <w:lvl w:ilvl="4">
      <w:start w:val="1"/>
      <w:numFmt w:val="bullet"/>
      <w:lvlText w:val="·"/>
      <w:lvlJc w:val="left"/>
      <w:pPr>
        <w:ind w:left="3589" w:hanging="360"/>
      </w:pPr>
      <w:rPr>
        <w:rFonts w:hint="default" w:ascii="Symbol" w:hAnsi="Symbol" w:eastAsia="Symbol" w:cs="Symbol"/>
        <w:color w:val="000000"/>
        <w:sz w:val="24"/>
      </w:rPr>
    </w:lvl>
    <w:lvl w:ilvl="5">
      <w:start w:val="1"/>
      <w:numFmt w:val="bullet"/>
      <w:lvlText w:val="·"/>
      <w:lvlJc w:val="left"/>
      <w:pPr>
        <w:ind w:left="4309" w:hanging="360"/>
      </w:pPr>
      <w:rPr>
        <w:rFonts w:hint="default" w:ascii="Symbol" w:hAnsi="Symbol" w:eastAsia="Symbol" w:cs="Symbol"/>
        <w:color w:val="000000"/>
        <w:sz w:val="24"/>
      </w:rPr>
    </w:lvl>
    <w:lvl w:ilvl="6">
      <w:start w:val="1"/>
      <w:numFmt w:val="bullet"/>
      <w:lvlText w:val="·"/>
      <w:lvlJc w:val="left"/>
      <w:pPr>
        <w:ind w:left="5029" w:hanging="360"/>
      </w:pPr>
      <w:rPr>
        <w:rFonts w:hint="default" w:ascii="Symbol" w:hAnsi="Symbol" w:eastAsia="Symbol" w:cs="Symbol"/>
        <w:color w:val="000000"/>
        <w:sz w:val="24"/>
      </w:rPr>
    </w:lvl>
    <w:lvl w:ilvl="7">
      <w:start w:val="1"/>
      <w:numFmt w:val="bullet"/>
      <w:lvlText w:val="·"/>
      <w:lvlJc w:val="left"/>
      <w:pPr>
        <w:ind w:left="5749" w:hanging="360"/>
      </w:pPr>
      <w:rPr>
        <w:rFonts w:hint="default" w:ascii="Symbol" w:hAnsi="Symbol" w:eastAsia="Symbol" w:cs="Symbol"/>
        <w:color w:val="000000"/>
        <w:sz w:val="24"/>
      </w:rPr>
    </w:lvl>
    <w:lvl w:ilvl="8">
      <w:start w:val="1"/>
      <w:numFmt w:val="bullet"/>
      <w:lvlText w:val="·"/>
      <w:lvlJc w:val="left"/>
      <w:pPr>
        <w:ind w:left="6469" w:hanging="360"/>
      </w:pPr>
      <w:rPr>
        <w:rFonts w:hint="default" w:ascii="Symbol" w:hAnsi="Symbol" w:eastAsia="Symbol" w:cs="Symbol"/>
        <w:color w:val="000000"/>
        <w:sz w:val="24"/>
      </w:rPr>
    </w:lvl>
  </w:abstractNum>
  <w:abstractNum w:abstractNumId="181" w15:restartNumberingAfterBreak="0">
    <w:nsid w:val="5E744EC2"/>
    <w:multiLevelType w:val="multilevel"/>
    <w:tmpl w:val="594E9A50"/>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82" w15:restartNumberingAfterBreak="0">
    <w:nsid w:val="5E7F6AF1"/>
    <w:multiLevelType w:val="multilevel"/>
    <w:tmpl w:val="E990F916"/>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83" w15:restartNumberingAfterBreak="0">
    <w:nsid w:val="5E913DF2"/>
    <w:multiLevelType w:val="multilevel"/>
    <w:tmpl w:val="4D2856E6"/>
    <w:lvl w:ilvl="0">
      <w:start w:val="1"/>
      <w:numFmt w:val="bullet"/>
      <w:lvlText w:val=""/>
      <w:lvlJc w:val="left"/>
      <w:pPr>
        <w:tabs>
          <w:tab w:val="num" w:pos="0"/>
        </w:tabs>
        <w:ind w:left="720" w:hanging="360"/>
      </w:pPr>
      <w:rPr>
        <w:rFonts w:hint="default" w:ascii="Symbol" w:hAnsi="Symbol" w:cs="Symbol"/>
        <w:color w:val="03A3A6"/>
        <w:u w:val="none"/>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84" w15:restartNumberingAfterBreak="0">
    <w:nsid w:val="5F022946"/>
    <w:multiLevelType w:val="multilevel"/>
    <w:tmpl w:val="5254D5C8"/>
    <w:lvl w:ilvl="0">
      <w:start w:val="1"/>
      <w:numFmt w:val="bullet"/>
      <w:lvlText w:val=""/>
      <w:lvlJc w:val="left"/>
      <w:pPr>
        <w:tabs>
          <w:tab w:val="num" w:pos="0"/>
        </w:tabs>
        <w:ind w:left="720" w:hanging="360"/>
      </w:pPr>
      <w:rPr>
        <w:rFonts w:hint="default" w:ascii="Symbol" w:hAnsi="Symbol" w:cs="Symbol"/>
        <w:color w:val="03A3A6"/>
        <w:u w:val="none"/>
      </w:rPr>
    </w:lvl>
    <w:lvl w:ilvl="1">
      <w:start w:val="1"/>
      <w:numFmt w:val="bullet"/>
      <w:lvlText w:val=""/>
      <w:lvlJc w:val="left"/>
      <w:pPr>
        <w:tabs>
          <w:tab w:val="num" w:pos="0"/>
        </w:tabs>
        <w:ind w:left="891" w:hanging="360"/>
      </w:pPr>
      <w:rPr>
        <w:rFonts w:hint="default" w:ascii="Wingdings" w:hAnsi="Wingdings" w:cs="Wingdings"/>
        <w:color w:val="03A3A6"/>
      </w:rPr>
    </w:lvl>
    <w:lvl w:ilvl="2">
      <w:numFmt w:val="bullet"/>
      <w:lvlText w:val="-"/>
      <w:lvlJc w:val="left"/>
      <w:pPr>
        <w:tabs>
          <w:tab w:val="num" w:pos="0"/>
        </w:tabs>
        <w:ind w:left="2160" w:hanging="360"/>
      </w:pPr>
      <w:rPr>
        <w:rFonts w:hint="default" w:ascii="Arial" w:hAnsi="Arial" w:cs="Arial"/>
        <w:color w:val="6C9E00" w:themeColor="accent2" w:themeShade="BF"/>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85" w15:restartNumberingAfterBreak="0">
    <w:nsid w:val="5F2D1DAF"/>
    <w:multiLevelType w:val="multilevel"/>
    <w:tmpl w:val="FA1831C4"/>
    <w:lvl w:ilvl="0">
      <w:start w:val="1"/>
      <w:numFmt w:val="decimal"/>
      <w:pStyle w:val="ExigIHM"/>
      <w:lvlText w:val="{IHM-%1} "/>
      <w:lvlJc w:val="left"/>
      <w:pPr>
        <w:tabs>
          <w:tab w:val="num" w:pos="1080"/>
        </w:tabs>
        <w:ind w:left="360" w:hanging="360"/>
      </w:pPr>
      <w:rPr>
        <w:b/>
        <w:bCs/>
        <w:i w:val="0"/>
        <w:iCs w:val="0"/>
      </w:rPr>
    </w:lvl>
    <w:lvl w:ilvl="1">
      <w:start w:val="1"/>
      <w:numFmt w:val="lowerLetter"/>
      <w:lvlText w:val="%2."/>
      <w:lvlJc w:val="left"/>
      <w:pPr>
        <w:tabs>
          <w:tab w:val="num" w:pos="2008"/>
        </w:tabs>
        <w:ind w:left="2008" w:hanging="360"/>
      </w:pPr>
    </w:lvl>
    <w:lvl w:ilvl="2">
      <w:start w:val="1"/>
      <w:numFmt w:val="lowerRoman"/>
      <w:lvlText w:val="%3."/>
      <w:lvlJc w:val="right"/>
      <w:pPr>
        <w:tabs>
          <w:tab w:val="num" w:pos="2728"/>
        </w:tabs>
        <w:ind w:left="2728" w:hanging="180"/>
      </w:pPr>
    </w:lvl>
    <w:lvl w:ilvl="3">
      <w:start w:val="1"/>
      <w:numFmt w:val="decimal"/>
      <w:lvlText w:val="%4."/>
      <w:lvlJc w:val="left"/>
      <w:pPr>
        <w:tabs>
          <w:tab w:val="num" w:pos="3448"/>
        </w:tabs>
        <w:ind w:left="3448" w:hanging="360"/>
      </w:pPr>
    </w:lvl>
    <w:lvl w:ilvl="4">
      <w:start w:val="1"/>
      <w:numFmt w:val="lowerLetter"/>
      <w:lvlText w:val="%5."/>
      <w:lvlJc w:val="left"/>
      <w:pPr>
        <w:tabs>
          <w:tab w:val="num" w:pos="4168"/>
        </w:tabs>
        <w:ind w:left="4168" w:hanging="360"/>
      </w:pPr>
    </w:lvl>
    <w:lvl w:ilvl="5">
      <w:start w:val="1"/>
      <w:numFmt w:val="lowerRoman"/>
      <w:lvlText w:val="%6."/>
      <w:lvlJc w:val="right"/>
      <w:pPr>
        <w:tabs>
          <w:tab w:val="num" w:pos="4888"/>
        </w:tabs>
        <w:ind w:left="4888" w:hanging="180"/>
      </w:pPr>
    </w:lvl>
    <w:lvl w:ilvl="6">
      <w:start w:val="1"/>
      <w:numFmt w:val="decimal"/>
      <w:lvlText w:val="%7."/>
      <w:lvlJc w:val="left"/>
      <w:pPr>
        <w:tabs>
          <w:tab w:val="num" w:pos="5608"/>
        </w:tabs>
        <w:ind w:left="5608" w:hanging="360"/>
      </w:pPr>
    </w:lvl>
    <w:lvl w:ilvl="7">
      <w:start w:val="1"/>
      <w:numFmt w:val="lowerLetter"/>
      <w:lvlText w:val="%8."/>
      <w:lvlJc w:val="left"/>
      <w:pPr>
        <w:tabs>
          <w:tab w:val="num" w:pos="6328"/>
        </w:tabs>
        <w:ind w:left="6328" w:hanging="360"/>
      </w:pPr>
    </w:lvl>
    <w:lvl w:ilvl="8">
      <w:start w:val="1"/>
      <w:numFmt w:val="lowerRoman"/>
      <w:lvlText w:val="%9."/>
      <w:lvlJc w:val="right"/>
      <w:pPr>
        <w:tabs>
          <w:tab w:val="num" w:pos="7048"/>
        </w:tabs>
        <w:ind w:left="7048" w:hanging="180"/>
      </w:pPr>
    </w:lvl>
  </w:abstractNum>
  <w:abstractNum w:abstractNumId="186" w15:restartNumberingAfterBreak="0">
    <w:nsid w:val="5FAB6899"/>
    <w:multiLevelType w:val="multilevel"/>
    <w:tmpl w:val="0AF4781A"/>
    <w:lvl w:ilvl="0">
      <w:start w:val="1"/>
      <w:numFmt w:val="bullet"/>
      <w:lvlText w:val="·"/>
      <w:lvlJc w:val="left"/>
      <w:pPr>
        <w:ind w:left="709" w:hanging="360"/>
      </w:pPr>
      <w:rPr>
        <w:rFonts w:hint="default" w:ascii="Symbol" w:hAnsi="Symbol" w:eastAsia="Symbol" w:cs="Symbol"/>
        <w:color w:val="000000"/>
        <w:sz w:val="22"/>
      </w:rPr>
    </w:lvl>
    <w:lvl w:ilvl="1">
      <w:start w:val="1"/>
      <w:numFmt w:val="bullet"/>
      <w:lvlText w:val="·"/>
      <w:lvlJc w:val="left"/>
      <w:pPr>
        <w:ind w:left="1429" w:hanging="360"/>
      </w:pPr>
      <w:rPr>
        <w:rFonts w:hint="default" w:ascii="Symbol" w:hAnsi="Symbol" w:eastAsia="Symbol" w:cs="Symbol"/>
        <w:color w:val="000000"/>
        <w:sz w:val="22"/>
      </w:rPr>
    </w:lvl>
    <w:lvl w:ilvl="2">
      <w:start w:val="1"/>
      <w:numFmt w:val="bullet"/>
      <w:lvlText w:val="·"/>
      <w:lvlJc w:val="left"/>
      <w:pPr>
        <w:ind w:left="2149" w:hanging="360"/>
      </w:pPr>
      <w:rPr>
        <w:rFonts w:hint="default" w:ascii="Symbol" w:hAnsi="Symbol" w:eastAsia="Symbol" w:cs="Symbol"/>
        <w:color w:val="000000"/>
        <w:sz w:val="22"/>
      </w:rPr>
    </w:lvl>
    <w:lvl w:ilvl="3">
      <w:start w:val="1"/>
      <w:numFmt w:val="bullet"/>
      <w:lvlText w:val="·"/>
      <w:lvlJc w:val="left"/>
      <w:pPr>
        <w:ind w:left="2869" w:hanging="360"/>
      </w:pPr>
      <w:rPr>
        <w:rFonts w:hint="default" w:ascii="Symbol" w:hAnsi="Symbol" w:eastAsia="Symbol" w:cs="Symbol"/>
        <w:color w:val="000000"/>
        <w:sz w:val="22"/>
      </w:rPr>
    </w:lvl>
    <w:lvl w:ilvl="4">
      <w:start w:val="1"/>
      <w:numFmt w:val="bullet"/>
      <w:lvlText w:val="·"/>
      <w:lvlJc w:val="left"/>
      <w:pPr>
        <w:ind w:left="3589" w:hanging="360"/>
      </w:pPr>
      <w:rPr>
        <w:rFonts w:hint="default" w:ascii="Symbol" w:hAnsi="Symbol" w:eastAsia="Symbol" w:cs="Symbol"/>
        <w:color w:val="000000"/>
        <w:sz w:val="22"/>
      </w:rPr>
    </w:lvl>
    <w:lvl w:ilvl="5">
      <w:start w:val="1"/>
      <w:numFmt w:val="bullet"/>
      <w:lvlText w:val="·"/>
      <w:lvlJc w:val="left"/>
      <w:pPr>
        <w:ind w:left="4309" w:hanging="360"/>
      </w:pPr>
      <w:rPr>
        <w:rFonts w:hint="default" w:ascii="Symbol" w:hAnsi="Symbol" w:eastAsia="Symbol" w:cs="Symbol"/>
        <w:color w:val="000000"/>
        <w:sz w:val="22"/>
      </w:rPr>
    </w:lvl>
    <w:lvl w:ilvl="6">
      <w:start w:val="1"/>
      <w:numFmt w:val="bullet"/>
      <w:lvlText w:val="·"/>
      <w:lvlJc w:val="left"/>
      <w:pPr>
        <w:ind w:left="5029" w:hanging="360"/>
      </w:pPr>
      <w:rPr>
        <w:rFonts w:hint="default" w:ascii="Symbol" w:hAnsi="Symbol" w:eastAsia="Symbol" w:cs="Symbol"/>
        <w:color w:val="000000"/>
        <w:sz w:val="22"/>
      </w:rPr>
    </w:lvl>
    <w:lvl w:ilvl="7">
      <w:start w:val="1"/>
      <w:numFmt w:val="bullet"/>
      <w:lvlText w:val="·"/>
      <w:lvlJc w:val="left"/>
      <w:pPr>
        <w:ind w:left="5749" w:hanging="360"/>
      </w:pPr>
      <w:rPr>
        <w:rFonts w:hint="default" w:ascii="Symbol" w:hAnsi="Symbol" w:eastAsia="Symbol" w:cs="Symbol"/>
        <w:color w:val="000000"/>
        <w:sz w:val="22"/>
      </w:rPr>
    </w:lvl>
    <w:lvl w:ilvl="8">
      <w:start w:val="1"/>
      <w:numFmt w:val="bullet"/>
      <w:lvlText w:val="·"/>
      <w:lvlJc w:val="left"/>
      <w:pPr>
        <w:ind w:left="6469" w:hanging="360"/>
      </w:pPr>
      <w:rPr>
        <w:rFonts w:hint="default" w:ascii="Symbol" w:hAnsi="Symbol" w:eastAsia="Symbol" w:cs="Symbol"/>
        <w:color w:val="000000"/>
        <w:sz w:val="22"/>
      </w:rPr>
    </w:lvl>
  </w:abstractNum>
  <w:abstractNum w:abstractNumId="187" w15:restartNumberingAfterBreak="0">
    <w:nsid w:val="5FFF0A37"/>
    <w:multiLevelType w:val="multilevel"/>
    <w:tmpl w:val="12C8F46E"/>
    <w:lvl w:ilvl="0">
      <w:start w:val="1"/>
      <w:numFmt w:val="bullet"/>
      <w:lvlText w:val=""/>
      <w:lvlJc w:val="left"/>
      <w:pPr>
        <w:tabs>
          <w:tab w:val="num" w:pos="720"/>
        </w:tabs>
        <w:ind w:left="709" w:hanging="360"/>
      </w:pPr>
      <w:rPr>
        <w:rFonts w:hint="default" w:ascii="Symbol" w:hAnsi="Symbol"/>
        <w:sz w:val="20"/>
      </w:rPr>
    </w:lvl>
    <w:lvl w:ilvl="1">
      <w:start w:val="1"/>
      <w:numFmt w:val="bullet"/>
      <w:lvlText w:val="o"/>
      <w:lvlJc w:val="left"/>
      <w:pPr>
        <w:tabs>
          <w:tab w:val="num" w:pos="1440"/>
        </w:tabs>
        <w:ind w:left="1429" w:hanging="360"/>
      </w:pPr>
      <w:rPr>
        <w:rFonts w:hint="default" w:ascii="Courier New" w:hAnsi="Courier New"/>
        <w:sz w:val="20"/>
      </w:rPr>
    </w:lvl>
    <w:lvl w:ilvl="2">
      <w:start w:val="1"/>
      <w:numFmt w:val="bullet"/>
      <w:lvlText w:val=""/>
      <w:lvlJc w:val="left"/>
      <w:pPr>
        <w:tabs>
          <w:tab w:val="num" w:pos="2160"/>
        </w:tabs>
        <w:ind w:left="2149" w:hanging="360"/>
      </w:pPr>
      <w:rPr>
        <w:rFonts w:hint="default" w:ascii="Wingdings" w:hAnsi="Wingdings"/>
        <w:sz w:val="20"/>
      </w:rPr>
    </w:lvl>
    <w:lvl w:ilvl="3">
      <w:start w:val="1"/>
      <w:numFmt w:val="bullet"/>
      <w:lvlText w:val=""/>
      <w:lvlJc w:val="left"/>
      <w:pPr>
        <w:tabs>
          <w:tab w:val="num" w:pos="2880"/>
        </w:tabs>
        <w:ind w:left="2869" w:hanging="360"/>
      </w:pPr>
      <w:rPr>
        <w:rFonts w:hint="default" w:ascii="Wingdings" w:hAnsi="Wingdings"/>
        <w:sz w:val="20"/>
      </w:rPr>
    </w:lvl>
    <w:lvl w:ilvl="4">
      <w:start w:val="1"/>
      <w:numFmt w:val="bullet"/>
      <w:lvlText w:val=""/>
      <w:lvlJc w:val="left"/>
      <w:pPr>
        <w:tabs>
          <w:tab w:val="num" w:pos="3600"/>
        </w:tabs>
        <w:ind w:left="3589" w:hanging="360"/>
      </w:pPr>
      <w:rPr>
        <w:rFonts w:hint="default" w:ascii="Wingdings" w:hAnsi="Wingdings"/>
        <w:sz w:val="20"/>
      </w:rPr>
    </w:lvl>
    <w:lvl w:ilvl="5">
      <w:start w:val="1"/>
      <w:numFmt w:val="bullet"/>
      <w:lvlText w:val=""/>
      <w:lvlJc w:val="left"/>
      <w:pPr>
        <w:tabs>
          <w:tab w:val="num" w:pos="4320"/>
        </w:tabs>
        <w:ind w:left="4309" w:hanging="360"/>
      </w:pPr>
      <w:rPr>
        <w:rFonts w:hint="default" w:ascii="Wingdings" w:hAnsi="Wingdings"/>
        <w:sz w:val="20"/>
      </w:rPr>
    </w:lvl>
    <w:lvl w:ilvl="6">
      <w:start w:val="1"/>
      <w:numFmt w:val="bullet"/>
      <w:lvlText w:val=""/>
      <w:lvlJc w:val="left"/>
      <w:pPr>
        <w:tabs>
          <w:tab w:val="num" w:pos="5040"/>
        </w:tabs>
        <w:ind w:left="5029" w:hanging="360"/>
      </w:pPr>
      <w:rPr>
        <w:rFonts w:hint="default" w:ascii="Wingdings" w:hAnsi="Wingdings"/>
        <w:sz w:val="20"/>
      </w:rPr>
    </w:lvl>
    <w:lvl w:ilvl="7">
      <w:start w:val="1"/>
      <w:numFmt w:val="bullet"/>
      <w:lvlText w:val=""/>
      <w:lvlJc w:val="left"/>
      <w:pPr>
        <w:tabs>
          <w:tab w:val="num" w:pos="5760"/>
        </w:tabs>
        <w:ind w:left="5749" w:hanging="360"/>
      </w:pPr>
      <w:rPr>
        <w:rFonts w:hint="default" w:ascii="Wingdings" w:hAnsi="Wingdings"/>
        <w:sz w:val="20"/>
      </w:rPr>
    </w:lvl>
    <w:lvl w:ilvl="8">
      <w:start w:val="1"/>
      <w:numFmt w:val="bullet"/>
      <w:lvlText w:val=""/>
      <w:lvlJc w:val="left"/>
      <w:pPr>
        <w:tabs>
          <w:tab w:val="num" w:pos="6480"/>
        </w:tabs>
        <w:ind w:left="6469" w:hanging="360"/>
      </w:pPr>
      <w:rPr>
        <w:rFonts w:hint="default" w:ascii="Wingdings" w:hAnsi="Wingdings"/>
        <w:sz w:val="20"/>
      </w:rPr>
    </w:lvl>
  </w:abstractNum>
  <w:abstractNum w:abstractNumId="188" w15:restartNumberingAfterBreak="0">
    <w:nsid w:val="610967DE"/>
    <w:multiLevelType w:val="multilevel"/>
    <w:tmpl w:val="1C08D14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89" w15:restartNumberingAfterBreak="0">
    <w:nsid w:val="61431F31"/>
    <w:multiLevelType w:val="multilevel"/>
    <w:tmpl w:val="976CAAC0"/>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90" w15:restartNumberingAfterBreak="0">
    <w:nsid w:val="630C0295"/>
    <w:multiLevelType w:val="multilevel"/>
    <w:tmpl w:val="6B340376"/>
    <w:lvl w:ilvl="0">
      <w:start w:val="1"/>
      <w:numFmt w:val="bullet"/>
      <w:pStyle w:val="Puce"/>
      <w:lvlText w:val=""/>
      <w:lvlJc w:val="left"/>
      <w:pPr>
        <w:tabs>
          <w:tab w:val="num" w:pos="360"/>
        </w:tabs>
        <w:ind w:left="360" w:hanging="360"/>
      </w:pPr>
      <w:rPr>
        <w:rFonts w:hint="default" w:ascii="Symbol" w:hAnsi="Symbol" w:cs="Symbol"/>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1" w15:restartNumberingAfterBreak="0">
    <w:nsid w:val="6338163C"/>
    <w:multiLevelType w:val="multilevel"/>
    <w:tmpl w:val="62FCD306"/>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92" w15:restartNumberingAfterBreak="0">
    <w:nsid w:val="638A65E0"/>
    <w:multiLevelType w:val="multilevel"/>
    <w:tmpl w:val="2FD8E8F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93" w15:restartNumberingAfterBreak="0">
    <w:nsid w:val="638D64E9"/>
    <w:multiLevelType w:val="multilevel"/>
    <w:tmpl w:val="FCEEC1CA"/>
    <w:lvl w:ilvl="0">
      <w:start w:val="1"/>
      <w:numFmt w:val="bullet"/>
      <w:pStyle w:val="pucecarr"/>
      <w:lvlText w:val=""/>
      <w:lvlJc w:val="center"/>
      <w:pPr>
        <w:tabs>
          <w:tab w:val="num" w:pos="0"/>
        </w:tabs>
        <w:ind w:left="720" w:hanging="360"/>
      </w:pPr>
      <w:rPr>
        <w:rFonts w:hint="default" w:ascii="Wingdings" w:hAnsi="Wingdings" w:cs="Wingdings"/>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94" w15:restartNumberingAfterBreak="0">
    <w:nsid w:val="63950543"/>
    <w:multiLevelType w:val="multilevel"/>
    <w:tmpl w:val="368AC234"/>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95" w15:restartNumberingAfterBreak="0">
    <w:nsid w:val="63AB6214"/>
    <w:multiLevelType w:val="multilevel"/>
    <w:tmpl w:val="C68451BE"/>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196" w15:restartNumberingAfterBreak="0">
    <w:nsid w:val="63B2763D"/>
    <w:multiLevelType w:val="multilevel"/>
    <w:tmpl w:val="8294D2F6"/>
    <w:lvl w:ilvl="0">
      <w:start w:val="1"/>
      <w:numFmt w:val="bullet"/>
      <w:lvlText w:val=""/>
      <w:lvlJc w:val="left"/>
      <w:pPr>
        <w:tabs>
          <w:tab w:val="num" w:pos="0"/>
        </w:tabs>
        <w:ind w:left="720" w:hanging="360"/>
      </w:pPr>
      <w:rPr>
        <w:rFonts w:hint="default" w:ascii="Symbol" w:hAnsi="Symbol" w:cs="Symbol"/>
        <w:color w:val="03A3A6"/>
        <w:u w:val="none"/>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197" w15:restartNumberingAfterBreak="0">
    <w:nsid w:val="65A53F23"/>
    <w:multiLevelType w:val="multilevel"/>
    <w:tmpl w:val="A756372E"/>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198" w15:restartNumberingAfterBreak="0">
    <w:nsid w:val="65EE2D70"/>
    <w:multiLevelType w:val="multilevel"/>
    <w:tmpl w:val="9B8A89A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199" w15:restartNumberingAfterBreak="0">
    <w:nsid w:val="6608188E"/>
    <w:multiLevelType w:val="multilevel"/>
    <w:tmpl w:val="8E3ADCC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00" w15:restartNumberingAfterBreak="0">
    <w:nsid w:val="66411453"/>
    <w:multiLevelType w:val="multilevel"/>
    <w:tmpl w:val="F6AE04BC"/>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01" w15:restartNumberingAfterBreak="0">
    <w:nsid w:val="66FC2E73"/>
    <w:multiLevelType w:val="multilevel"/>
    <w:tmpl w:val="7780C99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02" w15:restartNumberingAfterBreak="0">
    <w:nsid w:val="66FD4F47"/>
    <w:multiLevelType w:val="multilevel"/>
    <w:tmpl w:val="55E4813A"/>
    <w:lvl w:ilvl="0">
      <w:start w:val="1"/>
      <w:numFmt w:val="bullet"/>
      <w:lvlText w:val="·"/>
      <w:lvlJc w:val="left"/>
      <w:pPr>
        <w:ind w:left="709" w:hanging="360"/>
      </w:pPr>
      <w:rPr>
        <w:rFonts w:hint="default" w:ascii="Symbol" w:hAnsi="Symbol" w:eastAsia="Symbol" w:cs="Symbol"/>
        <w:color w:val="000000"/>
        <w:sz w:val="22"/>
      </w:rPr>
    </w:lvl>
    <w:lvl w:ilvl="1">
      <w:start w:val="1"/>
      <w:numFmt w:val="bullet"/>
      <w:lvlText w:val="·"/>
      <w:lvlJc w:val="left"/>
      <w:pPr>
        <w:ind w:left="1429" w:hanging="360"/>
      </w:pPr>
      <w:rPr>
        <w:rFonts w:hint="default" w:ascii="Symbol" w:hAnsi="Symbol" w:eastAsia="Symbol" w:cs="Symbol"/>
        <w:color w:val="000000"/>
        <w:sz w:val="22"/>
      </w:rPr>
    </w:lvl>
    <w:lvl w:ilvl="2">
      <w:start w:val="1"/>
      <w:numFmt w:val="bullet"/>
      <w:lvlText w:val="·"/>
      <w:lvlJc w:val="left"/>
      <w:pPr>
        <w:ind w:left="2149" w:hanging="360"/>
      </w:pPr>
      <w:rPr>
        <w:rFonts w:hint="default" w:ascii="Symbol" w:hAnsi="Symbol" w:eastAsia="Symbol" w:cs="Symbol"/>
        <w:color w:val="000000"/>
        <w:sz w:val="22"/>
      </w:rPr>
    </w:lvl>
    <w:lvl w:ilvl="3">
      <w:start w:val="1"/>
      <w:numFmt w:val="bullet"/>
      <w:lvlText w:val="·"/>
      <w:lvlJc w:val="left"/>
      <w:pPr>
        <w:ind w:left="2869" w:hanging="360"/>
      </w:pPr>
      <w:rPr>
        <w:rFonts w:hint="default" w:ascii="Symbol" w:hAnsi="Symbol" w:eastAsia="Symbol" w:cs="Symbol"/>
        <w:color w:val="000000"/>
        <w:sz w:val="22"/>
      </w:rPr>
    </w:lvl>
    <w:lvl w:ilvl="4">
      <w:start w:val="1"/>
      <w:numFmt w:val="bullet"/>
      <w:lvlText w:val="·"/>
      <w:lvlJc w:val="left"/>
      <w:pPr>
        <w:ind w:left="3589" w:hanging="360"/>
      </w:pPr>
      <w:rPr>
        <w:rFonts w:hint="default" w:ascii="Symbol" w:hAnsi="Symbol" w:eastAsia="Symbol" w:cs="Symbol"/>
        <w:color w:val="000000"/>
        <w:sz w:val="22"/>
      </w:rPr>
    </w:lvl>
    <w:lvl w:ilvl="5">
      <w:start w:val="1"/>
      <w:numFmt w:val="bullet"/>
      <w:lvlText w:val="·"/>
      <w:lvlJc w:val="left"/>
      <w:pPr>
        <w:ind w:left="4309" w:hanging="360"/>
      </w:pPr>
      <w:rPr>
        <w:rFonts w:hint="default" w:ascii="Symbol" w:hAnsi="Symbol" w:eastAsia="Symbol" w:cs="Symbol"/>
        <w:color w:val="000000"/>
        <w:sz w:val="22"/>
      </w:rPr>
    </w:lvl>
    <w:lvl w:ilvl="6">
      <w:start w:val="1"/>
      <w:numFmt w:val="bullet"/>
      <w:lvlText w:val="·"/>
      <w:lvlJc w:val="left"/>
      <w:pPr>
        <w:ind w:left="5029" w:hanging="360"/>
      </w:pPr>
      <w:rPr>
        <w:rFonts w:hint="default" w:ascii="Symbol" w:hAnsi="Symbol" w:eastAsia="Symbol" w:cs="Symbol"/>
        <w:color w:val="000000"/>
        <w:sz w:val="22"/>
      </w:rPr>
    </w:lvl>
    <w:lvl w:ilvl="7">
      <w:start w:val="1"/>
      <w:numFmt w:val="bullet"/>
      <w:lvlText w:val="·"/>
      <w:lvlJc w:val="left"/>
      <w:pPr>
        <w:ind w:left="5749" w:hanging="360"/>
      </w:pPr>
      <w:rPr>
        <w:rFonts w:hint="default" w:ascii="Symbol" w:hAnsi="Symbol" w:eastAsia="Symbol" w:cs="Symbol"/>
        <w:color w:val="000000"/>
        <w:sz w:val="22"/>
      </w:rPr>
    </w:lvl>
    <w:lvl w:ilvl="8">
      <w:start w:val="1"/>
      <w:numFmt w:val="bullet"/>
      <w:lvlText w:val="·"/>
      <w:lvlJc w:val="left"/>
      <w:pPr>
        <w:ind w:left="6469" w:hanging="360"/>
      </w:pPr>
      <w:rPr>
        <w:rFonts w:hint="default" w:ascii="Symbol" w:hAnsi="Symbol" w:eastAsia="Symbol" w:cs="Symbol"/>
        <w:color w:val="000000"/>
        <w:sz w:val="22"/>
      </w:rPr>
    </w:lvl>
  </w:abstractNum>
  <w:abstractNum w:abstractNumId="203" w15:restartNumberingAfterBreak="0">
    <w:nsid w:val="67091605"/>
    <w:multiLevelType w:val="multilevel"/>
    <w:tmpl w:val="E11C802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4" w15:restartNumberingAfterBreak="0">
    <w:nsid w:val="67E74833"/>
    <w:multiLevelType w:val="multilevel"/>
    <w:tmpl w:val="0DEEBD8C"/>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05" w15:restartNumberingAfterBreak="0">
    <w:nsid w:val="67E7619F"/>
    <w:multiLevelType w:val="multilevel"/>
    <w:tmpl w:val="CBEEF4E4"/>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06" w15:restartNumberingAfterBreak="0">
    <w:nsid w:val="69B63122"/>
    <w:multiLevelType w:val="multilevel"/>
    <w:tmpl w:val="372E35D0"/>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07" w15:restartNumberingAfterBreak="0">
    <w:nsid w:val="69C1682C"/>
    <w:multiLevelType w:val="multilevel"/>
    <w:tmpl w:val="4380EC00"/>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08" w15:restartNumberingAfterBreak="0">
    <w:nsid w:val="69C323D0"/>
    <w:multiLevelType w:val="multilevel"/>
    <w:tmpl w:val="487AC438"/>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209" w15:restartNumberingAfterBreak="0">
    <w:nsid w:val="6B2416E2"/>
    <w:multiLevelType w:val="multilevel"/>
    <w:tmpl w:val="0BE6C4EA"/>
    <w:lvl w:ilvl="0">
      <w:start w:val="1"/>
      <w:numFmt w:val="decimal"/>
      <w:pStyle w:val="Bullet1"/>
      <w:lvlText w:val="Annexe %1"/>
      <w:lvlJc w:val="left"/>
      <w:pPr>
        <w:tabs>
          <w:tab w:val="num" w:pos="1800"/>
        </w:tabs>
        <w:ind w:left="432" w:hanging="432"/>
      </w:pPr>
    </w:lvl>
    <w:lvl w:ilvl="1">
      <w:start w:val="1"/>
      <w:numFmt w:val="decimal"/>
      <w:pStyle w:val="titreAnnexe2"/>
      <w:lvlText w:val="%2"/>
      <w:lvlJc w:val="left"/>
      <w:pPr>
        <w:tabs>
          <w:tab w:val="num" w:pos="576"/>
        </w:tabs>
        <w:ind w:left="576" w:hanging="576"/>
      </w:pPr>
    </w:lvl>
    <w:lvl w:ilvl="2">
      <w:start w:val="1"/>
      <w:numFmt w:val="decimal"/>
      <w:pStyle w:val="titreAnnexe3"/>
      <w:lvlText w:val="%2.%3"/>
      <w:lvlJc w:val="left"/>
      <w:pPr>
        <w:tabs>
          <w:tab w:val="num" w:pos="720"/>
        </w:tabs>
        <w:ind w:left="720" w:hanging="720"/>
      </w:pPr>
    </w:lvl>
    <w:lvl w:ilvl="3">
      <w:start w:val="1"/>
      <w:numFmt w:val="decimal"/>
      <w:pStyle w:val="titreAnnexe4"/>
      <w:lvlText w:val="%2.%3.%4"/>
      <w:lvlJc w:val="left"/>
      <w:pPr>
        <w:tabs>
          <w:tab w:val="num" w:pos="864"/>
        </w:tabs>
        <w:ind w:left="864" w:hanging="864"/>
      </w:pPr>
    </w:lvl>
    <w:lvl w:ilvl="4">
      <w:start w:val="1"/>
      <w:numFmt w:val="decimal"/>
      <w:pStyle w:val="titreAnnexe5"/>
      <w:lvlText w:val="%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0" w15:restartNumberingAfterBreak="0">
    <w:nsid w:val="6C2A5DAE"/>
    <w:multiLevelType w:val="multilevel"/>
    <w:tmpl w:val="3274D9D4"/>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11" w15:restartNumberingAfterBreak="0">
    <w:nsid w:val="6C891FA2"/>
    <w:multiLevelType w:val="multilevel"/>
    <w:tmpl w:val="8514C4EC"/>
    <w:lvl w:ilvl="0">
      <w:start w:val="1"/>
      <w:numFmt w:val="bullet"/>
      <w:lvlText w:val=""/>
      <w:lvlJc w:val="left"/>
      <w:pPr>
        <w:ind w:left="720" w:hanging="360"/>
      </w:pPr>
      <w:rPr>
        <w:rFonts w:hint="default" w:ascii="Symbol" w:hAnsi="Symbol" w:eastAsia="Symbol" w:cs="Symbol"/>
      </w:rPr>
    </w:lvl>
    <w:lvl w:ilvl="1">
      <w:start w:val="1"/>
      <w:numFmt w:val="bullet"/>
      <w:lvlText w:val=""/>
      <w:lvlJc w:val="left"/>
      <w:pPr>
        <w:ind w:left="1440" w:hanging="360"/>
      </w:pPr>
      <w:rPr>
        <w:rFonts w:hint="default" w:ascii="Wingdings" w:hAnsi="Wingdings" w:eastAsia="Wingdings" w:cs="Wingdings"/>
      </w:rPr>
    </w:lvl>
    <w:lvl w:ilvl="2">
      <w:start w:val="1"/>
      <w:numFmt w:val="bullet"/>
      <w:lvlText w:val="-"/>
      <w:lvlJc w:val="left"/>
      <w:pPr>
        <w:ind w:left="2160" w:hanging="360"/>
      </w:pPr>
      <w:rPr>
        <w:rFonts w:hint="default" w:ascii="Symbol" w:hAnsi="Symbol" w:eastAsia="Symbol" w:cs="Symbol"/>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12" w15:restartNumberingAfterBreak="0">
    <w:nsid w:val="6CEA1288"/>
    <w:multiLevelType w:val="multilevel"/>
    <w:tmpl w:val="6126490C"/>
    <w:lvl w:ilvl="0">
      <w:start w:val="1"/>
      <w:numFmt w:val="bullet"/>
      <w:lvlText w:val=""/>
      <w:lvlJc w:val="left"/>
      <w:pPr>
        <w:tabs>
          <w:tab w:val="num" w:pos="0"/>
        </w:tabs>
        <w:ind w:left="720" w:hanging="360"/>
      </w:pPr>
      <w:rPr>
        <w:rFonts w:hint="default" w:ascii="Symbol" w:hAnsi="Symbol" w:cs="Symbol"/>
        <w:color w:val="03A3A6"/>
        <w:u w:val="none"/>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Wingdings" w:hAnsi="Wingdings" w:cs="Wingdings"/>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213" w15:restartNumberingAfterBreak="0">
    <w:nsid w:val="6E2263F3"/>
    <w:multiLevelType w:val="multilevel"/>
    <w:tmpl w:val="41F2338C"/>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14" w15:restartNumberingAfterBreak="0">
    <w:nsid w:val="6ED7714E"/>
    <w:multiLevelType w:val="multilevel"/>
    <w:tmpl w:val="3088477C"/>
    <w:lvl w:ilvl="0">
      <w:start w:val="2"/>
      <w:numFmt w:val="decimal"/>
      <w:lvlText w:val="%1."/>
      <w:lvlJc w:val="righ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15" w15:restartNumberingAfterBreak="0">
    <w:nsid w:val="6F1C5384"/>
    <w:multiLevelType w:val="multilevel"/>
    <w:tmpl w:val="59E6457C"/>
    <w:lvl w:ilvl="0">
      <w:start w:val="3"/>
      <w:numFmt w:val="decimal"/>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6F2D63DD"/>
    <w:multiLevelType w:val="multilevel"/>
    <w:tmpl w:val="D60878C0"/>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17" w15:restartNumberingAfterBreak="0">
    <w:nsid w:val="6F48711D"/>
    <w:multiLevelType w:val="multilevel"/>
    <w:tmpl w:val="717E579C"/>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18" w15:restartNumberingAfterBreak="0">
    <w:nsid w:val="6F5441C7"/>
    <w:multiLevelType w:val="multilevel"/>
    <w:tmpl w:val="6DCC920C"/>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19" w15:restartNumberingAfterBreak="0">
    <w:nsid w:val="6F7815B5"/>
    <w:multiLevelType w:val="multilevel"/>
    <w:tmpl w:val="EC8C5240"/>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abstractNum w:abstractNumId="220" w15:restartNumberingAfterBreak="0">
    <w:nsid w:val="6FC77C5E"/>
    <w:multiLevelType w:val="multilevel"/>
    <w:tmpl w:val="DD54750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21" w15:restartNumberingAfterBreak="0">
    <w:nsid w:val="70BE7910"/>
    <w:multiLevelType w:val="multilevel"/>
    <w:tmpl w:val="5BD2242C"/>
    <w:lvl w:ilvl="0">
      <w:start w:val="1"/>
      <w:numFmt w:val="bullet"/>
      <w:lvlText w:val=""/>
      <w:lvlJc w:val="left"/>
      <w:pPr>
        <w:ind w:left="720" w:hanging="360"/>
      </w:pPr>
      <w:rPr>
        <w:rFonts w:hint="default" w:ascii="Symbol" w:hAnsi="Symbol" w:eastAsia="Symbol" w:cs="Symbol"/>
      </w:rPr>
    </w:lvl>
    <w:lvl w:ilvl="1">
      <w:start w:val="1"/>
      <w:numFmt w:val="bullet"/>
      <w:lvlText w:val=""/>
      <w:lvlJc w:val="left"/>
      <w:pPr>
        <w:ind w:left="1440" w:hanging="360"/>
      </w:pPr>
      <w:rPr>
        <w:rFonts w:hint="default" w:ascii="Wingdings" w:hAnsi="Wingdings" w:eastAsia="Wingdings" w:cs="Wingdings"/>
      </w:rPr>
    </w:lvl>
    <w:lvl w:ilvl="2">
      <w:start w:val="1"/>
      <w:numFmt w:val="bullet"/>
      <w:lvlText w:val="-"/>
      <w:lvlJc w:val="left"/>
      <w:pPr>
        <w:ind w:left="2160" w:hanging="360"/>
      </w:pPr>
      <w:rPr>
        <w:rFonts w:hint="default" w:ascii="Symbol" w:hAnsi="Symbol" w:eastAsia="Symbol" w:cs="Symbol"/>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22" w15:restartNumberingAfterBreak="0">
    <w:nsid w:val="712B4986"/>
    <w:multiLevelType w:val="multilevel"/>
    <w:tmpl w:val="DDFED63C"/>
    <w:lvl w:ilvl="0">
      <w:start w:val="1"/>
      <w:numFmt w:val="bullet"/>
      <w:lvlText w:val=""/>
      <w:lvlJc w:val="left"/>
      <w:pPr>
        <w:tabs>
          <w:tab w:val="num" w:pos="0"/>
        </w:tabs>
        <w:ind w:left="720" w:hanging="360"/>
      </w:pPr>
      <w:rPr>
        <w:rFonts w:hint="default" w:ascii="Symbol" w:hAnsi="Symbol" w:cs="Symbol"/>
        <w:color w:val="03A3A6"/>
      </w:rPr>
    </w:lvl>
    <w:lvl w:ilvl="1">
      <w:start w:val="1"/>
      <w:numFmt w:val="bullet"/>
      <w:lvlText w:val=""/>
      <w:lvlJc w:val="left"/>
      <w:pPr>
        <w:tabs>
          <w:tab w:val="num" w:pos="0"/>
        </w:tabs>
        <w:ind w:left="1440" w:hanging="360"/>
      </w:pPr>
      <w:rPr>
        <w:rFonts w:hint="default" w:ascii="Wingdings" w:hAnsi="Wingdings" w:cs="Wingdings"/>
        <w:color w:val="6C9E00" w:themeColor="accent2" w:themeShade="BF"/>
      </w:rPr>
    </w:lvl>
    <w:lvl w:ilvl="2">
      <w:numFmt w:val="bullet"/>
      <w:lvlText w:val="-"/>
      <w:lvlJc w:val="left"/>
      <w:pPr>
        <w:tabs>
          <w:tab w:val="num" w:pos="0"/>
        </w:tabs>
        <w:ind w:left="2160" w:hanging="360"/>
      </w:pPr>
      <w:rPr>
        <w:rFonts w:hint="default" w:ascii="Arial" w:hAnsi="Arial" w:cs="Arial"/>
        <w:color w:val="6C9E00" w:themeColor="accent2" w:themeShade="BF"/>
      </w:rPr>
    </w:lvl>
    <w:lvl w:ilvl="3">
      <w:start w:val="1"/>
      <w:numFmt w:val="bullet"/>
      <w:lvlText w:val=""/>
      <w:lvlJc w:val="left"/>
      <w:pPr>
        <w:tabs>
          <w:tab w:val="num" w:pos="0"/>
        </w:tabs>
        <w:ind w:left="2880" w:hanging="360"/>
      </w:pPr>
      <w:rPr>
        <w:rFonts w:hint="default" w:ascii="Symbol" w:hAnsi="Symbol" w:cs="Symbol"/>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Wingdings" w:hAnsi="Wingdings" w:cs="Wingdings"/>
      </w:rPr>
    </w:lvl>
    <w:lvl w:ilvl="6">
      <w:start w:val="1"/>
      <w:numFmt w:val="bullet"/>
      <w:lvlText w:val=""/>
      <w:lvlJc w:val="left"/>
      <w:pPr>
        <w:tabs>
          <w:tab w:val="num" w:pos="0"/>
        </w:tabs>
        <w:ind w:left="5040" w:hanging="360"/>
      </w:pPr>
      <w:rPr>
        <w:rFonts w:hint="default" w:ascii="Symbol" w:hAnsi="Symbol" w:cs="Symbol"/>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Wingdings" w:hAnsi="Wingdings" w:cs="Wingdings"/>
      </w:rPr>
    </w:lvl>
  </w:abstractNum>
  <w:abstractNum w:abstractNumId="223" w15:restartNumberingAfterBreak="0">
    <w:nsid w:val="71A75594"/>
    <w:multiLevelType w:val="multilevel"/>
    <w:tmpl w:val="94DADA94"/>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29" w:hanging="360"/>
      </w:pPr>
      <w:rPr>
        <w:rFonts w:hint="default" w:ascii="Courier New" w:hAnsi="Courier New" w:eastAsia="Courier New" w:cs="Courier New"/>
      </w:rPr>
    </w:lvl>
    <w:lvl w:ilvl="2">
      <w:start w:val="1"/>
      <w:numFmt w:val="bullet"/>
      <w:lvlText w:val="§"/>
      <w:lvlJc w:val="left"/>
      <w:pPr>
        <w:ind w:left="2149" w:hanging="360"/>
      </w:pPr>
      <w:rPr>
        <w:rFonts w:hint="default" w:ascii="Wingdings" w:hAnsi="Wingdings" w:eastAsia="Wingdings" w:cs="Wingdings"/>
      </w:rPr>
    </w:lvl>
    <w:lvl w:ilvl="3">
      <w:start w:val="1"/>
      <w:numFmt w:val="bullet"/>
      <w:lvlText w:val="·"/>
      <w:lvlJc w:val="left"/>
      <w:pPr>
        <w:ind w:left="2869" w:hanging="360"/>
      </w:pPr>
      <w:rPr>
        <w:rFonts w:hint="default" w:ascii="Symbol" w:hAnsi="Symbol" w:eastAsia="Symbol" w:cs="Symbol"/>
      </w:rPr>
    </w:lvl>
    <w:lvl w:ilvl="4">
      <w:start w:val="1"/>
      <w:numFmt w:val="bullet"/>
      <w:lvlText w:val="o"/>
      <w:lvlJc w:val="left"/>
      <w:pPr>
        <w:ind w:left="3589" w:hanging="360"/>
      </w:pPr>
      <w:rPr>
        <w:rFonts w:hint="default" w:ascii="Courier New" w:hAnsi="Courier New" w:eastAsia="Courier New" w:cs="Courier New"/>
      </w:rPr>
    </w:lvl>
    <w:lvl w:ilvl="5">
      <w:start w:val="1"/>
      <w:numFmt w:val="bullet"/>
      <w:lvlText w:val="§"/>
      <w:lvlJc w:val="left"/>
      <w:pPr>
        <w:ind w:left="4309" w:hanging="360"/>
      </w:pPr>
      <w:rPr>
        <w:rFonts w:hint="default" w:ascii="Wingdings" w:hAnsi="Wingdings" w:eastAsia="Wingdings" w:cs="Wingdings"/>
      </w:rPr>
    </w:lvl>
    <w:lvl w:ilvl="6">
      <w:start w:val="1"/>
      <w:numFmt w:val="bullet"/>
      <w:lvlText w:val="·"/>
      <w:lvlJc w:val="left"/>
      <w:pPr>
        <w:ind w:left="5029" w:hanging="360"/>
      </w:pPr>
      <w:rPr>
        <w:rFonts w:hint="default" w:ascii="Symbol" w:hAnsi="Symbol" w:eastAsia="Symbol" w:cs="Symbol"/>
      </w:rPr>
    </w:lvl>
    <w:lvl w:ilvl="7">
      <w:start w:val="1"/>
      <w:numFmt w:val="bullet"/>
      <w:lvlText w:val="o"/>
      <w:lvlJc w:val="left"/>
      <w:pPr>
        <w:ind w:left="5749" w:hanging="360"/>
      </w:pPr>
      <w:rPr>
        <w:rFonts w:hint="default" w:ascii="Courier New" w:hAnsi="Courier New" w:eastAsia="Courier New" w:cs="Courier New"/>
      </w:rPr>
    </w:lvl>
    <w:lvl w:ilvl="8">
      <w:start w:val="1"/>
      <w:numFmt w:val="bullet"/>
      <w:lvlText w:val="§"/>
      <w:lvlJc w:val="left"/>
      <w:pPr>
        <w:ind w:left="6469" w:hanging="360"/>
      </w:pPr>
      <w:rPr>
        <w:rFonts w:hint="default" w:ascii="Wingdings" w:hAnsi="Wingdings" w:eastAsia="Wingdings" w:cs="Wingdings"/>
      </w:rPr>
    </w:lvl>
  </w:abstractNum>
  <w:abstractNum w:abstractNumId="224" w15:restartNumberingAfterBreak="0">
    <w:nsid w:val="71B62E53"/>
    <w:multiLevelType w:val="multilevel"/>
    <w:tmpl w:val="E8B4BF90"/>
    <w:lvl w:ilvl="0">
      <w:start w:val="1"/>
      <w:numFmt w:val="decimal"/>
      <w:lvlText w:val="Partie %1 - "/>
      <w:lvlJc w:val="left"/>
      <w:pPr>
        <w:ind w:left="0" w:firstLine="0"/>
      </w:pPr>
      <w:rPr>
        <w:color w:val="03A6A3"/>
        <w:sz w:val="48"/>
      </w:rPr>
    </w:lvl>
    <w:lvl w:ilvl="1">
      <w:start w:val="1"/>
      <w:numFmt w:val="decimal"/>
      <w:lvlText w:val="%2."/>
      <w:lvlJc w:val="left"/>
      <w:pPr>
        <w:ind w:left="360" w:hanging="360"/>
      </w:pPr>
    </w:lvl>
    <w:lvl w:ilvl="2">
      <w:start w:val="1"/>
      <w:numFmt w:val="decimal"/>
      <w:lvlText w:val="%2.%3."/>
      <w:lvlJc w:val="left"/>
      <w:pPr>
        <w:ind w:left="567" w:hanging="567"/>
      </w:pPr>
      <w:rPr>
        <w:color w:val="03A6A3"/>
      </w:rPr>
    </w:lvl>
    <w:lvl w:ilvl="3">
      <w:start w:val="1"/>
      <w:numFmt w:val="decimal"/>
      <w:lvlText w:val="%2.%3.%4."/>
      <w:lvlJc w:val="left"/>
      <w:pPr>
        <w:ind w:left="851" w:hanging="851"/>
      </w:pPr>
      <w:rPr>
        <w:color w:val="03A6A3"/>
      </w:rPr>
    </w:lvl>
    <w:lvl w:ilvl="4">
      <w:start w:val="1"/>
      <w:numFmt w:val="decimal"/>
      <w:lvlText w:val="%2.%3.%4.%5."/>
      <w:lvlJc w:val="left"/>
      <w:pPr>
        <w:ind w:left="1134" w:hanging="1134"/>
      </w:pPr>
      <w:rPr>
        <w:color w:val="03A6A3"/>
      </w:rPr>
    </w:lvl>
    <w:lvl w:ilvl="5">
      <w:start w:val="1"/>
      <w:numFmt w:val="lowerLetter"/>
      <w:lvlText w:val="%6)"/>
      <w:lvlJc w:val="left"/>
      <w:pPr>
        <w:ind w:left="737" w:hanging="170"/>
      </w:pPr>
    </w:lvl>
    <w:lvl w:ilvl="6">
      <w:start w:val="1"/>
      <w:numFmt w:val="lowerRoman"/>
      <w:lvlText w:val="%7."/>
      <w:lvlJc w:val="right"/>
      <w:pPr>
        <w:ind w:left="1134" w:hanging="283"/>
      </w:pPr>
    </w:lvl>
    <w:lvl w:ilvl="7">
      <w:start w:val="1"/>
      <w:numFmt w:val="lowerLetter"/>
      <w:lvlText w:val="%8."/>
      <w:lvlJc w:val="left"/>
      <w:pPr>
        <w:ind w:left="2880" w:hanging="360"/>
      </w:pPr>
    </w:lvl>
    <w:lvl w:ilvl="8">
      <w:start w:val="1"/>
      <w:numFmt w:val="lowerRoman"/>
      <w:lvlText w:val="%9."/>
      <w:lvlJc w:val="right"/>
      <w:pPr>
        <w:ind w:left="3240" w:hanging="360"/>
      </w:pPr>
    </w:lvl>
  </w:abstractNum>
  <w:abstractNum w:abstractNumId="225" w15:restartNumberingAfterBreak="0">
    <w:nsid w:val="71C03207"/>
    <w:multiLevelType w:val="multilevel"/>
    <w:tmpl w:val="E5EC11C8"/>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26" w15:restartNumberingAfterBreak="0">
    <w:nsid w:val="72C0701B"/>
    <w:multiLevelType w:val="multilevel"/>
    <w:tmpl w:val="3A54F46C"/>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27" w15:restartNumberingAfterBreak="0">
    <w:nsid w:val="731664F7"/>
    <w:multiLevelType w:val="multilevel"/>
    <w:tmpl w:val="655AB9A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28" w15:restartNumberingAfterBreak="0">
    <w:nsid w:val="735C5056"/>
    <w:multiLevelType w:val="multilevel"/>
    <w:tmpl w:val="73A62546"/>
    <w:lvl w:ilvl="0">
      <w:start w:val="1"/>
      <w:numFmt w:val="bullet"/>
      <w:pStyle w:val="Listedansuneliste"/>
      <w:lvlText w:val=""/>
      <w:lvlJc w:val="left"/>
      <w:pPr>
        <w:tabs>
          <w:tab w:val="num" w:pos="644"/>
        </w:tabs>
        <w:ind w:left="567" w:hanging="283"/>
      </w:pPr>
      <w:rPr>
        <w:rFonts w:hint="default" w:ascii="Symbol" w:hAnsi="Symbol" w:cs="Symbol"/>
        <w:sz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9" w15:restartNumberingAfterBreak="0">
    <w:nsid w:val="73694285"/>
    <w:multiLevelType w:val="multilevel"/>
    <w:tmpl w:val="68367A3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30" w15:restartNumberingAfterBreak="0">
    <w:nsid w:val="739D17C1"/>
    <w:multiLevelType w:val="multilevel"/>
    <w:tmpl w:val="E0141D5E"/>
    <w:lvl w:ilvl="0">
      <w:start w:val="1"/>
      <w:numFmt w:val="bullet"/>
      <w:lvlText w:val="·"/>
      <w:lvlJc w:val="left"/>
      <w:pPr>
        <w:ind w:left="1417" w:hanging="360"/>
      </w:pPr>
      <w:rPr>
        <w:rFonts w:hint="default" w:ascii="Symbol" w:hAnsi="Symbol" w:eastAsia="Symbol" w:cs="Symbol"/>
      </w:rPr>
    </w:lvl>
    <w:lvl w:ilvl="1">
      <w:start w:val="1"/>
      <w:numFmt w:val="bullet"/>
      <w:lvlText w:val="o"/>
      <w:lvlJc w:val="left"/>
      <w:pPr>
        <w:ind w:left="2137" w:hanging="360"/>
      </w:pPr>
      <w:rPr>
        <w:rFonts w:hint="default" w:ascii="Courier New" w:hAnsi="Courier New" w:eastAsia="Courier New" w:cs="Courier New"/>
      </w:rPr>
    </w:lvl>
    <w:lvl w:ilvl="2">
      <w:start w:val="1"/>
      <w:numFmt w:val="bullet"/>
      <w:lvlText w:val="§"/>
      <w:lvlJc w:val="left"/>
      <w:pPr>
        <w:ind w:left="2857" w:hanging="360"/>
      </w:pPr>
      <w:rPr>
        <w:rFonts w:hint="default" w:ascii="Wingdings" w:hAnsi="Wingdings" w:eastAsia="Wingdings" w:cs="Wingdings"/>
      </w:rPr>
    </w:lvl>
    <w:lvl w:ilvl="3">
      <w:start w:val="1"/>
      <w:numFmt w:val="bullet"/>
      <w:lvlText w:val="·"/>
      <w:lvlJc w:val="left"/>
      <w:pPr>
        <w:ind w:left="3577" w:hanging="360"/>
      </w:pPr>
      <w:rPr>
        <w:rFonts w:hint="default" w:ascii="Symbol" w:hAnsi="Symbol" w:eastAsia="Symbol" w:cs="Symbol"/>
      </w:rPr>
    </w:lvl>
    <w:lvl w:ilvl="4">
      <w:start w:val="1"/>
      <w:numFmt w:val="bullet"/>
      <w:lvlText w:val="o"/>
      <w:lvlJc w:val="left"/>
      <w:pPr>
        <w:ind w:left="4297" w:hanging="360"/>
      </w:pPr>
      <w:rPr>
        <w:rFonts w:hint="default" w:ascii="Courier New" w:hAnsi="Courier New" w:eastAsia="Courier New" w:cs="Courier New"/>
      </w:rPr>
    </w:lvl>
    <w:lvl w:ilvl="5">
      <w:start w:val="1"/>
      <w:numFmt w:val="bullet"/>
      <w:lvlText w:val="§"/>
      <w:lvlJc w:val="left"/>
      <w:pPr>
        <w:ind w:left="5017" w:hanging="360"/>
      </w:pPr>
      <w:rPr>
        <w:rFonts w:hint="default" w:ascii="Wingdings" w:hAnsi="Wingdings" w:eastAsia="Wingdings" w:cs="Wingdings"/>
      </w:rPr>
    </w:lvl>
    <w:lvl w:ilvl="6">
      <w:start w:val="1"/>
      <w:numFmt w:val="bullet"/>
      <w:lvlText w:val="·"/>
      <w:lvlJc w:val="left"/>
      <w:pPr>
        <w:ind w:left="5737" w:hanging="360"/>
      </w:pPr>
      <w:rPr>
        <w:rFonts w:hint="default" w:ascii="Symbol" w:hAnsi="Symbol" w:eastAsia="Symbol" w:cs="Symbol"/>
      </w:rPr>
    </w:lvl>
    <w:lvl w:ilvl="7">
      <w:start w:val="1"/>
      <w:numFmt w:val="bullet"/>
      <w:lvlText w:val="o"/>
      <w:lvlJc w:val="left"/>
      <w:pPr>
        <w:ind w:left="6457" w:hanging="360"/>
      </w:pPr>
      <w:rPr>
        <w:rFonts w:hint="default" w:ascii="Courier New" w:hAnsi="Courier New" w:eastAsia="Courier New" w:cs="Courier New"/>
      </w:rPr>
    </w:lvl>
    <w:lvl w:ilvl="8">
      <w:start w:val="1"/>
      <w:numFmt w:val="bullet"/>
      <w:lvlText w:val="§"/>
      <w:lvlJc w:val="left"/>
      <w:pPr>
        <w:ind w:left="7177" w:hanging="360"/>
      </w:pPr>
      <w:rPr>
        <w:rFonts w:hint="default" w:ascii="Wingdings" w:hAnsi="Wingdings" w:eastAsia="Wingdings" w:cs="Wingdings"/>
      </w:rPr>
    </w:lvl>
  </w:abstractNum>
  <w:abstractNum w:abstractNumId="231" w15:restartNumberingAfterBreak="0">
    <w:nsid w:val="75627AE4"/>
    <w:multiLevelType w:val="multilevel"/>
    <w:tmpl w:val="AF5E1B2C"/>
    <w:lvl w:ilvl="0">
      <w:start w:val="1"/>
      <w:numFmt w:val="bullet"/>
      <w:lvlText w:val="·"/>
      <w:lvlJc w:val="left"/>
      <w:pPr>
        <w:ind w:left="709"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32" w15:restartNumberingAfterBreak="0">
    <w:nsid w:val="757C7807"/>
    <w:multiLevelType w:val="multilevel"/>
    <w:tmpl w:val="0A12B052"/>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33" w15:restartNumberingAfterBreak="0">
    <w:nsid w:val="771662A4"/>
    <w:multiLevelType w:val="multilevel"/>
    <w:tmpl w:val="0120A6A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34" w15:restartNumberingAfterBreak="0">
    <w:nsid w:val="773C7F63"/>
    <w:multiLevelType w:val="multilevel"/>
    <w:tmpl w:val="9F40EF46"/>
    <w:lvl w:ilvl="0">
      <w:start w:val="1"/>
      <w:numFmt w:val="bullet"/>
      <w:lvlText w:val=""/>
      <w:lvlJc w:val="left"/>
      <w:pPr>
        <w:ind w:left="720" w:hanging="360"/>
      </w:pPr>
      <w:rPr>
        <w:rFonts w:hint="default" w:ascii="Symbol" w:hAnsi="Symbol" w:eastAsia="Symbol" w:cs="Symbol"/>
      </w:rPr>
    </w:lvl>
    <w:lvl w:ilvl="1">
      <w:start w:val="1"/>
      <w:numFmt w:val="bullet"/>
      <w:lvlText w:val=""/>
      <w:lvlJc w:val="left"/>
      <w:pPr>
        <w:ind w:left="1440" w:hanging="360"/>
      </w:pPr>
      <w:rPr>
        <w:rFonts w:hint="default" w:ascii="Wingdings" w:hAnsi="Wingdings" w:eastAsia="Wingdings" w:cs="Wingdings"/>
      </w:rPr>
    </w:lvl>
    <w:lvl w:ilvl="2">
      <w:start w:val="1"/>
      <w:numFmt w:val="bullet"/>
      <w:lvlText w:val="-"/>
      <w:lvlJc w:val="left"/>
      <w:pPr>
        <w:ind w:left="2160" w:hanging="360"/>
      </w:pPr>
      <w:rPr>
        <w:rFonts w:hint="default" w:ascii="Symbol" w:hAnsi="Symbol" w:eastAsia="Symbol" w:cs="Symbol"/>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35" w15:restartNumberingAfterBreak="0">
    <w:nsid w:val="78C14E45"/>
    <w:multiLevelType w:val="multilevel"/>
    <w:tmpl w:val="FAB2101C"/>
    <w:lvl w:ilvl="0">
      <w:start w:val="1"/>
      <w:numFmt w:val="bullet"/>
      <w:lvlText w:val=""/>
      <w:lvlJc w:val="left"/>
      <w:pPr>
        <w:ind w:left="720" w:hanging="360"/>
      </w:pPr>
      <w:rPr>
        <w:rFonts w:hint="default" w:ascii="Symbol" w:hAnsi="Symbol" w:eastAsia="Symbol" w:cs="Symbol"/>
      </w:rPr>
    </w:lvl>
    <w:lvl w:ilvl="1">
      <w:start w:val="1"/>
      <w:numFmt w:val="bullet"/>
      <w:lvlText w:val=""/>
      <w:lvlJc w:val="left"/>
      <w:pPr>
        <w:ind w:left="1440" w:hanging="360"/>
      </w:pPr>
      <w:rPr>
        <w:rFonts w:hint="default" w:ascii="Wingdings" w:hAnsi="Wingdings" w:eastAsia="Wingdings" w:cs="Wingdings"/>
      </w:rPr>
    </w:lvl>
    <w:lvl w:ilvl="2">
      <w:start w:val="1"/>
      <w:numFmt w:val="bullet"/>
      <w:lvlText w:val="-"/>
      <w:lvlJc w:val="left"/>
      <w:pPr>
        <w:ind w:left="2160" w:hanging="360"/>
      </w:pPr>
      <w:rPr>
        <w:rFonts w:hint="default" w:ascii="Symbol" w:hAnsi="Symbol" w:eastAsia="Symbol" w:cs="Symbol"/>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36" w15:restartNumberingAfterBreak="0">
    <w:nsid w:val="795920FE"/>
    <w:multiLevelType w:val="multilevel"/>
    <w:tmpl w:val="EDE881FC"/>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37" w15:restartNumberingAfterBreak="0">
    <w:nsid w:val="79741FF3"/>
    <w:multiLevelType w:val="multilevel"/>
    <w:tmpl w:val="BE1A970C"/>
    <w:lvl w:ilvl="0">
      <w:start w:val="1"/>
      <w:numFmt w:val="bullet"/>
      <w:pStyle w:val="ListeTiretinterligne"/>
      <w:lvlText w:val="—"/>
      <w:lvlJc w:val="left"/>
      <w:pPr>
        <w:tabs>
          <w:tab w:val="num" w:pos="360"/>
        </w:tabs>
        <w:ind w:left="340" w:hanging="340"/>
      </w:pPr>
      <w:rPr>
        <w:rFonts w:hint="default" w:ascii="Times New Roman" w:hAnsi="Times New Roman" w:cs="Times New Roman"/>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8" w15:restartNumberingAfterBreak="0">
    <w:nsid w:val="79B86847"/>
    <w:multiLevelType w:val="multilevel"/>
    <w:tmpl w:val="978C7610"/>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39" w15:restartNumberingAfterBreak="0">
    <w:nsid w:val="7A055C50"/>
    <w:multiLevelType w:val="multilevel"/>
    <w:tmpl w:val="6F50EE1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40" w15:restartNumberingAfterBreak="0">
    <w:nsid w:val="7AB53FB9"/>
    <w:multiLevelType w:val="multilevel"/>
    <w:tmpl w:val="B33A5542"/>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41" w15:restartNumberingAfterBreak="0">
    <w:nsid w:val="7AF256FD"/>
    <w:multiLevelType w:val="multilevel"/>
    <w:tmpl w:val="D93A0AE2"/>
    <w:lvl w:ilvl="0">
      <w:start w:val="1"/>
      <w:numFmt w:val="bullet"/>
      <w:pStyle w:val="SI"/>
      <w:lvlText w:val=""/>
      <w:lvlJc w:val="left"/>
      <w:pPr>
        <w:tabs>
          <w:tab w:val="num" w:pos="0"/>
        </w:tabs>
        <w:ind w:left="1559" w:hanging="283"/>
      </w:pPr>
      <w:rPr>
        <w:rFonts w:hint="default" w:ascii="Symbol" w:hAnsi="Symbol"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2" w15:restartNumberingAfterBreak="0">
    <w:nsid w:val="7B257AE6"/>
    <w:multiLevelType w:val="multilevel"/>
    <w:tmpl w:val="2C26F790"/>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43" w15:restartNumberingAfterBreak="0">
    <w:nsid w:val="7BBE73AC"/>
    <w:multiLevelType w:val="multilevel"/>
    <w:tmpl w:val="AC2473C0"/>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44" w15:restartNumberingAfterBreak="0">
    <w:nsid w:val="7BE262D5"/>
    <w:multiLevelType w:val="multilevel"/>
    <w:tmpl w:val="9F9A6986"/>
    <w:lvl w:ilvl="0">
      <w:start w:val="1"/>
      <w:numFmt w:val="bullet"/>
      <w:lvlText w:val="·"/>
      <w:lvlJc w:val="left"/>
      <w:pPr>
        <w:ind w:left="720" w:hanging="360"/>
      </w:pPr>
      <w:rPr>
        <w:rFonts w:hint="default" w:ascii="Symbol" w:hAnsi="Symbol" w:eastAsia="Symbol" w:cs="Symbol"/>
      </w:rPr>
    </w:lvl>
    <w:lvl w:ilvl="1">
      <w:start w:val="1"/>
      <w:numFmt w:val="bullet"/>
      <w:lvlText w:val="o"/>
      <w:lvlJc w:val="left"/>
      <w:pPr>
        <w:ind w:left="1440" w:hanging="360"/>
      </w:pPr>
      <w:rPr>
        <w:rFonts w:hint="default" w:ascii="Courier New" w:hAnsi="Courier New" w:eastAsia="Courier New" w:cs="Courier New"/>
      </w:rPr>
    </w:lvl>
    <w:lvl w:ilvl="2">
      <w:start w:val="1"/>
      <w:numFmt w:val="bullet"/>
      <w:lvlText w:val="§"/>
      <w:lvlJc w:val="left"/>
      <w:pPr>
        <w:ind w:left="2160" w:hanging="360"/>
      </w:pPr>
      <w:rPr>
        <w:rFonts w:hint="default" w:ascii="Wingdings" w:hAnsi="Wingdings" w:eastAsia="Wingdings" w:cs="Wingdings"/>
      </w:rPr>
    </w:lvl>
    <w:lvl w:ilvl="3">
      <w:start w:val="1"/>
      <w:numFmt w:val="bullet"/>
      <w:lvlText w:val="·"/>
      <w:lvlJc w:val="left"/>
      <w:pPr>
        <w:ind w:left="2880" w:hanging="360"/>
      </w:pPr>
      <w:rPr>
        <w:rFonts w:hint="default" w:ascii="Symbol" w:hAnsi="Symbol" w:eastAsia="Symbol" w:cs="Symbol"/>
      </w:rPr>
    </w:lvl>
    <w:lvl w:ilvl="4">
      <w:start w:val="1"/>
      <w:numFmt w:val="bullet"/>
      <w:lvlText w:val="o"/>
      <w:lvlJc w:val="left"/>
      <w:pPr>
        <w:ind w:left="3600" w:hanging="360"/>
      </w:pPr>
      <w:rPr>
        <w:rFonts w:hint="default" w:ascii="Courier New" w:hAnsi="Courier New" w:eastAsia="Courier New" w:cs="Courier New"/>
      </w:rPr>
    </w:lvl>
    <w:lvl w:ilvl="5">
      <w:start w:val="1"/>
      <w:numFmt w:val="bullet"/>
      <w:lvlText w:val="§"/>
      <w:lvlJc w:val="left"/>
      <w:pPr>
        <w:ind w:left="4320" w:hanging="360"/>
      </w:pPr>
      <w:rPr>
        <w:rFonts w:hint="default" w:ascii="Wingdings" w:hAnsi="Wingdings" w:eastAsia="Wingdings" w:cs="Wingdings"/>
      </w:rPr>
    </w:lvl>
    <w:lvl w:ilvl="6">
      <w:start w:val="1"/>
      <w:numFmt w:val="bullet"/>
      <w:lvlText w:val="·"/>
      <w:lvlJc w:val="left"/>
      <w:pPr>
        <w:ind w:left="5040" w:hanging="360"/>
      </w:pPr>
      <w:rPr>
        <w:rFonts w:hint="default" w:ascii="Symbol" w:hAnsi="Symbol" w:eastAsia="Symbol" w:cs="Symbol"/>
      </w:rPr>
    </w:lvl>
    <w:lvl w:ilvl="7">
      <w:start w:val="1"/>
      <w:numFmt w:val="bullet"/>
      <w:lvlText w:val="o"/>
      <w:lvlJc w:val="left"/>
      <w:pPr>
        <w:ind w:left="5760" w:hanging="360"/>
      </w:pPr>
      <w:rPr>
        <w:rFonts w:hint="default" w:ascii="Courier New" w:hAnsi="Courier New" w:eastAsia="Courier New" w:cs="Courier New"/>
      </w:rPr>
    </w:lvl>
    <w:lvl w:ilvl="8">
      <w:start w:val="1"/>
      <w:numFmt w:val="bullet"/>
      <w:lvlText w:val="§"/>
      <w:lvlJc w:val="left"/>
      <w:pPr>
        <w:ind w:left="6480" w:hanging="360"/>
      </w:pPr>
      <w:rPr>
        <w:rFonts w:hint="default" w:ascii="Wingdings" w:hAnsi="Wingdings" w:eastAsia="Wingdings" w:cs="Wingdings"/>
      </w:rPr>
    </w:lvl>
  </w:abstractNum>
  <w:abstractNum w:abstractNumId="245" w15:restartNumberingAfterBreak="0">
    <w:nsid w:val="7C227598"/>
    <w:multiLevelType w:val="multilevel"/>
    <w:tmpl w:val="14A43D7C"/>
    <w:lvl w:ilvl="0">
      <w:start w:val="1"/>
      <w:numFmt w:val="bullet"/>
      <w:pStyle w:val="Paragraphe2"/>
      <w:lvlText w:val="o"/>
      <w:lvlJc w:val="left"/>
      <w:pPr>
        <w:tabs>
          <w:tab w:val="num" w:pos="0"/>
        </w:tabs>
        <w:ind w:left="1568" w:hanging="360"/>
      </w:pPr>
      <w:rPr>
        <w:rFonts w:hint="default" w:ascii="Courier New" w:hAnsi="Courier New" w:cs="Courier New"/>
      </w:rPr>
    </w:lvl>
    <w:lvl w:ilvl="1">
      <w:start w:val="1"/>
      <w:numFmt w:val="bullet"/>
      <w:lvlText w:val="o"/>
      <w:lvlJc w:val="left"/>
      <w:pPr>
        <w:tabs>
          <w:tab w:val="num" w:pos="0"/>
        </w:tabs>
        <w:ind w:left="2288" w:hanging="360"/>
      </w:pPr>
      <w:rPr>
        <w:rFonts w:hint="default" w:ascii="Courier New" w:hAnsi="Courier New" w:cs="Courier New"/>
      </w:rPr>
    </w:lvl>
    <w:lvl w:ilvl="2">
      <w:start w:val="1"/>
      <w:numFmt w:val="bullet"/>
      <w:lvlText w:val=""/>
      <w:lvlJc w:val="left"/>
      <w:pPr>
        <w:tabs>
          <w:tab w:val="num" w:pos="0"/>
        </w:tabs>
        <w:ind w:left="3008" w:hanging="360"/>
      </w:pPr>
      <w:rPr>
        <w:rFonts w:hint="default" w:ascii="Wingdings" w:hAnsi="Wingdings" w:cs="Wingdings"/>
      </w:rPr>
    </w:lvl>
    <w:lvl w:ilvl="3">
      <w:start w:val="1"/>
      <w:numFmt w:val="bullet"/>
      <w:lvlText w:val=""/>
      <w:lvlJc w:val="left"/>
      <w:pPr>
        <w:tabs>
          <w:tab w:val="num" w:pos="0"/>
        </w:tabs>
        <w:ind w:left="3728" w:hanging="360"/>
      </w:pPr>
      <w:rPr>
        <w:rFonts w:hint="default" w:ascii="Symbol" w:hAnsi="Symbol" w:cs="Symbol"/>
      </w:rPr>
    </w:lvl>
    <w:lvl w:ilvl="4">
      <w:start w:val="1"/>
      <w:numFmt w:val="bullet"/>
      <w:lvlText w:val="o"/>
      <w:lvlJc w:val="left"/>
      <w:pPr>
        <w:tabs>
          <w:tab w:val="num" w:pos="0"/>
        </w:tabs>
        <w:ind w:left="4448" w:hanging="360"/>
      </w:pPr>
      <w:rPr>
        <w:rFonts w:hint="default" w:ascii="Courier New" w:hAnsi="Courier New" w:cs="Courier New"/>
      </w:rPr>
    </w:lvl>
    <w:lvl w:ilvl="5">
      <w:start w:val="1"/>
      <w:numFmt w:val="bullet"/>
      <w:lvlText w:val=""/>
      <w:lvlJc w:val="left"/>
      <w:pPr>
        <w:tabs>
          <w:tab w:val="num" w:pos="0"/>
        </w:tabs>
        <w:ind w:left="5168" w:hanging="360"/>
      </w:pPr>
      <w:rPr>
        <w:rFonts w:hint="default" w:ascii="Wingdings" w:hAnsi="Wingdings" w:cs="Wingdings"/>
      </w:rPr>
    </w:lvl>
    <w:lvl w:ilvl="6">
      <w:start w:val="1"/>
      <w:numFmt w:val="bullet"/>
      <w:lvlText w:val=""/>
      <w:lvlJc w:val="left"/>
      <w:pPr>
        <w:tabs>
          <w:tab w:val="num" w:pos="0"/>
        </w:tabs>
        <w:ind w:left="5888" w:hanging="360"/>
      </w:pPr>
      <w:rPr>
        <w:rFonts w:hint="default" w:ascii="Symbol" w:hAnsi="Symbol" w:cs="Symbol"/>
      </w:rPr>
    </w:lvl>
    <w:lvl w:ilvl="7">
      <w:start w:val="1"/>
      <w:numFmt w:val="bullet"/>
      <w:lvlText w:val="o"/>
      <w:lvlJc w:val="left"/>
      <w:pPr>
        <w:tabs>
          <w:tab w:val="num" w:pos="0"/>
        </w:tabs>
        <w:ind w:left="6608" w:hanging="360"/>
      </w:pPr>
      <w:rPr>
        <w:rFonts w:hint="default" w:ascii="Courier New" w:hAnsi="Courier New" w:cs="Courier New"/>
      </w:rPr>
    </w:lvl>
    <w:lvl w:ilvl="8">
      <w:start w:val="1"/>
      <w:numFmt w:val="bullet"/>
      <w:lvlText w:val=""/>
      <w:lvlJc w:val="left"/>
      <w:pPr>
        <w:tabs>
          <w:tab w:val="num" w:pos="0"/>
        </w:tabs>
        <w:ind w:left="7328" w:hanging="360"/>
      </w:pPr>
      <w:rPr>
        <w:rFonts w:hint="default" w:ascii="Wingdings" w:hAnsi="Wingdings" w:cs="Wingdings"/>
      </w:rPr>
    </w:lvl>
  </w:abstractNum>
  <w:abstractNum w:abstractNumId="246" w15:restartNumberingAfterBreak="0">
    <w:nsid w:val="7C330972"/>
    <w:multiLevelType w:val="multilevel"/>
    <w:tmpl w:val="2C2033F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47" w15:restartNumberingAfterBreak="0">
    <w:nsid w:val="7C7C7455"/>
    <w:multiLevelType w:val="multilevel"/>
    <w:tmpl w:val="4B0EE94C"/>
    <w:lvl w:ilvl="0">
      <w:start w:val="1"/>
      <w:numFmt w:val="decimal"/>
      <w:suff w:val="space"/>
      <w:lvlText w:val="Partie %1 - "/>
      <w:lvlJc w:val="left"/>
      <w:pPr>
        <w:tabs>
          <w:tab w:val="num" w:pos="0"/>
        </w:tabs>
        <w:ind w:left="0" w:firstLine="0"/>
      </w:pPr>
      <w:rPr>
        <w:rFonts w:ascii="Calibri" w:hAnsi="Calibri"/>
        <w:caps/>
        <w:color w:val="03A6A3"/>
      </w:rPr>
    </w:lvl>
    <w:lvl w:ilvl="1">
      <w:start w:val="1"/>
      <w:numFmt w:val="decimal"/>
      <w:lvlText w:val="%2."/>
      <w:lvlJc w:val="left"/>
      <w:pPr>
        <w:tabs>
          <w:tab w:val="num" w:pos="0"/>
        </w:tabs>
        <w:ind w:left="360" w:hanging="360"/>
      </w:pPr>
    </w:lvl>
    <w:lvl w:ilvl="2">
      <w:start w:val="1"/>
      <w:numFmt w:val="decimal"/>
      <w:lvlText w:val="%2.%3."/>
      <w:lvlJc w:val="left"/>
      <w:pPr>
        <w:tabs>
          <w:tab w:val="num" w:pos="567"/>
        </w:tabs>
        <w:ind w:left="567" w:hanging="567"/>
      </w:pPr>
      <w:rPr>
        <w:rFonts w:ascii="Calibri" w:hAnsi="Calibri"/>
        <w:caps w:val="0"/>
        <w:smallCaps w:val="0"/>
        <w:color w:val="03A6A3"/>
        <w:sz w:val="28"/>
      </w:rPr>
    </w:lvl>
    <w:lvl w:ilvl="3">
      <w:start w:val="1"/>
      <w:numFmt w:val="decimal"/>
      <w:lvlText w:val="%2.%3.%4."/>
      <w:lvlJc w:val="left"/>
      <w:pPr>
        <w:tabs>
          <w:tab w:val="num" w:pos="851"/>
        </w:tabs>
        <w:ind w:left="851" w:hanging="851"/>
      </w:pPr>
      <w:rPr>
        <w:rFonts w:ascii="Calibri" w:hAnsi="Calibri"/>
        <w:caps w:val="0"/>
        <w:smallCaps w:val="0"/>
        <w:color w:val="03A6A3"/>
        <w:sz w:val="24"/>
      </w:rPr>
    </w:lvl>
    <w:lvl w:ilvl="4">
      <w:start w:val="1"/>
      <w:numFmt w:val="decimal"/>
      <w:lvlText w:val="%2.%3.%4.%5."/>
      <w:lvlJc w:val="left"/>
      <w:pPr>
        <w:tabs>
          <w:tab w:val="num" w:pos="1134"/>
        </w:tabs>
        <w:ind w:left="1134" w:hanging="1134"/>
      </w:pPr>
      <w:rPr>
        <w:rFonts w:ascii="Calibri" w:hAnsi="Calibri"/>
        <w:caps w:val="0"/>
        <w:smallCaps w:val="0"/>
        <w:color w:val="03A6A3"/>
        <w:sz w:val="22"/>
      </w:rPr>
    </w:lvl>
    <w:lvl w:ilvl="5">
      <w:start w:val="1"/>
      <w:numFmt w:val="lowerLetter"/>
      <w:suff w:val="space"/>
      <w:lvlText w:val="%6)"/>
      <w:lvlJc w:val="left"/>
      <w:pPr>
        <w:tabs>
          <w:tab w:val="num" w:pos="0"/>
        </w:tabs>
        <w:ind w:left="737" w:hanging="170"/>
      </w:pPr>
    </w:lvl>
    <w:lvl w:ilvl="6">
      <w:start w:val="1"/>
      <w:numFmt w:val="lowerRoman"/>
      <w:suff w:val="space"/>
      <w:lvlText w:val="%7."/>
      <w:lvlJc w:val="left"/>
      <w:pPr>
        <w:tabs>
          <w:tab w:val="num" w:pos="0"/>
        </w:tabs>
        <w:ind w:left="1134" w:hanging="283"/>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48" w15:restartNumberingAfterBreak="0">
    <w:nsid w:val="7C9B1793"/>
    <w:multiLevelType w:val="multilevel"/>
    <w:tmpl w:val="3AC27E0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49" w15:restartNumberingAfterBreak="0">
    <w:nsid w:val="7EBC5480"/>
    <w:multiLevelType w:val="multilevel"/>
    <w:tmpl w:val="12F6A9E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50" w15:restartNumberingAfterBreak="0">
    <w:nsid w:val="7EFE1BF7"/>
    <w:multiLevelType w:val="multilevel"/>
    <w:tmpl w:val="FCB430B6"/>
    <w:lvl w:ilvl="0">
      <w:start w:val="1"/>
      <w:numFmt w:val="bullet"/>
      <w:lvlText w:val="·"/>
      <w:lvlJc w:val="left"/>
      <w:pPr>
        <w:ind w:left="709" w:hanging="360"/>
      </w:pPr>
      <w:rPr>
        <w:rFonts w:hint="default" w:ascii="Symbol" w:hAnsi="Symbol" w:eastAsia="Symbol" w:cs="Symbol"/>
        <w:color w:val="000000"/>
        <w:sz w:val="24"/>
      </w:rPr>
    </w:lvl>
    <w:lvl w:ilvl="1">
      <w:start w:val="1"/>
      <w:numFmt w:val="bullet"/>
      <w:lvlText w:val="·"/>
      <w:lvlJc w:val="left"/>
      <w:pPr>
        <w:ind w:left="1429" w:hanging="360"/>
      </w:pPr>
      <w:rPr>
        <w:rFonts w:hint="default" w:ascii="Symbol" w:hAnsi="Symbol" w:eastAsia="Symbol" w:cs="Symbol"/>
        <w:color w:val="000000"/>
        <w:sz w:val="24"/>
      </w:rPr>
    </w:lvl>
    <w:lvl w:ilvl="2">
      <w:start w:val="1"/>
      <w:numFmt w:val="bullet"/>
      <w:lvlText w:val="·"/>
      <w:lvlJc w:val="left"/>
      <w:pPr>
        <w:ind w:left="2149" w:hanging="360"/>
      </w:pPr>
      <w:rPr>
        <w:rFonts w:hint="default" w:ascii="Symbol" w:hAnsi="Symbol" w:eastAsia="Symbol" w:cs="Symbol"/>
        <w:color w:val="000000"/>
        <w:sz w:val="24"/>
      </w:rPr>
    </w:lvl>
    <w:lvl w:ilvl="3">
      <w:start w:val="1"/>
      <w:numFmt w:val="bullet"/>
      <w:lvlText w:val="·"/>
      <w:lvlJc w:val="left"/>
      <w:pPr>
        <w:ind w:left="2869" w:hanging="360"/>
      </w:pPr>
      <w:rPr>
        <w:rFonts w:hint="default" w:ascii="Symbol" w:hAnsi="Symbol" w:eastAsia="Symbol" w:cs="Symbol"/>
        <w:color w:val="000000"/>
        <w:sz w:val="24"/>
      </w:rPr>
    </w:lvl>
    <w:lvl w:ilvl="4">
      <w:start w:val="1"/>
      <w:numFmt w:val="bullet"/>
      <w:lvlText w:val="·"/>
      <w:lvlJc w:val="left"/>
      <w:pPr>
        <w:ind w:left="3589" w:hanging="360"/>
      </w:pPr>
      <w:rPr>
        <w:rFonts w:hint="default" w:ascii="Symbol" w:hAnsi="Symbol" w:eastAsia="Symbol" w:cs="Symbol"/>
        <w:color w:val="000000"/>
        <w:sz w:val="24"/>
      </w:rPr>
    </w:lvl>
    <w:lvl w:ilvl="5">
      <w:start w:val="1"/>
      <w:numFmt w:val="bullet"/>
      <w:lvlText w:val="·"/>
      <w:lvlJc w:val="left"/>
      <w:pPr>
        <w:ind w:left="4309" w:hanging="360"/>
      </w:pPr>
      <w:rPr>
        <w:rFonts w:hint="default" w:ascii="Symbol" w:hAnsi="Symbol" w:eastAsia="Symbol" w:cs="Symbol"/>
        <w:color w:val="000000"/>
        <w:sz w:val="24"/>
      </w:rPr>
    </w:lvl>
    <w:lvl w:ilvl="6">
      <w:start w:val="1"/>
      <w:numFmt w:val="bullet"/>
      <w:lvlText w:val="·"/>
      <w:lvlJc w:val="left"/>
      <w:pPr>
        <w:ind w:left="5029" w:hanging="360"/>
      </w:pPr>
      <w:rPr>
        <w:rFonts w:hint="default" w:ascii="Symbol" w:hAnsi="Symbol" w:eastAsia="Symbol" w:cs="Symbol"/>
        <w:color w:val="000000"/>
        <w:sz w:val="24"/>
      </w:rPr>
    </w:lvl>
    <w:lvl w:ilvl="7">
      <w:start w:val="1"/>
      <w:numFmt w:val="bullet"/>
      <w:lvlText w:val="·"/>
      <w:lvlJc w:val="left"/>
      <w:pPr>
        <w:ind w:left="5749" w:hanging="360"/>
      </w:pPr>
      <w:rPr>
        <w:rFonts w:hint="default" w:ascii="Symbol" w:hAnsi="Symbol" w:eastAsia="Symbol" w:cs="Symbol"/>
        <w:color w:val="000000"/>
        <w:sz w:val="24"/>
      </w:rPr>
    </w:lvl>
    <w:lvl w:ilvl="8">
      <w:start w:val="1"/>
      <w:numFmt w:val="bullet"/>
      <w:lvlText w:val="·"/>
      <w:lvlJc w:val="left"/>
      <w:pPr>
        <w:ind w:left="6469" w:hanging="360"/>
      </w:pPr>
      <w:rPr>
        <w:rFonts w:hint="default" w:ascii="Symbol" w:hAnsi="Symbol" w:eastAsia="Symbol" w:cs="Symbol"/>
        <w:color w:val="000000"/>
        <w:sz w:val="24"/>
      </w:rPr>
    </w:lvl>
  </w:abstractNum>
  <w:abstractNum w:abstractNumId="251" w15:restartNumberingAfterBreak="0">
    <w:nsid w:val="7F6235AE"/>
    <w:multiLevelType w:val="multilevel"/>
    <w:tmpl w:val="3896656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52" w15:restartNumberingAfterBreak="0">
    <w:nsid w:val="7FFE0264"/>
    <w:multiLevelType w:val="multilevel"/>
    <w:tmpl w:val="B7E65FF0"/>
    <w:lvl w:ilvl="0">
      <w:start w:val="1"/>
      <w:numFmt w:val="bullet"/>
      <w:lvlText w:val="·"/>
      <w:lvlJc w:val="left"/>
      <w:pPr>
        <w:ind w:left="709" w:hanging="360"/>
      </w:pPr>
      <w:rPr>
        <w:rFonts w:hint="default" w:ascii="Symbol" w:hAnsi="Symbol" w:eastAsia="Symbol" w:cs="Symbol"/>
      </w:rPr>
    </w:lvl>
    <w:lvl w:ilvl="1">
      <w:start w:val="1"/>
      <w:numFmt w:val="bullet"/>
      <w:lvlText w:val="·"/>
      <w:lvlJc w:val="left"/>
      <w:pPr>
        <w:ind w:left="1429" w:hanging="360"/>
      </w:pPr>
      <w:rPr>
        <w:rFonts w:hint="default" w:ascii="Symbol" w:hAnsi="Symbol" w:eastAsia="Symbol" w:cs="Symbol"/>
      </w:rPr>
    </w:lvl>
    <w:lvl w:ilvl="2">
      <w:start w:val="1"/>
      <w:numFmt w:val="bullet"/>
      <w:lvlText w:val="·"/>
      <w:lvlJc w:val="left"/>
      <w:pPr>
        <w:ind w:left="2149" w:hanging="360"/>
      </w:pPr>
      <w:rPr>
        <w:rFonts w:hint="default" w:ascii="Symbol" w:hAnsi="Symbol" w:eastAsia="Symbol" w:cs="Symbol"/>
      </w:rPr>
    </w:lvl>
    <w:lvl w:ilvl="3">
      <w:start w:val="1"/>
      <w:numFmt w:val="bullet"/>
      <w:lvlText w:val="·"/>
      <w:lvlJc w:val="left"/>
      <w:pPr>
        <w:ind w:left="2869" w:hanging="360"/>
      </w:pPr>
      <w:rPr>
        <w:rFonts w:hint="default" w:ascii="Symbol" w:hAnsi="Symbol" w:eastAsia="Symbol" w:cs="Symbol"/>
      </w:rPr>
    </w:lvl>
    <w:lvl w:ilvl="4">
      <w:start w:val="1"/>
      <w:numFmt w:val="bullet"/>
      <w:lvlText w:val="·"/>
      <w:lvlJc w:val="left"/>
      <w:pPr>
        <w:ind w:left="3589" w:hanging="360"/>
      </w:pPr>
      <w:rPr>
        <w:rFonts w:hint="default" w:ascii="Symbol" w:hAnsi="Symbol" w:eastAsia="Symbol" w:cs="Symbol"/>
      </w:rPr>
    </w:lvl>
    <w:lvl w:ilvl="5">
      <w:start w:val="1"/>
      <w:numFmt w:val="bullet"/>
      <w:lvlText w:val="·"/>
      <w:lvlJc w:val="left"/>
      <w:pPr>
        <w:ind w:left="4309" w:hanging="360"/>
      </w:pPr>
      <w:rPr>
        <w:rFonts w:hint="default" w:ascii="Symbol" w:hAnsi="Symbol" w:eastAsia="Symbol" w:cs="Symbol"/>
      </w:rPr>
    </w:lvl>
    <w:lvl w:ilvl="6">
      <w:start w:val="1"/>
      <w:numFmt w:val="bullet"/>
      <w:lvlText w:val="·"/>
      <w:lvlJc w:val="left"/>
      <w:pPr>
        <w:ind w:left="5029" w:hanging="360"/>
      </w:pPr>
      <w:rPr>
        <w:rFonts w:hint="default" w:ascii="Symbol" w:hAnsi="Symbol" w:eastAsia="Symbol" w:cs="Symbol"/>
      </w:rPr>
    </w:lvl>
    <w:lvl w:ilvl="7">
      <w:start w:val="1"/>
      <w:numFmt w:val="bullet"/>
      <w:lvlText w:val="·"/>
      <w:lvlJc w:val="left"/>
      <w:pPr>
        <w:ind w:left="5749" w:hanging="360"/>
      </w:pPr>
      <w:rPr>
        <w:rFonts w:hint="default" w:ascii="Symbol" w:hAnsi="Symbol" w:eastAsia="Symbol" w:cs="Symbol"/>
      </w:rPr>
    </w:lvl>
    <w:lvl w:ilvl="8">
      <w:start w:val="1"/>
      <w:numFmt w:val="bullet"/>
      <w:lvlText w:val="·"/>
      <w:lvlJc w:val="left"/>
      <w:pPr>
        <w:ind w:left="6469" w:hanging="360"/>
      </w:pPr>
      <w:rPr>
        <w:rFonts w:hint="default" w:ascii="Symbol" w:hAnsi="Symbol" w:eastAsia="Symbol" w:cs="Symbol"/>
      </w:rPr>
    </w:lvl>
  </w:abstractNum>
  <w:num w:numId="1" w16cid:durableId="1686977914">
    <w:abstractNumId w:val="170"/>
  </w:num>
  <w:num w:numId="2" w16cid:durableId="354814186">
    <w:abstractNumId w:val="40"/>
  </w:num>
  <w:num w:numId="3" w16cid:durableId="702097225">
    <w:abstractNumId w:val="48"/>
  </w:num>
  <w:num w:numId="4" w16cid:durableId="2042971725">
    <w:abstractNumId w:val="91"/>
  </w:num>
  <w:num w:numId="5" w16cid:durableId="696976788">
    <w:abstractNumId w:val="83"/>
  </w:num>
  <w:num w:numId="6" w16cid:durableId="2044087027">
    <w:abstractNumId w:val="81"/>
  </w:num>
  <w:num w:numId="7" w16cid:durableId="1940093614">
    <w:abstractNumId w:val="70"/>
  </w:num>
  <w:num w:numId="8" w16cid:durableId="1119642978">
    <w:abstractNumId w:val="107"/>
  </w:num>
  <w:num w:numId="9" w16cid:durableId="544878954">
    <w:abstractNumId w:val="42"/>
  </w:num>
  <w:num w:numId="10" w16cid:durableId="885409562">
    <w:abstractNumId w:val="193"/>
  </w:num>
  <w:num w:numId="11" w16cid:durableId="380640658">
    <w:abstractNumId w:val="185"/>
  </w:num>
  <w:num w:numId="12" w16cid:durableId="1192769566">
    <w:abstractNumId w:val="172"/>
  </w:num>
  <w:num w:numId="13" w16cid:durableId="1654983960">
    <w:abstractNumId w:val="74"/>
  </w:num>
  <w:num w:numId="14" w16cid:durableId="218977054">
    <w:abstractNumId w:val="54"/>
  </w:num>
  <w:num w:numId="15" w16cid:durableId="72050320">
    <w:abstractNumId w:val="15"/>
  </w:num>
  <w:num w:numId="16" w16cid:durableId="672073469">
    <w:abstractNumId w:val="190"/>
  </w:num>
  <w:num w:numId="17" w16cid:durableId="1753892838">
    <w:abstractNumId w:val="97"/>
  </w:num>
  <w:num w:numId="18" w16cid:durableId="1410226444">
    <w:abstractNumId w:val="23"/>
  </w:num>
  <w:num w:numId="19" w16cid:durableId="701057998">
    <w:abstractNumId w:val="28"/>
  </w:num>
  <w:num w:numId="20" w16cid:durableId="1898739954">
    <w:abstractNumId w:val="241"/>
  </w:num>
  <w:num w:numId="21" w16cid:durableId="920676933">
    <w:abstractNumId w:val="237"/>
  </w:num>
  <w:num w:numId="22" w16cid:durableId="450325340">
    <w:abstractNumId w:val="168"/>
  </w:num>
  <w:num w:numId="23" w16cid:durableId="1956979127">
    <w:abstractNumId w:val="228"/>
  </w:num>
  <w:num w:numId="24" w16cid:durableId="328564539">
    <w:abstractNumId w:val="55"/>
  </w:num>
  <w:num w:numId="25" w16cid:durableId="435947702">
    <w:abstractNumId w:val="245"/>
  </w:num>
  <w:num w:numId="26" w16cid:durableId="472407225">
    <w:abstractNumId w:val="209"/>
  </w:num>
  <w:num w:numId="27" w16cid:durableId="1722821517">
    <w:abstractNumId w:val="120"/>
  </w:num>
  <w:num w:numId="28" w16cid:durableId="2112046883">
    <w:abstractNumId w:val="150"/>
  </w:num>
  <w:num w:numId="29" w16cid:durableId="2134979085">
    <w:abstractNumId w:val="212"/>
  </w:num>
  <w:num w:numId="30" w16cid:durableId="457068282">
    <w:abstractNumId w:val="147"/>
  </w:num>
  <w:num w:numId="31" w16cid:durableId="1619482413">
    <w:abstractNumId w:val="60"/>
  </w:num>
  <w:num w:numId="32" w16cid:durableId="41829033">
    <w:abstractNumId w:val="184"/>
  </w:num>
  <w:num w:numId="33" w16cid:durableId="611786893">
    <w:abstractNumId w:val="52"/>
  </w:num>
  <w:num w:numId="34" w16cid:durableId="1631549660">
    <w:abstractNumId w:val="10"/>
  </w:num>
  <w:num w:numId="35" w16cid:durableId="2637177">
    <w:abstractNumId w:val="125"/>
  </w:num>
  <w:num w:numId="36" w16cid:durableId="58596299">
    <w:abstractNumId w:val="196"/>
  </w:num>
  <w:num w:numId="37" w16cid:durableId="1308168065">
    <w:abstractNumId w:val="100"/>
  </w:num>
  <w:num w:numId="38" w16cid:durableId="1269196693">
    <w:abstractNumId w:val="106"/>
  </w:num>
  <w:num w:numId="39" w16cid:durableId="287707595">
    <w:abstractNumId w:val="12"/>
  </w:num>
  <w:num w:numId="40" w16cid:durableId="735588431">
    <w:abstractNumId w:val="22"/>
  </w:num>
  <w:num w:numId="41" w16cid:durableId="171719920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num>
  <w:num w:numId="42" w16cid:durableId="1764715327">
    <w:abstractNumId w:val="44"/>
  </w:num>
  <w:num w:numId="43" w16cid:durableId="1005861414">
    <w:abstractNumId w:val="4"/>
  </w:num>
  <w:num w:numId="44" w16cid:durableId="398599875">
    <w:abstractNumId w:val="136"/>
  </w:num>
  <w:num w:numId="45" w16cid:durableId="205216120">
    <w:abstractNumId w:val="31"/>
  </w:num>
  <w:num w:numId="46" w16cid:durableId="1433166993">
    <w:abstractNumId w:val="7"/>
  </w:num>
  <w:num w:numId="47" w16cid:durableId="1280912825">
    <w:abstractNumId w:val="233"/>
  </w:num>
  <w:num w:numId="48" w16cid:durableId="116873769">
    <w:abstractNumId w:val="49"/>
  </w:num>
  <w:num w:numId="49" w16cid:durableId="179508594">
    <w:abstractNumId w:val="8"/>
  </w:num>
  <w:num w:numId="50" w16cid:durableId="1863351372">
    <w:abstractNumId w:val="82"/>
  </w:num>
  <w:num w:numId="51" w16cid:durableId="394545746">
    <w:abstractNumId w:val="138"/>
  </w:num>
  <w:num w:numId="52" w16cid:durableId="1596400135">
    <w:abstractNumId w:val="144"/>
  </w:num>
  <w:num w:numId="53" w16cid:durableId="562057644">
    <w:abstractNumId w:val="132"/>
  </w:num>
  <w:num w:numId="54" w16cid:durableId="1856071967">
    <w:abstractNumId w:val="50"/>
  </w:num>
  <w:num w:numId="55" w16cid:durableId="893347706">
    <w:abstractNumId w:val="94"/>
  </w:num>
  <w:num w:numId="56" w16cid:durableId="320815379">
    <w:abstractNumId w:val="191"/>
  </w:num>
  <w:num w:numId="57" w16cid:durableId="1057708821">
    <w:abstractNumId w:val="64"/>
  </w:num>
  <w:num w:numId="58" w16cid:durableId="133332106">
    <w:abstractNumId w:val="232"/>
  </w:num>
  <w:num w:numId="59" w16cid:durableId="1021585077">
    <w:abstractNumId w:val="216"/>
  </w:num>
  <w:num w:numId="60" w16cid:durableId="1415320137">
    <w:abstractNumId w:val="240"/>
  </w:num>
  <w:num w:numId="61" w16cid:durableId="1088505126">
    <w:abstractNumId w:val="36"/>
  </w:num>
  <w:num w:numId="62" w16cid:durableId="1399009790">
    <w:abstractNumId w:val="29"/>
  </w:num>
  <w:num w:numId="63" w16cid:durableId="664164357">
    <w:abstractNumId w:val="69"/>
  </w:num>
  <w:num w:numId="64" w16cid:durableId="789057943">
    <w:abstractNumId w:val="65"/>
  </w:num>
  <w:num w:numId="65" w16cid:durableId="125859588">
    <w:abstractNumId w:val="189"/>
  </w:num>
  <w:num w:numId="66" w16cid:durableId="1041856150">
    <w:abstractNumId w:val="164"/>
  </w:num>
  <w:num w:numId="67" w16cid:durableId="350375544">
    <w:abstractNumId w:val="78"/>
  </w:num>
  <w:num w:numId="68" w16cid:durableId="51084176">
    <w:abstractNumId w:val="115"/>
  </w:num>
  <w:num w:numId="69" w16cid:durableId="1289045926">
    <w:abstractNumId w:val="73"/>
  </w:num>
  <w:num w:numId="70" w16cid:durableId="1596354691">
    <w:abstractNumId w:val="206"/>
  </w:num>
  <w:num w:numId="71" w16cid:durableId="2032604552">
    <w:abstractNumId w:val="217"/>
  </w:num>
  <w:num w:numId="72" w16cid:durableId="509027267">
    <w:abstractNumId w:val="159"/>
  </w:num>
  <w:num w:numId="73" w16cid:durableId="1078987981">
    <w:abstractNumId w:val="20"/>
  </w:num>
  <w:num w:numId="74" w16cid:durableId="643897134">
    <w:abstractNumId w:val="25"/>
  </w:num>
  <w:num w:numId="75" w16cid:durableId="654337810">
    <w:abstractNumId w:val="238"/>
  </w:num>
  <w:num w:numId="76" w16cid:durableId="1815951508">
    <w:abstractNumId w:val="122"/>
  </w:num>
  <w:num w:numId="77" w16cid:durableId="1051266438">
    <w:abstractNumId w:val="33"/>
  </w:num>
  <w:num w:numId="78" w16cid:durableId="738407551">
    <w:abstractNumId w:val="143"/>
  </w:num>
  <w:num w:numId="79" w16cid:durableId="693191443">
    <w:abstractNumId w:val="67"/>
  </w:num>
  <w:num w:numId="80" w16cid:durableId="327756063">
    <w:abstractNumId w:val="244"/>
  </w:num>
  <w:num w:numId="81" w16cid:durableId="589243646">
    <w:abstractNumId w:val="213"/>
  </w:num>
  <w:num w:numId="82" w16cid:durableId="128472732">
    <w:abstractNumId w:val="167"/>
  </w:num>
  <w:num w:numId="83" w16cid:durableId="1695107023">
    <w:abstractNumId w:val="93"/>
  </w:num>
  <w:num w:numId="84" w16cid:durableId="894702241">
    <w:abstractNumId w:val="221"/>
  </w:num>
  <w:num w:numId="85" w16cid:durableId="2101485448">
    <w:abstractNumId w:val="130"/>
  </w:num>
  <w:num w:numId="86" w16cid:durableId="369426494">
    <w:abstractNumId w:val="84"/>
  </w:num>
  <w:num w:numId="87" w16cid:durableId="216822314">
    <w:abstractNumId w:val="46"/>
  </w:num>
  <w:num w:numId="88" w16cid:durableId="1892688946">
    <w:abstractNumId w:val="19"/>
  </w:num>
  <w:num w:numId="89" w16cid:durableId="1497914946">
    <w:abstractNumId w:val="11"/>
  </w:num>
  <w:num w:numId="90" w16cid:durableId="886913722">
    <w:abstractNumId w:val="231"/>
  </w:num>
  <w:num w:numId="91" w16cid:durableId="1037200801">
    <w:abstractNumId w:val="119"/>
  </w:num>
  <w:num w:numId="92" w16cid:durableId="601911767">
    <w:abstractNumId w:val="129"/>
  </w:num>
  <w:num w:numId="93" w16cid:durableId="1445074796">
    <w:abstractNumId w:val="101"/>
  </w:num>
  <w:num w:numId="94" w16cid:durableId="1703359609">
    <w:abstractNumId w:val="186"/>
  </w:num>
  <w:num w:numId="95" w16cid:durableId="624434802">
    <w:abstractNumId w:val="88"/>
  </w:num>
  <w:num w:numId="96" w16cid:durableId="2006974583">
    <w:abstractNumId w:val="96"/>
  </w:num>
  <w:num w:numId="97" w16cid:durableId="1660303740">
    <w:abstractNumId w:val="148"/>
  </w:num>
  <w:num w:numId="98" w16cid:durableId="149950846">
    <w:abstractNumId w:val="211"/>
  </w:num>
  <w:num w:numId="99" w16cid:durableId="1109812767">
    <w:abstractNumId w:val="235"/>
  </w:num>
  <w:num w:numId="100" w16cid:durableId="207642466">
    <w:abstractNumId w:val="224"/>
  </w:num>
  <w:num w:numId="101" w16cid:durableId="1203177669">
    <w:abstractNumId w:val="90"/>
  </w:num>
  <w:num w:numId="102" w16cid:durableId="1892885056">
    <w:abstractNumId w:val="234"/>
  </w:num>
  <w:num w:numId="103" w16cid:durableId="799498475">
    <w:abstractNumId w:val="58"/>
  </w:num>
  <w:num w:numId="104" w16cid:durableId="10646481">
    <w:abstractNumId w:val="6"/>
  </w:num>
  <w:num w:numId="105" w16cid:durableId="1961261402">
    <w:abstractNumId w:val="32"/>
  </w:num>
  <w:num w:numId="106" w16cid:durableId="1242326519">
    <w:abstractNumId w:val="38"/>
  </w:num>
  <w:num w:numId="107" w16cid:durableId="1391029826">
    <w:abstractNumId w:val="0"/>
  </w:num>
  <w:num w:numId="108" w16cid:durableId="1606812641">
    <w:abstractNumId w:val="223"/>
  </w:num>
  <w:num w:numId="109" w16cid:durableId="329065499">
    <w:abstractNumId w:val="160"/>
  </w:num>
  <w:num w:numId="110" w16cid:durableId="1791703505">
    <w:abstractNumId w:val="109"/>
  </w:num>
  <w:num w:numId="111" w16cid:durableId="839084541">
    <w:abstractNumId w:val="114"/>
  </w:num>
  <w:num w:numId="112" w16cid:durableId="1232233799">
    <w:abstractNumId w:val="102"/>
  </w:num>
  <w:num w:numId="113" w16cid:durableId="929581741">
    <w:abstractNumId w:val="75"/>
  </w:num>
  <w:num w:numId="114" w16cid:durableId="652947067">
    <w:abstractNumId w:val="218"/>
  </w:num>
  <w:num w:numId="115" w16cid:durableId="10500391">
    <w:abstractNumId w:val="155"/>
  </w:num>
  <w:num w:numId="116" w16cid:durableId="241523860">
    <w:abstractNumId w:val="200"/>
  </w:num>
  <w:num w:numId="117" w16cid:durableId="1676493640">
    <w:abstractNumId w:val="242"/>
  </w:num>
  <w:num w:numId="118" w16cid:durableId="1661539946">
    <w:abstractNumId w:val="108"/>
  </w:num>
  <w:num w:numId="119" w16cid:durableId="376703862">
    <w:abstractNumId w:val="141"/>
  </w:num>
  <w:num w:numId="120" w16cid:durableId="44985327">
    <w:abstractNumId w:val="137"/>
  </w:num>
  <w:num w:numId="121" w16cid:durableId="780413912">
    <w:abstractNumId w:val="169"/>
  </w:num>
  <w:num w:numId="122" w16cid:durableId="1177041836">
    <w:abstractNumId w:val="222"/>
  </w:num>
  <w:num w:numId="123" w16cid:durableId="2022392805">
    <w:abstractNumId w:val="110"/>
  </w:num>
  <w:num w:numId="124" w16cid:durableId="1140730667">
    <w:abstractNumId w:val="175"/>
  </w:num>
  <w:num w:numId="125" w16cid:durableId="1999648326">
    <w:abstractNumId w:val="103"/>
  </w:num>
  <w:num w:numId="126" w16cid:durableId="351499232">
    <w:abstractNumId w:val="95"/>
  </w:num>
  <w:num w:numId="127" w16cid:durableId="91751306">
    <w:abstractNumId w:val="178"/>
    <w:lvlOverride w:ilvl="0">
      <w:lvl w:ilvl="0">
        <w:numFmt w:val="decimal"/>
        <w:lvlText w:val="%1."/>
        <w:lvlJc w:val="left"/>
      </w:lvl>
    </w:lvlOverride>
  </w:num>
  <w:num w:numId="128" w16cid:durableId="2136874339">
    <w:abstractNumId w:val="215"/>
    <w:lvlOverride w:ilvl="0">
      <w:lvl w:ilvl="0">
        <w:numFmt w:val="decimal"/>
        <w:lvlText w:val="%1."/>
        <w:lvlJc w:val="left"/>
      </w:lvl>
    </w:lvlOverride>
  </w:num>
  <w:num w:numId="129" w16cid:durableId="680083967">
    <w:abstractNumId w:val="215"/>
    <w:lvlOverride w:ilvl="0">
      <w:lvl w:ilvl="0">
        <w:numFmt w:val="decimal"/>
        <w:lvlText w:val="%1."/>
        <w:lvlJc w:val="left"/>
      </w:lvl>
    </w:lvlOverride>
  </w:num>
  <w:num w:numId="130" w16cid:durableId="1691376137">
    <w:abstractNumId w:val="199"/>
  </w:num>
  <w:num w:numId="131" w16cid:durableId="16273726">
    <w:abstractNumId w:val="251"/>
  </w:num>
  <w:num w:numId="132" w16cid:durableId="1905211983">
    <w:abstractNumId w:val="131"/>
  </w:num>
  <w:num w:numId="133" w16cid:durableId="1358771992">
    <w:abstractNumId w:val="139"/>
    <w:lvlOverride w:ilvl="0">
      <w:lvl w:ilvl="0">
        <w:numFmt w:val="decimal"/>
        <w:lvlText w:val="%1."/>
        <w:lvlJc w:val="left"/>
      </w:lvl>
    </w:lvlOverride>
  </w:num>
  <w:num w:numId="134" w16cid:durableId="661859048">
    <w:abstractNumId w:val="162"/>
  </w:num>
  <w:num w:numId="135" w16cid:durableId="683672898">
    <w:abstractNumId w:val="34"/>
    <w:lvlOverride w:ilvl="0">
      <w:lvl w:ilvl="0">
        <w:numFmt w:val="decimal"/>
        <w:lvlText w:val="%1."/>
        <w:lvlJc w:val="left"/>
      </w:lvl>
    </w:lvlOverride>
  </w:num>
  <w:num w:numId="136" w16cid:durableId="1151479541">
    <w:abstractNumId w:val="87"/>
  </w:num>
  <w:num w:numId="137" w16cid:durableId="629942830">
    <w:abstractNumId w:val="118"/>
  </w:num>
  <w:num w:numId="138" w16cid:durableId="1796289001">
    <w:abstractNumId w:val="192"/>
  </w:num>
  <w:num w:numId="139" w16cid:durableId="1051340558">
    <w:abstractNumId w:val="57"/>
  </w:num>
  <w:num w:numId="140" w16cid:durableId="1179659990">
    <w:abstractNumId w:val="198"/>
  </w:num>
  <w:num w:numId="141" w16cid:durableId="2023966376">
    <w:abstractNumId w:val="5"/>
  </w:num>
  <w:num w:numId="142" w16cid:durableId="52393642">
    <w:abstractNumId w:val="154"/>
  </w:num>
  <w:num w:numId="143" w16cid:durableId="878932904">
    <w:abstractNumId w:val="14"/>
    <w:lvlOverride w:ilvl="0">
      <w:lvl w:ilvl="0">
        <w:numFmt w:val="decimal"/>
        <w:lvlText w:val="%1."/>
        <w:lvlJc w:val="left"/>
      </w:lvl>
    </w:lvlOverride>
  </w:num>
  <w:num w:numId="144" w16cid:durableId="1516378472">
    <w:abstractNumId w:val="208"/>
  </w:num>
  <w:num w:numId="145" w16cid:durableId="1507938679">
    <w:abstractNumId w:val="157"/>
  </w:num>
  <w:num w:numId="146" w16cid:durableId="1283266997">
    <w:abstractNumId w:val="104"/>
  </w:num>
  <w:num w:numId="147" w16cid:durableId="261955501">
    <w:abstractNumId w:val="80"/>
  </w:num>
  <w:num w:numId="148" w16cid:durableId="252780480">
    <w:abstractNumId w:val="27"/>
  </w:num>
  <w:num w:numId="149" w16cid:durableId="512034360">
    <w:abstractNumId w:val="203"/>
    <w:lvlOverride w:ilvl="0">
      <w:lvl w:ilvl="0">
        <w:numFmt w:val="decimal"/>
        <w:lvlText w:val="%1."/>
        <w:lvlJc w:val="left"/>
      </w:lvl>
    </w:lvlOverride>
  </w:num>
  <w:num w:numId="150" w16cid:durableId="1637222856">
    <w:abstractNumId w:val="68"/>
    <w:lvlOverride w:ilvl="0">
      <w:lvl w:ilvl="0">
        <w:numFmt w:val="decimal"/>
        <w:lvlText w:val="%1."/>
        <w:lvlJc w:val="left"/>
      </w:lvl>
    </w:lvlOverride>
  </w:num>
  <w:num w:numId="151" w16cid:durableId="1808669419">
    <w:abstractNumId w:val="76"/>
  </w:num>
  <w:num w:numId="152" w16cid:durableId="1108936923">
    <w:abstractNumId w:val="226"/>
  </w:num>
  <w:num w:numId="153" w16cid:durableId="990980916">
    <w:abstractNumId w:val="18"/>
  </w:num>
  <w:num w:numId="154" w16cid:durableId="1123959067">
    <w:abstractNumId w:val="26"/>
    <w:lvlOverride w:ilvl="0">
      <w:lvl w:ilvl="0">
        <w:numFmt w:val="decimal"/>
        <w:lvlText w:val="%1."/>
        <w:lvlJc w:val="left"/>
      </w:lvl>
    </w:lvlOverride>
  </w:num>
  <w:num w:numId="155" w16cid:durableId="612126710">
    <w:abstractNumId w:val="161"/>
  </w:num>
  <w:num w:numId="156" w16cid:durableId="481315904">
    <w:abstractNumId w:val="105"/>
  </w:num>
  <w:num w:numId="157" w16cid:durableId="794757583">
    <w:abstractNumId w:val="41"/>
  </w:num>
  <w:num w:numId="158" w16cid:durableId="2012829017">
    <w:abstractNumId w:val="128"/>
    <w:lvlOverride w:ilvl="0">
      <w:lvl w:ilvl="0">
        <w:numFmt w:val="decimal"/>
        <w:lvlText w:val="%1."/>
        <w:lvlJc w:val="left"/>
      </w:lvl>
    </w:lvlOverride>
  </w:num>
  <w:num w:numId="159" w16cid:durableId="1383408023">
    <w:abstractNumId w:val="177"/>
    <w:lvlOverride w:ilvl="0">
      <w:lvl w:ilvl="0">
        <w:numFmt w:val="decimal"/>
        <w:lvlText w:val="%1."/>
        <w:lvlJc w:val="left"/>
      </w:lvl>
    </w:lvlOverride>
  </w:num>
  <w:num w:numId="160" w16cid:durableId="924991753">
    <w:abstractNumId w:val="79"/>
    <w:lvlOverride w:ilvl="0">
      <w:lvl w:ilvl="0">
        <w:numFmt w:val="decimal"/>
        <w:lvlText w:val="%1."/>
        <w:lvlJc w:val="left"/>
      </w:lvl>
    </w:lvlOverride>
  </w:num>
  <w:num w:numId="161" w16cid:durableId="487404864">
    <w:abstractNumId w:val="123"/>
  </w:num>
  <w:num w:numId="162" w16cid:durableId="484902892">
    <w:abstractNumId w:val="182"/>
  </w:num>
  <w:num w:numId="163" w16cid:durableId="1202328111">
    <w:abstractNumId w:val="92"/>
  </w:num>
  <w:num w:numId="164" w16cid:durableId="2143232784">
    <w:abstractNumId w:val="113"/>
  </w:num>
  <w:num w:numId="165" w16cid:durableId="861405954">
    <w:abstractNumId w:val="149"/>
  </w:num>
  <w:num w:numId="166" w16cid:durableId="1580825226">
    <w:abstractNumId w:val="236"/>
  </w:num>
  <w:num w:numId="167" w16cid:durableId="769352522">
    <w:abstractNumId w:val="252"/>
  </w:num>
  <w:num w:numId="168" w16cid:durableId="327289153">
    <w:abstractNumId w:val="243"/>
  </w:num>
  <w:num w:numId="169" w16cid:durableId="1646352986">
    <w:abstractNumId w:val="9"/>
  </w:num>
  <w:num w:numId="170" w16cid:durableId="234634552">
    <w:abstractNumId w:val="63"/>
  </w:num>
  <w:num w:numId="171" w16cid:durableId="1272514628">
    <w:abstractNumId w:val="249"/>
  </w:num>
  <w:num w:numId="172" w16cid:durableId="1804616959">
    <w:abstractNumId w:val="227"/>
  </w:num>
  <w:num w:numId="173" w16cid:durableId="1488669801">
    <w:abstractNumId w:val="188"/>
  </w:num>
  <w:num w:numId="174" w16cid:durableId="927272700">
    <w:abstractNumId w:val="99"/>
  </w:num>
  <w:num w:numId="175" w16cid:durableId="398989308">
    <w:abstractNumId w:val="53"/>
  </w:num>
  <w:num w:numId="176" w16cid:durableId="783309614">
    <w:abstractNumId w:val="201"/>
  </w:num>
  <w:num w:numId="177" w16cid:durableId="1820611937">
    <w:abstractNumId w:val="89"/>
  </w:num>
  <w:num w:numId="178" w16cid:durableId="1988900056">
    <w:abstractNumId w:val="111"/>
  </w:num>
  <w:num w:numId="179" w16cid:durableId="555167791">
    <w:abstractNumId w:val="165"/>
  </w:num>
  <w:num w:numId="180" w16cid:durableId="173227399">
    <w:abstractNumId w:val="13"/>
  </w:num>
  <w:num w:numId="181" w16cid:durableId="1787776097">
    <w:abstractNumId w:val="112"/>
  </w:num>
  <w:num w:numId="182" w16cid:durableId="1309241164">
    <w:abstractNumId w:val="210"/>
  </w:num>
  <w:num w:numId="183" w16cid:durableId="101800687">
    <w:abstractNumId w:val="205"/>
  </w:num>
  <w:num w:numId="184" w16cid:durableId="300813440">
    <w:abstractNumId w:val="152"/>
  </w:num>
  <w:num w:numId="185" w16cid:durableId="600801170">
    <w:abstractNumId w:val="158"/>
  </w:num>
  <w:num w:numId="186" w16cid:durableId="462508081">
    <w:abstractNumId w:val="133"/>
  </w:num>
  <w:num w:numId="187" w16cid:durableId="1235355071">
    <w:abstractNumId w:val="166"/>
  </w:num>
  <w:num w:numId="188" w16cid:durableId="1467354691">
    <w:abstractNumId w:val="124"/>
  </w:num>
  <w:num w:numId="189" w16cid:durableId="758211444">
    <w:abstractNumId w:val="72"/>
  </w:num>
  <w:num w:numId="190" w16cid:durableId="1485975013">
    <w:abstractNumId w:val="225"/>
  </w:num>
  <w:num w:numId="191" w16cid:durableId="957024981">
    <w:abstractNumId w:val="37"/>
  </w:num>
  <w:num w:numId="192" w16cid:durableId="834956334">
    <w:abstractNumId w:val="202"/>
  </w:num>
  <w:num w:numId="193" w16cid:durableId="1394810433">
    <w:abstractNumId w:val="45"/>
  </w:num>
  <w:num w:numId="194" w16cid:durableId="1825048071">
    <w:abstractNumId w:val="151"/>
  </w:num>
  <w:num w:numId="195" w16cid:durableId="689717952">
    <w:abstractNumId w:val="66"/>
  </w:num>
  <w:num w:numId="196" w16cid:durableId="1452747273">
    <w:abstractNumId w:val="71"/>
  </w:num>
  <w:num w:numId="197" w16cid:durableId="1672754290">
    <w:abstractNumId w:val="153"/>
  </w:num>
  <w:num w:numId="198" w16cid:durableId="182256663">
    <w:abstractNumId w:val="220"/>
  </w:num>
  <w:num w:numId="199" w16cid:durableId="295719963">
    <w:abstractNumId w:val="248"/>
  </w:num>
  <w:num w:numId="200" w16cid:durableId="964510150">
    <w:abstractNumId w:val="176"/>
  </w:num>
  <w:num w:numId="201" w16cid:durableId="1400901334">
    <w:abstractNumId w:val="246"/>
  </w:num>
  <w:num w:numId="202" w16cid:durableId="687802271">
    <w:abstractNumId w:val="62"/>
  </w:num>
  <w:num w:numId="203" w16cid:durableId="609093813">
    <w:abstractNumId w:val="229"/>
  </w:num>
  <w:num w:numId="204" w16cid:durableId="860045024">
    <w:abstractNumId w:val="43"/>
  </w:num>
  <w:num w:numId="205" w16cid:durableId="1620528877">
    <w:abstractNumId w:val="17"/>
  </w:num>
  <w:num w:numId="206" w16cid:durableId="1429616879">
    <w:abstractNumId w:val="239"/>
  </w:num>
  <w:num w:numId="207" w16cid:durableId="267471070">
    <w:abstractNumId w:val="39"/>
  </w:num>
  <w:num w:numId="208" w16cid:durableId="1987783512">
    <w:abstractNumId w:val="116"/>
  </w:num>
  <w:num w:numId="209" w16cid:durableId="1851409893">
    <w:abstractNumId w:val="163"/>
  </w:num>
  <w:num w:numId="210" w16cid:durableId="1907953984">
    <w:abstractNumId w:val="3"/>
  </w:num>
  <w:num w:numId="211" w16cid:durableId="1204635502">
    <w:abstractNumId w:val="51"/>
  </w:num>
  <w:num w:numId="212" w16cid:durableId="766316637">
    <w:abstractNumId w:val="250"/>
  </w:num>
  <w:num w:numId="213" w16cid:durableId="1284195162">
    <w:abstractNumId w:val="180"/>
  </w:num>
  <w:num w:numId="214" w16cid:durableId="615870225">
    <w:abstractNumId w:val="207"/>
  </w:num>
  <w:num w:numId="215" w16cid:durableId="1928227145">
    <w:abstractNumId w:val="121"/>
  </w:num>
  <w:num w:numId="216" w16cid:durableId="802843778">
    <w:abstractNumId w:val="30"/>
  </w:num>
  <w:num w:numId="217" w16cid:durableId="1373530371">
    <w:abstractNumId w:val="195"/>
  </w:num>
  <w:num w:numId="218" w16cid:durableId="252319918">
    <w:abstractNumId w:val="156"/>
  </w:num>
  <w:num w:numId="219" w16cid:durableId="249048790">
    <w:abstractNumId w:val="219"/>
  </w:num>
  <w:num w:numId="220" w16cid:durableId="1162501390">
    <w:abstractNumId w:val="140"/>
  </w:num>
  <w:num w:numId="221" w16cid:durableId="2026858544">
    <w:abstractNumId w:val="35"/>
  </w:num>
  <w:num w:numId="222" w16cid:durableId="251164579">
    <w:abstractNumId w:val="16"/>
  </w:num>
  <w:num w:numId="223" w16cid:durableId="819272240">
    <w:abstractNumId w:val="230"/>
  </w:num>
  <w:num w:numId="224" w16cid:durableId="1311983584">
    <w:abstractNumId w:val="1"/>
  </w:num>
  <w:num w:numId="225" w16cid:durableId="1748383828">
    <w:abstractNumId w:val="86"/>
  </w:num>
  <w:num w:numId="226" w16cid:durableId="1960604588">
    <w:abstractNumId w:val="183"/>
  </w:num>
  <w:num w:numId="227" w16cid:durableId="1995139023">
    <w:abstractNumId w:val="85"/>
  </w:num>
  <w:num w:numId="228" w16cid:durableId="523902098">
    <w:abstractNumId w:val="214"/>
  </w:num>
  <w:num w:numId="229" w16cid:durableId="1706983153">
    <w:abstractNumId w:val="77"/>
  </w:num>
  <w:num w:numId="230" w16cid:durableId="1610813881">
    <w:abstractNumId w:val="2"/>
  </w:num>
  <w:num w:numId="231" w16cid:durableId="1857187784">
    <w:abstractNumId w:val="181"/>
  </w:num>
  <w:num w:numId="232" w16cid:durableId="2048289018">
    <w:abstractNumId w:val="171"/>
  </w:num>
  <w:num w:numId="233" w16cid:durableId="282155864">
    <w:abstractNumId w:val="145"/>
  </w:num>
  <w:num w:numId="234" w16cid:durableId="1045174984">
    <w:abstractNumId w:val="146"/>
  </w:num>
  <w:num w:numId="235" w16cid:durableId="1035809218">
    <w:abstractNumId w:val="197"/>
  </w:num>
  <w:num w:numId="236" w16cid:durableId="230846389">
    <w:abstractNumId w:val="56"/>
  </w:num>
  <w:num w:numId="237" w16cid:durableId="709109753">
    <w:abstractNumId w:val="24"/>
  </w:num>
  <w:num w:numId="238" w16cid:durableId="1439527991">
    <w:abstractNumId w:val="126"/>
  </w:num>
  <w:num w:numId="239" w16cid:durableId="506022245">
    <w:abstractNumId w:val="179"/>
  </w:num>
  <w:num w:numId="240" w16cid:durableId="1192260241">
    <w:abstractNumId w:val="21"/>
  </w:num>
  <w:num w:numId="241" w16cid:durableId="1885830007">
    <w:abstractNumId w:val="174"/>
  </w:num>
  <w:num w:numId="242" w16cid:durableId="31343843">
    <w:abstractNumId w:val="204"/>
  </w:num>
  <w:num w:numId="243" w16cid:durableId="1459108391">
    <w:abstractNumId w:val="127"/>
  </w:num>
  <w:num w:numId="244" w16cid:durableId="372538951">
    <w:abstractNumId w:val="142"/>
  </w:num>
  <w:num w:numId="245" w16cid:durableId="2146773450">
    <w:abstractNumId w:val="187"/>
  </w:num>
  <w:num w:numId="246" w16cid:durableId="2113931320">
    <w:abstractNumId w:val="194"/>
  </w:num>
  <w:num w:numId="247" w16cid:durableId="1676885223">
    <w:abstractNumId w:val="247"/>
  </w:num>
  <w:num w:numId="248" w16cid:durableId="310258317">
    <w:abstractNumId w:val="61"/>
  </w:num>
  <w:num w:numId="249" w16cid:durableId="289865838">
    <w:abstractNumId w:val="173"/>
  </w:num>
  <w:num w:numId="250" w16cid:durableId="889652322">
    <w:abstractNumId w:val="59"/>
  </w:num>
  <w:num w:numId="251" w16cid:durableId="1612590981">
    <w:abstractNumId w:val="135"/>
  </w:num>
  <w:num w:numId="252" w16cid:durableId="872115314">
    <w:abstractNumId w:val="134"/>
  </w:num>
  <w:num w:numId="253" w16cid:durableId="1511218360">
    <w:abstractNumId w:val="117"/>
  </w:num>
  <w:num w:numId="254" w16cid:durableId="2062822188">
    <w:abstractNumId w:val="47"/>
  </w:num>
  <w:num w:numId="255" w16cid:durableId="254943645">
    <w:abstractNumId w:val="9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dirty"/>
  <w:defaultTabStop w:val="709"/>
  <w:autoHyphenation/>
  <w:hyphenationZone w:val="425"/>
  <w:doNotHyphenateCaps/>
  <w:characterSpacingControl w:val="doNotCompres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6D7A"/>
    <w:rsid w:val="00042B4B"/>
    <w:rsid w:val="00080FEF"/>
    <w:rsid w:val="00125857"/>
    <w:rsid w:val="0031145B"/>
    <w:rsid w:val="004E6BE2"/>
    <w:rsid w:val="00582FA6"/>
    <w:rsid w:val="006E6D7A"/>
    <w:rsid w:val="0083408A"/>
    <w:rsid w:val="00A65D8D"/>
    <w:rsid w:val="00AC70AE"/>
    <w:rsid w:val="00B16C64"/>
    <w:rsid w:val="00BC21F9"/>
    <w:rsid w:val="00CC0377"/>
    <w:rsid w:val="00D852FA"/>
    <w:rsid w:val="00F60C30"/>
    <w:rsid w:val="00FE4461"/>
    <w:rsid w:val="28CCD8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156CB8"/>
  <w15:docId w15:val="{F70296A9-F9F0-4A53-A348-DFC98D7E561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eastAsia="Times New Roman" w:asciiTheme="minorHAnsi" w:hAnsiTheme="minorHAnsi" w:cstheme="minorHAnsi"/>
        <w:sz w:val="22"/>
        <w:szCs w:val="22"/>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after="120"/>
      <w:jc w:val="both"/>
    </w:pPr>
  </w:style>
  <w:style w:type="paragraph" w:styleId="Titre1">
    <w:name w:val="heading 1"/>
    <w:basedOn w:val="Normal"/>
    <w:next w:val="Normal"/>
    <w:link w:val="Titre1Car"/>
    <w:qFormat/>
    <w:pPr>
      <w:keepNext/>
      <w:pageBreakBefore/>
      <w:numPr>
        <w:ilvl w:val="1"/>
        <w:numId w:val="3"/>
      </w:numPr>
      <w:pBdr>
        <w:bottom w:val="single" w:color="03A3A6" w:sz="8" w:space="1"/>
      </w:pBdr>
      <w:spacing w:before="480"/>
      <w:outlineLvl w:val="0"/>
    </w:pPr>
    <w:rPr>
      <w:b/>
      <w:caps/>
      <w:color w:val="03A3A6"/>
      <w:sz w:val="32"/>
    </w:rPr>
  </w:style>
  <w:style w:type="paragraph" w:styleId="Titre2">
    <w:name w:val="heading 2"/>
    <w:basedOn w:val="Normal"/>
    <w:next w:val="Normal"/>
    <w:link w:val="Titre2Car"/>
    <w:qFormat/>
    <w:pPr>
      <w:keepNext/>
      <w:numPr>
        <w:ilvl w:val="2"/>
        <w:numId w:val="3"/>
      </w:numPr>
      <w:spacing w:before="480"/>
      <w:outlineLvl w:val="1"/>
    </w:pPr>
    <w:rPr>
      <w:smallCaps/>
      <w:color w:val="03A3A6"/>
      <w:sz w:val="28"/>
    </w:rPr>
  </w:style>
  <w:style w:type="paragraph" w:styleId="Titre3">
    <w:name w:val="heading 3"/>
    <w:basedOn w:val="T2"/>
    <w:next w:val="Normal"/>
    <w:link w:val="Titre3Car"/>
    <w:qFormat/>
    <w:pPr>
      <w:outlineLvl w:val="2"/>
    </w:pPr>
  </w:style>
  <w:style w:type="paragraph" w:styleId="Titre4">
    <w:name w:val="heading 4"/>
    <w:basedOn w:val="Titre2"/>
    <w:next w:val="Normal"/>
    <w:link w:val="Titre4Car"/>
    <w:qFormat/>
    <w:pPr>
      <w:spacing w:before="240" w:after="60"/>
      <w:outlineLvl w:val="3"/>
    </w:pPr>
    <w:rPr>
      <w:smallCaps w:val="0"/>
      <w:color w:val="03A6A3"/>
      <w:sz w:val="22"/>
      <w:szCs w:val="20"/>
    </w:rPr>
  </w:style>
  <w:style w:type="paragraph" w:styleId="Titre5">
    <w:name w:val="heading 5"/>
    <w:basedOn w:val="Titre2"/>
    <w:next w:val="Normal"/>
    <w:link w:val="Titre5Car"/>
    <w:qFormat/>
    <w:pPr>
      <w:spacing w:before="240" w:after="60"/>
      <w:outlineLvl w:val="4"/>
    </w:pPr>
    <w:rPr>
      <w:b/>
      <w:i/>
      <w:smallCaps w:val="0"/>
      <w:color w:val="03A6A3"/>
      <w:sz w:val="22"/>
    </w:rPr>
  </w:style>
  <w:style w:type="paragraph" w:styleId="Titre6">
    <w:name w:val="heading 6"/>
    <w:basedOn w:val="Titre2"/>
    <w:next w:val="Normal"/>
    <w:link w:val="Titre6Car"/>
    <w:qFormat/>
    <w:pPr>
      <w:spacing w:before="120" w:after="0"/>
      <w:outlineLvl w:val="5"/>
    </w:pPr>
    <w:rPr>
      <w:smallCaps w:val="0"/>
      <w:color w:val="auto"/>
      <w:sz w:val="20"/>
    </w:rPr>
  </w:style>
  <w:style w:type="paragraph" w:styleId="Titre7">
    <w:name w:val="heading 7"/>
    <w:basedOn w:val="Normal"/>
    <w:next w:val="Normal"/>
    <w:link w:val="Titre7Car"/>
    <w:qFormat/>
    <w:pPr>
      <w:numPr>
        <w:ilvl w:val="6"/>
        <w:numId w:val="1"/>
      </w:numPr>
      <w:spacing w:before="240" w:after="60"/>
      <w:outlineLvl w:val="6"/>
    </w:pPr>
    <w:rPr>
      <w:rFonts w:ascii="Arial" w:hAnsi="Arial" w:cs="Arial"/>
      <w:sz w:val="20"/>
    </w:rPr>
  </w:style>
  <w:style w:type="paragraph" w:styleId="Titre8">
    <w:name w:val="heading 8"/>
    <w:basedOn w:val="Normal"/>
    <w:next w:val="Normal"/>
    <w:link w:val="Titre8Car"/>
    <w:qFormat/>
    <w:pPr>
      <w:numPr>
        <w:ilvl w:val="7"/>
        <w:numId w:val="1"/>
      </w:numPr>
      <w:spacing w:before="240" w:after="60"/>
      <w:outlineLvl w:val="7"/>
    </w:pPr>
    <w:rPr>
      <w:rFonts w:ascii="Arial" w:hAnsi="Arial" w:cs="Arial"/>
      <w:i/>
      <w:sz w:val="20"/>
    </w:rPr>
  </w:style>
  <w:style w:type="paragraph" w:styleId="Titre9">
    <w:name w:val="heading 9"/>
    <w:basedOn w:val="Normal"/>
    <w:next w:val="Normal"/>
    <w:link w:val="Titre9Car"/>
    <w:qFormat/>
    <w:pPr>
      <w:numPr>
        <w:ilvl w:val="8"/>
        <w:numId w:val="1"/>
      </w:numPr>
      <w:spacing w:before="240" w:after="60"/>
      <w:outlineLvl w:val="8"/>
    </w:pPr>
    <w:rPr>
      <w:rFonts w:ascii="Arial" w:hAnsi="Arial" w:cs="Arial"/>
      <w:i/>
      <w:sz w:val="18"/>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Textedelespacerserv">
    <w:name w:val="Placeholder Text"/>
    <w:basedOn w:val="Policepardfaut"/>
    <w:uiPriority w:val="99"/>
    <w:semiHidden/>
    <w:rPr>
      <w:color w:val="666666"/>
    </w:rPr>
  </w:style>
  <w:style w:type="table" w:styleId="TableGridLight" w:customStyle="1">
    <w:name w:val="Grid Table Light"/>
    <w:basedOn w:val="TableauNormal"/>
    <w:uiPriority w:val="59"/>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style>
  <w:style w:type="table" w:styleId="Tableausimple1">
    <w:name w:val="Plain Table 1"/>
    <w:basedOn w:val="TableauNormal"/>
    <w:uiPriority w:val="59"/>
    <w:tblPr>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color="000000" w:themeColor="text1" w:sz="4" w:space="0"/>
        <w:left w:val="none" w:color="000000" w:themeColor="text1" w:sz="4" w:space="0"/>
        <w:bottom w:val="single" w:color="000000" w:themeColor="text1" w:sz="4" w:space="0"/>
        <w:right w:val="none" w:color="000000" w:themeColor="text1" w:sz="4" w:space="0"/>
      </w:tblBorders>
    </w:tblPr>
    <w:tblStylePr w:type="firstRow">
      <w:rPr>
        <w:rFonts w:ascii="Arial" w:hAnsi="Arial"/>
        <w:b/>
        <w:color w:val="404040"/>
        <w:sz w:val="22"/>
      </w:rPr>
      <w:tblPr/>
      <w:tcPr>
        <w:tcBorders>
          <w:top w:val="single" w:color="000000" w:themeColor="text1" w:sz="4" w:space="0"/>
          <w:bottom w:val="single" w:color="000000" w:themeColor="text1" w:sz="4" w:space="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color="000000" w:themeColor="text1" w:sz="4" w:space="0"/>
          <w:right w:val="single" w:color="000000" w:themeColor="text1" w:sz="4" w:space="0"/>
        </w:tcBorders>
      </w:tcPr>
    </w:tblStylePr>
    <w:tblStylePr w:type="band2Vert">
      <w:tblPr/>
      <w:tcPr>
        <w:tcBorders>
          <w:left w:val="single" w:color="000000" w:themeColor="text1" w:sz="4" w:space="0"/>
          <w:right w:val="single" w:color="000000" w:themeColor="text1" w:sz="4" w:space="0"/>
        </w:tcBorders>
      </w:tcPr>
    </w:tblStylePr>
    <w:tblStylePr w:type="band1Horz">
      <w:tblPr/>
      <w:tcPr>
        <w:tcBorders>
          <w:top w:val="single" w:color="000000" w:themeColor="text1" w:sz="4" w:space="0"/>
          <w:bottom w:val="single" w:color="000000" w:themeColor="text1" w:sz="4" w:space="0"/>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color="000000" w:sz="4" w:space="0"/>
          <w:left w:val="none" w:color="000000" w:sz="4" w:space="0"/>
          <w:bottom w:val="single" w:color="404040" w:sz="4" w:space="0"/>
          <w:right w:val="none" w:color="000000" w:sz="4" w:space="0"/>
        </w:tcBorders>
      </w:tcPr>
    </w:tblStylePr>
    <w:tblStylePr w:type="lastRow">
      <w:rPr>
        <w:b/>
        <w:caps/>
        <w:color w:val="404040"/>
      </w:rPr>
    </w:tblStylePr>
    <w:tblStylePr w:type="firstCol">
      <w:rPr>
        <w:b/>
        <w:caps/>
        <w:color w:val="404040"/>
      </w:rPr>
      <w:tblPr/>
      <w:tcPr>
        <w:tcBorders>
          <w:top w:val="none" w:color="000000" w:sz="4" w:space="0"/>
          <w:left w:val="none" w:color="000000" w:sz="4" w:space="0"/>
          <w:bottom w:val="none" w:color="000000" w:sz="4" w:space="0"/>
          <w:right w:val="single" w:color="404040" w:sz="4" w:space="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color="000000" w:sz="4" w:space="0"/>
          <w:bottom w:val="single" w:color="404040" w:sz="4" w:space="0"/>
          <w:right w:val="none" w:color="000000" w:sz="4" w:space="0"/>
        </w:tcBorders>
        <w:shd w:val="clear" w:color="FFFFFF" w:fill="auto"/>
      </w:tcPr>
    </w:tblStylePr>
    <w:tblStylePr w:type="lastRow">
      <w:rPr>
        <w:i/>
        <w:color w:val="404040"/>
      </w:rPr>
      <w:tblPr/>
      <w:tcPr>
        <w:tcBorders>
          <w:top w:val="single" w:color="404040" w:sz="4" w:space="0"/>
          <w:left w:val="none" w:color="000000" w:sz="4" w:space="0"/>
          <w:right w:val="none" w:color="000000" w:sz="4" w:space="0"/>
        </w:tcBorders>
        <w:shd w:val="clear" w:color="FFFFFF" w:fill="auto"/>
      </w:tcPr>
    </w:tblStylePr>
    <w:tblStylePr w:type="firstCol">
      <w:pPr>
        <w:jc w:val="right"/>
      </w:pPr>
      <w:rPr>
        <w:i/>
        <w:color w:val="404040"/>
      </w:rPr>
      <w:tblPr/>
      <w:tcPr>
        <w:tcBorders>
          <w:right w:val="single" w:color="404040" w:sz="4" w:space="0"/>
        </w:tcBorders>
        <w:shd w:val="clear" w:color="FFFFFF" w:fill="auto"/>
      </w:tcPr>
    </w:tblStylePr>
    <w:tblStylePr w:type="lastCol">
      <w:rPr>
        <w:i/>
        <w:color w:val="404040"/>
      </w:rPr>
      <w:tblPr/>
      <w:tcPr>
        <w:tcBorders>
          <w:left w:val="single" w:color="404040" w:sz="4" w:space="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insideH w:val="single" w:color="989898" w:themeColor="text1" w:themeTint="67" w:sz="4" w:space="0"/>
        <w:insideV w:val="single" w:color="989898" w:themeColor="text1" w:themeTint="67" w:sz="4" w:space="0"/>
      </w:tblBorders>
    </w:tblPr>
    <w:tblStylePr w:type="firstRow">
      <w:rPr>
        <w:b/>
        <w:color w:val="404040"/>
      </w:rPr>
      <w:tblPr/>
      <w:tcPr>
        <w:tcBorders>
          <w:bottom w:val="single" w:color="6A6A6A" w:themeColor="tex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tcBorders>
      </w:tcPr>
    </w:tblStylePr>
  </w:style>
  <w:style w:type="table" w:styleId="GridTable1Light-Accent1" w:customStyle="1">
    <w:name w:val="Grid Table 1 Light Accent 1"/>
    <w:basedOn w:val="TableauNormal"/>
    <w:uiPriority w:val="99"/>
    <w:tblPr>
      <w:tblStyleRowBandSize w:val="1"/>
      <w:tblStyleColBandSize w:val="1"/>
      <w:tblBorders>
        <w:top w:val="single" w:color="6094FF" w:themeColor="accent1" w:themeTint="67" w:sz="4" w:space="0"/>
        <w:left w:val="single" w:color="6094FF" w:themeColor="accent1" w:themeTint="67" w:sz="4" w:space="0"/>
        <w:bottom w:val="single" w:color="6094FF" w:themeColor="accent1" w:themeTint="67" w:sz="4" w:space="0"/>
        <w:right w:val="single" w:color="6094FF" w:themeColor="accent1" w:themeTint="67" w:sz="4" w:space="0"/>
        <w:insideH w:val="single" w:color="6094FF" w:themeColor="accent1" w:themeTint="67" w:sz="4" w:space="0"/>
        <w:insideV w:val="single" w:color="6094FF" w:themeColor="accent1" w:themeTint="67" w:sz="4" w:space="0"/>
      </w:tblBorders>
    </w:tblPr>
    <w:tblStylePr w:type="firstRow">
      <w:rPr>
        <w:b/>
        <w:color w:val="404040"/>
      </w:rPr>
      <w:tblPr/>
      <w:tcPr>
        <w:tcBorders>
          <w:bottom w:val="single" w:color="1965FF" w:themeColor="accent1"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6094FF" w:themeColor="accent1" w:themeTint="67" w:sz="4" w:space="0"/>
          <w:left w:val="single" w:color="6094FF" w:themeColor="accent1" w:themeTint="67" w:sz="4" w:space="0"/>
          <w:bottom w:val="single" w:color="6094FF" w:themeColor="accent1" w:themeTint="67" w:sz="4" w:space="0"/>
          <w:right w:val="single" w:color="6094FF" w:themeColor="accent1" w:themeTint="67" w:sz="4" w:space="0"/>
        </w:tcBorders>
      </w:tcPr>
    </w:tblStylePr>
  </w:style>
  <w:style w:type="table" w:styleId="GridTable1Light-Accent2" w:customStyle="1">
    <w:name w:val="Grid Table 1 Light Accent 2"/>
    <w:basedOn w:val="TableauNormal"/>
    <w:uiPriority w:val="99"/>
    <w:tblPr>
      <w:tblStyleRowBandSize w:val="1"/>
      <w:tblStyleColBandSize w:val="1"/>
      <w:tblBorders>
        <w:top w:val="single" w:color="D9FF86" w:themeColor="accent2" w:themeTint="67" w:sz="4" w:space="0"/>
        <w:left w:val="single" w:color="D9FF86" w:themeColor="accent2" w:themeTint="67" w:sz="4" w:space="0"/>
        <w:bottom w:val="single" w:color="D9FF86" w:themeColor="accent2" w:themeTint="67" w:sz="4" w:space="0"/>
        <w:right w:val="single" w:color="D9FF86" w:themeColor="accent2" w:themeTint="67" w:sz="4" w:space="0"/>
        <w:insideH w:val="single" w:color="D9FF86" w:themeColor="accent2" w:themeTint="67" w:sz="4" w:space="0"/>
        <w:insideV w:val="single" w:color="D9FF86" w:themeColor="accent2" w:themeTint="67" w:sz="4" w:space="0"/>
      </w:tblBorders>
    </w:tblPr>
    <w:tblStylePr w:type="firstRow">
      <w:rPr>
        <w:b/>
        <w:color w:val="404040"/>
      </w:rPr>
      <w:tblPr/>
      <w:tcPr>
        <w:tcBorders>
          <w:bottom w:val="single" w:color="C8FF50" w:themeColor="accent2"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D9FF86" w:themeColor="accent2" w:themeTint="67" w:sz="4" w:space="0"/>
          <w:left w:val="single" w:color="D9FF86" w:themeColor="accent2" w:themeTint="67" w:sz="4" w:space="0"/>
          <w:bottom w:val="single" w:color="D9FF86" w:themeColor="accent2" w:themeTint="67" w:sz="4" w:space="0"/>
          <w:right w:val="single" w:color="D9FF86" w:themeColor="accent2" w:themeTint="67" w:sz="4" w:space="0"/>
        </w:tcBorders>
      </w:tcPr>
    </w:tblStylePr>
  </w:style>
  <w:style w:type="table" w:styleId="GridTable1Light-Accent3" w:customStyle="1">
    <w:name w:val="Grid Table 1 Light Accent 3"/>
    <w:basedOn w:val="TableauNormal"/>
    <w:uiPriority w:val="99"/>
    <w:tblPr>
      <w:tblStyleRowBandSize w:val="1"/>
      <w:tblStyleColBandSize w:val="1"/>
      <w:tblBorders>
        <w:top w:val="single" w:color="8ADEFF" w:themeColor="accent3" w:themeTint="67" w:sz="4" w:space="0"/>
        <w:left w:val="single" w:color="8ADEFF" w:themeColor="accent3" w:themeTint="67" w:sz="4" w:space="0"/>
        <w:bottom w:val="single" w:color="8ADEFF" w:themeColor="accent3" w:themeTint="67" w:sz="4" w:space="0"/>
        <w:right w:val="single" w:color="8ADEFF" w:themeColor="accent3" w:themeTint="67" w:sz="4" w:space="0"/>
        <w:insideH w:val="single" w:color="8ADEFF" w:themeColor="accent3" w:themeTint="67" w:sz="4" w:space="0"/>
        <w:insideV w:val="single" w:color="8ADEFF" w:themeColor="accent3" w:themeTint="67" w:sz="4" w:space="0"/>
      </w:tblBorders>
    </w:tblPr>
    <w:tblStylePr w:type="firstRow">
      <w:rPr>
        <w:b/>
        <w:color w:val="404040"/>
      </w:rPr>
      <w:tblPr/>
      <w:tcPr>
        <w:tcBorders>
          <w:bottom w:val="single" w:color="56D0FF" w:themeColor="accent3"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8ADEFF" w:themeColor="accent3" w:themeTint="67" w:sz="4" w:space="0"/>
          <w:left w:val="single" w:color="8ADEFF" w:themeColor="accent3" w:themeTint="67" w:sz="4" w:space="0"/>
          <w:bottom w:val="single" w:color="8ADEFF" w:themeColor="accent3" w:themeTint="67" w:sz="4" w:space="0"/>
          <w:right w:val="single" w:color="8ADEFF" w:themeColor="accent3" w:themeTint="67" w:sz="4" w:space="0"/>
        </w:tcBorders>
      </w:tcPr>
    </w:tblStylePr>
  </w:style>
  <w:style w:type="table" w:styleId="GridTable1Light-Accent4" w:customStyle="1">
    <w:name w:val="Grid Table 1 Light Accent 4"/>
    <w:basedOn w:val="TableauNormal"/>
    <w:uiPriority w:val="99"/>
    <w:tblPr>
      <w:tblStyleRowBandSize w:val="1"/>
      <w:tblStyleColBandSize w:val="1"/>
      <w:tblBorders>
        <w:top w:val="single" w:color="A5DE9C" w:themeColor="accent4" w:themeTint="67" w:sz="4" w:space="0"/>
        <w:left w:val="single" w:color="A5DE9C" w:themeColor="accent4" w:themeTint="67" w:sz="4" w:space="0"/>
        <w:bottom w:val="single" w:color="A5DE9C" w:themeColor="accent4" w:themeTint="67" w:sz="4" w:space="0"/>
        <w:right w:val="single" w:color="A5DE9C" w:themeColor="accent4" w:themeTint="67" w:sz="4" w:space="0"/>
        <w:insideH w:val="single" w:color="A5DE9C" w:themeColor="accent4" w:themeTint="67" w:sz="4" w:space="0"/>
        <w:insideV w:val="single" w:color="A5DE9C" w:themeColor="accent4" w:themeTint="67" w:sz="4" w:space="0"/>
      </w:tblBorders>
    </w:tblPr>
    <w:tblStylePr w:type="firstRow">
      <w:rPr>
        <w:b/>
        <w:color w:val="404040"/>
      </w:rPr>
      <w:tblPr/>
      <w:tcPr>
        <w:tcBorders>
          <w:bottom w:val="single" w:color="7ECF70" w:themeColor="accent4"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A5DE9C" w:themeColor="accent4" w:themeTint="67" w:sz="4" w:space="0"/>
          <w:left w:val="single" w:color="A5DE9C" w:themeColor="accent4" w:themeTint="67" w:sz="4" w:space="0"/>
          <w:bottom w:val="single" w:color="A5DE9C" w:themeColor="accent4" w:themeTint="67" w:sz="4" w:space="0"/>
          <w:right w:val="single" w:color="A5DE9C" w:themeColor="accent4" w:themeTint="67" w:sz="4" w:space="0"/>
        </w:tcBorders>
      </w:tcPr>
    </w:tblStylePr>
  </w:style>
  <w:style w:type="table" w:styleId="GridTable1Light-Accent5" w:customStyle="1">
    <w:name w:val="Grid Table 1 Light Accent 5"/>
    <w:basedOn w:val="TableauNormal"/>
    <w:uiPriority w:val="99"/>
    <w:tblPr>
      <w:tblStyleRowBandSize w:val="1"/>
      <w:tblStyleColBandSize w:val="1"/>
      <w:tblBorders>
        <w:top w:val="single" w:color="C6E8F5" w:themeColor="accent5" w:themeTint="67" w:sz="4" w:space="0"/>
        <w:left w:val="single" w:color="C6E8F5" w:themeColor="accent5" w:themeTint="67" w:sz="4" w:space="0"/>
        <w:bottom w:val="single" w:color="C6E8F5" w:themeColor="accent5" w:themeTint="67" w:sz="4" w:space="0"/>
        <w:right w:val="single" w:color="C6E8F5" w:themeColor="accent5" w:themeTint="67" w:sz="4" w:space="0"/>
        <w:insideH w:val="single" w:color="C6E8F5" w:themeColor="accent5" w:themeTint="67" w:sz="4" w:space="0"/>
        <w:insideV w:val="single" w:color="C6E8F5" w:themeColor="accent5" w:themeTint="67" w:sz="4" w:space="0"/>
      </w:tblBorders>
    </w:tblPr>
    <w:tblStylePr w:type="firstRow">
      <w:rPr>
        <w:b/>
        <w:color w:val="404040"/>
      </w:rPr>
      <w:tblPr/>
      <w:tcPr>
        <w:tcBorders>
          <w:bottom w:val="single" w:color="ACDEF1" w:themeColor="accent5"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C6E8F5" w:themeColor="accent5" w:themeTint="67" w:sz="4" w:space="0"/>
          <w:left w:val="single" w:color="C6E8F5" w:themeColor="accent5" w:themeTint="67" w:sz="4" w:space="0"/>
          <w:bottom w:val="single" w:color="C6E8F5" w:themeColor="accent5" w:themeTint="67" w:sz="4" w:space="0"/>
          <w:right w:val="single" w:color="C6E8F5" w:themeColor="accent5" w:themeTint="67" w:sz="4" w:space="0"/>
        </w:tcBorders>
      </w:tcPr>
    </w:tblStylePr>
  </w:style>
  <w:style w:type="table" w:styleId="GridTable1Light-Accent6" w:customStyle="1">
    <w:name w:val="Grid Table 1 Light Accent 6"/>
    <w:basedOn w:val="TableauNormal"/>
    <w:uiPriority w:val="99"/>
    <w:tblPr>
      <w:tblStyleRowBandSize w:val="1"/>
      <w:tblStyleColBandSize w:val="1"/>
      <w:tblBorders>
        <w:top w:val="single" w:color="F2FD8C" w:themeColor="accent6" w:themeTint="67" w:sz="4" w:space="0"/>
        <w:left w:val="single" w:color="F2FD8C" w:themeColor="accent6" w:themeTint="67" w:sz="4" w:space="0"/>
        <w:bottom w:val="single" w:color="F2FD8C" w:themeColor="accent6" w:themeTint="67" w:sz="4" w:space="0"/>
        <w:right w:val="single" w:color="F2FD8C" w:themeColor="accent6" w:themeTint="67" w:sz="4" w:space="0"/>
        <w:insideH w:val="single" w:color="F2FD8C" w:themeColor="accent6" w:themeTint="67" w:sz="4" w:space="0"/>
        <w:insideV w:val="single" w:color="F2FD8C" w:themeColor="accent6" w:themeTint="67" w:sz="4" w:space="0"/>
      </w:tblBorders>
    </w:tblPr>
    <w:tblStylePr w:type="firstRow">
      <w:rPr>
        <w:b/>
        <w:color w:val="404040"/>
      </w:rPr>
      <w:tblPr/>
      <w:tcPr>
        <w:tcBorders>
          <w:bottom w:val="single" w:color="EDFC59" w:themeColor="accent6" w:themeTint="95" w:sz="12" w:space="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color="F2FD8C" w:themeColor="accent6" w:themeTint="67" w:sz="4" w:space="0"/>
          <w:left w:val="single" w:color="F2FD8C" w:themeColor="accent6" w:themeTint="67" w:sz="4" w:space="0"/>
          <w:bottom w:val="single" w:color="F2FD8C" w:themeColor="accent6" w:themeTint="67" w:sz="4" w:space="0"/>
          <w:right w:val="single" w:color="F2FD8C" w:themeColor="accent6" w:themeTint="67" w:sz="4" w:space="0"/>
        </w:tcBorders>
      </w:tcPr>
    </w:tblStylePr>
  </w:style>
  <w:style w:type="table" w:styleId="TableauGrille2">
    <w:name w:val="Grid Table 2"/>
    <w:basedOn w:val="TableauNormal"/>
    <w:uiPriority w:val="99"/>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Pr>
    <w:tblStylePr w:type="firstRow">
      <w:rPr>
        <w:b/>
        <w:color w:val="404040"/>
      </w:rPr>
      <w:tblPr/>
      <w:tcPr>
        <w:tcBorders>
          <w:top w:val="none" w:color="000000" w:sz="4" w:space="0"/>
          <w:left w:val="none" w:color="000000" w:sz="4" w:space="0"/>
          <w:bottom w:val="single" w:color="6A6A6A" w:themeColor="text1" w:themeTint="95" w:sz="12" w:space="0"/>
          <w:right w:val="none" w:color="000000" w:sz="4" w:space="0"/>
        </w:tcBorders>
        <w:shd w:val="clear" w:color="FFFFFF" w:fill="auto"/>
      </w:tcPr>
    </w:tblStylePr>
    <w:tblStylePr w:type="lastRow">
      <w:rPr>
        <w:b/>
        <w:color w:val="404040"/>
      </w:rPr>
      <w:tblPr/>
      <w:tcPr>
        <w:tcBorders>
          <w:top w:val="single" w:color="6A6A6A" w:themeColor="text1" w:themeTint="95"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customStyle="1">
    <w:name w:val="Grid Table 2 Accent 1"/>
    <w:basedOn w:val="TableauNormal"/>
    <w:uiPriority w:val="99"/>
    <w:tblPr>
      <w:tblStyleRowBandSize w:val="1"/>
      <w:tblStyleColBandSize w:val="1"/>
      <w:tblBorders>
        <w:bottom w:val="single" w:color="003196" w:themeColor="accent1" w:themeTint="EA" w:sz="4" w:space="0"/>
        <w:insideH w:val="single" w:color="003196" w:themeColor="accent1" w:themeTint="EA" w:sz="4" w:space="0"/>
        <w:insideV w:val="single" w:color="003196" w:themeColor="accent1" w:themeTint="EA" w:sz="4" w:space="0"/>
      </w:tblBorders>
    </w:tblPr>
    <w:tblStylePr w:type="firstRow">
      <w:rPr>
        <w:b/>
        <w:color w:val="404040"/>
      </w:rPr>
      <w:tblPr/>
      <w:tcPr>
        <w:tcBorders>
          <w:top w:val="none" w:color="000000" w:sz="4" w:space="0"/>
          <w:left w:val="none" w:color="000000" w:sz="4" w:space="0"/>
          <w:bottom w:val="single" w:color="003196" w:themeColor="accent1" w:themeTint="EA" w:sz="12" w:space="0"/>
          <w:right w:val="none" w:color="000000" w:sz="4" w:space="0"/>
        </w:tcBorders>
        <w:shd w:val="clear" w:color="FFFFFF" w:fill="auto"/>
      </w:tcPr>
    </w:tblStylePr>
    <w:tblStylePr w:type="lastRow">
      <w:rPr>
        <w:b/>
        <w:color w:val="404040"/>
      </w:rPr>
      <w:tblPr/>
      <w:tcPr>
        <w:tcBorders>
          <w:top w:val="single" w:color="003196" w:themeColor="accent1" w:themeTint="EA"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FC9FF" w:themeColor="accent1" w:themeTint="34" w:fill="AFC9FF" w:themeFill="accent1" w:themeFillTint="34"/>
      </w:tcPr>
    </w:tblStylePr>
    <w:tblStylePr w:type="band1Horz">
      <w:rPr>
        <w:rFonts w:ascii="Arial" w:hAnsi="Arial"/>
        <w:color w:val="404040"/>
        <w:sz w:val="22"/>
      </w:rPr>
      <w:tblPr/>
      <w:tcPr>
        <w:shd w:val="clear" w:color="AFC9FF" w:themeColor="accent1" w:themeTint="34" w:fill="AFC9FF" w:themeFill="accent1" w:themeFillTint="34"/>
      </w:tcPr>
    </w:tblStylePr>
  </w:style>
  <w:style w:type="table" w:styleId="GridTable2-Accent2" w:customStyle="1">
    <w:name w:val="Grid Table 2 Accent 2"/>
    <w:basedOn w:val="TableauNormal"/>
    <w:uiPriority w:val="99"/>
    <w:tblPr>
      <w:tblStyleRowBandSize w:val="1"/>
      <w:tblStyleColBandSize w:val="1"/>
      <w:tblBorders>
        <w:bottom w:val="single" w:color="C7FF4E" w:themeColor="accent2" w:themeTint="97" w:sz="4" w:space="0"/>
        <w:insideH w:val="single" w:color="C7FF4E" w:themeColor="accent2" w:themeTint="97" w:sz="4" w:space="0"/>
        <w:insideV w:val="single" w:color="C7FF4E" w:themeColor="accent2" w:themeTint="97" w:sz="4" w:space="0"/>
      </w:tblBorders>
    </w:tblPr>
    <w:tblStylePr w:type="firstRow">
      <w:rPr>
        <w:b/>
        <w:color w:val="404040"/>
      </w:rPr>
      <w:tblPr/>
      <w:tcPr>
        <w:tcBorders>
          <w:top w:val="none" w:color="000000" w:sz="4" w:space="0"/>
          <w:left w:val="none" w:color="000000" w:sz="4" w:space="0"/>
          <w:bottom w:val="single" w:color="C7FF4E" w:themeColor="accent2" w:themeTint="97" w:sz="12" w:space="0"/>
          <w:right w:val="none" w:color="000000" w:sz="4" w:space="0"/>
        </w:tcBorders>
        <w:shd w:val="clear" w:color="FFFFFF" w:fill="auto"/>
      </w:tcPr>
    </w:tblStylePr>
    <w:tblStylePr w:type="lastRow">
      <w:rPr>
        <w:b/>
        <w:color w:val="404040"/>
      </w:rPr>
      <w:tblPr/>
      <w:tcPr>
        <w:tcBorders>
          <w:top w:val="single" w:color="C7FF4E" w:themeColor="accent2" w:themeTint="97"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FFC4" w:themeColor="accent2" w:themeTint="32" w:fill="ECFFC4" w:themeFill="accent2" w:themeFillTint="32"/>
      </w:tcPr>
    </w:tblStylePr>
    <w:tblStylePr w:type="band1Horz">
      <w:rPr>
        <w:rFonts w:ascii="Arial" w:hAnsi="Arial"/>
        <w:color w:val="404040"/>
        <w:sz w:val="22"/>
      </w:rPr>
      <w:tblPr/>
      <w:tcPr>
        <w:shd w:val="clear" w:color="ECFFC4" w:themeColor="accent2" w:themeTint="32" w:fill="ECFFC4" w:themeFill="accent2" w:themeFillTint="32"/>
      </w:tcPr>
    </w:tblStylePr>
  </w:style>
  <w:style w:type="table" w:styleId="GridTable2-Accent3" w:customStyle="1">
    <w:name w:val="Grid Table 2 Accent 3"/>
    <w:basedOn w:val="TableauNormal"/>
    <w:uiPriority w:val="99"/>
    <w:tblPr>
      <w:tblStyleRowBandSize w:val="1"/>
      <w:tblStyleColBandSize w:val="1"/>
      <w:tblBorders>
        <w:bottom w:val="single" w:color="00A0DF" w:themeColor="accent3" w:themeTint="FE" w:sz="4" w:space="0"/>
        <w:insideH w:val="single" w:color="00A0DF" w:themeColor="accent3" w:themeTint="FE" w:sz="4" w:space="0"/>
        <w:insideV w:val="single" w:color="00A0DF" w:themeColor="accent3" w:themeTint="FE" w:sz="4" w:space="0"/>
      </w:tblBorders>
    </w:tblPr>
    <w:tblStylePr w:type="firstRow">
      <w:rPr>
        <w:b/>
        <w:color w:val="404040"/>
      </w:rPr>
      <w:tblPr/>
      <w:tcPr>
        <w:tcBorders>
          <w:top w:val="none" w:color="000000" w:sz="4" w:space="0"/>
          <w:left w:val="none" w:color="000000" w:sz="4" w:space="0"/>
          <w:bottom w:val="single" w:color="00A0DF" w:themeColor="accent3" w:themeTint="FE" w:sz="12" w:space="0"/>
          <w:right w:val="none" w:color="000000" w:sz="4" w:space="0"/>
        </w:tcBorders>
        <w:shd w:val="clear" w:color="FFFFFF" w:fill="auto"/>
      </w:tcPr>
    </w:tblStylePr>
    <w:tblStylePr w:type="lastRow">
      <w:rPr>
        <w:b/>
        <w:color w:val="404040"/>
      </w:rPr>
      <w:tblPr/>
      <w:tcPr>
        <w:tcBorders>
          <w:top w:val="single" w:color="00A0DF" w:themeColor="accent3" w:themeTint="FE"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4EEFF" w:themeColor="accent3" w:themeTint="34" w:fill="C4EEFF" w:themeFill="accent3" w:themeFillTint="34"/>
      </w:tcPr>
    </w:tblStylePr>
    <w:tblStylePr w:type="band1Horz">
      <w:rPr>
        <w:rFonts w:ascii="Arial" w:hAnsi="Arial"/>
        <w:color w:val="404040"/>
        <w:sz w:val="22"/>
      </w:rPr>
      <w:tblPr/>
      <w:tcPr>
        <w:shd w:val="clear" w:color="C4EEFF" w:themeColor="accent3" w:themeTint="34" w:fill="C4EEFF" w:themeFill="accent3" w:themeFillTint="34"/>
      </w:tcPr>
    </w:tblStylePr>
  </w:style>
  <w:style w:type="table" w:styleId="GridTable2-Accent4" w:customStyle="1">
    <w:name w:val="Grid Table 2 Accent 4"/>
    <w:basedOn w:val="TableauNormal"/>
    <w:uiPriority w:val="99"/>
    <w:tblPr>
      <w:tblStyleRowBandSize w:val="1"/>
      <w:tblStyleColBandSize w:val="1"/>
      <w:tblBorders>
        <w:bottom w:val="single" w:color="79CD6B" w:themeColor="accent4" w:themeTint="9A" w:sz="4" w:space="0"/>
        <w:insideH w:val="single" w:color="79CD6B" w:themeColor="accent4" w:themeTint="9A" w:sz="4" w:space="0"/>
        <w:insideV w:val="single" w:color="79CD6B" w:themeColor="accent4" w:themeTint="9A" w:sz="4" w:space="0"/>
      </w:tblBorders>
    </w:tblPr>
    <w:tblStylePr w:type="firstRow">
      <w:rPr>
        <w:b/>
        <w:color w:val="404040"/>
      </w:rPr>
      <w:tblPr/>
      <w:tcPr>
        <w:tcBorders>
          <w:top w:val="none" w:color="000000" w:sz="4" w:space="0"/>
          <w:left w:val="none" w:color="000000" w:sz="4" w:space="0"/>
          <w:bottom w:val="single" w:color="79CD6B" w:themeColor="accent4" w:themeTint="9A" w:sz="12" w:space="0"/>
          <w:right w:val="none" w:color="000000" w:sz="4" w:space="0"/>
        </w:tcBorders>
        <w:shd w:val="clear" w:color="FFFFFF" w:fill="auto"/>
      </w:tcPr>
    </w:tblStylePr>
    <w:tblStylePr w:type="lastRow">
      <w:rPr>
        <w:b/>
        <w:color w:val="404040"/>
      </w:rPr>
      <w:tblPr/>
      <w:tcPr>
        <w:tcBorders>
          <w:top w:val="single" w:color="79CD6B" w:themeColor="accent4" w:themeTint="9A"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ECD" w:themeColor="accent4" w:themeTint="34" w:fill="D1EECD" w:themeFill="accent4" w:themeFillTint="34"/>
      </w:tcPr>
    </w:tblStylePr>
    <w:tblStylePr w:type="band1Horz">
      <w:rPr>
        <w:rFonts w:ascii="Arial" w:hAnsi="Arial"/>
        <w:color w:val="404040"/>
        <w:sz w:val="22"/>
      </w:rPr>
      <w:tblPr/>
      <w:tcPr>
        <w:shd w:val="clear" w:color="D1EECD" w:themeColor="accent4" w:themeTint="34" w:fill="D1EECD" w:themeFill="accent4" w:themeFillTint="34"/>
      </w:tcPr>
    </w:tblStylePr>
  </w:style>
  <w:style w:type="table" w:styleId="GridTable2-Accent5" w:customStyle="1">
    <w:name w:val="Grid Table 2 Accent 5"/>
    <w:basedOn w:val="TableauNormal"/>
    <w:uiPriority w:val="99"/>
    <w:tblPr>
      <w:tblStyleRowBandSize w:val="1"/>
      <w:tblStyleColBandSize w:val="1"/>
      <w:tblBorders>
        <w:bottom w:val="single" w:color="72C7E7" w:themeColor="accent5" w:sz="4" w:space="0"/>
        <w:insideH w:val="single" w:color="72C7E7" w:themeColor="accent5" w:sz="4" w:space="0"/>
        <w:insideV w:val="single" w:color="72C7E7" w:themeColor="accent5" w:sz="4" w:space="0"/>
      </w:tblBorders>
    </w:tblPr>
    <w:tblStylePr w:type="firstRow">
      <w:rPr>
        <w:b/>
        <w:color w:val="404040"/>
      </w:rPr>
      <w:tblPr/>
      <w:tcPr>
        <w:tcBorders>
          <w:top w:val="none" w:color="000000" w:sz="4" w:space="0"/>
          <w:left w:val="none" w:color="000000" w:sz="4" w:space="0"/>
          <w:bottom w:val="single" w:color="72C7E7" w:themeColor="accent5" w:sz="12" w:space="0"/>
          <w:right w:val="none" w:color="000000" w:sz="4" w:space="0"/>
        </w:tcBorders>
        <w:shd w:val="clear" w:color="FFFFFF" w:fill="auto"/>
      </w:tcPr>
    </w:tblStylePr>
    <w:tblStylePr w:type="lastRow">
      <w:rPr>
        <w:b/>
        <w:color w:val="404040"/>
      </w:rPr>
      <w:tblPr/>
      <w:tcPr>
        <w:tcBorders>
          <w:top w:val="single" w:color="72C7E7" w:themeColor="accent5"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2F3FA" w:themeColor="accent5" w:themeTint="34" w:fill="E2F3FA" w:themeFill="accent5" w:themeFillTint="34"/>
      </w:tcPr>
    </w:tblStylePr>
    <w:tblStylePr w:type="band1Horz">
      <w:rPr>
        <w:rFonts w:ascii="Arial" w:hAnsi="Arial"/>
        <w:color w:val="404040"/>
        <w:sz w:val="22"/>
      </w:rPr>
      <w:tblPr/>
      <w:tcPr>
        <w:shd w:val="clear" w:color="E2F3FA" w:themeColor="accent5" w:themeTint="34" w:fill="E2F3FA" w:themeFill="accent5" w:themeFillTint="34"/>
      </w:tcPr>
    </w:tblStylePr>
  </w:style>
  <w:style w:type="table" w:styleId="GridTable2-Accent6" w:customStyle="1">
    <w:name w:val="Grid Table 2 Accent 6"/>
    <w:basedOn w:val="TableauNormal"/>
    <w:uiPriority w:val="99"/>
    <w:tblPr>
      <w:tblStyleRowBandSize w:val="1"/>
      <w:tblStyleColBandSize w:val="1"/>
      <w:tblBorders>
        <w:bottom w:val="single" w:color="C9DD03" w:themeColor="accent6" w:sz="4" w:space="0"/>
        <w:insideH w:val="single" w:color="C9DD03" w:themeColor="accent6" w:sz="4" w:space="0"/>
        <w:insideV w:val="single" w:color="C9DD03" w:themeColor="accent6" w:sz="4" w:space="0"/>
      </w:tblBorders>
    </w:tblPr>
    <w:tblStylePr w:type="firstRow">
      <w:rPr>
        <w:b/>
        <w:color w:val="404040"/>
      </w:rPr>
      <w:tblPr/>
      <w:tcPr>
        <w:tcBorders>
          <w:top w:val="none" w:color="000000" w:sz="4" w:space="0"/>
          <w:left w:val="none" w:color="000000" w:sz="4" w:space="0"/>
          <w:bottom w:val="single" w:color="C9DD03" w:themeColor="accent6" w:sz="12" w:space="0"/>
          <w:right w:val="none" w:color="000000" w:sz="4" w:space="0"/>
        </w:tcBorders>
        <w:shd w:val="clear" w:color="FFFFFF" w:fill="auto"/>
      </w:tcPr>
    </w:tblStylePr>
    <w:tblStylePr w:type="lastRow">
      <w:rPr>
        <w:b/>
        <w:color w:val="404040"/>
      </w:rPr>
      <w:tblPr/>
      <w:tcPr>
        <w:tcBorders>
          <w:top w:val="single" w:color="C9DD03" w:themeColor="accent6" w:sz="4" w:space="0"/>
          <w:left w:val="none" w:color="000000" w:sz="4" w:space="0"/>
          <w:bottom w:val="none" w:color="000000" w:sz="4" w:space="0"/>
          <w:right w:val="none" w:color="000000" w:sz="4" w:space="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FEC5" w:themeColor="accent6" w:themeTint="34" w:fill="F8FEC5" w:themeFill="accent6" w:themeFillTint="34"/>
      </w:tcPr>
    </w:tblStylePr>
    <w:tblStylePr w:type="band1Horz">
      <w:rPr>
        <w:rFonts w:ascii="Arial" w:hAnsi="Arial"/>
        <w:color w:val="404040"/>
        <w:sz w:val="22"/>
      </w:rPr>
      <w:tblPr/>
      <w:tcPr>
        <w:shd w:val="clear" w:color="F8FEC5" w:themeColor="accent6" w:themeTint="34" w:fill="F8FEC5" w:themeFill="accent6" w:themeFillTint="34"/>
      </w:tcPr>
    </w:tblStylePr>
  </w:style>
  <w:style w:type="table" w:styleId="TableauGrille3">
    <w:name w:val="Grid Table 3"/>
    <w:basedOn w:val="TableauNormal"/>
    <w:uiPriority w:val="99"/>
    <w:tblPr>
      <w:tblStyleRowBandSize w:val="1"/>
      <w:tblStyleColBandSize w:val="1"/>
      <w:tblBorders>
        <w:bottom w:val="single" w:color="6A6A6A" w:themeColor="text1" w:themeTint="95" w:sz="4" w:space="0"/>
        <w:insideH w:val="single" w:color="6A6A6A" w:themeColor="text1" w:themeTint="95" w:sz="4" w:space="0"/>
        <w:insideV w:val="single" w:color="6A6A6A" w:themeColor="text1" w:themeTint="95"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customStyle="1">
    <w:name w:val="Grid Table 3 Accent 1"/>
    <w:basedOn w:val="TableauNormal"/>
    <w:uiPriority w:val="99"/>
    <w:tblPr>
      <w:tblStyleRowBandSize w:val="1"/>
      <w:tblStyleColBandSize w:val="1"/>
      <w:tblBorders>
        <w:bottom w:val="single" w:color="003196" w:themeColor="accent1" w:themeTint="EA" w:sz="4" w:space="0"/>
        <w:insideH w:val="single" w:color="003196" w:themeColor="accent1" w:themeTint="EA" w:sz="4" w:space="0"/>
        <w:insideV w:val="single" w:color="003196" w:themeColor="accent1" w:themeTint="EA"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AFC9FF" w:themeColor="accent1" w:themeTint="34" w:fill="AFC9FF" w:themeFill="accent1" w:themeFillTint="34"/>
      </w:tcPr>
    </w:tblStylePr>
    <w:tblStylePr w:type="band1Horz">
      <w:rPr>
        <w:rFonts w:ascii="Arial" w:hAnsi="Arial"/>
        <w:color w:val="404040"/>
        <w:sz w:val="22"/>
      </w:rPr>
      <w:tblPr/>
      <w:tcPr>
        <w:shd w:val="clear" w:color="AFC9FF" w:themeColor="accent1" w:themeTint="34" w:fill="AFC9FF" w:themeFill="accent1" w:themeFillTint="34"/>
      </w:tcPr>
    </w:tblStylePr>
  </w:style>
  <w:style w:type="table" w:styleId="GridTable3-Accent2" w:customStyle="1">
    <w:name w:val="Grid Table 3 Accent 2"/>
    <w:basedOn w:val="TableauNormal"/>
    <w:uiPriority w:val="99"/>
    <w:tblPr>
      <w:tblStyleRowBandSize w:val="1"/>
      <w:tblStyleColBandSize w:val="1"/>
      <w:tblBorders>
        <w:bottom w:val="single" w:color="C7FF4E" w:themeColor="accent2" w:themeTint="97" w:sz="4" w:space="0"/>
        <w:insideH w:val="single" w:color="C7FF4E" w:themeColor="accent2" w:themeTint="97" w:sz="4" w:space="0"/>
        <w:insideV w:val="single" w:color="C7FF4E" w:themeColor="accent2" w:themeTint="97"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ECFFC4" w:themeColor="accent2" w:themeTint="32" w:fill="ECFFC4" w:themeFill="accent2" w:themeFillTint="32"/>
      </w:tcPr>
    </w:tblStylePr>
    <w:tblStylePr w:type="band1Horz">
      <w:rPr>
        <w:rFonts w:ascii="Arial" w:hAnsi="Arial"/>
        <w:color w:val="404040"/>
        <w:sz w:val="22"/>
      </w:rPr>
      <w:tblPr/>
      <w:tcPr>
        <w:shd w:val="clear" w:color="ECFFC4" w:themeColor="accent2" w:themeTint="32" w:fill="ECFFC4" w:themeFill="accent2" w:themeFillTint="32"/>
      </w:tcPr>
    </w:tblStylePr>
  </w:style>
  <w:style w:type="table" w:styleId="GridTable3-Accent3" w:customStyle="1">
    <w:name w:val="Grid Table 3 Accent 3"/>
    <w:basedOn w:val="TableauNormal"/>
    <w:uiPriority w:val="99"/>
    <w:tblPr>
      <w:tblStyleRowBandSize w:val="1"/>
      <w:tblStyleColBandSize w:val="1"/>
      <w:tblBorders>
        <w:bottom w:val="single" w:color="00A0DF" w:themeColor="accent3" w:themeTint="FE" w:sz="4" w:space="0"/>
        <w:insideH w:val="single" w:color="00A0DF" w:themeColor="accent3" w:themeTint="FE" w:sz="4" w:space="0"/>
        <w:insideV w:val="single" w:color="00A0DF" w:themeColor="accent3" w:themeTint="FE"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C4EEFF" w:themeColor="accent3" w:themeTint="34" w:fill="C4EEFF" w:themeFill="accent3" w:themeFillTint="34"/>
      </w:tcPr>
    </w:tblStylePr>
    <w:tblStylePr w:type="band1Horz">
      <w:rPr>
        <w:rFonts w:ascii="Arial" w:hAnsi="Arial"/>
        <w:color w:val="404040"/>
        <w:sz w:val="22"/>
      </w:rPr>
      <w:tblPr/>
      <w:tcPr>
        <w:shd w:val="clear" w:color="C4EEFF" w:themeColor="accent3" w:themeTint="34" w:fill="C4EEFF" w:themeFill="accent3" w:themeFillTint="34"/>
      </w:tcPr>
    </w:tblStylePr>
  </w:style>
  <w:style w:type="table" w:styleId="GridTable3-Accent4" w:customStyle="1">
    <w:name w:val="Grid Table 3 Accent 4"/>
    <w:basedOn w:val="TableauNormal"/>
    <w:uiPriority w:val="99"/>
    <w:tblPr>
      <w:tblStyleRowBandSize w:val="1"/>
      <w:tblStyleColBandSize w:val="1"/>
      <w:tblBorders>
        <w:bottom w:val="single" w:color="79CD6B" w:themeColor="accent4" w:themeTint="9A" w:sz="4" w:space="0"/>
        <w:insideH w:val="single" w:color="79CD6B" w:themeColor="accent4" w:themeTint="9A" w:sz="4" w:space="0"/>
        <w:insideV w:val="single" w:color="79CD6B" w:themeColor="accent4" w:themeTint="9A"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D1EECD" w:themeColor="accent4" w:themeTint="34" w:fill="D1EECD" w:themeFill="accent4" w:themeFillTint="34"/>
      </w:tcPr>
    </w:tblStylePr>
    <w:tblStylePr w:type="band1Horz">
      <w:rPr>
        <w:rFonts w:ascii="Arial" w:hAnsi="Arial"/>
        <w:color w:val="404040"/>
        <w:sz w:val="22"/>
      </w:rPr>
      <w:tblPr/>
      <w:tcPr>
        <w:shd w:val="clear" w:color="D1EECD" w:themeColor="accent4" w:themeTint="34" w:fill="D1EECD" w:themeFill="accent4" w:themeFillTint="34"/>
      </w:tcPr>
    </w:tblStylePr>
  </w:style>
  <w:style w:type="table" w:styleId="GridTable3-Accent5" w:customStyle="1">
    <w:name w:val="Grid Table 3 Accent 5"/>
    <w:basedOn w:val="TableauNormal"/>
    <w:uiPriority w:val="99"/>
    <w:tblPr>
      <w:tblStyleRowBandSize w:val="1"/>
      <w:tblStyleColBandSize w:val="1"/>
      <w:tblBorders>
        <w:bottom w:val="single" w:color="72C7E7" w:themeColor="accent5" w:sz="4" w:space="0"/>
        <w:insideH w:val="single" w:color="72C7E7" w:themeColor="accent5" w:sz="4" w:space="0"/>
        <w:insideV w:val="single" w:color="72C7E7" w:themeColor="accent5"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E2F3FA" w:themeColor="accent5" w:themeTint="34" w:fill="E2F3FA" w:themeFill="accent5" w:themeFillTint="34"/>
      </w:tcPr>
    </w:tblStylePr>
    <w:tblStylePr w:type="band1Horz">
      <w:rPr>
        <w:rFonts w:ascii="Arial" w:hAnsi="Arial"/>
        <w:color w:val="404040"/>
        <w:sz w:val="22"/>
      </w:rPr>
      <w:tblPr/>
      <w:tcPr>
        <w:shd w:val="clear" w:color="E2F3FA" w:themeColor="accent5" w:themeTint="34" w:fill="E2F3FA" w:themeFill="accent5" w:themeFillTint="34"/>
      </w:tcPr>
    </w:tblStylePr>
  </w:style>
  <w:style w:type="table" w:styleId="GridTable3-Accent6" w:customStyle="1">
    <w:name w:val="Grid Table 3 Accent 6"/>
    <w:basedOn w:val="TableauNormal"/>
    <w:uiPriority w:val="99"/>
    <w:tblPr>
      <w:tblStyleRowBandSize w:val="1"/>
      <w:tblStyleColBandSize w:val="1"/>
      <w:tblBorders>
        <w:bottom w:val="single" w:color="C9DD03" w:themeColor="accent6" w:sz="4" w:space="0"/>
        <w:insideH w:val="single" w:color="C9DD03" w:themeColor="accent6" w:sz="4" w:space="0"/>
        <w:insideV w:val="single" w:color="C9DD03" w:themeColor="accent6" w:sz="4" w:space="0"/>
      </w:tblBorders>
    </w:tblPr>
    <w:tblStylePr w:type="fir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Row">
      <w:rPr>
        <w:b/>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firstCol">
      <w:pPr>
        <w:jc w:val="right"/>
      </w:pPr>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lastCol">
      <w:rPr>
        <w:i/>
        <w:color w:val="404040"/>
      </w:rPr>
      <w:tblPr/>
      <w:tcPr>
        <w:tcBorders>
          <w:top w:val="none" w:color="000000" w:sz="4" w:space="0"/>
          <w:left w:val="none" w:color="000000" w:sz="4" w:space="0"/>
          <w:bottom w:val="none" w:color="000000" w:sz="4" w:space="0"/>
          <w:right w:val="none" w:color="000000" w:sz="4" w:space="0"/>
        </w:tcBorders>
        <w:shd w:val="clear" w:color="FFFFFF" w:fill="auto"/>
      </w:tcPr>
    </w:tblStylePr>
    <w:tblStylePr w:type="band1Vert">
      <w:rPr>
        <w:rFonts w:ascii="Arial" w:hAnsi="Arial"/>
        <w:color w:val="404040"/>
        <w:sz w:val="22"/>
      </w:rPr>
      <w:tblPr/>
      <w:tcPr>
        <w:shd w:val="clear" w:color="F8FEC5" w:themeColor="accent6" w:themeTint="34" w:fill="F8FEC5" w:themeFill="accent6" w:themeFillTint="34"/>
      </w:tcPr>
    </w:tblStylePr>
    <w:tblStylePr w:type="band1Horz">
      <w:rPr>
        <w:rFonts w:ascii="Arial" w:hAnsi="Arial"/>
        <w:color w:val="404040"/>
        <w:sz w:val="22"/>
      </w:rPr>
      <w:tblPr/>
      <w:tcPr>
        <w:shd w:val="clear" w:color="F8FEC5" w:themeColor="accent6" w:themeTint="34" w:fill="F8FEC5" w:themeFill="accent6" w:themeFillTint="34"/>
      </w:tcPr>
    </w:tblStylePr>
  </w:style>
  <w:style w:type="table" w:styleId="TableauGrille4">
    <w:name w:val="Grid Table 4"/>
    <w:basedOn w:val="TableauNormal"/>
    <w:uiPriority w:val="59"/>
    <w:tblPr>
      <w:tblStyleRowBandSize w:val="1"/>
      <w:tblStyleColBandSize w:val="1"/>
      <w:tblBorders>
        <w:top w:val="single" w:color="6F6F6F" w:themeColor="text1" w:themeTint="90" w:sz="4" w:space="0"/>
        <w:left w:val="single" w:color="6F6F6F" w:themeColor="text1" w:themeTint="90" w:sz="4" w:space="0"/>
        <w:bottom w:val="single" w:color="6F6F6F" w:themeColor="text1" w:themeTint="90" w:sz="4" w:space="0"/>
        <w:right w:val="single" w:color="6F6F6F" w:themeColor="text1" w:themeTint="90" w:sz="4" w:space="0"/>
        <w:insideH w:val="single" w:color="6F6F6F" w:themeColor="text1" w:themeTint="90" w:sz="4" w:space="0"/>
        <w:insideV w:val="single" w:color="6F6F6F" w:themeColor="text1" w:themeTint="90" w:sz="4" w:space="0"/>
      </w:tblBorders>
    </w:tblPr>
    <w:tblStylePr w:type="firstRow">
      <w:rPr>
        <w:rFonts w:ascii="Arial" w:hAnsi="Arial"/>
        <w:b/>
        <w:color w:val="FFFFFF"/>
        <w:sz w:val="22"/>
      </w:rPr>
      <w:tblPr/>
      <w:tcPr>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000000" w:themeColor="text1" w:fill="000000" w:themeFill="text1"/>
      </w:tcPr>
    </w:tblStylePr>
    <w:tblStylePr w:type="lastRow">
      <w:rPr>
        <w:b/>
        <w:color w:val="404040"/>
      </w:rPr>
      <w:tblPr/>
      <w:tcPr>
        <w:tcBorders>
          <w:top w:val="single" w:color="000000" w:themeColor="text1"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customStyle="1">
    <w:name w:val="Grid Table 4 Accent 1"/>
    <w:basedOn w:val="TableauNormal"/>
    <w:uiPriority w:val="59"/>
    <w:tblPr>
      <w:tblStyleRowBandSize w:val="1"/>
      <w:tblStyleColBandSize w:val="1"/>
      <w:tblBorders>
        <w:top w:val="single" w:color="216AFF" w:themeColor="accent1" w:themeTint="90" w:sz="4" w:space="0"/>
        <w:left w:val="single" w:color="216AFF" w:themeColor="accent1" w:themeTint="90" w:sz="4" w:space="0"/>
        <w:bottom w:val="single" w:color="216AFF" w:themeColor="accent1" w:themeTint="90" w:sz="4" w:space="0"/>
        <w:right w:val="single" w:color="216AFF" w:themeColor="accent1" w:themeTint="90" w:sz="4" w:space="0"/>
        <w:insideH w:val="single" w:color="216AFF" w:themeColor="accent1" w:themeTint="90" w:sz="4" w:space="0"/>
        <w:insideV w:val="single" w:color="216AFF" w:themeColor="accent1" w:themeTint="90" w:sz="4" w:space="0"/>
      </w:tblBorders>
    </w:tblPr>
    <w:tblStylePr w:type="firstRow">
      <w:rPr>
        <w:rFonts w:ascii="Arial" w:hAnsi="Arial"/>
        <w:b/>
        <w:color w:val="FFFFFF"/>
        <w:sz w:val="22"/>
      </w:rPr>
      <w:tblPr/>
      <w:tcPr>
        <w:tcBorders>
          <w:top w:val="single" w:color="003196" w:themeColor="accent1" w:themeTint="EA" w:sz="4" w:space="0"/>
          <w:left w:val="single" w:color="003196" w:themeColor="accent1" w:themeTint="EA" w:sz="4" w:space="0"/>
          <w:bottom w:val="single" w:color="003196" w:themeColor="accent1" w:themeTint="EA" w:sz="4" w:space="0"/>
          <w:right w:val="single" w:color="003196" w:themeColor="accent1" w:themeTint="EA" w:sz="4" w:space="0"/>
        </w:tcBorders>
        <w:shd w:val="clear" w:color="003196" w:themeColor="accent1" w:themeTint="EA" w:fill="003196" w:themeFill="accent1" w:themeFillTint="EA"/>
      </w:tcPr>
    </w:tblStylePr>
    <w:tblStylePr w:type="lastRow">
      <w:rPr>
        <w:b/>
        <w:color w:val="404040"/>
      </w:rPr>
      <w:tblPr/>
      <w:tcPr>
        <w:tcBorders>
          <w:top w:val="single" w:color="003196" w:themeColor="accent1" w:themeTint="E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CBFF" w:themeColor="accent1" w:themeTint="32" w:fill="B2CBFF" w:themeFill="accent1" w:themeFillTint="32"/>
      </w:tcPr>
    </w:tblStylePr>
    <w:tblStylePr w:type="band1Horz">
      <w:rPr>
        <w:rFonts w:ascii="Arial" w:hAnsi="Arial"/>
        <w:color w:val="404040"/>
        <w:sz w:val="22"/>
      </w:rPr>
      <w:tblPr/>
      <w:tcPr>
        <w:shd w:val="clear" w:color="B2CBFF" w:themeColor="accent1" w:themeTint="32" w:fill="B2CBFF" w:themeFill="accent1" w:themeFillTint="32"/>
      </w:tcPr>
    </w:tblStylePr>
  </w:style>
  <w:style w:type="table" w:styleId="GridTable4-Accent2" w:customStyle="1">
    <w:name w:val="Grid Table 4 Accent 2"/>
    <w:basedOn w:val="TableauNormal"/>
    <w:uiPriority w:val="59"/>
    <w:tblPr>
      <w:tblStyleRowBandSize w:val="1"/>
      <w:tblStyleColBandSize w:val="1"/>
      <w:tblBorders>
        <w:top w:val="single" w:color="CAFF56" w:themeColor="accent2" w:themeTint="90" w:sz="4" w:space="0"/>
        <w:left w:val="single" w:color="CAFF56" w:themeColor="accent2" w:themeTint="90" w:sz="4" w:space="0"/>
        <w:bottom w:val="single" w:color="CAFF56" w:themeColor="accent2" w:themeTint="90" w:sz="4" w:space="0"/>
        <w:right w:val="single" w:color="CAFF56" w:themeColor="accent2" w:themeTint="90" w:sz="4" w:space="0"/>
        <w:insideH w:val="single" w:color="CAFF56" w:themeColor="accent2" w:themeTint="90" w:sz="4" w:space="0"/>
        <w:insideV w:val="single" w:color="CAFF56" w:themeColor="accent2" w:themeTint="90" w:sz="4" w:space="0"/>
      </w:tblBorders>
    </w:tblPr>
    <w:tblStylePr w:type="firstRow">
      <w:rPr>
        <w:rFonts w:ascii="Arial" w:hAnsi="Arial"/>
        <w:b/>
        <w:color w:val="FFFFFF"/>
        <w:sz w:val="22"/>
      </w:rPr>
      <w:tblPr/>
      <w:tcPr>
        <w:tcBorders>
          <w:top w:val="single" w:color="C7FF4E" w:themeColor="accent2" w:themeTint="97" w:sz="4" w:space="0"/>
          <w:left w:val="single" w:color="C7FF4E" w:themeColor="accent2" w:themeTint="97" w:sz="4" w:space="0"/>
          <w:bottom w:val="single" w:color="C7FF4E" w:themeColor="accent2" w:themeTint="97" w:sz="4" w:space="0"/>
          <w:right w:val="single" w:color="C7FF4E" w:themeColor="accent2" w:themeTint="97" w:sz="4" w:space="0"/>
        </w:tcBorders>
        <w:shd w:val="clear" w:color="C7FF4E" w:themeColor="accent2" w:themeTint="97" w:fill="C7FF4E" w:themeFill="accent2" w:themeFillTint="97"/>
      </w:tcPr>
    </w:tblStylePr>
    <w:tblStylePr w:type="lastRow">
      <w:rPr>
        <w:b/>
        <w:color w:val="404040"/>
      </w:rPr>
      <w:tblPr/>
      <w:tcPr>
        <w:tcBorders>
          <w:top w:val="single" w:color="C7FF4E" w:themeColor="accent2" w:themeTint="97"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FFC4" w:themeColor="accent2" w:themeTint="32" w:fill="ECFFC4" w:themeFill="accent2" w:themeFillTint="32"/>
      </w:tcPr>
    </w:tblStylePr>
    <w:tblStylePr w:type="band1Horz">
      <w:rPr>
        <w:rFonts w:ascii="Arial" w:hAnsi="Arial"/>
        <w:color w:val="404040"/>
        <w:sz w:val="22"/>
      </w:rPr>
      <w:tblPr/>
      <w:tcPr>
        <w:shd w:val="clear" w:color="ECFFC4" w:themeColor="accent2" w:themeTint="32" w:fill="ECFFC4" w:themeFill="accent2" w:themeFillTint="32"/>
      </w:tcPr>
    </w:tblStylePr>
  </w:style>
  <w:style w:type="table" w:styleId="GridTable4-Accent3" w:customStyle="1">
    <w:name w:val="Grid Table 4 Accent 3"/>
    <w:basedOn w:val="TableauNormal"/>
    <w:uiPriority w:val="59"/>
    <w:tblPr>
      <w:tblStyleRowBandSize w:val="1"/>
      <w:tblStyleColBandSize w:val="1"/>
      <w:tblBorders>
        <w:top w:val="single" w:color="5CD1FF" w:themeColor="accent3" w:themeTint="90" w:sz="4" w:space="0"/>
        <w:left w:val="single" w:color="5CD1FF" w:themeColor="accent3" w:themeTint="90" w:sz="4" w:space="0"/>
        <w:bottom w:val="single" w:color="5CD1FF" w:themeColor="accent3" w:themeTint="90" w:sz="4" w:space="0"/>
        <w:right w:val="single" w:color="5CD1FF" w:themeColor="accent3" w:themeTint="90" w:sz="4" w:space="0"/>
        <w:insideH w:val="single" w:color="5CD1FF" w:themeColor="accent3" w:themeTint="90" w:sz="4" w:space="0"/>
        <w:insideV w:val="single" w:color="5CD1FF" w:themeColor="accent3" w:themeTint="90" w:sz="4" w:space="0"/>
      </w:tblBorders>
    </w:tblPr>
    <w:tblStylePr w:type="firstRow">
      <w:rPr>
        <w:rFonts w:ascii="Arial" w:hAnsi="Arial"/>
        <w:b/>
        <w:color w:val="FFFFFF"/>
        <w:sz w:val="22"/>
      </w:rPr>
      <w:tblPr/>
      <w:tcPr>
        <w:tcBorders>
          <w:top w:val="single" w:color="00A0DF" w:themeColor="accent3" w:themeTint="FE" w:sz="4" w:space="0"/>
          <w:left w:val="single" w:color="00A0DF" w:themeColor="accent3" w:themeTint="FE" w:sz="4" w:space="0"/>
          <w:bottom w:val="single" w:color="00A0DF" w:themeColor="accent3" w:themeTint="FE" w:sz="4" w:space="0"/>
          <w:right w:val="single" w:color="00A0DF" w:themeColor="accent3" w:themeTint="FE" w:sz="4" w:space="0"/>
        </w:tcBorders>
        <w:shd w:val="clear" w:color="00A0DF" w:themeColor="accent3" w:themeTint="FE" w:fill="00A0DF" w:themeFill="accent3" w:themeFillTint="FE"/>
      </w:tcPr>
    </w:tblStylePr>
    <w:tblStylePr w:type="lastRow">
      <w:rPr>
        <w:b/>
        <w:color w:val="404040"/>
      </w:rPr>
      <w:tblPr/>
      <w:tcPr>
        <w:tcBorders>
          <w:top w:val="single" w:color="00A0DF" w:themeColor="accent3" w:themeTint="FE"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4EEFF" w:themeColor="accent3" w:themeTint="34" w:fill="C4EEFF" w:themeFill="accent3" w:themeFillTint="34"/>
      </w:tcPr>
    </w:tblStylePr>
    <w:tblStylePr w:type="band1Horz">
      <w:rPr>
        <w:rFonts w:ascii="Arial" w:hAnsi="Arial"/>
        <w:color w:val="404040"/>
        <w:sz w:val="22"/>
      </w:rPr>
      <w:tblPr/>
      <w:tcPr>
        <w:shd w:val="clear" w:color="C4EEFF" w:themeColor="accent3" w:themeTint="34" w:fill="C4EEFF" w:themeFill="accent3" w:themeFillTint="34"/>
      </w:tcPr>
    </w:tblStylePr>
  </w:style>
  <w:style w:type="table" w:styleId="GridTable4-Accent4" w:customStyle="1">
    <w:name w:val="Grid Table 4 Accent 4"/>
    <w:basedOn w:val="TableauNormal"/>
    <w:uiPriority w:val="59"/>
    <w:tblPr>
      <w:tblStyleRowBandSize w:val="1"/>
      <w:tblStyleColBandSize w:val="1"/>
      <w:tblBorders>
        <w:top w:val="single" w:color="82D174" w:themeColor="accent4" w:themeTint="90" w:sz="4" w:space="0"/>
        <w:left w:val="single" w:color="82D174" w:themeColor="accent4" w:themeTint="90" w:sz="4" w:space="0"/>
        <w:bottom w:val="single" w:color="82D174" w:themeColor="accent4" w:themeTint="90" w:sz="4" w:space="0"/>
        <w:right w:val="single" w:color="82D174" w:themeColor="accent4" w:themeTint="90" w:sz="4" w:space="0"/>
        <w:insideH w:val="single" w:color="82D174" w:themeColor="accent4" w:themeTint="90" w:sz="4" w:space="0"/>
        <w:insideV w:val="single" w:color="82D174" w:themeColor="accent4" w:themeTint="90" w:sz="4" w:space="0"/>
      </w:tblBorders>
    </w:tblPr>
    <w:tblStylePr w:type="firstRow">
      <w:rPr>
        <w:rFonts w:ascii="Arial" w:hAnsi="Arial"/>
        <w:b/>
        <w:color w:val="FFFFFF"/>
        <w:sz w:val="22"/>
      </w:rPr>
      <w:tblPr/>
      <w:tcPr>
        <w:tcBorders>
          <w:top w:val="single" w:color="79CD6B" w:themeColor="accent4" w:themeTint="9A" w:sz="4" w:space="0"/>
          <w:left w:val="single" w:color="79CD6B" w:themeColor="accent4" w:themeTint="9A" w:sz="4" w:space="0"/>
          <w:bottom w:val="single" w:color="79CD6B" w:themeColor="accent4" w:themeTint="9A" w:sz="4" w:space="0"/>
          <w:right w:val="single" w:color="79CD6B" w:themeColor="accent4" w:themeTint="9A" w:sz="4" w:space="0"/>
        </w:tcBorders>
        <w:shd w:val="clear" w:color="79CD6B" w:themeColor="accent4" w:themeTint="9A" w:fill="79CD6B" w:themeFill="accent4" w:themeFillTint="9A"/>
      </w:tcPr>
    </w:tblStylePr>
    <w:tblStylePr w:type="lastRow">
      <w:rPr>
        <w:b/>
        <w:color w:val="404040"/>
      </w:rPr>
      <w:tblPr/>
      <w:tcPr>
        <w:tcBorders>
          <w:top w:val="single" w:color="79CD6B" w:themeColor="accent4" w:themeTint="9A"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ECD" w:themeColor="accent4" w:themeTint="34" w:fill="D1EECD" w:themeFill="accent4" w:themeFillTint="34"/>
      </w:tcPr>
    </w:tblStylePr>
    <w:tblStylePr w:type="band1Horz">
      <w:rPr>
        <w:rFonts w:ascii="Arial" w:hAnsi="Arial"/>
        <w:color w:val="404040"/>
        <w:sz w:val="22"/>
      </w:rPr>
      <w:tblPr/>
      <w:tcPr>
        <w:shd w:val="clear" w:color="D1EECD" w:themeColor="accent4" w:themeTint="34" w:fill="D1EECD" w:themeFill="accent4" w:themeFillTint="34"/>
      </w:tcPr>
    </w:tblStylePr>
  </w:style>
  <w:style w:type="table" w:styleId="GridTable4-Accent5" w:customStyle="1">
    <w:name w:val="Grid Table 4 Accent 5"/>
    <w:basedOn w:val="TableauNormal"/>
    <w:uiPriority w:val="59"/>
    <w:tblPr>
      <w:tblStyleRowBandSize w:val="1"/>
      <w:tblStyleColBandSize w:val="1"/>
      <w:tblBorders>
        <w:top w:val="single" w:color="AFDFF1" w:themeColor="accent5" w:themeTint="90" w:sz="4" w:space="0"/>
        <w:left w:val="single" w:color="AFDFF1" w:themeColor="accent5" w:themeTint="90" w:sz="4" w:space="0"/>
        <w:bottom w:val="single" w:color="AFDFF1" w:themeColor="accent5" w:themeTint="90" w:sz="4" w:space="0"/>
        <w:right w:val="single" w:color="AFDFF1" w:themeColor="accent5" w:themeTint="90" w:sz="4" w:space="0"/>
        <w:insideH w:val="single" w:color="AFDFF1" w:themeColor="accent5" w:themeTint="90" w:sz="4" w:space="0"/>
        <w:insideV w:val="single" w:color="AFDFF1" w:themeColor="accent5" w:themeTint="90" w:sz="4" w:space="0"/>
      </w:tblBorders>
    </w:tblPr>
    <w:tblStylePr w:type="firstRow">
      <w:rPr>
        <w:rFonts w:ascii="Arial" w:hAnsi="Arial"/>
        <w:b/>
        <w:color w:val="FFFFFF"/>
        <w:sz w:val="22"/>
      </w:rPr>
      <w:tblPr/>
      <w:tcPr>
        <w:tcBorders>
          <w:top w:val="single" w:color="72C7E7" w:themeColor="accent5" w:sz="4" w:space="0"/>
          <w:left w:val="single" w:color="72C7E7" w:themeColor="accent5" w:sz="4" w:space="0"/>
          <w:bottom w:val="single" w:color="72C7E7" w:themeColor="accent5" w:sz="4" w:space="0"/>
          <w:right w:val="single" w:color="72C7E7" w:themeColor="accent5" w:sz="4" w:space="0"/>
        </w:tcBorders>
        <w:shd w:val="clear" w:color="72C7E7" w:themeColor="accent5" w:fill="72C7E7" w:themeFill="accent5"/>
      </w:tcPr>
    </w:tblStylePr>
    <w:tblStylePr w:type="lastRow">
      <w:rPr>
        <w:b/>
        <w:color w:val="404040"/>
      </w:rPr>
      <w:tblPr/>
      <w:tcPr>
        <w:tcBorders>
          <w:top w:val="single" w:color="72C7E7" w:themeColor="accent5"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2F3FA" w:themeColor="accent5" w:themeTint="34" w:fill="E2F3FA" w:themeFill="accent5" w:themeFillTint="34"/>
      </w:tcPr>
    </w:tblStylePr>
    <w:tblStylePr w:type="band1Horz">
      <w:rPr>
        <w:rFonts w:ascii="Arial" w:hAnsi="Arial"/>
        <w:color w:val="404040"/>
        <w:sz w:val="22"/>
      </w:rPr>
      <w:tblPr/>
      <w:tcPr>
        <w:shd w:val="clear" w:color="E2F3FA" w:themeColor="accent5" w:themeTint="34" w:fill="E2F3FA" w:themeFill="accent5" w:themeFillTint="34"/>
      </w:tcPr>
    </w:tblStylePr>
  </w:style>
  <w:style w:type="table" w:styleId="GridTable4-Accent6" w:customStyle="1">
    <w:name w:val="Grid Table 4 Accent 6"/>
    <w:basedOn w:val="TableauNormal"/>
    <w:uiPriority w:val="59"/>
    <w:tblPr>
      <w:tblStyleRowBandSize w:val="1"/>
      <w:tblStyleColBandSize w:val="1"/>
      <w:tblBorders>
        <w:top w:val="single" w:color="EEFD5F" w:themeColor="accent6" w:themeTint="90" w:sz="4" w:space="0"/>
        <w:left w:val="single" w:color="EEFD5F" w:themeColor="accent6" w:themeTint="90" w:sz="4" w:space="0"/>
        <w:bottom w:val="single" w:color="EEFD5F" w:themeColor="accent6" w:themeTint="90" w:sz="4" w:space="0"/>
        <w:right w:val="single" w:color="EEFD5F" w:themeColor="accent6" w:themeTint="90" w:sz="4" w:space="0"/>
        <w:insideH w:val="single" w:color="EEFD5F" w:themeColor="accent6" w:themeTint="90" w:sz="4" w:space="0"/>
        <w:insideV w:val="single" w:color="EEFD5F" w:themeColor="accent6" w:themeTint="90" w:sz="4" w:space="0"/>
      </w:tblBorders>
    </w:tblPr>
    <w:tblStylePr w:type="firstRow">
      <w:rPr>
        <w:rFonts w:ascii="Arial" w:hAnsi="Arial"/>
        <w:b/>
        <w:color w:val="FFFFFF"/>
        <w:sz w:val="22"/>
      </w:rPr>
      <w:tblPr/>
      <w:tcPr>
        <w:tcBorders>
          <w:top w:val="single" w:color="C9DD03" w:themeColor="accent6" w:sz="4" w:space="0"/>
          <w:left w:val="single" w:color="C9DD03" w:themeColor="accent6" w:sz="4" w:space="0"/>
          <w:bottom w:val="single" w:color="C9DD03" w:themeColor="accent6" w:sz="4" w:space="0"/>
          <w:right w:val="single" w:color="C9DD03" w:themeColor="accent6" w:sz="4" w:space="0"/>
        </w:tcBorders>
        <w:shd w:val="clear" w:color="C9DD03" w:themeColor="accent6" w:fill="C9DD03" w:themeFill="accent6"/>
      </w:tcPr>
    </w:tblStylePr>
    <w:tblStylePr w:type="lastRow">
      <w:rPr>
        <w:b/>
        <w:color w:val="404040"/>
      </w:rPr>
      <w:tblPr/>
      <w:tcPr>
        <w:tcBorders>
          <w:top w:val="single" w:color="C9DD03" w:themeColor="accent6" w:sz="4" w:space="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FEC5" w:themeColor="accent6" w:themeTint="34" w:fill="F8FEC5" w:themeFill="accent6" w:themeFillTint="34"/>
      </w:tcPr>
    </w:tblStylePr>
    <w:tblStylePr w:type="band1Horz">
      <w:rPr>
        <w:rFonts w:ascii="Arial" w:hAnsi="Arial"/>
        <w:color w:val="404040"/>
        <w:sz w:val="22"/>
      </w:rPr>
      <w:tblPr/>
      <w:tcPr>
        <w:shd w:val="clear" w:color="F8FEC5" w:themeColor="accent6" w:themeTint="34" w:fill="F8FEC5" w:themeFill="accent6" w:themeFillTint="34"/>
      </w:tcPr>
    </w:tblStylePr>
  </w:style>
  <w:style w:type="table" w:styleId="TableauGrille5Fonc">
    <w:name w:val="Grid Table 5 Dark"/>
    <w:basedOn w:val="TableauNormal"/>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color="FFFFFF" w:themeColor="light1" w:sz="4" w:space="0"/>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styleId="GridTable5Dark-Accent1" w:customStyle="1">
    <w:name w:val="Grid Table 5 Dark Accent 1"/>
    <w:basedOn w:val="TableauNormal"/>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AFC9FF" w:themeColor="accent1" w:themeTint="34" w:fill="AFC9FF" w:themeFill="accent1" w:themeFillTint="34"/>
    </w:tblPr>
    <w:tblStylePr w:type="firstRow">
      <w:rPr>
        <w:rFonts w:ascii="Arial" w:hAnsi="Arial"/>
        <w:b/>
        <w:color w:val="FFFFFF"/>
        <w:sz w:val="22"/>
      </w:rPr>
      <w:tblPr/>
      <w:tcPr>
        <w:shd w:val="clear" w:color="002776" w:themeColor="accent1" w:fill="002776" w:themeFill="accent1"/>
      </w:tcPr>
    </w:tblStylePr>
    <w:tblStylePr w:type="lastRow">
      <w:rPr>
        <w:rFonts w:ascii="Arial" w:hAnsi="Arial"/>
        <w:b/>
        <w:color w:val="FFFFFF"/>
        <w:sz w:val="22"/>
      </w:rPr>
      <w:tblPr/>
      <w:tcPr>
        <w:tcBorders>
          <w:top w:val="single" w:color="FFFFFF" w:themeColor="light1" w:sz="4" w:space="0"/>
        </w:tcBorders>
        <w:shd w:val="clear" w:color="002776" w:themeColor="accent1" w:fill="002776" w:themeFill="accent1"/>
      </w:tcPr>
    </w:tblStylePr>
    <w:tblStylePr w:type="firstCol">
      <w:rPr>
        <w:rFonts w:ascii="Arial" w:hAnsi="Arial"/>
        <w:b/>
        <w:color w:val="FFFFFF"/>
        <w:sz w:val="22"/>
      </w:rPr>
      <w:tblPr/>
      <w:tcPr>
        <w:shd w:val="clear" w:color="002776" w:themeColor="accent1" w:fill="002776" w:themeFill="accent1"/>
      </w:tcPr>
    </w:tblStylePr>
    <w:tblStylePr w:type="lastCol">
      <w:rPr>
        <w:rFonts w:ascii="Arial" w:hAnsi="Arial"/>
        <w:b/>
        <w:color w:val="FFFFFF"/>
        <w:sz w:val="22"/>
      </w:rPr>
      <w:tblPr/>
      <w:tcPr>
        <w:shd w:val="clear" w:color="002776" w:themeColor="accent1" w:fill="002776" w:themeFill="accent1"/>
      </w:tcPr>
    </w:tblStylePr>
    <w:tblStylePr w:type="band1Vert">
      <w:tblPr/>
      <w:tcPr>
        <w:shd w:val="clear" w:color="4B86FF" w:themeColor="accent1" w:themeTint="75" w:fill="4B86FF" w:themeFill="accent1" w:themeFillTint="75"/>
      </w:tcPr>
    </w:tblStylePr>
    <w:tblStylePr w:type="band1Horz">
      <w:tblPr/>
      <w:tcPr>
        <w:shd w:val="clear" w:color="4B86FF" w:themeColor="accent1" w:themeTint="75" w:fill="4B86FF" w:themeFill="accent1" w:themeFillTint="75"/>
      </w:tcPr>
    </w:tblStylePr>
  </w:style>
  <w:style w:type="table" w:styleId="GridTable5Dark-Accent2" w:customStyle="1">
    <w:name w:val="Grid Table 5 Dark Accent 2"/>
    <w:basedOn w:val="TableauNormal"/>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ECFFC4" w:themeColor="accent2" w:themeTint="32" w:fill="ECFFC4" w:themeFill="accent2" w:themeFillTint="32"/>
    </w:tblPr>
    <w:tblStylePr w:type="firstRow">
      <w:rPr>
        <w:rFonts w:ascii="Arial" w:hAnsi="Arial"/>
        <w:b/>
        <w:color w:val="FFFFFF"/>
        <w:sz w:val="22"/>
      </w:rPr>
      <w:tblPr/>
      <w:tcPr>
        <w:shd w:val="clear" w:color="92D400" w:themeColor="accent2" w:fill="92D400" w:themeFill="accent2"/>
      </w:tcPr>
    </w:tblStylePr>
    <w:tblStylePr w:type="lastRow">
      <w:rPr>
        <w:rFonts w:ascii="Arial" w:hAnsi="Arial"/>
        <w:b/>
        <w:color w:val="FFFFFF"/>
        <w:sz w:val="22"/>
      </w:rPr>
      <w:tblPr/>
      <w:tcPr>
        <w:tcBorders>
          <w:top w:val="single" w:color="FFFFFF" w:themeColor="light1" w:sz="4" w:space="0"/>
        </w:tcBorders>
        <w:shd w:val="clear" w:color="92D400" w:themeColor="accent2" w:fill="92D400" w:themeFill="accent2"/>
      </w:tcPr>
    </w:tblStylePr>
    <w:tblStylePr w:type="firstCol">
      <w:rPr>
        <w:rFonts w:ascii="Arial" w:hAnsi="Arial"/>
        <w:b/>
        <w:color w:val="FFFFFF"/>
        <w:sz w:val="22"/>
      </w:rPr>
      <w:tblPr/>
      <w:tcPr>
        <w:shd w:val="clear" w:color="92D400" w:themeColor="accent2" w:fill="92D400" w:themeFill="accent2"/>
      </w:tcPr>
    </w:tblStylePr>
    <w:tblStylePr w:type="lastCol">
      <w:rPr>
        <w:rFonts w:ascii="Arial" w:hAnsi="Arial"/>
        <w:b/>
        <w:color w:val="FFFFFF"/>
        <w:sz w:val="22"/>
      </w:rPr>
      <w:tblPr/>
      <w:tcPr>
        <w:shd w:val="clear" w:color="92D400" w:themeColor="accent2" w:fill="92D400" w:themeFill="accent2"/>
      </w:tcPr>
    </w:tblStylePr>
    <w:tblStylePr w:type="band1Vert">
      <w:tblPr/>
      <w:tcPr>
        <w:shd w:val="clear" w:color="D4FF76" w:themeColor="accent2" w:themeTint="75" w:fill="D4FF76" w:themeFill="accent2" w:themeFillTint="75"/>
      </w:tcPr>
    </w:tblStylePr>
    <w:tblStylePr w:type="band1Horz">
      <w:tblPr/>
      <w:tcPr>
        <w:shd w:val="clear" w:color="D4FF76" w:themeColor="accent2" w:themeTint="75" w:fill="D4FF76" w:themeFill="accent2" w:themeFillTint="75"/>
      </w:tcPr>
    </w:tblStylePr>
  </w:style>
  <w:style w:type="table" w:styleId="GridTable5Dark-Accent3" w:customStyle="1">
    <w:name w:val="Grid Table 5 Dark Accent 3"/>
    <w:basedOn w:val="TableauNormal"/>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C4EEFF" w:themeColor="accent3" w:themeTint="34" w:fill="C4EEFF" w:themeFill="accent3" w:themeFillTint="34"/>
    </w:tblPr>
    <w:tblStylePr w:type="firstRow">
      <w:rPr>
        <w:rFonts w:ascii="Arial" w:hAnsi="Arial"/>
        <w:b/>
        <w:color w:val="FFFFFF"/>
        <w:sz w:val="22"/>
      </w:rPr>
      <w:tblPr/>
      <w:tcPr>
        <w:shd w:val="clear" w:color="00A1DE" w:themeColor="accent3" w:fill="00A1DE" w:themeFill="accent3"/>
      </w:tcPr>
    </w:tblStylePr>
    <w:tblStylePr w:type="lastRow">
      <w:rPr>
        <w:rFonts w:ascii="Arial" w:hAnsi="Arial"/>
        <w:b/>
        <w:color w:val="FFFFFF"/>
        <w:sz w:val="22"/>
      </w:rPr>
      <w:tblPr/>
      <w:tcPr>
        <w:tcBorders>
          <w:top w:val="single" w:color="FFFFFF" w:themeColor="light1" w:sz="4" w:space="0"/>
        </w:tcBorders>
        <w:shd w:val="clear" w:color="00A1DE" w:themeColor="accent3" w:fill="00A1DE" w:themeFill="accent3"/>
      </w:tcPr>
    </w:tblStylePr>
    <w:tblStylePr w:type="firstCol">
      <w:rPr>
        <w:rFonts w:ascii="Arial" w:hAnsi="Arial"/>
        <w:b/>
        <w:color w:val="FFFFFF"/>
        <w:sz w:val="22"/>
      </w:rPr>
      <w:tblPr/>
      <w:tcPr>
        <w:shd w:val="clear" w:color="00A1DE" w:themeColor="accent3" w:fill="00A1DE" w:themeFill="accent3"/>
      </w:tcPr>
    </w:tblStylePr>
    <w:tblStylePr w:type="lastCol">
      <w:rPr>
        <w:rFonts w:ascii="Arial" w:hAnsi="Arial"/>
        <w:b/>
        <w:color w:val="FFFFFF"/>
        <w:sz w:val="22"/>
      </w:rPr>
      <w:tblPr/>
      <w:tcPr>
        <w:shd w:val="clear" w:color="00A1DE" w:themeColor="accent3" w:fill="00A1DE" w:themeFill="accent3"/>
      </w:tcPr>
    </w:tblStylePr>
    <w:tblStylePr w:type="band1Vert">
      <w:tblPr/>
      <w:tcPr>
        <w:shd w:val="clear" w:color="7ADAFF" w:themeColor="accent3" w:themeTint="75" w:fill="7ADAFF" w:themeFill="accent3" w:themeFillTint="75"/>
      </w:tcPr>
    </w:tblStylePr>
    <w:tblStylePr w:type="band1Horz">
      <w:tblPr/>
      <w:tcPr>
        <w:shd w:val="clear" w:color="7ADAFF" w:themeColor="accent3" w:themeTint="75" w:fill="7ADAFF" w:themeFill="accent3" w:themeFillTint="75"/>
      </w:tcPr>
    </w:tblStylePr>
  </w:style>
  <w:style w:type="table" w:styleId="GridTable5Dark-Accent4" w:customStyle="1">
    <w:name w:val="Grid Table 5 Dark Accent 4"/>
    <w:basedOn w:val="TableauNormal"/>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D1EECD" w:themeColor="accent4" w:themeTint="34" w:fill="D1EECD" w:themeFill="accent4" w:themeFillTint="34"/>
    </w:tblPr>
    <w:tblStylePr w:type="firstRow">
      <w:rPr>
        <w:rFonts w:ascii="Arial" w:hAnsi="Arial"/>
        <w:b/>
        <w:color w:val="FFFFFF"/>
        <w:sz w:val="22"/>
      </w:rPr>
      <w:tblPr/>
      <w:tcPr>
        <w:shd w:val="clear" w:color="3C8A2E" w:themeColor="accent4" w:fill="3C8A2E" w:themeFill="accent4"/>
      </w:tcPr>
    </w:tblStylePr>
    <w:tblStylePr w:type="lastRow">
      <w:rPr>
        <w:rFonts w:ascii="Arial" w:hAnsi="Arial"/>
        <w:b/>
        <w:color w:val="FFFFFF"/>
        <w:sz w:val="22"/>
      </w:rPr>
      <w:tblPr/>
      <w:tcPr>
        <w:tcBorders>
          <w:top w:val="single" w:color="FFFFFF" w:themeColor="light1" w:sz="4" w:space="0"/>
        </w:tcBorders>
        <w:shd w:val="clear" w:color="3C8A2E" w:themeColor="accent4" w:fill="3C8A2E" w:themeFill="accent4"/>
      </w:tcPr>
    </w:tblStylePr>
    <w:tblStylePr w:type="firstCol">
      <w:rPr>
        <w:rFonts w:ascii="Arial" w:hAnsi="Arial"/>
        <w:b/>
        <w:color w:val="FFFFFF"/>
        <w:sz w:val="22"/>
      </w:rPr>
      <w:tblPr/>
      <w:tcPr>
        <w:shd w:val="clear" w:color="3C8A2E" w:themeColor="accent4" w:fill="3C8A2E" w:themeFill="accent4"/>
      </w:tcPr>
    </w:tblStylePr>
    <w:tblStylePr w:type="lastCol">
      <w:rPr>
        <w:rFonts w:ascii="Arial" w:hAnsi="Arial"/>
        <w:b/>
        <w:color w:val="FFFFFF"/>
        <w:sz w:val="22"/>
      </w:rPr>
      <w:tblPr/>
      <w:tcPr>
        <w:shd w:val="clear" w:color="3C8A2E" w:themeColor="accent4" w:fill="3C8A2E" w:themeFill="accent4"/>
      </w:tcPr>
    </w:tblStylePr>
    <w:tblStylePr w:type="band1Vert">
      <w:tblPr/>
      <w:tcPr>
        <w:shd w:val="clear" w:color="99D98E" w:themeColor="accent4" w:themeTint="75" w:fill="99D98E" w:themeFill="accent4" w:themeFillTint="75"/>
      </w:tcPr>
    </w:tblStylePr>
    <w:tblStylePr w:type="band1Horz">
      <w:tblPr/>
      <w:tcPr>
        <w:shd w:val="clear" w:color="99D98E" w:themeColor="accent4" w:themeTint="75" w:fill="99D98E" w:themeFill="accent4" w:themeFillTint="75"/>
      </w:tcPr>
    </w:tblStylePr>
  </w:style>
  <w:style w:type="table" w:styleId="GridTable5Dark-Accent5" w:customStyle="1">
    <w:name w:val="Grid Table 5 Dark Accent 5"/>
    <w:basedOn w:val="TableauNormal"/>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E2F3FA" w:themeColor="accent5" w:themeTint="34" w:fill="E2F3FA" w:themeFill="accent5" w:themeFillTint="34"/>
    </w:tblPr>
    <w:tblStylePr w:type="firstRow">
      <w:rPr>
        <w:rFonts w:ascii="Arial" w:hAnsi="Arial"/>
        <w:b/>
        <w:color w:val="FFFFFF"/>
        <w:sz w:val="22"/>
      </w:rPr>
      <w:tblPr/>
      <w:tcPr>
        <w:shd w:val="clear" w:color="72C7E7" w:themeColor="accent5" w:fill="72C7E7" w:themeFill="accent5"/>
      </w:tcPr>
    </w:tblStylePr>
    <w:tblStylePr w:type="lastRow">
      <w:rPr>
        <w:rFonts w:ascii="Arial" w:hAnsi="Arial"/>
        <w:b/>
        <w:color w:val="FFFFFF"/>
        <w:sz w:val="22"/>
      </w:rPr>
      <w:tblPr/>
      <w:tcPr>
        <w:tcBorders>
          <w:top w:val="single" w:color="FFFFFF" w:themeColor="light1" w:sz="4" w:space="0"/>
        </w:tcBorders>
        <w:shd w:val="clear" w:color="72C7E7" w:themeColor="accent5" w:fill="72C7E7" w:themeFill="accent5"/>
      </w:tcPr>
    </w:tblStylePr>
    <w:tblStylePr w:type="firstCol">
      <w:rPr>
        <w:rFonts w:ascii="Arial" w:hAnsi="Arial"/>
        <w:b/>
        <w:color w:val="FFFFFF"/>
        <w:sz w:val="22"/>
      </w:rPr>
      <w:tblPr/>
      <w:tcPr>
        <w:shd w:val="clear" w:color="72C7E7" w:themeColor="accent5" w:fill="72C7E7" w:themeFill="accent5"/>
      </w:tcPr>
    </w:tblStylePr>
    <w:tblStylePr w:type="lastCol">
      <w:rPr>
        <w:rFonts w:ascii="Arial" w:hAnsi="Arial"/>
        <w:b/>
        <w:color w:val="FFFFFF"/>
        <w:sz w:val="22"/>
      </w:rPr>
      <w:tblPr/>
      <w:tcPr>
        <w:shd w:val="clear" w:color="72C7E7" w:themeColor="accent5" w:fill="72C7E7" w:themeFill="accent5"/>
      </w:tcPr>
    </w:tblStylePr>
    <w:tblStylePr w:type="band1Vert">
      <w:tblPr/>
      <w:tcPr>
        <w:shd w:val="clear" w:color="BEE5F4" w:themeColor="accent5" w:themeTint="75" w:fill="BEE5F4" w:themeFill="accent5" w:themeFillTint="75"/>
      </w:tcPr>
    </w:tblStylePr>
    <w:tblStylePr w:type="band1Horz">
      <w:tblPr/>
      <w:tcPr>
        <w:shd w:val="clear" w:color="BEE5F4" w:themeColor="accent5" w:themeTint="75" w:fill="BEE5F4" w:themeFill="accent5" w:themeFillTint="75"/>
      </w:tcPr>
    </w:tblStylePr>
  </w:style>
  <w:style w:type="table" w:styleId="GridTable5Dark-Accent6" w:customStyle="1">
    <w:name w:val="Grid Table 5 Dark Accent 6"/>
    <w:basedOn w:val="TableauNormal"/>
    <w:uiPriority w:val="99"/>
    <w:tblPr>
      <w:tblStyleRowBandSize w:val="1"/>
      <w:tblStyleColBandSize w:val="1"/>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F8FEC5" w:themeColor="accent6" w:themeTint="34" w:fill="F8FEC5" w:themeFill="accent6" w:themeFillTint="34"/>
    </w:tblPr>
    <w:tblStylePr w:type="firstRow">
      <w:rPr>
        <w:rFonts w:ascii="Arial" w:hAnsi="Arial"/>
        <w:b/>
        <w:color w:val="FFFFFF"/>
        <w:sz w:val="22"/>
      </w:rPr>
      <w:tblPr/>
      <w:tcPr>
        <w:shd w:val="clear" w:color="C9DD03" w:themeColor="accent6" w:fill="C9DD03" w:themeFill="accent6"/>
      </w:tcPr>
    </w:tblStylePr>
    <w:tblStylePr w:type="lastRow">
      <w:rPr>
        <w:rFonts w:ascii="Arial" w:hAnsi="Arial"/>
        <w:b/>
        <w:color w:val="FFFFFF"/>
        <w:sz w:val="22"/>
      </w:rPr>
      <w:tblPr/>
      <w:tcPr>
        <w:tcBorders>
          <w:top w:val="single" w:color="FFFFFF" w:themeColor="light1" w:sz="4" w:space="0"/>
        </w:tcBorders>
        <w:shd w:val="clear" w:color="C9DD03" w:themeColor="accent6" w:fill="C9DD03" w:themeFill="accent6"/>
      </w:tcPr>
    </w:tblStylePr>
    <w:tblStylePr w:type="firstCol">
      <w:rPr>
        <w:rFonts w:ascii="Arial" w:hAnsi="Arial"/>
        <w:b/>
        <w:color w:val="FFFFFF"/>
        <w:sz w:val="22"/>
      </w:rPr>
      <w:tblPr/>
      <w:tcPr>
        <w:shd w:val="clear" w:color="C9DD03" w:themeColor="accent6" w:fill="C9DD03" w:themeFill="accent6"/>
      </w:tcPr>
    </w:tblStylePr>
    <w:tblStylePr w:type="lastCol">
      <w:rPr>
        <w:rFonts w:ascii="Arial" w:hAnsi="Arial"/>
        <w:b/>
        <w:color w:val="FFFFFF"/>
        <w:sz w:val="22"/>
      </w:rPr>
      <w:tblPr/>
      <w:tcPr>
        <w:shd w:val="clear" w:color="C9DD03" w:themeColor="accent6" w:fill="C9DD03" w:themeFill="accent6"/>
      </w:tcPr>
    </w:tblStylePr>
    <w:tblStylePr w:type="band1Vert">
      <w:tblPr/>
      <w:tcPr>
        <w:shd w:val="clear" w:color="F1FD7D" w:themeColor="accent6" w:themeTint="75" w:fill="F1FD7D" w:themeFill="accent6" w:themeFillTint="75"/>
      </w:tcPr>
    </w:tblStylePr>
    <w:tblStylePr w:type="band1Horz">
      <w:tblPr/>
      <w:tcPr>
        <w:shd w:val="clear" w:color="F1FD7D" w:themeColor="accent6" w:themeTint="75" w:fill="F1FD7D" w:themeFill="accent6" w:themeFillTint="75"/>
      </w:tcPr>
    </w:tblStylePr>
  </w:style>
  <w:style w:type="table" w:styleId="TableauGrille6Couleur">
    <w:name w:val="Grid Table 6 Colorful"/>
    <w:basedOn w:val="TableauNormal"/>
    <w:uiPriority w:val="99"/>
    <w:tblPr>
      <w:tblStyleRowBandSize w:val="1"/>
      <w:tblStyleColBandSize w:val="1"/>
      <w:tblBorders>
        <w:top w:val="single" w:color="7F7F7F" w:themeColor="text1" w:themeTint="80" w:sz="4" w:space="0"/>
        <w:left w:val="single" w:color="7F7F7F" w:themeColor="text1" w:themeTint="80" w:sz="4" w:space="0"/>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blStylePr w:type="firstRow">
      <w:rPr>
        <w:b/>
        <w:color w:val="7F7F7F" w:themeColor="text1" w:themeTint="80" w:themeShade="95"/>
      </w:rPr>
      <w:tblPr/>
      <w:tcPr>
        <w:tcBorders>
          <w:bottom w:val="single" w:color="7F7F7F" w:themeColor="text1" w:themeTint="80" w:sz="12" w:space="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customStyle="1">
    <w:name w:val="Grid Table 6 Colorful Accent 1"/>
    <w:basedOn w:val="TableauNormal"/>
    <w:uiPriority w:val="99"/>
    <w:tblPr>
      <w:tblStyleRowBandSize w:val="1"/>
      <w:tblStyleColBandSize w:val="1"/>
      <w:tblBorders>
        <w:top w:val="single" w:color="3A7AFF" w:themeColor="accent1" w:themeTint="80" w:sz="4" w:space="0"/>
        <w:left w:val="single" w:color="3A7AFF" w:themeColor="accent1" w:themeTint="80" w:sz="4" w:space="0"/>
        <w:bottom w:val="single" w:color="3A7AFF" w:themeColor="accent1" w:themeTint="80" w:sz="4" w:space="0"/>
        <w:right w:val="single" w:color="3A7AFF" w:themeColor="accent1" w:themeTint="80" w:sz="4" w:space="0"/>
        <w:insideH w:val="single" w:color="3A7AFF" w:themeColor="accent1" w:themeTint="80" w:sz="4" w:space="0"/>
        <w:insideV w:val="single" w:color="3A7AFF" w:themeColor="accent1" w:themeTint="80" w:sz="4" w:space="0"/>
      </w:tblBorders>
    </w:tblPr>
    <w:tblStylePr w:type="firstRow">
      <w:rPr>
        <w:b/>
        <w:color w:val="3A7AFF" w:themeColor="accent1" w:themeTint="80" w:themeShade="95"/>
      </w:rPr>
      <w:tblPr/>
      <w:tcPr>
        <w:tcBorders>
          <w:bottom w:val="single" w:color="3A7AFF" w:themeColor="accent1" w:themeTint="80" w:sz="12" w:space="0"/>
        </w:tcBorders>
      </w:tcPr>
    </w:tblStylePr>
    <w:tblStylePr w:type="lastRow">
      <w:rPr>
        <w:b/>
        <w:color w:val="3A7AFF" w:themeColor="accent1" w:themeTint="80" w:themeShade="95"/>
      </w:rPr>
    </w:tblStylePr>
    <w:tblStylePr w:type="firstCol">
      <w:rPr>
        <w:b/>
        <w:color w:val="3A7AFF" w:themeColor="accent1" w:themeTint="80" w:themeShade="95"/>
      </w:rPr>
    </w:tblStylePr>
    <w:tblStylePr w:type="lastCol">
      <w:rPr>
        <w:b/>
        <w:color w:val="3A7AFF" w:themeColor="accent1" w:themeTint="80" w:themeShade="95"/>
      </w:rPr>
    </w:tblStylePr>
    <w:tblStylePr w:type="band1Vert">
      <w:tblPr/>
      <w:tcPr>
        <w:shd w:val="clear" w:color="AFC9FF" w:themeColor="accent1" w:themeTint="34" w:fill="AFC9FF" w:themeFill="accent1" w:themeFillTint="34"/>
      </w:tcPr>
    </w:tblStylePr>
    <w:tblStylePr w:type="band1Horz">
      <w:rPr>
        <w:rFonts w:ascii="Arial" w:hAnsi="Arial"/>
        <w:color w:val="3A7AFF" w:themeColor="accent1" w:themeTint="80" w:themeShade="95"/>
        <w:sz w:val="22"/>
      </w:rPr>
      <w:tblPr/>
      <w:tcPr>
        <w:shd w:val="clear" w:color="AFC9FF" w:themeColor="accent1" w:themeTint="34" w:fill="AFC9FF" w:themeFill="accent1" w:themeFillTint="34"/>
      </w:tcPr>
    </w:tblStylePr>
    <w:tblStylePr w:type="band2Horz">
      <w:rPr>
        <w:rFonts w:ascii="Arial" w:hAnsi="Arial"/>
        <w:color w:val="3A7AFF" w:themeColor="accent1" w:themeTint="80" w:themeShade="95"/>
        <w:sz w:val="22"/>
      </w:rPr>
    </w:tblStylePr>
  </w:style>
  <w:style w:type="table" w:styleId="GridTable6Colorful-Accent2" w:customStyle="1">
    <w:name w:val="Grid Table 6 Colorful Accent 2"/>
    <w:basedOn w:val="TableauNormal"/>
    <w:uiPriority w:val="99"/>
    <w:tblPr>
      <w:tblStyleRowBandSize w:val="1"/>
      <w:tblStyleColBandSize w:val="1"/>
      <w:tblBorders>
        <w:top w:val="single" w:color="C7FF4E" w:themeColor="accent2" w:themeTint="97" w:sz="4" w:space="0"/>
        <w:left w:val="single" w:color="C7FF4E" w:themeColor="accent2" w:themeTint="97" w:sz="4" w:space="0"/>
        <w:bottom w:val="single" w:color="C7FF4E" w:themeColor="accent2" w:themeTint="97" w:sz="4" w:space="0"/>
        <w:right w:val="single" w:color="C7FF4E" w:themeColor="accent2" w:themeTint="97" w:sz="4" w:space="0"/>
        <w:insideH w:val="single" w:color="C7FF4E" w:themeColor="accent2" w:themeTint="97" w:sz="4" w:space="0"/>
        <w:insideV w:val="single" w:color="C7FF4E" w:themeColor="accent2" w:themeTint="97" w:sz="4" w:space="0"/>
      </w:tblBorders>
    </w:tblPr>
    <w:tblStylePr w:type="firstRow">
      <w:rPr>
        <w:b/>
        <w:color w:val="C7FF4E" w:themeColor="accent2" w:themeTint="97" w:themeShade="95"/>
      </w:rPr>
      <w:tblPr/>
      <w:tcPr>
        <w:tcBorders>
          <w:bottom w:val="single" w:color="C7FF4E" w:themeColor="accent2" w:themeTint="97" w:sz="12" w:space="0"/>
        </w:tcBorders>
      </w:tcPr>
    </w:tblStylePr>
    <w:tblStylePr w:type="lastRow">
      <w:rPr>
        <w:b/>
        <w:color w:val="C7FF4E" w:themeColor="accent2" w:themeTint="97" w:themeShade="95"/>
      </w:rPr>
    </w:tblStylePr>
    <w:tblStylePr w:type="firstCol">
      <w:rPr>
        <w:b/>
        <w:color w:val="C7FF4E" w:themeColor="accent2" w:themeTint="97" w:themeShade="95"/>
      </w:rPr>
    </w:tblStylePr>
    <w:tblStylePr w:type="lastCol">
      <w:rPr>
        <w:b/>
        <w:color w:val="C7FF4E" w:themeColor="accent2" w:themeTint="97" w:themeShade="95"/>
      </w:rPr>
    </w:tblStylePr>
    <w:tblStylePr w:type="band1Vert">
      <w:tblPr/>
      <w:tcPr>
        <w:shd w:val="clear" w:color="ECFFC4" w:themeColor="accent2" w:themeTint="32" w:fill="ECFFC4" w:themeFill="accent2" w:themeFillTint="32"/>
      </w:tcPr>
    </w:tblStylePr>
    <w:tblStylePr w:type="band1Horz">
      <w:rPr>
        <w:rFonts w:ascii="Arial" w:hAnsi="Arial"/>
        <w:color w:val="C7FF4E" w:themeColor="accent2" w:themeTint="97" w:themeShade="95"/>
        <w:sz w:val="22"/>
      </w:rPr>
      <w:tblPr/>
      <w:tcPr>
        <w:shd w:val="clear" w:color="ECFFC4" w:themeColor="accent2" w:themeTint="32" w:fill="ECFFC4" w:themeFill="accent2" w:themeFillTint="32"/>
      </w:tcPr>
    </w:tblStylePr>
    <w:tblStylePr w:type="band2Horz">
      <w:rPr>
        <w:rFonts w:ascii="Arial" w:hAnsi="Arial"/>
        <w:color w:val="C7FF4E" w:themeColor="accent2" w:themeTint="97" w:themeShade="95"/>
        <w:sz w:val="22"/>
      </w:rPr>
    </w:tblStylePr>
  </w:style>
  <w:style w:type="table" w:styleId="GridTable6Colorful-Accent3" w:customStyle="1">
    <w:name w:val="Grid Table 6 Colorful Accent 3"/>
    <w:basedOn w:val="TableauNormal"/>
    <w:uiPriority w:val="99"/>
    <w:tblPr>
      <w:tblStyleRowBandSize w:val="1"/>
      <w:tblStyleColBandSize w:val="1"/>
      <w:tblBorders>
        <w:top w:val="single" w:color="00A0DF" w:themeColor="accent3" w:themeTint="FE" w:sz="4" w:space="0"/>
        <w:left w:val="single" w:color="00A0DF" w:themeColor="accent3" w:themeTint="FE" w:sz="4" w:space="0"/>
        <w:bottom w:val="single" w:color="00A0DF" w:themeColor="accent3" w:themeTint="FE" w:sz="4" w:space="0"/>
        <w:right w:val="single" w:color="00A0DF" w:themeColor="accent3" w:themeTint="FE" w:sz="4" w:space="0"/>
        <w:insideH w:val="single" w:color="00A0DF" w:themeColor="accent3" w:themeTint="FE" w:sz="4" w:space="0"/>
        <w:insideV w:val="single" w:color="00A0DF" w:themeColor="accent3" w:themeTint="FE" w:sz="4" w:space="0"/>
      </w:tblBorders>
    </w:tblPr>
    <w:tblStylePr w:type="firstRow">
      <w:rPr>
        <w:b/>
        <w:color w:val="00A0DF" w:themeColor="accent3" w:themeTint="FE" w:themeShade="95"/>
      </w:rPr>
      <w:tblPr/>
      <w:tcPr>
        <w:tcBorders>
          <w:bottom w:val="single" w:color="00A0DF" w:themeColor="accent3" w:themeTint="FE" w:sz="12" w:space="0"/>
        </w:tcBorders>
      </w:tcPr>
    </w:tblStylePr>
    <w:tblStylePr w:type="lastRow">
      <w:rPr>
        <w:b/>
        <w:color w:val="00A0DF" w:themeColor="accent3" w:themeTint="FE" w:themeShade="95"/>
      </w:rPr>
    </w:tblStylePr>
    <w:tblStylePr w:type="firstCol">
      <w:rPr>
        <w:b/>
        <w:color w:val="00A0DF" w:themeColor="accent3" w:themeTint="FE" w:themeShade="95"/>
      </w:rPr>
    </w:tblStylePr>
    <w:tblStylePr w:type="lastCol">
      <w:rPr>
        <w:b/>
        <w:color w:val="00A0DF" w:themeColor="accent3" w:themeTint="FE" w:themeShade="95"/>
      </w:rPr>
    </w:tblStylePr>
    <w:tblStylePr w:type="band1Vert">
      <w:tblPr/>
      <w:tcPr>
        <w:shd w:val="clear" w:color="C4EEFF" w:themeColor="accent3" w:themeTint="34" w:fill="C4EEFF" w:themeFill="accent3" w:themeFillTint="34"/>
      </w:tcPr>
    </w:tblStylePr>
    <w:tblStylePr w:type="band1Horz">
      <w:rPr>
        <w:rFonts w:ascii="Arial" w:hAnsi="Arial"/>
        <w:color w:val="00A0DF" w:themeColor="accent3" w:themeTint="FE" w:themeShade="95"/>
        <w:sz w:val="22"/>
      </w:rPr>
      <w:tblPr/>
      <w:tcPr>
        <w:shd w:val="clear" w:color="C4EEFF" w:themeColor="accent3" w:themeTint="34" w:fill="C4EEFF" w:themeFill="accent3" w:themeFillTint="34"/>
      </w:tcPr>
    </w:tblStylePr>
    <w:tblStylePr w:type="band2Horz">
      <w:rPr>
        <w:rFonts w:ascii="Arial" w:hAnsi="Arial"/>
        <w:color w:val="00A0DF" w:themeColor="accent3" w:themeTint="FE" w:themeShade="95"/>
        <w:sz w:val="22"/>
      </w:rPr>
    </w:tblStylePr>
  </w:style>
  <w:style w:type="table" w:styleId="GridTable6Colorful-Accent4" w:customStyle="1">
    <w:name w:val="Grid Table 6 Colorful Accent 4"/>
    <w:basedOn w:val="TableauNormal"/>
    <w:uiPriority w:val="99"/>
    <w:tblPr>
      <w:tblStyleRowBandSize w:val="1"/>
      <w:tblStyleColBandSize w:val="1"/>
      <w:tblBorders>
        <w:top w:val="single" w:color="79CD6B" w:themeColor="accent4" w:themeTint="9A" w:sz="4" w:space="0"/>
        <w:left w:val="single" w:color="79CD6B" w:themeColor="accent4" w:themeTint="9A" w:sz="4" w:space="0"/>
        <w:bottom w:val="single" w:color="79CD6B" w:themeColor="accent4" w:themeTint="9A" w:sz="4" w:space="0"/>
        <w:right w:val="single" w:color="79CD6B" w:themeColor="accent4" w:themeTint="9A" w:sz="4" w:space="0"/>
        <w:insideH w:val="single" w:color="79CD6B" w:themeColor="accent4" w:themeTint="9A" w:sz="4" w:space="0"/>
        <w:insideV w:val="single" w:color="79CD6B" w:themeColor="accent4" w:themeTint="9A" w:sz="4" w:space="0"/>
      </w:tblBorders>
    </w:tblPr>
    <w:tblStylePr w:type="firstRow">
      <w:rPr>
        <w:b/>
        <w:color w:val="79CD6B" w:themeColor="accent4" w:themeTint="9A" w:themeShade="95"/>
      </w:rPr>
      <w:tblPr/>
      <w:tcPr>
        <w:tcBorders>
          <w:bottom w:val="single" w:color="79CD6B" w:themeColor="accent4" w:themeTint="9A" w:sz="12" w:space="0"/>
        </w:tcBorders>
      </w:tcPr>
    </w:tblStylePr>
    <w:tblStylePr w:type="lastRow">
      <w:rPr>
        <w:b/>
        <w:color w:val="79CD6B" w:themeColor="accent4" w:themeTint="9A" w:themeShade="95"/>
      </w:rPr>
    </w:tblStylePr>
    <w:tblStylePr w:type="firstCol">
      <w:rPr>
        <w:b/>
        <w:color w:val="79CD6B" w:themeColor="accent4" w:themeTint="9A" w:themeShade="95"/>
      </w:rPr>
    </w:tblStylePr>
    <w:tblStylePr w:type="lastCol">
      <w:rPr>
        <w:b/>
        <w:color w:val="79CD6B" w:themeColor="accent4" w:themeTint="9A" w:themeShade="95"/>
      </w:rPr>
    </w:tblStylePr>
    <w:tblStylePr w:type="band1Vert">
      <w:tblPr/>
      <w:tcPr>
        <w:shd w:val="clear" w:color="D1EECD" w:themeColor="accent4" w:themeTint="34" w:fill="D1EECD" w:themeFill="accent4" w:themeFillTint="34"/>
      </w:tcPr>
    </w:tblStylePr>
    <w:tblStylePr w:type="band1Horz">
      <w:rPr>
        <w:rFonts w:ascii="Arial" w:hAnsi="Arial"/>
        <w:color w:val="79CD6B" w:themeColor="accent4" w:themeTint="9A" w:themeShade="95"/>
        <w:sz w:val="22"/>
      </w:rPr>
      <w:tblPr/>
      <w:tcPr>
        <w:shd w:val="clear" w:color="D1EECD" w:themeColor="accent4" w:themeTint="34" w:fill="D1EECD" w:themeFill="accent4" w:themeFillTint="34"/>
      </w:tcPr>
    </w:tblStylePr>
    <w:tblStylePr w:type="band2Horz">
      <w:rPr>
        <w:rFonts w:ascii="Arial" w:hAnsi="Arial"/>
        <w:color w:val="79CD6B" w:themeColor="accent4" w:themeTint="9A" w:themeShade="95"/>
        <w:sz w:val="22"/>
      </w:rPr>
    </w:tblStylePr>
  </w:style>
  <w:style w:type="table" w:styleId="GridTable6Colorful-Accent5" w:customStyle="1">
    <w:name w:val="Grid Table 6 Colorful Accent 5"/>
    <w:basedOn w:val="TableauNormal"/>
    <w:uiPriority w:val="99"/>
    <w:tblPr>
      <w:tblStyleRowBandSize w:val="1"/>
      <w:tblStyleColBandSize w:val="1"/>
      <w:tblBorders>
        <w:top w:val="single" w:color="72C7E7" w:themeColor="accent5" w:sz="4" w:space="0"/>
        <w:left w:val="single" w:color="72C7E7" w:themeColor="accent5" w:sz="4" w:space="0"/>
        <w:bottom w:val="single" w:color="72C7E7" w:themeColor="accent5" w:sz="4" w:space="0"/>
        <w:right w:val="single" w:color="72C7E7" w:themeColor="accent5" w:sz="4" w:space="0"/>
        <w:insideH w:val="single" w:color="72C7E7" w:themeColor="accent5" w:sz="4" w:space="0"/>
        <w:insideV w:val="single" w:color="72C7E7" w:themeColor="accent5" w:sz="4" w:space="0"/>
      </w:tblBorders>
    </w:tblPr>
    <w:tblStylePr w:type="firstRow">
      <w:rPr>
        <w:b/>
        <w:color w:val="1D84AB" w:themeColor="accent5" w:themeShade="95"/>
      </w:rPr>
      <w:tblPr/>
      <w:tcPr>
        <w:tcBorders>
          <w:bottom w:val="single" w:color="72C7E7" w:themeColor="accent5" w:sz="12" w:space="0"/>
        </w:tcBorders>
      </w:tcPr>
    </w:tblStylePr>
    <w:tblStylePr w:type="lastRow">
      <w:rPr>
        <w:b/>
        <w:color w:val="1D84AB" w:themeColor="accent5" w:themeShade="95"/>
      </w:rPr>
    </w:tblStylePr>
    <w:tblStylePr w:type="firstCol">
      <w:rPr>
        <w:b/>
        <w:color w:val="1D84AB" w:themeColor="accent5" w:themeShade="95"/>
      </w:rPr>
    </w:tblStylePr>
    <w:tblStylePr w:type="lastCol">
      <w:rPr>
        <w:b/>
        <w:color w:val="1D84AB" w:themeColor="accent5" w:themeShade="95"/>
      </w:rPr>
    </w:tblStylePr>
    <w:tblStylePr w:type="band1Vert">
      <w:tblPr/>
      <w:tcPr>
        <w:shd w:val="clear" w:color="E2F3FA" w:themeColor="accent5" w:themeTint="34" w:fill="E2F3FA" w:themeFill="accent5" w:themeFillTint="34"/>
      </w:tcPr>
    </w:tblStylePr>
    <w:tblStylePr w:type="band1Horz">
      <w:rPr>
        <w:rFonts w:ascii="Arial" w:hAnsi="Arial"/>
        <w:color w:val="1D84AB" w:themeColor="accent5" w:themeShade="95"/>
        <w:sz w:val="22"/>
      </w:rPr>
      <w:tblPr/>
      <w:tcPr>
        <w:shd w:val="clear" w:color="E2F3FA" w:themeColor="accent5" w:themeTint="34" w:fill="E2F3FA" w:themeFill="accent5" w:themeFillTint="34"/>
      </w:tcPr>
    </w:tblStylePr>
    <w:tblStylePr w:type="band2Horz">
      <w:rPr>
        <w:rFonts w:ascii="Arial" w:hAnsi="Arial"/>
        <w:color w:val="1D84AB" w:themeColor="accent5" w:themeShade="95"/>
        <w:sz w:val="22"/>
      </w:rPr>
    </w:tblStylePr>
  </w:style>
  <w:style w:type="table" w:styleId="GridTable6Colorful-Accent6" w:customStyle="1">
    <w:name w:val="Grid Table 6 Colorful Accent 6"/>
    <w:basedOn w:val="TableauNormal"/>
    <w:uiPriority w:val="99"/>
    <w:tblPr>
      <w:tblStyleRowBandSize w:val="1"/>
      <w:tblStyleColBandSize w:val="1"/>
      <w:tblBorders>
        <w:top w:val="single" w:color="C9DD03" w:themeColor="accent6" w:sz="4" w:space="0"/>
        <w:left w:val="single" w:color="C9DD03" w:themeColor="accent6" w:sz="4" w:space="0"/>
        <w:bottom w:val="single" w:color="C9DD03" w:themeColor="accent6" w:sz="4" w:space="0"/>
        <w:right w:val="single" w:color="C9DD03" w:themeColor="accent6" w:sz="4" w:space="0"/>
        <w:insideH w:val="single" w:color="C9DD03" w:themeColor="accent6" w:sz="4" w:space="0"/>
        <w:insideV w:val="single" w:color="C9DD03" w:themeColor="accent6" w:sz="4" w:space="0"/>
      </w:tblBorders>
    </w:tblPr>
    <w:tblStylePr w:type="firstRow">
      <w:rPr>
        <w:b/>
        <w:color w:val="1D84AB" w:themeColor="accent5" w:themeShade="95"/>
      </w:rPr>
      <w:tblPr/>
      <w:tcPr>
        <w:tcBorders>
          <w:bottom w:val="single" w:color="C9DD03" w:themeColor="accent6" w:sz="12" w:space="0"/>
        </w:tcBorders>
      </w:tcPr>
    </w:tblStylePr>
    <w:tblStylePr w:type="lastRow">
      <w:rPr>
        <w:b/>
        <w:color w:val="1D84AB" w:themeColor="accent5" w:themeShade="95"/>
      </w:rPr>
    </w:tblStylePr>
    <w:tblStylePr w:type="firstCol">
      <w:rPr>
        <w:b/>
        <w:color w:val="1D84AB" w:themeColor="accent5" w:themeShade="95"/>
      </w:rPr>
    </w:tblStylePr>
    <w:tblStylePr w:type="lastCol">
      <w:rPr>
        <w:b/>
        <w:color w:val="1D84AB" w:themeColor="accent5" w:themeShade="95"/>
      </w:rPr>
    </w:tblStylePr>
    <w:tblStylePr w:type="band1Vert">
      <w:tblPr/>
      <w:tcPr>
        <w:shd w:val="clear" w:color="F8FEC5" w:themeColor="accent6" w:themeTint="34" w:fill="F8FEC5" w:themeFill="accent6" w:themeFillTint="34"/>
      </w:tcPr>
    </w:tblStylePr>
    <w:tblStylePr w:type="band1Horz">
      <w:rPr>
        <w:rFonts w:ascii="Arial" w:hAnsi="Arial"/>
        <w:color w:val="1D84AB" w:themeColor="accent5" w:themeShade="95"/>
        <w:sz w:val="22"/>
      </w:rPr>
      <w:tblPr/>
      <w:tcPr>
        <w:shd w:val="clear" w:color="F8FEC5" w:themeColor="accent6" w:themeTint="34" w:fill="F8FEC5" w:themeFill="accent6" w:themeFillTint="34"/>
      </w:tcPr>
    </w:tblStylePr>
    <w:tblStylePr w:type="band2Horz">
      <w:rPr>
        <w:rFonts w:ascii="Arial" w:hAnsi="Arial"/>
        <w:color w:val="1D84AB"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Pr>
    <w:tblStylePr w:type="firstRow">
      <w:rPr>
        <w:rFonts w:ascii="Arial" w:hAnsi="Arial"/>
        <w:b/>
        <w:color w:val="7F7F7F" w:themeColor="text1" w:themeTint="80" w:themeShade="95"/>
        <w:sz w:val="22"/>
      </w:rPr>
      <w:tblPr/>
      <w:tcPr>
        <w:tcBorders>
          <w:top w:val="none" w:color="000000" w:sz="4" w:space="0"/>
          <w:left w:val="none" w:color="000000" w:sz="4" w:space="0"/>
          <w:bottom w:val="single" w:color="7F7F7F" w:themeColor="text1" w:themeTint="80" w:sz="4" w:space="0"/>
          <w:right w:val="none" w:color="000000" w:sz="4" w:space="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color="7F7F7F" w:themeColor="text1" w:themeTint="8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color="000000" w:sz="4" w:space="0"/>
          <w:left w:val="none" w:color="000000" w:sz="4" w:space="0"/>
          <w:bottom w:val="none" w:color="000000" w:sz="4" w:space="0"/>
          <w:right w:val="single" w:color="7F7F7F" w:themeColor="text1" w:themeTint="80" w:sz="4" w:space="0"/>
        </w:tcBorders>
        <w:shd w:val="clear" w:color="FFFFFF" w:fill="auto"/>
      </w:tcPr>
    </w:tblStylePr>
    <w:tblStylePr w:type="lastCol">
      <w:rPr>
        <w:rFonts w:ascii="Arial" w:hAnsi="Arial"/>
        <w:i/>
        <w:color w:val="7F7F7F" w:themeColor="text1" w:themeTint="80" w:themeShade="95"/>
        <w:sz w:val="22"/>
      </w:rPr>
      <w:tblPr/>
      <w:tcPr>
        <w:tcBorders>
          <w:top w:val="none" w:color="000000" w:sz="4" w:space="0"/>
          <w:left w:val="single" w:color="7F7F7F" w:themeColor="text1" w:themeTint="80" w:sz="4" w:space="0"/>
          <w:bottom w:val="none" w:color="000000" w:sz="4" w:space="0"/>
          <w:right w:val="none" w:color="000000" w:sz="4" w:space="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customStyle="1">
    <w:name w:val="Grid Table 7 Colorful Accent 1"/>
    <w:basedOn w:val="TableauNormal"/>
    <w:uiPriority w:val="99"/>
    <w:tblPr>
      <w:tblStyleRowBandSize w:val="1"/>
      <w:tblStyleColBandSize w:val="1"/>
      <w:tblBorders>
        <w:bottom w:val="single" w:color="3A7AFF" w:themeColor="accent1" w:themeTint="80" w:sz="4" w:space="0"/>
        <w:right w:val="single" w:color="3A7AFF" w:themeColor="accent1" w:themeTint="80" w:sz="4" w:space="0"/>
        <w:insideH w:val="single" w:color="3A7AFF" w:themeColor="accent1" w:themeTint="80" w:sz="4" w:space="0"/>
        <w:insideV w:val="single" w:color="3A7AFF" w:themeColor="accent1" w:themeTint="80" w:sz="4" w:space="0"/>
      </w:tblBorders>
    </w:tblPr>
    <w:tblStylePr w:type="firstRow">
      <w:rPr>
        <w:rFonts w:ascii="Arial" w:hAnsi="Arial"/>
        <w:b/>
        <w:color w:val="3A7AFF" w:themeColor="accent1" w:themeTint="80" w:themeShade="95"/>
        <w:sz w:val="22"/>
      </w:rPr>
      <w:tblPr/>
      <w:tcPr>
        <w:tcBorders>
          <w:top w:val="none" w:color="000000" w:sz="4" w:space="0"/>
          <w:left w:val="none" w:color="000000" w:sz="4" w:space="0"/>
          <w:bottom w:val="single" w:color="3A7AFF" w:themeColor="accent1" w:themeTint="80" w:sz="4" w:space="0"/>
          <w:right w:val="none" w:color="000000" w:sz="4" w:space="0"/>
        </w:tcBorders>
        <w:shd w:val="clear" w:color="FFFFFF" w:themeColor="light1" w:fill="FFFFFF" w:themeFill="light1"/>
      </w:tcPr>
    </w:tblStylePr>
    <w:tblStylePr w:type="lastRow">
      <w:rPr>
        <w:rFonts w:ascii="Arial" w:hAnsi="Arial"/>
        <w:b/>
        <w:color w:val="3A7AFF" w:themeColor="accent1" w:themeTint="80" w:themeShade="95"/>
        <w:sz w:val="22"/>
      </w:rPr>
      <w:tblPr/>
      <w:tcPr>
        <w:tcBorders>
          <w:top w:val="single" w:color="3A7AFF" w:themeColor="accent1" w:themeTint="8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3A7AFF" w:themeColor="accent1" w:themeTint="80" w:themeShade="95"/>
        <w:sz w:val="22"/>
      </w:rPr>
      <w:tblPr/>
      <w:tcPr>
        <w:tcBorders>
          <w:top w:val="none" w:color="000000" w:sz="4" w:space="0"/>
          <w:left w:val="none" w:color="000000" w:sz="4" w:space="0"/>
          <w:bottom w:val="none" w:color="000000" w:sz="4" w:space="0"/>
          <w:right w:val="single" w:color="3A7AFF" w:themeColor="accent1" w:themeTint="80" w:sz="4" w:space="0"/>
        </w:tcBorders>
        <w:shd w:val="clear" w:color="FFFFFF" w:fill="auto"/>
      </w:tcPr>
    </w:tblStylePr>
    <w:tblStylePr w:type="lastCol">
      <w:rPr>
        <w:rFonts w:ascii="Arial" w:hAnsi="Arial"/>
        <w:i/>
        <w:color w:val="3A7AFF" w:themeColor="accent1" w:themeTint="80" w:themeShade="95"/>
        <w:sz w:val="22"/>
      </w:rPr>
      <w:tblPr/>
      <w:tcPr>
        <w:tcBorders>
          <w:top w:val="none" w:color="000000" w:sz="4" w:space="0"/>
          <w:left w:val="single" w:color="3A7AFF" w:themeColor="accent1" w:themeTint="80" w:sz="4" w:space="0"/>
          <w:bottom w:val="none" w:color="000000" w:sz="4" w:space="0"/>
          <w:right w:val="none" w:color="000000" w:sz="4" w:space="0"/>
        </w:tcBorders>
        <w:shd w:val="clear" w:color="FFFFFF" w:fill="auto"/>
      </w:tcPr>
    </w:tblStylePr>
    <w:tblStylePr w:type="band1Vert">
      <w:tblPr/>
      <w:tcPr>
        <w:shd w:val="clear" w:color="AFC9FF" w:themeColor="accent1" w:themeTint="34" w:fill="AFC9FF" w:themeFill="accent1" w:themeFillTint="34"/>
      </w:tcPr>
    </w:tblStylePr>
    <w:tblStylePr w:type="band1Horz">
      <w:rPr>
        <w:rFonts w:ascii="Arial" w:hAnsi="Arial"/>
        <w:color w:val="3A7AFF" w:themeColor="accent1" w:themeTint="80" w:themeShade="95"/>
        <w:sz w:val="22"/>
      </w:rPr>
      <w:tblPr/>
      <w:tcPr>
        <w:shd w:val="clear" w:color="AFC9FF" w:themeColor="accent1" w:themeTint="34" w:fill="AFC9FF" w:themeFill="accent1" w:themeFillTint="34"/>
      </w:tcPr>
    </w:tblStylePr>
    <w:tblStylePr w:type="band2Horz">
      <w:rPr>
        <w:rFonts w:ascii="Arial" w:hAnsi="Arial"/>
        <w:color w:val="3A7AFF" w:themeColor="accent1" w:themeTint="80" w:themeShade="95"/>
        <w:sz w:val="22"/>
      </w:rPr>
    </w:tblStylePr>
  </w:style>
  <w:style w:type="table" w:styleId="GridTable7Colorful-Accent2" w:customStyle="1">
    <w:name w:val="Grid Table 7 Colorful Accent 2"/>
    <w:basedOn w:val="TableauNormal"/>
    <w:uiPriority w:val="99"/>
    <w:tblPr>
      <w:tblStyleRowBandSize w:val="1"/>
      <w:tblStyleColBandSize w:val="1"/>
      <w:tblBorders>
        <w:bottom w:val="single" w:color="C7FF4E" w:themeColor="accent2" w:themeTint="97" w:sz="4" w:space="0"/>
        <w:right w:val="single" w:color="C7FF4E" w:themeColor="accent2" w:themeTint="97" w:sz="4" w:space="0"/>
        <w:insideH w:val="single" w:color="C7FF4E" w:themeColor="accent2" w:themeTint="97" w:sz="4" w:space="0"/>
        <w:insideV w:val="single" w:color="C7FF4E" w:themeColor="accent2" w:themeTint="97" w:sz="4" w:space="0"/>
      </w:tblBorders>
    </w:tblPr>
    <w:tblStylePr w:type="firstRow">
      <w:rPr>
        <w:rFonts w:ascii="Arial" w:hAnsi="Arial"/>
        <w:b/>
        <w:color w:val="C7FF4E" w:themeColor="accent2" w:themeTint="97" w:themeShade="95"/>
        <w:sz w:val="22"/>
      </w:rPr>
      <w:tblPr/>
      <w:tcPr>
        <w:tcBorders>
          <w:top w:val="none" w:color="000000" w:sz="4" w:space="0"/>
          <w:left w:val="none" w:color="000000" w:sz="4" w:space="0"/>
          <w:bottom w:val="single" w:color="C7FF4E" w:themeColor="accent2" w:themeTint="97" w:sz="4" w:space="0"/>
          <w:right w:val="none" w:color="000000" w:sz="4" w:space="0"/>
        </w:tcBorders>
        <w:shd w:val="clear" w:color="FFFFFF" w:themeColor="light1" w:fill="FFFFFF" w:themeFill="light1"/>
      </w:tcPr>
    </w:tblStylePr>
    <w:tblStylePr w:type="lastRow">
      <w:rPr>
        <w:rFonts w:ascii="Arial" w:hAnsi="Arial"/>
        <w:b/>
        <w:color w:val="C7FF4E" w:themeColor="accent2" w:themeTint="97" w:themeShade="95"/>
        <w:sz w:val="22"/>
      </w:rPr>
      <w:tblPr/>
      <w:tcPr>
        <w:tcBorders>
          <w:top w:val="single" w:color="C7FF4E" w:themeColor="accent2" w:themeTint="97"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C7FF4E" w:themeColor="accent2" w:themeTint="97" w:themeShade="95"/>
        <w:sz w:val="22"/>
      </w:rPr>
      <w:tblPr/>
      <w:tcPr>
        <w:tcBorders>
          <w:top w:val="none" w:color="000000" w:sz="4" w:space="0"/>
          <w:left w:val="none" w:color="000000" w:sz="4" w:space="0"/>
          <w:bottom w:val="none" w:color="000000" w:sz="4" w:space="0"/>
          <w:right w:val="single" w:color="C7FF4E" w:themeColor="accent2" w:themeTint="97" w:sz="4" w:space="0"/>
        </w:tcBorders>
        <w:shd w:val="clear" w:color="FFFFFF" w:fill="auto"/>
      </w:tcPr>
    </w:tblStylePr>
    <w:tblStylePr w:type="lastCol">
      <w:rPr>
        <w:rFonts w:ascii="Arial" w:hAnsi="Arial"/>
        <w:i/>
        <w:color w:val="C7FF4E" w:themeColor="accent2" w:themeTint="97" w:themeShade="95"/>
        <w:sz w:val="22"/>
      </w:rPr>
      <w:tblPr/>
      <w:tcPr>
        <w:tcBorders>
          <w:top w:val="none" w:color="000000" w:sz="4" w:space="0"/>
          <w:left w:val="single" w:color="C7FF4E" w:themeColor="accent2" w:themeTint="97" w:sz="4" w:space="0"/>
          <w:bottom w:val="none" w:color="000000" w:sz="4" w:space="0"/>
          <w:right w:val="none" w:color="000000" w:sz="4" w:space="0"/>
        </w:tcBorders>
        <w:shd w:val="clear" w:color="FFFFFF" w:fill="auto"/>
      </w:tcPr>
    </w:tblStylePr>
    <w:tblStylePr w:type="band1Vert">
      <w:tblPr/>
      <w:tcPr>
        <w:shd w:val="clear" w:color="ECFFC4" w:themeColor="accent2" w:themeTint="32" w:fill="ECFFC4" w:themeFill="accent2" w:themeFillTint="32"/>
      </w:tcPr>
    </w:tblStylePr>
    <w:tblStylePr w:type="band1Horz">
      <w:rPr>
        <w:rFonts w:ascii="Arial" w:hAnsi="Arial"/>
        <w:color w:val="C7FF4E" w:themeColor="accent2" w:themeTint="97" w:themeShade="95"/>
        <w:sz w:val="22"/>
      </w:rPr>
      <w:tblPr/>
      <w:tcPr>
        <w:shd w:val="clear" w:color="ECFFC4" w:themeColor="accent2" w:themeTint="32" w:fill="ECFFC4" w:themeFill="accent2" w:themeFillTint="32"/>
      </w:tcPr>
    </w:tblStylePr>
    <w:tblStylePr w:type="band2Horz">
      <w:rPr>
        <w:rFonts w:ascii="Arial" w:hAnsi="Arial"/>
        <w:color w:val="C7FF4E" w:themeColor="accent2" w:themeTint="97" w:themeShade="95"/>
        <w:sz w:val="22"/>
      </w:rPr>
    </w:tblStylePr>
  </w:style>
  <w:style w:type="table" w:styleId="GridTable7Colorful-Accent3" w:customStyle="1">
    <w:name w:val="Grid Table 7 Colorful Accent 3"/>
    <w:basedOn w:val="TableauNormal"/>
    <w:uiPriority w:val="99"/>
    <w:tblPr>
      <w:tblStyleRowBandSize w:val="1"/>
      <w:tblStyleColBandSize w:val="1"/>
      <w:tblBorders>
        <w:bottom w:val="single" w:color="00A0DF" w:themeColor="accent3" w:themeTint="FE" w:sz="4" w:space="0"/>
        <w:right w:val="single" w:color="00A0DF" w:themeColor="accent3" w:themeTint="FE" w:sz="4" w:space="0"/>
        <w:insideH w:val="single" w:color="00A0DF" w:themeColor="accent3" w:themeTint="FE" w:sz="4" w:space="0"/>
        <w:insideV w:val="single" w:color="00A0DF" w:themeColor="accent3" w:themeTint="FE" w:sz="4" w:space="0"/>
      </w:tblBorders>
    </w:tblPr>
    <w:tblStylePr w:type="firstRow">
      <w:rPr>
        <w:rFonts w:ascii="Arial" w:hAnsi="Arial"/>
        <w:b/>
        <w:color w:val="00A0DF" w:themeColor="accent3" w:themeTint="FE" w:themeShade="95"/>
        <w:sz w:val="22"/>
      </w:rPr>
      <w:tblPr/>
      <w:tcPr>
        <w:tcBorders>
          <w:top w:val="none" w:color="000000" w:sz="4" w:space="0"/>
          <w:left w:val="none" w:color="000000" w:sz="4" w:space="0"/>
          <w:bottom w:val="single" w:color="00A0DF" w:themeColor="accent3" w:themeTint="FE" w:sz="4" w:space="0"/>
          <w:right w:val="none" w:color="000000" w:sz="4" w:space="0"/>
        </w:tcBorders>
        <w:shd w:val="clear" w:color="FFFFFF" w:themeColor="light1" w:fill="FFFFFF" w:themeFill="light1"/>
      </w:tcPr>
    </w:tblStylePr>
    <w:tblStylePr w:type="lastRow">
      <w:rPr>
        <w:rFonts w:ascii="Arial" w:hAnsi="Arial"/>
        <w:b/>
        <w:color w:val="00A0DF" w:themeColor="accent3" w:themeTint="FE" w:themeShade="95"/>
        <w:sz w:val="22"/>
      </w:rPr>
      <w:tblPr/>
      <w:tcPr>
        <w:tcBorders>
          <w:top w:val="single" w:color="00A0DF" w:themeColor="accent3" w:themeTint="FE"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00A0DF" w:themeColor="accent3" w:themeTint="FE" w:themeShade="95"/>
        <w:sz w:val="22"/>
      </w:rPr>
      <w:tblPr/>
      <w:tcPr>
        <w:tcBorders>
          <w:top w:val="none" w:color="000000" w:sz="4" w:space="0"/>
          <w:left w:val="none" w:color="000000" w:sz="4" w:space="0"/>
          <w:bottom w:val="none" w:color="000000" w:sz="4" w:space="0"/>
          <w:right w:val="single" w:color="00A0DF" w:themeColor="accent3" w:themeTint="FE" w:sz="4" w:space="0"/>
        </w:tcBorders>
        <w:shd w:val="clear" w:color="FFFFFF" w:fill="auto"/>
      </w:tcPr>
    </w:tblStylePr>
    <w:tblStylePr w:type="lastCol">
      <w:rPr>
        <w:rFonts w:ascii="Arial" w:hAnsi="Arial"/>
        <w:i/>
        <w:color w:val="00A0DF" w:themeColor="accent3" w:themeTint="FE" w:themeShade="95"/>
        <w:sz w:val="22"/>
      </w:rPr>
      <w:tblPr/>
      <w:tcPr>
        <w:tcBorders>
          <w:top w:val="none" w:color="000000" w:sz="4" w:space="0"/>
          <w:left w:val="single" w:color="00A0DF" w:themeColor="accent3" w:themeTint="FE" w:sz="4" w:space="0"/>
          <w:bottom w:val="none" w:color="000000" w:sz="4" w:space="0"/>
          <w:right w:val="none" w:color="000000" w:sz="4" w:space="0"/>
        </w:tcBorders>
        <w:shd w:val="clear" w:color="FFFFFF" w:fill="auto"/>
      </w:tcPr>
    </w:tblStylePr>
    <w:tblStylePr w:type="band1Vert">
      <w:tblPr/>
      <w:tcPr>
        <w:shd w:val="clear" w:color="C4EEFF" w:themeColor="accent3" w:themeTint="34" w:fill="C4EEFF" w:themeFill="accent3" w:themeFillTint="34"/>
      </w:tcPr>
    </w:tblStylePr>
    <w:tblStylePr w:type="band1Horz">
      <w:rPr>
        <w:rFonts w:ascii="Arial" w:hAnsi="Arial"/>
        <w:color w:val="00A0DF" w:themeColor="accent3" w:themeTint="FE" w:themeShade="95"/>
        <w:sz w:val="22"/>
      </w:rPr>
      <w:tblPr/>
      <w:tcPr>
        <w:shd w:val="clear" w:color="C4EEFF" w:themeColor="accent3" w:themeTint="34" w:fill="C4EEFF" w:themeFill="accent3" w:themeFillTint="34"/>
      </w:tcPr>
    </w:tblStylePr>
    <w:tblStylePr w:type="band2Horz">
      <w:rPr>
        <w:rFonts w:ascii="Arial" w:hAnsi="Arial"/>
        <w:color w:val="00A0DF" w:themeColor="accent3" w:themeTint="FE" w:themeShade="95"/>
        <w:sz w:val="22"/>
      </w:rPr>
    </w:tblStylePr>
  </w:style>
  <w:style w:type="table" w:styleId="GridTable7Colorful-Accent4" w:customStyle="1">
    <w:name w:val="Grid Table 7 Colorful Accent 4"/>
    <w:basedOn w:val="TableauNormal"/>
    <w:uiPriority w:val="99"/>
    <w:tblPr>
      <w:tblStyleRowBandSize w:val="1"/>
      <w:tblStyleColBandSize w:val="1"/>
      <w:tblBorders>
        <w:bottom w:val="single" w:color="79CD6B" w:themeColor="accent4" w:themeTint="9A" w:sz="4" w:space="0"/>
        <w:right w:val="single" w:color="79CD6B" w:themeColor="accent4" w:themeTint="9A" w:sz="4" w:space="0"/>
        <w:insideH w:val="single" w:color="79CD6B" w:themeColor="accent4" w:themeTint="9A" w:sz="4" w:space="0"/>
        <w:insideV w:val="single" w:color="79CD6B" w:themeColor="accent4" w:themeTint="9A" w:sz="4" w:space="0"/>
      </w:tblBorders>
    </w:tblPr>
    <w:tblStylePr w:type="firstRow">
      <w:rPr>
        <w:rFonts w:ascii="Arial" w:hAnsi="Arial"/>
        <w:b/>
        <w:color w:val="79CD6B" w:themeColor="accent4" w:themeTint="9A" w:themeShade="95"/>
        <w:sz w:val="22"/>
      </w:rPr>
      <w:tblPr/>
      <w:tcPr>
        <w:tcBorders>
          <w:top w:val="none" w:color="000000" w:sz="4" w:space="0"/>
          <w:left w:val="none" w:color="000000" w:sz="4" w:space="0"/>
          <w:bottom w:val="single" w:color="79CD6B" w:themeColor="accent4" w:themeTint="9A" w:sz="4" w:space="0"/>
          <w:right w:val="none" w:color="000000" w:sz="4" w:space="0"/>
        </w:tcBorders>
        <w:shd w:val="clear" w:color="FFFFFF" w:themeColor="light1" w:fill="FFFFFF" w:themeFill="light1"/>
      </w:tcPr>
    </w:tblStylePr>
    <w:tblStylePr w:type="lastRow">
      <w:rPr>
        <w:rFonts w:ascii="Arial" w:hAnsi="Arial"/>
        <w:b/>
        <w:color w:val="79CD6B" w:themeColor="accent4" w:themeTint="9A" w:themeShade="95"/>
        <w:sz w:val="22"/>
      </w:rPr>
      <w:tblPr/>
      <w:tcPr>
        <w:tcBorders>
          <w:top w:val="single" w:color="79CD6B" w:themeColor="accent4" w:themeTint="9A"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79CD6B" w:themeColor="accent4" w:themeTint="9A" w:themeShade="95"/>
        <w:sz w:val="22"/>
      </w:rPr>
      <w:tblPr/>
      <w:tcPr>
        <w:tcBorders>
          <w:top w:val="none" w:color="000000" w:sz="4" w:space="0"/>
          <w:left w:val="none" w:color="000000" w:sz="4" w:space="0"/>
          <w:bottom w:val="none" w:color="000000" w:sz="4" w:space="0"/>
          <w:right w:val="single" w:color="79CD6B" w:themeColor="accent4" w:themeTint="9A" w:sz="4" w:space="0"/>
        </w:tcBorders>
        <w:shd w:val="clear" w:color="FFFFFF" w:fill="auto"/>
      </w:tcPr>
    </w:tblStylePr>
    <w:tblStylePr w:type="lastCol">
      <w:rPr>
        <w:rFonts w:ascii="Arial" w:hAnsi="Arial"/>
        <w:i/>
        <w:color w:val="79CD6B" w:themeColor="accent4" w:themeTint="9A" w:themeShade="95"/>
        <w:sz w:val="22"/>
      </w:rPr>
      <w:tblPr/>
      <w:tcPr>
        <w:tcBorders>
          <w:top w:val="none" w:color="000000" w:sz="4" w:space="0"/>
          <w:left w:val="single" w:color="79CD6B" w:themeColor="accent4" w:themeTint="9A" w:sz="4" w:space="0"/>
          <w:bottom w:val="none" w:color="000000" w:sz="4" w:space="0"/>
          <w:right w:val="none" w:color="000000" w:sz="4" w:space="0"/>
        </w:tcBorders>
        <w:shd w:val="clear" w:color="FFFFFF" w:fill="auto"/>
      </w:tcPr>
    </w:tblStylePr>
    <w:tblStylePr w:type="band1Vert">
      <w:tblPr/>
      <w:tcPr>
        <w:shd w:val="clear" w:color="D1EECD" w:themeColor="accent4" w:themeTint="34" w:fill="D1EECD" w:themeFill="accent4" w:themeFillTint="34"/>
      </w:tcPr>
    </w:tblStylePr>
    <w:tblStylePr w:type="band1Horz">
      <w:rPr>
        <w:rFonts w:ascii="Arial" w:hAnsi="Arial"/>
        <w:color w:val="79CD6B" w:themeColor="accent4" w:themeTint="9A" w:themeShade="95"/>
        <w:sz w:val="22"/>
      </w:rPr>
      <w:tblPr/>
      <w:tcPr>
        <w:shd w:val="clear" w:color="D1EECD" w:themeColor="accent4" w:themeTint="34" w:fill="D1EECD" w:themeFill="accent4" w:themeFillTint="34"/>
      </w:tcPr>
    </w:tblStylePr>
    <w:tblStylePr w:type="band2Horz">
      <w:rPr>
        <w:rFonts w:ascii="Arial" w:hAnsi="Arial"/>
        <w:color w:val="79CD6B" w:themeColor="accent4" w:themeTint="9A" w:themeShade="95"/>
        <w:sz w:val="22"/>
      </w:rPr>
    </w:tblStylePr>
  </w:style>
  <w:style w:type="table" w:styleId="GridTable7Colorful-Accent5" w:customStyle="1">
    <w:name w:val="Grid Table 7 Colorful Accent 5"/>
    <w:basedOn w:val="TableauNormal"/>
    <w:uiPriority w:val="99"/>
    <w:tblPr>
      <w:tblStyleRowBandSize w:val="1"/>
      <w:tblStyleColBandSize w:val="1"/>
      <w:tblBorders>
        <w:bottom w:val="single" w:color="AFDFF1" w:themeColor="accent5" w:themeTint="90" w:sz="4" w:space="0"/>
        <w:right w:val="single" w:color="AFDFF1" w:themeColor="accent5" w:themeTint="90" w:sz="4" w:space="0"/>
        <w:insideH w:val="single" w:color="AFDFF1" w:themeColor="accent5" w:themeTint="90" w:sz="4" w:space="0"/>
        <w:insideV w:val="single" w:color="AFDFF1" w:themeColor="accent5" w:themeTint="90" w:sz="4" w:space="0"/>
      </w:tblBorders>
    </w:tblPr>
    <w:tblStylePr w:type="firstRow">
      <w:rPr>
        <w:rFonts w:ascii="Arial" w:hAnsi="Arial"/>
        <w:b/>
        <w:color w:val="1D84AB" w:themeColor="accent5" w:themeShade="95"/>
        <w:sz w:val="22"/>
      </w:rPr>
      <w:tblPr/>
      <w:tcPr>
        <w:tcBorders>
          <w:top w:val="none" w:color="000000" w:sz="4" w:space="0"/>
          <w:left w:val="none" w:color="000000" w:sz="4" w:space="0"/>
          <w:bottom w:val="single" w:color="AFDFF1" w:themeColor="accent5" w:themeTint="90" w:sz="4" w:space="0"/>
          <w:right w:val="none" w:color="000000" w:sz="4" w:space="0"/>
        </w:tcBorders>
        <w:shd w:val="clear" w:color="FFFFFF" w:themeColor="light1" w:fill="FFFFFF" w:themeFill="light1"/>
      </w:tcPr>
    </w:tblStylePr>
    <w:tblStylePr w:type="lastRow">
      <w:rPr>
        <w:rFonts w:ascii="Arial" w:hAnsi="Arial"/>
        <w:b/>
        <w:color w:val="1D84AB" w:themeColor="accent5" w:themeShade="95"/>
        <w:sz w:val="22"/>
      </w:rPr>
      <w:tblPr/>
      <w:tcPr>
        <w:tcBorders>
          <w:top w:val="single" w:color="AFDFF1" w:themeColor="accent5" w:themeTint="9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1D84AB" w:themeColor="accent5" w:themeShade="95"/>
        <w:sz w:val="22"/>
      </w:rPr>
      <w:tblPr/>
      <w:tcPr>
        <w:tcBorders>
          <w:top w:val="none" w:color="000000" w:sz="4" w:space="0"/>
          <w:left w:val="none" w:color="000000" w:sz="4" w:space="0"/>
          <w:bottom w:val="none" w:color="000000" w:sz="4" w:space="0"/>
          <w:right w:val="single" w:color="AFDFF1" w:themeColor="accent5" w:themeTint="90" w:sz="4" w:space="0"/>
        </w:tcBorders>
        <w:shd w:val="clear" w:color="FFFFFF" w:fill="auto"/>
      </w:tcPr>
    </w:tblStylePr>
    <w:tblStylePr w:type="lastCol">
      <w:rPr>
        <w:rFonts w:ascii="Arial" w:hAnsi="Arial"/>
        <w:i/>
        <w:color w:val="1D84AB" w:themeColor="accent5" w:themeShade="95"/>
        <w:sz w:val="22"/>
      </w:rPr>
      <w:tblPr/>
      <w:tcPr>
        <w:tcBorders>
          <w:top w:val="none" w:color="000000" w:sz="4" w:space="0"/>
          <w:left w:val="single" w:color="AFDFF1" w:themeColor="accent5" w:themeTint="90" w:sz="4" w:space="0"/>
          <w:bottom w:val="none" w:color="000000" w:sz="4" w:space="0"/>
          <w:right w:val="none" w:color="000000" w:sz="4" w:space="0"/>
        </w:tcBorders>
        <w:shd w:val="clear" w:color="FFFFFF" w:fill="auto"/>
      </w:tcPr>
    </w:tblStylePr>
    <w:tblStylePr w:type="band1Vert">
      <w:tblPr/>
      <w:tcPr>
        <w:shd w:val="clear" w:color="E2F3FA" w:themeColor="accent5" w:themeTint="34" w:fill="E2F3FA" w:themeFill="accent5" w:themeFillTint="34"/>
      </w:tcPr>
    </w:tblStylePr>
    <w:tblStylePr w:type="band1Horz">
      <w:rPr>
        <w:rFonts w:ascii="Arial" w:hAnsi="Arial"/>
        <w:color w:val="1D84AB" w:themeColor="accent5" w:themeShade="95"/>
        <w:sz w:val="22"/>
      </w:rPr>
      <w:tblPr/>
      <w:tcPr>
        <w:shd w:val="clear" w:color="E2F3FA" w:themeColor="accent5" w:themeTint="34" w:fill="E2F3FA" w:themeFill="accent5" w:themeFillTint="34"/>
      </w:tcPr>
    </w:tblStylePr>
    <w:tblStylePr w:type="band2Horz">
      <w:rPr>
        <w:rFonts w:ascii="Arial" w:hAnsi="Arial"/>
        <w:color w:val="1D84AB" w:themeColor="accent5" w:themeShade="95"/>
        <w:sz w:val="22"/>
      </w:rPr>
    </w:tblStylePr>
  </w:style>
  <w:style w:type="table" w:styleId="GridTable7Colorful-Accent6" w:customStyle="1">
    <w:name w:val="Grid Table 7 Colorful Accent 6"/>
    <w:basedOn w:val="TableauNormal"/>
    <w:uiPriority w:val="99"/>
    <w:tblPr>
      <w:tblStyleRowBandSize w:val="1"/>
      <w:tblStyleColBandSize w:val="1"/>
      <w:tblBorders>
        <w:bottom w:val="single" w:color="EEFD5F" w:themeColor="accent6" w:themeTint="90" w:sz="4" w:space="0"/>
        <w:right w:val="single" w:color="EEFD5F" w:themeColor="accent6" w:themeTint="90" w:sz="4" w:space="0"/>
        <w:insideH w:val="single" w:color="EEFD5F" w:themeColor="accent6" w:themeTint="90" w:sz="4" w:space="0"/>
        <w:insideV w:val="single" w:color="EEFD5F" w:themeColor="accent6" w:themeTint="90" w:sz="4" w:space="0"/>
      </w:tblBorders>
    </w:tblPr>
    <w:tblStylePr w:type="firstRow">
      <w:rPr>
        <w:rFonts w:ascii="Arial" w:hAnsi="Arial"/>
        <w:b/>
        <w:color w:val="748001" w:themeColor="accent6" w:themeShade="95"/>
        <w:sz w:val="22"/>
      </w:rPr>
      <w:tblPr/>
      <w:tcPr>
        <w:tcBorders>
          <w:top w:val="none" w:color="000000" w:sz="4" w:space="0"/>
          <w:left w:val="none" w:color="000000" w:sz="4" w:space="0"/>
          <w:bottom w:val="single" w:color="EEFD5F" w:themeColor="accent6" w:themeTint="90" w:sz="4" w:space="0"/>
          <w:right w:val="none" w:color="000000" w:sz="4" w:space="0"/>
        </w:tcBorders>
        <w:shd w:val="clear" w:color="FFFFFF" w:themeColor="light1" w:fill="FFFFFF" w:themeFill="light1"/>
      </w:tcPr>
    </w:tblStylePr>
    <w:tblStylePr w:type="lastRow">
      <w:rPr>
        <w:rFonts w:ascii="Arial" w:hAnsi="Arial"/>
        <w:b/>
        <w:color w:val="748001" w:themeColor="accent6" w:themeShade="95"/>
        <w:sz w:val="22"/>
      </w:rPr>
      <w:tblPr/>
      <w:tcPr>
        <w:tcBorders>
          <w:top w:val="single" w:color="EEFD5F" w:themeColor="accent6" w:themeTint="9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748001" w:themeColor="accent6" w:themeShade="95"/>
        <w:sz w:val="22"/>
      </w:rPr>
      <w:tblPr/>
      <w:tcPr>
        <w:tcBorders>
          <w:top w:val="none" w:color="000000" w:sz="4" w:space="0"/>
          <w:left w:val="none" w:color="000000" w:sz="4" w:space="0"/>
          <w:bottom w:val="none" w:color="000000" w:sz="4" w:space="0"/>
          <w:right w:val="single" w:color="EEFD5F" w:themeColor="accent6" w:themeTint="90" w:sz="4" w:space="0"/>
        </w:tcBorders>
        <w:shd w:val="clear" w:color="FFFFFF" w:fill="auto"/>
      </w:tcPr>
    </w:tblStylePr>
    <w:tblStylePr w:type="lastCol">
      <w:rPr>
        <w:rFonts w:ascii="Arial" w:hAnsi="Arial"/>
        <w:i/>
        <w:color w:val="748001" w:themeColor="accent6" w:themeShade="95"/>
        <w:sz w:val="22"/>
      </w:rPr>
      <w:tblPr/>
      <w:tcPr>
        <w:tcBorders>
          <w:top w:val="none" w:color="000000" w:sz="4" w:space="0"/>
          <w:left w:val="single" w:color="EEFD5F" w:themeColor="accent6" w:themeTint="90" w:sz="4" w:space="0"/>
          <w:bottom w:val="none" w:color="000000" w:sz="4" w:space="0"/>
          <w:right w:val="none" w:color="000000" w:sz="4" w:space="0"/>
        </w:tcBorders>
        <w:shd w:val="clear" w:color="FFFFFF" w:fill="auto"/>
      </w:tcPr>
    </w:tblStylePr>
    <w:tblStylePr w:type="band1Vert">
      <w:tblPr/>
      <w:tcPr>
        <w:shd w:val="clear" w:color="F8FEC5" w:themeColor="accent6" w:themeTint="34" w:fill="F8FEC5" w:themeFill="accent6" w:themeFillTint="34"/>
      </w:tcPr>
    </w:tblStylePr>
    <w:tblStylePr w:type="band1Horz">
      <w:rPr>
        <w:rFonts w:ascii="Arial" w:hAnsi="Arial"/>
        <w:color w:val="748001" w:themeColor="accent6" w:themeShade="95"/>
        <w:sz w:val="22"/>
      </w:rPr>
      <w:tblPr/>
      <w:tcPr>
        <w:shd w:val="clear" w:color="F8FEC5" w:themeColor="accent6" w:themeTint="34" w:fill="F8FEC5" w:themeFill="accent6" w:themeFillTint="34"/>
      </w:tcPr>
    </w:tblStylePr>
    <w:tblStylePr w:type="band2Horz">
      <w:rPr>
        <w:rFonts w:ascii="Arial" w:hAnsi="Arial"/>
        <w:color w:val="748001"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color="000000" w:sz="4" w:space="0"/>
          <w:left w:val="none" w:color="000000" w:sz="4" w:space="0"/>
          <w:bottom w:val="single" w:color="000000" w:themeColor="text1" w:sz="4" w:space="0"/>
          <w:right w:val="none" w:color="000000" w:sz="4" w:space="0"/>
        </w:tcBorders>
      </w:tcPr>
    </w:tblStylePr>
    <w:tblStylePr w:type="lastRow">
      <w:rPr>
        <w:b/>
        <w:color w:val="404040"/>
      </w:rPr>
      <w:tblPr/>
      <w:tcPr>
        <w:tcBorders>
          <w:top w:val="single" w:color="000000" w:themeColor="text1"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customStyle="1">
    <w:name w:val="List Table 1 Light Accent 1"/>
    <w:basedOn w:val="TableauNormal"/>
    <w:uiPriority w:val="99"/>
    <w:tblPr>
      <w:tblStyleRowBandSize w:val="1"/>
      <w:tblStyleColBandSize w:val="1"/>
    </w:tblPr>
    <w:tblStylePr w:type="firstRow">
      <w:rPr>
        <w:b/>
        <w:color w:val="404040"/>
      </w:rPr>
      <w:tblPr/>
      <w:tcPr>
        <w:tcBorders>
          <w:top w:val="none" w:color="000000" w:sz="4" w:space="0"/>
          <w:left w:val="none" w:color="000000" w:sz="4" w:space="0"/>
          <w:bottom w:val="single" w:color="002776" w:themeColor="accent1" w:sz="4" w:space="0"/>
          <w:right w:val="none" w:color="000000" w:sz="4" w:space="0"/>
        </w:tcBorders>
      </w:tcPr>
    </w:tblStylePr>
    <w:tblStylePr w:type="lastRow">
      <w:rPr>
        <w:b/>
        <w:color w:val="404040"/>
      </w:rPr>
      <w:tblPr/>
      <w:tcPr>
        <w:tcBorders>
          <w:top w:val="single" w:color="002776" w:themeColor="accent1"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9CBCFF" w:themeColor="accent1" w:themeTint="40" w:fill="9CBCFF" w:themeFill="accent1" w:themeFillTint="40"/>
      </w:tcPr>
    </w:tblStylePr>
    <w:tblStylePr w:type="band1Horz">
      <w:tblPr/>
      <w:tcPr>
        <w:shd w:val="clear" w:color="9CBCFF" w:themeColor="accent1" w:themeTint="40" w:fill="9CBCFF" w:themeFill="accent1" w:themeFillTint="40"/>
      </w:tcPr>
    </w:tblStylePr>
  </w:style>
  <w:style w:type="table" w:styleId="ListTable1Light-Accent2" w:customStyle="1">
    <w:name w:val="List Table 1 Light Accent 2"/>
    <w:basedOn w:val="TableauNormal"/>
    <w:uiPriority w:val="99"/>
    <w:tblPr>
      <w:tblStyleRowBandSize w:val="1"/>
      <w:tblStyleColBandSize w:val="1"/>
    </w:tblPr>
    <w:tblStylePr w:type="firstRow">
      <w:rPr>
        <w:b/>
        <w:color w:val="404040"/>
      </w:rPr>
      <w:tblPr/>
      <w:tcPr>
        <w:tcBorders>
          <w:top w:val="none" w:color="000000" w:sz="4" w:space="0"/>
          <w:left w:val="none" w:color="000000" w:sz="4" w:space="0"/>
          <w:bottom w:val="single" w:color="92D400" w:themeColor="accent2" w:sz="4" w:space="0"/>
          <w:right w:val="none" w:color="000000" w:sz="4" w:space="0"/>
        </w:tcBorders>
      </w:tcPr>
    </w:tblStylePr>
    <w:tblStylePr w:type="lastRow">
      <w:rPr>
        <w:b/>
        <w:color w:val="404040"/>
      </w:rPr>
      <w:tblPr/>
      <w:tcPr>
        <w:tcBorders>
          <w:top w:val="single" w:color="92D400" w:themeColor="accent2"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E7FFB4" w:themeColor="accent2" w:themeTint="40" w:fill="E7FFB4" w:themeFill="accent2" w:themeFillTint="40"/>
      </w:tcPr>
    </w:tblStylePr>
    <w:tblStylePr w:type="band1Horz">
      <w:tblPr/>
      <w:tcPr>
        <w:shd w:val="clear" w:color="E7FFB4" w:themeColor="accent2" w:themeTint="40" w:fill="E7FFB4" w:themeFill="accent2" w:themeFillTint="40"/>
      </w:tcPr>
    </w:tblStylePr>
  </w:style>
  <w:style w:type="table" w:styleId="ListTable1Light-Accent3" w:customStyle="1">
    <w:name w:val="List Table 1 Light Accent 3"/>
    <w:basedOn w:val="TableauNormal"/>
    <w:uiPriority w:val="99"/>
    <w:tblPr>
      <w:tblStyleRowBandSize w:val="1"/>
      <w:tblStyleColBandSize w:val="1"/>
    </w:tblPr>
    <w:tblStylePr w:type="firstRow">
      <w:rPr>
        <w:b/>
        <w:color w:val="404040"/>
      </w:rPr>
      <w:tblPr/>
      <w:tcPr>
        <w:tcBorders>
          <w:top w:val="none" w:color="000000" w:sz="4" w:space="0"/>
          <w:left w:val="none" w:color="000000" w:sz="4" w:space="0"/>
          <w:bottom w:val="single" w:color="00A1DE" w:themeColor="accent3" w:sz="4" w:space="0"/>
          <w:right w:val="none" w:color="000000" w:sz="4" w:space="0"/>
        </w:tcBorders>
      </w:tcPr>
    </w:tblStylePr>
    <w:tblStylePr w:type="lastRow">
      <w:rPr>
        <w:b/>
        <w:color w:val="404040"/>
      </w:rPr>
      <w:tblPr/>
      <w:tcPr>
        <w:tcBorders>
          <w:top w:val="single" w:color="00A1DE" w:themeColor="accent3"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B6EAFF" w:themeColor="accent3" w:themeTint="40" w:fill="B6EAFF" w:themeFill="accent3" w:themeFillTint="40"/>
      </w:tcPr>
    </w:tblStylePr>
    <w:tblStylePr w:type="band1Horz">
      <w:tblPr/>
      <w:tcPr>
        <w:shd w:val="clear" w:color="B6EAFF" w:themeColor="accent3" w:themeTint="40" w:fill="B6EAFF" w:themeFill="accent3" w:themeFillTint="40"/>
      </w:tcPr>
    </w:tblStylePr>
  </w:style>
  <w:style w:type="table" w:styleId="ListTable1Light-Accent4" w:customStyle="1">
    <w:name w:val="List Table 1 Light Accent 4"/>
    <w:basedOn w:val="TableauNormal"/>
    <w:uiPriority w:val="99"/>
    <w:tblPr>
      <w:tblStyleRowBandSize w:val="1"/>
      <w:tblStyleColBandSize w:val="1"/>
    </w:tblPr>
    <w:tblStylePr w:type="firstRow">
      <w:rPr>
        <w:b/>
        <w:color w:val="404040"/>
      </w:rPr>
      <w:tblPr/>
      <w:tcPr>
        <w:tcBorders>
          <w:top w:val="none" w:color="000000" w:sz="4" w:space="0"/>
          <w:left w:val="none" w:color="000000" w:sz="4" w:space="0"/>
          <w:bottom w:val="single" w:color="3C8A2E" w:themeColor="accent4" w:sz="4" w:space="0"/>
          <w:right w:val="none" w:color="000000" w:sz="4" w:space="0"/>
        </w:tcBorders>
      </w:tcPr>
    </w:tblStylePr>
    <w:tblStylePr w:type="lastRow">
      <w:rPr>
        <w:b/>
        <w:color w:val="404040"/>
      </w:rPr>
      <w:tblPr/>
      <w:tcPr>
        <w:tcBorders>
          <w:top w:val="single" w:color="3C8A2E" w:themeColor="accent4"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C7EAC1" w:themeColor="accent4" w:themeTint="40" w:fill="C7EAC1" w:themeFill="accent4" w:themeFillTint="40"/>
      </w:tcPr>
    </w:tblStylePr>
    <w:tblStylePr w:type="band1Horz">
      <w:tblPr/>
      <w:tcPr>
        <w:shd w:val="clear" w:color="C7EAC1" w:themeColor="accent4" w:themeTint="40" w:fill="C7EAC1" w:themeFill="accent4" w:themeFillTint="40"/>
      </w:tcPr>
    </w:tblStylePr>
  </w:style>
  <w:style w:type="table" w:styleId="ListTable1Light-Accent5" w:customStyle="1">
    <w:name w:val="List Table 1 Light Accent 5"/>
    <w:basedOn w:val="TableauNormal"/>
    <w:uiPriority w:val="99"/>
    <w:tblPr>
      <w:tblStyleRowBandSize w:val="1"/>
      <w:tblStyleColBandSize w:val="1"/>
    </w:tblPr>
    <w:tblStylePr w:type="firstRow">
      <w:rPr>
        <w:b/>
        <w:color w:val="404040"/>
      </w:rPr>
      <w:tblPr/>
      <w:tcPr>
        <w:tcBorders>
          <w:top w:val="none" w:color="000000" w:sz="4" w:space="0"/>
          <w:left w:val="none" w:color="000000" w:sz="4" w:space="0"/>
          <w:bottom w:val="single" w:color="72C7E7" w:themeColor="accent5" w:sz="4" w:space="0"/>
          <w:right w:val="none" w:color="000000" w:sz="4" w:space="0"/>
        </w:tcBorders>
      </w:tcPr>
    </w:tblStylePr>
    <w:tblStylePr w:type="lastRow">
      <w:rPr>
        <w:b/>
        <w:color w:val="404040"/>
      </w:rPr>
      <w:tblPr/>
      <w:tcPr>
        <w:tcBorders>
          <w:top w:val="single" w:color="72C7E7" w:themeColor="accent5"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DBF0F9" w:themeColor="accent5" w:themeTint="40" w:fill="DBF0F9" w:themeFill="accent5" w:themeFillTint="40"/>
      </w:tcPr>
    </w:tblStylePr>
    <w:tblStylePr w:type="band1Horz">
      <w:tblPr/>
      <w:tcPr>
        <w:shd w:val="clear" w:color="DBF0F9" w:themeColor="accent5" w:themeTint="40" w:fill="DBF0F9" w:themeFill="accent5" w:themeFillTint="40"/>
      </w:tcPr>
    </w:tblStylePr>
  </w:style>
  <w:style w:type="table" w:styleId="ListTable1Light-Accent6" w:customStyle="1">
    <w:name w:val="List Table 1 Light Accent 6"/>
    <w:basedOn w:val="TableauNormal"/>
    <w:uiPriority w:val="99"/>
    <w:tblPr>
      <w:tblStyleRowBandSize w:val="1"/>
      <w:tblStyleColBandSize w:val="1"/>
    </w:tblPr>
    <w:tblStylePr w:type="firstRow">
      <w:rPr>
        <w:b/>
        <w:color w:val="404040"/>
      </w:rPr>
      <w:tblPr/>
      <w:tcPr>
        <w:tcBorders>
          <w:top w:val="none" w:color="000000" w:sz="4" w:space="0"/>
          <w:left w:val="none" w:color="000000" w:sz="4" w:space="0"/>
          <w:bottom w:val="single" w:color="C9DD03" w:themeColor="accent6" w:sz="4" w:space="0"/>
          <w:right w:val="none" w:color="000000" w:sz="4" w:space="0"/>
        </w:tcBorders>
      </w:tcPr>
    </w:tblStylePr>
    <w:tblStylePr w:type="lastRow">
      <w:rPr>
        <w:b/>
        <w:color w:val="404040"/>
      </w:rPr>
      <w:tblPr/>
      <w:tcPr>
        <w:tcBorders>
          <w:top w:val="single" w:color="C9DD03" w:themeColor="accent6" w:sz="4" w:space="0"/>
          <w:left w:val="none" w:color="000000" w:sz="4" w:space="0"/>
          <w:bottom w:val="none" w:color="000000" w:sz="4" w:space="0"/>
          <w:right w:val="none" w:color="000000" w:sz="4" w:space="0"/>
        </w:tcBorders>
      </w:tcPr>
    </w:tblStylePr>
    <w:tblStylePr w:type="firstCol">
      <w:rPr>
        <w:b/>
        <w:color w:val="404040"/>
      </w:rPr>
    </w:tblStylePr>
    <w:tblStylePr w:type="lastCol">
      <w:rPr>
        <w:b/>
        <w:color w:val="404040"/>
      </w:rPr>
    </w:tblStylePr>
    <w:tblStylePr w:type="band1Vert">
      <w:tblPr/>
      <w:tcPr>
        <w:shd w:val="clear" w:color="F7FEB7" w:themeColor="accent6" w:themeTint="40" w:fill="F7FEB7" w:themeFill="accent6" w:themeFillTint="40"/>
      </w:tcPr>
    </w:tblStylePr>
    <w:tblStylePr w:type="band1Horz">
      <w:tblPr/>
      <w:tcPr>
        <w:shd w:val="clear" w:color="F7FEB7" w:themeColor="accent6" w:themeTint="40" w:fill="F7FEB7" w:themeFill="accent6" w:themeFillTint="40"/>
      </w:tcPr>
    </w:tblStylePr>
  </w:style>
  <w:style w:type="table" w:styleId="TableauListe2">
    <w:name w:val="List Table 2"/>
    <w:basedOn w:val="TableauNormal"/>
    <w:uiPriority w:val="99"/>
    <w:tblPr>
      <w:tblStyleRowBandSize w:val="1"/>
      <w:tblStyleColBandSize w:val="1"/>
      <w:tblBorders>
        <w:top w:val="single" w:color="6F6F6F" w:themeColor="text1" w:themeTint="90" w:sz="4" w:space="0"/>
        <w:bottom w:val="single" w:color="6F6F6F" w:themeColor="text1" w:themeTint="90" w:sz="4" w:space="0"/>
        <w:insideH w:val="single" w:color="6F6F6F" w:themeColor="text1" w:themeTint="90" w:sz="4" w:space="0"/>
      </w:tblBorders>
    </w:tblPr>
    <w:tblStylePr w:type="firstRow">
      <w:rPr>
        <w:rFonts w:ascii="Arial" w:hAnsi="Arial"/>
        <w:b/>
        <w:color w:val="404040"/>
        <w:sz w:val="22"/>
      </w:rPr>
      <w:tblPr/>
      <w:tcPr>
        <w:tcBorders>
          <w:top w:val="single" w:color="6F6F6F" w:themeColor="text1" w:themeTint="90" w:sz="4" w:space="0"/>
          <w:left w:val="none" w:color="000000" w:sz="4" w:space="0"/>
          <w:bottom w:val="single" w:color="6F6F6F" w:themeColor="text1" w:themeTint="90" w:sz="4" w:space="0"/>
          <w:right w:val="none" w:color="000000" w:sz="4" w:space="0"/>
        </w:tcBorders>
      </w:tcPr>
    </w:tblStylePr>
    <w:tblStylePr w:type="lastRow">
      <w:rPr>
        <w:rFonts w:ascii="Arial" w:hAnsi="Arial"/>
        <w:b/>
        <w:color w:val="404040"/>
        <w:sz w:val="22"/>
      </w:rPr>
      <w:tblPr/>
      <w:tcPr>
        <w:tcBorders>
          <w:top w:val="single" w:color="6F6F6F" w:themeColor="text1" w:themeTint="90" w:sz="4" w:space="0"/>
          <w:left w:val="none" w:color="000000" w:sz="4" w:space="0"/>
          <w:bottom w:val="single" w:color="6F6F6F" w:themeColor="text1"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customStyle="1">
    <w:name w:val="List Table 2 Accent 1"/>
    <w:basedOn w:val="TableauNormal"/>
    <w:uiPriority w:val="99"/>
    <w:tblPr>
      <w:tblStyleRowBandSize w:val="1"/>
      <w:tblStyleColBandSize w:val="1"/>
      <w:tblBorders>
        <w:top w:val="single" w:color="216AFF" w:themeColor="accent1" w:themeTint="90" w:sz="4" w:space="0"/>
        <w:bottom w:val="single" w:color="216AFF" w:themeColor="accent1" w:themeTint="90" w:sz="4" w:space="0"/>
        <w:insideH w:val="single" w:color="216AFF" w:themeColor="accent1" w:themeTint="90" w:sz="4" w:space="0"/>
      </w:tblBorders>
    </w:tblPr>
    <w:tblStylePr w:type="firstRow">
      <w:rPr>
        <w:rFonts w:ascii="Arial" w:hAnsi="Arial"/>
        <w:b/>
        <w:color w:val="404040"/>
        <w:sz w:val="22"/>
      </w:rPr>
      <w:tblPr/>
      <w:tcPr>
        <w:tcBorders>
          <w:top w:val="single" w:color="216AFF" w:themeColor="accent1" w:themeTint="90" w:sz="4" w:space="0"/>
          <w:left w:val="none" w:color="000000" w:sz="4" w:space="0"/>
          <w:bottom w:val="single" w:color="216AFF" w:themeColor="accent1" w:themeTint="90" w:sz="4" w:space="0"/>
          <w:right w:val="none" w:color="000000" w:sz="4" w:space="0"/>
        </w:tcBorders>
      </w:tcPr>
    </w:tblStylePr>
    <w:tblStylePr w:type="lastRow">
      <w:rPr>
        <w:rFonts w:ascii="Arial" w:hAnsi="Arial"/>
        <w:b/>
        <w:color w:val="404040"/>
        <w:sz w:val="22"/>
      </w:rPr>
      <w:tblPr/>
      <w:tcPr>
        <w:tcBorders>
          <w:top w:val="single" w:color="216AFF" w:themeColor="accent1" w:themeTint="90" w:sz="4" w:space="0"/>
          <w:left w:val="none" w:color="000000" w:sz="4" w:space="0"/>
          <w:bottom w:val="single" w:color="216AFF" w:themeColor="accent1"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9CBCFF" w:themeColor="accent1" w:themeTint="40" w:fill="9CBCFF" w:themeFill="accent1" w:themeFillTint="40"/>
      </w:tcPr>
    </w:tblStylePr>
    <w:tblStylePr w:type="band1Horz">
      <w:rPr>
        <w:rFonts w:ascii="Arial" w:hAnsi="Arial"/>
        <w:color w:val="404040"/>
        <w:sz w:val="22"/>
      </w:rPr>
      <w:tblPr/>
      <w:tcPr>
        <w:shd w:val="clear" w:color="9CBCFF" w:themeColor="accent1" w:themeTint="40" w:fill="9CBCFF" w:themeFill="accent1" w:themeFillTint="40"/>
      </w:tcPr>
    </w:tblStylePr>
  </w:style>
  <w:style w:type="table" w:styleId="ListTable2-Accent2" w:customStyle="1">
    <w:name w:val="List Table 2 Accent 2"/>
    <w:basedOn w:val="TableauNormal"/>
    <w:uiPriority w:val="99"/>
    <w:tblPr>
      <w:tblStyleRowBandSize w:val="1"/>
      <w:tblStyleColBandSize w:val="1"/>
      <w:tblBorders>
        <w:top w:val="single" w:color="CAFF56" w:themeColor="accent2" w:themeTint="90" w:sz="4" w:space="0"/>
        <w:bottom w:val="single" w:color="CAFF56" w:themeColor="accent2" w:themeTint="90" w:sz="4" w:space="0"/>
        <w:insideH w:val="single" w:color="CAFF56" w:themeColor="accent2" w:themeTint="90" w:sz="4" w:space="0"/>
      </w:tblBorders>
    </w:tblPr>
    <w:tblStylePr w:type="firstRow">
      <w:rPr>
        <w:rFonts w:ascii="Arial" w:hAnsi="Arial"/>
        <w:b/>
        <w:color w:val="404040"/>
        <w:sz w:val="22"/>
      </w:rPr>
      <w:tblPr/>
      <w:tcPr>
        <w:tcBorders>
          <w:top w:val="single" w:color="CAFF56" w:themeColor="accent2" w:themeTint="90" w:sz="4" w:space="0"/>
          <w:left w:val="none" w:color="000000" w:sz="4" w:space="0"/>
          <w:bottom w:val="single" w:color="CAFF56" w:themeColor="accent2" w:themeTint="90" w:sz="4" w:space="0"/>
          <w:right w:val="none" w:color="000000" w:sz="4" w:space="0"/>
        </w:tcBorders>
      </w:tcPr>
    </w:tblStylePr>
    <w:tblStylePr w:type="lastRow">
      <w:rPr>
        <w:rFonts w:ascii="Arial" w:hAnsi="Arial"/>
        <w:b/>
        <w:color w:val="404040"/>
        <w:sz w:val="22"/>
      </w:rPr>
      <w:tblPr/>
      <w:tcPr>
        <w:tcBorders>
          <w:top w:val="single" w:color="CAFF56" w:themeColor="accent2" w:themeTint="90" w:sz="4" w:space="0"/>
          <w:left w:val="none" w:color="000000" w:sz="4" w:space="0"/>
          <w:bottom w:val="single" w:color="CAFF56" w:themeColor="accent2"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7FFB4" w:themeColor="accent2" w:themeTint="40" w:fill="E7FFB4" w:themeFill="accent2" w:themeFillTint="40"/>
      </w:tcPr>
    </w:tblStylePr>
    <w:tblStylePr w:type="band1Horz">
      <w:rPr>
        <w:rFonts w:ascii="Arial" w:hAnsi="Arial"/>
        <w:color w:val="404040"/>
        <w:sz w:val="22"/>
      </w:rPr>
      <w:tblPr/>
      <w:tcPr>
        <w:shd w:val="clear" w:color="E7FFB4" w:themeColor="accent2" w:themeTint="40" w:fill="E7FFB4" w:themeFill="accent2" w:themeFillTint="40"/>
      </w:tcPr>
    </w:tblStylePr>
  </w:style>
  <w:style w:type="table" w:styleId="ListTable2-Accent3" w:customStyle="1">
    <w:name w:val="List Table 2 Accent 3"/>
    <w:basedOn w:val="TableauNormal"/>
    <w:uiPriority w:val="99"/>
    <w:tblPr>
      <w:tblStyleRowBandSize w:val="1"/>
      <w:tblStyleColBandSize w:val="1"/>
      <w:tblBorders>
        <w:top w:val="single" w:color="5CD1FF" w:themeColor="accent3" w:themeTint="90" w:sz="4" w:space="0"/>
        <w:bottom w:val="single" w:color="5CD1FF" w:themeColor="accent3" w:themeTint="90" w:sz="4" w:space="0"/>
        <w:insideH w:val="single" w:color="5CD1FF" w:themeColor="accent3" w:themeTint="90" w:sz="4" w:space="0"/>
      </w:tblBorders>
    </w:tblPr>
    <w:tblStylePr w:type="firstRow">
      <w:rPr>
        <w:rFonts w:ascii="Arial" w:hAnsi="Arial"/>
        <w:b/>
        <w:color w:val="404040"/>
        <w:sz w:val="22"/>
      </w:rPr>
      <w:tblPr/>
      <w:tcPr>
        <w:tcBorders>
          <w:top w:val="single" w:color="5CD1FF" w:themeColor="accent3" w:themeTint="90" w:sz="4" w:space="0"/>
          <w:left w:val="none" w:color="000000" w:sz="4" w:space="0"/>
          <w:bottom w:val="single" w:color="5CD1FF" w:themeColor="accent3" w:themeTint="90" w:sz="4" w:space="0"/>
          <w:right w:val="none" w:color="000000" w:sz="4" w:space="0"/>
        </w:tcBorders>
      </w:tcPr>
    </w:tblStylePr>
    <w:tblStylePr w:type="lastRow">
      <w:rPr>
        <w:rFonts w:ascii="Arial" w:hAnsi="Arial"/>
        <w:b/>
        <w:color w:val="404040"/>
        <w:sz w:val="22"/>
      </w:rPr>
      <w:tblPr/>
      <w:tcPr>
        <w:tcBorders>
          <w:top w:val="single" w:color="5CD1FF" w:themeColor="accent3" w:themeTint="90" w:sz="4" w:space="0"/>
          <w:left w:val="none" w:color="000000" w:sz="4" w:space="0"/>
          <w:bottom w:val="single" w:color="5CD1FF" w:themeColor="accent3"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6EAFF" w:themeColor="accent3" w:themeTint="40" w:fill="B6EAFF" w:themeFill="accent3" w:themeFillTint="40"/>
      </w:tcPr>
    </w:tblStylePr>
    <w:tblStylePr w:type="band1Horz">
      <w:rPr>
        <w:rFonts w:ascii="Arial" w:hAnsi="Arial"/>
        <w:color w:val="404040"/>
        <w:sz w:val="22"/>
      </w:rPr>
      <w:tblPr/>
      <w:tcPr>
        <w:shd w:val="clear" w:color="B6EAFF" w:themeColor="accent3" w:themeTint="40" w:fill="B6EAFF" w:themeFill="accent3" w:themeFillTint="40"/>
      </w:tcPr>
    </w:tblStylePr>
  </w:style>
  <w:style w:type="table" w:styleId="ListTable2-Accent4" w:customStyle="1">
    <w:name w:val="List Table 2 Accent 4"/>
    <w:basedOn w:val="TableauNormal"/>
    <w:uiPriority w:val="99"/>
    <w:tblPr>
      <w:tblStyleRowBandSize w:val="1"/>
      <w:tblStyleColBandSize w:val="1"/>
      <w:tblBorders>
        <w:top w:val="single" w:color="82D174" w:themeColor="accent4" w:themeTint="90" w:sz="4" w:space="0"/>
        <w:bottom w:val="single" w:color="82D174" w:themeColor="accent4" w:themeTint="90" w:sz="4" w:space="0"/>
        <w:insideH w:val="single" w:color="82D174" w:themeColor="accent4" w:themeTint="90" w:sz="4" w:space="0"/>
      </w:tblBorders>
    </w:tblPr>
    <w:tblStylePr w:type="firstRow">
      <w:rPr>
        <w:rFonts w:ascii="Arial" w:hAnsi="Arial"/>
        <w:b/>
        <w:color w:val="404040"/>
        <w:sz w:val="22"/>
      </w:rPr>
      <w:tblPr/>
      <w:tcPr>
        <w:tcBorders>
          <w:top w:val="single" w:color="82D174" w:themeColor="accent4" w:themeTint="90" w:sz="4" w:space="0"/>
          <w:left w:val="none" w:color="000000" w:sz="4" w:space="0"/>
          <w:bottom w:val="single" w:color="82D174" w:themeColor="accent4" w:themeTint="90" w:sz="4" w:space="0"/>
          <w:right w:val="none" w:color="000000" w:sz="4" w:space="0"/>
        </w:tcBorders>
      </w:tcPr>
    </w:tblStylePr>
    <w:tblStylePr w:type="lastRow">
      <w:rPr>
        <w:rFonts w:ascii="Arial" w:hAnsi="Arial"/>
        <w:b/>
        <w:color w:val="404040"/>
        <w:sz w:val="22"/>
      </w:rPr>
      <w:tblPr/>
      <w:tcPr>
        <w:tcBorders>
          <w:top w:val="single" w:color="82D174" w:themeColor="accent4" w:themeTint="90" w:sz="4" w:space="0"/>
          <w:left w:val="none" w:color="000000" w:sz="4" w:space="0"/>
          <w:bottom w:val="single" w:color="82D174" w:themeColor="accent4"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7EAC1" w:themeColor="accent4" w:themeTint="40" w:fill="C7EAC1" w:themeFill="accent4" w:themeFillTint="40"/>
      </w:tcPr>
    </w:tblStylePr>
    <w:tblStylePr w:type="band1Horz">
      <w:rPr>
        <w:rFonts w:ascii="Arial" w:hAnsi="Arial"/>
        <w:color w:val="404040"/>
        <w:sz w:val="22"/>
      </w:rPr>
      <w:tblPr/>
      <w:tcPr>
        <w:shd w:val="clear" w:color="C7EAC1" w:themeColor="accent4" w:themeTint="40" w:fill="C7EAC1" w:themeFill="accent4" w:themeFillTint="40"/>
      </w:tcPr>
    </w:tblStylePr>
  </w:style>
  <w:style w:type="table" w:styleId="ListTable2-Accent5" w:customStyle="1">
    <w:name w:val="List Table 2 Accent 5"/>
    <w:basedOn w:val="TableauNormal"/>
    <w:uiPriority w:val="99"/>
    <w:tblPr>
      <w:tblStyleRowBandSize w:val="1"/>
      <w:tblStyleColBandSize w:val="1"/>
      <w:tblBorders>
        <w:top w:val="single" w:color="AFDFF1" w:themeColor="accent5" w:themeTint="90" w:sz="4" w:space="0"/>
        <w:bottom w:val="single" w:color="AFDFF1" w:themeColor="accent5" w:themeTint="90" w:sz="4" w:space="0"/>
        <w:insideH w:val="single" w:color="AFDFF1" w:themeColor="accent5" w:themeTint="90" w:sz="4" w:space="0"/>
      </w:tblBorders>
    </w:tblPr>
    <w:tblStylePr w:type="firstRow">
      <w:rPr>
        <w:rFonts w:ascii="Arial" w:hAnsi="Arial"/>
        <w:b/>
        <w:color w:val="404040"/>
        <w:sz w:val="22"/>
      </w:rPr>
      <w:tblPr/>
      <w:tcPr>
        <w:tcBorders>
          <w:top w:val="single" w:color="AFDFF1" w:themeColor="accent5" w:themeTint="90" w:sz="4" w:space="0"/>
          <w:left w:val="none" w:color="000000" w:sz="4" w:space="0"/>
          <w:bottom w:val="single" w:color="AFDFF1" w:themeColor="accent5" w:themeTint="90" w:sz="4" w:space="0"/>
          <w:right w:val="none" w:color="000000" w:sz="4" w:space="0"/>
        </w:tcBorders>
      </w:tcPr>
    </w:tblStylePr>
    <w:tblStylePr w:type="lastRow">
      <w:rPr>
        <w:rFonts w:ascii="Arial" w:hAnsi="Arial"/>
        <w:b/>
        <w:color w:val="404040"/>
        <w:sz w:val="22"/>
      </w:rPr>
      <w:tblPr/>
      <w:tcPr>
        <w:tcBorders>
          <w:top w:val="single" w:color="AFDFF1" w:themeColor="accent5" w:themeTint="90" w:sz="4" w:space="0"/>
          <w:left w:val="none" w:color="000000" w:sz="4" w:space="0"/>
          <w:bottom w:val="single" w:color="AFDFF1" w:themeColor="accent5"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BF0F9" w:themeColor="accent5" w:themeTint="40" w:fill="DBF0F9" w:themeFill="accent5" w:themeFillTint="40"/>
      </w:tcPr>
    </w:tblStylePr>
    <w:tblStylePr w:type="band1Horz">
      <w:rPr>
        <w:rFonts w:ascii="Arial" w:hAnsi="Arial"/>
        <w:color w:val="404040"/>
        <w:sz w:val="22"/>
      </w:rPr>
      <w:tblPr/>
      <w:tcPr>
        <w:shd w:val="clear" w:color="DBF0F9" w:themeColor="accent5" w:themeTint="40" w:fill="DBF0F9" w:themeFill="accent5" w:themeFillTint="40"/>
      </w:tcPr>
    </w:tblStylePr>
  </w:style>
  <w:style w:type="table" w:styleId="ListTable2-Accent6" w:customStyle="1">
    <w:name w:val="List Table 2 Accent 6"/>
    <w:basedOn w:val="TableauNormal"/>
    <w:uiPriority w:val="99"/>
    <w:tblPr>
      <w:tblStyleRowBandSize w:val="1"/>
      <w:tblStyleColBandSize w:val="1"/>
      <w:tblBorders>
        <w:top w:val="single" w:color="EEFD5F" w:themeColor="accent6" w:themeTint="90" w:sz="4" w:space="0"/>
        <w:bottom w:val="single" w:color="EEFD5F" w:themeColor="accent6" w:themeTint="90" w:sz="4" w:space="0"/>
        <w:insideH w:val="single" w:color="EEFD5F" w:themeColor="accent6" w:themeTint="90" w:sz="4" w:space="0"/>
      </w:tblBorders>
    </w:tblPr>
    <w:tblStylePr w:type="firstRow">
      <w:rPr>
        <w:rFonts w:ascii="Arial" w:hAnsi="Arial"/>
        <w:b/>
        <w:color w:val="404040"/>
        <w:sz w:val="22"/>
      </w:rPr>
      <w:tblPr/>
      <w:tcPr>
        <w:tcBorders>
          <w:top w:val="single" w:color="EEFD5F" w:themeColor="accent6" w:themeTint="90" w:sz="4" w:space="0"/>
          <w:left w:val="none" w:color="000000" w:sz="4" w:space="0"/>
          <w:bottom w:val="single" w:color="EEFD5F" w:themeColor="accent6" w:themeTint="90" w:sz="4" w:space="0"/>
          <w:right w:val="none" w:color="000000" w:sz="4" w:space="0"/>
        </w:tcBorders>
      </w:tcPr>
    </w:tblStylePr>
    <w:tblStylePr w:type="lastRow">
      <w:rPr>
        <w:rFonts w:ascii="Arial" w:hAnsi="Arial"/>
        <w:b/>
        <w:color w:val="404040"/>
        <w:sz w:val="22"/>
      </w:rPr>
      <w:tblPr/>
      <w:tcPr>
        <w:tcBorders>
          <w:top w:val="single" w:color="EEFD5F" w:themeColor="accent6" w:themeTint="90" w:sz="4" w:space="0"/>
          <w:left w:val="none" w:color="000000" w:sz="4" w:space="0"/>
          <w:bottom w:val="single" w:color="EEFD5F" w:themeColor="accent6" w:themeTint="90" w:sz="4" w:space="0"/>
          <w:right w:val="none" w:color="000000" w:sz="4" w:space="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7FEB7" w:themeColor="accent6" w:themeTint="40" w:fill="F7FEB7" w:themeFill="accent6" w:themeFillTint="40"/>
      </w:tcPr>
    </w:tblStylePr>
    <w:tblStylePr w:type="band1Horz">
      <w:rPr>
        <w:rFonts w:ascii="Arial" w:hAnsi="Arial"/>
        <w:color w:val="404040"/>
        <w:sz w:val="22"/>
      </w:rPr>
      <w:tblPr/>
      <w:tcPr>
        <w:shd w:val="clear" w:color="F7FEB7" w:themeColor="accent6" w:themeTint="40" w:fill="F7FEB7" w:themeFill="accent6" w:themeFillTint="40"/>
      </w:tcPr>
    </w:tblStylePr>
  </w:style>
  <w:style w:type="table" w:styleId="TableauListe3">
    <w:name w:val="List Table 3"/>
    <w:basedOn w:val="TableauNormal"/>
    <w:uiPriority w:val="99"/>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000000" w:themeColor="text1" w:sz="4" w:space="0"/>
          <w:right w:val="single" w:color="000000" w:themeColor="text1" w:sz="4" w:space="0"/>
        </w:tcBorders>
      </w:tcPr>
    </w:tblStylePr>
    <w:tblStylePr w:type="band1Horz">
      <w:rPr>
        <w:rFonts w:ascii="Arial" w:hAnsi="Arial"/>
        <w:color w:val="404040"/>
        <w:sz w:val="22"/>
      </w:rPr>
      <w:tblPr/>
      <w:tcPr>
        <w:tcBorders>
          <w:top w:val="single" w:color="000000" w:themeColor="text1" w:sz="4" w:space="0"/>
          <w:bottom w:val="single" w:color="000000" w:themeColor="text1" w:sz="4" w:space="0"/>
        </w:tcBorders>
      </w:tcPr>
    </w:tblStylePr>
  </w:style>
  <w:style w:type="table" w:styleId="ListTable3-Accent1" w:customStyle="1">
    <w:name w:val="List Table 3 Accent 1"/>
    <w:basedOn w:val="TableauNormal"/>
    <w:uiPriority w:val="99"/>
    <w:tblPr>
      <w:tblStyleRowBandSize w:val="1"/>
      <w:tblStyleColBandSize w:val="1"/>
      <w:tblBorders>
        <w:top w:val="single" w:color="002776" w:themeColor="accent1" w:sz="4" w:space="0"/>
        <w:left w:val="single" w:color="002776" w:themeColor="accent1" w:sz="4" w:space="0"/>
        <w:bottom w:val="single" w:color="002776" w:themeColor="accent1" w:sz="4" w:space="0"/>
        <w:right w:val="single" w:color="002776" w:themeColor="accent1" w:sz="4" w:space="0"/>
      </w:tblBorders>
    </w:tblPr>
    <w:tblStylePr w:type="firstRow">
      <w:rPr>
        <w:rFonts w:ascii="Arial" w:hAnsi="Arial"/>
        <w:b/>
        <w:color w:val="FFFFFF"/>
        <w:sz w:val="22"/>
      </w:rPr>
      <w:tblPr/>
      <w:tcPr>
        <w:shd w:val="clear" w:color="002776" w:themeColor="accent1" w:fill="002776"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002776" w:themeColor="accent1" w:sz="4" w:space="0"/>
          <w:right w:val="single" w:color="002776" w:themeColor="accent1" w:sz="4" w:space="0"/>
        </w:tcBorders>
      </w:tcPr>
    </w:tblStylePr>
    <w:tblStylePr w:type="band1Horz">
      <w:rPr>
        <w:rFonts w:ascii="Arial" w:hAnsi="Arial"/>
        <w:color w:val="404040"/>
        <w:sz w:val="22"/>
      </w:rPr>
      <w:tblPr/>
      <w:tcPr>
        <w:tcBorders>
          <w:top w:val="single" w:color="002776" w:themeColor="accent1" w:sz="4" w:space="0"/>
          <w:bottom w:val="single" w:color="002776" w:themeColor="accent1" w:sz="4" w:space="0"/>
        </w:tcBorders>
      </w:tcPr>
    </w:tblStylePr>
  </w:style>
  <w:style w:type="table" w:styleId="ListTable3-Accent2" w:customStyle="1">
    <w:name w:val="List Table 3 Accent 2"/>
    <w:basedOn w:val="TableauNormal"/>
    <w:uiPriority w:val="99"/>
    <w:tblPr>
      <w:tblStyleRowBandSize w:val="1"/>
      <w:tblStyleColBandSize w:val="1"/>
      <w:tblBorders>
        <w:top w:val="single" w:color="C7FF4E" w:themeColor="accent2" w:themeTint="97" w:sz="4" w:space="0"/>
        <w:left w:val="single" w:color="C7FF4E" w:themeColor="accent2" w:themeTint="97" w:sz="4" w:space="0"/>
        <w:bottom w:val="single" w:color="C7FF4E" w:themeColor="accent2" w:themeTint="97" w:sz="4" w:space="0"/>
        <w:right w:val="single" w:color="C7FF4E" w:themeColor="accent2" w:themeTint="97" w:sz="4" w:space="0"/>
      </w:tblBorders>
    </w:tblPr>
    <w:tblStylePr w:type="firstRow">
      <w:rPr>
        <w:rFonts w:ascii="Arial" w:hAnsi="Arial"/>
        <w:b/>
        <w:color w:val="FFFFFF"/>
        <w:sz w:val="22"/>
      </w:rPr>
      <w:tblPr/>
      <w:tcPr>
        <w:shd w:val="clear" w:color="C7FF4E" w:themeColor="accent2" w:themeTint="97" w:fill="C7FF4E"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C7FF4E" w:themeColor="accent2" w:themeTint="97" w:sz="4" w:space="0"/>
          <w:right w:val="single" w:color="C7FF4E" w:themeColor="accent2" w:themeTint="97" w:sz="4" w:space="0"/>
        </w:tcBorders>
      </w:tcPr>
    </w:tblStylePr>
    <w:tblStylePr w:type="band1Horz">
      <w:rPr>
        <w:rFonts w:ascii="Arial" w:hAnsi="Arial"/>
        <w:color w:val="404040"/>
        <w:sz w:val="22"/>
      </w:rPr>
      <w:tblPr/>
      <w:tcPr>
        <w:tcBorders>
          <w:top w:val="single" w:color="C7FF4E" w:themeColor="accent2" w:themeTint="97" w:sz="4" w:space="0"/>
          <w:bottom w:val="single" w:color="C7FF4E" w:themeColor="accent2" w:themeTint="97" w:sz="4" w:space="0"/>
        </w:tcBorders>
      </w:tcPr>
    </w:tblStylePr>
  </w:style>
  <w:style w:type="table" w:styleId="ListTable3-Accent3" w:customStyle="1">
    <w:name w:val="List Table 3 Accent 3"/>
    <w:basedOn w:val="TableauNormal"/>
    <w:uiPriority w:val="99"/>
    <w:tblPr>
      <w:tblStyleRowBandSize w:val="1"/>
      <w:tblStyleColBandSize w:val="1"/>
      <w:tblBorders>
        <w:top w:val="single" w:color="53CFFF" w:themeColor="accent3" w:themeTint="98" w:sz="4" w:space="0"/>
        <w:left w:val="single" w:color="53CFFF" w:themeColor="accent3" w:themeTint="98" w:sz="4" w:space="0"/>
        <w:bottom w:val="single" w:color="53CFFF" w:themeColor="accent3" w:themeTint="98" w:sz="4" w:space="0"/>
        <w:right w:val="single" w:color="53CFFF" w:themeColor="accent3" w:themeTint="98" w:sz="4" w:space="0"/>
      </w:tblBorders>
    </w:tblPr>
    <w:tblStylePr w:type="firstRow">
      <w:rPr>
        <w:rFonts w:ascii="Arial" w:hAnsi="Arial"/>
        <w:b/>
        <w:color w:val="FFFFFF"/>
        <w:sz w:val="22"/>
      </w:rPr>
      <w:tblPr/>
      <w:tcPr>
        <w:shd w:val="clear" w:color="53CFFF" w:themeColor="accent3" w:themeTint="98" w:fill="53CFFF"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53CFFF" w:themeColor="accent3" w:themeTint="98" w:sz="4" w:space="0"/>
          <w:right w:val="single" w:color="53CFFF" w:themeColor="accent3" w:themeTint="98" w:sz="4" w:space="0"/>
        </w:tcBorders>
      </w:tcPr>
    </w:tblStylePr>
    <w:tblStylePr w:type="band1Horz">
      <w:rPr>
        <w:rFonts w:ascii="Arial" w:hAnsi="Arial"/>
        <w:color w:val="404040"/>
        <w:sz w:val="22"/>
      </w:rPr>
      <w:tblPr/>
      <w:tcPr>
        <w:tcBorders>
          <w:top w:val="single" w:color="53CFFF" w:themeColor="accent3" w:themeTint="98" w:sz="4" w:space="0"/>
          <w:bottom w:val="single" w:color="53CFFF" w:themeColor="accent3" w:themeTint="98" w:sz="4" w:space="0"/>
        </w:tcBorders>
      </w:tcPr>
    </w:tblStylePr>
  </w:style>
  <w:style w:type="table" w:styleId="ListTable3-Accent4" w:customStyle="1">
    <w:name w:val="List Table 3 Accent 4"/>
    <w:basedOn w:val="TableauNormal"/>
    <w:uiPriority w:val="99"/>
    <w:tblPr>
      <w:tblStyleRowBandSize w:val="1"/>
      <w:tblStyleColBandSize w:val="1"/>
      <w:tblBorders>
        <w:top w:val="single" w:color="79CD6B" w:themeColor="accent4" w:themeTint="9A" w:sz="4" w:space="0"/>
        <w:left w:val="single" w:color="79CD6B" w:themeColor="accent4" w:themeTint="9A" w:sz="4" w:space="0"/>
        <w:bottom w:val="single" w:color="79CD6B" w:themeColor="accent4" w:themeTint="9A" w:sz="4" w:space="0"/>
        <w:right w:val="single" w:color="79CD6B" w:themeColor="accent4" w:themeTint="9A" w:sz="4" w:space="0"/>
      </w:tblBorders>
    </w:tblPr>
    <w:tblStylePr w:type="firstRow">
      <w:rPr>
        <w:rFonts w:ascii="Arial" w:hAnsi="Arial"/>
        <w:b/>
        <w:color w:val="FFFFFF"/>
        <w:sz w:val="22"/>
      </w:rPr>
      <w:tblPr/>
      <w:tcPr>
        <w:shd w:val="clear" w:color="79CD6B" w:themeColor="accent4" w:themeTint="9A" w:fill="79CD6B"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79CD6B" w:themeColor="accent4" w:themeTint="9A" w:sz="4" w:space="0"/>
          <w:right w:val="single" w:color="79CD6B" w:themeColor="accent4" w:themeTint="9A" w:sz="4" w:space="0"/>
        </w:tcBorders>
      </w:tcPr>
    </w:tblStylePr>
    <w:tblStylePr w:type="band1Horz">
      <w:rPr>
        <w:rFonts w:ascii="Arial" w:hAnsi="Arial"/>
        <w:color w:val="404040"/>
        <w:sz w:val="22"/>
      </w:rPr>
      <w:tblPr/>
      <w:tcPr>
        <w:tcBorders>
          <w:top w:val="single" w:color="79CD6B" w:themeColor="accent4" w:themeTint="9A" w:sz="4" w:space="0"/>
          <w:bottom w:val="single" w:color="79CD6B" w:themeColor="accent4" w:themeTint="9A" w:sz="4" w:space="0"/>
        </w:tcBorders>
      </w:tcPr>
    </w:tblStylePr>
  </w:style>
  <w:style w:type="table" w:styleId="ListTable3-Accent5" w:customStyle="1">
    <w:name w:val="List Table 3 Accent 5"/>
    <w:basedOn w:val="TableauNormal"/>
    <w:uiPriority w:val="99"/>
    <w:tblPr>
      <w:tblStyleRowBandSize w:val="1"/>
      <w:tblStyleColBandSize w:val="1"/>
      <w:tblBorders>
        <w:top w:val="single" w:color="A9DDF0" w:themeColor="accent5" w:themeTint="9A" w:sz="4" w:space="0"/>
        <w:left w:val="single" w:color="A9DDF0" w:themeColor="accent5" w:themeTint="9A" w:sz="4" w:space="0"/>
        <w:bottom w:val="single" w:color="A9DDF0" w:themeColor="accent5" w:themeTint="9A" w:sz="4" w:space="0"/>
        <w:right w:val="single" w:color="A9DDF0" w:themeColor="accent5" w:themeTint="9A" w:sz="4" w:space="0"/>
      </w:tblBorders>
    </w:tblPr>
    <w:tblStylePr w:type="firstRow">
      <w:rPr>
        <w:rFonts w:ascii="Arial" w:hAnsi="Arial"/>
        <w:b/>
        <w:color w:val="FFFFFF"/>
        <w:sz w:val="22"/>
      </w:rPr>
      <w:tblPr/>
      <w:tcPr>
        <w:shd w:val="clear" w:color="A9DDF0" w:themeColor="accent5" w:themeTint="9A" w:fill="A9DDF0"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A9DDF0" w:themeColor="accent5" w:themeTint="9A" w:sz="4" w:space="0"/>
          <w:right w:val="single" w:color="A9DDF0" w:themeColor="accent5" w:themeTint="9A" w:sz="4" w:space="0"/>
        </w:tcBorders>
      </w:tcPr>
    </w:tblStylePr>
    <w:tblStylePr w:type="band1Horz">
      <w:rPr>
        <w:rFonts w:ascii="Arial" w:hAnsi="Arial"/>
        <w:color w:val="404040"/>
        <w:sz w:val="22"/>
      </w:rPr>
      <w:tblPr/>
      <w:tcPr>
        <w:tcBorders>
          <w:top w:val="single" w:color="A9DDF0" w:themeColor="accent5" w:themeTint="9A" w:sz="4" w:space="0"/>
          <w:bottom w:val="single" w:color="A9DDF0" w:themeColor="accent5" w:themeTint="9A" w:sz="4" w:space="0"/>
        </w:tcBorders>
      </w:tcPr>
    </w:tblStylePr>
  </w:style>
  <w:style w:type="table" w:styleId="ListTable3-Accent6" w:customStyle="1">
    <w:name w:val="List Table 3 Accent 6"/>
    <w:basedOn w:val="TableauNormal"/>
    <w:uiPriority w:val="99"/>
    <w:tblPr>
      <w:tblStyleRowBandSize w:val="1"/>
      <w:tblStyleColBandSize w:val="1"/>
      <w:tblBorders>
        <w:top w:val="single" w:color="EDFC56" w:themeColor="accent6" w:themeTint="98" w:sz="4" w:space="0"/>
        <w:left w:val="single" w:color="EDFC56" w:themeColor="accent6" w:themeTint="98" w:sz="4" w:space="0"/>
        <w:bottom w:val="single" w:color="EDFC56" w:themeColor="accent6" w:themeTint="98" w:sz="4" w:space="0"/>
        <w:right w:val="single" w:color="EDFC56" w:themeColor="accent6" w:themeTint="98" w:sz="4" w:space="0"/>
      </w:tblBorders>
    </w:tblPr>
    <w:tblStylePr w:type="firstRow">
      <w:rPr>
        <w:rFonts w:ascii="Arial" w:hAnsi="Arial"/>
        <w:b/>
        <w:color w:val="FFFFFF"/>
        <w:sz w:val="22"/>
      </w:rPr>
      <w:tblPr/>
      <w:tcPr>
        <w:shd w:val="clear" w:color="EDFC56" w:themeColor="accent6" w:themeTint="98" w:fill="EDFC56"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color="EDFC56" w:themeColor="accent6" w:themeTint="98" w:sz="4" w:space="0"/>
          <w:right w:val="single" w:color="EDFC56" w:themeColor="accent6" w:themeTint="98" w:sz="4" w:space="0"/>
        </w:tcBorders>
      </w:tcPr>
    </w:tblStylePr>
    <w:tblStylePr w:type="band1Horz">
      <w:rPr>
        <w:rFonts w:ascii="Arial" w:hAnsi="Arial"/>
        <w:color w:val="404040"/>
        <w:sz w:val="22"/>
      </w:rPr>
      <w:tblPr/>
      <w:tcPr>
        <w:tcBorders>
          <w:top w:val="single" w:color="EDFC56" w:themeColor="accent6" w:themeTint="98" w:sz="4" w:space="0"/>
          <w:bottom w:val="single" w:color="EDFC56" w:themeColor="accent6" w:themeTint="98" w:sz="4" w:space="0"/>
        </w:tcBorders>
      </w:tcPr>
    </w:tblStylePr>
  </w:style>
  <w:style w:type="table" w:styleId="TableauListe4">
    <w:name w:val="List Table 4"/>
    <w:basedOn w:val="TableauNormal"/>
    <w:uiPriority w:val="99"/>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customStyle="1">
    <w:name w:val="List Table 4 Accent 1"/>
    <w:basedOn w:val="TableauNormal"/>
    <w:uiPriority w:val="99"/>
    <w:tblPr>
      <w:tblStyleRowBandSize w:val="1"/>
      <w:tblStyleColBandSize w:val="1"/>
      <w:tblBorders>
        <w:top w:val="single" w:color="216AFF" w:themeColor="accent1" w:themeTint="90" w:sz="4" w:space="0"/>
        <w:left w:val="single" w:color="216AFF" w:themeColor="accent1" w:themeTint="90" w:sz="4" w:space="0"/>
        <w:bottom w:val="single" w:color="216AFF" w:themeColor="accent1" w:themeTint="90" w:sz="4" w:space="0"/>
        <w:right w:val="single" w:color="216AFF" w:themeColor="accent1" w:themeTint="90" w:sz="4" w:space="0"/>
        <w:insideH w:val="single" w:color="216AFF" w:themeColor="accent1" w:themeTint="90" w:sz="4" w:space="0"/>
      </w:tblBorders>
    </w:tblPr>
    <w:tblStylePr w:type="firstRow">
      <w:rPr>
        <w:rFonts w:ascii="Arial" w:hAnsi="Arial"/>
        <w:b/>
        <w:color w:val="FFFFFF"/>
        <w:sz w:val="22"/>
      </w:rPr>
      <w:tblPr/>
      <w:tcPr>
        <w:shd w:val="clear" w:color="002776" w:themeColor="accent1" w:fill="002776"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9CBCFF" w:themeColor="accent1" w:themeTint="40" w:fill="9CBCFF" w:themeFill="accent1" w:themeFillTint="40"/>
      </w:tcPr>
    </w:tblStylePr>
    <w:tblStylePr w:type="band1Horz">
      <w:rPr>
        <w:rFonts w:ascii="Arial" w:hAnsi="Arial"/>
        <w:color w:val="404040"/>
        <w:sz w:val="22"/>
      </w:rPr>
      <w:tblPr/>
      <w:tcPr>
        <w:shd w:val="clear" w:color="9CBCFF" w:themeColor="accent1" w:themeTint="40" w:fill="9CBCFF" w:themeFill="accent1" w:themeFillTint="40"/>
      </w:tcPr>
    </w:tblStylePr>
  </w:style>
  <w:style w:type="table" w:styleId="ListTable4-Accent2" w:customStyle="1">
    <w:name w:val="List Table 4 Accent 2"/>
    <w:basedOn w:val="TableauNormal"/>
    <w:uiPriority w:val="99"/>
    <w:tblPr>
      <w:tblStyleRowBandSize w:val="1"/>
      <w:tblStyleColBandSize w:val="1"/>
      <w:tblBorders>
        <w:top w:val="single" w:color="CAFF56" w:themeColor="accent2" w:themeTint="90" w:sz="4" w:space="0"/>
        <w:left w:val="single" w:color="CAFF56" w:themeColor="accent2" w:themeTint="90" w:sz="4" w:space="0"/>
        <w:bottom w:val="single" w:color="CAFF56" w:themeColor="accent2" w:themeTint="90" w:sz="4" w:space="0"/>
        <w:right w:val="single" w:color="CAFF56" w:themeColor="accent2" w:themeTint="90" w:sz="4" w:space="0"/>
        <w:insideH w:val="single" w:color="CAFF56" w:themeColor="accent2" w:themeTint="90" w:sz="4" w:space="0"/>
      </w:tblBorders>
    </w:tblPr>
    <w:tblStylePr w:type="firstRow">
      <w:rPr>
        <w:rFonts w:ascii="Arial" w:hAnsi="Arial"/>
        <w:b/>
        <w:color w:val="FFFFFF"/>
        <w:sz w:val="22"/>
      </w:rPr>
      <w:tblPr/>
      <w:tcPr>
        <w:shd w:val="clear" w:color="92D400" w:themeColor="accent2" w:fill="92D400"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7FFB4" w:themeColor="accent2" w:themeTint="40" w:fill="E7FFB4" w:themeFill="accent2" w:themeFillTint="40"/>
      </w:tcPr>
    </w:tblStylePr>
    <w:tblStylePr w:type="band1Horz">
      <w:rPr>
        <w:rFonts w:ascii="Arial" w:hAnsi="Arial"/>
        <w:color w:val="404040"/>
        <w:sz w:val="22"/>
      </w:rPr>
      <w:tblPr/>
      <w:tcPr>
        <w:shd w:val="clear" w:color="E7FFB4" w:themeColor="accent2" w:themeTint="40" w:fill="E7FFB4" w:themeFill="accent2" w:themeFillTint="40"/>
      </w:tcPr>
    </w:tblStylePr>
  </w:style>
  <w:style w:type="table" w:styleId="ListTable4-Accent3" w:customStyle="1">
    <w:name w:val="List Table 4 Accent 3"/>
    <w:basedOn w:val="TableauNormal"/>
    <w:uiPriority w:val="99"/>
    <w:tblPr>
      <w:tblStyleRowBandSize w:val="1"/>
      <w:tblStyleColBandSize w:val="1"/>
      <w:tblBorders>
        <w:top w:val="single" w:color="5CD1FF" w:themeColor="accent3" w:themeTint="90" w:sz="4" w:space="0"/>
        <w:left w:val="single" w:color="5CD1FF" w:themeColor="accent3" w:themeTint="90" w:sz="4" w:space="0"/>
        <w:bottom w:val="single" w:color="5CD1FF" w:themeColor="accent3" w:themeTint="90" w:sz="4" w:space="0"/>
        <w:right w:val="single" w:color="5CD1FF" w:themeColor="accent3" w:themeTint="90" w:sz="4" w:space="0"/>
        <w:insideH w:val="single" w:color="5CD1FF" w:themeColor="accent3" w:themeTint="90" w:sz="4" w:space="0"/>
      </w:tblBorders>
    </w:tblPr>
    <w:tblStylePr w:type="firstRow">
      <w:rPr>
        <w:rFonts w:ascii="Arial" w:hAnsi="Arial"/>
        <w:b/>
        <w:color w:val="FFFFFF"/>
        <w:sz w:val="22"/>
      </w:rPr>
      <w:tblPr/>
      <w:tcPr>
        <w:shd w:val="clear" w:color="00A1DE" w:themeColor="accent3" w:fill="00A1DE"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6EAFF" w:themeColor="accent3" w:themeTint="40" w:fill="B6EAFF" w:themeFill="accent3" w:themeFillTint="40"/>
      </w:tcPr>
    </w:tblStylePr>
    <w:tblStylePr w:type="band1Horz">
      <w:rPr>
        <w:rFonts w:ascii="Arial" w:hAnsi="Arial"/>
        <w:color w:val="404040"/>
        <w:sz w:val="22"/>
      </w:rPr>
      <w:tblPr/>
      <w:tcPr>
        <w:shd w:val="clear" w:color="B6EAFF" w:themeColor="accent3" w:themeTint="40" w:fill="B6EAFF" w:themeFill="accent3" w:themeFillTint="40"/>
      </w:tcPr>
    </w:tblStylePr>
  </w:style>
  <w:style w:type="table" w:styleId="ListTable4-Accent4" w:customStyle="1">
    <w:name w:val="List Table 4 Accent 4"/>
    <w:basedOn w:val="TableauNormal"/>
    <w:uiPriority w:val="99"/>
    <w:tblPr>
      <w:tblStyleRowBandSize w:val="1"/>
      <w:tblStyleColBandSize w:val="1"/>
      <w:tblBorders>
        <w:top w:val="single" w:color="82D174" w:themeColor="accent4" w:themeTint="90" w:sz="4" w:space="0"/>
        <w:left w:val="single" w:color="82D174" w:themeColor="accent4" w:themeTint="90" w:sz="4" w:space="0"/>
        <w:bottom w:val="single" w:color="82D174" w:themeColor="accent4" w:themeTint="90" w:sz="4" w:space="0"/>
        <w:right w:val="single" w:color="82D174" w:themeColor="accent4" w:themeTint="90" w:sz="4" w:space="0"/>
        <w:insideH w:val="single" w:color="82D174" w:themeColor="accent4" w:themeTint="90" w:sz="4" w:space="0"/>
      </w:tblBorders>
    </w:tblPr>
    <w:tblStylePr w:type="firstRow">
      <w:rPr>
        <w:rFonts w:ascii="Arial" w:hAnsi="Arial"/>
        <w:b/>
        <w:color w:val="FFFFFF"/>
        <w:sz w:val="22"/>
      </w:rPr>
      <w:tblPr/>
      <w:tcPr>
        <w:shd w:val="clear" w:color="3C8A2E" w:themeColor="accent4" w:fill="3C8A2E"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7EAC1" w:themeColor="accent4" w:themeTint="40" w:fill="C7EAC1" w:themeFill="accent4" w:themeFillTint="40"/>
      </w:tcPr>
    </w:tblStylePr>
    <w:tblStylePr w:type="band1Horz">
      <w:rPr>
        <w:rFonts w:ascii="Arial" w:hAnsi="Arial"/>
        <w:color w:val="404040"/>
        <w:sz w:val="22"/>
      </w:rPr>
      <w:tblPr/>
      <w:tcPr>
        <w:shd w:val="clear" w:color="C7EAC1" w:themeColor="accent4" w:themeTint="40" w:fill="C7EAC1" w:themeFill="accent4" w:themeFillTint="40"/>
      </w:tcPr>
    </w:tblStylePr>
  </w:style>
  <w:style w:type="table" w:styleId="ListTable4-Accent5" w:customStyle="1">
    <w:name w:val="List Table 4 Accent 5"/>
    <w:basedOn w:val="TableauNormal"/>
    <w:uiPriority w:val="99"/>
    <w:tblPr>
      <w:tblStyleRowBandSize w:val="1"/>
      <w:tblStyleColBandSize w:val="1"/>
      <w:tblBorders>
        <w:top w:val="single" w:color="AFDFF1" w:themeColor="accent5" w:themeTint="90" w:sz="4" w:space="0"/>
        <w:left w:val="single" w:color="AFDFF1" w:themeColor="accent5" w:themeTint="90" w:sz="4" w:space="0"/>
        <w:bottom w:val="single" w:color="AFDFF1" w:themeColor="accent5" w:themeTint="90" w:sz="4" w:space="0"/>
        <w:right w:val="single" w:color="AFDFF1" w:themeColor="accent5" w:themeTint="90" w:sz="4" w:space="0"/>
        <w:insideH w:val="single" w:color="AFDFF1" w:themeColor="accent5" w:themeTint="90" w:sz="4" w:space="0"/>
      </w:tblBorders>
    </w:tblPr>
    <w:tblStylePr w:type="firstRow">
      <w:rPr>
        <w:rFonts w:ascii="Arial" w:hAnsi="Arial"/>
        <w:b/>
        <w:color w:val="FFFFFF"/>
        <w:sz w:val="22"/>
      </w:rPr>
      <w:tblPr/>
      <w:tcPr>
        <w:shd w:val="clear" w:color="72C7E7" w:themeColor="accent5" w:fill="72C7E7"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F0F9" w:themeColor="accent5" w:themeTint="40" w:fill="DBF0F9" w:themeFill="accent5" w:themeFillTint="40"/>
      </w:tcPr>
    </w:tblStylePr>
    <w:tblStylePr w:type="band1Horz">
      <w:rPr>
        <w:rFonts w:ascii="Arial" w:hAnsi="Arial"/>
        <w:color w:val="404040"/>
        <w:sz w:val="22"/>
      </w:rPr>
      <w:tblPr/>
      <w:tcPr>
        <w:shd w:val="clear" w:color="DBF0F9" w:themeColor="accent5" w:themeTint="40" w:fill="DBF0F9" w:themeFill="accent5" w:themeFillTint="40"/>
      </w:tcPr>
    </w:tblStylePr>
  </w:style>
  <w:style w:type="table" w:styleId="ListTable4-Accent6" w:customStyle="1">
    <w:name w:val="List Table 4 Accent 6"/>
    <w:basedOn w:val="TableauNormal"/>
    <w:uiPriority w:val="99"/>
    <w:tblPr>
      <w:tblStyleRowBandSize w:val="1"/>
      <w:tblStyleColBandSize w:val="1"/>
      <w:tblBorders>
        <w:top w:val="single" w:color="EEFD5F" w:themeColor="accent6" w:themeTint="90" w:sz="4" w:space="0"/>
        <w:left w:val="single" w:color="EEFD5F" w:themeColor="accent6" w:themeTint="90" w:sz="4" w:space="0"/>
        <w:bottom w:val="single" w:color="EEFD5F" w:themeColor="accent6" w:themeTint="90" w:sz="4" w:space="0"/>
        <w:right w:val="single" w:color="EEFD5F" w:themeColor="accent6" w:themeTint="90" w:sz="4" w:space="0"/>
        <w:insideH w:val="single" w:color="EEFD5F" w:themeColor="accent6" w:themeTint="90" w:sz="4" w:space="0"/>
      </w:tblBorders>
    </w:tblPr>
    <w:tblStylePr w:type="firstRow">
      <w:rPr>
        <w:rFonts w:ascii="Arial" w:hAnsi="Arial"/>
        <w:b/>
        <w:color w:val="FFFFFF"/>
        <w:sz w:val="22"/>
      </w:rPr>
      <w:tblPr/>
      <w:tcPr>
        <w:shd w:val="clear" w:color="C9DD03" w:themeColor="accent6" w:fill="C9DD03"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7FEB7" w:themeColor="accent6" w:themeTint="40" w:fill="F7FEB7" w:themeFill="accent6" w:themeFillTint="40"/>
      </w:tcPr>
    </w:tblStylePr>
    <w:tblStylePr w:type="band1Horz">
      <w:rPr>
        <w:rFonts w:ascii="Arial" w:hAnsi="Arial"/>
        <w:color w:val="404040"/>
        <w:sz w:val="22"/>
      </w:rPr>
      <w:tblPr/>
      <w:tcPr>
        <w:shd w:val="clear" w:color="F7FEB7" w:themeColor="accent6" w:themeTint="40" w:fill="F7FEB7" w:themeFill="accent6" w:themeFillTint="40"/>
      </w:tcPr>
    </w:tblStylePr>
  </w:style>
  <w:style w:type="table" w:styleId="TableauListe5Fonc">
    <w:name w:val="List Table 5 Dark"/>
    <w:basedOn w:val="TableauNormal"/>
    <w:uiPriority w:val="99"/>
    <w:tblPr>
      <w:tblStyleRowBandSize w:val="1"/>
      <w:tblStyleColBandSize w:val="1"/>
      <w:tblBorders>
        <w:top w:val="single" w:color="7F7F7F" w:themeColor="text1" w:themeTint="80" w:sz="32" w:space="0"/>
        <w:left w:val="single" w:color="7F7F7F" w:themeColor="text1" w:themeTint="80" w:sz="32" w:space="0"/>
        <w:bottom w:val="single" w:color="7F7F7F" w:themeColor="text1" w:themeTint="80" w:sz="32" w:space="0"/>
        <w:right w:val="single" w:color="7F7F7F" w:themeColor="text1" w:themeTint="80" w:sz="32" w:space="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color="7F7F7F" w:themeColor="text1" w:themeTint="80" w:sz="32" w:space="0"/>
          <w:bottom w:val="single" w:color="FFFFFF" w:themeColor="light1" w:sz="12" w:space="0"/>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7F7F7F" w:themeColor="text1" w:themeTint="80" w:sz="32" w:space="0"/>
          <w:right w:val="single" w:color="FFFFFF" w:themeColor="light1" w:sz="4" w:space="0"/>
        </w:tcBorders>
      </w:tcPr>
    </w:tblStylePr>
    <w:tblStylePr w:type="lastCol">
      <w:tblPr/>
      <w:tcPr>
        <w:tcBorders>
          <w:left w:val="single" w:color="FFFFFF" w:themeColor="light1" w:sz="4" w:space="0"/>
          <w:right w:val="single" w:color="7F7F7F" w:themeColor="text1" w:themeTint="80" w:sz="32" w:space="0"/>
        </w:tcBorders>
      </w:tcPr>
    </w:tblStylePr>
    <w:tblStylePr w:type="band1Vert">
      <w:tblPr/>
      <w:tcPr>
        <w:tcBorders>
          <w:left w:val="single" w:color="FFFFFF" w:themeColor="light1" w:sz="4" w:space="0"/>
          <w:right w:val="single" w:color="FFFFFF" w:themeColor="light1" w:sz="4" w:space="0"/>
        </w:tcBorders>
        <w:shd w:val="clear" w:color="7F7F7F" w:themeColor="text1" w:themeTint="80" w:fill="7F7F7F" w:themeFill="text1" w:themeFillTint="80"/>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7F7F7F" w:themeColor="text1" w:themeTint="80" w:fill="7F7F7F" w:themeFill="text1" w:themeFillTint="80"/>
      </w:tcPr>
    </w:tblStylePr>
    <w:tblStylePr w:type="band2Horz">
      <w:tblPr/>
      <w:tcPr>
        <w:tcBorders>
          <w:top w:val="single" w:color="FFFFFF" w:themeColor="light1" w:sz="4" w:space="0"/>
          <w:bottom w:val="single" w:color="FFFFFF" w:themeColor="light1" w:sz="4" w:space="0"/>
        </w:tcBorders>
        <w:shd w:val="clear" w:color="7F7F7F" w:themeColor="text1" w:themeTint="80" w:fill="7F7F7F" w:themeFill="text1" w:themeFillTint="80"/>
      </w:tcPr>
    </w:tblStylePr>
  </w:style>
  <w:style w:type="table" w:styleId="ListTable5Dark-Accent1" w:customStyle="1">
    <w:name w:val="List Table 5 Dark Accent 1"/>
    <w:basedOn w:val="TableauNormal"/>
    <w:uiPriority w:val="99"/>
    <w:tblPr>
      <w:tblStyleRowBandSize w:val="1"/>
      <w:tblStyleColBandSize w:val="1"/>
      <w:tblBorders>
        <w:top w:val="single" w:color="002776" w:themeColor="accent1" w:sz="32" w:space="0"/>
        <w:left w:val="single" w:color="002776" w:themeColor="accent1" w:sz="32" w:space="0"/>
        <w:bottom w:val="single" w:color="002776" w:themeColor="accent1" w:sz="32" w:space="0"/>
        <w:right w:val="single" w:color="002776" w:themeColor="accent1" w:sz="32" w:space="0"/>
      </w:tblBorders>
      <w:shd w:val="clear" w:color="002776" w:themeColor="accent1" w:fill="002776" w:themeFill="accent1"/>
    </w:tblPr>
    <w:tblStylePr w:type="firstRow">
      <w:rPr>
        <w:rFonts w:ascii="Arial" w:hAnsi="Arial"/>
        <w:b/>
        <w:color w:val="FFFFFF" w:themeColor="light1"/>
        <w:sz w:val="22"/>
      </w:rPr>
      <w:tblPr/>
      <w:tcPr>
        <w:tcBorders>
          <w:top w:val="single" w:color="002776" w:themeColor="accent1" w:sz="32" w:space="0"/>
          <w:bottom w:val="single" w:color="FFFFFF" w:themeColor="light1" w:sz="12" w:space="0"/>
        </w:tcBorders>
        <w:shd w:val="clear" w:color="002776" w:themeColor="accent1" w:fill="002776"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002776" w:themeColor="accent1" w:sz="32" w:space="0"/>
          <w:right w:val="single" w:color="FFFFFF" w:themeColor="light1" w:sz="4" w:space="0"/>
        </w:tcBorders>
      </w:tcPr>
    </w:tblStylePr>
    <w:tblStylePr w:type="lastCol">
      <w:tblPr/>
      <w:tcPr>
        <w:tcBorders>
          <w:left w:val="single" w:color="FFFFFF" w:themeColor="light1" w:sz="4" w:space="0"/>
          <w:right w:val="single" w:color="002776" w:themeColor="accent1" w:sz="32" w:space="0"/>
        </w:tcBorders>
      </w:tcPr>
    </w:tblStylePr>
    <w:tblStylePr w:type="band1Vert">
      <w:tblPr/>
      <w:tcPr>
        <w:tcBorders>
          <w:left w:val="single" w:color="FFFFFF" w:themeColor="light1" w:sz="4" w:space="0"/>
          <w:right w:val="single" w:color="FFFFFF" w:themeColor="light1" w:sz="4" w:space="0"/>
        </w:tcBorders>
        <w:shd w:val="clear" w:color="002776" w:themeColor="accent1" w:fill="002776" w:themeFill="accent1"/>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002776" w:themeColor="accent1" w:fill="002776" w:themeFill="accent1"/>
      </w:tcPr>
    </w:tblStylePr>
    <w:tblStylePr w:type="band2Horz">
      <w:tblPr/>
      <w:tcPr>
        <w:tcBorders>
          <w:top w:val="single" w:color="FFFFFF" w:themeColor="light1" w:sz="4" w:space="0"/>
          <w:bottom w:val="single" w:color="FFFFFF" w:themeColor="light1" w:sz="4" w:space="0"/>
        </w:tcBorders>
        <w:shd w:val="clear" w:color="002776" w:themeColor="accent1" w:fill="002776" w:themeFill="accent1"/>
      </w:tcPr>
    </w:tblStylePr>
  </w:style>
  <w:style w:type="table" w:styleId="ListTable5Dark-Accent2" w:customStyle="1">
    <w:name w:val="List Table 5 Dark Accent 2"/>
    <w:basedOn w:val="TableauNormal"/>
    <w:uiPriority w:val="99"/>
    <w:tblPr>
      <w:tblStyleRowBandSize w:val="1"/>
      <w:tblStyleColBandSize w:val="1"/>
      <w:tblBorders>
        <w:top w:val="single" w:color="C7FF4E" w:themeColor="accent2" w:themeTint="97" w:sz="32" w:space="0"/>
        <w:left w:val="single" w:color="C7FF4E" w:themeColor="accent2" w:themeTint="97" w:sz="32" w:space="0"/>
        <w:bottom w:val="single" w:color="C7FF4E" w:themeColor="accent2" w:themeTint="97" w:sz="32" w:space="0"/>
        <w:right w:val="single" w:color="C7FF4E" w:themeColor="accent2" w:themeTint="97" w:sz="32" w:space="0"/>
      </w:tblBorders>
      <w:shd w:val="clear" w:color="C7FF4E" w:themeColor="accent2" w:themeTint="97" w:fill="C7FF4E" w:themeFill="accent2" w:themeFillTint="97"/>
    </w:tblPr>
    <w:tblStylePr w:type="firstRow">
      <w:rPr>
        <w:rFonts w:ascii="Arial" w:hAnsi="Arial"/>
        <w:b/>
        <w:color w:val="FFFFFF" w:themeColor="light1"/>
        <w:sz w:val="22"/>
      </w:rPr>
      <w:tblPr/>
      <w:tcPr>
        <w:tcBorders>
          <w:top w:val="single" w:color="C7FF4E" w:themeColor="accent2" w:themeTint="97" w:sz="32" w:space="0"/>
          <w:bottom w:val="single" w:color="FFFFFF" w:themeColor="light1" w:sz="12" w:space="0"/>
        </w:tcBorders>
        <w:shd w:val="clear" w:color="C7FF4E" w:themeColor="accent2" w:themeTint="97" w:fill="C7FF4E"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C7FF4E" w:themeColor="accent2" w:themeTint="97" w:sz="32" w:space="0"/>
          <w:right w:val="single" w:color="FFFFFF" w:themeColor="light1" w:sz="4" w:space="0"/>
        </w:tcBorders>
      </w:tcPr>
    </w:tblStylePr>
    <w:tblStylePr w:type="lastCol">
      <w:tblPr/>
      <w:tcPr>
        <w:tcBorders>
          <w:left w:val="single" w:color="FFFFFF" w:themeColor="light1" w:sz="4" w:space="0"/>
          <w:right w:val="single" w:color="C7FF4E" w:themeColor="accent2" w:themeTint="97" w:sz="32" w:space="0"/>
        </w:tcBorders>
      </w:tcPr>
    </w:tblStylePr>
    <w:tblStylePr w:type="band1Vert">
      <w:tblPr/>
      <w:tcPr>
        <w:tcBorders>
          <w:left w:val="single" w:color="FFFFFF" w:themeColor="light1" w:sz="4" w:space="0"/>
          <w:right w:val="single" w:color="FFFFFF" w:themeColor="light1" w:sz="4" w:space="0"/>
        </w:tcBorders>
        <w:shd w:val="clear" w:color="C7FF4E" w:themeColor="accent2" w:themeTint="97" w:fill="C7FF4E" w:themeFill="accent2" w:themeFillTint="97"/>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C7FF4E" w:themeColor="accent2" w:themeTint="97" w:fill="C7FF4E" w:themeFill="accent2" w:themeFillTint="97"/>
      </w:tcPr>
    </w:tblStylePr>
    <w:tblStylePr w:type="band2Horz">
      <w:tblPr/>
      <w:tcPr>
        <w:tcBorders>
          <w:top w:val="single" w:color="FFFFFF" w:themeColor="light1" w:sz="4" w:space="0"/>
          <w:bottom w:val="single" w:color="FFFFFF" w:themeColor="light1" w:sz="4" w:space="0"/>
        </w:tcBorders>
        <w:shd w:val="clear" w:color="C7FF4E" w:themeColor="accent2" w:themeTint="97" w:fill="C7FF4E" w:themeFill="accent2" w:themeFillTint="97"/>
      </w:tcPr>
    </w:tblStylePr>
  </w:style>
  <w:style w:type="table" w:styleId="ListTable5Dark-Accent3" w:customStyle="1">
    <w:name w:val="List Table 5 Dark Accent 3"/>
    <w:basedOn w:val="TableauNormal"/>
    <w:uiPriority w:val="99"/>
    <w:tblPr>
      <w:tblStyleRowBandSize w:val="1"/>
      <w:tblStyleColBandSize w:val="1"/>
      <w:tblBorders>
        <w:top w:val="single" w:color="53CFFF" w:themeColor="accent3" w:themeTint="98" w:sz="32" w:space="0"/>
        <w:left w:val="single" w:color="53CFFF" w:themeColor="accent3" w:themeTint="98" w:sz="32" w:space="0"/>
        <w:bottom w:val="single" w:color="53CFFF" w:themeColor="accent3" w:themeTint="98" w:sz="32" w:space="0"/>
        <w:right w:val="single" w:color="53CFFF" w:themeColor="accent3" w:themeTint="98" w:sz="32" w:space="0"/>
      </w:tblBorders>
      <w:shd w:val="clear" w:color="53CFFF" w:themeColor="accent3" w:themeTint="98" w:fill="53CFFF" w:themeFill="accent3" w:themeFillTint="98"/>
    </w:tblPr>
    <w:tblStylePr w:type="firstRow">
      <w:rPr>
        <w:rFonts w:ascii="Arial" w:hAnsi="Arial"/>
        <w:b/>
        <w:color w:val="FFFFFF" w:themeColor="light1"/>
        <w:sz w:val="22"/>
      </w:rPr>
      <w:tblPr/>
      <w:tcPr>
        <w:tcBorders>
          <w:top w:val="single" w:color="53CFFF" w:themeColor="accent3" w:themeTint="98" w:sz="32" w:space="0"/>
          <w:bottom w:val="single" w:color="FFFFFF" w:themeColor="light1" w:sz="12" w:space="0"/>
        </w:tcBorders>
        <w:shd w:val="clear" w:color="53CFFF" w:themeColor="accent3" w:themeTint="98" w:fill="53CFFF"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53CFFF" w:themeColor="accent3" w:themeTint="98" w:sz="32" w:space="0"/>
          <w:right w:val="single" w:color="FFFFFF" w:themeColor="light1" w:sz="4" w:space="0"/>
        </w:tcBorders>
      </w:tcPr>
    </w:tblStylePr>
    <w:tblStylePr w:type="lastCol">
      <w:tblPr/>
      <w:tcPr>
        <w:tcBorders>
          <w:left w:val="single" w:color="FFFFFF" w:themeColor="light1" w:sz="4" w:space="0"/>
          <w:right w:val="single" w:color="53CFFF" w:themeColor="accent3" w:themeTint="98" w:sz="32" w:space="0"/>
        </w:tcBorders>
      </w:tcPr>
    </w:tblStylePr>
    <w:tblStylePr w:type="band1Vert">
      <w:tblPr/>
      <w:tcPr>
        <w:tcBorders>
          <w:left w:val="single" w:color="FFFFFF" w:themeColor="light1" w:sz="4" w:space="0"/>
          <w:right w:val="single" w:color="FFFFFF" w:themeColor="light1" w:sz="4" w:space="0"/>
        </w:tcBorders>
        <w:shd w:val="clear" w:color="53CFFF" w:themeColor="accent3" w:themeTint="98" w:fill="53CFFF" w:themeFill="accent3" w:themeFillTint="98"/>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53CFFF" w:themeColor="accent3" w:themeTint="98" w:fill="53CFFF" w:themeFill="accent3" w:themeFillTint="98"/>
      </w:tcPr>
    </w:tblStylePr>
    <w:tblStylePr w:type="band2Horz">
      <w:tblPr/>
      <w:tcPr>
        <w:tcBorders>
          <w:top w:val="single" w:color="FFFFFF" w:themeColor="light1" w:sz="4" w:space="0"/>
          <w:bottom w:val="single" w:color="FFFFFF" w:themeColor="light1" w:sz="4" w:space="0"/>
        </w:tcBorders>
        <w:shd w:val="clear" w:color="53CFFF" w:themeColor="accent3" w:themeTint="98" w:fill="53CFFF" w:themeFill="accent3" w:themeFillTint="98"/>
      </w:tcPr>
    </w:tblStylePr>
  </w:style>
  <w:style w:type="table" w:styleId="ListTable5Dark-Accent4" w:customStyle="1">
    <w:name w:val="List Table 5 Dark Accent 4"/>
    <w:basedOn w:val="TableauNormal"/>
    <w:uiPriority w:val="99"/>
    <w:tblPr>
      <w:tblStyleRowBandSize w:val="1"/>
      <w:tblStyleColBandSize w:val="1"/>
      <w:tblBorders>
        <w:top w:val="single" w:color="79CD6B" w:themeColor="accent4" w:themeTint="9A" w:sz="32" w:space="0"/>
        <w:left w:val="single" w:color="79CD6B" w:themeColor="accent4" w:themeTint="9A" w:sz="32" w:space="0"/>
        <w:bottom w:val="single" w:color="79CD6B" w:themeColor="accent4" w:themeTint="9A" w:sz="32" w:space="0"/>
        <w:right w:val="single" w:color="79CD6B" w:themeColor="accent4" w:themeTint="9A" w:sz="32" w:space="0"/>
      </w:tblBorders>
      <w:shd w:val="clear" w:color="79CD6B" w:themeColor="accent4" w:themeTint="9A" w:fill="79CD6B" w:themeFill="accent4" w:themeFillTint="9A"/>
    </w:tblPr>
    <w:tblStylePr w:type="firstRow">
      <w:rPr>
        <w:rFonts w:ascii="Arial" w:hAnsi="Arial"/>
        <w:b/>
        <w:color w:val="FFFFFF" w:themeColor="light1"/>
        <w:sz w:val="22"/>
      </w:rPr>
      <w:tblPr/>
      <w:tcPr>
        <w:tcBorders>
          <w:top w:val="single" w:color="79CD6B" w:themeColor="accent4" w:themeTint="9A" w:sz="32" w:space="0"/>
          <w:bottom w:val="single" w:color="FFFFFF" w:themeColor="light1" w:sz="12" w:space="0"/>
        </w:tcBorders>
        <w:shd w:val="clear" w:color="79CD6B" w:themeColor="accent4" w:themeTint="9A" w:fill="79CD6B"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79CD6B" w:themeColor="accent4" w:themeTint="9A" w:sz="32" w:space="0"/>
          <w:right w:val="single" w:color="FFFFFF" w:themeColor="light1" w:sz="4" w:space="0"/>
        </w:tcBorders>
      </w:tcPr>
    </w:tblStylePr>
    <w:tblStylePr w:type="lastCol">
      <w:tblPr/>
      <w:tcPr>
        <w:tcBorders>
          <w:left w:val="single" w:color="FFFFFF" w:themeColor="light1" w:sz="4" w:space="0"/>
          <w:right w:val="single" w:color="79CD6B" w:themeColor="accent4" w:themeTint="9A" w:sz="32" w:space="0"/>
        </w:tcBorders>
      </w:tcPr>
    </w:tblStylePr>
    <w:tblStylePr w:type="band1Vert">
      <w:tblPr/>
      <w:tcPr>
        <w:tcBorders>
          <w:left w:val="single" w:color="FFFFFF" w:themeColor="light1" w:sz="4" w:space="0"/>
          <w:right w:val="single" w:color="FFFFFF" w:themeColor="light1" w:sz="4" w:space="0"/>
        </w:tcBorders>
        <w:shd w:val="clear" w:color="79CD6B" w:themeColor="accent4" w:themeTint="9A" w:fill="79CD6B" w:themeFill="accent4" w:themeFillTint="9A"/>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79CD6B" w:themeColor="accent4" w:themeTint="9A" w:fill="79CD6B" w:themeFill="accent4" w:themeFillTint="9A"/>
      </w:tcPr>
    </w:tblStylePr>
    <w:tblStylePr w:type="band2Horz">
      <w:tblPr/>
      <w:tcPr>
        <w:tcBorders>
          <w:top w:val="single" w:color="FFFFFF" w:themeColor="light1" w:sz="4" w:space="0"/>
          <w:bottom w:val="single" w:color="FFFFFF" w:themeColor="light1" w:sz="4" w:space="0"/>
        </w:tcBorders>
        <w:shd w:val="clear" w:color="79CD6B" w:themeColor="accent4" w:themeTint="9A" w:fill="79CD6B" w:themeFill="accent4" w:themeFillTint="9A"/>
      </w:tcPr>
    </w:tblStylePr>
  </w:style>
  <w:style w:type="table" w:styleId="ListTable5Dark-Accent5" w:customStyle="1">
    <w:name w:val="List Table 5 Dark Accent 5"/>
    <w:basedOn w:val="TableauNormal"/>
    <w:uiPriority w:val="99"/>
    <w:tblPr>
      <w:tblStyleRowBandSize w:val="1"/>
      <w:tblStyleColBandSize w:val="1"/>
      <w:tblBorders>
        <w:top w:val="single" w:color="A9DDF0" w:themeColor="accent5" w:themeTint="9A" w:sz="32" w:space="0"/>
        <w:left w:val="single" w:color="A9DDF0" w:themeColor="accent5" w:themeTint="9A" w:sz="32" w:space="0"/>
        <w:bottom w:val="single" w:color="A9DDF0" w:themeColor="accent5" w:themeTint="9A" w:sz="32" w:space="0"/>
        <w:right w:val="single" w:color="A9DDF0" w:themeColor="accent5" w:themeTint="9A" w:sz="32" w:space="0"/>
      </w:tblBorders>
      <w:shd w:val="clear" w:color="A9DDF0" w:themeColor="accent5" w:themeTint="9A" w:fill="A9DDF0" w:themeFill="accent5" w:themeFillTint="9A"/>
    </w:tblPr>
    <w:tblStylePr w:type="firstRow">
      <w:rPr>
        <w:rFonts w:ascii="Arial" w:hAnsi="Arial"/>
        <w:b/>
        <w:color w:val="FFFFFF" w:themeColor="light1"/>
        <w:sz w:val="22"/>
      </w:rPr>
      <w:tblPr/>
      <w:tcPr>
        <w:tcBorders>
          <w:top w:val="single" w:color="A9DDF0" w:themeColor="accent5" w:themeTint="9A" w:sz="32" w:space="0"/>
          <w:bottom w:val="single" w:color="FFFFFF" w:themeColor="light1" w:sz="12" w:space="0"/>
        </w:tcBorders>
        <w:shd w:val="clear" w:color="A9DDF0" w:themeColor="accent5" w:themeTint="9A" w:fill="A9DDF0"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A9DDF0" w:themeColor="accent5" w:themeTint="9A" w:sz="32" w:space="0"/>
          <w:right w:val="single" w:color="FFFFFF" w:themeColor="light1" w:sz="4" w:space="0"/>
        </w:tcBorders>
      </w:tcPr>
    </w:tblStylePr>
    <w:tblStylePr w:type="lastCol">
      <w:tblPr/>
      <w:tcPr>
        <w:tcBorders>
          <w:left w:val="single" w:color="FFFFFF" w:themeColor="light1" w:sz="4" w:space="0"/>
          <w:right w:val="single" w:color="A9DDF0" w:themeColor="accent5" w:themeTint="9A" w:sz="32" w:space="0"/>
        </w:tcBorders>
      </w:tcPr>
    </w:tblStylePr>
    <w:tblStylePr w:type="band1Vert">
      <w:tblPr/>
      <w:tcPr>
        <w:tcBorders>
          <w:left w:val="single" w:color="FFFFFF" w:themeColor="light1" w:sz="4" w:space="0"/>
          <w:right w:val="single" w:color="FFFFFF" w:themeColor="light1" w:sz="4" w:space="0"/>
        </w:tcBorders>
        <w:shd w:val="clear" w:color="A9DDF0" w:themeColor="accent5" w:themeTint="9A" w:fill="A9DDF0" w:themeFill="accent5" w:themeFillTint="9A"/>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A9DDF0" w:themeColor="accent5" w:themeTint="9A" w:fill="A9DDF0" w:themeFill="accent5" w:themeFillTint="9A"/>
      </w:tcPr>
    </w:tblStylePr>
    <w:tblStylePr w:type="band2Horz">
      <w:tblPr/>
      <w:tcPr>
        <w:tcBorders>
          <w:top w:val="single" w:color="FFFFFF" w:themeColor="light1" w:sz="4" w:space="0"/>
          <w:bottom w:val="single" w:color="FFFFFF" w:themeColor="light1" w:sz="4" w:space="0"/>
        </w:tcBorders>
        <w:shd w:val="clear" w:color="A9DDF0" w:themeColor="accent5" w:themeTint="9A" w:fill="A9DDF0" w:themeFill="accent5" w:themeFillTint="9A"/>
      </w:tcPr>
    </w:tblStylePr>
  </w:style>
  <w:style w:type="table" w:styleId="ListTable5Dark-Accent6" w:customStyle="1">
    <w:name w:val="List Table 5 Dark Accent 6"/>
    <w:basedOn w:val="TableauNormal"/>
    <w:uiPriority w:val="99"/>
    <w:tblPr>
      <w:tblStyleRowBandSize w:val="1"/>
      <w:tblStyleColBandSize w:val="1"/>
      <w:tblBorders>
        <w:top w:val="single" w:color="EDFC56" w:themeColor="accent6" w:themeTint="98" w:sz="32" w:space="0"/>
        <w:left w:val="single" w:color="EDFC56" w:themeColor="accent6" w:themeTint="98" w:sz="32" w:space="0"/>
        <w:bottom w:val="single" w:color="EDFC56" w:themeColor="accent6" w:themeTint="98" w:sz="32" w:space="0"/>
        <w:right w:val="single" w:color="EDFC56" w:themeColor="accent6" w:themeTint="98" w:sz="32" w:space="0"/>
      </w:tblBorders>
      <w:shd w:val="clear" w:color="EDFC56" w:themeColor="accent6" w:themeTint="98" w:fill="EDFC56" w:themeFill="accent6" w:themeFillTint="98"/>
    </w:tblPr>
    <w:tblStylePr w:type="firstRow">
      <w:rPr>
        <w:rFonts w:ascii="Arial" w:hAnsi="Arial"/>
        <w:b/>
        <w:color w:val="FFFFFF" w:themeColor="light1"/>
        <w:sz w:val="22"/>
      </w:rPr>
      <w:tblPr/>
      <w:tcPr>
        <w:tcBorders>
          <w:top w:val="single" w:color="EDFC56" w:themeColor="accent6" w:themeTint="98" w:sz="32" w:space="0"/>
          <w:bottom w:val="single" w:color="FFFFFF" w:themeColor="light1" w:sz="12" w:space="0"/>
        </w:tcBorders>
        <w:shd w:val="clear" w:color="EDFC56" w:themeColor="accent6" w:themeTint="98" w:fill="EDFC56"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color="EDFC56" w:themeColor="accent6" w:themeTint="98" w:sz="32" w:space="0"/>
          <w:right w:val="single" w:color="FFFFFF" w:themeColor="light1" w:sz="4" w:space="0"/>
        </w:tcBorders>
      </w:tcPr>
    </w:tblStylePr>
    <w:tblStylePr w:type="lastCol">
      <w:tblPr/>
      <w:tcPr>
        <w:tcBorders>
          <w:left w:val="single" w:color="FFFFFF" w:themeColor="light1" w:sz="4" w:space="0"/>
          <w:right w:val="single" w:color="EDFC56" w:themeColor="accent6" w:themeTint="98" w:sz="32" w:space="0"/>
        </w:tcBorders>
      </w:tcPr>
    </w:tblStylePr>
    <w:tblStylePr w:type="band1Vert">
      <w:tblPr/>
      <w:tcPr>
        <w:tcBorders>
          <w:left w:val="single" w:color="FFFFFF" w:themeColor="light1" w:sz="4" w:space="0"/>
          <w:right w:val="single" w:color="FFFFFF" w:themeColor="light1" w:sz="4" w:space="0"/>
        </w:tcBorders>
        <w:shd w:val="clear" w:color="EDFC56" w:themeColor="accent6" w:themeTint="98" w:fill="EDFC56" w:themeFill="accent6" w:themeFillTint="98"/>
      </w:tcPr>
    </w:tblStylePr>
    <w:tblStylePr w:type="band2Vert">
      <w:tblPr/>
      <w:tcPr>
        <w:tcBorders>
          <w:left w:val="single" w:color="FFFFFF" w:themeColor="light1" w:sz="4" w:space="0"/>
          <w:right w:val="single" w:color="FFFFFF" w:themeColor="light1" w:sz="4" w:space="0"/>
        </w:tcBorders>
      </w:tcPr>
    </w:tblStylePr>
    <w:tblStylePr w:type="band1Horz">
      <w:tblPr/>
      <w:tcPr>
        <w:tcBorders>
          <w:top w:val="single" w:color="FFFFFF" w:themeColor="light1" w:sz="4" w:space="0"/>
          <w:bottom w:val="single" w:color="FFFFFF" w:themeColor="light1" w:sz="4" w:space="0"/>
        </w:tcBorders>
        <w:shd w:val="clear" w:color="EDFC56" w:themeColor="accent6" w:themeTint="98" w:fill="EDFC56" w:themeFill="accent6" w:themeFillTint="98"/>
      </w:tcPr>
    </w:tblStylePr>
    <w:tblStylePr w:type="band2Horz">
      <w:tblPr/>
      <w:tcPr>
        <w:tcBorders>
          <w:top w:val="single" w:color="FFFFFF" w:themeColor="light1" w:sz="4" w:space="0"/>
          <w:bottom w:val="single" w:color="FFFFFF" w:themeColor="light1" w:sz="4" w:space="0"/>
        </w:tcBorders>
        <w:shd w:val="clear" w:color="EDFC56" w:themeColor="accent6" w:themeTint="98" w:fill="EDFC56" w:themeFill="accent6" w:themeFillTint="98"/>
      </w:tcPr>
    </w:tblStylePr>
  </w:style>
  <w:style w:type="table" w:styleId="TableauListe6Couleur">
    <w:name w:val="List Table 6 Colorful"/>
    <w:basedOn w:val="TableauNormal"/>
    <w:uiPriority w:val="99"/>
    <w:tblPr>
      <w:tblStyleRowBandSize w:val="1"/>
      <w:tblStyleColBandSize w:val="1"/>
      <w:tblBorders>
        <w:top w:val="single" w:color="7F7F7F" w:themeColor="text1" w:themeTint="80" w:sz="4" w:space="0"/>
        <w:bottom w:val="single" w:color="7F7F7F" w:themeColor="text1" w:themeTint="80" w:sz="4" w:space="0"/>
      </w:tblBorders>
    </w:tblPr>
    <w:tblStylePr w:type="firstRow">
      <w:rPr>
        <w:b/>
        <w:color w:val="000000" w:themeColor="text1"/>
      </w:rPr>
      <w:tblPr/>
      <w:tcPr>
        <w:tcBorders>
          <w:bottom w:val="single" w:color="7F7F7F" w:themeColor="text1" w:themeTint="80" w:sz="4" w:space="0"/>
        </w:tcBorders>
      </w:tcPr>
    </w:tblStylePr>
    <w:tblStylePr w:type="lastRow">
      <w:rPr>
        <w:b/>
        <w:color w:val="000000" w:themeColor="text1"/>
      </w:rPr>
      <w:tblPr/>
      <w:tcPr>
        <w:tcBorders>
          <w:top w:val="single" w:color="7F7F7F" w:themeColor="text1" w:themeTint="80" w:sz="4" w:space="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customStyle="1">
    <w:name w:val="List Table 6 Colorful Accent 1"/>
    <w:basedOn w:val="TableauNormal"/>
    <w:uiPriority w:val="99"/>
    <w:tblPr>
      <w:tblStyleRowBandSize w:val="1"/>
      <w:tblStyleColBandSize w:val="1"/>
      <w:tblBorders>
        <w:top w:val="single" w:color="002776" w:themeColor="accent1" w:sz="4" w:space="0"/>
        <w:bottom w:val="single" w:color="002776" w:themeColor="accent1" w:sz="4" w:space="0"/>
      </w:tblBorders>
    </w:tblPr>
    <w:tblStylePr w:type="firstRow">
      <w:rPr>
        <w:b/>
        <w:color w:val="001644" w:themeColor="accent1" w:themeShade="95"/>
      </w:rPr>
      <w:tblPr/>
      <w:tcPr>
        <w:tcBorders>
          <w:bottom w:val="single" w:color="002776" w:themeColor="accent1" w:sz="4" w:space="0"/>
        </w:tcBorders>
      </w:tcPr>
    </w:tblStylePr>
    <w:tblStylePr w:type="lastRow">
      <w:rPr>
        <w:b/>
        <w:color w:val="001644" w:themeColor="accent1" w:themeShade="95"/>
      </w:rPr>
      <w:tblPr/>
      <w:tcPr>
        <w:tcBorders>
          <w:top w:val="single" w:color="002776" w:themeColor="accent1" w:sz="4" w:space="0"/>
        </w:tcBorders>
      </w:tcPr>
    </w:tblStylePr>
    <w:tblStylePr w:type="firstCol">
      <w:rPr>
        <w:b/>
        <w:color w:val="001644" w:themeColor="accent1" w:themeShade="95"/>
      </w:rPr>
    </w:tblStylePr>
    <w:tblStylePr w:type="lastCol">
      <w:rPr>
        <w:b/>
        <w:color w:val="001644" w:themeColor="accent1" w:themeShade="95"/>
      </w:rPr>
    </w:tblStylePr>
    <w:tblStylePr w:type="band1Vert">
      <w:tblPr/>
      <w:tcPr>
        <w:shd w:val="clear" w:color="9CBCFF" w:themeColor="accent1" w:themeTint="40" w:fill="9CBCFF" w:themeFill="accent1" w:themeFillTint="40"/>
      </w:tcPr>
    </w:tblStylePr>
    <w:tblStylePr w:type="band1Horz">
      <w:rPr>
        <w:rFonts w:ascii="Arial" w:hAnsi="Arial"/>
        <w:color w:val="001644" w:themeColor="accent1" w:themeShade="95"/>
        <w:sz w:val="22"/>
      </w:rPr>
      <w:tblPr/>
      <w:tcPr>
        <w:shd w:val="clear" w:color="9CBCFF" w:themeColor="accent1" w:themeTint="40" w:fill="9CBCFF" w:themeFill="accent1" w:themeFillTint="40"/>
      </w:tcPr>
    </w:tblStylePr>
    <w:tblStylePr w:type="band2Horz">
      <w:rPr>
        <w:rFonts w:ascii="Arial" w:hAnsi="Arial"/>
        <w:color w:val="001644" w:themeColor="accent1" w:themeShade="95"/>
        <w:sz w:val="22"/>
      </w:rPr>
    </w:tblStylePr>
  </w:style>
  <w:style w:type="table" w:styleId="ListTable6Colorful-Accent2" w:customStyle="1">
    <w:name w:val="List Table 6 Colorful Accent 2"/>
    <w:basedOn w:val="TableauNormal"/>
    <w:uiPriority w:val="99"/>
    <w:tblPr>
      <w:tblStyleRowBandSize w:val="1"/>
      <w:tblStyleColBandSize w:val="1"/>
      <w:tblBorders>
        <w:top w:val="single" w:color="C7FF4E" w:themeColor="accent2" w:themeTint="97" w:sz="4" w:space="0"/>
        <w:bottom w:val="single" w:color="C7FF4E" w:themeColor="accent2" w:themeTint="97" w:sz="4" w:space="0"/>
      </w:tblBorders>
    </w:tblPr>
    <w:tblStylePr w:type="firstRow">
      <w:rPr>
        <w:b/>
        <w:color w:val="C7FF4E" w:themeColor="accent2" w:themeTint="97" w:themeShade="95"/>
      </w:rPr>
      <w:tblPr/>
      <w:tcPr>
        <w:tcBorders>
          <w:bottom w:val="single" w:color="C7FF4E" w:themeColor="accent2" w:themeTint="97" w:sz="4" w:space="0"/>
        </w:tcBorders>
      </w:tcPr>
    </w:tblStylePr>
    <w:tblStylePr w:type="lastRow">
      <w:rPr>
        <w:b/>
        <w:color w:val="C7FF4E" w:themeColor="accent2" w:themeTint="97" w:themeShade="95"/>
      </w:rPr>
      <w:tblPr/>
      <w:tcPr>
        <w:tcBorders>
          <w:top w:val="single" w:color="C7FF4E" w:themeColor="accent2" w:themeTint="97" w:sz="4" w:space="0"/>
        </w:tcBorders>
      </w:tcPr>
    </w:tblStylePr>
    <w:tblStylePr w:type="firstCol">
      <w:rPr>
        <w:b/>
        <w:color w:val="C7FF4E" w:themeColor="accent2" w:themeTint="97" w:themeShade="95"/>
      </w:rPr>
    </w:tblStylePr>
    <w:tblStylePr w:type="lastCol">
      <w:rPr>
        <w:b/>
        <w:color w:val="C7FF4E" w:themeColor="accent2" w:themeTint="97" w:themeShade="95"/>
      </w:rPr>
    </w:tblStylePr>
    <w:tblStylePr w:type="band1Vert">
      <w:tblPr/>
      <w:tcPr>
        <w:shd w:val="clear" w:color="E7FFB4" w:themeColor="accent2" w:themeTint="40" w:fill="E7FFB4" w:themeFill="accent2" w:themeFillTint="40"/>
      </w:tcPr>
    </w:tblStylePr>
    <w:tblStylePr w:type="band1Horz">
      <w:rPr>
        <w:rFonts w:ascii="Arial" w:hAnsi="Arial"/>
        <w:color w:val="C7FF4E" w:themeColor="accent2" w:themeTint="97" w:themeShade="95"/>
        <w:sz w:val="22"/>
      </w:rPr>
      <w:tblPr/>
      <w:tcPr>
        <w:shd w:val="clear" w:color="E7FFB4" w:themeColor="accent2" w:themeTint="40" w:fill="E7FFB4" w:themeFill="accent2" w:themeFillTint="40"/>
      </w:tcPr>
    </w:tblStylePr>
    <w:tblStylePr w:type="band2Horz">
      <w:rPr>
        <w:rFonts w:ascii="Arial" w:hAnsi="Arial"/>
        <w:color w:val="C7FF4E" w:themeColor="accent2" w:themeTint="97" w:themeShade="95"/>
        <w:sz w:val="22"/>
      </w:rPr>
    </w:tblStylePr>
  </w:style>
  <w:style w:type="table" w:styleId="ListTable6Colorful-Accent3" w:customStyle="1">
    <w:name w:val="List Table 6 Colorful Accent 3"/>
    <w:basedOn w:val="TableauNormal"/>
    <w:uiPriority w:val="99"/>
    <w:tblPr>
      <w:tblStyleRowBandSize w:val="1"/>
      <w:tblStyleColBandSize w:val="1"/>
      <w:tblBorders>
        <w:top w:val="single" w:color="53CFFF" w:themeColor="accent3" w:themeTint="98" w:sz="4" w:space="0"/>
        <w:bottom w:val="single" w:color="53CFFF" w:themeColor="accent3" w:themeTint="98" w:sz="4" w:space="0"/>
      </w:tblBorders>
    </w:tblPr>
    <w:tblStylePr w:type="firstRow">
      <w:rPr>
        <w:b/>
        <w:color w:val="53CFFF" w:themeColor="accent3" w:themeTint="98" w:themeShade="95"/>
      </w:rPr>
      <w:tblPr/>
      <w:tcPr>
        <w:tcBorders>
          <w:bottom w:val="single" w:color="53CFFF" w:themeColor="accent3" w:themeTint="98" w:sz="4" w:space="0"/>
        </w:tcBorders>
      </w:tcPr>
    </w:tblStylePr>
    <w:tblStylePr w:type="lastRow">
      <w:rPr>
        <w:b/>
        <w:color w:val="53CFFF" w:themeColor="accent3" w:themeTint="98" w:themeShade="95"/>
      </w:rPr>
      <w:tblPr/>
      <w:tcPr>
        <w:tcBorders>
          <w:top w:val="single" w:color="53CFFF" w:themeColor="accent3" w:themeTint="98" w:sz="4" w:space="0"/>
        </w:tcBorders>
      </w:tcPr>
    </w:tblStylePr>
    <w:tblStylePr w:type="firstCol">
      <w:rPr>
        <w:b/>
        <w:color w:val="53CFFF" w:themeColor="accent3" w:themeTint="98" w:themeShade="95"/>
      </w:rPr>
    </w:tblStylePr>
    <w:tblStylePr w:type="lastCol">
      <w:rPr>
        <w:b/>
        <w:color w:val="53CFFF" w:themeColor="accent3" w:themeTint="98" w:themeShade="95"/>
      </w:rPr>
    </w:tblStylePr>
    <w:tblStylePr w:type="band1Vert">
      <w:tblPr/>
      <w:tcPr>
        <w:shd w:val="clear" w:color="B6EAFF" w:themeColor="accent3" w:themeTint="40" w:fill="B6EAFF" w:themeFill="accent3" w:themeFillTint="40"/>
      </w:tcPr>
    </w:tblStylePr>
    <w:tblStylePr w:type="band1Horz">
      <w:rPr>
        <w:rFonts w:ascii="Arial" w:hAnsi="Arial"/>
        <w:color w:val="53CFFF" w:themeColor="accent3" w:themeTint="98" w:themeShade="95"/>
        <w:sz w:val="22"/>
      </w:rPr>
      <w:tblPr/>
      <w:tcPr>
        <w:shd w:val="clear" w:color="B6EAFF" w:themeColor="accent3" w:themeTint="40" w:fill="B6EAFF" w:themeFill="accent3" w:themeFillTint="40"/>
      </w:tcPr>
    </w:tblStylePr>
    <w:tblStylePr w:type="band2Horz">
      <w:rPr>
        <w:rFonts w:ascii="Arial" w:hAnsi="Arial"/>
        <w:color w:val="53CFFF" w:themeColor="accent3" w:themeTint="98" w:themeShade="95"/>
        <w:sz w:val="22"/>
      </w:rPr>
    </w:tblStylePr>
  </w:style>
  <w:style w:type="table" w:styleId="ListTable6Colorful-Accent4" w:customStyle="1">
    <w:name w:val="List Table 6 Colorful Accent 4"/>
    <w:basedOn w:val="TableauNormal"/>
    <w:uiPriority w:val="99"/>
    <w:tblPr>
      <w:tblStyleRowBandSize w:val="1"/>
      <w:tblStyleColBandSize w:val="1"/>
      <w:tblBorders>
        <w:top w:val="single" w:color="79CD6B" w:themeColor="accent4" w:themeTint="9A" w:sz="4" w:space="0"/>
        <w:bottom w:val="single" w:color="79CD6B" w:themeColor="accent4" w:themeTint="9A" w:sz="4" w:space="0"/>
      </w:tblBorders>
    </w:tblPr>
    <w:tblStylePr w:type="firstRow">
      <w:rPr>
        <w:b/>
        <w:color w:val="79CD6B" w:themeColor="accent4" w:themeTint="9A" w:themeShade="95"/>
      </w:rPr>
      <w:tblPr/>
      <w:tcPr>
        <w:tcBorders>
          <w:bottom w:val="single" w:color="79CD6B" w:themeColor="accent4" w:themeTint="9A" w:sz="4" w:space="0"/>
        </w:tcBorders>
      </w:tcPr>
    </w:tblStylePr>
    <w:tblStylePr w:type="lastRow">
      <w:rPr>
        <w:b/>
        <w:color w:val="79CD6B" w:themeColor="accent4" w:themeTint="9A" w:themeShade="95"/>
      </w:rPr>
      <w:tblPr/>
      <w:tcPr>
        <w:tcBorders>
          <w:top w:val="single" w:color="79CD6B" w:themeColor="accent4" w:themeTint="9A" w:sz="4" w:space="0"/>
        </w:tcBorders>
      </w:tcPr>
    </w:tblStylePr>
    <w:tblStylePr w:type="firstCol">
      <w:rPr>
        <w:b/>
        <w:color w:val="79CD6B" w:themeColor="accent4" w:themeTint="9A" w:themeShade="95"/>
      </w:rPr>
    </w:tblStylePr>
    <w:tblStylePr w:type="lastCol">
      <w:rPr>
        <w:b/>
        <w:color w:val="79CD6B" w:themeColor="accent4" w:themeTint="9A" w:themeShade="95"/>
      </w:rPr>
    </w:tblStylePr>
    <w:tblStylePr w:type="band1Vert">
      <w:tblPr/>
      <w:tcPr>
        <w:shd w:val="clear" w:color="C7EAC1" w:themeColor="accent4" w:themeTint="40" w:fill="C7EAC1" w:themeFill="accent4" w:themeFillTint="40"/>
      </w:tcPr>
    </w:tblStylePr>
    <w:tblStylePr w:type="band1Horz">
      <w:rPr>
        <w:rFonts w:ascii="Arial" w:hAnsi="Arial"/>
        <w:color w:val="79CD6B" w:themeColor="accent4" w:themeTint="9A" w:themeShade="95"/>
        <w:sz w:val="22"/>
      </w:rPr>
      <w:tblPr/>
      <w:tcPr>
        <w:shd w:val="clear" w:color="C7EAC1" w:themeColor="accent4" w:themeTint="40" w:fill="C7EAC1" w:themeFill="accent4" w:themeFillTint="40"/>
      </w:tcPr>
    </w:tblStylePr>
    <w:tblStylePr w:type="band2Horz">
      <w:rPr>
        <w:rFonts w:ascii="Arial" w:hAnsi="Arial"/>
        <w:color w:val="79CD6B" w:themeColor="accent4" w:themeTint="9A" w:themeShade="95"/>
        <w:sz w:val="22"/>
      </w:rPr>
    </w:tblStylePr>
  </w:style>
  <w:style w:type="table" w:styleId="ListTable6Colorful-Accent5" w:customStyle="1">
    <w:name w:val="List Table 6 Colorful Accent 5"/>
    <w:basedOn w:val="TableauNormal"/>
    <w:uiPriority w:val="99"/>
    <w:tblPr>
      <w:tblStyleRowBandSize w:val="1"/>
      <w:tblStyleColBandSize w:val="1"/>
      <w:tblBorders>
        <w:top w:val="single" w:color="A9DDF0" w:themeColor="accent5" w:themeTint="9A" w:sz="4" w:space="0"/>
        <w:bottom w:val="single" w:color="A9DDF0" w:themeColor="accent5" w:themeTint="9A" w:sz="4" w:space="0"/>
      </w:tblBorders>
    </w:tblPr>
    <w:tblStylePr w:type="firstRow">
      <w:rPr>
        <w:b/>
        <w:color w:val="A9DDF0" w:themeColor="accent5" w:themeTint="9A" w:themeShade="95"/>
      </w:rPr>
      <w:tblPr/>
      <w:tcPr>
        <w:tcBorders>
          <w:bottom w:val="single" w:color="A9DDF0" w:themeColor="accent5" w:themeTint="9A" w:sz="4" w:space="0"/>
        </w:tcBorders>
      </w:tcPr>
    </w:tblStylePr>
    <w:tblStylePr w:type="lastRow">
      <w:rPr>
        <w:b/>
        <w:color w:val="A9DDF0" w:themeColor="accent5" w:themeTint="9A" w:themeShade="95"/>
      </w:rPr>
      <w:tblPr/>
      <w:tcPr>
        <w:tcBorders>
          <w:top w:val="single" w:color="A9DDF0" w:themeColor="accent5" w:themeTint="9A" w:sz="4" w:space="0"/>
        </w:tcBorders>
      </w:tcPr>
    </w:tblStylePr>
    <w:tblStylePr w:type="firstCol">
      <w:rPr>
        <w:b/>
        <w:color w:val="A9DDF0" w:themeColor="accent5" w:themeTint="9A" w:themeShade="95"/>
      </w:rPr>
    </w:tblStylePr>
    <w:tblStylePr w:type="lastCol">
      <w:rPr>
        <w:b/>
        <w:color w:val="A9DDF0" w:themeColor="accent5" w:themeTint="9A" w:themeShade="95"/>
      </w:rPr>
    </w:tblStylePr>
    <w:tblStylePr w:type="band1Vert">
      <w:tblPr/>
      <w:tcPr>
        <w:shd w:val="clear" w:color="DBF0F9" w:themeColor="accent5" w:themeTint="40" w:fill="DBF0F9" w:themeFill="accent5" w:themeFillTint="40"/>
      </w:tcPr>
    </w:tblStylePr>
    <w:tblStylePr w:type="band1Horz">
      <w:rPr>
        <w:rFonts w:ascii="Arial" w:hAnsi="Arial"/>
        <w:color w:val="A9DDF0" w:themeColor="accent5" w:themeTint="9A" w:themeShade="95"/>
        <w:sz w:val="22"/>
      </w:rPr>
      <w:tblPr/>
      <w:tcPr>
        <w:shd w:val="clear" w:color="DBF0F9" w:themeColor="accent5" w:themeTint="40" w:fill="DBF0F9" w:themeFill="accent5" w:themeFillTint="40"/>
      </w:tcPr>
    </w:tblStylePr>
    <w:tblStylePr w:type="band2Horz">
      <w:rPr>
        <w:rFonts w:ascii="Arial" w:hAnsi="Arial"/>
        <w:color w:val="A9DDF0" w:themeColor="accent5" w:themeTint="9A" w:themeShade="95"/>
        <w:sz w:val="22"/>
      </w:rPr>
    </w:tblStylePr>
  </w:style>
  <w:style w:type="table" w:styleId="ListTable6Colorful-Accent6" w:customStyle="1">
    <w:name w:val="List Table 6 Colorful Accent 6"/>
    <w:basedOn w:val="TableauNormal"/>
    <w:uiPriority w:val="99"/>
    <w:tblPr>
      <w:tblStyleRowBandSize w:val="1"/>
      <w:tblStyleColBandSize w:val="1"/>
      <w:tblBorders>
        <w:top w:val="single" w:color="EDFC56" w:themeColor="accent6" w:themeTint="98" w:sz="4" w:space="0"/>
        <w:bottom w:val="single" w:color="EDFC56" w:themeColor="accent6" w:themeTint="98" w:sz="4" w:space="0"/>
      </w:tblBorders>
    </w:tblPr>
    <w:tblStylePr w:type="firstRow">
      <w:rPr>
        <w:b/>
        <w:color w:val="EDFC56" w:themeColor="accent6" w:themeTint="98" w:themeShade="95"/>
      </w:rPr>
      <w:tblPr/>
      <w:tcPr>
        <w:tcBorders>
          <w:bottom w:val="single" w:color="EDFC56" w:themeColor="accent6" w:themeTint="98" w:sz="4" w:space="0"/>
        </w:tcBorders>
      </w:tcPr>
    </w:tblStylePr>
    <w:tblStylePr w:type="lastRow">
      <w:rPr>
        <w:b/>
        <w:color w:val="EDFC56" w:themeColor="accent6" w:themeTint="98" w:themeShade="95"/>
      </w:rPr>
      <w:tblPr/>
      <w:tcPr>
        <w:tcBorders>
          <w:top w:val="single" w:color="EDFC56" w:themeColor="accent6" w:themeTint="98" w:sz="4" w:space="0"/>
        </w:tcBorders>
      </w:tcPr>
    </w:tblStylePr>
    <w:tblStylePr w:type="firstCol">
      <w:rPr>
        <w:b/>
        <w:color w:val="EDFC56" w:themeColor="accent6" w:themeTint="98" w:themeShade="95"/>
      </w:rPr>
    </w:tblStylePr>
    <w:tblStylePr w:type="lastCol">
      <w:rPr>
        <w:b/>
        <w:color w:val="EDFC56" w:themeColor="accent6" w:themeTint="98" w:themeShade="95"/>
      </w:rPr>
    </w:tblStylePr>
    <w:tblStylePr w:type="band1Vert">
      <w:tblPr/>
      <w:tcPr>
        <w:shd w:val="clear" w:color="F7FEB7" w:themeColor="accent6" w:themeTint="40" w:fill="F7FEB7" w:themeFill="accent6" w:themeFillTint="40"/>
      </w:tcPr>
    </w:tblStylePr>
    <w:tblStylePr w:type="band1Horz">
      <w:rPr>
        <w:rFonts w:ascii="Arial" w:hAnsi="Arial"/>
        <w:color w:val="EDFC56" w:themeColor="accent6" w:themeTint="98" w:themeShade="95"/>
        <w:sz w:val="22"/>
      </w:rPr>
      <w:tblPr/>
      <w:tcPr>
        <w:shd w:val="clear" w:color="F7FEB7" w:themeColor="accent6" w:themeTint="40" w:fill="F7FEB7" w:themeFill="accent6" w:themeFillTint="40"/>
      </w:tcPr>
    </w:tblStylePr>
    <w:tblStylePr w:type="band2Horz">
      <w:rPr>
        <w:rFonts w:ascii="Arial" w:hAnsi="Arial"/>
        <w:color w:val="EDFC56"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color="7F7F7F" w:themeColor="text1" w:themeTint="80" w:sz="4" w:space="0"/>
      </w:tblBorders>
    </w:tblPr>
    <w:tblStylePr w:type="firstRow">
      <w:rPr>
        <w:rFonts w:ascii="Arial" w:hAnsi="Arial"/>
        <w:i/>
        <w:color w:val="7F7F7F" w:themeColor="text1" w:themeTint="80" w:themeShade="95"/>
        <w:sz w:val="22"/>
      </w:rPr>
      <w:tblPr/>
      <w:tcPr>
        <w:tcBorders>
          <w:top w:val="none" w:color="000000" w:sz="4" w:space="0"/>
          <w:left w:val="none" w:color="000000" w:sz="4" w:space="0"/>
          <w:bottom w:val="single" w:color="7F7F7F" w:themeColor="text1" w:themeTint="80" w:sz="4" w:space="0"/>
          <w:right w:val="none" w:color="000000" w:sz="4" w:space="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color="7F7F7F" w:themeColor="text1" w:themeTint="80"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color="000000" w:sz="4" w:space="0"/>
          <w:left w:val="none" w:color="000000" w:sz="4" w:space="0"/>
          <w:bottom w:val="none" w:color="000000" w:sz="4" w:space="0"/>
          <w:right w:val="single" w:color="7F7F7F" w:themeColor="text1" w:themeTint="80" w:sz="4" w:space="0"/>
        </w:tcBorders>
        <w:shd w:val="clear" w:color="FFFFFF" w:fill="auto"/>
      </w:tcPr>
    </w:tblStylePr>
    <w:tblStylePr w:type="lastCol">
      <w:rPr>
        <w:rFonts w:ascii="Arial" w:hAnsi="Arial"/>
        <w:i/>
        <w:color w:val="7F7F7F" w:themeColor="text1" w:themeTint="80" w:themeShade="95"/>
        <w:sz w:val="22"/>
      </w:rPr>
      <w:tblPr/>
      <w:tcPr>
        <w:tcBorders>
          <w:top w:val="none" w:color="000000" w:sz="4" w:space="0"/>
          <w:left w:val="single" w:color="7F7F7F" w:themeColor="text1" w:themeTint="80" w:sz="4" w:space="0"/>
          <w:bottom w:val="none" w:color="000000" w:sz="4" w:space="0"/>
          <w:right w:val="none" w:color="000000" w:sz="4" w:space="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customStyle="1">
    <w:name w:val="List Table 7 Colorful Accent 1"/>
    <w:basedOn w:val="TableauNormal"/>
    <w:uiPriority w:val="99"/>
    <w:tblPr>
      <w:tblStyleRowBandSize w:val="1"/>
      <w:tblStyleColBandSize w:val="1"/>
      <w:tblBorders>
        <w:right w:val="single" w:color="002776" w:themeColor="accent1" w:sz="4" w:space="0"/>
      </w:tblBorders>
    </w:tblPr>
    <w:tblStylePr w:type="firstRow">
      <w:rPr>
        <w:rFonts w:ascii="Arial" w:hAnsi="Arial"/>
        <w:i/>
        <w:color w:val="001644" w:themeColor="accent1" w:themeShade="95"/>
        <w:sz w:val="22"/>
      </w:rPr>
      <w:tblPr/>
      <w:tcPr>
        <w:tcBorders>
          <w:top w:val="none" w:color="000000" w:sz="4" w:space="0"/>
          <w:left w:val="none" w:color="000000" w:sz="4" w:space="0"/>
          <w:bottom w:val="single" w:color="002776" w:themeColor="accent1" w:sz="4" w:space="0"/>
          <w:right w:val="none" w:color="000000" w:sz="4" w:space="0"/>
        </w:tcBorders>
        <w:shd w:val="clear" w:color="FFFFFF" w:themeColor="light1" w:fill="FFFFFF" w:themeFill="light1"/>
      </w:tcPr>
    </w:tblStylePr>
    <w:tblStylePr w:type="lastRow">
      <w:rPr>
        <w:rFonts w:ascii="Arial" w:hAnsi="Arial"/>
        <w:i/>
        <w:color w:val="001644" w:themeColor="accent1" w:themeShade="95"/>
        <w:sz w:val="22"/>
      </w:rPr>
      <w:tblPr/>
      <w:tcPr>
        <w:tcBorders>
          <w:top w:val="single" w:color="002776" w:themeColor="accent1"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001644" w:themeColor="accent1" w:themeShade="95"/>
        <w:sz w:val="22"/>
      </w:rPr>
      <w:tblPr/>
      <w:tcPr>
        <w:tcBorders>
          <w:top w:val="none" w:color="000000" w:sz="4" w:space="0"/>
          <w:left w:val="none" w:color="000000" w:sz="4" w:space="0"/>
          <w:bottom w:val="none" w:color="000000" w:sz="4" w:space="0"/>
          <w:right w:val="single" w:color="002776" w:themeColor="accent1" w:sz="4" w:space="0"/>
        </w:tcBorders>
        <w:shd w:val="clear" w:color="FFFFFF" w:fill="auto"/>
      </w:tcPr>
    </w:tblStylePr>
    <w:tblStylePr w:type="lastCol">
      <w:rPr>
        <w:rFonts w:ascii="Arial" w:hAnsi="Arial"/>
        <w:i/>
        <w:color w:val="001644" w:themeColor="accent1" w:themeShade="95"/>
        <w:sz w:val="22"/>
      </w:rPr>
      <w:tblPr/>
      <w:tcPr>
        <w:tcBorders>
          <w:top w:val="none" w:color="000000" w:sz="4" w:space="0"/>
          <w:left w:val="single" w:color="002776" w:themeColor="accent1" w:sz="4" w:space="0"/>
          <w:bottom w:val="none" w:color="000000" w:sz="4" w:space="0"/>
          <w:right w:val="none" w:color="000000" w:sz="4" w:space="0"/>
        </w:tcBorders>
        <w:shd w:val="clear" w:color="FFFFFF" w:fill="auto"/>
      </w:tcPr>
    </w:tblStylePr>
    <w:tblStylePr w:type="band1Vert">
      <w:tblPr/>
      <w:tcPr>
        <w:shd w:val="clear" w:color="9CBCFF" w:themeColor="accent1" w:themeTint="40" w:fill="9CBCFF" w:themeFill="accent1" w:themeFillTint="40"/>
      </w:tcPr>
    </w:tblStylePr>
    <w:tblStylePr w:type="band1Horz">
      <w:rPr>
        <w:rFonts w:ascii="Arial" w:hAnsi="Arial"/>
        <w:color w:val="001644" w:themeColor="accent1" w:themeShade="95"/>
        <w:sz w:val="22"/>
      </w:rPr>
      <w:tblPr/>
      <w:tcPr>
        <w:shd w:val="clear" w:color="9CBCFF" w:themeColor="accent1" w:themeTint="40" w:fill="9CBCFF" w:themeFill="accent1" w:themeFillTint="40"/>
      </w:tcPr>
    </w:tblStylePr>
    <w:tblStylePr w:type="band2Horz">
      <w:rPr>
        <w:rFonts w:ascii="Arial" w:hAnsi="Arial"/>
        <w:color w:val="001644" w:themeColor="accent1" w:themeShade="95"/>
        <w:sz w:val="22"/>
      </w:rPr>
    </w:tblStylePr>
  </w:style>
  <w:style w:type="table" w:styleId="ListTable7Colorful-Accent2" w:customStyle="1">
    <w:name w:val="List Table 7 Colorful Accent 2"/>
    <w:basedOn w:val="TableauNormal"/>
    <w:uiPriority w:val="99"/>
    <w:tblPr>
      <w:tblStyleRowBandSize w:val="1"/>
      <w:tblStyleColBandSize w:val="1"/>
      <w:tblBorders>
        <w:right w:val="single" w:color="C7FF4E" w:themeColor="accent2" w:themeTint="97" w:sz="4" w:space="0"/>
      </w:tblBorders>
    </w:tblPr>
    <w:tblStylePr w:type="firstRow">
      <w:rPr>
        <w:rFonts w:ascii="Arial" w:hAnsi="Arial"/>
        <w:i/>
        <w:color w:val="C7FF4E" w:themeColor="accent2" w:themeTint="97" w:themeShade="95"/>
        <w:sz w:val="22"/>
      </w:rPr>
      <w:tblPr/>
      <w:tcPr>
        <w:tcBorders>
          <w:top w:val="none" w:color="000000" w:sz="4" w:space="0"/>
          <w:left w:val="none" w:color="000000" w:sz="4" w:space="0"/>
          <w:bottom w:val="single" w:color="C7FF4E" w:themeColor="accent2" w:themeTint="97" w:sz="4" w:space="0"/>
          <w:right w:val="none" w:color="000000" w:sz="4" w:space="0"/>
        </w:tcBorders>
        <w:shd w:val="clear" w:color="FFFFFF" w:themeColor="light1" w:fill="FFFFFF" w:themeFill="light1"/>
      </w:tcPr>
    </w:tblStylePr>
    <w:tblStylePr w:type="lastRow">
      <w:rPr>
        <w:rFonts w:ascii="Arial" w:hAnsi="Arial"/>
        <w:i/>
        <w:color w:val="C7FF4E" w:themeColor="accent2" w:themeTint="97" w:themeShade="95"/>
        <w:sz w:val="22"/>
      </w:rPr>
      <w:tblPr/>
      <w:tcPr>
        <w:tcBorders>
          <w:top w:val="single" w:color="C7FF4E" w:themeColor="accent2" w:themeTint="97"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C7FF4E" w:themeColor="accent2" w:themeTint="97" w:themeShade="95"/>
        <w:sz w:val="22"/>
      </w:rPr>
      <w:tblPr/>
      <w:tcPr>
        <w:tcBorders>
          <w:top w:val="none" w:color="000000" w:sz="4" w:space="0"/>
          <w:left w:val="none" w:color="000000" w:sz="4" w:space="0"/>
          <w:bottom w:val="none" w:color="000000" w:sz="4" w:space="0"/>
          <w:right w:val="single" w:color="C7FF4E" w:themeColor="accent2" w:themeTint="97" w:sz="4" w:space="0"/>
        </w:tcBorders>
        <w:shd w:val="clear" w:color="FFFFFF" w:fill="auto"/>
      </w:tcPr>
    </w:tblStylePr>
    <w:tblStylePr w:type="lastCol">
      <w:rPr>
        <w:rFonts w:ascii="Arial" w:hAnsi="Arial"/>
        <w:i/>
        <w:color w:val="C7FF4E" w:themeColor="accent2" w:themeTint="97" w:themeShade="95"/>
        <w:sz w:val="22"/>
      </w:rPr>
      <w:tblPr/>
      <w:tcPr>
        <w:tcBorders>
          <w:top w:val="none" w:color="000000" w:sz="4" w:space="0"/>
          <w:left w:val="single" w:color="C7FF4E" w:themeColor="accent2" w:themeTint="97" w:sz="4" w:space="0"/>
          <w:bottom w:val="none" w:color="000000" w:sz="4" w:space="0"/>
          <w:right w:val="none" w:color="000000" w:sz="4" w:space="0"/>
        </w:tcBorders>
        <w:shd w:val="clear" w:color="FFFFFF" w:fill="auto"/>
      </w:tcPr>
    </w:tblStylePr>
    <w:tblStylePr w:type="band1Vert">
      <w:tblPr/>
      <w:tcPr>
        <w:shd w:val="clear" w:color="E7FFB4" w:themeColor="accent2" w:themeTint="40" w:fill="E7FFB4" w:themeFill="accent2" w:themeFillTint="40"/>
      </w:tcPr>
    </w:tblStylePr>
    <w:tblStylePr w:type="band1Horz">
      <w:rPr>
        <w:rFonts w:ascii="Arial" w:hAnsi="Arial"/>
        <w:color w:val="C7FF4E" w:themeColor="accent2" w:themeTint="97" w:themeShade="95"/>
        <w:sz w:val="22"/>
      </w:rPr>
      <w:tblPr/>
      <w:tcPr>
        <w:shd w:val="clear" w:color="E7FFB4" w:themeColor="accent2" w:themeTint="40" w:fill="E7FFB4" w:themeFill="accent2" w:themeFillTint="40"/>
      </w:tcPr>
    </w:tblStylePr>
    <w:tblStylePr w:type="band2Horz">
      <w:rPr>
        <w:rFonts w:ascii="Arial" w:hAnsi="Arial"/>
        <w:color w:val="C7FF4E" w:themeColor="accent2" w:themeTint="97" w:themeShade="95"/>
        <w:sz w:val="22"/>
      </w:rPr>
    </w:tblStylePr>
  </w:style>
  <w:style w:type="table" w:styleId="ListTable7Colorful-Accent3" w:customStyle="1">
    <w:name w:val="List Table 7 Colorful Accent 3"/>
    <w:basedOn w:val="TableauNormal"/>
    <w:uiPriority w:val="99"/>
    <w:tblPr>
      <w:tblStyleRowBandSize w:val="1"/>
      <w:tblStyleColBandSize w:val="1"/>
      <w:tblBorders>
        <w:right w:val="single" w:color="53CFFF" w:themeColor="accent3" w:themeTint="98" w:sz="4" w:space="0"/>
      </w:tblBorders>
    </w:tblPr>
    <w:tblStylePr w:type="firstRow">
      <w:rPr>
        <w:rFonts w:ascii="Arial" w:hAnsi="Arial"/>
        <w:i/>
        <w:color w:val="53CFFF" w:themeColor="accent3" w:themeTint="98" w:themeShade="95"/>
        <w:sz w:val="22"/>
      </w:rPr>
      <w:tblPr/>
      <w:tcPr>
        <w:tcBorders>
          <w:top w:val="none" w:color="000000" w:sz="4" w:space="0"/>
          <w:left w:val="none" w:color="000000" w:sz="4" w:space="0"/>
          <w:bottom w:val="single" w:color="53CFFF" w:themeColor="accent3" w:themeTint="98" w:sz="4" w:space="0"/>
          <w:right w:val="none" w:color="000000" w:sz="4" w:space="0"/>
        </w:tcBorders>
        <w:shd w:val="clear" w:color="FFFFFF" w:themeColor="light1" w:fill="FFFFFF" w:themeFill="light1"/>
      </w:tcPr>
    </w:tblStylePr>
    <w:tblStylePr w:type="lastRow">
      <w:rPr>
        <w:rFonts w:ascii="Arial" w:hAnsi="Arial"/>
        <w:i/>
        <w:color w:val="53CFFF" w:themeColor="accent3" w:themeTint="98" w:themeShade="95"/>
        <w:sz w:val="22"/>
      </w:rPr>
      <w:tblPr/>
      <w:tcPr>
        <w:tcBorders>
          <w:top w:val="single" w:color="53CFFF" w:themeColor="accent3" w:themeTint="98"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53CFFF" w:themeColor="accent3" w:themeTint="98" w:themeShade="95"/>
        <w:sz w:val="22"/>
      </w:rPr>
      <w:tblPr/>
      <w:tcPr>
        <w:tcBorders>
          <w:top w:val="none" w:color="000000" w:sz="4" w:space="0"/>
          <w:left w:val="none" w:color="000000" w:sz="4" w:space="0"/>
          <w:bottom w:val="none" w:color="000000" w:sz="4" w:space="0"/>
          <w:right w:val="single" w:color="53CFFF" w:themeColor="accent3" w:themeTint="98" w:sz="4" w:space="0"/>
        </w:tcBorders>
        <w:shd w:val="clear" w:color="FFFFFF" w:fill="auto"/>
      </w:tcPr>
    </w:tblStylePr>
    <w:tblStylePr w:type="lastCol">
      <w:rPr>
        <w:rFonts w:ascii="Arial" w:hAnsi="Arial"/>
        <w:i/>
        <w:color w:val="53CFFF" w:themeColor="accent3" w:themeTint="98" w:themeShade="95"/>
        <w:sz w:val="22"/>
      </w:rPr>
      <w:tblPr/>
      <w:tcPr>
        <w:tcBorders>
          <w:top w:val="none" w:color="000000" w:sz="4" w:space="0"/>
          <w:left w:val="single" w:color="53CFFF" w:themeColor="accent3" w:themeTint="98" w:sz="4" w:space="0"/>
          <w:bottom w:val="none" w:color="000000" w:sz="4" w:space="0"/>
          <w:right w:val="none" w:color="000000" w:sz="4" w:space="0"/>
        </w:tcBorders>
        <w:shd w:val="clear" w:color="FFFFFF" w:fill="auto"/>
      </w:tcPr>
    </w:tblStylePr>
    <w:tblStylePr w:type="band1Vert">
      <w:tblPr/>
      <w:tcPr>
        <w:shd w:val="clear" w:color="B6EAFF" w:themeColor="accent3" w:themeTint="40" w:fill="B6EAFF" w:themeFill="accent3" w:themeFillTint="40"/>
      </w:tcPr>
    </w:tblStylePr>
    <w:tblStylePr w:type="band1Horz">
      <w:rPr>
        <w:rFonts w:ascii="Arial" w:hAnsi="Arial"/>
        <w:color w:val="53CFFF" w:themeColor="accent3" w:themeTint="98" w:themeShade="95"/>
        <w:sz w:val="22"/>
      </w:rPr>
      <w:tblPr/>
      <w:tcPr>
        <w:shd w:val="clear" w:color="B6EAFF" w:themeColor="accent3" w:themeTint="40" w:fill="B6EAFF" w:themeFill="accent3" w:themeFillTint="40"/>
      </w:tcPr>
    </w:tblStylePr>
    <w:tblStylePr w:type="band2Horz">
      <w:rPr>
        <w:rFonts w:ascii="Arial" w:hAnsi="Arial"/>
        <w:color w:val="53CFFF" w:themeColor="accent3" w:themeTint="98" w:themeShade="95"/>
        <w:sz w:val="22"/>
      </w:rPr>
    </w:tblStylePr>
  </w:style>
  <w:style w:type="table" w:styleId="ListTable7Colorful-Accent4" w:customStyle="1">
    <w:name w:val="List Table 7 Colorful Accent 4"/>
    <w:basedOn w:val="TableauNormal"/>
    <w:uiPriority w:val="99"/>
    <w:tblPr>
      <w:tblStyleRowBandSize w:val="1"/>
      <w:tblStyleColBandSize w:val="1"/>
      <w:tblBorders>
        <w:right w:val="single" w:color="79CD6B" w:themeColor="accent4" w:themeTint="9A" w:sz="4" w:space="0"/>
      </w:tblBorders>
    </w:tblPr>
    <w:tblStylePr w:type="firstRow">
      <w:rPr>
        <w:rFonts w:ascii="Arial" w:hAnsi="Arial"/>
        <w:i/>
        <w:color w:val="79CD6B" w:themeColor="accent4" w:themeTint="9A" w:themeShade="95"/>
        <w:sz w:val="22"/>
      </w:rPr>
      <w:tblPr/>
      <w:tcPr>
        <w:tcBorders>
          <w:top w:val="none" w:color="000000" w:sz="4" w:space="0"/>
          <w:left w:val="none" w:color="000000" w:sz="4" w:space="0"/>
          <w:bottom w:val="single" w:color="79CD6B" w:themeColor="accent4" w:themeTint="9A" w:sz="4" w:space="0"/>
          <w:right w:val="none" w:color="000000" w:sz="4" w:space="0"/>
        </w:tcBorders>
        <w:shd w:val="clear" w:color="FFFFFF" w:themeColor="light1" w:fill="FFFFFF" w:themeFill="light1"/>
      </w:tcPr>
    </w:tblStylePr>
    <w:tblStylePr w:type="lastRow">
      <w:rPr>
        <w:rFonts w:ascii="Arial" w:hAnsi="Arial"/>
        <w:i/>
        <w:color w:val="79CD6B" w:themeColor="accent4" w:themeTint="9A" w:themeShade="95"/>
        <w:sz w:val="22"/>
      </w:rPr>
      <w:tblPr/>
      <w:tcPr>
        <w:tcBorders>
          <w:top w:val="single" w:color="79CD6B" w:themeColor="accent4" w:themeTint="9A"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79CD6B" w:themeColor="accent4" w:themeTint="9A" w:themeShade="95"/>
        <w:sz w:val="22"/>
      </w:rPr>
      <w:tblPr/>
      <w:tcPr>
        <w:tcBorders>
          <w:top w:val="none" w:color="000000" w:sz="4" w:space="0"/>
          <w:left w:val="none" w:color="000000" w:sz="4" w:space="0"/>
          <w:bottom w:val="none" w:color="000000" w:sz="4" w:space="0"/>
          <w:right w:val="single" w:color="79CD6B" w:themeColor="accent4" w:themeTint="9A" w:sz="4" w:space="0"/>
        </w:tcBorders>
        <w:shd w:val="clear" w:color="FFFFFF" w:fill="auto"/>
      </w:tcPr>
    </w:tblStylePr>
    <w:tblStylePr w:type="lastCol">
      <w:rPr>
        <w:rFonts w:ascii="Arial" w:hAnsi="Arial"/>
        <w:i/>
        <w:color w:val="79CD6B" w:themeColor="accent4" w:themeTint="9A" w:themeShade="95"/>
        <w:sz w:val="22"/>
      </w:rPr>
      <w:tblPr/>
      <w:tcPr>
        <w:tcBorders>
          <w:top w:val="none" w:color="000000" w:sz="4" w:space="0"/>
          <w:left w:val="single" w:color="79CD6B" w:themeColor="accent4" w:themeTint="9A" w:sz="4" w:space="0"/>
          <w:bottom w:val="none" w:color="000000" w:sz="4" w:space="0"/>
          <w:right w:val="none" w:color="000000" w:sz="4" w:space="0"/>
        </w:tcBorders>
        <w:shd w:val="clear" w:color="FFFFFF" w:fill="auto"/>
      </w:tcPr>
    </w:tblStylePr>
    <w:tblStylePr w:type="band1Vert">
      <w:tblPr/>
      <w:tcPr>
        <w:shd w:val="clear" w:color="C7EAC1" w:themeColor="accent4" w:themeTint="40" w:fill="C7EAC1" w:themeFill="accent4" w:themeFillTint="40"/>
      </w:tcPr>
    </w:tblStylePr>
    <w:tblStylePr w:type="band1Horz">
      <w:rPr>
        <w:rFonts w:ascii="Arial" w:hAnsi="Arial"/>
        <w:color w:val="79CD6B" w:themeColor="accent4" w:themeTint="9A" w:themeShade="95"/>
        <w:sz w:val="22"/>
      </w:rPr>
      <w:tblPr/>
      <w:tcPr>
        <w:shd w:val="clear" w:color="C7EAC1" w:themeColor="accent4" w:themeTint="40" w:fill="C7EAC1" w:themeFill="accent4" w:themeFillTint="40"/>
      </w:tcPr>
    </w:tblStylePr>
    <w:tblStylePr w:type="band2Horz">
      <w:rPr>
        <w:rFonts w:ascii="Arial" w:hAnsi="Arial"/>
        <w:color w:val="79CD6B" w:themeColor="accent4" w:themeTint="9A" w:themeShade="95"/>
        <w:sz w:val="22"/>
      </w:rPr>
    </w:tblStylePr>
  </w:style>
  <w:style w:type="table" w:styleId="ListTable7Colorful-Accent5" w:customStyle="1">
    <w:name w:val="List Table 7 Colorful Accent 5"/>
    <w:basedOn w:val="TableauNormal"/>
    <w:uiPriority w:val="99"/>
    <w:tblPr>
      <w:tblStyleRowBandSize w:val="1"/>
      <w:tblStyleColBandSize w:val="1"/>
      <w:tblBorders>
        <w:right w:val="single" w:color="A9DDF0" w:themeColor="accent5" w:themeTint="9A" w:sz="4" w:space="0"/>
      </w:tblBorders>
    </w:tblPr>
    <w:tblStylePr w:type="firstRow">
      <w:rPr>
        <w:rFonts w:ascii="Arial" w:hAnsi="Arial"/>
        <w:i/>
        <w:color w:val="A9DDF0" w:themeColor="accent5" w:themeTint="9A" w:themeShade="95"/>
        <w:sz w:val="22"/>
      </w:rPr>
      <w:tblPr/>
      <w:tcPr>
        <w:tcBorders>
          <w:top w:val="none" w:color="000000" w:sz="4" w:space="0"/>
          <w:left w:val="none" w:color="000000" w:sz="4" w:space="0"/>
          <w:bottom w:val="single" w:color="A9DDF0" w:themeColor="accent5" w:themeTint="9A" w:sz="4" w:space="0"/>
          <w:right w:val="none" w:color="000000" w:sz="4" w:space="0"/>
        </w:tcBorders>
        <w:shd w:val="clear" w:color="FFFFFF" w:themeColor="light1" w:fill="FFFFFF" w:themeFill="light1"/>
      </w:tcPr>
    </w:tblStylePr>
    <w:tblStylePr w:type="lastRow">
      <w:rPr>
        <w:rFonts w:ascii="Arial" w:hAnsi="Arial"/>
        <w:i/>
        <w:color w:val="A9DDF0" w:themeColor="accent5" w:themeTint="9A" w:themeShade="95"/>
        <w:sz w:val="22"/>
      </w:rPr>
      <w:tblPr/>
      <w:tcPr>
        <w:tcBorders>
          <w:top w:val="single" w:color="A9DDF0" w:themeColor="accent5" w:themeTint="9A"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A9DDF0" w:themeColor="accent5" w:themeTint="9A" w:themeShade="95"/>
        <w:sz w:val="22"/>
      </w:rPr>
      <w:tblPr/>
      <w:tcPr>
        <w:tcBorders>
          <w:top w:val="none" w:color="000000" w:sz="4" w:space="0"/>
          <w:left w:val="none" w:color="000000" w:sz="4" w:space="0"/>
          <w:bottom w:val="none" w:color="000000" w:sz="4" w:space="0"/>
          <w:right w:val="single" w:color="A9DDF0" w:themeColor="accent5" w:themeTint="9A" w:sz="4" w:space="0"/>
        </w:tcBorders>
        <w:shd w:val="clear" w:color="FFFFFF" w:fill="auto"/>
      </w:tcPr>
    </w:tblStylePr>
    <w:tblStylePr w:type="lastCol">
      <w:rPr>
        <w:rFonts w:ascii="Arial" w:hAnsi="Arial"/>
        <w:i/>
        <w:color w:val="A9DDF0" w:themeColor="accent5" w:themeTint="9A" w:themeShade="95"/>
        <w:sz w:val="22"/>
      </w:rPr>
      <w:tblPr/>
      <w:tcPr>
        <w:tcBorders>
          <w:top w:val="none" w:color="000000" w:sz="4" w:space="0"/>
          <w:left w:val="single" w:color="A9DDF0" w:themeColor="accent5" w:themeTint="9A" w:sz="4" w:space="0"/>
          <w:bottom w:val="none" w:color="000000" w:sz="4" w:space="0"/>
          <w:right w:val="none" w:color="000000" w:sz="4" w:space="0"/>
        </w:tcBorders>
        <w:shd w:val="clear" w:color="FFFFFF" w:fill="auto"/>
      </w:tcPr>
    </w:tblStylePr>
    <w:tblStylePr w:type="band1Vert">
      <w:tblPr/>
      <w:tcPr>
        <w:shd w:val="clear" w:color="DBF0F9" w:themeColor="accent5" w:themeTint="40" w:fill="DBF0F9" w:themeFill="accent5" w:themeFillTint="40"/>
      </w:tcPr>
    </w:tblStylePr>
    <w:tblStylePr w:type="band1Horz">
      <w:rPr>
        <w:rFonts w:ascii="Arial" w:hAnsi="Arial"/>
        <w:color w:val="A9DDF0" w:themeColor="accent5" w:themeTint="9A" w:themeShade="95"/>
        <w:sz w:val="22"/>
      </w:rPr>
      <w:tblPr/>
      <w:tcPr>
        <w:shd w:val="clear" w:color="DBF0F9" w:themeColor="accent5" w:themeTint="40" w:fill="DBF0F9" w:themeFill="accent5" w:themeFillTint="40"/>
      </w:tcPr>
    </w:tblStylePr>
    <w:tblStylePr w:type="band2Horz">
      <w:rPr>
        <w:rFonts w:ascii="Arial" w:hAnsi="Arial"/>
        <w:color w:val="A9DDF0" w:themeColor="accent5" w:themeTint="9A" w:themeShade="95"/>
        <w:sz w:val="22"/>
      </w:rPr>
    </w:tblStylePr>
  </w:style>
  <w:style w:type="table" w:styleId="ListTable7Colorful-Accent6" w:customStyle="1">
    <w:name w:val="List Table 7 Colorful Accent 6"/>
    <w:basedOn w:val="TableauNormal"/>
    <w:uiPriority w:val="99"/>
    <w:tblPr>
      <w:tblStyleRowBandSize w:val="1"/>
      <w:tblStyleColBandSize w:val="1"/>
      <w:tblBorders>
        <w:right w:val="single" w:color="EDFC56" w:themeColor="accent6" w:themeTint="98" w:sz="4" w:space="0"/>
      </w:tblBorders>
    </w:tblPr>
    <w:tblStylePr w:type="firstRow">
      <w:rPr>
        <w:rFonts w:ascii="Arial" w:hAnsi="Arial"/>
        <w:i/>
        <w:color w:val="EDFC56" w:themeColor="accent6" w:themeTint="98" w:themeShade="95"/>
        <w:sz w:val="22"/>
      </w:rPr>
      <w:tblPr/>
      <w:tcPr>
        <w:tcBorders>
          <w:top w:val="none" w:color="000000" w:sz="4" w:space="0"/>
          <w:left w:val="none" w:color="000000" w:sz="4" w:space="0"/>
          <w:bottom w:val="single" w:color="EDFC56" w:themeColor="accent6" w:themeTint="98" w:sz="4" w:space="0"/>
          <w:right w:val="none" w:color="000000" w:sz="4" w:space="0"/>
        </w:tcBorders>
        <w:shd w:val="clear" w:color="FFFFFF" w:themeColor="light1" w:fill="FFFFFF" w:themeFill="light1"/>
      </w:tcPr>
    </w:tblStylePr>
    <w:tblStylePr w:type="lastRow">
      <w:rPr>
        <w:rFonts w:ascii="Arial" w:hAnsi="Arial"/>
        <w:i/>
        <w:color w:val="EDFC56" w:themeColor="accent6" w:themeTint="98" w:themeShade="95"/>
        <w:sz w:val="22"/>
      </w:rPr>
      <w:tblPr/>
      <w:tcPr>
        <w:tcBorders>
          <w:top w:val="single" w:color="EDFC56" w:themeColor="accent6" w:themeTint="98" w:sz="4" w:space="0"/>
          <w:left w:val="none" w:color="000000" w:sz="4" w:space="0"/>
          <w:bottom w:val="none" w:color="000000" w:sz="4" w:space="0"/>
          <w:right w:val="none" w:color="000000" w:sz="4" w:space="0"/>
        </w:tcBorders>
        <w:shd w:val="clear" w:color="FFFFFF" w:themeColor="light1" w:fill="FFFFFF" w:themeFill="light1"/>
      </w:tcPr>
    </w:tblStylePr>
    <w:tblStylePr w:type="firstCol">
      <w:pPr>
        <w:jc w:val="right"/>
      </w:pPr>
      <w:rPr>
        <w:rFonts w:ascii="Arial" w:hAnsi="Arial"/>
        <w:i/>
        <w:color w:val="EDFC56" w:themeColor="accent6" w:themeTint="98" w:themeShade="95"/>
        <w:sz w:val="22"/>
      </w:rPr>
      <w:tblPr/>
      <w:tcPr>
        <w:tcBorders>
          <w:top w:val="none" w:color="000000" w:sz="4" w:space="0"/>
          <w:left w:val="none" w:color="000000" w:sz="4" w:space="0"/>
          <w:bottom w:val="none" w:color="000000" w:sz="4" w:space="0"/>
          <w:right w:val="single" w:color="EDFC56" w:themeColor="accent6" w:themeTint="98" w:sz="4" w:space="0"/>
        </w:tcBorders>
        <w:shd w:val="clear" w:color="FFFFFF" w:fill="auto"/>
      </w:tcPr>
    </w:tblStylePr>
    <w:tblStylePr w:type="lastCol">
      <w:rPr>
        <w:rFonts w:ascii="Arial" w:hAnsi="Arial"/>
        <w:i/>
        <w:color w:val="EDFC56" w:themeColor="accent6" w:themeTint="98" w:themeShade="95"/>
        <w:sz w:val="22"/>
      </w:rPr>
      <w:tblPr/>
      <w:tcPr>
        <w:tcBorders>
          <w:top w:val="none" w:color="000000" w:sz="4" w:space="0"/>
          <w:left w:val="single" w:color="EDFC56" w:themeColor="accent6" w:themeTint="98" w:sz="4" w:space="0"/>
          <w:bottom w:val="none" w:color="000000" w:sz="4" w:space="0"/>
          <w:right w:val="none" w:color="000000" w:sz="4" w:space="0"/>
        </w:tcBorders>
        <w:shd w:val="clear" w:color="FFFFFF" w:fill="auto"/>
      </w:tcPr>
    </w:tblStylePr>
    <w:tblStylePr w:type="band1Vert">
      <w:tblPr/>
      <w:tcPr>
        <w:shd w:val="clear" w:color="F7FEB7" w:themeColor="accent6" w:themeTint="40" w:fill="F7FEB7" w:themeFill="accent6" w:themeFillTint="40"/>
      </w:tcPr>
    </w:tblStylePr>
    <w:tblStylePr w:type="band1Horz">
      <w:rPr>
        <w:rFonts w:ascii="Arial" w:hAnsi="Arial"/>
        <w:color w:val="EDFC56" w:themeColor="accent6" w:themeTint="98" w:themeShade="95"/>
        <w:sz w:val="22"/>
      </w:rPr>
      <w:tblPr/>
      <w:tcPr>
        <w:shd w:val="clear" w:color="F7FEB7" w:themeColor="accent6" w:themeTint="40" w:fill="F7FEB7" w:themeFill="accent6" w:themeFillTint="40"/>
      </w:tcPr>
    </w:tblStylePr>
    <w:tblStylePr w:type="band2Horz">
      <w:rPr>
        <w:rFonts w:ascii="Arial" w:hAnsi="Arial"/>
        <w:color w:val="EDFC56" w:themeColor="accent6" w:themeTint="98" w:themeShade="95"/>
        <w:sz w:val="22"/>
      </w:rPr>
    </w:tblStylePr>
  </w:style>
  <w:style w:type="table" w:styleId="Lined-Accent" w:customStyle="1">
    <w:name w:val="Lined - Accent"/>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styleId="Lined-Accent1" w:customStyle="1">
    <w:name w:val="Lined - Accent 1"/>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003196" w:themeColor="accent1" w:themeTint="EA" w:fill="003196" w:themeFill="accent1" w:themeFillTint="EA"/>
      </w:tcPr>
    </w:tblStylePr>
    <w:tblStylePr w:type="lastRow">
      <w:rPr>
        <w:rFonts w:ascii="Arial" w:hAnsi="Arial"/>
        <w:color w:val="F2F2F2"/>
        <w:sz w:val="22"/>
      </w:rPr>
      <w:tblPr/>
      <w:tcPr>
        <w:shd w:val="clear" w:color="003196" w:themeColor="accent1" w:themeTint="EA" w:fill="003196" w:themeFill="accent1" w:themeFillTint="EA"/>
      </w:tcPr>
    </w:tblStylePr>
    <w:tblStylePr w:type="firstCol">
      <w:rPr>
        <w:rFonts w:ascii="Arial" w:hAnsi="Arial"/>
        <w:color w:val="F2F2F2"/>
        <w:sz w:val="22"/>
      </w:rPr>
      <w:tblPr/>
      <w:tcPr>
        <w:shd w:val="clear" w:color="003196" w:themeColor="accent1" w:themeTint="EA" w:fill="003196" w:themeFill="accent1" w:themeFillTint="EA"/>
      </w:tcPr>
    </w:tblStylePr>
    <w:tblStylePr w:type="lastCol">
      <w:rPr>
        <w:rFonts w:ascii="Arial" w:hAnsi="Arial"/>
        <w:color w:val="F2F2F2"/>
        <w:sz w:val="22"/>
      </w:rPr>
      <w:tblPr/>
      <w:tcPr>
        <w:shd w:val="clear" w:color="003196" w:themeColor="accent1" w:themeTint="EA" w:fill="003196"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84ACFF" w:themeColor="accent1" w:themeTint="50" w:fill="84ACF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84ACFF" w:themeColor="accent1" w:themeTint="50" w:fill="84ACFF" w:themeFill="accent1" w:themeFillTint="50"/>
      </w:tcPr>
    </w:tblStylePr>
  </w:style>
  <w:style w:type="table" w:styleId="Lined-Accent2" w:customStyle="1">
    <w:name w:val="Lined - Accent 2"/>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C7FF4E" w:themeColor="accent2" w:themeTint="97" w:fill="C7FF4E" w:themeFill="accent2" w:themeFillTint="97"/>
      </w:tcPr>
    </w:tblStylePr>
    <w:tblStylePr w:type="lastRow">
      <w:rPr>
        <w:rFonts w:ascii="Arial" w:hAnsi="Arial"/>
        <w:color w:val="F2F2F2"/>
        <w:sz w:val="22"/>
      </w:rPr>
      <w:tblPr/>
      <w:tcPr>
        <w:shd w:val="clear" w:color="C7FF4E" w:themeColor="accent2" w:themeTint="97" w:fill="C7FF4E" w:themeFill="accent2" w:themeFillTint="97"/>
      </w:tcPr>
    </w:tblStylePr>
    <w:tblStylePr w:type="firstCol">
      <w:rPr>
        <w:rFonts w:ascii="Arial" w:hAnsi="Arial"/>
        <w:color w:val="F2F2F2"/>
        <w:sz w:val="22"/>
      </w:rPr>
      <w:tblPr/>
      <w:tcPr>
        <w:shd w:val="clear" w:color="C7FF4E" w:themeColor="accent2" w:themeTint="97" w:fill="C7FF4E" w:themeFill="accent2" w:themeFillTint="97"/>
      </w:tcPr>
    </w:tblStylePr>
    <w:tblStylePr w:type="lastCol">
      <w:rPr>
        <w:rFonts w:ascii="Arial" w:hAnsi="Arial"/>
        <w:color w:val="F2F2F2"/>
        <w:sz w:val="22"/>
      </w:rPr>
      <w:tblPr/>
      <w:tcPr>
        <w:shd w:val="clear" w:color="C7FF4E" w:themeColor="accent2" w:themeTint="97" w:fill="C7FF4E"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ECFFC4" w:themeColor="accent2" w:themeTint="32" w:fill="ECFFC4"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ECFFC4" w:themeColor="accent2" w:themeTint="32" w:fill="ECFFC4" w:themeFill="accent2" w:themeFillTint="32"/>
      </w:tcPr>
    </w:tblStylePr>
  </w:style>
  <w:style w:type="table" w:styleId="Lined-Accent3" w:customStyle="1">
    <w:name w:val="Lined - Accent 3"/>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00A0DF" w:themeColor="accent3" w:themeTint="FE" w:fill="00A0DF" w:themeFill="accent3" w:themeFillTint="FE"/>
      </w:tcPr>
    </w:tblStylePr>
    <w:tblStylePr w:type="lastRow">
      <w:rPr>
        <w:rFonts w:ascii="Arial" w:hAnsi="Arial"/>
        <w:color w:val="F2F2F2"/>
        <w:sz w:val="22"/>
      </w:rPr>
      <w:tblPr/>
      <w:tcPr>
        <w:shd w:val="clear" w:color="00A0DF" w:themeColor="accent3" w:themeTint="FE" w:fill="00A0DF" w:themeFill="accent3" w:themeFillTint="FE"/>
      </w:tcPr>
    </w:tblStylePr>
    <w:tblStylePr w:type="firstCol">
      <w:rPr>
        <w:rFonts w:ascii="Arial" w:hAnsi="Arial"/>
        <w:color w:val="F2F2F2"/>
        <w:sz w:val="22"/>
      </w:rPr>
      <w:tblPr/>
      <w:tcPr>
        <w:shd w:val="clear" w:color="00A0DF" w:themeColor="accent3" w:themeTint="FE" w:fill="00A0DF" w:themeFill="accent3" w:themeFillTint="FE"/>
      </w:tcPr>
    </w:tblStylePr>
    <w:tblStylePr w:type="lastCol">
      <w:rPr>
        <w:rFonts w:ascii="Arial" w:hAnsi="Arial"/>
        <w:color w:val="F2F2F2"/>
        <w:sz w:val="22"/>
      </w:rPr>
      <w:tblPr/>
      <w:tcPr>
        <w:shd w:val="clear" w:color="00A0DF" w:themeColor="accent3" w:themeTint="FE" w:fill="00A0DF"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4EEFF" w:themeColor="accent3" w:themeTint="34" w:fill="C4EEFF"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4EEFF" w:themeColor="accent3" w:themeTint="34" w:fill="C4EEFF" w:themeFill="accent3" w:themeFillTint="34"/>
      </w:tcPr>
    </w:tblStylePr>
  </w:style>
  <w:style w:type="table" w:styleId="Lined-Accent4" w:customStyle="1">
    <w:name w:val="Lined - Accent 4"/>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79CD6B" w:themeColor="accent4" w:themeTint="9A" w:fill="79CD6B" w:themeFill="accent4" w:themeFillTint="9A"/>
      </w:tcPr>
    </w:tblStylePr>
    <w:tblStylePr w:type="lastRow">
      <w:rPr>
        <w:rFonts w:ascii="Arial" w:hAnsi="Arial"/>
        <w:color w:val="F2F2F2"/>
        <w:sz w:val="22"/>
      </w:rPr>
      <w:tblPr/>
      <w:tcPr>
        <w:shd w:val="clear" w:color="79CD6B" w:themeColor="accent4" w:themeTint="9A" w:fill="79CD6B" w:themeFill="accent4" w:themeFillTint="9A"/>
      </w:tcPr>
    </w:tblStylePr>
    <w:tblStylePr w:type="firstCol">
      <w:rPr>
        <w:rFonts w:ascii="Arial" w:hAnsi="Arial"/>
        <w:color w:val="F2F2F2"/>
        <w:sz w:val="22"/>
      </w:rPr>
      <w:tblPr/>
      <w:tcPr>
        <w:shd w:val="clear" w:color="79CD6B" w:themeColor="accent4" w:themeTint="9A" w:fill="79CD6B" w:themeFill="accent4" w:themeFillTint="9A"/>
      </w:tcPr>
    </w:tblStylePr>
    <w:tblStylePr w:type="lastCol">
      <w:rPr>
        <w:rFonts w:ascii="Arial" w:hAnsi="Arial"/>
        <w:color w:val="F2F2F2"/>
        <w:sz w:val="22"/>
      </w:rPr>
      <w:tblPr/>
      <w:tcPr>
        <w:shd w:val="clear" w:color="79CD6B" w:themeColor="accent4" w:themeTint="9A" w:fill="79CD6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D1EECD" w:themeColor="accent4" w:themeTint="34" w:fill="D1EECD"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D1EECD" w:themeColor="accent4" w:themeTint="34" w:fill="D1EECD" w:themeFill="accent4" w:themeFillTint="34"/>
      </w:tcPr>
    </w:tblStylePr>
  </w:style>
  <w:style w:type="table" w:styleId="Lined-Accent5" w:customStyle="1">
    <w:name w:val="Lined - Accent 5"/>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72C7E7" w:themeColor="accent5" w:fill="72C7E7" w:themeFill="accent5"/>
      </w:tcPr>
    </w:tblStylePr>
    <w:tblStylePr w:type="lastRow">
      <w:rPr>
        <w:rFonts w:ascii="Arial" w:hAnsi="Arial"/>
        <w:color w:val="F2F2F2"/>
        <w:sz w:val="22"/>
      </w:rPr>
      <w:tblPr/>
      <w:tcPr>
        <w:shd w:val="clear" w:color="72C7E7" w:themeColor="accent5" w:fill="72C7E7" w:themeFill="accent5"/>
      </w:tcPr>
    </w:tblStylePr>
    <w:tblStylePr w:type="firstCol">
      <w:rPr>
        <w:rFonts w:ascii="Arial" w:hAnsi="Arial"/>
        <w:color w:val="F2F2F2"/>
        <w:sz w:val="22"/>
      </w:rPr>
      <w:tblPr/>
      <w:tcPr>
        <w:shd w:val="clear" w:color="72C7E7" w:themeColor="accent5" w:fill="72C7E7" w:themeFill="accent5"/>
      </w:tcPr>
    </w:tblStylePr>
    <w:tblStylePr w:type="lastCol">
      <w:rPr>
        <w:rFonts w:ascii="Arial" w:hAnsi="Arial"/>
        <w:color w:val="F2F2F2"/>
        <w:sz w:val="22"/>
      </w:rPr>
      <w:tblPr/>
      <w:tcPr>
        <w:shd w:val="clear" w:color="72C7E7" w:themeColor="accent5" w:fill="72C7E7"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3FA" w:themeColor="accent5" w:themeTint="34" w:fill="E2F3FA"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3FA" w:themeColor="accent5" w:themeTint="34" w:fill="E2F3FA" w:themeFill="accent5" w:themeFillTint="34"/>
      </w:tcPr>
    </w:tblStylePr>
  </w:style>
  <w:style w:type="table" w:styleId="Lined-Accent6" w:customStyle="1">
    <w:name w:val="Lined - Accent 6"/>
    <w:basedOn w:val="TableauNormal"/>
    <w:uiPriority w:val="99"/>
    <w:rPr>
      <w:color w:val="404040"/>
      <w:sz w:val="20"/>
      <w:szCs w:val="20"/>
    </w:rPr>
    <w:tblPr>
      <w:tblStyleRowBandSize w:val="1"/>
      <w:tblStyleColBandSize w:val="1"/>
    </w:tblPr>
    <w:tblStylePr w:type="firstRow">
      <w:rPr>
        <w:rFonts w:ascii="Arial" w:hAnsi="Arial"/>
        <w:color w:val="F2F2F2"/>
        <w:sz w:val="22"/>
      </w:rPr>
      <w:tblPr/>
      <w:tcPr>
        <w:shd w:val="clear" w:color="C9DD03" w:themeColor="accent6" w:fill="C9DD03" w:themeFill="accent6"/>
      </w:tcPr>
    </w:tblStylePr>
    <w:tblStylePr w:type="lastRow">
      <w:rPr>
        <w:rFonts w:ascii="Arial" w:hAnsi="Arial"/>
        <w:color w:val="F2F2F2"/>
        <w:sz w:val="22"/>
      </w:rPr>
      <w:tblPr/>
      <w:tcPr>
        <w:shd w:val="clear" w:color="C9DD03" w:themeColor="accent6" w:fill="C9DD03" w:themeFill="accent6"/>
      </w:tcPr>
    </w:tblStylePr>
    <w:tblStylePr w:type="firstCol">
      <w:rPr>
        <w:rFonts w:ascii="Arial" w:hAnsi="Arial"/>
        <w:color w:val="F2F2F2"/>
        <w:sz w:val="22"/>
      </w:rPr>
      <w:tblPr/>
      <w:tcPr>
        <w:shd w:val="clear" w:color="C9DD03" w:themeColor="accent6" w:fill="C9DD03" w:themeFill="accent6"/>
      </w:tcPr>
    </w:tblStylePr>
    <w:tblStylePr w:type="lastCol">
      <w:rPr>
        <w:rFonts w:ascii="Arial" w:hAnsi="Arial"/>
        <w:color w:val="F2F2F2"/>
        <w:sz w:val="22"/>
      </w:rPr>
      <w:tblPr/>
      <w:tcPr>
        <w:shd w:val="clear" w:color="C9DD03" w:themeColor="accent6" w:fill="C9DD03"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8FEC5" w:themeColor="accent6" w:themeTint="34" w:fill="F8FEC5"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8FEC5" w:themeColor="accent6" w:themeTint="34" w:fill="F8FEC5" w:themeFill="accent6" w:themeFillTint="34"/>
      </w:tcPr>
    </w:tblStylePr>
  </w:style>
  <w:style w:type="table" w:styleId="BorderedLined-Accent" w:customStyle="1">
    <w:name w:val="Bordered &amp; Lined - Accent"/>
    <w:basedOn w:val="TableauNormal"/>
    <w:uiPriority w:val="99"/>
    <w:rPr>
      <w:color w:val="404040"/>
      <w:sz w:val="20"/>
      <w:szCs w:val="20"/>
    </w:rPr>
    <w:tblPr>
      <w:tblStyleRowBandSize w:val="1"/>
      <w:tblStyleColBandSize w:val="1"/>
      <w:tblBorders>
        <w:top w:val="single" w:color="595959" w:themeColor="text1" w:themeTint="A6" w:sz="4" w:space="0"/>
        <w:left w:val="single" w:color="595959" w:themeColor="text1" w:themeTint="A6" w:sz="4" w:space="0"/>
        <w:bottom w:val="single" w:color="595959" w:themeColor="text1" w:themeTint="A6" w:sz="4" w:space="0"/>
        <w:right w:val="single" w:color="595959" w:themeColor="text1" w:themeTint="A6" w:sz="4" w:space="0"/>
        <w:insideH w:val="single" w:color="595959" w:themeColor="text1" w:themeTint="A6" w:sz="4" w:space="0"/>
        <w:insideV w:val="single" w:color="595959" w:themeColor="text1" w:themeTint="A6" w:sz="4" w:space="0"/>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styleId="BorderedLined-Accent1" w:customStyle="1">
    <w:name w:val="Bordered &amp; Lined - Accent 1"/>
    <w:basedOn w:val="TableauNormal"/>
    <w:uiPriority w:val="99"/>
    <w:rPr>
      <w:color w:val="404040"/>
      <w:sz w:val="20"/>
      <w:szCs w:val="20"/>
    </w:rPr>
    <w:tblPr>
      <w:tblStyleRowBandSize w:val="1"/>
      <w:tblStyleColBandSize w:val="1"/>
      <w:tblBorders>
        <w:top w:val="single" w:color="001644" w:themeColor="accent1" w:themeShade="95" w:sz="4" w:space="0"/>
        <w:left w:val="single" w:color="001644" w:themeColor="accent1" w:themeShade="95" w:sz="4" w:space="0"/>
        <w:bottom w:val="single" w:color="001644" w:themeColor="accent1" w:themeShade="95" w:sz="4" w:space="0"/>
        <w:right w:val="single" w:color="001644" w:themeColor="accent1" w:themeShade="95" w:sz="4" w:space="0"/>
        <w:insideH w:val="single" w:color="001644" w:themeColor="accent1" w:themeShade="95" w:sz="4" w:space="0"/>
        <w:insideV w:val="single" w:color="001644" w:themeColor="accent1" w:themeShade="95" w:sz="4" w:space="0"/>
      </w:tblBorders>
    </w:tblPr>
    <w:tblStylePr w:type="firstRow">
      <w:rPr>
        <w:rFonts w:ascii="Arial" w:hAnsi="Arial"/>
        <w:color w:val="F2F2F2"/>
        <w:sz w:val="22"/>
      </w:rPr>
      <w:tblPr/>
      <w:tcPr>
        <w:shd w:val="clear" w:color="003196" w:themeColor="accent1" w:themeTint="EA" w:fill="003196" w:themeFill="accent1" w:themeFillTint="EA"/>
      </w:tcPr>
    </w:tblStylePr>
    <w:tblStylePr w:type="lastRow">
      <w:rPr>
        <w:rFonts w:ascii="Arial" w:hAnsi="Arial"/>
        <w:color w:val="F2F2F2"/>
        <w:sz w:val="22"/>
      </w:rPr>
      <w:tblPr/>
      <w:tcPr>
        <w:shd w:val="clear" w:color="003196" w:themeColor="accent1" w:themeTint="EA" w:fill="003196" w:themeFill="accent1" w:themeFillTint="EA"/>
      </w:tcPr>
    </w:tblStylePr>
    <w:tblStylePr w:type="firstCol">
      <w:rPr>
        <w:rFonts w:ascii="Arial" w:hAnsi="Arial"/>
        <w:color w:val="F2F2F2"/>
        <w:sz w:val="22"/>
      </w:rPr>
      <w:tblPr/>
      <w:tcPr>
        <w:shd w:val="clear" w:color="003196" w:themeColor="accent1" w:themeTint="EA" w:fill="003196" w:themeFill="accent1" w:themeFillTint="EA"/>
      </w:tcPr>
    </w:tblStylePr>
    <w:tblStylePr w:type="lastCol">
      <w:rPr>
        <w:rFonts w:ascii="Arial" w:hAnsi="Arial"/>
        <w:color w:val="F2F2F2"/>
        <w:sz w:val="22"/>
      </w:rPr>
      <w:tblPr/>
      <w:tcPr>
        <w:shd w:val="clear" w:color="003196" w:themeColor="accent1" w:themeTint="EA" w:fill="003196"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84ACFF" w:themeColor="accent1" w:themeTint="50" w:fill="84ACF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84ACFF" w:themeColor="accent1" w:themeTint="50" w:fill="84ACFF" w:themeFill="accent1" w:themeFillTint="50"/>
      </w:tcPr>
    </w:tblStylePr>
  </w:style>
  <w:style w:type="table" w:styleId="BorderedLined-Accent2" w:customStyle="1">
    <w:name w:val="Bordered &amp; Lined - Accent 2"/>
    <w:basedOn w:val="TableauNormal"/>
    <w:uiPriority w:val="99"/>
    <w:rPr>
      <w:color w:val="404040"/>
      <w:sz w:val="20"/>
      <w:szCs w:val="20"/>
    </w:rPr>
    <w:tblPr>
      <w:tblStyleRowBandSize w:val="1"/>
      <w:tblStyleColBandSize w:val="1"/>
      <w:tblBorders>
        <w:top w:val="single" w:color="547B00" w:themeColor="accent2" w:themeShade="95" w:sz="4" w:space="0"/>
        <w:left w:val="single" w:color="547B00" w:themeColor="accent2" w:themeShade="95" w:sz="4" w:space="0"/>
        <w:bottom w:val="single" w:color="547B00" w:themeColor="accent2" w:themeShade="95" w:sz="4" w:space="0"/>
        <w:right w:val="single" w:color="547B00" w:themeColor="accent2" w:themeShade="95" w:sz="4" w:space="0"/>
        <w:insideH w:val="single" w:color="547B00" w:themeColor="accent2" w:themeShade="95" w:sz="4" w:space="0"/>
        <w:insideV w:val="single" w:color="547B00" w:themeColor="accent2" w:themeShade="95" w:sz="4" w:space="0"/>
      </w:tblBorders>
    </w:tblPr>
    <w:tblStylePr w:type="firstRow">
      <w:rPr>
        <w:rFonts w:ascii="Arial" w:hAnsi="Arial"/>
        <w:color w:val="F2F2F2"/>
        <w:sz w:val="22"/>
      </w:rPr>
      <w:tblPr/>
      <w:tcPr>
        <w:shd w:val="clear" w:color="C7FF4E" w:themeColor="accent2" w:themeTint="97" w:fill="C7FF4E" w:themeFill="accent2" w:themeFillTint="97"/>
      </w:tcPr>
    </w:tblStylePr>
    <w:tblStylePr w:type="lastRow">
      <w:rPr>
        <w:rFonts w:ascii="Arial" w:hAnsi="Arial"/>
        <w:color w:val="F2F2F2"/>
        <w:sz w:val="22"/>
      </w:rPr>
      <w:tblPr/>
      <w:tcPr>
        <w:shd w:val="clear" w:color="C7FF4E" w:themeColor="accent2" w:themeTint="97" w:fill="C7FF4E" w:themeFill="accent2" w:themeFillTint="97"/>
      </w:tcPr>
    </w:tblStylePr>
    <w:tblStylePr w:type="firstCol">
      <w:rPr>
        <w:rFonts w:ascii="Arial" w:hAnsi="Arial"/>
        <w:color w:val="F2F2F2"/>
        <w:sz w:val="22"/>
      </w:rPr>
      <w:tblPr/>
      <w:tcPr>
        <w:shd w:val="clear" w:color="C7FF4E" w:themeColor="accent2" w:themeTint="97" w:fill="C7FF4E" w:themeFill="accent2" w:themeFillTint="97"/>
      </w:tcPr>
    </w:tblStylePr>
    <w:tblStylePr w:type="lastCol">
      <w:rPr>
        <w:rFonts w:ascii="Arial" w:hAnsi="Arial"/>
        <w:color w:val="F2F2F2"/>
        <w:sz w:val="22"/>
      </w:rPr>
      <w:tblPr/>
      <w:tcPr>
        <w:shd w:val="clear" w:color="C7FF4E" w:themeColor="accent2" w:themeTint="97" w:fill="C7FF4E"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ECFFC4" w:themeColor="accent2" w:themeTint="32" w:fill="ECFFC4"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ECFFC4" w:themeColor="accent2" w:themeTint="32" w:fill="ECFFC4" w:themeFill="accent2" w:themeFillTint="32"/>
      </w:tcPr>
    </w:tblStylePr>
  </w:style>
  <w:style w:type="table" w:styleId="BorderedLined-Accent3" w:customStyle="1">
    <w:name w:val="Bordered &amp; Lined - Accent 3"/>
    <w:basedOn w:val="TableauNormal"/>
    <w:uiPriority w:val="99"/>
    <w:rPr>
      <w:color w:val="404040"/>
      <w:sz w:val="20"/>
      <w:szCs w:val="20"/>
    </w:rPr>
    <w:tblPr>
      <w:tblStyleRowBandSize w:val="1"/>
      <w:tblStyleColBandSize w:val="1"/>
      <w:tblBorders>
        <w:top w:val="single" w:color="005D81" w:themeColor="accent3" w:themeShade="95" w:sz="4" w:space="0"/>
        <w:left w:val="single" w:color="005D81" w:themeColor="accent3" w:themeShade="95" w:sz="4" w:space="0"/>
        <w:bottom w:val="single" w:color="005D81" w:themeColor="accent3" w:themeShade="95" w:sz="4" w:space="0"/>
        <w:right w:val="single" w:color="005D81" w:themeColor="accent3" w:themeShade="95" w:sz="4" w:space="0"/>
        <w:insideH w:val="single" w:color="005D81" w:themeColor="accent3" w:themeShade="95" w:sz="4" w:space="0"/>
        <w:insideV w:val="single" w:color="005D81" w:themeColor="accent3" w:themeShade="95" w:sz="4" w:space="0"/>
      </w:tblBorders>
    </w:tblPr>
    <w:tblStylePr w:type="firstRow">
      <w:rPr>
        <w:rFonts w:ascii="Arial" w:hAnsi="Arial"/>
        <w:color w:val="F2F2F2"/>
        <w:sz w:val="22"/>
      </w:rPr>
      <w:tblPr/>
      <w:tcPr>
        <w:shd w:val="clear" w:color="00A0DF" w:themeColor="accent3" w:themeTint="FE" w:fill="00A0DF" w:themeFill="accent3" w:themeFillTint="FE"/>
      </w:tcPr>
    </w:tblStylePr>
    <w:tblStylePr w:type="lastRow">
      <w:rPr>
        <w:rFonts w:ascii="Arial" w:hAnsi="Arial"/>
        <w:color w:val="F2F2F2"/>
        <w:sz w:val="22"/>
      </w:rPr>
      <w:tblPr/>
      <w:tcPr>
        <w:shd w:val="clear" w:color="00A0DF" w:themeColor="accent3" w:themeTint="FE" w:fill="00A0DF" w:themeFill="accent3" w:themeFillTint="FE"/>
      </w:tcPr>
    </w:tblStylePr>
    <w:tblStylePr w:type="firstCol">
      <w:rPr>
        <w:rFonts w:ascii="Arial" w:hAnsi="Arial"/>
        <w:color w:val="F2F2F2"/>
        <w:sz w:val="22"/>
      </w:rPr>
      <w:tblPr/>
      <w:tcPr>
        <w:shd w:val="clear" w:color="00A0DF" w:themeColor="accent3" w:themeTint="FE" w:fill="00A0DF" w:themeFill="accent3" w:themeFillTint="FE"/>
      </w:tcPr>
    </w:tblStylePr>
    <w:tblStylePr w:type="lastCol">
      <w:rPr>
        <w:rFonts w:ascii="Arial" w:hAnsi="Arial"/>
        <w:color w:val="F2F2F2"/>
        <w:sz w:val="22"/>
      </w:rPr>
      <w:tblPr/>
      <w:tcPr>
        <w:shd w:val="clear" w:color="00A0DF" w:themeColor="accent3" w:themeTint="FE" w:fill="00A0DF"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4EEFF" w:themeColor="accent3" w:themeTint="34" w:fill="C4EEFF"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4EEFF" w:themeColor="accent3" w:themeTint="34" w:fill="C4EEFF" w:themeFill="accent3" w:themeFillTint="34"/>
      </w:tcPr>
    </w:tblStylePr>
  </w:style>
  <w:style w:type="table" w:styleId="BorderedLined-Accent4" w:customStyle="1">
    <w:name w:val="Bordered &amp; Lined - Accent 4"/>
    <w:basedOn w:val="TableauNormal"/>
    <w:uiPriority w:val="99"/>
    <w:rPr>
      <w:color w:val="404040"/>
      <w:sz w:val="20"/>
      <w:szCs w:val="20"/>
    </w:rPr>
    <w:tblPr>
      <w:tblStyleRowBandSize w:val="1"/>
      <w:tblStyleColBandSize w:val="1"/>
      <w:tblBorders>
        <w:top w:val="single" w:color="22501A" w:themeColor="accent4" w:themeShade="95" w:sz="4" w:space="0"/>
        <w:left w:val="single" w:color="22501A" w:themeColor="accent4" w:themeShade="95" w:sz="4" w:space="0"/>
        <w:bottom w:val="single" w:color="22501A" w:themeColor="accent4" w:themeShade="95" w:sz="4" w:space="0"/>
        <w:right w:val="single" w:color="22501A" w:themeColor="accent4" w:themeShade="95" w:sz="4" w:space="0"/>
        <w:insideH w:val="single" w:color="22501A" w:themeColor="accent4" w:themeShade="95" w:sz="4" w:space="0"/>
        <w:insideV w:val="single" w:color="22501A" w:themeColor="accent4" w:themeShade="95" w:sz="4" w:space="0"/>
      </w:tblBorders>
    </w:tblPr>
    <w:tblStylePr w:type="firstRow">
      <w:rPr>
        <w:rFonts w:ascii="Arial" w:hAnsi="Arial"/>
        <w:color w:val="F2F2F2"/>
        <w:sz w:val="22"/>
      </w:rPr>
      <w:tblPr/>
      <w:tcPr>
        <w:shd w:val="clear" w:color="79CD6B" w:themeColor="accent4" w:themeTint="9A" w:fill="79CD6B" w:themeFill="accent4" w:themeFillTint="9A"/>
      </w:tcPr>
    </w:tblStylePr>
    <w:tblStylePr w:type="lastRow">
      <w:rPr>
        <w:rFonts w:ascii="Arial" w:hAnsi="Arial"/>
        <w:color w:val="F2F2F2"/>
        <w:sz w:val="22"/>
      </w:rPr>
      <w:tblPr/>
      <w:tcPr>
        <w:shd w:val="clear" w:color="79CD6B" w:themeColor="accent4" w:themeTint="9A" w:fill="79CD6B" w:themeFill="accent4" w:themeFillTint="9A"/>
      </w:tcPr>
    </w:tblStylePr>
    <w:tblStylePr w:type="firstCol">
      <w:rPr>
        <w:rFonts w:ascii="Arial" w:hAnsi="Arial"/>
        <w:color w:val="F2F2F2"/>
        <w:sz w:val="22"/>
      </w:rPr>
      <w:tblPr/>
      <w:tcPr>
        <w:shd w:val="clear" w:color="79CD6B" w:themeColor="accent4" w:themeTint="9A" w:fill="79CD6B" w:themeFill="accent4" w:themeFillTint="9A"/>
      </w:tcPr>
    </w:tblStylePr>
    <w:tblStylePr w:type="lastCol">
      <w:rPr>
        <w:rFonts w:ascii="Arial" w:hAnsi="Arial"/>
        <w:color w:val="F2F2F2"/>
        <w:sz w:val="22"/>
      </w:rPr>
      <w:tblPr/>
      <w:tcPr>
        <w:shd w:val="clear" w:color="79CD6B" w:themeColor="accent4" w:themeTint="9A" w:fill="79CD6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D1EECD" w:themeColor="accent4" w:themeTint="34" w:fill="D1EECD"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D1EECD" w:themeColor="accent4" w:themeTint="34" w:fill="D1EECD" w:themeFill="accent4" w:themeFillTint="34"/>
      </w:tcPr>
    </w:tblStylePr>
  </w:style>
  <w:style w:type="table" w:styleId="BorderedLined-Accent5" w:customStyle="1">
    <w:name w:val="Bordered &amp; Lined - Accent 5"/>
    <w:basedOn w:val="TableauNormal"/>
    <w:uiPriority w:val="99"/>
    <w:rPr>
      <w:color w:val="404040"/>
      <w:sz w:val="20"/>
      <w:szCs w:val="20"/>
    </w:rPr>
    <w:tblPr>
      <w:tblStyleRowBandSize w:val="1"/>
      <w:tblStyleColBandSize w:val="1"/>
      <w:tblBorders>
        <w:top w:val="single" w:color="1D84AB" w:themeColor="accent5" w:themeShade="95" w:sz="4" w:space="0"/>
        <w:left w:val="single" w:color="1D84AB" w:themeColor="accent5" w:themeShade="95" w:sz="4" w:space="0"/>
        <w:bottom w:val="single" w:color="1D84AB" w:themeColor="accent5" w:themeShade="95" w:sz="4" w:space="0"/>
        <w:right w:val="single" w:color="1D84AB" w:themeColor="accent5" w:themeShade="95" w:sz="4" w:space="0"/>
        <w:insideH w:val="single" w:color="1D84AB" w:themeColor="accent5" w:themeShade="95" w:sz="4" w:space="0"/>
        <w:insideV w:val="single" w:color="1D84AB" w:themeColor="accent5" w:themeShade="95" w:sz="4" w:space="0"/>
      </w:tblBorders>
    </w:tblPr>
    <w:tblStylePr w:type="firstRow">
      <w:rPr>
        <w:rFonts w:ascii="Arial" w:hAnsi="Arial"/>
        <w:color w:val="F2F2F2"/>
        <w:sz w:val="22"/>
      </w:rPr>
      <w:tblPr/>
      <w:tcPr>
        <w:shd w:val="clear" w:color="72C7E7" w:themeColor="accent5" w:fill="72C7E7" w:themeFill="accent5"/>
      </w:tcPr>
    </w:tblStylePr>
    <w:tblStylePr w:type="lastRow">
      <w:rPr>
        <w:rFonts w:ascii="Arial" w:hAnsi="Arial"/>
        <w:color w:val="F2F2F2"/>
        <w:sz w:val="22"/>
      </w:rPr>
      <w:tblPr/>
      <w:tcPr>
        <w:shd w:val="clear" w:color="72C7E7" w:themeColor="accent5" w:fill="72C7E7" w:themeFill="accent5"/>
      </w:tcPr>
    </w:tblStylePr>
    <w:tblStylePr w:type="firstCol">
      <w:rPr>
        <w:rFonts w:ascii="Arial" w:hAnsi="Arial"/>
        <w:color w:val="F2F2F2"/>
        <w:sz w:val="22"/>
      </w:rPr>
      <w:tblPr/>
      <w:tcPr>
        <w:shd w:val="clear" w:color="72C7E7" w:themeColor="accent5" w:fill="72C7E7" w:themeFill="accent5"/>
      </w:tcPr>
    </w:tblStylePr>
    <w:tblStylePr w:type="lastCol">
      <w:rPr>
        <w:rFonts w:ascii="Arial" w:hAnsi="Arial"/>
        <w:color w:val="F2F2F2"/>
        <w:sz w:val="22"/>
      </w:rPr>
      <w:tblPr/>
      <w:tcPr>
        <w:shd w:val="clear" w:color="72C7E7" w:themeColor="accent5" w:fill="72C7E7"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3FA" w:themeColor="accent5" w:themeTint="34" w:fill="E2F3FA"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3FA" w:themeColor="accent5" w:themeTint="34" w:fill="E2F3FA" w:themeFill="accent5" w:themeFillTint="34"/>
      </w:tcPr>
    </w:tblStylePr>
  </w:style>
  <w:style w:type="table" w:styleId="BorderedLined-Accent6" w:customStyle="1">
    <w:name w:val="Bordered &amp; Lined - Accent 6"/>
    <w:basedOn w:val="TableauNormal"/>
    <w:uiPriority w:val="99"/>
    <w:rPr>
      <w:color w:val="404040"/>
      <w:sz w:val="20"/>
      <w:szCs w:val="20"/>
    </w:rPr>
    <w:tblPr>
      <w:tblStyleRowBandSize w:val="1"/>
      <w:tblStyleColBandSize w:val="1"/>
      <w:tblBorders>
        <w:top w:val="single" w:color="748001" w:themeColor="accent6" w:themeShade="95" w:sz="4" w:space="0"/>
        <w:left w:val="single" w:color="748001" w:themeColor="accent6" w:themeShade="95" w:sz="4" w:space="0"/>
        <w:bottom w:val="single" w:color="748001" w:themeColor="accent6" w:themeShade="95" w:sz="4" w:space="0"/>
        <w:right w:val="single" w:color="748001" w:themeColor="accent6" w:themeShade="95" w:sz="4" w:space="0"/>
        <w:insideH w:val="single" w:color="748001" w:themeColor="accent6" w:themeShade="95" w:sz="4" w:space="0"/>
        <w:insideV w:val="single" w:color="748001" w:themeColor="accent6" w:themeShade="95" w:sz="4" w:space="0"/>
      </w:tblBorders>
    </w:tblPr>
    <w:tblStylePr w:type="firstRow">
      <w:rPr>
        <w:rFonts w:ascii="Arial" w:hAnsi="Arial"/>
        <w:color w:val="F2F2F2"/>
        <w:sz w:val="22"/>
      </w:rPr>
      <w:tblPr/>
      <w:tcPr>
        <w:shd w:val="clear" w:color="C9DD03" w:themeColor="accent6" w:fill="C9DD03" w:themeFill="accent6"/>
      </w:tcPr>
    </w:tblStylePr>
    <w:tblStylePr w:type="lastRow">
      <w:rPr>
        <w:rFonts w:ascii="Arial" w:hAnsi="Arial"/>
        <w:color w:val="F2F2F2"/>
        <w:sz w:val="22"/>
      </w:rPr>
      <w:tblPr/>
      <w:tcPr>
        <w:shd w:val="clear" w:color="C9DD03" w:themeColor="accent6" w:fill="C9DD03" w:themeFill="accent6"/>
      </w:tcPr>
    </w:tblStylePr>
    <w:tblStylePr w:type="firstCol">
      <w:rPr>
        <w:rFonts w:ascii="Arial" w:hAnsi="Arial"/>
        <w:color w:val="F2F2F2"/>
        <w:sz w:val="22"/>
      </w:rPr>
      <w:tblPr/>
      <w:tcPr>
        <w:shd w:val="clear" w:color="C9DD03" w:themeColor="accent6" w:fill="C9DD03" w:themeFill="accent6"/>
      </w:tcPr>
    </w:tblStylePr>
    <w:tblStylePr w:type="lastCol">
      <w:rPr>
        <w:rFonts w:ascii="Arial" w:hAnsi="Arial"/>
        <w:color w:val="F2F2F2"/>
        <w:sz w:val="22"/>
      </w:rPr>
      <w:tblPr/>
      <w:tcPr>
        <w:shd w:val="clear" w:color="C9DD03" w:themeColor="accent6" w:fill="C9DD03"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8FEC5" w:themeColor="accent6" w:themeTint="34" w:fill="F8FEC5"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8FEC5" w:themeColor="accent6" w:themeTint="34" w:fill="F8FEC5" w:themeFill="accent6" w:themeFillTint="34"/>
      </w:tcPr>
    </w:tblStylePr>
  </w:style>
  <w:style w:type="table" w:styleId="Bordered" w:customStyle="1">
    <w:name w:val="Bordered"/>
    <w:basedOn w:val="TableauNormal"/>
    <w:uiPriority w:val="99"/>
    <w:tblPr>
      <w:tblStyleRowBandSize w:val="1"/>
      <w:tblStyleColBandSize w:val="1"/>
      <w:tbl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insideH w:val="single" w:color="D9D9D9" w:themeColor="text1" w:themeTint="26" w:sz="4" w:space="0"/>
        <w:insideV w:val="single" w:color="D9D9D9" w:themeColor="text1" w:themeTint="26" w:sz="4" w:space="0"/>
      </w:tblBorders>
    </w:tblPr>
    <w:tblStylePr w:type="firstRow">
      <w:rPr>
        <w:rFonts w:ascii="Arial" w:hAnsi="Arial"/>
        <w:color w:val="404040"/>
        <w:sz w:val="22"/>
      </w:rPr>
      <w:tblPr/>
      <w:tcPr>
        <w:tcBorders>
          <w:bottom w:val="single" w:color="7F7F7F" w:themeColor="text1" w:themeTint="80" w:sz="12" w:space="0"/>
        </w:tcBorders>
      </w:tcPr>
    </w:tblStylePr>
    <w:tblStylePr w:type="lastRow">
      <w:rPr>
        <w:rFonts w:ascii="Arial" w:hAnsi="Arial"/>
        <w:color w:val="404040"/>
        <w:sz w:val="22"/>
      </w:rPr>
      <w:tblPr/>
      <w:tcPr>
        <w:tcBorders>
          <w:top w:val="single" w:color="7F7F7F" w:themeColor="text1" w:themeTint="80"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7F7F7F" w:themeColor="text1" w:themeTint="80" w:sz="12" w:space="0"/>
        </w:tcBorders>
      </w:tcPr>
    </w:tblStylePr>
    <w:tblStylePr w:type="band1Horz">
      <w:rPr>
        <w:rFonts w:ascii="Arial" w:hAnsi="Arial"/>
        <w:color w:val="404040"/>
        <w:sz w:val="22"/>
      </w:rPr>
      <w:tblPr/>
      <w:tcPr>
        <w:tc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tcBorders>
      </w:tcPr>
    </w:tblStylePr>
  </w:style>
  <w:style w:type="table" w:styleId="Bordered-Accent1" w:customStyle="1">
    <w:name w:val="Bordered - Accent 1"/>
    <w:basedOn w:val="TableauNormal"/>
    <w:uiPriority w:val="99"/>
    <w:tblPr>
      <w:tblStyleRowBandSize w:val="1"/>
      <w:tblStyleColBandSize w:val="1"/>
      <w:tblBorders>
        <w:top w:val="single" w:color="6094FF" w:themeColor="accent1" w:themeTint="67" w:sz="4" w:space="0"/>
        <w:left w:val="single" w:color="6094FF" w:themeColor="accent1" w:themeTint="67" w:sz="4" w:space="0"/>
        <w:bottom w:val="single" w:color="6094FF" w:themeColor="accent1" w:themeTint="67" w:sz="4" w:space="0"/>
        <w:right w:val="single" w:color="6094FF" w:themeColor="accent1" w:themeTint="67" w:sz="4" w:space="0"/>
        <w:insideH w:val="single" w:color="6094FF" w:themeColor="accent1" w:themeTint="67" w:sz="4" w:space="0"/>
        <w:insideV w:val="single" w:color="6094FF" w:themeColor="accent1" w:themeTint="67" w:sz="4" w:space="0"/>
      </w:tblBorders>
    </w:tblPr>
    <w:tblStylePr w:type="firstRow">
      <w:rPr>
        <w:rFonts w:ascii="Arial" w:hAnsi="Arial"/>
        <w:color w:val="404040"/>
        <w:sz w:val="22"/>
      </w:rPr>
      <w:tblPr/>
      <w:tcPr>
        <w:tcBorders>
          <w:bottom w:val="single" w:color="002776" w:themeColor="accent1" w:sz="12" w:space="0"/>
        </w:tcBorders>
      </w:tcPr>
    </w:tblStylePr>
    <w:tblStylePr w:type="lastRow">
      <w:rPr>
        <w:rFonts w:ascii="Arial" w:hAnsi="Arial"/>
        <w:color w:val="404040"/>
        <w:sz w:val="22"/>
      </w:rPr>
      <w:tblPr/>
      <w:tcPr>
        <w:tcBorders>
          <w:top w:val="single" w:color="002776" w:themeColor="accent1"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002776" w:themeColor="accent1" w:sz="12" w:space="0"/>
        </w:tcBorders>
      </w:tcPr>
    </w:tblStylePr>
    <w:tblStylePr w:type="band1Horz">
      <w:rPr>
        <w:rFonts w:ascii="Arial" w:hAnsi="Arial"/>
        <w:color w:val="404040"/>
        <w:sz w:val="22"/>
      </w:rPr>
      <w:tblPr/>
      <w:tcPr>
        <w:tcBorders>
          <w:top w:val="single" w:color="6094FF" w:themeColor="accent1" w:themeTint="67" w:sz="4" w:space="0"/>
          <w:left w:val="single" w:color="6094FF" w:themeColor="accent1" w:themeTint="67" w:sz="4" w:space="0"/>
          <w:bottom w:val="single" w:color="6094FF" w:themeColor="accent1" w:themeTint="67" w:sz="4" w:space="0"/>
          <w:right w:val="single" w:color="6094FF" w:themeColor="accent1" w:themeTint="67" w:sz="4" w:space="0"/>
        </w:tcBorders>
      </w:tcPr>
    </w:tblStylePr>
  </w:style>
  <w:style w:type="table" w:styleId="Bordered-Accent2" w:customStyle="1">
    <w:name w:val="Bordered - Accent 2"/>
    <w:basedOn w:val="TableauNormal"/>
    <w:uiPriority w:val="99"/>
    <w:tblPr>
      <w:tblStyleRowBandSize w:val="1"/>
      <w:tblStyleColBandSize w:val="1"/>
      <w:tblBorders>
        <w:top w:val="single" w:color="D9FF86" w:themeColor="accent2" w:themeTint="67" w:sz="4" w:space="0"/>
        <w:left w:val="single" w:color="D9FF86" w:themeColor="accent2" w:themeTint="67" w:sz="4" w:space="0"/>
        <w:bottom w:val="single" w:color="D9FF86" w:themeColor="accent2" w:themeTint="67" w:sz="4" w:space="0"/>
        <w:right w:val="single" w:color="D9FF86" w:themeColor="accent2" w:themeTint="67" w:sz="4" w:space="0"/>
        <w:insideH w:val="single" w:color="D9FF86" w:themeColor="accent2" w:themeTint="67" w:sz="4" w:space="0"/>
        <w:insideV w:val="single" w:color="D9FF86" w:themeColor="accent2" w:themeTint="67" w:sz="4" w:space="0"/>
      </w:tblBorders>
    </w:tblPr>
    <w:tblStylePr w:type="firstRow">
      <w:rPr>
        <w:rFonts w:ascii="Arial" w:hAnsi="Arial"/>
        <w:color w:val="404040"/>
        <w:sz w:val="22"/>
      </w:rPr>
      <w:tblPr/>
      <w:tcPr>
        <w:tcBorders>
          <w:bottom w:val="single" w:color="C7FF4E" w:themeColor="accent2" w:themeTint="97" w:sz="12" w:space="0"/>
        </w:tcBorders>
      </w:tcPr>
    </w:tblStylePr>
    <w:tblStylePr w:type="lastRow">
      <w:rPr>
        <w:rFonts w:ascii="Arial" w:hAnsi="Arial"/>
        <w:color w:val="404040"/>
        <w:sz w:val="22"/>
      </w:rPr>
      <w:tblPr/>
      <w:tcPr>
        <w:tcBorders>
          <w:top w:val="single" w:color="C7FF4E" w:themeColor="accent2" w:themeTint="97"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C7FF4E" w:themeColor="accent2" w:themeTint="97" w:sz="12" w:space="0"/>
        </w:tcBorders>
      </w:tcPr>
    </w:tblStylePr>
    <w:tblStylePr w:type="band1Horz">
      <w:rPr>
        <w:rFonts w:ascii="Arial" w:hAnsi="Arial"/>
        <w:color w:val="404040"/>
        <w:sz w:val="22"/>
      </w:rPr>
      <w:tblPr/>
      <w:tcPr>
        <w:tcBorders>
          <w:top w:val="single" w:color="D9FF86" w:themeColor="accent2" w:themeTint="67" w:sz="4" w:space="0"/>
          <w:left w:val="single" w:color="D9FF86" w:themeColor="accent2" w:themeTint="67" w:sz="4" w:space="0"/>
          <w:bottom w:val="single" w:color="D9FF86" w:themeColor="accent2" w:themeTint="67" w:sz="4" w:space="0"/>
          <w:right w:val="single" w:color="D9FF86" w:themeColor="accent2" w:themeTint="67" w:sz="4" w:space="0"/>
        </w:tcBorders>
      </w:tcPr>
    </w:tblStylePr>
  </w:style>
  <w:style w:type="table" w:styleId="Bordered-Accent3" w:customStyle="1">
    <w:name w:val="Bordered - Accent 3"/>
    <w:basedOn w:val="TableauNormal"/>
    <w:uiPriority w:val="99"/>
    <w:tblPr>
      <w:tblStyleRowBandSize w:val="1"/>
      <w:tblStyleColBandSize w:val="1"/>
      <w:tblBorders>
        <w:top w:val="single" w:color="8ADEFF" w:themeColor="accent3" w:themeTint="67" w:sz="4" w:space="0"/>
        <w:left w:val="single" w:color="8ADEFF" w:themeColor="accent3" w:themeTint="67" w:sz="4" w:space="0"/>
        <w:bottom w:val="single" w:color="8ADEFF" w:themeColor="accent3" w:themeTint="67" w:sz="4" w:space="0"/>
        <w:right w:val="single" w:color="8ADEFF" w:themeColor="accent3" w:themeTint="67" w:sz="4" w:space="0"/>
        <w:insideH w:val="single" w:color="8ADEFF" w:themeColor="accent3" w:themeTint="67" w:sz="4" w:space="0"/>
        <w:insideV w:val="single" w:color="8ADEFF" w:themeColor="accent3" w:themeTint="67" w:sz="4" w:space="0"/>
      </w:tblBorders>
    </w:tblPr>
    <w:tblStylePr w:type="firstRow">
      <w:rPr>
        <w:rFonts w:ascii="Arial" w:hAnsi="Arial"/>
        <w:color w:val="404040"/>
        <w:sz w:val="22"/>
      </w:rPr>
      <w:tblPr/>
      <w:tcPr>
        <w:tcBorders>
          <w:bottom w:val="single" w:color="53CFFF" w:themeColor="accent3" w:themeTint="98" w:sz="12" w:space="0"/>
        </w:tcBorders>
      </w:tcPr>
    </w:tblStylePr>
    <w:tblStylePr w:type="lastRow">
      <w:rPr>
        <w:rFonts w:ascii="Arial" w:hAnsi="Arial"/>
        <w:color w:val="404040"/>
        <w:sz w:val="22"/>
      </w:rPr>
      <w:tblPr/>
      <w:tcPr>
        <w:tcBorders>
          <w:top w:val="single" w:color="53CFFF" w:themeColor="accent3" w:themeTint="98"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53CFFF" w:themeColor="accent3" w:themeTint="98" w:sz="12" w:space="0"/>
        </w:tcBorders>
      </w:tcPr>
    </w:tblStylePr>
    <w:tblStylePr w:type="band1Horz">
      <w:rPr>
        <w:rFonts w:ascii="Arial" w:hAnsi="Arial"/>
        <w:color w:val="404040"/>
        <w:sz w:val="22"/>
      </w:rPr>
      <w:tblPr/>
      <w:tcPr>
        <w:tcBorders>
          <w:top w:val="single" w:color="8ADEFF" w:themeColor="accent3" w:themeTint="67" w:sz="4" w:space="0"/>
          <w:left w:val="single" w:color="8ADEFF" w:themeColor="accent3" w:themeTint="67" w:sz="4" w:space="0"/>
          <w:bottom w:val="single" w:color="8ADEFF" w:themeColor="accent3" w:themeTint="67" w:sz="4" w:space="0"/>
          <w:right w:val="single" w:color="8ADEFF" w:themeColor="accent3" w:themeTint="67" w:sz="4" w:space="0"/>
        </w:tcBorders>
      </w:tcPr>
    </w:tblStylePr>
  </w:style>
  <w:style w:type="table" w:styleId="Bordered-Accent4" w:customStyle="1">
    <w:name w:val="Bordered - Accent 4"/>
    <w:basedOn w:val="TableauNormal"/>
    <w:uiPriority w:val="99"/>
    <w:tblPr>
      <w:tblStyleRowBandSize w:val="1"/>
      <w:tblStyleColBandSize w:val="1"/>
      <w:tblBorders>
        <w:top w:val="single" w:color="A5DE9C" w:themeColor="accent4" w:themeTint="67" w:sz="4" w:space="0"/>
        <w:left w:val="single" w:color="A5DE9C" w:themeColor="accent4" w:themeTint="67" w:sz="4" w:space="0"/>
        <w:bottom w:val="single" w:color="A5DE9C" w:themeColor="accent4" w:themeTint="67" w:sz="4" w:space="0"/>
        <w:right w:val="single" w:color="A5DE9C" w:themeColor="accent4" w:themeTint="67" w:sz="4" w:space="0"/>
        <w:insideH w:val="single" w:color="A5DE9C" w:themeColor="accent4" w:themeTint="67" w:sz="4" w:space="0"/>
        <w:insideV w:val="single" w:color="A5DE9C" w:themeColor="accent4" w:themeTint="67" w:sz="4" w:space="0"/>
      </w:tblBorders>
    </w:tblPr>
    <w:tblStylePr w:type="firstRow">
      <w:rPr>
        <w:rFonts w:ascii="Arial" w:hAnsi="Arial"/>
        <w:color w:val="404040"/>
        <w:sz w:val="22"/>
      </w:rPr>
      <w:tblPr/>
      <w:tcPr>
        <w:tcBorders>
          <w:bottom w:val="single" w:color="79CD6B" w:themeColor="accent4" w:themeTint="9A" w:sz="12" w:space="0"/>
        </w:tcBorders>
      </w:tcPr>
    </w:tblStylePr>
    <w:tblStylePr w:type="lastRow">
      <w:rPr>
        <w:rFonts w:ascii="Arial" w:hAnsi="Arial"/>
        <w:color w:val="404040"/>
        <w:sz w:val="22"/>
      </w:rPr>
      <w:tblPr/>
      <w:tcPr>
        <w:tcBorders>
          <w:top w:val="single" w:color="79CD6B" w:themeColor="accent4" w:themeTint="9A"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79CD6B" w:themeColor="accent4" w:themeTint="9A" w:sz="12" w:space="0"/>
        </w:tcBorders>
      </w:tcPr>
    </w:tblStylePr>
    <w:tblStylePr w:type="band1Horz">
      <w:rPr>
        <w:rFonts w:ascii="Arial" w:hAnsi="Arial"/>
        <w:color w:val="404040"/>
        <w:sz w:val="22"/>
      </w:rPr>
      <w:tblPr/>
      <w:tcPr>
        <w:tcBorders>
          <w:top w:val="single" w:color="A5DE9C" w:themeColor="accent4" w:themeTint="67" w:sz="4" w:space="0"/>
          <w:left w:val="single" w:color="A5DE9C" w:themeColor="accent4" w:themeTint="67" w:sz="4" w:space="0"/>
          <w:bottom w:val="single" w:color="A5DE9C" w:themeColor="accent4" w:themeTint="67" w:sz="4" w:space="0"/>
          <w:right w:val="single" w:color="A5DE9C" w:themeColor="accent4" w:themeTint="67" w:sz="4" w:space="0"/>
        </w:tcBorders>
      </w:tcPr>
    </w:tblStylePr>
  </w:style>
  <w:style w:type="table" w:styleId="Bordered-Accent5" w:customStyle="1">
    <w:name w:val="Bordered - Accent 5"/>
    <w:basedOn w:val="TableauNormal"/>
    <w:uiPriority w:val="99"/>
    <w:tblPr>
      <w:tblStyleRowBandSize w:val="1"/>
      <w:tblStyleColBandSize w:val="1"/>
      <w:tblBorders>
        <w:top w:val="single" w:color="C6E8F5" w:themeColor="accent5" w:themeTint="67" w:sz="4" w:space="0"/>
        <w:left w:val="single" w:color="C6E8F5" w:themeColor="accent5" w:themeTint="67" w:sz="4" w:space="0"/>
        <w:bottom w:val="single" w:color="C6E8F5" w:themeColor="accent5" w:themeTint="67" w:sz="4" w:space="0"/>
        <w:right w:val="single" w:color="C6E8F5" w:themeColor="accent5" w:themeTint="67" w:sz="4" w:space="0"/>
        <w:insideH w:val="single" w:color="C6E8F5" w:themeColor="accent5" w:themeTint="67" w:sz="4" w:space="0"/>
        <w:insideV w:val="single" w:color="C6E8F5" w:themeColor="accent5" w:themeTint="67" w:sz="4" w:space="0"/>
      </w:tblBorders>
    </w:tblPr>
    <w:tblStylePr w:type="firstRow">
      <w:rPr>
        <w:rFonts w:ascii="Arial" w:hAnsi="Arial"/>
        <w:color w:val="404040"/>
        <w:sz w:val="22"/>
      </w:rPr>
      <w:tblPr/>
      <w:tcPr>
        <w:tcBorders>
          <w:bottom w:val="single" w:color="A9DDF0" w:themeColor="accent5" w:themeTint="9A" w:sz="12" w:space="0"/>
        </w:tcBorders>
      </w:tcPr>
    </w:tblStylePr>
    <w:tblStylePr w:type="lastRow">
      <w:rPr>
        <w:rFonts w:ascii="Arial" w:hAnsi="Arial"/>
        <w:color w:val="404040"/>
        <w:sz w:val="22"/>
      </w:rPr>
      <w:tblPr/>
      <w:tcPr>
        <w:tcBorders>
          <w:top w:val="single" w:color="A9DDF0" w:themeColor="accent5" w:themeTint="9A"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A9DDF0" w:themeColor="accent5" w:themeTint="9A" w:sz="12" w:space="0"/>
        </w:tcBorders>
      </w:tcPr>
    </w:tblStylePr>
    <w:tblStylePr w:type="band1Horz">
      <w:rPr>
        <w:rFonts w:ascii="Arial" w:hAnsi="Arial"/>
        <w:color w:val="404040"/>
        <w:sz w:val="22"/>
      </w:rPr>
      <w:tblPr/>
      <w:tcPr>
        <w:tcBorders>
          <w:top w:val="single" w:color="C6E8F5" w:themeColor="accent5" w:themeTint="67" w:sz="4" w:space="0"/>
          <w:left w:val="single" w:color="C6E8F5" w:themeColor="accent5" w:themeTint="67" w:sz="4" w:space="0"/>
          <w:bottom w:val="single" w:color="C6E8F5" w:themeColor="accent5" w:themeTint="67" w:sz="4" w:space="0"/>
          <w:right w:val="single" w:color="C6E8F5" w:themeColor="accent5" w:themeTint="67" w:sz="4" w:space="0"/>
        </w:tcBorders>
      </w:tcPr>
    </w:tblStylePr>
  </w:style>
  <w:style w:type="table" w:styleId="Bordered-Accent6" w:customStyle="1">
    <w:name w:val="Bordered - Accent 6"/>
    <w:basedOn w:val="TableauNormal"/>
    <w:uiPriority w:val="99"/>
    <w:tblPr>
      <w:tblStyleRowBandSize w:val="1"/>
      <w:tblStyleColBandSize w:val="1"/>
      <w:tblBorders>
        <w:top w:val="single" w:color="F2FD8C" w:themeColor="accent6" w:themeTint="67" w:sz="4" w:space="0"/>
        <w:left w:val="single" w:color="F2FD8C" w:themeColor="accent6" w:themeTint="67" w:sz="4" w:space="0"/>
        <w:bottom w:val="single" w:color="F2FD8C" w:themeColor="accent6" w:themeTint="67" w:sz="4" w:space="0"/>
        <w:right w:val="single" w:color="F2FD8C" w:themeColor="accent6" w:themeTint="67" w:sz="4" w:space="0"/>
        <w:insideH w:val="single" w:color="F2FD8C" w:themeColor="accent6" w:themeTint="67" w:sz="4" w:space="0"/>
        <w:insideV w:val="single" w:color="F2FD8C" w:themeColor="accent6" w:themeTint="67" w:sz="4" w:space="0"/>
      </w:tblBorders>
    </w:tblPr>
    <w:tblStylePr w:type="firstRow">
      <w:rPr>
        <w:rFonts w:ascii="Arial" w:hAnsi="Arial"/>
        <w:color w:val="404040"/>
        <w:sz w:val="22"/>
      </w:rPr>
      <w:tblPr/>
      <w:tcPr>
        <w:tcBorders>
          <w:bottom w:val="single" w:color="EDFC56" w:themeColor="accent6" w:themeTint="98" w:sz="12" w:space="0"/>
        </w:tcBorders>
      </w:tcPr>
    </w:tblStylePr>
    <w:tblStylePr w:type="lastRow">
      <w:rPr>
        <w:rFonts w:ascii="Arial" w:hAnsi="Arial"/>
        <w:color w:val="404040"/>
        <w:sz w:val="22"/>
      </w:rPr>
      <w:tblPr/>
      <w:tcPr>
        <w:tcBorders>
          <w:top w:val="single" w:color="EDFC56" w:themeColor="accent6" w:themeTint="98" w:sz="12" w:space="0"/>
        </w:tcBorders>
      </w:tcPr>
    </w:tblStylePr>
    <w:tblStylePr w:type="firstCol">
      <w:rPr>
        <w:rFonts w:ascii="Arial" w:hAnsi="Arial"/>
        <w:color w:val="404040"/>
        <w:sz w:val="22"/>
      </w:rPr>
    </w:tblStylePr>
    <w:tblStylePr w:type="lastCol">
      <w:rPr>
        <w:rFonts w:ascii="Arial" w:hAnsi="Arial"/>
        <w:color w:val="404040"/>
        <w:sz w:val="22"/>
      </w:rPr>
      <w:tblPr/>
      <w:tcPr>
        <w:tcBorders>
          <w:left w:val="single" w:color="EDFC56" w:themeColor="accent6" w:themeTint="98" w:sz="12" w:space="0"/>
        </w:tcBorders>
      </w:tcPr>
    </w:tblStylePr>
    <w:tblStylePr w:type="band1Horz">
      <w:rPr>
        <w:rFonts w:ascii="Arial" w:hAnsi="Arial"/>
        <w:color w:val="404040"/>
        <w:sz w:val="22"/>
      </w:rPr>
      <w:tblPr/>
      <w:tcPr>
        <w:tcBorders>
          <w:top w:val="single" w:color="F2FD8C" w:themeColor="accent6" w:themeTint="67" w:sz="4" w:space="0"/>
          <w:left w:val="single" w:color="F2FD8C" w:themeColor="accent6" w:themeTint="67" w:sz="4" w:space="0"/>
          <w:bottom w:val="single" w:color="F2FD8C" w:themeColor="accent6" w:themeTint="67" w:sz="4" w:space="0"/>
          <w:right w:val="single" w:color="F2FD8C" w:themeColor="accent6" w:themeTint="67" w:sz="4" w:space="0"/>
        </w:tcBorders>
      </w:tcPr>
    </w:tblStylePr>
  </w:style>
  <w:style w:type="character" w:styleId="Heading1Char" w:customStyle="1">
    <w:name w:val="Heading 1 Char"/>
    <w:basedOn w:val="Policepardfaut"/>
    <w:uiPriority w:val="9"/>
    <w:rPr>
      <w:rFonts w:ascii="Arial" w:hAnsi="Arial" w:eastAsia="Arial" w:cs="Arial"/>
      <w:color w:val="001D58" w:themeColor="accent1" w:themeShade="BF"/>
      <w:sz w:val="40"/>
      <w:szCs w:val="40"/>
    </w:rPr>
  </w:style>
  <w:style w:type="character" w:styleId="Heading2Char" w:customStyle="1">
    <w:name w:val="Heading 2 Char"/>
    <w:basedOn w:val="Policepardfaut"/>
    <w:uiPriority w:val="9"/>
    <w:rPr>
      <w:rFonts w:ascii="Arial" w:hAnsi="Arial" w:eastAsia="Arial" w:cs="Arial"/>
      <w:color w:val="001D58" w:themeColor="accent1" w:themeShade="BF"/>
      <w:sz w:val="32"/>
      <w:szCs w:val="32"/>
    </w:rPr>
  </w:style>
  <w:style w:type="character" w:styleId="Heading3Char" w:customStyle="1">
    <w:name w:val="Heading 3 Char"/>
    <w:basedOn w:val="Policepardfaut"/>
    <w:uiPriority w:val="9"/>
    <w:rPr>
      <w:rFonts w:ascii="Arial" w:hAnsi="Arial" w:eastAsia="Arial" w:cs="Arial"/>
      <w:color w:val="001D58" w:themeColor="accent1" w:themeShade="BF"/>
      <w:sz w:val="28"/>
      <w:szCs w:val="28"/>
    </w:rPr>
  </w:style>
  <w:style w:type="character" w:styleId="Heading4Char" w:customStyle="1">
    <w:name w:val="Heading 4 Char"/>
    <w:basedOn w:val="Policepardfaut"/>
    <w:uiPriority w:val="9"/>
    <w:rPr>
      <w:rFonts w:ascii="Arial" w:hAnsi="Arial" w:eastAsia="Arial" w:cs="Arial"/>
      <w:i/>
      <w:iCs/>
      <w:color w:val="001D58" w:themeColor="accent1" w:themeShade="BF"/>
    </w:rPr>
  </w:style>
  <w:style w:type="character" w:styleId="Heading5Char" w:customStyle="1">
    <w:name w:val="Heading 5 Char"/>
    <w:basedOn w:val="Policepardfaut"/>
    <w:uiPriority w:val="9"/>
    <w:rPr>
      <w:rFonts w:ascii="Arial" w:hAnsi="Arial" w:eastAsia="Arial" w:cs="Arial"/>
      <w:color w:val="001D58" w:themeColor="accent1" w:themeShade="BF"/>
    </w:rPr>
  </w:style>
  <w:style w:type="character" w:styleId="Heading6Char" w:customStyle="1">
    <w:name w:val="Heading 6 Char"/>
    <w:basedOn w:val="Policepardfaut"/>
    <w:uiPriority w:val="9"/>
    <w:rPr>
      <w:rFonts w:ascii="Arial" w:hAnsi="Arial" w:eastAsia="Arial" w:cs="Arial"/>
      <w:i/>
      <w:iCs/>
      <w:color w:val="595959" w:themeColor="text1" w:themeTint="A6"/>
    </w:rPr>
  </w:style>
  <w:style w:type="character" w:styleId="Heading7Char" w:customStyle="1">
    <w:name w:val="Heading 7 Char"/>
    <w:basedOn w:val="Policepardfaut"/>
    <w:uiPriority w:val="9"/>
    <w:rPr>
      <w:rFonts w:ascii="Arial" w:hAnsi="Arial" w:eastAsia="Arial" w:cs="Arial"/>
      <w:color w:val="595959" w:themeColor="text1" w:themeTint="A6"/>
    </w:rPr>
  </w:style>
  <w:style w:type="character" w:styleId="Heading8Char" w:customStyle="1">
    <w:name w:val="Heading 8 Char"/>
    <w:basedOn w:val="Policepardfaut"/>
    <w:uiPriority w:val="9"/>
    <w:rPr>
      <w:rFonts w:ascii="Arial" w:hAnsi="Arial" w:eastAsia="Arial" w:cs="Arial"/>
      <w:i/>
      <w:iCs/>
      <w:color w:val="272727" w:themeColor="text1" w:themeTint="D8"/>
    </w:rPr>
  </w:style>
  <w:style w:type="character" w:styleId="Heading9Char" w:customStyle="1">
    <w:name w:val="Heading 9 Char"/>
    <w:basedOn w:val="Policepardfaut"/>
    <w:uiPriority w:val="9"/>
    <w:rPr>
      <w:rFonts w:ascii="Arial" w:hAnsi="Arial" w:eastAsia="Arial" w:cs="Arial"/>
      <w:i/>
      <w:iCs/>
      <w:color w:val="272727" w:themeColor="text1" w:themeTint="D8"/>
    </w:rPr>
  </w:style>
  <w:style w:type="character" w:styleId="TitleChar" w:customStyle="1">
    <w:name w:val="Title Char"/>
    <w:basedOn w:val="Policepardfaut"/>
    <w:uiPriority w:val="10"/>
    <w:rPr>
      <w:rFonts w:ascii="Arial" w:hAnsi="Arial" w:eastAsia="Arial" w:cs="Arial"/>
      <w:spacing w:val="-10"/>
      <w:sz w:val="56"/>
      <w:szCs w:val="56"/>
    </w:rPr>
  </w:style>
  <w:style w:type="character" w:styleId="SubtitleChar" w:customStyle="1">
    <w:name w:val="Subtitle Char"/>
    <w:basedOn w:val="Policepardfaut"/>
    <w:uiPriority w:val="11"/>
    <w:rPr>
      <w:color w:val="595959" w:themeColor="text1" w:themeTint="A6"/>
      <w:spacing w:val="15"/>
      <w:sz w:val="28"/>
      <w:szCs w:val="28"/>
    </w:rPr>
  </w:style>
  <w:style w:type="character" w:styleId="QuoteChar" w:customStyle="1">
    <w:name w:val="Quote Char"/>
    <w:basedOn w:val="Policepardfaut"/>
    <w:uiPriority w:val="29"/>
    <w:rPr>
      <w:i/>
      <w:iCs/>
      <w:color w:val="404040" w:themeColor="text1" w:themeTint="BF"/>
    </w:rPr>
  </w:style>
  <w:style w:type="character" w:styleId="IntenseQuoteChar" w:customStyle="1">
    <w:name w:val="Intense Quote Char"/>
    <w:basedOn w:val="Policepardfaut"/>
    <w:uiPriority w:val="30"/>
    <w:rPr>
      <w:i/>
      <w:iCs/>
      <w:color w:val="001D58" w:themeColor="accent1" w:themeShade="BF"/>
    </w:rPr>
  </w:style>
  <w:style w:type="character" w:styleId="HeaderChar" w:customStyle="1">
    <w:name w:val="Header Char"/>
    <w:basedOn w:val="Policepardfaut"/>
    <w:uiPriority w:val="99"/>
  </w:style>
  <w:style w:type="character" w:styleId="FooterChar" w:customStyle="1">
    <w:name w:val="Footer Char"/>
    <w:basedOn w:val="Policepardfaut"/>
    <w:uiPriority w:val="99"/>
  </w:style>
  <w:style w:type="character" w:styleId="FootnoteTextChar" w:customStyle="1">
    <w:name w:val="Footnote Text Char"/>
    <w:basedOn w:val="Policepardfaut"/>
    <w:uiPriority w:val="99"/>
    <w:semiHidden/>
    <w:rPr>
      <w:sz w:val="20"/>
      <w:szCs w:val="20"/>
    </w:rPr>
  </w:style>
  <w:style w:type="paragraph" w:styleId="Notedefin">
    <w:name w:val="endnote text"/>
    <w:basedOn w:val="Normal"/>
    <w:link w:val="NotedefinCar"/>
    <w:uiPriority w:val="99"/>
    <w:semiHidden/>
    <w:unhideWhenUsed/>
    <w:pPr>
      <w:spacing w:after="0"/>
    </w:pPr>
    <w:rPr>
      <w:sz w:val="20"/>
      <w:szCs w:val="20"/>
    </w:rPr>
  </w:style>
  <w:style w:type="character" w:styleId="NotedefinCar" w:customStyle="1">
    <w:name w:val="Note de fin Car"/>
    <w:basedOn w:val="Policepardfaut"/>
    <w:link w:val="Notedefin"/>
    <w:uiPriority w:val="99"/>
    <w:semiHidden/>
    <w:rPr>
      <w:sz w:val="20"/>
      <w:szCs w:val="20"/>
    </w:rPr>
  </w:style>
  <w:style w:type="paragraph" w:styleId="Tabledesillustrations">
    <w:name w:val="table of figures"/>
    <w:basedOn w:val="Normal"/>
    <w:next w:val="Normal"/>
    <w:uiPriority w:val="99"/>
    <w:unhideWhenUsed/>
    <w:pPr>
      <w:spacing w:after="0"/>
    </w:pPr>
  </w:style>
  <w:style w:type="character" w:styleId="Titre1Car" w:customStyle="1">
    <w:name w:val="Titre 1 Car"/>
    <w:link w:val="Titre1"/>
    <w:qFormat/>
    <w:rPr>
      <w:b/>
      <w:caps/>
      <w:color w:val="03A3A6"/>
      <w:sz w:val="32"/>
    </w:rPr>
  </w:style>
  <w:style w:type="character" w:styleId="Titre2Car" w:customStyle="1">
    <w:name w:val="Titre 2 Car"/>
    <w:link w:val="Titre2"/>
    <w:qFormat/>
    <w:rPr>
      <w:smallCaps/>
      <w:color w:val="03A3A6"/>
      <w:sz w:val="28"/>
    </w:rPr>
  </w:style>
  <w:style w:type="character" w:styleId="Titre3Car" w:customStyle="1">
    <w:name w:val="Titre 3 Car"/>
    <w:link w:val="Titre3"/>
    <w:qFormat/>
    <w:rPr>
      <w:smallCaps/>
      <w:color w:val="03A3A6"/>
      <w:sz w:val="24"/>
    </w:rPr>
  </w:style>
  <w:style w:type="character" w:styleId="Titre4Car" w:customStyle="1">
    <w:name w:val="Titre 4 Car"/>
    <w:link w:val="Titre4"/>
    <w:qFormat/>
    <w:rPr>
      <w:color w:val="03A6A3"/>
      <w:szCs w:val="20"/>
    </w:rPr>
  </w:style>
  <w:style w:type="character" w:styleId="Puce2sanspuceCar" w:customStyle="1">
    <w:name w:val="Puce 2 (sans puce) Car"/>
    <w:basedOn w:val="Puce2Car"/>
    <w:link w:val="Puce2sanspuce"/>
    <w:qFormat/>
    <w:rPr>
      <w:rFonts w:ascii="Arial" w:hAnsi="Arial" w:cs="Arial"/>
      <w:sz w:val="20"/>
      <w:szCs w:val="22"/>
    </w:rPr>
  </w:style>
  <w:style w:type="character" w:styleId="Titre5Car" w:customStyle="1">
    <w:name w:val="Titre 5 Car"/>
    <w:basedOn w:val="Policepardfaut"/>
    <w:link w:val="Titre5"/>
    <w:qFormat/>
    <w:rPr>
      <w:b/>
      <w:i/>
      <w:color w:val="03A6A3"/>
    </w:rPr>
  </w:style>
  <w:style w:type="character" w:styleId="Emphasenoir" w:customStyle="1">
    <w:name w:val="Emphase noir"/>
    <w:uiPriority w:val="1"/>
    <w:qFormat/>
    <w:rPr>
      <w:b/>
      <w:i/>
    </w:rPr>
  </w:style>
  <w:style w:type="character" w:styleId="Titre6Car" w:customStyle="1">
    <w:name w:val="Titre 6 Car"/>
    <w:basedOn w:val="Policepardfaut"/>
    <w:link w:val="Titre6"/>
    <w:qFormat/>
    <w:rPr>
      <w:sz w:val="20"/>
    </w:rPr>
  </w:style>
  <w:style w:type="character" w:styleId="Titre7Car" w:customStyle="1">
    <w:name w:val="Titre 7 Car"/>
    <w:basedOn w:val="Policepardfaut"/>
    <w:link w:val="Titre7"/>
    <w:qFormat/>
    <w:rPr>
      <w:rFonts w:ascii="Arial" w:hAnsi="Arial" w:cs="Arial"/>
      <w:sz w:val="20"/>
    </w:rPr>
  </w:style>
  <w:style w:type="character" w:styleId="Titre8Car" w:customStyle="1">
    <w:name w:val="Titre 8 Car"/>
    <w:basedOn w:val="Policepardfaut"/>
    <w:link w:val="Titre8"/>
    <w:qFormat/>
    <w:rPr>
      <w:rFonts w:ascii="Arial" w:hAnsi="Arial" w:cs="Arial"/>
      <w:i/>
      <w:sz w:val="20"/>
    </w:rPr>
  </w:style>
  <w:style w:type="character" w:styleId="Titre9Car" w:customStyle="1">
    <w:name w:val="Titre 9 Car"/>
    <w:basedOn w:val="Policepardfaut"/>
    <w:link w:val="Titre9"/>
    <w:qFormat/>
    <w:rPr>
      <w:rFonts w:ascii="Arial" w:hAnsi="Arial" w:cs="Arial"/>
      <w:i/>
      <w:sz w:val="18"/>
    </w:rPr>
  </w:style>
  <w:style w:type="character" w:styleId="Tableau-TitreblancCar" w:customStyle="1">
    <w:name w:val="Tableau - Titre blanc Car"/>
    <w:basedOn w:val="Policepardfaut"/>
    <w:link w:val="Tableau-Titreblanc"/>
    <w:qFormat/>
    <w:rPr>
      <w:rFonts w:ascii="Arial" w:hAnsi="Arial" w:cs="Arial"/>
      <w:b/>
      <w:color w:val="FFFFFF" w:themeColor="background1"/>
      <w:szCs w:val="22"/>
    </w:rPr>
  </w:style>
  <w:style w:type="character" w:styleId="PieddepageCar" w:customStyle="1">
    <w:name w:val="Pied de page Car"/>
    <w:basedOn w:val="Policepardfaut"/>
    <w:link w:val="Pieddepage"/>
    <w:uiPriority w:val="99"/>
    <w:qFormat/>
    <w:rPr>
      <w:rFonts w:ascii="Arial" w:hAnsi="Arial" w:cs="Arial"/>
      <w:sz w:val="16"/>
      <w:szCs w:val="16"/>
    </w:rPr>
  </w:style>
  <w:style w:type="character" w:styleId="Italique" w:customStyle="1">
    <w:name w:val="Italique"/>
    <w:qFormat/>
    <w:rPr>
      <w:i/>
      <w:iCs/>
    </w:rPr>
  </w:style>
  <w:style w:type="character" w:styleId="Gras" w:customStyle="1">
    <w:name w:val="Gras"/>
    <w:qFormat/>
    <w:rPr>
      <w:b/>
      <w:bCs/>
    </w:rPr>
  </w:style>
  <w:style w:type="character" w:styleId="FootnoteCharactersuser" w:customStyle="1">
    <w:name w:val="Footnote Characters (user)"/>
    <w:uiPriority w:val="99"/>
    <w:semiHidden/>
    <w:qFormat/>
    <w:rPr>
      <w:rFonts w:ascii="Helv" w:hAnsi="Helv"/>
      <w:b/>
      <w:sz w:val="16"/>
      <w:vertAlign w:val="superscript"/>
      <w:lang w:val="fr-FR"/>
    </w:rPr>
  </w:style>
  <w:style w:type="character" w:styleId="FootnoteCharacters" w:customStyle="1">
    <w:name w:val="Footnote Characters"/>
    <w:qFormat/>
    <w:rPr>
      <w:rFonts w:ascii="Helv" w:hAnsi="Helv"/>
      <w:b/>
      <w:sz w:val="16"/>
      <w:vertAlign w:val="superscript"/>
      <w:lang w:val="fr-FR"/>
    </w:rPr>
  </w:style>
  <w:style w:type="character" w:styleId="Appelnotedebasdep">
    <w:name w:val="footnote reference"/>
    <w:rPr>
      <w:rFonts w:ascii="Helv" w:hAnsi="Helv"/>
      <w:b/>
      <w:sz w:val="16"/>
      <w:vertAlign w:val="superscript"/>
      <w:lang w:val="fr-FR"/>
    </w:rPr>
  </w:style>
  <w:style w:type="character" w:styleId="NotedebasdepageCar" w:customStyle="1">
    <w:name w:val="Note de bas de page Car"/>
    <w:basedOn w:val="Policepardfaut"/>
    <w:link w:val="Notedebasdepage"/>
    <w:uiPriority w:val="99"/>
    <w:qFormat/>
    <w:rPr>
      <w:rFonts w:ascii="Arial" w:hAnsi="Arial"/>
      <w:sz w:val="18"/>
    </w:rPr>
  </w:style>
  <w:style w:type="character" w:styleId="Sommaire" w:customStyle="1">
    <w:name w:val="Sommaire"/>
    <w:basedOn w:val="Policepardfaut"/>
    <w:uiPriority w:val="1"/>
    <w:qFormat/>
    <w:rPr>
      <w:rFonts w:eastAsia="Times New Roman" w:asciiTheme="minorHAnsi" w:hAnsiTheme="minorHAnsi" w:cstheme="minorHAnsi"/>
      <w:color w:val="03A3A6"/>
      <w:sz w:val="22"/>
      <w:szCs w:val="22"/>
    </w:rPr>
  </w:style>
  <w:style w:type="character" w:styleId="En-tteCar" w:customStyle="1">
    <w:name w:val="En-tête Car"/>
    <w:basedOn w:val="Policepardfaut"/>
    <w:link w:val="En-tte"/>
    <w:uiPriority w:val="99"/>
    <w:qFormat/>
    <w:rPr>
      <w:rFonts w:ascii="Arial" w:hAnsi="Arial" w:cs="Arial"/>
      <w:szCs w:val="22"/>
    </w:rPr>
  </w:style>
  <w:style w:type="character" w:styleId="Lienhypertexte">
    <w:name w:val="Hyperlink"/>
    <w:uiPriority w:val="99"/>
    <w:rPr>
      <w:color w:val="0000FF"/>
      <w:u w:val="single"/>
    </w:rPr>
  </w:style>
  <w:style w:type="character" w:styleId="TitreCar" w:customStyle="1">
    <w:name w:val="Titre Car"/>
    <w:basedOn w:val="Policepardfaut"/>
    <w:link w:val="Titre"/>
    <w:uiPriority w:val="10"/>
    <w:qFormat/>
    <w:rPr>
      <w:rFonts w:ascii="Arial Gras" w:hAnsi="Arial Gras" w:eastAsia="Times" w:cs="Arial"/>
      <w:b/>
      <w:smallCaps/>
      <w:color w:val="6C9E00" w:themeColor="accent2" w:themeShade="BF"/>
      <w:sz w:val="40"/>
      <w:szCs w:val="22"/>
    </w:rPr>
  </w:style>
  <w:style w:type="character" w:styleId="Puce2Car" w:customStyle="1">
    <w:name w:val="Puce 2 Car"/>
    <w:basedOn w:val="Puce1Car"/>
    <w:link w:val="Puce2"/>
    <w:qFormat/>
    <w:rPr>
      <w:rFonts w:ascii="Calibri" w:hAnsi="Calibri" w:cs="Arial"/>
    </w:rPr>
  </w:style>
  <w:style w:type="character" w:styleId="TextedebullesCar" w:customStyle="1">
    <w:name w:val="Texte de bulles Car"/>
    <w:basedOn w:val="Policepardfaut"/>
    <w:link w:val="Textedebulles"/>
    <w:uiPriority w:val="99"/>
    <w:semiHidden/>
    <w:qFormat/>
    <w:rPr>
      <w:rFonts w:ascii="Tahoma" w:hAnsi="Tahoma" w:cs="Tahoma"/>
      <w:sz w:val="16"/>
      <w:szCs w:val="16"/>
    </w:rPr>
  </w:style>
  <w:style w:type="character" w:styleId="Marquedecommentaire">
    <w:name w:val="annotation reference"/>
    <w:uiPriority w:val="99"/>
    <w:semiHidden/>
    <w:qFormat/>
    <w:rPr>
      <w:sz w:val="16"/>
      <w:szCs w:val="16"/>
    </w:rPr>
  </w:style>
  <w:style w:type="character" w:styleId="ObjetducommentaireCar" w:customStyle="1">
    <w:name w:val="Objet du commentaire Car"/>
    <w:basedOn w:val="Policepardfaut"/>
    <w:link w:val="Objetducommentaire"/>
    <w:uiPriority w:val="99"/>
    <w:semiHidden/>
    <w:qFormat/>
    <w:rPr>
      <w:rFonts w:ascii="Arial" w:hAnsi="Arial" w:cs="Arial"/>
      <w:b/>
      <w:bCs/>
      <w:sz w:val="22"/>
      <w:szCs w:val="22"/>
    </w:rPr>
  </w:style>
  <w:style w:type="character" w:styleId="Tableau-NormalCar" w:customStyle="1">
    <w:name w:val="Tableau - Normal Car"/>
    <w:basedOn w:val="Policepardfaut"/>
    <w:link w:val="Tableau-Normal"/>
    <w:qFormat/>
    <w:rPr>
      <w:rFonts w:ascii="Calibri" w:hAnsi="Calibri" w:cs="Arial"/>
    </w:rPr>
  </w:style>
  <w:style w:type="character" w:styleId="Accentuationintense">
    <w:name w:val="Intense Emphasis"/>
    <w:uiPriority w:val="21"/>
    <w:qFormat/>
    <w:rPr>
      <w:b/>
      <w:bCs/>
      <w:i/>
      <w:iCs/>
      <w:color w:val="6C9E00" w:themeColor="accent2" w:themeShade="BF"/>
    </w:rPr>
  </w:style>
  <w:style w:type="character" w:styleId="Tableau-Puce1Car" w:customStyle="1">
    <w:name w:val="Tableau - Puce 1 Car"/>
    <w:basedOn w:val="Tableau-NormalCar"/>
    <w:link w:val="Tableau-Puce1"/>
    <w:qFormat/>
    <w:rPr>
      <w:rFonts w:ascii="Calibri" w:hAnsi="Calibri" w:cs="Arial"/>
    </w:rPr>
  </w:style>
  <w:style w:type="character" w:styleId="Tableau-Puce2Car" w:customStyle="1">
    <w:name w:val="Tableau - Puce 2 Car"/>
    <w:basedOn w:val="Tableau-Puce1Car"/>
    <w:link w:val="Tableau-Puce2"/>
    <w:qFormat/>
    <w:rPr>
      <w:rFonts w:ascii="Calibri" w:hAnsi="Calibri" w:cs="Arial"/>
      <w:sz w:val="16"/>
    </w:rPr>
  </w:style>
  <w:style w:type="character" w:styleId="Puce1Car" w:customStyle="1">
    <w:name w:val="Puce 1 Car"/>
    <w:basedOn w:val="Policepardfaut"/>
    <w:link w:val="Puce1"/>
    <w:qFormat/>
    <w:rPr>
      <w:rFonts w:ascii="Calibri" w:hAnsi="Calibri" w:cs="Arial"/>
    </w:rPr>
  </w:style>
  <w:style w:type="character" w:styleId="Sous-titreCar" w:customStyle="1">
    <w:name w:val="Sous-titre Car"/>
    <w:basedOn w:val="Policepardfaut"/>
    <w:link w:val="Sous-titre"/>
    <w:uiPriority w:val="11"/>
    <w:qFormat/>
    <w:rPr>
      <w:rFonts w:ascii="Arial" w:hAnsi="Arial" w:cs="Arial"/>
      <w:b/>
      <w:color w:val="6C9E00" w:themeColor="accent2" w:themeShade="BF"/>
      <w:sz w:val="28"/>
      <w:szCs w:val="22"/>
    </w:rPr>
  </w:style>
  <w:style w:type="character" w:styleId="Puce3Car" w:customStyle="1">
    <w:name w:val="Puce 3 Car"/>
    <w:basedOn w:val="Puce2Car"/>
    <w:link w:val="Puce3"/>
    <w:qFormat/>
    <w:rPr>
      <w:rFonts w:ascii="Calibri" w:hAnsi="Calibri" w:cs="Arial"/>
    </w:rPr>
  </w:style>
  <w:style w:type="character" w:styleId="Puce1sanspuceCar" w:customStyle="1">
    <w:name w:val="Puce 1 (sans puce) Car"/>
    <w:basedOn w:val="Puce1Car"/>
    <w:link w:val="Puce1sanspuce"/>
    <w:qFormat/>
    <w:rPr>
      <w:rFonts w:ascii="Arial" w:hAnsi="Arial" w:cs="Arial"/>
      <w:sz w:val="20"/>
      <w:szCs w:val="22"/>
    </w:rPr>
  </w:style>
  <w:style w:type="character" w:styleId="RetraitnormalCar" w:customStyle="1">
    <w:name w:val="Retrait normal Car"/>
    <w:link w:val="Retraitnormal"/>
    <w:qFormat/>
    <w:rPr>
      <w:rFonts w:ascii="Arial" w:hAnsi="Arial" w:cs="Arial"/>
      <w:sz w:val="22"/>
      <w:szCs w:val="22"/>
    </w:rPr>
  </w:style>
  <w:style w:type="character" w:styleId="StyleRetraitnormalTimesNewRomanCar" w:customStyle="1">
    <w:name w:val="Style Retrait normal + Times New Roman Car"/>
    <w:link w:val="StyleRetraitnormalTimesNewRoman"/>
    <w:qFormat/>
    <w:rPr>
      <w:rFonts w:ascii="Arial" w:hAnsi="Arial" w:cs="Arial"/>
      <w:sz w:val="24"/>
      <w:szCs w:val="22"/>
    </w:rPr>
  </w:style>
  <w:style w:type="character" w:styleId="Paragraphe1Car" w:customStyle="1">
    <w:name w:val="Paragraphe 1 Car"/>
    <w:link w:val="Paragraphe1"/>
    <w:qFormat/>
    <w:rPr>
      <w:rFonts w:ascii="Arial" w:hAnsi="Arial" w:cs="Arial"/>
      <w:sz w:val="22"/>
      <w:szCs w:val="22"/>
    </w:rPr>
  </w:style>
  <w:style w:type="character" w:styleId="Lienhypertextesuivivisit">
    <w:name w:val="FollowedHyperlink"/>
    <w:basedOn w:val="Policepardfaut"/>
    <w:unhideWhenUsed/>
    <w:rPr>
      <w:color w:val="72C7E7" w:themeColor="followedHyperlink"/>
      <w:u w:val="single"/>
    </w:rPr>
  </w:style>
  <w:style w:type="character" w:styleId="ParagraphedelisteCar" w:customStyle="1">
    <w:name w:val="Paragraphe de liste Car"/>
    <w:link w:val="Paragraphedeliste"/>
    <w:uiPriority w:val="34"/>
    <w:qFormat/>
    <w:rPr>
      <w:rFonts w:ascii="Calibri" w:hAnsi="Calibri" w:cs="Arial"/>
      <w:color w:val="000000" w:themeColor="text1"/>
      <w:szCs w:val="20"/>
    </w:rPr>
  </w:style>
  <w:style w:type="character" w:styleId="citecrochet1" w:customStyle="1">
    <w:name w:val="cite_crochet1"/>
    <w:basedOn w:val="Policepardfaut"/>
    <w:qFormat/>
    <w:rPr>
      <w:vanish w:val="0"/>
    </w:rPr>
  </w:style>
  <w:style w:type="character" w:styleId="Mentionnonrsolue1" w:customStyle="1">
    <w:name w:val="Mention non résolue1"/>
    <w:basedOn w:val="Policepardfaut"/>
    <w:uiPriority w:val="99"/>
    <w:semiHidden/>
    <w:unhideWhenUsed/>
    <w:qFormat/>
    <w:rPr>
      <w:color w:val="808080"/>
      <w:shd w:val="clear" w:color="auto" w:fill="E6E6E6"/>
    </w:rPr>
  </w:style>
  <w:style w:type="character" w:styleId="CommentaireCar" w:customStyle="1">
    <w:name w:val="Commentaire Car"/>
    <w:basedOn w:val="Policepardfaut"/>
    <w:link w:val="Commentaire"/>
    <w:uiPriority w:val="99"/>
    <w:qFormat/>
    <w:rPr>
      <w:rFonts w:ascii="Arial" w:hAnsi="Arial" w:cs="Arial"/>
    </w:rPr>
  </w:style>
  <w:style w:type="character" w:styleId="CorpsdetexteCar" w:customStyle="1">
    <w:name w:val="Corps de texte Car"/>
    <w:basedOn w:val="Policepardfaut"/>
    <w:link w:val="Corpsdetexte"/>
    <w:qFormat/>
    <w:rPr>
      <w:rFonts w:ascii="Arial" w:hAnsi="Arial"/>
      <w:szCs w:val="24"/>
    </w:rPr>
  </w:style>
  <w:style w:type="character" w:styleId="Corpsdetexte3Car" w:customStyle="1">
    <w:name w:val="Corps de texte 3 Car"/>
    <w:basedOn w:val="Policepardfaut"/>
    <w:link w:val="Corpsdetexte3"/>
    <w:semiHidden/>
    <w:qFormat/>
    <w:rPr>
      <w:rFonts w:ascii="Arial" w:hAnsi="Arial" w:cs="Arial"/>
      <w:sz w:val="16"/>
      <w:szCs w:val="16"/>
    </w:rPr>
  </w:style>
  <w:style w:type="character" w:styleId="Mentionnonrsolue2" w:customStyle="1">
    <w:name w:val="Mention non résolue2"/>
    <w:basedOn w:val="Policepardfaut"/>
    <w:uiPriority w:val="99"/>
    <w:semiHidden/>
    <w:unhideWhenUsed/>
    <w:qFormat/>
    <w:rPr>
      <w:color w:val="605E5C"/>
      <w:shd w:val="clear" w:color="auto" w:fill="E1DFDD"/>
    </w:rPr>
  </w:style>
  <w:style w:type="character" w:styleId="apple-converted-space" w:customStyle="1">
    <w:name w:val="apple-converted-space"/>
    <w:basedOn w:val="Policepardfaut"/>
    <w:qFormat/>
  </w:style>
  <w:style w:type="character" w:styleId="Marquedecommentaire1" w:customStyle="1">
    <w:name w:val="Marque de commentaire1"/>
    <w:qFormat/>
    <w:rPr>
      <w:sz w:val="16"/>
      <w:szCs w:val="16"/>
    </w:rPr>
  </w:style>
  <w:style w:type="character" w:styleId="StandardCar" w:customStyle="1">
    <w:name w:val="Standard Car"/>
    <w:link w:val="Standard"/>
    <w:qFormat/>
    <w:rPr>
      <w:rFonts w:ascii="Liberation Serif" w:hAnsi="Liberation Serif" w:eastAsia="SimSun" w:cs="Mangal"/>
      <w:sz w:val="24"/>
      <w:szCs w:val="24"/>
      <w:lang w:eastAsia="zh-CN" w:bidi="hi-IN"/>
    </w:rPr>
  </w:style>
  <w:style w:type="character" w:styleId="Style1Car" w:customStyle="1">
    <w:name w:val="Style1 Car"/>
    <w:link w:val="Style1"/>
    <w:qFormat/>
    <w:rPr>
      <w:sz w:val="24"/>
      <w:lang w:eastAsia="ar-SA"/>
    </w:rPr>
  </w:style>
  <w:style w:type="character" w:styleId="pucecarrCar" w:customStyle="1">
    <w:name w:val="puce carré Car"/>
    <w:link w:val="pucecarr"/>
    <w:qFormat/>
  </w:style>
  <w:style w:type="character" w:styleId="Exigence1Car" w:customStyle="1">
    <w:name w:val="Exigence1 Car"/>
    <w:link w:val="Exigence1"/>
    <w:qFormat/>
    <w:rPr>
      <w:rFonts w:ascii="Arial" w:hAnsi="Arial"/>
      <w:szCs w:val="24"/>
      <w:lang w:eastAsia="en-US"/>
    </w:rPr>
  </w:style>
  <w:style w:type="character" w:styleId="Corpsdutexte8" w:customStyle="1">
    <w:name w:val="Corps du texte (8)_"/>
    <w:link w:val="Corpsdutexte80"/>
    <w:qFormat/>
    <w:rPr>
      <w:sz w:val="21"/>
      <w:szCs w:val="21"/>
      <w:shd w:val="clear" w:color="auto" w:fill="FFFFFF"/>
    </w:rPr>
  </w:style>
  <w:style w:type="character" w:styleId="lev">
    <w:name w:val="Strong"/>
    <w:basedOn w:val="Policepardfaut"/>
    <w:uiPriority w:val="22"/>
    <w:qFormat/>
    <w:rPr>
      <w:b/>
      <w:bCs/>
    </w:rPr>
  </w:style>
  <w:style w:type="character" w:styleId="Tableau-titreCar" w:customStyle="1">
    <w:name w:val="Tableau-titre Car"/>
    <w:basedOn w:val="Policepardfaut"/>
    <w:link w:val="Tableau-titre"/>
    <w:qFormat/>
    <w:rPr>
      <w:rFonts w:ascii="Calibri" w:hAnsi="Calibri"/>
      <w:b/>
    </w:rPr>
  </w:style>
  <w:style w:type="character" w:styleId="Miseenavant" w:customStyle="1">
    <w:name w:val="Mise en avant"/>
    <w:basedOn w:val="Policepardfaut"/>
    <w:uiPriority w:val="99"/>
    <w:qFormat/>
    <w:rPr>
      <w:rFonts w:ascii="Arial" w:hAnsi="Arial" w:cs="Times New Roman"/>
      <w:b/>
      <w:color w:val="800080"/>
      <w:sz w:val="20"/>
    </w:rPr>
  </w:style>
  <w:style w:type="character" w:styleId="puce-Car" w:customStyle="1">
    <w:name w:val="puce - Car"/>
    <w:basedOn w:val="Policepardfaut"/>
    <w:link w:val="puce-"/>
    <w:qFormat/>
    <w:rPr>
      <w:rFonts w:ascii="Arial" w:hAnsi="Arial" w:cs="Arial"/>
      <w:color w:val="000000"/>
      <w:szCs w:val="23"/>
    </w:rPr>
  </w:style>
  <w:style w:type="character" w:styleId="Numrodepage">
    <w:name w:val="page number"/>
    <w:basedOn w:val="Policepardfaut"/>
  </w:style>
  <w:style w:type="character" w:styleId="Corpsdetexte2Car" w:customStyle="1">
    <w:name w:val="Corps de texte 2 Car"/>
    <w:basedOn w:val="Policepardfaut"/>
    <w:link w:val="Corpsdetexte2"/>
    <w:qFormat/>
    <w:rPr>
      <w:rFonts w:ascii="Arial" w:hAnsi="Arial" w:cs="Arial"/>
      <w:color w:val="000000"/>
      <w:sz w:val="24"/>
      <w:szCs w:val="24"/>
    </w:rPr>
  </w:style>
  <w:style w:type="character" w:styleId="Puce3INRAECar" w:customStyle="1">
    <w:name w:val="Puce 3 INRAE Car"/>
    <w:basedOn w:val="ParagraphedelisteCar"/>
    <w:link w:val="Puce3INRAE"/>
    <w:qFormat/>
    <w:rPr>
      <w:rFonts w:ascii="Calibri" w:hAnsi="Calibri" w:cs="Arial"/>
      <w:color w:val="000000" w:themeColor="text1"/>
      <w:szCs w:val="20"/>
    </w:rPr>
  </w:style>
  <w:style w:type="character" w:styleId="txtgrisb1" w:customStyle="1">
    <w:name w:val="txtgrisb1"/>
    <w:qFormat/>
    <w:rPr>
      <w:rFonts w:ascii="Arial" w:hAnsi="Arial" w:cs="Arial"/>
      <w:b/>
      <w:bCs/>
      <w:color w:val="666666"/>
      <w:sz w:val="14"/>
      <w:szCs w:val="14"/>
    </w:rPr>
  </w:style>
  <w:style w:type="character" w:styleId="Enum1Car1" w:customStyle="1">
    <w:name w:val="Enum1 Car1"/>
    <w:link w:val="Enum1"/>
    <w:qFormat/>
    <w:rPr>
      <w:rFonts w:ascii="Helvetica" w:hAnsi="Helvetica" w:cs="Arial"/>
      <w:color w:val="000000"/>
      <w:sz w:val="23"/>
      <w:szCs w:val="23"/>
    </w:rPr>
  </w:style>
  <w:style w:type="character" w:styleId="RetraitcorpsdetexteCar" w:customStyle="1">
    <w:name w:val="Retrait corps de texte Car"/>
    <w:basedOn w:val="Policepardfaut"/>
    <w:link w:val="Retraitcorpsdetexte"/>
    <w:qFormat/>
    <w:rPr>
      <w:rFonts w:ascii="Arial" w:hAnsi="Arial" w:cs="Arial"/>
      <w:color w:val="000000"/>
      <w:sz w:val="23"/>
      <w:szCs w:val="23"/>
    </w:rPr>
  </w:style>
  <w:style w:type="character" w:styleId="Accentuation">
    <w:name w:val="Emphasis"/>
    <w:uiPriority w:val="20"/>
    <w:qFormat/>
    <w:rPr>
      <w:i/>
      <w:iCs/>
    </w:rPr>
  </w:style>
  <w:style w:type="character" w:styleId="ParagrapheCar" w:customStyle="1">
    <w:name w:val="Paragraphe Car"/>
    <w:qFormat/>
    <w:rPr>
      <w:rFonts w:ascii="Verdana" w:hAnsi="Verdana" w:eastAsia="Times"/>
      <w:lang w:val="fr-FR" w:eastAsia="fr-FR" w:bidi="ar-SA"/>
    </w:rPr>
  </w:style>
  <w:style w:type="character" w:styleId="paragrapheCar1" w:customStyle="1">
    <w:name w:val="paragraphe Car1"/>
    <w:qFormat/>
    <w:rPr>
      <w:rFonts w:ascii="Verdana" w:hAnsi="Verdana"/>
      <w:lang w:val="fr-FR" w:eastAsia="fr-FR" w:bidi="ar-SA"/>
    </w:rPr>
  </w:style>
  <w:style w:type="character" w:styleId="StyleEnum1TimesNewRomanCar" w:customStyle="1">
    <w:name w:val="Style Enum1 + Times New Roman Car"/>
    <w:link w:val="StyleEnum1TimesNewRoman"/>
    <w:qFormat/>
    <w:rPr>
      <w:rFonts w:cs="Arial"/>
      <w:color w:val="000000"/>
      <w:sz w:val="24"/>
      <w:szCs w:val="23"/>
    </w:rPr>
  </w:style>
  <w:style w:type="character" w:styleId="P5Car" w:customStyle="1">
    <w:name w:val="P5 Car"/>
    <w:qFormat/>
    <w:rPr>
      <w:lang w:val="fr-FR" w:eastAsia="fr-FR" w:bidi="ar-SA"/>
    </w:rPr>
  </w:style>
  <w:style w:type="character" w:styleId="Rfrencelgre">
    <w:name w:val="Subtle Reference"/>
    <w:uiPriority w:val="31"/>
    <w:qFormat/>
    <w:rPr>
      <w:smallCaps/>
      <w:color w:val="C0504D"/>
      <w:u w:val="single"/>
    </w:rPr>
  </w:style>
  <w:style w:type="character" w:styleId="TextebrutCar" w:customStyle="1">
    <w:name w:val="Texte brut Car"/>
    <w:basedOn w:val="Policepardfaut"/>
    <w:link w:val="Textebrut"/>
    <w:uiPriority w:val="99"/>
    <w:qFormat/>
    <w:rPr>
      <w:rFonts w:ascii="Consolas" w:hAnsi="Consolas" w:eastAsia="Arial" w:cs="Arial"/>
      <w:color w:val="000000"/>
      <w:sz w:val="21"/>
      <w:szCs w:val="21"/>
      <w:lang w:eastAsia="en-US"/>
    </w:rPr>
  </w:style>
  <w:style w:type="character" w:styleId="TextedemacroCar" w:customStyle="1">
    <w:name w:val="Texte de macro Car"/>
    <w:basedOn w:val="Policepardfaut"/>
    <w:link w:val="Textedemacro"/>
    <w:qFormat/>
    <w:rPr>
      <w:rFonts w:ascii="Courier New" w:hAnsi="Courier New"/>
    </w:rPr>
  </w:style>
  <w:style w:type="character" w:styleId="TextecourantChar" w:customStyle="1">
    <w:name w:val="Texte courant Char"/>
    <w:basedOn w:val="Policepardfaut"/>
    <w:link w:val="Textecourant"/>
    <w:qFormat/>
    <w:rPr>
      <w:rFonts w:ascii="Arial" w:hAnsi="Arial" w:cs="Arial"/>
      <w:color w:val="000000"/>
      <w:sz w:val="23"/>
      <w:szCs w:val="18"/>
    </w:rPr>
  </w:style>
  <w:style w:type="character" w:styleId="TableaupuceChar" w:customStyle="1">
    <w:name w:val="Tableau puce Char"/>
    <w:basedOn w:val="Policepardfaut"/>
    <w:link w:val="Tableaupuce"/>
    <w:uiPriority w:val="99"/>
    <w:qFormat/>
    <w:rPr>
      <w:rFonts w:ascii="EY Gothic Comp Book" w:hAnsi="EY Gothic Comp Book"/>
      <w:color w:val="000000"/>
      <w:sz w:val="23"/>
      <w:szCs w:val="23"/>
      <w:lang w:eastAsia="en-US"/>
    </w:rPr>
  </w:style>
  <w:style w:type="character" w:styleId="Accentuationlgre">
    <w:name w:val="Subtle Emphasis"/>
    <w:basedOn w:val="Policepardfaut"/>
    <w:uiPriority w:val="19"/>
    <w:qFormat/>
    <w:rPr>
      <w:i/>
      <w:iCs/>
      <w:color w:val="808080" w:themeColor="text1" w:themeTint="7F"/>
    </w:rPr>
  </w:style>
  <w:style w:type="character" w:styleId="CitationCar" w:customStyle="1">
    <w:name w:val="Citation Car"/>
    <w:basedOn w:val="Policepardfaut"/>
    <w:link w:val="Citation"/>
    <w:uiPriority w:val="29"/>
    <w:qFormat/>
    <w:rPr>
      <w:rFonts w:asciiTheme="minorHAnsi" w:hAnsiTheme="minorHAnsi" w:cstheme="minorHAnsi"/>
      <w:i/>
      <w:iCs/>
      <w:color w:val="000000" w:themeColor="text1"/>
      <w:sz w:val="23"/>
      <w:szCs w:val="23"/>
    </w:rPr>
  </w:style>
  <w:style w:type="character" w:styleId="CitationintenseCar" w:customStyle="1">
    <w:name w:val="Citation intense Car"/>
    <w:basedOn w:val="Policepardfaut"/>
    <w:link w:val="Citationintense"/>
    <w:uiPriority w:val="30"/>
    <w:qFormat/>
    <w:rPr>
      <w:rFonts w:asciiTheme="minorHAnsi" w:hAnsiTheme="minorHAnsi" w:cstheme="minorHAnsi"/>
      <w:b/>
      <w:bCs/>
      <w:i/>
      <w:iCs/>
      <w:color w:val="002776" w:themeColor="accent1"/>
      <w:sz w:val="23"/>
      <w:szCs w:val="23"/>
    </w:rPr>
  </w:style>
  <w:style w:type="character" w:styleId="Rfrenceintense">
    <w:name w:val="Intense Reference"/>
    <w:basedOn w:val="Policepardfaut"/>
    <w:uiPriority w:val="32"/>
    <w:qFormat/>
    <w:rPr>
      <w:b/>
      <w:bCs/>
      <w:smallCaps/>
      <w:color w:val="92D400" w:themeColor="accent2"/>
      <w:spacing w:val="5"/>
      <w:u w:val="single"/>
    </w:rPr>
  </w:style>
  <w:style w:type="character" w:styleId="Titredulivre">
    <w:name w:val="Book Title"/>
    <w:basedOn w:val="Policepardfaut"/>
    <w:uiPriority w:val="33"/>
    <w:qFormat/>
    <w:rPr>
      <w:b/>
      <w:bCs/>
      <w:smallCaps/>
      <w:spacing w:val="5"/>
    </w:rPr>
  </w:style>
  <w:style w:type="character" w:styleId="T3Car" w:customStyle="1">
    <w:name w:val="T3 Car"/>
    <w:basedOn w:val="Policepardfaut"/>
    <w:link w:val="T3"/>
    <w:uiPriority w:val="99"/>
    <w:qFormat/>
    <w:rPr>
      <w:rFonts w:ascii="Arial Gras" w:hAnsi="Arial Gras"/>
      <w:b/>
      <w:smallCaps/>
      <w:color w:val="0000FF"/>
    </w:rPr>
  </w:style>
  <w:style w:type="character" w:styleId="NormalgrasCar" w:customStyle="1">
    <w:name w:val="Normal gras Car"/>
    <w:basedOn w:val="Policepardfaut"/>
    <w:link w:val="Normalgras"/>
    <w:qFormat/>
    <w:rPr>
      <w:rFonts w:ascii="Arial" w:hAnsi="Arial" w:cs="Arial"/>
      <w:b/>
      <w:color w:val="000000"/>
      <w:sz w:val="23"/>
      <w:szCs w:val="23"/>
    </w:rPr>
  </w:style>
  <w:style w:type="character" w:styleId="SchmaCar" w:customStyle="1">
    <w:name w:val="Schéma Car"/>
    <w:basedOn w:val="StyleEnum1TimesNewRomanCar"/>
    <w:link w:val="Schma"/>
    <w:qFormat/>
    <w:rPr>
      <w:rFonts w:ascii="Arial" w:hAnsi="Arial" w:cs="Arial"/>
      <w:color w:val="000000"/>
      <w:sz w:val="18"/>
      <w:szCs w:val="18"/>
    </w:rPr>
  </w:style>
  <w:style w:type="character" w:styleId="NormalgrassoulignCar" w:customStyle="1">
    <w:name w:val="Normal gras souligné Car"/>
    <w:basedOn w:val="Policepardfaut"/>
    <w:link w:val="Normalgrassoulign"/>
    <w:qFormat/>
    <w:rPr>
      <w:rFonts w:ascii="Arial" w:hAnsi="Arial" w:cs="Arial"/>
      <w:b/>
      <w:color w:val="000000"/>
      <w:sz w:val="23"/>
      <w:szCs w:val="23"/>
      <w:u w:val="single"/>
    </w:rPr>
  </w:style>
  <w:style w:type="character" w:styleId="apple-tab-span" w:customStyle="1">
    <w:name w:val="apple-tab-span"/>
    <w:basedOn w:val="Policepardfaut"/>
    <w:qFormat/>
  </w:style>
  <w:style w:type="character" w:styleId="Caractresdenotedebasdepage" w:customStyle="1">
    <w:name w:val="Caractères de note de bas de page"/>
    <w:qFormat/>
  </w:style>
  <w:style w:type="character" w:styleId="INS" w:customStyle="1">
    <w:name w:val="INS"/>
    <w:qFormat/>
  </w:style>
  <w:style w:type="character" w:styleId="Appelnotedebasdep1" w:customStyle="1">
    <w:name w:val="Appel note de bas de p.1"/>
    <w:qFormat/>
    <w:rPr>
      <w:vertAlign w:val="superscript"/>
    </w:rPr>
  </w:style>
  <w:style w:type="character" w:styleId="cf01" w:customStyle="1">
    <w:name w:val="cf01"/>
    <w:basedOn w:val="Policepardfaut"/>
    <w:qFormat/>
    <w:rPr>
      <w:rFonts w:ascii="Segoe UI" w:hAnsi="Segoe UI" w:cs="Segoe UI"/>
      <w:sz w:val="18"/>
      <w:szCs w:val="18"/>
    </w:rPr>
  </w:style>
  <w:style w:type="character" w:styleId="Mentionnonrsolue3" w:customStyle="1">
    <w:name w:val="Mention non résolue3"/>
    <w:basedOn w:val="Policepardfaut"/>
    <w:uiPriority w:val="99"/>
    <w:semiHidden/>
    <w:unhideWhenUsed/>
    <w:qFormat/>
    <w:rPr>
      <w:color w:val="605E5C"/>
      <w:shd w:val="clear" w:color="auto" w:fill="E1DFDD"/>
    </w:rPr>
  </w:style>
  <w:style w:type="character" w:styleId="docdata" w:customStyle="1">
    <w:name w:val="docdata"/>
    <w:basedOn w:val="Policepardfaut"/>
    <w:qFormat/>
  </w:style>
  <w:style w:type="character" w:styleId="Mentionnonrsolue4" w:customStyle="1">
    <w:name w:val="Mention non résolue4"/>
    <w:basedOn w:val="Policepardfaut"/>
    <w:uiPriority w:val="99"/>
    <w:semiHidden/>
    <w:unhideWhenUsed/>
    <w:qFormat/>
    <w:rPr>
      <w:color w:val="605E5C"/>
      <w:shd w:val="clear" w:color="auto" w:fill="E1DFDD"/>
    </w:rPr>
  </w:style>
  <w:style w:type="character" w:styleId="T2Car" w:customStyle="1">
    <w:name w:val="T2 Car"/>
    <w:basedOn w:val="Titre2Car"/>
    <w:link w:val="T2"/>
    <w:qFormat/>
    <w:rPr>
      <w:smallCaps/>
      <w:color w:val="03A3A6"/>
      <w:sz w:val="24"/>
    </w:rPr>
  </w:style>
  <w:style w:type="character" w:styleId="T4Car" w:customStyle="1">
    <w:name w:val="T4 Car"/>
    <w:basedOn w:val="Titre4Car"/>
    <w:link w:val="T4"/>
    <w:qFormat/>
    <w:rPr>
      <w:color w:val="03A6A3"/>
      <w:szCs w:val="20"/>
    </w:rPr>
  </w:style>
  <w:style w:type="character" w:styleId="Puce4Car" w:customStyle="1">
    <w:name w:val="Puce 4 Car"/>
    <w:basedOn w:val="Puce3Car"/>
    <w:link w:val="Puce4"/>
    <w:qFormat/>
    <w:rPr>
      <w:rFonts w:ascii="Calibri" w:hAnsi="Calibri" w:cs="Arial"/>
    </w:rPr>
  </w:style>
  <w:style w:type="character" w:styleId="NormalINRAECar" w:customStyle="1">
    <w:name w:val="Normal INRAE Car"/>
    <w:basedOn w:val="Puce1Car"/>
    <w:link w:val="NormalINRAE"/>
    <w:qFormat/>
    <w:rPr>
      <w:rFonts w:ascii="Calibri" w:hAnsi="Calibri" w:cs="Calibri"/>
      <w:color w:val="000000"/>
    </w:rPr>
  </w:style>
  <w:style w:type="character" w:styleId="Mentionnonrsolue5" w:customStyle="1">
    <w:name w:val="Mention non résolue5"/>
    <w:basedOn w:val="Policepardfaut"/>
    <w:uiPriority w:val="99"/>
    <w:semiHidden/>
    <w:unhideWhenUsed/>
    <w:qFormat/>
    <w:rPr>
      <w:color w:val="605E5C"/>
      <w:shd w:val="clear" w:color="auto" w:fill="E1DFDD"/>
    </w:rPr>
  </w:style>
  <w:style w:type="character" w:styleId="IndexLink" w:customStyle="1">
    <w:name w:val="Index Link"/>
    <w:qFormat/>
  </w:style>
  <w:style w:type="character" w:styleId="Numrodeligne">
    <w:name w:val="line number"/>
  </w:style>
  <w:style w:type="character" w:styleId="EndnoteCharacters" w:customStyle="1">
    <w:name w:val="Endnote Characters"/>
    <w:qFormat/>
    <w:rPr>
      <w:vertAlign w:val="superscript"/>
    </w:rPr>
  </w:style>
  <w:style w:type="character" w:styleId="Appeldenotedefin">
    <w:name w:val="endnote reference"/>
    <w:rPr>
      <w:vertAlign w:val="superscript"/>
    </w:rPr>
  </w:style>
  <w:style w:type="character" w:styleId="EndnoteCharactersuser" w:customStyle="1">
    <w:name w:val="Endnote Characters (user)"/>
    <w:qFormat/>
  </w:style>
  <w:style w:type="paragraph" w:styleId="Heading" w:customStyle="1">
    <w:name w:val="Heading"/>
    <w:basedOn w:val="Normal"/>
    <w:next w:val="Corpsdetexte"/>
    <w:qFormat/>
    <w:pPr>
      <w:keepNext/>
      <w:spacing w:before="240"/>
    </w:pPr>
    <w:rPr>
      <w:rFonts w:ascii="Liberation Sans" w:hAnsi="Liberation Sans" w:eastAsia="Noto Sans" w:cs="NotoSans NF"/>
      <w:sz w:val="28"/>
      <w:szCs w:val="28"/>
    </w:rPr>
  </w:style>
  <w:style w:type="paragraph" w:styleId="Corpsdetexte">
    <w:name w:val="Body Text"/>
    <w:basedOn w:val="Normal"/>
    <w:link w:val="CorpsdetexteCar"/>
    <w:rPr>
      <w:rFonts w:ascii="Arial" w:hAnsi="Arial"/>
      <w:sz w:val="20"/>
    </w:rPr>
  </w:style>
  <w:style w:type="paragraph" w:styleId="Liste">
    <w:name w:val="List"/>
    <w:basedOn w:val="Normal"/>
    <w:pPr>
      <w:spacing w:before="120" w:line="276" w:lineRule="auto"/>
      <w:ind w:left="737" w:right="283" w:hanging="737"/>
    </w:pPr>
    <w:rPr>
      <w:color w:val="000000"/>
      <w:sz w:val="23"/>
      <w:szCs w:val="23"/>
    </w:rPr>
  </w:style>
  <w:style w:type="paragraph" w:styleId="Lgende">
    <w:name w:val="caption"/>
    <w:basedOn w:val="Normal"/>
    <w:next w:val="Normal"/>
    <w:unhideWhenUsed/>
    <w:qFormat/>
    <w:pPr>
      <w:spacing w:before="120"/>
    </w:pPr>
    <w:rPr>
      <w:rFonts w:ascii="Arial" w:hAnsi="Arial" w:cs="Arial"/>
      <w:i/>
      <w:sz w:val="16"/>
    </w:rPr>
  </w:style>
  <w:style w:type="paragraph" w:styleId="Index" w:customStyle="1">
    <w:name w:val="Index"/>
    <w:basedOn w:val="Normal"/>
    <w:qFormat/>
    <w:pPr>
      <w:suppressLineNumbers/>
    </w:pPr>
    <w:rPr>
      <w:rFonts w:cs="NotoSans NF"/>
    </w:rPr>
  </w:style>
  <w:style w:type="paragraph" w:styleId="Tableau-Titreblanc" w:customStyle="1">
    <w:name w:val="Tableau - Titre blanc"/>
    <w:basedOn w:val="Normal"/>
    <w:link w:val="Tableau-TitreblancCar"/>
    <w:qFormat/>
    <w:rPr>
      <w:rFonts w:ascii="Arial" w:hAnsi="Arial" w:cs="Arial"/>
      <w:b/>
      <w:color w:val="FFFFFF" w:themeColor="background1"/>
      <w:sz w:val="20"/>
    </w:rPr>
  </w:style>
  <w:style w:type="paragraph" w:styleId="TM5">
    <w:name w:val="toc 5"/>
    <w:uiPriority w:val="39"/>
    <w:pPr>
      <w:tabs>
        <w:tab w:val="right" w:leader="dot" w:pos="9629"/>
      </w:tabs>
      <w:ind w:left="709" w:right="567" w:hanging="709"/>
    </w:pPr>
    <w:rPr>
      <w:rFonts w:ascii="Arial" w:hAnsi="Arial" w:cs="Arial"/>
      <w:color w:val="595959" w:themeColor="text1" w:themeTint="A6"/>
      <w:sz w:val="16"/>
      <w:szCs w:val="16"/>
    </w:rPr>
  </w:style>
  <w:style w:type="paragraph" w:styleId="TM4">
    <w:name w:val="toc 4"/>
    <w:uiPriority w:val="39"/>
    <w:pPr>
      <w:tabs>
        <w:tab w:val="right" w:leader="dot" w:pos="9629"/>
      </w:tabs>
      <w:ind w:left="709" w:right="567" w:hanging="709"/>
    </w:pPr>
    <w:rPr>
      <w:rFonts w:ascii="Arial" w:hAnsi="Arial" w:cs="Arial"/>
      <w:i/>
      <w:sz w:val="18"/>
    </w:rPr>
  </w:style>
  <w:style w:type="paragraph" w:styleId="TM3">
    <w:name w:val="toc 3"/>
    <w:uiPriority w:val="39"/>
    <w:pPr>
      <w:tabs>
        <w:tab w:val="left" w:pos="851"/>
        <w:tab w:val="right" w:leader="dot" w:pos="9629"/>
      </w:tabs>
      <w:ind w:left="425" w:right="567" w:hanging="425"/>
    </w:pPr>
    <w:rPr>
      <w:rFonts w:ascii="Arial" w:hAnsi="Arial" w:cs="Arial"/>
      <w:i/>
    </w:rPr>
  </w:style>
  <w:style w:type="paragraph" w:styleId="TM2">
    <w:name w:val="toc 2"/>
    <w:uiPriority w:val="39"/>
    <w:pPr>
      <w:tabs>
        <w:tab w:val="left" w:pos="426"/>
        <w:tab w:val="right" w:leader="dot" w:pos="9629"/>
      </w:tabs>
      <w:ind w:left="425" w:right="567" w:hanging="425"/>
    </w:pPr>
    <w:rPr>
      <w:rFonts w:ascii="Arial" w:hAnsi="Arial" w:cs="Arial"/>
      <w:bCs/>
    </w:rPr>
  </w:style>
  <w:style w:type="paragraph" w:styleId="TM1">
    <w:name w:val="toc 1"/>
    <w:uiPriority w:val="39"/>
    <w:pPr>
      <w:tabs>
        <w:tab w:val="left" w:pos="567"/>
        <w:tab w:val="right" w:leader="dot" w:pos="9629"/>
      </w:tabs>
      <w:spacing w:before="240"/>
      <w:ind w:right="567"/>
    </w:pPr>
    <w:rPr>
      <w:rFonts w:ascii="Arial" w:hAnsi="Arial"/>
      <w:b/>
      <w:bCs/>
      <w:i/>
      <w:iCs/>
      <w:sz w:val="24"/>
      <w:szCs w:val="24"/>
    </w:rPr>
  </w:style>
  <w:style w:type="paragraph" w:styleId="HeaderandFooter" w:customStyle="1">
    <w:name w:val="Header and Footer"/>
    <w:basedOn w:val="Normal"/>
    <w:qFormat/>
  </w:style>
  <w:style w:type="paragraph" w:styleId="Pieddepage">
    <w:name w:val="footer"/>
    <w:basedOn w:val="Normal"/>
    <w:link w:val="PieddepageCar"/>
    <w:uiPriority w:val="99"/>
    <w:pPr>
      <w:spacing w:before="120"/>
    </w:pPr>
    <w:rPr>
      <w:rFonts w:ascii="Arial" w:hAnsi="Arial" w:cs="Arial"/>
      <w:sz w:val="16"/>
      <w:szCs w:val="16"/>
    </w:rPr>
  </w:style>
  <w:style w:type="paragraph" w:styleId="Notedebasdepage">
    <w:name w:val="footnote text"/>
    <w:link w:val="NotedebasdepageCar"/>
    <w:uiPriority w:val="99"/>
    <w:pPr>
      <w:tabs>
        <w:tab w:val="left" w:pos="1276"/>
      </w:tabs>
      <w:spacing w:line="240" w:lineRule="exact"/>
      <w:ind w:left="1276" w:right="567" w:hanging="709"/>
      <w:jc w:val="both"/>
    </w:pPr>
    <w:rPr>
      <w:rFonts w:ascii="Arial" w:hAnsi="Arial"/>
      <w:sz w:val="18"/>
    </w:rPr>
  </w:style>
  <w:style w:type="paragraph" w:styleId="En-tte">
    <w:name w:val="header"/>
    <w:basedOn w:val="Normal"/>
    <w:link w:val="En-tteCar"/>
    <w:uiPriority w:val="99"/>
    <w:unhideWhenUsed/>
    <w:pPr>
      <w:tabs>
        <w:tab w:val="center" w:pos="4536"/>
        <w:tab w:val="right" w:pos="9072"/>
      </w:tabs>
    </w:pPr>
    <w:rPr>
      <w:rFonts w:ascii="Arial" w:hAnsi="Arial" w:cs="Arial"/>
      <w:sz w:val="20"/>
    </w:rPr>
  </w:style>
  <w:style w:type="paragraph" w:styleId="Sous-titre2" w:customStyle="1">
    <w:name w:val="Sous-titre 2"/>
    <w:basedOn w:val="Normal"/>
    <w:qFormat/>
    <w:pPr>
      <w:spacing w:before="120"/>
      <w:jc w:val="center"/>
    </w:pPr>
    <w:rPr>
      <w:rFonts w:ascii="Arial" w:hAnsi="Arial" w:cs="Arial"/>
      <w:b/>
      <w:i/>
    </w:rPr>
  </w:style>
  <w:style w:type="paragraph" w:styleId="Puce2" w:customStyle="1">
    <w:name w:val="Puce 2"/>
    <w:basedOn w:val="Puce1"/>
    <w:link w:val="Puce2Car"/>
    <w:qFormat/>
    <w:pPr>
      <w:numPr>
        <w:numId w:val="38"/>
      </w:numPr>
    </w:pPr>
  </w:style>
  <w:style w:type="paragraph" w:styleId="TM6">
    <w:name w:val="toc 6"/>
    <w:basedOn w:val="Normal"/>
    <w:next w:val="Normal"/>
    <w:uiPriority w:val="39"/>
    <w:pPr>
      <w:spacing w:before="120"/>
      <w:ind w:left="1000"/>
    </w:pPr>
    <w:rPr>
      <w:rFonts w:ascii="Arial" w:hAnsi="Arial" w:cs="Arial"/>
      <w:sz w:val="20"/>
    </w:rPr>
  </w:style>
  <w:style w:type="paragraph" w:styleId="TM7">
    <w:name w:val="toc 7"/>
    <w:basedOn w:val="Normal"/>
    <w:next w:val="Normal"/>
    <w:uiPriority w:val="39"/>
    <w:pPr>
      <w:spacing w:before="120"/>
      <w:ind w:left="1200"/>
    </w:pPr>
    <w:rPr>
      <w:rFonts w:ascii="Arial" w:hAnsi="Arial" w:cs="Arial"/>
      <w:sz w:val="20"/>
    </w:rPr>
  </w:style>
  <w:style w:type="paragraph" w:styleId="TM8">
    <w:name w:val="toc 8"/>
    <w:basedOn w:val="Normal"/>
    <w:next w:val="Normal"/>
    <w:uiPriority w:val="39"/>
    <w:pPr>
      <w:spacing w:before="120"/>
      <w:ind w:left="1400"/>
    </w:pPr>
    <w:rPr>
      <w:rFonts w:ascii="Arial" w:hAnsi="Arial" w:cs="Arial"/>
      <w:sz w:val="20"/>
    </w:rPr>
  </w:style>
  <w:style w:type="paragraph" w:styleId="TM9">
    <w:name w:val="toc 9"/>
    <w:basedOn w:val="Normal"/>
    <w:next w:val="Normal"/>
    <w:uiPriority w:val="39"/>
    <w:pPr>
      <w:spacing w:before="120"/>
      <w:ind w:left="1600"/>
    </w:pPr>
    <w:rPr>
      <w:rFonts w:ascii="Arial" w:hAnsi="Arial" w:cs="Arial"/>
      <w:sz w:val="20"/>
    </w:rPr>
  </w:style>
  <w:style w:type="paragraph" w:styleId="Titre">
    <w:name w:val="Title"/>
    <w:basedOn w:val="Normal"/>
    <w:link w:val="TitreCar"/>
    <w:uiPriority w:val="10"/>
    <w:qFormat/>
    <w:pPr>
      <w:spacing w:before="360" w:after="360"/>
      <w:jc w:val="center"/>
    </w:pPr>
    <w:rPr>
      <w:rFonts w:ascii="Arial Gras" w:hAnsi="Arial Gras" w:eastAsia="Times" w:cs="Arial"/>
      <w:b/>
      <w:smallCaps/>
      <w:color w:val="6C9E00" w:themeColor="accent2" w:themeShade="BF"/>
      <w:sz w:val="40"/>
    </w:rPr>
  </w:style>
  <w:style w:type="paragraph" w:styleId="Puce3" w:customStyle="1">
    <w:name w:val="Puce 3"/>
    <w:basedOn w:val="Puce2"/>
    <w:link w:val="Puce3Car"/>
    <w:qFormat/>
    <w:pPr>
      <w:numPr>
        <w:numId w:val="40"/>
      </w:numPr>
      <w:ind w:left="1548" w:hanging="357"/>
    </w:pPr>
  </w:style>
  <w:style w:type="paragraph" w:styleId="Tableau-Normal" w:customStyle="1">
    <w:name w:val="Tableau - Normal"/>
    <w:basedOn w:val="Normal"/>
    <w:link w:val="Tableau-NormalCar"/>
    <w:qFormat/>
    <w:pPr>
      <w:spacing w:before="60"/>
    </w:pPr>
    <w:rPr>
      <w:rFonts w:ascii="Calibri" w:hAnsi="Calibri" w:cs="Arial"/>
    </w:rPr>
  </w:style>
  <w:style w:type="paragraph" w:styleId="Puce1sanspuce" w:customStyle="1">
    <w:name w:val="Puce 1 (sans puce)"/>
    <w:basedOn w:val="Puce1"/>
    <w:link w:val="Puce1sanspuceCar"/>
    <w:qFormat/>
    <w:pPr>
      <w:numPr>
        <w:numId w:val="0"/>
      </w:numPr>
      <w:ind w:left="284"/>
    </w:pPr>
  </w:style>
  <w:style w:type="paragraph" w:styleId="Textedebulles">
    <w:name w:val="Balloon Text"/>
    <w:basedOn w:val="Normal"/>
    <w:link w:val="TextedebullesCar"/>
    <w:uiPriority w:val="99"/>
    <w:semiHidden/>
    <w:qFormat/>
    <w:pPr>
      <w:spacing w:before="120"/>
    </w:pPr>
    <w:rPr>
      <w:rFonts w:ascii="Tahoma" w:hAnsi="Tahoma" w:cs="Tahoma"/>
      <w:sz w:val="16"/>
      <w:szCs w:val="16"/>
    </w:rPr>
  </w:style>
  <w:style w:type="paragraph" w:styleId="Objetducommentaire">
    <w:name w:val="annotation subject"/>
    <w:basedOn w:val="Normal"/>
    <w:next w:val="Normal"/>
    <w:link w:val="ObjetducommentaireCar"/>
    <w:uiPriority w:val="99"/>
    <w:semiHidden/>
    <w:qFormat/>
    <w:pPr>
      <w:spacing w:before="120"/>
    </w:pPr>
    <w:rPr>
      <w:rFonts w:ascii="Arial" w:hAnsi="Arial" w:cs="Arial"/>
      <w:b/>
      <w:bCs/>
      <w:sz w:val="20"/>
    </w:rPr>
  </w:style>
  <w:style w:type="paragraph" w:styleId="Tableau-Puce1" w:customStyle="1">
    <w:name w:val="Tableau - Puce 1"/>
    <w:basedOn w:val="Tableau-Normal"/>
    <w:link w:val="Tableau-Puce1Car"/>
    <w:qFormat/>
    <w:pPr>
      <w:numPr>
        <w:numId w:val="5"/>
      </w:numPr>
      <w:spacing w:before="0"/>
      <w:ind w:left="714" w:hanging="357"/>
      <w:contextualSpacing/>
    </w:pPr>
  </w:style>
  <w:style w:type="paragraph" w:styleId="Tableau-Puce2" w:customStyle="1">
    <w:name w:val="Tableau - Puce 2"/>
    <w:basedOn w:val="Tableau-Puce1"/>
    <w:link w:val="Tableau-Puce2Car"/>
    <w:qFormat/>
    <w:pPr>
      <w:ind w:left="448" w:hanging="142"/>
    </w:pPr>
    <w:rPr>
      <w:sz w:val="16"/>
    </w:rPr>
  </w:style>
  <w:style w:type="paragraph" w:styleId="Rvision">
    <w:name w:val="Revision"/>
    <w:uiPriority w:val="99"/>
    <w:semiHidden/>
    <w:qFormat/>
  </w:style>
  <w:style w:type="paragraph" w:styleId="Schma" w:customStyle="1">
    <w:name w:val="Schéma"/>
    <w:basedOn w:val="Normal"/>
    <w:link w:val="SchmaCar"/>
    <w:qFormat/>
    <w:pPr>
      <w:spacing w:before="120"/>
      <w:ind w:left="284"/>
      <w:jc w:val="center"/>
    </w:pPr>
    <w:rPr>
      <w:rFonts w:ascii="Arial" w:hAnsi="Arial" w:cs="Arial"/>
      <w:sz w:val="18"/>
      <w:szCs w:val="18"/>
    </w:rPr>
  </w:style>
  <w:style w:type="paragraph" w:styleId="Partie" w:customStyle="1">
    <w:name w:val="Partie"/>
    <w:basedOn w:val="Normal"/>
    <w:qFormat/>
    <w:pPr>
      <w:pageBreakBefore/>
      <w:numPr>
        <w:numId w:val="3"/>
      </w:numPr>
      <w:pBdr>
        <w:top w:val="single" w:color="6C9E00" w:themeColor="accent2" w:themeShade="BF" w:sz="8" w:space="1"/>
        <w:left w:val="single" w:color="6C9E00" w:themeColor="accent2" w:themeShade="BF" w:sz="8" w:space="1"/>
        <w:bottom w:val="single" w:color="6C9E00" w:themeColor="accent2" w:themeShade="BF" w:sz="8" w:space="1"/>
        <w:right w:val="single" w:color="6C9E00" w:themeColor="accent2" w:themeShade="BF" w:sz="8" w:space="1"/>
      </w:pBdr>
      <w:spacing w:before="480" w:after="480"/>
      <w:jc w:val="center"/>
    </w:pPr>
    <w:rPr>
      <w:rFonts w:ascii="Arial" w:hAnsi="Arial" w:cs="Arial"/>
      <w:caps/>
      <w:color w:val="6C9E00" w:themeColor="accent2" w:themeShade="BF"/>
      <w:sz w:val="48"/>
      <w:szCs w:val="48"/>
    </w:rPr>
  </w:style>
  <w:style w:type="paragraph" w:styleId="Puce1" w:customStyle="1">
    <w:name w:val="Puce 1"/>
    <w:basedOn w:val="Normal"/>
    <w:link w:val="Puce1Car"/>
    <w:qFormat/>
    <w:pPr>
      <w:numPr>
        <w:numId w:val="4"/>
      </w:numPr>
      <w:contextualSpacing/>
    </w:pPr>
    <w:rPr>
      <w:rFonts w:ascii="Calibri" w:hAnsi="Calibri" w:cs="Arial"/>
    </w:rPr>
  </w:style>
  <w:style w:type="paragraph" w:styleId="Tableau-puce11" w:customStyle="1">
    <w:name w:val="Tableau - puce 11"/>
    <w:basedOn w:val="Normal"/>
    <w:uiPriority w:val="99"/>
    <w:qFormat/>
    <w:pPr>
      <w:numPr>
        <w:numId w:val="2"/>
      </w:numPr>
      <w:spacing w:before="120" w:after="160" w:line="276" w:lineRule="auto"/>
      <w:ind w:left="66" w:hanging="142"/>
    </w:pPr>
    <w:rPr>
      <w:rFonts w:ascii="Arial" w:hAnsi="Arial" w:cs="Arial"/>
      <w:color w:val="000000"/>
      <w:sz w:val="20"/>
      <w:szCs w:val="18"/>
    </w:rPr>
  </w:style>
  <w:style w:type="paragraph" w:styleId="Tableau-puce21" w:customStyle="1">
    <w:name w:val="Tableau - puce 21"/>
    <w:basedOn w:val="Tableau-puce11"/>
    <w:uiPriority w:val="99"/>
    <w:qFormat/>
    <w:pPr>
      <w:spacing w:before="0" w:after="40"/>
      <w:ind w:left="743" w:hanging="284"/>
    </w:pPr>
  </w:style>
  <w:style w:type="paragraph" w:styleId="Sous-titre">
    <w:name w:val="Subtitle"/>
    <w:basedOn w:val="Normal"/>
    <w:next w:val="Normal"/>
    <w:link w:val="Sous-titreCar"/>
    <w:uiPriority w:val="11"/>
    <w:qFormat/>
    <w:pPr>
      <w:pBdr>
        <w:top w:val="single" w:color="6C9E00" w:themeColor="accent2" w:themeShade="BF" w:sz="4" w:space="1"/>
        <w:left w:val="single" w:color="6C9E00" w:themeColor="accent2" w:themeShade="BF" w:sz="4" w:space="4"/>
        <w:bottom w:val="single" w:color="6C9E00" w:themeColor="accent2" w:themeShade="BF" w:sz="4" w:space="1"/>
        <w:right w:val="single" w:color="6C9E00" w:themeColor="accent2" w:themeShade="BF" w:sz="4" w:space="4"/>
      </w:pBdr>
      <w:spacing w:before="120"/>
      <w:jc w:val="center"/>
    </w:pPr>
    <w:rPr>
      <w:rFonts w:ascii="Arial" w:hAnsi="Arial" w:cs="Arial"/>
      <w:b/>
      <w:color w:val="6C9E00" w:themeColor="accent2" w:themeShade="BF"/>
      <w:sz w:val="28"/>
    </w:rPr>
  </w:style>
  <w:style w:type="paragraph" w:styleId="Puce2sanspuce" w:customStyle="1">
    <w:name w:val="Puce 2 (sans puce)"/>
    <w:basedOn w:val="Puce2"/>
    <w:link w:val="Puce2sanspuceCar"/>
    <w:qFormat/>
    <w:pPr>
      <w:numPr>
        <w:numId w:val="0"/>
      </w:numPr>
      <w:ind w:left="709"/>
    </w:pPr>
  </w:style>
  <w:style w:type="paragraph" w:styleId="Retraitnormal">
    <w:name w:val="Normal Indent"/>
    <w:basedOn w:val="Normal"/>
    <w:next w:val="Normal"/>
    <w:link w:val="RetraitnormalCar"/>
    <w:unhideWhenUsed/>
    <w:qFormat/>
    <w:pPr>
      <w:ind w:left="708" w:right="567" w:firstLine="709"/>
    </w:pPr>
    <w:rPr>
      <w:rFonts w:ascii="Arial" w:hAnsi="Arial" w:cs="Arial"/>
    </w:rPr>
  </w:style>
  <w:style w:type="paragraph" w:styleId="StyleRetraitnormalTimesNewRoman" w:customStyle="1">
    <w:name w:val="Style Retrait normal + Times New Roman"/>
    <w:basedOn w:val="Retraitnormal"/>
    <w:link w:val="StyleRetraitnormalTimesNewRomanCar"/>
    <w:qFormat/>
    <w:pPr>
      <w:keepLines/>
      <w:ind w:left="0" w:right="0" w:firstLine="0"/>
    </w:pPr>
    <w:rPr>
      <w:sz w:val="24"/>
    </w:rPr>
  </w:style>
  <w:style w:type="paragraph" w:styleId="Paragraphe1" w:customStyle="1">
    <w:name w:val="Paragraphe 1"/>
    <w:basedOn w:val="Normal"/>
    <w:link w:val="Paragraphe1Car"/>
    <w:qFormat/>
    <w:pPr>
      <w:ind w:left="1069" w:right="567" w:hanging="360"/>
    </w:pPr>
    <w:rPr>
      <w:rFonts w:ascii="Arial" w:hAnsi="Arial" w:cs="Arial"/>
    </w:rPr>
  </w:style>
  <w:style w:type="paragraph" w:styleId="NormalWeb">
    <w:name w:val="Normal (Web)"/>
    <w:basedOn w:val="Normal"/>
    <w:uiPriority w:val="99"/>
    <w:unhideWhenUsed/>
    <w:qFormat/>
    <w:pPr>
      <w:spacing w:beforeAutospacing="1" w:afterAutospacing="1"/>
    </w:pPr>
  </w:style>
  <w:style w:type="paragraph" w:styleId="Paragraphedeliste">
    <w:name w:val="List Paragraph"/>
    <w:basedOn w:val="Normal"/>
    <w:link w:val="ParagraphedelisteCar"/>
    <w:uiPriority w:val="34"/>
    <w:qFormat/>
    <w:pPr>
      <w:numPr>
        <w:numId w:val="7"/>
      </w:numPr>
      <w:spacing w:after="200" w:line="276" w:lineRule="auto"/>
      <w:contextualSpacing/>
    </w:pPr>
    <w:rPr>
      <w:rFonts w:ascii="Calibri" w:hAnsi="Calibri" w:cs="Arial"/>
      <w:color w:val="000000" w:themeColor="text1"/>
      <w:szCs w:val="20"/>
    </w:rPr>
  </w:style>
  <w:style w:type="paragraph" w:styleId="Listepuces">
    <w:name w:val="List Bullet"/>
    <w:basedOn w:val="Paragraphedeliste"/>
    <w:unhideWhenUsed/>
    <w:pPr>
      <w:numPr>
        <w:numId w:val="6"/>
      </w:numPr>
      <w:tabs>
        <w:tab w:val="left" w:pos="360"/>
      </w:tabs>
      <w:spacing w:after="0"/>
      <w:ind w:left="720" w:firstLine="0"/>
    </w:pPr>
    <w:rPr>
      <w:rFonts w:asciiTheme="majorHAnsi" w:hAnsiTheme="majorHAnsi" w:eastAsiaTheme="majorEastAsia" w:cstheme="majorBidi"/>
      <w:lang w:eastAsia="en-US"/>
    </w:rPr>
  </w:style>
  <w:style w:type="paragraph" w:styleId="Commentaire">
    <w:name w:val="annotation text"/>
    <w:basedOn w:val="Normal"/>
    <w:link w:val="CommentaireCar"/>
    <w:uiPriority w:val="99"/>
    <w:unhideWhenUsed/>
    <w:pPr>
      <w:spacing w:before="120"/>
    </w:pPr>
    <w:rPr>
      <w:rFonts w:ascii="Arial" w:hAnsi="Arial" w:cs="Arial"/>
      <w:sz w:val="20"/>
      <w:szCs w:val="20"/>
    </w:rPr>
  </w:style>
  <w:style w:type="paragraph" w:styleId="Default" w:customStyle="1">
    <w:name w:val="Default"/>
    <w:qFormat/>
    <w:rPr>
      <w:rFonts w:ascii="Arial" w:hAnsi="Arial" w:cs="Arial"/>
      <w:color w:val="000000"/>
      <w:sz w:val="24"/>
      <w:szCs w:val="24"/>
    </w:rPr>
  </w:style>
  <w:style w:type="paragraph" w:styleId="Tableau" w:customStyle="1">
    <w:name w:val="Tableau"/>
    <w:basedOn w:val="Normal"/>
    <w:next w:val="Normal"/>
    <w:qFormat/>
    <w:pPr>
      <w:keepNext/>
      <w:tabs>
        <w:tab w:val="left" w:pos="284"/>
        <w:tab w:val="left" w:pos="567"/>
      </w:tabs>
      <w:spacing w:before="200" w:after="40"/>
    </w:pPr>
    <w:rPr>
      <w:rFonts w:ascii="Arial" w:hAnsi="Arial"/>
      <w:szCs w:val="20"/>
    </w:rPr>
  </w:style>
  <w:style w:type="paragraph" w:styleId="Corpsdetexte3">
    <w:name w:val="Body Text 3"/>
    <w:basedOn w:val="Normal"/>
    <w:link w:val="Corpsdetexte3Car"/>
    <w:semiHidden/>
    <w:unhideWhenUsed/>
    <w:qFormat/>
    <w:rPr>
      <w:sz w:val="16"/>
      <w:szCs w:val="16"/>
    </w:rPr>
  </w:style>
  <w:style w:type="paragraph" w:styleId="CorpstexteTitre3" w:customStyle="1">
    <w:name w:val="Corps texte Titre 3"/>
    <w:basedOn w:val="Corpsdetexte"/>
    <w:qFormat/>
    <w:pPr>
      <w:tabs>
        <w:tab w:val="left" w:pos="737"/>
      </w:tabs>
      <w:spacing w:after="0" w:line="300" w:lineRule="exact"/>
      <w:ind w:left="1276"/>
    </w:pPr>
    <w:rPr>
      <w:rFonts w:ascii="Tahoma" w:hAnsi="Tahoma"/>
      <w:sz w:val="22"/>
      <w:szCs w:val="20"/>
    </w:rPr>
  </w:style>
  <w:style w:type="paragraph" w:styleId="ListepuceNiv3" w:customStyle="1">
    <w:name w:val="Liste puce Niv3"/>
    <w:basedOn w:val="CorpstexteTitre3"/>
    <w:qFormat/>
    <w:pPr>
      <w:numPr>
        <w:numId w:val="8"/>
      </w:numPr>
      <w:tabs>
        <w:tab w:val="clear" w:pos="737"/>
        <w:tab w:val="left" w:pos="8789"/>
      </w:tabs>
      <w:spacing w:line="240" w:lineRule="auto"/>
    </w:pPr>
    <w:rPr>
      <w:rFonts w:ascii="Arial" w:hAnsi="Arial"/>
    </w:rPr>
  </w:style>
  <w:style w:type="paragraph" w:styleId="NormalTableau" w:customStyle="1">
    <w:name w:val="NormalTableau"/>
    <w:basedOn w:val="Normal"/>
    <w:qFormat/>
    <w:pPr>
      <w:spacing w:before="120"/>
      <w:ind w:left="67" w:firstLine="18"/>
    </w:pPr>
  </w:style>
  <w:style w:type="paragraph" w:styleId="Commentaire2" w:customStyle="1">
    <w:name w:val="Commentaire2"/>
    <w:basedOn w:val="Normal"/>
    <w:qFormat/>
    <w:pPr>
      <w:spacing w:before="240"/>
    </w:pPr>
    <w:rPr>
      <w:sz w:val="20"/>
      <w:lang w:eastAsia="ar-SA"/>
    </w:rPr>
  </w:style>
  <w:style w:type="paragraph" w:styleId="Commentaire1" w:customStyle="1">
    <w:name w:val="Commentaire1"/>
    <w:basedOn w:val="Normal"/>
    <w:qFormat/>
    <w:pPr>
      <w:spacing w:before="240"/>
    </w:pPr>
    <w:rPr>
      <w:sz w:val="20"/>
      <w:lang w:eastAsia="ar-SA"/>
    </w:rPr>
  </w:style>
  <w:style w:type="paragraph" w:styleId="Paragraphedeliste1" w:customStyle="1">
    <w:name w:val="Paragraphe de liste1"/>
    <w:basedOn w:val="Normal"/>
    <w:qFormat/>
    <w:pPr>
      <w:spacing w:before="60" w:after="60"/>
      <w:ind w:left="720"/>
      <w:contextualSpacing/>
    </w:pPr>
    <w:rPr>
      <w:rFonts w:ascii="Arial" w:hAnsi="Arial"/>
    </w:rPr>
  </w:style>
  <w:style w:type="paragraph" w:styleId="Standard" w:customStyle="1">
    <w:name w:val="Standard"/>
    <w:link w:val="StandardCar"/>
    <w:qFormat/>
    <w:pPr>
      <w:widowControl w:val="0"/>
      <w:spacing w:before="60" w:after="60"/>
    </w:pPr>
    <w:rPr>
      <w:rFonts w:ascii="Liberation Serif" w:hAnsi="Liberation Serif" w:eastAsia="SimSun" w:cs="Mangal"/>
      <w:sz w:val="24"/>
      <w:szCs w:val="24"/>
      <w:lang w:eastAsia="zh-CN" w:bidi="hi-IN"/>
    </w:rPr>
  </w:style>
  <w:style w:type="paragraph" w:styleId="Paragraphedeliste2" w:customStyle="1">
    <w:name w:val="Paragraphe de liste2"/>
    <w:basedOn w:val="Standard"/>
    <w:qFormat/>
    <w:pPr>
      <w:ind w:left="720"/>
    </w:pPr>
  </w:style>
  <w:style w:type="paragraph" w:styleId="bouletNormal" w:customStyle="1">
    <w:name w:val="bouletNormal"/>
    <w:basedOn w:val="Standard"/>
    <w:qFormat/>
    <w:pPr>
      <w:spacing w:before="120" w:after="0"/>
    </w:pPr>
    <w:rPr>
      <w:rFonts w:ascii="Times New Roman" w:hAnsi="Times New Roman" w:eastAsia="Times New Roman" w:cs="Times New Roman"/>
      <w:szCs w:val="20"/>
    </w:rPr>
  </w:style>
  <w:style w:type="paragraph" w:styleId="NormalPPM" w:customStyle="1">
    <w:name w:val="NormalPPM"/>
    <w:basedOn w:val="Standard"/>
    <w:qFormat/>
    <w:pPr>
      <w:spacing w:before="120" w:after="0"/>
      <w:ind w:firstLine="709"/>
    </w:pPr>
    <w:rPr>
      <w:rFonts w:ascii="Times New Roman" w:hAnsi="Times New Roman" w:eastAsia="Times New Roman" w:cs="Times"/>
      <w:szCs w:val="20"/>
      <w:lang w:eastAsia="ar-SA"/>
    </w:rPr>
  </w:style>
  <w:style w:type="paragraph" w:styleId="Puce2INRAE" w:customStyle="1">
    <w:name w:val="Puce2 INRAE"/>
    <w:basedOn w:val="Puce1"/>
    <w:qFormat/>
    <w:pPr>
      <w:numPr>
        <w:numId w:val="39"/>
      </w:numPr>
    </w:pPr>
  </w:style>
  <w:style w:type="paragraph" w:styleId="CM66" w:customStyle="1">
    <w:name w:val="CM66"/>
    <w:basedOn w:val="Default"/>
    <w:next w:val="Default"/>
    <w:qFormat/>
    <w:pPr>
      <w:widowControl w:val="0"/>
      <w:spacing w:after="123"/>
    </w:pPr>
    <w:rPr>
      <w:rFonts w:ascii="Times" w:hAnsi="Times" w:eastAsia="Times" w:cs="Times New Roman"/>
      <w:color w:val="00000A"/>
      <w:szCs w:val="20"/>
    </w:rPr>
  </w:style>
  <w:style w:type="paragraph" w:styleId="BouletREt1" w:customStyle="1">
    <w:name w:val="BouletREt1"/>
    <w:basedOn w:val="Normal"/>
    <w:qFormat/>
    <w:pPr>
      <w:widowControl w:val="0"/>
      <w:spacing w:before="120"/>
      <w:ind w:left="1434" w:hanging="357"/>
    </w:pPr>
    <w:rPr>
      <w:szCs w:val="20"/>
      <w:lang w:eastAsia="zh-CN" w:bidi="hi-IN"/>
    </w:rPr>
  </w:style>
  <w:style w:type="paragraph" w:styleId="NormalCCTP" w:customStyle="1">
    <w:name w:val="NormalCCTP"/>
    <w:basedOn w:val="Standard"/>
    <w:qFormat/>
    <w:pPr>
      <w:spacing w:before="0" w:after="120"/>
      <w:ind w:firstLine="709"/>
    </w:pPr>
    <w:rPr>
      <w:rFonts w:ascii="Times New Roman" w:hAnsi="Times New Roman" w:eastAsia="Times New Roman" w:cs="Times New Roman"/>
      <w:szCs w:val="20"/>
    </w:rPr>
  </w:style>
  <w:style w:type="paragraph" w:styleId="msolistparagraph0" w:customStyle="1">
    <w:name w:val="msolistparagraph"/>
    <w:basedOn w:val="Standard"/>
    <w:qFormat/>
    <w:pPr>
      <w:spacing w:before="0" w:after="0"/>
      <w:ind w:left="720"/>
    </w:pPr>
    <w:rPr>
      <w:rFonts w:ascii="Times New Roman" w:hAnsi="Times New Roman" w:eastAsia="MS Mincho" w:cs="Times New Roman"/>
      <w:color w:val="000000"/>
      <w:lang w:eastAsia="ja-JP"/>
    </w:rPr>
  </w:style>
  <w:style w:type="paragraph" w:styleId="CIRABoulet1" w:customStyle="1">
    <w:name w:val="CIRA Boulet 1"/>
    <w:basedOn w:val="Standard"/>
    <w:qFormat/>
    <w:pPr>
      <w:tabs>
        <w:tab w:val="left" w:pos="3556"/>
        <w:tab w:val="left" w:pos="4614"/>
      </w:tabs>
      <w:spacing w:before="0" w:after="0"/>
      <w:ind w:left="1418"/>
    </w:pPr>
    <w:rPr>
      <w:rFonts w:ascii="Times New Roman" w:hAnsi="Times New Roman" w:eastAsia="Times New Roman" w:cs="Times New Roman"/>
      <w:szCs w:val="20"/>
      <w:lang w:eastAsia="ar-SA"/>
    </w:rPr>
  </w:style>
  <w:style w:type="paragraph" w:styleId="bouletNormal1" w:customStyle="1">
    <w:name w:val="bouletNormal1"/>
    <w:basedOn w:val="bouletNormal"/>
    <w:qFormat/>
    <w:pPr>
      <w:tabs>
        <w:tab w:val="left" w:pos="4265"/>
        <w:tab w:val="left" w:pos="4614"/>
      </w:tabs>
      <w:ind w:left="1418"/>
    </w:pPr>
    <w:rPr>
      <w:lang w:eastAsia="ar-SA"/>
    </w:rPr>
  </w:style>
  <w:style w:type="paragraph" w:styleId="Textebrut1" w:customStyle="1">
    <w:name w:val="Texte brut1"/>
    <w:basedOn w:val="Standard"/>
    <w:qFormat/>
    <w:pPr>
      <w:spacing w:before="0" w:after="0"/>
    </w:pPr>
    <w:rPr>
      <w:rFonts w:ascii="Times New Roman" w:hAnsi="Times New Roman" w:eastAsia="Times New Roman" w:cs="Times New Roman"/>
      <w:szCs w:val="20"/>
      <w:lang w:eastAsia="ar-SA"/>
    </w:rPr>
  </w:style>
  <w:style w:type="paragraph" w:styleId="Style4" w:customStyle="1">
    <w:name w:val="Style4"/>
    <w:basedOn w:val="Titre3"/>
    <w:qFormat/>
    <w:pPr>
      <w:widowControl w:val="0"/>
      <w:numPr>
        <w:ilvl w:val="3"/>
        <w:numId w:val="9"/>
      </w:numPr>
      <w:tabs>
        <w:tab w:val="left" w:pos="2127"/>
      </w:tabs>
      <w:spacing w:before="240" w:after="240"/>
    </w:pPr>
    <w:rPr>
      <w:rFonts w:ascii="Times New Roman" w:hAnsi="Times New Roman" w:eastAsia="MS Mincho" w:cs="Times New Roman"/>
      <w:smallCaps w:val="0"/>
      <w:color w:val="1F3864"/>
      <w:u w:val="single"/>
      <w:lang w:eastAsia="ja-JP" w:bidi="hi-IN"/>
    </w:rPr>
  </w:style>
  <w:style w:type="paragraph" w:styleId="Style1" w:customStyle="1">
    <w:name w:val="Style1"/>
    <w:basedOn w:val="Normal"/>
    <w:link w:val="Style1Car"/>
    <w:qFormat/>
    <w:pPr>
      <w:spacing w:before="120" w:after="60"/>
      <w:ind w:left="1418" w:firstLine="425"/>
    </w:pPr>
    <w:rPr>
      <w:szCs w:val="20"/>
      <w:lang w:eastAsia="ar-SA"/>
    </w:rPr>
  </w:style>
  <w:style w:type="paragraph" w:styleId="pucecarr" w:customStyle="1">
    <w:name w:val="puce carré"/>
    <w:basedOn w:val="Normal"/>
    <w:link w:val="pucecarrCar"/>
    <w:qFormat/>
    <w:pPr>
      <w:numPr>
        <w:numId w:val="10"/>
      </w:numPr>
    </w:pPr>
  </w:style>
  <w:style w:type="paragraph" w:styleId="ExigIHM" w:customStyle="1">
    <w:name w:val="Exig_IHM"/>
    <w:basedOn w:val="Normal"/>
    <w:qFormat/>
    <w:pPr>
      <w:numPr>
        <w:numId w:val="11"/>
      </w:numPr>
      <w:tabs>
        <w:tab w:val="right" w:pos="851"/>
      </w:tabs>
      <w:spacing w:before="120"/>
      <w:ind w:right="-7"/>
    </w:pPr>
    <w:rPr>
      <w:rFonts w:ascii="Times" w:hAnsi="Times" w:cs="Times"/>
    </w:rPr>
  </w:style>
  <w:style w:type="paragraph" w:styleId="Exigence1" w:customStyle="1">
    <w:name w:val="Exigence1"/>
    <w:basedOn w:val="Paragraphedeliste"/>
    <w:link w:val="Exigence1Car"/>
    <w:qFormat/>
    <w:pPr>
      <w:numPr>
        <w:numId w:val="0"/>
      </w:numPr>
      <w:spacing w:before="120" w:after="120" w:line="240" w:lineRule="auto"/>
      <w:contextualSpacing w:val="0"/>
      <w:jc w:val="left"/>
    </w:pPr>
    <w:rPr>
      <w:rFonts w:cs="Times New Roman"/>
      <w:szCs w:val="24"/>
      <w:lang w:eastAsia="en-US"/>
    </w:rPr>
  </w:style>
  <w:style w:type="paragraph" w:styleId="ExigTMA" w:customStyle="1">
    <w:name w:val="Exig_TMA"/>
    <w:basedOn w:val="Normal"/>
    <w:qFormat/>
    <w:rPr>
      <w:rFonts w:eastAsia="Calibri"/>
    </w:rPr>
  </w:style>
  <w:style w:type="paragraph" w:styleId="Corpsdutexte80" w:customStyle="1">
    <w:name w:val="Corps du texte (8)"/>
    <w:basedOn w:val="Normal"/>
    <w:link w:val="Corpsdutexte8"/>
    <w:qFormat/>
    <w:pPr>
      <w:widowControl w:val="0"/>
      <w:shd w:val="clear" w:color="auto" w:fill="FFFFFF"/>
      <w:spacing w:before="540" w:line="284" w:lineRule="exact"/>
      <w:ind w:hanging="1060"/>
    </w:pPr>
    <w:rPr>
      <w:sz w:val="21"/>
      <w:szCs w:val="21"/>
    </w:rPr>
  </w:style>
  <w:style w:type="paragraph" w:styleId="Titreindex">
    <w:name w:val="index heading"/>
    <w:basedOn w:val="Heading"/>
  </w:style>
  <w:style w:type="paragraph" w:styleId="En-ttedetabledesmatires">
    <w:name w:val="TOC Heading"/>
    <w:basedOn w:val="Titre1"/>
    <w:next w:val="Normal"/>
    <w:uiPriority w:val="39"/>
    <w:unhideWhenUsed/>
    <w:qFormat/>
    <w:pPr>
      <w:keepLines/>
      <w:pageBreakBefore w:val="0"/>
      <w:numPr>
        <w:ilvl w:val="0"/>
        <w:numId w:val="0"/>
      </w:numPr>
      <w:pBdr>
        <w:bottom w:val="none" w:color="000000" w:sz="4" w:space="0"/>
      </w:pBdr>
      <w:spacing w:before="240" w:after="0" w:line="259" w:lineRule="auto"/>
      <w:jc w:val="left"/>
      <w:outlineLvl w:val="9"/>
    </w:pPr>
    <w:rPr>
      <w:rFonts w:asciiTheme="majorHAnsi" w:hAnsiTheme="majorHAnsi" w:eastAsiaTheme="majorEastAsia" w:cstheme="majorBidi"/>
      <w:b w:val="0"/>
      <w:caps w:val="0"/>
      <w:color w:val="001D58" w:themeColor="accent1" w:themeShade="BF"/>
      <w:szCs w:val="32"/>
    </w:rPr>
  </w:style>
  <w:style w:type="paragraph" w:styleId="Listepuces2">
    <w:name w:val="List Bullet 2"/>
    <w:basedOn w:val="Normal"/>
    <w:pPr>
      <w:numPr>
        <w:ilvl w:val="1"/>
        <w:numId w:val="14"/>
      </w:numPr>
      <w:spacing w:line="280" w:lineRule="atLeast"/>
      <w:contextualSpacing/>
    </w:pPr>
    <w:rPr>
      <w:rFonts w:ascii="Calibri" w:hAnsi="Calibri" w:eastAsia="Calibri"/>
      <w:lang w:eastAsia="en-US"/>
    </w:rPr>
  </w:style>
  <w:style w:type="paragraph" w:styleId="Listepuces3">
    <w:name w:val="List Bullet 3"/>
    <w:basedOn w:val="Normal"/>
    <w:pPr>
      <w:numPr>
        <w:ilvl w:val="2"/>
        <w:numId w:val="14"/>
      </w:numPr>
      <w:spacing w:line="280" w:lineRule="atLeast"/>
      <w:contextualSpacing/>
    </w:pPr>
    <w:rPr>
      <w:rFonts w:ascii="Calibri" w:hAnsi="Calibri" w:eastAsia="Calibri"/>
      <w:lang w:eastAsia="en-US"/>
    </w:rPr>
  </w:style>
  <w:style w:type="paragraph" w:styleId="Tableau-titre" w:customStyle="1">
    <w:name w:val="Tableau-titre"/>
    <w:basedOn w:val="Normal"/>
    <w:link w:val="Tableau-titreCar"/>
    <w:qFormat/>
    <w:rPr>
      <w:rFonts w:ascii="Calibri" w:hAnsi="Calibri"/>
      <w:b/>
      <w:sz w:val="20"/>
      <w:szCs w:val="20"/>
    </w:rPr>
  </w:style>
  <w:style w:type="paragraph" w:styleId="Contenudetableau" w:customStyle="1">
    <w:name w:val="Contenu de tableau"/>
    <w:basedOn w:val="Normal"/>
    <w:qFormat/>
    <w:pPr>
      <w:suppressLineNumbers/>
      <w:shd w:val="clear" w:color="auto" w:fill="FFFFFF"/>
      <w:spacing w:after="57"/>
    </w:pPr>
    <w:rPr>
      <w:rFonts w:ascii="Arial" w:hAnsi="Arial"/>
      <w:sz w:val="20"/>
    </w:rPr>
  </w:style>
  <w:style w:type="paragraph" w:styleId="Titredetableau" w:customStyle="1">
    <w:name w:val="Titre de tableau"/>
    <w:basedOn w:val="Contenudetableau"/>
    <w:qFormat/>
    <w:pPr>
      <w:jc w:val="center"/>
    </w:pPr>
    <w:rPr>
      <w:b/>
      <w:bCs/>
    </w:rPr>
  </w:style>
  <w:style w:type="paragraph" w:styleId="P2" w:customStyle="1">
    <w:name w:val="P2"/>
    <w:basedOn w:val="Normal"/>
    <w:qFormat/>
    <w:pPr>
      <w:spacing w:before="120"/>
      <w:ind w:left="1276" w:hanging="23"/>
    </w:pPr>
    <w:rPr>
      <w:rFonts w:ascii="Arial" w:hAnsi="Arial" w:cs="Arial"/>
      <w:color w:val="000000"/>
      <w:sz w:val="23"/>
      <w:szCs w:val="23"/>
    </w:rPr>
  </w:style>
  <w:style w:type="paragraph" w:styleId="P3" w:customStyle="1">
    <w:name w:val="P3"/>
    <w:basedOn w:val="Normal"/>
    <w:qFormat/>
    <w:pPr>
      <w:spacing w:before="120"/>
      <w:ind w:left="1985" w:hanging="23"/>
    </w:pPr>
    <w:rPr>
      <w:rFonts w:ascii="Arial" w:hAnsi="Arial" w:cs="Arial"/>
      <w:color w:val="000000"/>
      <w:sz w:val="23"/>
      <w:szCs w:val="23"/>
    </w:rPr>
  </w:style>
  <w:style w:type="paragraph" w:styleId="P4" w:customStyle="1">
    <w:name w:val="P4"/>
    <w:basedOn w:val="Normal"/>
    <w:qFormat/>
    <w:pPr>
      <w:spacing w:before="120"/>
      <w:ind w:left="2694" w:hanging="23"/>
    </w:pPr>
    <w:rPr>
      <w:rFonts w:ascii="Arial" w:hAnsi="Arial" w:cs="Arial"/>
      <w:color w:val="000000"/>
      <w:sz w:val="23"/>
      <w:szCs w:val="23"/>
    </w:rPr>
  </w:style>
  <w:style w:type="paragraph" w:styleId="T3" w:customStyle="1">
    <w:name w:val="T3"/>
    <w:basedOn w:val="En-tte"/>
    <w:link w:val="T3Car"/>
    <w:uiPriority w:val="99"/>
    <w:qFormat/>
    <w:pPr>
      <w:tabs>
        <w:tab w:val="clear" w:pos="4536"/>
        <w:tab w:val="clear" w:pos="9072"/>
        <w:tab w:val="left" w:pos="360"/>
      </w:tabs>
      <w:spacing w:before="240" w:after="60" w:line="360" w:lineRule="atLeast"/>
      <w:ind w:left="360" w:hanging="360"/>
      <w:jc w:val="left"/>
    </w:pPr>
    <w:rPr>
      <w:rFonts w:ascii="Arial Gras" w:hAnsi="Arial Gras" w:cs="Times New Roman"/>
      <w:b/>
      <w:smallCaps/>
      <w:color w:val="0000FF"/>
      <w:szCs w:val="20"/>
    </w:rPr>
  </w:style>
  <w:style w:type="paragraph" w:styleId="puce-" w:customStyle="1">
    <w:name w:val="puce -"/>
    <w:basedOn w:val="Schma"/>
    <w:link w:val="puce-Car"/>
    <w:qFormat/>
    <w:pPr>
      <w:keepLines/>
      <w:numPr>
        <w:numId w:val="15"/>
      </w:numPr>
      <w:spacing w:line="276" w:lineRule="auto"/>
      <w:jc w:val="both"/>
    </w:pPr>
    <w:rPr>
      <w:color w:val="000000"/>
      <w:sz w:val="22"/>
      <w:szCs w:val="23"/>
    </w:rPr>
  </w:style>
  <w:style w:type="paragraph" w:styleId="P5" w:customStyle="1">
    <w:name w:val="P5"/>
    <w:basedOn w:val="Normal"/>
    <w:qFormat/>
    <w:pPr>
      <w:spacing w:before="120"/>
      <w:ind w:left="3402" w:hanging="23"/>
    </w:pPr>
    <w:rPr>
      <w:rFonts w:ascii="Arial" w:hAnsi="Arial" w:cs="Arial"/>
      <w:color w:val="000000"/>
      <w:sz w:val="23"/>
      <w:szCs w:val="23"/>
    </w:rPr>
  </w:style>
  <w:style w:type="paragraph" w:styleId="QU" w:customStyle="1">
    <w:name w:val="QU"/>
    <w:basedOn w:val="EN"/>
    <w:qFormat/>
    <w:pPr>
      <w:ind w:left="2155" w:hanging="283"/>
    </w:pPr>
  </w:style>
  <w:style w:type="paragraph" w:styleId="EN" w:customStyle="1">
    <w:name w:val="EN"/>
    <w:basedOn w:val="Normal"/>
    <w:qFormat/>
    <w:pPr>
      <w:tabs>
        <w:tab w:val="left" w:pos="2346"/>
      </w:tabs>
      <w:spacing w:before="120"/>
      <w:ind w:left="1418" w:hanging="142"/>
    </w:pPr>
    <w:rPr>
      <w:rFonts w:ascii="Arial" w:hAnsi="Arial" w:cs="Arial"/>
      <w:color w:val="000000"/>
      <w:sz w:val="23"/>
      <w:szCs w:val="23"/>
    </w:rPr>
  </w:style>
  <w:style w:type="paragraph" w:styleId="E2" w:customStyle="1">
    <w:name w:val="E2"/>
    <w:basedOn w:val="EN"/>
    <w:qFormat/>
    <w:pPr>
      <w:tabs>
        <w:tab w:val="left" w:pos="2268"/>
      </w:tabs>
      <w:ind w:left="2268" w:hanging="283"/>
    </w:pPr>
  </w:style>
  <w:style w:type="paragraph" w:styleId="E3" w:customStyle="1">
    <w:name w:val="E3"/>
    <w:basedOn w:val="EN"/>
    <w:qFormat/>
    <w:pPr>
      <w:tabs>
        <w:tab w:val="left" w:pos="2977"/>
      </w:tabs>
      <w:ind w:left="2977" w:hanging="425"/>
    </w:pPr>
  </w:style>
  <w:style w:type="paragraph" w:styleId="E4" w:customStyle="1">
    <w:name w:val="E4"/>
    <w:basedOn w:val="EN"/>
    <w:qFormat/>
    <w:pPr>
      <w:ind w:left="3544" w:hanging="283"/>
    </w:pPr>
  </w:style>
  <w:style w:type="paragraph" w:styleId="E5" w:customStyle="1">
    <w:name w:val="E5"/>
    <w:basedOn w:val="EN"/>
    <w:qFormat/>
    <w:pPr>
      <w:ind w:left="4253" w:hanging="284"/>
    </w:pPr>
  </w:style>
  <w:style w:type="paragraph" w:styleId="N1" w:customStyle="1">
    <w:name w:val="N1"/>
    <w:qFormat/>
    <w:pPr>
      <w:tabs>
        <w:tab w:val="left" w:pos="284"/>
        <w:tab w:val="center" w:pos="5103"/>
        <w:tab w:val="right" w:pos="9923"/>
      </w:tabs>
    </w:pPr>
    <w:rPr>
      <w:rFonts w:ascii="Arial" w:hAnsi="Arial"/>
      <w:b/>
      <w:sz w:val="16"/>
    </w:rPr>
  </w:style>
  <w:style w:type="paragraph" w:styleId="TB" w:customStyle="1">
    <w:name w:val="TB"/>
    <w:basedOn w:val="Normal"/>
    <w:qFormat/>
    <w:pPr>
      <w:spacing w:before="120"/>
      <w:ind w:left="57" w:right="57" w:hanging="23"/>
    </w:pPr>
    <w:rPr>
      <w:rFonts w:ascii="Arial" w:hAnsi="Arial" w:cs="Arial"/>
      <w:color w:val="000000"/>
      <w:sz w:val="23"/>
      <w:szCs w:val="23"/>
    </w:rPr>
  </w:style>
  <w:style w:type="paragraph" w:styleId="DR" w:customStyle="1">
    <w:name w:val="DR"/>
    <w:qFormat/>
    <w:pPr>
      <w:tabs>
        <w:tab w:val="left" w:pos="720"/>
        <w:tab w:val="left" w:pos="1582"/>
        <w:tab w:val="left" w:pos="5760"/>
        <w:tab w:val="left" w:pos="6481"/>
      </w:tabs>
      <w:spacing w:line="240" w:lineRule="exact"/>
    </w:pPr>
  </w:style>
  <w:style w:type="paragraph" w:styleId="Normalcentr">
    <w:name w:val="Block Text"/>
    <w:basedOn w:val="Normal"/>
    <w:qFormat/>
    <w:pPr>
      <w:spacing w:before="120"/>
      <w:ind w:hanging="23"/>
    </w:pPr>
    <w:rPr>
      <w:rFonts w:ascii="Arial" w:hAnsi="Arial" w:cs="Arial"/>
      <w:color w:val="000000"/>
      <w:sz w:val="23"/>
      <w:szCs w:val="23"/>
    </w:rPr>
  </w:style>
  <w:style w:type="paragraph" w:styleId="Puce3INRAE" w:customStyle="1">
    <w:name w:val="Puce 3 INRAE"/>
    <w:basedOn w:val="Paragraphedeliste"/>
    <w:next w:val="Puce3"/>
    <w:link w:val="Puce3INRAECar"/>
    <w:qFormat/>
    <w:pPr>
      <w:numPr>
        <w:ilvl w:val="2"/>
        <w:numId w:val="35"/>
      </w:numPr>
      <w:spacing w:after="0" w:line="240" w:lineRule="auto"/>
    </w:pPr>
    <w:rPr>
      <w:rFonts w:asciiTheme="minorHAnsi" w:hAnsiTheme="minorHAnsi" w:cstheme="minorHAnsi"/>
      <w:szCs w:val="22"/>
    </w:rPr>
  </w:style>
  <w:style w:type="paragraph" w:styleId="Puce4" w:customStyle="1">
    <w:name w:val="Puce 4"/>
    <w:basedOn w:val="Puce3"/>
    <w:link w:val="Puce4Car"/>
    <w:qFormat/>
    <w:pPr>
      <w:numPr>
        <w:numId w:val="37"/>
      </w:numPr>
    </w:pPr>
  </w:style>
  <w:style w:type="paragraph" w:styleId="Corpsdetexte2">
    <w:name w:val="Body Text 2"/>
    <w:basedOn w:val="Normal"/>
    <w:link w:val="Corpsdetexte2Car"/>
    <w:qFormat/>
    <w:pPr>
      <w:spacing w:before="120"/>
    </w:pPr>
    <w:rPr>
      <w:rFonts w:ascii="Arial" w:hAnsi="Arial" w:cs="Arial"/>
      <w:color w:val="000000"/>
    </w:rPr>
  </w:style>
  <w:style w:type="paragraph" w:styleId="R" w:customStyle="1">
    <w:name w:val="R"/>
    <w:basedOn w:val="Normal"/>
    <w:qFormat/>
    <w:pPr>
      <w:numPr>
        <w:numId w:val="17"/>
      </w:numPr>
      <w:tabs>
        <w:tab w:val="left" w:pos="851"/>
      </w:tabs>
      <w:spacing w:before="120"/>
    </w:pPr>
    <w:rPr>
      <w:rFonts w:ascii="Arial" w:hAnsi="Arial" w:cs="Arial"/>
      <w:color w:val="0000FF"/>
      <w:sz w:val="23"/>
      <w:szCs w:val="23"/>
      <w:lang w:eastAsia="en-US"/>
    </w:rPr>
  </w:style>
  <w:style w:type="paragraph" w:styleId="Puce" w:customStyle="1">
    <w:name w:val="Puce"/>
    <w:basedOn w:val="EN"/>
    <w:qFormat/>
    <w:pPr>
      <w:numPr>
        <w:numId w:val="16"/>
      </w:numPr>
      <w:tabs>
        <w:tab w:val="left" w:pos="1636"/>
      </w:tabs>
      <w:ind w:left="1636"/>
    </w:pPr>
  </w:style>
  <w:style w:type="paragraph" w:styleId="Retrai1" w:customStyle="1">
    <w:name w:val="Retrai1"/>
    <w:basedOn w:val="Normal"/>
    <w:qFormat/>
    <w:pPr>
      <w:numPr>
        <w:numId w:val="18"/>
      </w:numPr>
      <w:tabs>
        <w:tab w:val="left" w:pos="709"/>
      </w:tabs>
      <w:spacing w:before="120" w:line="280" w:lineRule="exact"/>
      <w:ind w:left="709"/>
    </w:pPr>
    <w:rPr>
      <w:rFonts w:ascii="Arial" w:hAnsi="Arial" w:cs="Arial"/>
      <w:color w:val="000000"/>
      <w:sz w:val="23"/>
      <w:szCs w:val="23"/>
    </w:rPr>
  </w:style>
  <w:style w:type="paragraph" w:styleId="E1" w:customStyle="1">
    <w:name w:val="E1"/>
    <w:basedOn w:val="Normal"/>
    <w:qFormat/>
    <w:pPr>
      <w:numPr>
        <w:numId w:val="19"/>
      </w:numPr>
      <w:spacing w:before="120"/>
      <w:ind w:left="1066" w:hanging="357"/>
    </w:pPr>
    <w:rPr>
      <w:rFonts w:ascii="Arial" w:hAnsi="Arial" w:cs="Arial"/>
      <w:color w:val="000000"/>
      <w:sz w:val="23"/>
      <w:szCs w:val="23"/>
    </w:rPr>
  </w:style>
  <w:style w:type="paragraph" w:styleId="SI" w:customStyle="1">
    <w:name w:val="SI"/>
    <w:basedOn w:val="Normal"/>
    <w:qFormat/>
    <w:pPr>
      <w:numPr>
        <w:numId w:val="20"/>
      </w:numPr>
      <w:spacing w:before="960"/>
      <w:ind w:left="4536" w:right="1134" w:firstLine="0"/>
      <w:jc w:val="center"/>
    </w:pPr>
    <w:rPr>
      <w:rFonts w:ascii="Arial" w:hAnsi="Arial" w:cs="Arial"/>
      <w:color w:val="000000"/>
      <w:sz w:val="23"/>
      <w:szCs w:val="23"/>
    </w:rPr>
  </w:style>
  <w:style w:type="paragraph" w:styleId="BlockText1" w:customStyle="1">
    <w:name w:val="Block Text1"/>
    <w:basedOn w:val="Normal"/>
    <w:qFormat/>
    <w:pPr>
      <w:spacing w:before="120"/>
      <w:ind w:hanging="23"/>
    </w:pPr>
    <w:rPr>
      <w:rFonts w:ascii="Arial" w:hAnsi="Arial" w:cs="Arial"/>
      <w:b/>
      <w:color w:val="000000"/>
      <w:sz w:val="23"/>
      <w:szCs w:val="23"/>
    </w:rPr>
  </w:style>
  <w:style w:type="paragraph" w:styleId="Normal1" w:customStyle="1">
    <w:name w:val="Normal 1"/>
    <w:basedOn w:val="Normal"/>
    <w:qFormat/>
    <w:pPr>
      <w:spacing w:before="120"/>
    </w:pPr>
    <w:rPr>
      <w:rFonts w:ascii="Helvetica" w:hAnsi="Helvetica" w:cs="Arial"/>
      <w:color w:val="000000"/>
      <w:sz w:val="23"/>
      <w:szCs w:val="23"/>
    </w:rPr>
  </w:style>
  <w:style w:type="paragraph" w:styleId="Enum1" w:customStyle="1">
    <w:name w:val="Enum1"/>
    <w:basedOn w:val="Normal"/>
    <w:link w:val="Enum1Car1"/>
    <w:qFormat/>
    <w:pPr>
      <w:spacing w:before="120" w:line="220" w:lineRule="exact"/>
      <w:ind w:left="561" w:hanging="278"/>
    </w:pPr>
    <w:rPr>
      <w:rFonts w:ascii="Helvetica" w:hAnsi="Helvetica" w:cs="Arial"/>
      <w:color w:val="000000"/>
      <w:sz w:val="23"/>
      <w:szCs w:val="23"/>
    </w:rPr>
  </w:style>
  <w:style w:type="paragraph" w:styleId="ListeTiretinterligne" w:customStyle="1">
    <w:name w:val="Liste (Tiret + interligne)"/>
    <w:basedOn w:val="Normal"/>
    <w:qFormat/>
    <w:pPr>
      <w:numPr>
        <w:numId w:val="21"/>
      </w:numPr>
      <w:spacing w:before="240"/>
    </w:pPr>
    <w:rPr>
      <w:rFonts w:ascii="Arial" w:hAnsi="Arial" w:cs="Arial"/>
      <w:color w:val="000000"/>
    </w:rPr>
  </w:style>
  <w:style w:type="paragraph" w:styleId="Retraitcorpsdetexte">
    <w:name w:val="Body Text Indent"/>
    <w:basedOn w:val="Normal"/>
    <w:link w:val="RetraitcorpsdetexteCar"/>
    <w:pPr>
      <w:spacing w:before="120"/>
      <w:ind w:left="283" w:hanging="23"/>
    </w:pPr>
    <w:rPr>
      <w:rFonts w:ascii="Arial" w:hAnsi="Arial" w:cs="Arial"/>
      <w:color w:val="000000"/>
      <w:sz w:val="23"/>
      <w:szCs w:val="23"/>
    </w:rPr>
  </w:style>
  <w:style w:type="paragraph" w:styleId="Normalferm" w:customStyle="1">
    <w:name w:val="Normal fermé"/>
    <w:basedOn w:val="Normal"/>
    <w:qFormat/>
    <w:pPr>
      <w:spacing w:before="120"/>
    </w:pPr>
    <w:rPr>
      <w:rFonts w:ascii="Arial" w:hAnsi="Arial" w:cs="Arial"/>
      <w:color w:val="000000"/>
      <w:szCs w:val="23"/>
    </w:rPr>
  </w:style>
  <w:style w:type="paragraph" w:styleId="Paragraphe" w:customStyle="1">
    <w:name w:val="Paragraphe"/>
    <w:basedOn w:val="Normal"/>
    <w:qFormat/>
    <w:pPr>
      <w:spacing w:before="120"/>
      <w:ind w:left="851"/>
    </w:pPr>
    <w:rPr>
      <w:rFonts w:ascii="Verdana" w:hAnsi="Verdana" w:eastAsia="Times" w:cs="Arial"/>
      <w:color w:val="000000"/>
      <w:sz w:val="23"/>
      <w:szCs w:val="23"/>
    </w:rPr>
  </w:style>
  <w:style w:type="paragraph" w:styleId="paragraphe10" w:customStyle="1">
    <w:name w:val="paragraphe1"/>
    <w:basedOn w:val="Normal"/>
    <w:qFormat/>
    <w:pPr>
      <w:spacing w:before="120"/>
      <w:ind w:left="851"/>
    </w:pPr>
    <w:rPr>
      <w:rFonts w:ascii="Verdana" w:hAnsi="Verdana" w:cs="Arial"/>
      <w:color w:val="000000"/>
      <w:sz w:val="23"/>
      <w:szCs w:val="23"/>
    </w:rPr>
  </w:style>
  <w:style w:type="paragraph" w:styleId="StyleEnum1TimesNewRoman" w:customStyle="1">
    <w:name w:val="Style Enum1 + Times New Roman"/>
    <w:basedOn w:val="Enum1"/>
    <w:link w:val="StyleEnum1TimesNewRomanCar"/>
    <w:qFormat/>
    <w:pPr>
      <w:keepLines/>
      <w:tabs>
        <w:tab w:val="left" w:pos="1417"/>
      </w:tabs>
      <w:spacing w:line="240" w:lineRule="auto"/>
      <w:ind w:left="1417" w:hanging="283"/>
    </w:pPr>
    <w:rPr>
      <w:rFonts w:ascii="Times New Roman" w:hAnsi="Times New Roman"/>
      <w:sz w:val="24"/>
    </w:rPr>
  </w:style>
  <w:style w:type="paragraph" w:styleId="Listepuces4">
    <w:name w:val="List Bullet 4"/>
    <w:basedOn w:val="Normal"/>
    <w:pPr>
      <w:numPr>
        <w:numId w:val="22"/>
      </w:numPr>
      <w:spacing w:before="120"/>
    </w:pPr>
    <w:rPr>
      <w:rFonts w:ascii="Verdana" w:hAnsi="Verdana" w:cs="Arial"/>
      <w:color w:val="000000"/>
      <w:sz w:val="23"/>
      <w:szCs w:val="23"/>
    </w:rPr>
  </w:style>
  <w:style w:type="paragraph" w:styleId="Listedansuneliste" w:customStyle="1">
    <w:name w:val="Liste (dans une liste)"/>
    <w:qFormat/>
    <w:pPr>
      <w:numPr>
        <w:numId w:val="23"/>
      </w:numPr>
      <w:tabs>
        <w:tab w:val="left" w:pos="567"/>
      </w:tabs>
      <w:ind w:hanging="227"/>
      <w:jc w:val="both"/>
    </w:pPr>
    <w:rPr>
      <w:sz w:val="24"/>
    </w:rPr>
  </w:style>
  <w:style w:type="paragraph" w:styleId="Puceniveau1" w:customStyle="1">
    <w:name w:val="Puce niveau 1"/>
    <w:basedOn w:val="Normal"/>
    <w:qFormat/>
    <w:pPr>
      <w:numPr>
        <w:numId w:val="24"/>
      </w:numPr>
      <w:spacing w:before="120"/>
    </w:pPr>
    <w:rPr>
      <w:rFonts w:ascii="Arial" w:hAnsi="Arial" w:cs="Arial"/>
      <w:color w:val="000000"/>
      <w:sz w:val="23"/>
      <w:szCs w:val="23"/>
    </w:rPr>
  </w:style>
  <w:style w:type="paragraph" w:styleId="Textebrut">
    <w:name w:val="Plain Text"/>
    <w:basedOn w:val="Normal"/>
    <w:link w:val="TextebrutCar"/>
    <w:uiPriority w:val="99"/>
    <w:unhideWhenUsed/>
    <w:qFormat/>
    <w:pPr>
      <w:spacing w:before="120"/>
    </w:pPr>
    <w:rPr>
      <w:rFonts w:ascii="Consolas" w:hAnsi="Consolas" w:eastAsia="Arial" w:cs="Arial"/>
      <w:color w:val="000000"/>
      <w:sz w:val="21"/>
      <w:szCs w:val="21"/>
      <w:lang w:eastAsia="en-US"/>
    </w:rPr>
  </w:style>
  <w:style w:type="paragraph" w:styleId="Paragraphe2" w:customStyle="1">
    <w:name w:val="Paragraphe 2"/>
    <w:basedOn w:val="Normal"/>
    <w:qFormat/>
    <w:pPr>
      <w:numPr>
        <w:numId w:val="25"/>
      </w:numPr>
      <w:spacing w:before="120"/>
    </w:pPr>
    <w:rPr>
      <w:rFonts w:ascii="Arial" w:hAnsi="Arial" w:cs="Arial"/>
      <w:color w:val="000000"/>
      <w:sz w:val="23"/>
      <w:szCs w:val="23"/>
    </w:rPr>
  </w:style>
  <w:style w:type="paragraph" w:styleId="Titretableau" w:customStyle="1">
    <w:name w:val="Titre tableau"/>
    <w:basedOn w:val="Normal"/>
    <w:qFormat/>
    <w:pPr>
      <w:spacing w:before="120" w:line="276" w:lineRule="auto"/>
      <w:jc w:val="center"/>
    </w:pPr>
    <w:rPr>
      <w:rFonts w:ascii="Arial" w:hAnsi="Arial" w:eastAsia="Arial" w:cs="Arial"/>
      <w:b/>
      <w:bCs/>
      <w:color w:val="FFFFFF"/>
      <w:sz w:val="23"/>
      <w:szCs w:val="23"/>
    </w:rPr>
  </w:style>
  <w:style w:type="paragraph" w:styleId="Normaltableau0" w:customStyle="1">
    <w:name w:val="Normal tableau"/>
    <w:basedOn w:val="Normal"/>
    <w:qFormat/>
    <w:pPr>
      <w:spacing w:before="120" w:line="276" w:lineRule="auto"/>
    </w:pPr>
    <w:rPr>
      <w:rFonts w:ascii="Arial" w:hAnsi="Arial" w:cs="Arial"/>
      <w:color w:val="000000"/>
      <w:sz w:val="23"/>
      <w:szCs w:val="23"/>
    </w:rPr>
  </w:style>
  <w:style w:type="paragraph" w:styleId="Paragraphetableau" w:customStyle="1">
    <w:name w:val="Paragraphe tableau"/>
    <w:basedOn w:val="Paragraphe1"/>
    <w:qFormat/>
    <w:pPr>
      <w:spacing w:before="120"/>
      <w:ind w:left="360" w:right="0"/>
    </w:pPr>
    <w:rPr>
      <w:color w:val="000000"/>
      <w:sz w:val="23"/>
      <w:szCs w:val="23"/>
    </w:rPr>
  </w:style>
  <w:style w:type="paragraph" w:styleId="lettre" w:customStyle="1">
    <w:name w:val="lettre"/>
    <w:basedOn w:val="Normal"/>
    <w:qFormat/>
    <w:pPr>
      <w:spacing w:before="120" w:line="276" w:lineRule="auto"/>
      <w:ind w:left="284" w:right="283"/>
    </w:pPr>
    <w:rPr>
      <w:color w:val="000000"/>
      <w:sz w:val="23"/>
      <w:szCs w:val="23"/>
    </w:rPr>
  </w:style>
  <w:style w:type="paragraph" w:styleId="Liste2">
    <w:name w:val="List 2"/>
    <w:basedOn w:val="Normal"/>
    <w:qFormat/>
    <w:pPr>
      <w:spacing w:before="120" w:line="276" w:lineRule="auto"/>
      <w:ind w:left="964" w:right="283" w:hanging="964"/>
    </w:pPr>
    <w:rPr>
      <w:color w:val="000000"/>
      <w:sz w:val="23"/>
      <w:szCs w:val="23"/>
    </w:rPr>
  </w:style>
  <w:style w:type="paragraph" w:styleId="Liste3">
    <w:name w:val="List 3"/>
    <w:basedOn w:val="Normal"/>
    <w:qFormat/>
    <w:pPr>
      <w:spacing w:before="120" w:line="276" w:lineRule="auto"/>
      <w:ind w:left="1134" w:right="283" w:hanging="1134"/>
    </w:pPr>
    <w:rPr>
      <w:color w:val="000000"/>
      <w:sz w:val="23"/>
      <w:szCs w:val="23"/>
    </w:rPr>
  </w:style>
  <w:style w:type="paragraph" w:styleId="Listepuces5">
    <w:name w:val="List Bullet 5"/>
    <w:basedOn w:val="Normal"/>
    <w:pPr>
      <w:spacing w:before="120" w:line="276" w:lineRule="auto"/>
      <w:ind w:left="1699" w:right="283" w:hanging="567"/>
    </w:pPr>
    <w:rPr>
      <w:color w:val="000000"/>
      <w:sz w:val="23"/>
      <w:szCs w:val="23"/>
    </w:rPr>
  </w:style>
  <w:style w:type="paragraph" w:styleId="Listenumros">
    <w:name w:val="List Number"/>
    <w:basedOn w:val="Normal"/>
    <w:pPr>
      <w:spacing w:before="120" w:line="276" w:lineRule="auto"/>
      <w:ind w:left="284" w:right="283" w:hanging="567"/>
    </w:pPr>
    <w:rPr>
      <w:color w:val="000000"/>
      <w:sz w:val="23"/>
      <w:szCs w:val="23"/>
    </w:rPr>
  </w:style>
  <w:style w:type="paragraph" w:styleId="Listenumros2">
    <w:name w:val="List Number 2"/>
    <w:basedOn w:val="Normal"/>
    <w:pPr>
      <w:spacing w:before="120" w:line="276" w:lineRule="auto"/>
      <w:ind w:left="850" w:right="283" w:hanging="567"/>
    </w:pPr>
    <w:rPr>
      <w:color w:val="000000"/>
      <w:sz w:val="23"/>
      <w:szCs w:val="23"/>
    </w:rPr>
  </w:style>
  <w:style w:type="paragraph" w:styleId="Listenumros3">
    <w:name w:val="List Number 3"/>
    <w:basedOn w:val="Normal"/>
    <w:pPr>
      <w:spacing w:before="120" w:line="276" w:lineRule="auto"/>
      <w:ind w:left="1133" w:right="283" w:hanging="567"/>
    </w:pPr>
    <w:rPr>
      <w:color w:val="000000"/>
      <w:sz w:val="23"/>
      <w:szCs w:val="23"/>
    </w:rPr>
  </w:style>
  <w:style w:type="paragraph" w:styleId="Listenumros4">
    <w:name w:val="List Number 4"/>
    <w:basedOn w:val="Normal"/>
    <w:pPr>
      <w:spacing w:before="120" w:line="276" w:lineRule="auto"/>
      <w:ind w:left="1416" w:right="283" w:hanging="567"/>
    </w:pPr>
    <w:rPr>
      <w:color w:val="000000"/>
      <w:sz w:val="23"/>
      <w:szCs w:val="23"/>
    </w:rPr>
  </w:style>
  <w:style w:type="paragraph" w:styleId="Listenumros5">
    <w:name w:val="List Number 5"/>
    <w:basedOn w:val="Normal"/>
    <w:pPr>
      <w:spacing w:before="120" w:line="276" w:lineRule="auto"/>
      <w:ind w:left="1699" w:right="283" w:hanging="567"/>
    </w:pPr>
    <w:rPr>
      <w:color w:val="000000"/>
      <w:sz w:val="23"/>
      <w:szCs w:val="23"/>
    </w:rPr>
  </w:style>
  <w:style w:type="paragraph" w:styleId="Textedemacro">
    <w:name w:val="macro"/>
    <w:link w:val="TextedemacroCar"/>
    <w:qFormat/>
    <w:pPr>
      <w:tabs>
        <w:tab w:val="left" w:pos="284"/>
      </w:tabs>
    </w:pPr>
    <w:rPr>
      <w:rFonts w:ascii="Courier New" w:hAnsi="Courier New"/>
    </w:rPr>
  </w:style>
  <w:style w:type="paragraph" w:styleId="ngatifdupremier" w:customStyle="1">
    <w:name w:val="négatif du premier"/>
    <w:basedOn w:val="Normal"/>
    <w:qFormat/>
    <w:pPr>
      <w:spacing w:before="120" w:line="276" w:lineRule="auto"/>
      <w:ind w:left="284" w:right="283" w:hanging="567"/>
    </w:pPr>
    <w:rPr>
      <w:color w:val="000000"/>
      <w:sz w:val="23"/>
      <w:szCs w:val="23"/>
    </w:rPr>
  </w:style>
  <w:style w:type="paragraph" w:styleId="para" w:customStyle="1">
    <w:name w:val="para"/>
    <w:basedOn w:val="Liste"/>
    <w:qFormat/>
  </w:style>
  <w:style w:type="paragraph" w:styleId="para1" w:customStyle="1">
    <w:name w:val="para1"/>
    <w:basedOn w:val="Liste"/>
    <w:qFormat/>
    <w:pPr>
      <w:ind w:left="1474"/>
    </w:pPr>
  </w:style>
  <w:style w:type="paragraph" w:styleId="para2" w:customStyle="1">
    <w:name w:val="para2"/>
    <w:basedOn w:val="Normal"/>
    <w:qFormat/>
    <w:pPr>
      <w:spacing w:before="120" w:line="276" w:lineRule="auto"/>
      <w:ind w:left="2211" w:right="283" w:hanging="737"/>
    </w:pPr>
    <w:rPr>
      <w:color w:val="000000"/>
      <w:sz w:val="23"/>
      <w:szCs w:val="23"/>
    </w:rPr>
  </w:style>
  <w:style w:type="paragraph" w:styleId="Rond" w:customStyle="1">
    <w:name w:val="Rond"/>
    <w:basedOn w:val="Retraitnormal"/>
    <w:qFormat/>
    <w:pPr>
      <w:spacing w:before="120" w:line="276" w:lineRule="auto"/>
      <w:ind w:left="1134" w:right="1134" w:hanging="426"/>
      <w:jc w:val="left"/>
    </w:pPr>
    <w:rPr>
      <w:rFonts w:asciiTheme="minorHAnsi" w:hAnsiTheme="minorHAnsi" w:cstheme="minorHAnsi"/>
      <w:color w:val="000000"/>
      <w:sz w:val="23"/>
      <w:szCs w:val="23"/>
    </w:rPr>
  </w:style>
  <w:style w:type="paragraph" w:styleId="titreAnnexe2" w:customStyle="1">
    <w:name w:val="titreAnnexe2"/>
    <w:basedOn w:val="Titre2"/>
    <w:qFormat/>
    <w:pPr>
      <w:numPr>
        <w:ilvl w:val="1"/>
        <w:numId w:val="26"/>
      </w:numPr>
      <w:spacing w:after="0" w:line="276" w:lineRule="auto"/>
    </w:pPr>
    <w:rPr>
      <w:rFonts w:ascii="Arial (W1)" w:hAnsi="Arial (W1)" w:cs="Arial"/>
      <w:b/>
      <w:smallCaps w:val="0"/>
      <w:color w:val="000000"/>
      <w:sz w:val="32"/>
      <w:szCs w:val="23"/>
    </w:rPr>
  </w:style>
  <w:style w:type="paragraph" w:styleId="titreAnnexe3" w:customStyle="1">
    <w:name w:val="titreAnnexe3"/>
    <w:basedOn w:val="Titre3"/>
    <w:qFormat/>
    <w:pPr>
      <w:keepLines/>
      <w:numPr>
        <w:numId w:val="26"/>
      </w:numPr>
      <w:tabs>
        <w:tab w:val="clear" w:pos="720"/>
        <w:tab w:val="left" w:pos="1276"/>
      </w:tabs>
      <w:spacing w:before="240" w:after="0" w:line="276" w:lineRule="auto"/>
    </w:pPr>
    <w:rPr>
      <w:rFonts w:asciiTheme="majorHAnsi" w:hAnsiTheme="majorHAnsi"/>
      <w:bCs/>
      <w:i/>
      <w:iCs/>
      <w:color w:val="000000"/>
      <w:sz w:val="28"/>
      <w:szCs w:val="23"/>
    </w:rPr>
  </w:style>
  <w:style w:type="paragraph" w:styleId="titreAnnexe4" w:customStyle="1">
    <w:name w:val="titreAnnexe4"/>
    <w:basedOn w:val="Titre4"/>
    <w:qFormat/>
    <w:pPr>
      <w:keepLines/>
      <w:numPr>
        <w:ilvl w:val="3"/>
        <w:numId w:val="26"/>
      </w:numPr>
      <w:tabs>
        <w:tab w:val="left" w:pos="1843"/>
      </w:tabs>
      <w:spacing w:before="480" w:after="0" w:line="276" w:lineRule="auto"/>
    </w:pPr>
    <w:rPr>
      <w:color w:val="000000"/>
      <w:szCs w:val="23"/>
    </w:rPr>
  </w:style>
  <w:style w:type="paragraph" w:styleId="titreAnnexe5" w:customStyle="1">
    <w:name w:val="titreAnnexe5"/>
    <w:basedOn w:val="Titre5"/>
    <w:qFormat/>
    <w:pPr>
      <w:keepLines/>
      <w:numPr>
        <w:ilvl w:val="4"/>
        <w:numId w:val="26"/>
      </w:numPr>
      <w:tabs>
        <w:tab w:val="left" w:pos="2835"/>
      </w:tabs>
      <w:spacing w:line="276" w:lineRule="auto"/>
    </w:pPr>
    <w:rPr>
      <w:rFonts w:ascii="Arial Gras" w:hAnsi="Arial Gras"/>
      <w:bCs/>
      <w:i w:val="0"/>
      <w:iCs/>
      <w:color w:val="92D400" w:themeColor="accent2"/>
      <w:szCs w:val="23"/>
    </w:rPr>
  </w:style>
  <w:style w:type="paragraph" w:styleId="Bullet1" w:customStyle="1">
    <w:name w:val="Bullet 1"/>
    <w:basedOn w:val="Normal"/>
    <w:qFormat/>
    <w:pPr>
      <w:numPr>
        <w:numId w:val="26"/>
      </w:numPr>
      <w:tabs>
        <w:tab w:val="left" w:pos="284"/>
      </w:tabs>
      <w:spacing w:before="60" w:after="80" w:line="276" w:lineRule="auto"/>
    </w:pPr>
    <w:rPr>
      <w:color w:val="333333"/>
      <w:lang w:eastAsia="en-US"/>
    </w:rPr>
  </w:style>
  <w:style w:type="paragraph" w:styleId="DRBnormal" w:customStyle="1">
    <w:name w:val="DRB_normal"/>
    <w:basedOn w:val="Normal"/>
    <w:next w:val="Normal"/>
    <w:qFormat/>
    <w:pPr>
      <w:spacing w:before="60" w:line="276" w:lineRule="auto"/>
    </w:pPr>
    <w:rPr>
      <w:rFonts w:ascii="Arial" w:hAnsi="Arial"/>
      <w:color w:val="000000"/>
      <w:sz w:val="23"/>
    </w:rPr>
  </w:style>
  <w:style w:type="paragraph" w:styleId="Textecourant" w:customStyle="1">
    <w:name w:val="Texte courant"/>
    <w:basedOn w:val="Normal"/>
    <w:link w:val="TextecourantChar"/>
    <w:qFormat/>
    <w:pPr>
      <w:spacing w:before="120" w:after="160" w:line="276" w:lineRule="auto"/>
    </w:pPr>
    <w:rPr>
      <w:rFonts w:ascii="Arial" w:hAnsi="Arial" w:cs="Arial"/>
      <w:color w:val="000000"/>
      <w:sz w:val="23"/>
      <w:szCs w:val="18"/>
    </w:rPr>
  </w:style>
  <w:style w:type="paragraph" w:styleId="Tableaupuce" w:customStyle="1">
    <w:name w:val="Tableau puce"/>
    <w:basedOn w:val="Normal"/>
    <w:link w:val="TableaupuceChar"/>
    <w:uiPriority w:val="99"/>
    <w:qFormat/>
    <w:pPr>
      <w:numPr>
        <w:numId w:val="27"/>
      </w:numPr>
      <w:spacing w:before="120" w:line="240" w:lineRule="exact"/>
    </w:pPr>
    <w:rPr>
      <w:rFonts w:ascii="EY Gothic Comp Book" w:hAnsi="EY Gothic Comp Book"/>
      <w:color w:val="000000"/>
      <w:sz w:val="23"/>
      <w:szCs w:val="23"/>
      <w:lang w:eastAsia="en-US"/>
    </w:rPr>
  </w:style>
  <w:style w:type="paragraph" w:styleId="Heading51" w:customStyle="1">
    <w:name w:val="Heading 51"/>
    <w:basedOn w:val="Normal"/>
    <w:qFormat/>
    <w:pPr>
      <w:spacing w:before="120" w:line="276" w:lineRule="auto"/>
      <w:ind w:right="283"/>
    </w:pPr>
    <w:rPr>
      <w:color w:val="000000"/>
      <w:sz w:val="23"/>
      <w:szCs w:val="23"/>
    </w:rPr>
  </w:style>
  <w:style w:type="paragraph" w:styleId="Heading61" w:customStyle="1">
    <w:name w:val="Heading 61"/>
    <w:basedOn w:val="Normal"/>
    <w:qFormat/>
    <w:pPr>
      <w:spacing w:before="120" w:line="276" w:lineRule="auto"/>
      <w:ind w:right="283"/>
    </w:pPr>
    <w:rPr>
      <w:color w:val="000000"/>
      <w:sz w:val="23"/>
      <w:szCs w:val="23"/>
    </w:rPr>
  </w:style>
  <w:style w:type="paragraph" w:styleId="Heading71" w:customStyle="1">
    <w:name w:val="Heading 71"/>
    <w:basedOn w:val="Normal"/>
    <w:qFormat/>
    <w:pPr>
      <w:spacing w:before="120" w:line="276" w:lineRule="auto"/>
      <w:ind w:right="283"/>
    </w:pPr>
    <w:rPr>
      <w:color w:val="000000"/>
      <w:sz w:val="23"/>
      <w:szCs w:val="23"/>
    </w:rPr>
  </w:style>
  <w:style w:type="paragraph" w:styleId="Heading81" w:customStyle="1">
    <w:name w:val="Heading 81"/>
    <w:basedOn w:val="Normal"/>
    <w:qFormat/>
    <w:pPr>
      <w:spacing w:before="120" w:line="276" w:lineRule="auto"/>
      <w:ind w:right="283"/>
    </w:pPr>
    <w:rPr>
      <w:color w:val="000000"/>
      <w:sz w:val="23"/>
      <w:szCs w:val="23"/>
    </w:rPr>
  </w:style>
  <w:style w:type="paragraph" w:styleId="Heading91" w:customStyle="1">
    <w:name w:val="Heading 91"/>
    <w:basedOn w:val="Normal"/>
    <w:qFormat/>
    <w:pPr>
      <w:spacing w:before="120" w:line="276" w:lineRule="auto"/>
      <w:ind w:right="283"/>
    </w:pPr>
    <w:rPr>
      <w:color w:val="000000"/>
      <w:sz w:val="23"/>
      <w:szCs w:val="23"/>
    </w:rPr>
  </w:style>
  <w:style w:type="paragraph" w:styleId="Sansinterligne">
    <w:name w:val="No Spacing"/>
    <w:uiPriority w:val="1"/>
    <w:qFormat/>
    <w:pPr>
      <w:ind w:left="284" w:right="283"/>
      <w:jc w:val="both"/>
    </w:pPr>
    <w:rPr>
      <w:rFonts w:ascii="Calibri" w:hAnsi="Calibri" w:cs="Calibri"/>
      <w:color w:val="000000"/>
    </w:rPr>
  </w:style>
  <w:style w:type="paragraph" w:styleId="Citation">
    <w:name w:val="Quote"/>
    <w:basedOn w:val="Normal"/>
    <w:next w:val="Normal"/>
    <w:link w:val="CitationCar"/>
    <w:uiPriority w:val="29"/>
    <w:qFormat/>
    <w:pPr>
      <w:spacing w:before="120" w:line="276" w:lineRule="auto"/>
      <w:ind w:left="284" w:right="283"/>
    </w:pPr>
    <w:rPr>
      <w:i/>
      <w:iCs/>
      <w:color w:val="000000" w:themeColor="text1"/>
      <w:sz w:val="23"/>
      <w:szCs w:val="23"/>
    </w:rPr>
  </w:style>
  <w:style w:type="paragraph" w:styleId="Citationintense">
    <w:name w:val="Intense Quote"/>
    <w:basedOn w:val="Normal"/>
    <w:next w:val="Normal"/>
    <w:link w:val="CitationintenseCar"/>
    <w:uiPriority w:val="30"/>
    <w:qFormat/>
    <w:pPr>
      <w:pBdr>
        <w:bottom w:val="single" w:color="002776" w:themeColor="accent1" w:sz="4" w:space="4"/>
      </w:pBdr>
      <w:spacing w:before="200" w:after="280" w:line="276" w:lineRule="auto"/>
      <w:ind w:left="936" w:right="936"/>
    </w:pPr>
    <w:rPr>
      <w:b/>
      <w:bCs/>
      <w:i/>
      <w:iCs/>
      <w:color w:val="002776" w:themeColor="accent1"/>
      <w:sz w:val="23"/>
      <w:szCs w:val="23"/>
    </w:rPr>
  </w:style>
  <w:style w:type="paragraph" w:styleId="CarCar11" w:customStyle="1">
    <w:name w:val="Car Car11"/>
    <w:basedOn w:val="Normal"/>
    <w:qFormat/>
    <w:pPr>
      <w:widowControl w:val="0"/>
      <w:spacing w:before="120" w:line="20" w:lineRule="exact"/>
    </w:pPr>
    <w:rPr>
      <w:rFonts w:ascii="Bookman Old Style" w:hAnsi="Bookman Old Style"/>
      <w:color w:val="000000"/>
      <w:lang w:val="en-US" w:eastAsia="en-US"/>
    </w:rPr>
  </w:style>
  <w:style w:type="paragraph" w:styleId="paragraphe6" w:customStyle="1">
    <w:name w:val="paragraphe 6"/>
    <w:basedOn w:val="Normal"/>
    <w:qFormat/>
    <w:pPr>
      <w:spacing w:before="120"/>
    </w:pPr>
    <w:rPr>
      <w:bCs/>
      <w:color w:val="000000"/>
      <w:lang w:eastAsia="ar-SA"/>
    </w:rPr>
  </w:style>
  <w:style w:type="paragraph" w:styleId="puce6" w:customStyle="1">
    <w:name w:val="puce 6"/>
    <w:basedOn w:val="Normal"/>
    <w:qFormat/>
    <w:pPr>
      <w:widowControl w:val="0"/>
      <w:tabs>
        <w:tab w:val="left" w:pos="360"/>
      </w:tabs>
      <w:spacing w:before="120"/>
      <w:ind w:left="714" w:hanging="357"/>
    </w:pPr>
    <w:rPr>
      <w:rFonts w:eastAsia="DejaVu Sans"/>
      <w:color w:val="000000"/>
      <w:lang w:bidi="fr-FR"/>
    </w:rPr>
  </w:style>
  <w:style w:type="paragraph" w:styleId="puce-6" w:customStyle="1">
    <w:name w:val="puce - 6"/>
    <w:basedOn w:val="puce6"/>
    <w:qFormat/>
    <w:pPr>
      <w:ind w:left="360" w:hanging="360"/>
    </w:pPr>
  </w:style>
  <w:style w:type="paragraph" w:styleId="Normal2" w:customStyle="1">
    <w:name w:val="Normal2"/>
    <w:basedOn w:val="Normal"/>
    <w:qFormat/>
    <w:pPr>
      <w:keepLines/>
      <w:tabs>
        <w:tab w:val="left" w:pos="1135"/>
        <w:tab w:val="left" w:pos="1419"/>
        <w:tab w:val="left" w:pos="1702"/>
      </w:tabs>
      <w:spacing w:before="120"/>
      <w:ind w:left="284" w:firstLine="284"/>
    </w:pPr>
    <w:rPr>
      <w:color w:val="000000"/>
      <w:sz w:val="23"/>
      <w:szCs w:val="23"/>
      <w:lang w:eastAsia="ar-SA"/>
    </w:rPr>
  </w:style>
  <w:style w:type="paragraph" w:styleId="Normal3" w:customStyle="1">
    <w:name w:val="Normal3"/>
    <w:basedOn w:val="Normal"/>
    <w:qFormat/>
    <w:pPr>
      <w:keepLines/>
      <w:tabs>
        <w:tab w:val="left" w:pos="1985"/>
        <w:tab w:val="left" w:pos="2268"/>
        <w:tab w:val="left" w:pos="2552"/>
      </w:tabs>
      <w:spacing w:before="120"/>
      <w:ind w:firstLine="284"/>
    </w:pPr>
    <w:rPr>
      <w:color w:val="000000"/>
      <w:sz w:val="23"/>
      <w:szCs w:val="23"/>
      <w:lang w:eastAsia="ar-SA"/>
    </w:rPr>
  </w:style>
  <w:style w:type="paragraph" w:styleId="Normalgras" w:customStyle="1">
    <w:name w:val="Normal gras"/>
    <w:basedOn w:val="Normal"/>
    <w:link w:val="NormalgrasCar"/>
    <w:qFormat/>
    <w:pPr>
      <w:spacing w:before="120"/>
      <w:ind w:hanging="23"/>
    </w:pPr>
    <w:rPr>
      <w:rFonts w:ascii="Arial" w:hAnsi="Arial" w:cs="Arial"/>
      <w:b/>
      <w:color w:val="000000"/>
      <w:sz w:val="23"/>
      <w:szCs w:val="23"/>
    </w:rPr>
  </w:style>
  <w:style w:type="paragraph" w:styleId="Normalgrassoulign" w:customStyle="1">
    <w:name w:val="Normal gras souligné"/>
    <w:basedOn w:val="Normal"/>
    <w:link w:val="NormalgrassoulignCar"/>
    <w:qFormat/>
    <w:pPr>
      <w:spacing w:before="120"/>
      <w:ind w:hanging="23"/>
    </w:pPr>
    <w:rPr>
      <w:rFonts w:ascii="Arial" w:hAnsi="Arial" w:cs="Arial"/>
      <w:b/>
      <w:color w:val="000000"/>
      <w:sz w:val="23"/>
      <w:szCs w:val="23"/>
      <w:u w:val="single"/>
    </w:rPr>
  </w:style>
  <w:style w:type="paragraph" w:styleId="Titrecolonnetableau" w:customStyle="1">
    <w:name w:val="Titre colonne tableau"/>
    <w:qFormat/>
    <w:pPr>
      <w:jc w:val="center"/>
    </w:pPr>
    <w:rPr>
      <w:rFonts w:ascii="Arial" w:hAnsi="Arial" w:cs="Arial"/>
      <w:b/>
      <w:lang w:eastAsia="ar-SA"/>
    </w:rPr>
  </w:style>
  <w:style w:type="paragraph" w:styleId="Corpsdetexte21" w:customStyle="1">
    <w:name w:val="Corps de texte 21"/>
    <w:basedOn w:val="Normal"/>
    <w:qFormat/>
    <w:pPr>
      <w:widowControl w:val="0"/>
      <w:spacing w:line="480" w:lineRule="auto"/>
    </w:pPr>
    <w:rPr>
      <w:rFonts w:eastAsia="Andale Sans UI"/>
    </w:rPr>
  </w:style>
  <w:style w:type="paragraph" w:styleId="western" w:customStyle="1">
    <w:name w:val="western"/>
    <w:basedOn w:val="Normal"/>
    <w:qFormat/>
    <w:pPr>
      <w:spacing w:beforeAutospacing="1" w:after="142" w:line="288" w:lineRule="auto"/>
      <w:jc w:val="center"/>
    </w:pPr>
    <w:rPr>
      <w:rFonts w:ascii="Arial" w:hAnsi="Arial" w:cs="Arial"/>
      <w:b/>
      <w:bCs/>
      <w:color w:val="000000"/>
    </w:rPr>
  </w:style>
  <w:style w:type="paragraph" w:styleId="5007" w:customStyle="1">
    <w:name w:val="5007"/>
    <w:basedOn w:val="Normal"/>
    <w:qFormat/>
    <w:pPr>
      <w:spacing w:beforeAutospacing="1" w:afterAutospacing="1"/>
    </w:pPr>
    <w:rPr>
      <w:rFonts w:ascii="Times New Roman" w:hAnsi="Times New Roman" w:cs="Times New Roman"/>
      <w:sz w:val="24"/>
      <w:szCs w:val="24"/>
    </w:rPr>
  </w:style>
  <w:style w:type="paragraph" w:styleId="T2" w:customStyle="1">
    <w:name w:val="T2"/>
    <w:basedOn w:val="Titre2"/>
    <w:link w:val="T2Car"/>
    <w:qFormat/>
    <w:rPr>
      <w:sz w:val="24"/>
    </w:rPr>
  </w:style>
  <w:style w:type="paragraph" w:styleId="T4" w:customStyle="1">
    <w:name w:val="T4"/>
    <w:basedOn w:val="Titre4"/>
    <w:link w:val="T4Car"/>
    <w:qFormat/>
    <w:rPr>
      <w:szCs w:val="22"/>
    </w:rPr>
  </w:style>
  <w:style w:type="paragraph" w:styleId="NormalINRAE" w:customStyle="1">
    <w:name w:val="Normal INRAE"/>
    <w:basedOn w:val="Puce1"/>
    <w:link w:val="NormalINRAECar"/>
    <w:qFormat/>
    <w:pPr>
      <w:numPr>
        <w:numId w:val="0"/>
      </w:numPr>
    </w:pPr>
    <w:rPr>
      <w:rFonts w:cs="Calibri"/>
      <w:color w:val="000000"/>
    </w:rPr>
  </w:style>
  <w:style w:type="paragraph" w:styleId="FrameContentsuser" w:customStyle="1">
    <w:name w:val="Frame Contents (user)"/>
    <w:basedOn w:val="Normal"/>
    <w:qFormat/>
  </w:style>
  <w:style w:type="paragraph" w:styleId="Comment" w:customStyle="1">
    <w:name w:val="Comment"/>
    <w:basedOn w:val="Normal"/>
    <w:qFormat/>
    <w:pPr>
      <w:spacing w:before="56" w:after="0"/>
      <w:ind w:left="57" w:right="57"/>
    </w:pPr>
    <w:rPr>
      <w:sz w:val="20"/>
      <w:szCs w:val="20"/>
    </w:rPr>
  </w:style>
  <w:style w:type="paragraph" w:styleId="FrameContents" w:customStyle="1">
    <w:name w:val="Frame Contents"/>
    <w:basedOn w:val="Normal"/>
    <w:qFormat/>
  </w:style>
  <w:style w:type="numbering" w:styleId="NoList11" w:customStyle="1">
    <w:name w:val="No List_1_1"/>
    <w:qFormat/>
  </w:style>
  <w:style w:type="numbering" w:styleId="ListepucesExakis" w:customStyle="1">
    <w:name w:val="Liste à puces Exakis"/>
    <w:uiPriority w:val="99"/>
    <w:qFormat/>
  </w:style>
  <w:style w:type="table" w:styleId="MediumShading2-Accent51" w:customStyle="1">
    <w:name w:val="Medium Shading 2 - Accent 51"/>
    <w:basedOn w:val="TableauNormal"/>
    <w:uiPriority w:val="64"/>
    <w:rPr>
      <w:lang w:eastAsia="en-US"/>
    </w:rPr>
    <w:tblPr>
      <w:tblStyleRowBandSize w:val="1"/>
      <w:tblStyleColBandSize w:val="1"/>
      <w:tblBorders>
        <w:top w:val="single" w:color="000000" w:sz="18" w:space="0"/>
        <w:bottom w:val="single" w:color="000000" w:sz="18" w:space="0"/>
      </w:tblBorders>
    </w:tblPr>
    <w:tblStylePr w:type="firstRow">
      <w:pPr>
        <w:spacing w:before="0" w:after="0" w:line="240" w:lineRule="auto"/>
      </w:pPr>
      <w:rPr>
        <w:b/>
        <w:bCs/>
      </w:rPr>
      <w:tblPr/>
      <w:tcPr>
        <w:tcBorders>
          <w:top w:val="single" w:color="000000" w:sz="18" w:space="0"/>
          <w:left w:val="none" w:color="000000" w:sz="4" w:space="0"/>
          <w:bottom w:val="single" w:color="000000" w:sz="18" w:space="0"/>
          <w:right w:val="none" w:color="000000" w:sz="4" w:space="0"/>
        </w:tcBorders>
        <w:shd w:val="clear" w:color="auto" w:fill="72C7E7"/>
      </w:tcPr>
    </w:tblStylePr>
    <w:tblStylePr w:type="lastRow">
      <w:pPr>
        <w:spacing w:before="0" w:after="0" w:line="240" w:lineRule="auto"/>
      </w:pPr>
      <w:tblPr/>
      <w:tcPr>
        <w:tcBorders>
          <w:top w:val="single" w:color="000000" w:sz="6" w:space="0"/>
          <w:left w:val="none" w:color="000000" w:sz="4" w:space="0"/>
          <w:bottom w:val="single" w:color="000000" w:sz="18" w:space="0"/>
          <w:right w:val="none" w:color="000000" w:sz="4" w:space="0"/>
        </w:tcBorders>
        <w:shd w:val="clear" w:color="auto" w:fill="FFFFFF"/>
      </w:tcPr>
    </w:tblStylePr>
    <w:tblStylePr w:type="firstCol">
      <w:rPr>
        <w:b/>
        <w:bCs/>
      </w:rPr>
      <w:tblPr/>
      <w:tcPr>
        <w:tcBorders>
          <w:top w:val="none" w:color="000000" w:sz="4" w:space="0"/>
          <w:left w:val="none" w:color="000000" w:sz="4" w:space="0"/>
          <w:bottom w:val="single" w:color="000000" w:sz="18" w:space="0"/>
          <w:right w:val="none" w:color="000000" w:sz="4" w:space="0"/>
        </w:tcBorders>
        <w:shd w:val="clear" w:color="auto" w:fill="72C7E7"/>
      </w:tcPr>
    </w:tblStylePr>
    <w:tblStylePr w:type="lastCol">
      <w:rPr>
        <w:b/>
        <w:bCs/>
      </w:rPr>
      <w:tblPr/>
      <w:tcPr>
        <w:tcBorders>
          <w:left w:val="none" w:color="000000" w:sz="4" w:space="0"/>
          <w:right w:val="none" w:color="000000" w:sz="4" w:space="0"/>
        </w:tcBorders>
        <w:shd w:val="clear" w:color="auto" w:fill="72C7E7"/>
      </w:tcPr>
    </w:tblStylePr>
    <w:tblStylePr w:type="band1Vert">
      <w:tblPr/>
      <w:tcPr>
        <w:tcBorders>
          <w:left w:val="none" w:color="000000" w:sz="4" w:space="0"/>
          <w:right w:val="none" w:color="000000" w:sz="4" w:space="0"/>
        </w:tcBorders>
        <w:shd w:val="clear" w:color="auto" w:fill="D8D8D8"/>
      </w:tcPr>
    </w:tblStylePr>
    <w:tblStylePr w:type="band1Horz">
      <w:tblPr/>
      <w:tcPr>
        <w:shd w:val="clear" w:color="auto" w:fill="D8D8D8"/>
      </w:tcPr>
    </w:tblStylePr>
    <w:tblStylePr w:type="neCell">
      <w:tblPr/>
      <w:tcPr>
        <w:tcBorders>
          <w:top w:val="single" w:color="000000" w:sz="18" w:space="0"/>
          <w:left w:val="none" w:color="000000" w:sz="4" w:space="0"/>
          <w:bottom w:val="single" w:color="000000" w:sz="18" w:space="0"/>
          <w:right w:val="none" w:color="000000" w:sz="4" w:space="0"/>
        </w:tcBorders>
      </w:tcPr>
    </w:tblStylePr>
    <w:tblStylePr w:type="nwCell">
      <w:tblPr/>
      <w:tcPr>
        <w:tcBorders>
          <w:top w:val="single" w:color="000000" w:sz="18" w:space="0"/>
          <w:left w:val="none" w:color="000000" w:sz="4" w:space="0"/>
          <w:bottom w:val="single" w:color="000000" w:sz="18" w:space="0"/>
          <w:right w:val="none" w:color="000000" w:sz="4" w:space="0"/>
        </w:tcBorders>
      </w:tcPr>
    </w:tblStylePr>
  </w:style>
  <w:style w:type="table" w:styleId="Tramemoyenne2-Accent5">
    <w:name w:val="Medium Shading 2 Accent 5"/>
    <w:basedOn w:val="TableauNormal"/>
    <w:uiPriority w:val="64"/>
    <w:tblPr>
      <w:tblStyleRowBandSize w:val="1"/>
      <w:tblStyleColBandSize w:val="1"/>
      <w:tblBorders>
        <w:top w:val="single" w:color="000000" w:sz="18" w:space="0"/>
        <w:bottom w:val="single" w:color="000000" w:sz="18" w:space="0"/>
      </w:tblBorders>
    </w:tblPr>
    <w:tblStylePr w:type="firstRow">
      <w:pPr>
        <w:spacing w:before="0" w:after="0" w:line="240" w:lineRule="auto"/>
      </w:pPr>
      <w:rPr>
        <w:b/>
        <w:bCs/>
      </w:rPr>
      <w:tblPr/>
      <w:tcPr>
        <w:tcBorders>
          <w:top w:val="single" w:color="000000" w:sz="18" w:space="0"/>
          <w:left w:val="none" w:color="000000" w:sz="4" w:space="0"/>
          <w:bottom w:val="single" w:color="000000" w:sz="18" w:space="0"/>
          <w:right w:val="none" w:color="000000" w:sz="4" w:space="0"/>
        </w:tcBorders>
        <w:shd w:val="clear" w:color="auto" w:fill="4BACC6"/>
      </w:tcPr>
    </w:tblStylePr>
    <w:tblStylePr w:type="lastRow">
      <w:pPr>
        <w:spacing w:before="0" w:after="0" w:line="240" w:lineRule="auto"/>
      </w:pPr>
      <w:tblPr/>
      <w:tcPr>
        <w:tcBorders>
          <w:top w:val="single" w:color="000000" w:sz="6" w:space="0"/>
          <w:left w:val="none" w:color="000000" w:sz="4" w:space="0"/>
          <w:bottom w:val="single" w:color="000000" w:sz="18" w:space="0"/>
          <w:right w:val="none" w:color="000000" w:sz="4" w:space="0"/>
        </w:tcBorders>
        <w:shd w:val="clear" w:color="auto" w:fill="FFFFFF"/>
      </w:tcPr>
    </w:tblStylePr>
    <w:tblStylePr w:type="firstCol">
      <w:rPr>
        <w:b/>
        <w:bCs/>
      </w:rPr>
      <w:tblPr/>
      <w:tcPr>
        <w:tcBorders>
          <w:top w:val="none" w:color="000000" w:sz="4" w:space="0"/>
          <w:left w:val="none" w:color="000000" w:sz="4" w:space="0"/>
          <w:bottom w:val="single" w:color="000000" w:sz="18" w:space="0"/>
          <w:right w:val="none" w:color="000000" w:sz="4" w:space="0"/>
        </w:tcBorders>
        <w:shd w:val="clear" w:color="auto" w:fill="4BACC6"/>
      </w:tcPr>
    </w:tblStylePr>
    <w:tblStylePr w:type="lastCol">
      <w:rPr>
        <w:b/>
        <w:bCs/>
      </w:rPr>
      <w:tblPr/>
      <w:tcPr>
        <w:tcBorders>
          <w:left w:val="none" w:color="000000" w:sz="4" w:space="0"/>
          <w:right w:val="none" w:color="000000" w:sz="4" w:space="0"/>
        </w:tcBorders>
        <w:shd w:val="clear" w:color="auto" w:fill="4BACC6"/>
      </w:tcPr>
    </w:tblStylePr>
    <w:tblStylePr w:type="band1Vert">
      <w:tblPr/>
      <w:tcPr>
        <w:tcBorders>
          <w:left w:val="none" w:color="000000" w:sz="4" w:space="0"/>
          <w:right w:val="none" w:color="000000" w:sz="4" w:space="0"/>
        </w:tcBorders>
        <w:shd w:val="clear" w:color="auto" w:fill="D8D8D8"/>
      </w:tcPr>
    </w:tblStylePr>
    <w:tblStylePr w:type="band1Horz">
      <w:tblPr/>
      <w:tcPr>
        <w:shd w:val="clear" w:color="auto" w:fill="D8D8D8"/>
      </w:tcPr>
    </w:tblStylePr>
    <w:tblStylePr w:type="neCell">
      <w:tblPr/>
      <w:tcPr>
        <w:tcBorders>
          <w:top w:val="single" w:color="000000" w:sz="18" w:space="0"/>
          <w:left w:val="none" w:color="000000" w:sz="4" w:space="0"/>
          <w:bottom w:val="single" w:color="000000" w:sz="18" w:space="0"/>
          <w:right w:val="none" w:color="000000" w:sz="4" w:space="0"/>
        </w:tcBorders>
      </w:tcPr>
    </w:tblStylePr>
    <w:tblStylePr w:type="nwCell">
      <w:tblPr/>
      <w:tcPr>
        <w:tcBorders>
          <w:top w:val="single" w:color="000000" w:sz="18" w:space="0"/>
          <w:left w:val="none" w:color="000000" w:sz="4" w:space="0"/>
          <w:bottom w:val="single" w:color="000000" w:sz="18" w:space="0"/>
          <w:right w:val="none" w:color="000000" w:sz="4" w:space="0"/>
        </w:tcBorders>
      </w:tcPr>
    </w:tblStylePr>
  </w:style>
  <w:style w:type="table" w:styleId="Grilleclaire-Accent4">
    <w:name w:val="Light Grid Accent 4"/>
    <w:basedOn w:val="TableauNormal"/>
    <w:uiPriority w:val="62"/>
    <w:rPr>
      <w:lang w:eastAsia="en-US"/>
    </w:rPr>
    <w:tblPr>
      <w:tblStyleRowBandSize w:val="1"/>
      <w:tblStyleColBandSize w:val="1"/>
      <w:tblBorders>
        <w:top w:val="single" w:color="8064A2" w:sz="8" w:space="0"/>
        <w:left w:val="single" w:color="8064A2" w:sz="8" w:space="0"/>
        <w:bottom w:val="single" w:color="8064A2" w:sz="8" w:space="0"/>
        <w:right w:val="single" w:color="8064A2" w:sz="8" w:space="0"/>
        <w:insideH w:val="single" w:color="8064A2" w:sz="8" w:space="0"/>
        <w:insideV w:val="single" w:color="8064A2" w:sz="8" w:space="0"/>
      </w:tblBorders>
    </w:tblPr>
    <w:tblStylePr w:type="firstRow">
      <w:pPr>
        <w:spacing w:before="0" w:after="0" w:line="240" w:lineRule="auto"/>
      </w:pPr>
      <w:rPr>
        <w:b/>
        <w:bCs/>
      </w:rPr>
      <w:tblPr/>
      <w:tcPr>
        <w:tcBorders>
          <w:top w:val="single" w:color="8064A2" w:sz="8" w:space="0"/>
          <w:left w:val="single" w:color="8064A2" w:sz="8" w:space="0"/>
          <w:bottom w:val="single" w:color="8064A2" w:sz="18" w:space="0"/>
          <w:right w:val="single" w:color="8064A2" w:sz="8" w:space="0"/>
        </w:tcBorders>
      </w:tcPr>
    </w:tblStylePr>
    <w:tblStylePr w:type="lastRow">
      <w:pPr>
        <w:spacing w:before="0" w:after="0" w:line="240" w:lineRule="auto"/>
      </w:pPr>
      <w:rPr>
        <w:b/>
        <w:bCs/>
      </w:rPr>
      <w:tblPr/>
      <w:tcPr>
        <w:tcBorders>
          <w:top w:val="single" w:color="8064A2" w:sz="6" w:space="0"/>
          <w:left w:val="single" w:color="8064A2" w:sz="8" w:space="0"/>
          <w:bottom w:val="single" w:color="8064A2" w:sz="8" w:space="0"/>
          <w:right w:val="single" w:color="8064A2" w:sz="8" w:space="0"/>
        </w:tcBorders>
      </w:tcPr>
    </w:tblStylePr>
    <w:tblStylePr w:type="firstCol">
      <w:rPr>
        <w:b/>
        <w:bCs/>
      </w:rPr>
    </w:tblStylePr>
    <w:tblStylePr w:type="lastCol">
      <w:rPr>
        <w:b/>
        <w:bCs/>
      </w:rPr>
      <w:tblPr/>
      <w:tcPr>
        <w:tcBorders>
          <w:top w:val="single" w:color="8064A2" w:sz="8" w:space="0"/>
          <w:left w:val="single" w:color="8064A2" w:sz="8" w:space="0"/>
          <w:bottom w:val="single" w:color="8064A2" w:sz="8" w:space="0"/>
          <w:right w:val="single" w:color="8064A2" w:sz="8" w:space="0"/>
        </w:tcBorders>
      </w:tcPr>
    </w:tblStylePr>
    <w:tblStylePr w:type="band1Vert">
      <w:tblPr/>
      <w:tcPr>
        <w:tcBorders>
          <w:top w:val="single" w:color="8064A2" w:sz="8" w:space="0"/>
          <w:left w:val="single" w:color="8064A2" w:sz="8" w:space="0"/>
          <w:bottom w:val="single" w:color="8064A2" w:sz="8" w:space="0"/>
          <w:right w:val="single" w:color="8064A2" w:sz="8" w:space="0"/>
        </w:tcBorders>
        <w:shd w:val="clear" w:color="auto" w:fill="DFD8E8"/>
      </w:tcPr>
    </w:tblStylePr>
    <w:tblStylePr w:type="band1Horz">
      <w:tblPr/>
      <w:tcPr>
        <w:tcBorders>
          <w:top w:val="single" w:color="8064A2" w:sz="8" w:space="0"/>
          <w:left w:val="single" w:color="8064A2" w:sz="8" w:space="0"/>
          <w:bottom w:val="single" w:color="8064A2" w:sz="8" w:space="0"/>
          <w:right w:val="single" w:color="8064A2" w:sz="8" w:space="0"/>
        </w:tcBorders>
        <w:shd w:val="clear" w:color="auto" w:fill="DFD8E8"/>
      </w:tcPr>
    </w:tblStylePr>
    <w:tblStylePr w:type="band2Horz">
      <w:tblPr/>
      <w:tcPr>
        <w:tcBorders>
          <w:top w:val="single" w:color="8064A2" w:sz="8" w:space="0"/>
          <w:left w:val="single" w:color="8064A2" w:sz="8" w:space="0"/>
          <w:bottom w:val="single" w:color="8064A2" w:sz="8" w:space="0"/>
          <w:right w:val="single" w:color="8064A2" w:sz="8" w:space="0"/>
        </w:tcBorders>
      </w:tcPr>
    </w:tblStylePr>
  </w:style>
  <w:style w:type="table" w:styleId="LightGrid-Accent41" w:customStyle="1">
    <w:name w:val="Light Grid - Accent 41"/>
    <w:basedOn w:val="TableauNormal"/>
    <w:uiPriority w:val="62"/>
    <w:rPr>
      <w:lang w:eastAsia="en-US"/>
    </w:rPr>
    <w:tblPr>
      <w:tblStyleRowBandSize w:val="1"/>
      <w:tblStyleColBandSize w:val="1"/>
      <w:tblBorders>
        <w:top w:val="single" w:color="3C8A2E" w:sz="8" w:space="0"/>
        <w:left w:val="single" w:color="3C8A2E" w:sz="8" w:space="0"/>
        <w:bottom w:val="single" w:color="3C8A2E" w:sz="8" w:space="0"/>
        <w:right w:val="single" w:color="3C8A2E" w:sz="8" w:space="0"/>
        <w:insideH w:val="single" w:color="3C8A2E" w:sz="8" w:space="0"/>
        <w:insideV w:val="single" w:color="3C8A2E" w:sz="8" w:space="0"/>
      </w:tblBorders>
    </w:tblPr>
    <w:tblStylePr w:type="firstRow">
      <w:pPr>
        <w:spacing w:before="0" w:after="0" w:line="240" w:lineRule="auto"/>
      </w:pPr>
      <w:rPr>
        <w:b/>
        <w:bCs/>
      </w:rPr>
      <w:tblPr/>
      <w:tcPr>
        <w:tcBorders>
          <w:top w:val="single" w:color="3C8A2E" w:sz="8" w:space="0"/>
          <w:left w:val="single" w:color="3C8A2E" w:sz="8" w:space="0"/>
          <w:bottom w:val="single" w:color="3C8A2E" w:sz="18" w:space="0"/>
          <w:right w:val="single" w:color="3C8A2E" w:sz="8" w:space="0"/>
        </w:tcBorders>
      </w:tcPr>
    </w:tblStylePr>
    <w:tblStylePr w:type="lastRow">
      <w:pPr>
        <w:spacing w:before="0" w:after="0" w:line="240" w:lineRule="auto"/>
      </w:pPr>
      <w:rPr>
        <w:b/>
        <w:bCs/>
      </w:rPr>
      <w:tblPr/>
      <w:tcPr>
        <w:tcBorders>
          <w:top w:val="single" w:color="3C8A2E" w:sz="6" w:space="0"/>
          <w:left w:val="single" w:color="3C8A2E" w:sz="8" w:space="0"/>
          <w:bottom w:val="single" w:color="3C8A2E" w:sz="8" w:space="0"/>
          <w:right w:val="single" w:color="3C8A2E" w:sz="8" w:space="0"/>
        </w:tcBorders>
      </w:tcPr>
    </w:tblStylePr>
    <w:tblStylePr w:type="firstCol">
      <w:rPr>
        <w:b/>
        <w:bCs/>
      </w:rPr>
    </w:tblStylePr>
    <w:tblStylePr w:type="lastCol">
      <w:rPr>
        <w:b/>
        <w:bCs/>
      </w:rPr>
      <w:tblPr/>
      <w:tcPr>
        <w:tcBorders>
          <w:top w:val="single" w:color="3C8A2E" w:sz="8" w:space="0"/>
          <w:left w:val="single" w:color="3C8A2E" w:sz="8" w:space="0"/>
          <w:bottom w:val="single" w:color="3C8A2E" w:sz="8" w:space="0"/>
          <w:right w:val="single" w:color="3C8A2E" w:sz="8" w:space="0"/>
        </w:tcBorders>
      </w:tcPr>
    </w:tblStylePr>
    <w:tblStylePr w:type="band1Vert">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1Horz">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2Horz">
      <w:tblPr/>
      <w:tcPr>
        <w:tcBorders>
          <w:top w:val="single" w:color="3C8A2E" w:sz="8" w:space="0"/>
          <w:left w:val="single" w:color="3C8A2E" w:sz="8" w:space="0"/>
          <w:bottom w:val="single" w:color="3C8A2E" w:sz="8" w:space="0"/>
          <w:right w:val="single" w:color="3C8A2E" w:sz="8" w:space="0"/>
        </w:tcBorders>
      </w:tcPr>
    </w:tblStylePr>
  </w:style>
  <w:style w:type="table" w:styleId="LightGrid-Accent42" w:customStyle="1">
    <w:name w:val="Light Grid - Accent 42"/>
    <w:basedOn w:val="TableauNormal"/>
    <w:uiPriority w:val="62"/>
    <w:rPr>
      <w:lang w:eastAsia="en-US"/>
    </w:rPr>
    <w:tblPr>
      <w:tblStyleRowBandSize w:val="1"/>
      <w:tblStyleColBandSize w:val="1"/>
      <w:tblBorders>
        <w:top w:val="single" w:color="3C8A2E" w:sz="8" w:space="0"/>
        <w:left w:val="single" w:color="3C8A2E" w:sz="8" w:space="0"/>
        <w:bottom w:val="single" w:color="3C8A2E" w:sz="8" w:space="0"/>
        <w:right w:val="single" w:color="3C8A2E" w:sz="8" w:space="0"/>
        <w:insideH w:val="single" w:color="3C8A2E" w:sz="8" w:space="0"/>
        <w:insideV w:val="single" w:color="3C8A2E" w:sz="8" w:space="0"/>
      </w:tblBorders>
    </w:tblPr>
    <w:tblStylePr w:type="firstRow">
      <w:pPr>
        <w:spacing w:before="0" w:after="0" w:line="240" w:lineRule="auto"/>
      </w:pPr>
      <w:rPr>
        <w:b/>
        <w:bCs/>
      </w:rPr>
      <w:tblPr/>
      <w:tcPr>
        <w:tcBorders>
          <w:top w:val="single" w:color="3C8A2E" w:sz="8" w:space="0"/>
          <w:left w:val="single" w:color="3C8A2E" w:sz="8" w:space="0"/>
          <w:bottom w:val="single" w:color="3C8A2E" w:sz="18" w:space="0"/>
          <w:right w:val="single" w:color="3C8A2E" w:sz="8" w:space="0"/>
        </w:tcBorders>
      </w:tcPr>
    </w:tblStylePr>
    <w:tblStylePr w:type="lastRow">
      <w:pPr>
        <w:spacing w:before="0" w:after="0" w:line="240" w:lineRule="auto"/>
      </w:pPr>
      <w:rPr>
        <w:b/>
        <w:bCs/>
      </w:rPr>
      <w:tblPr/>
      <w:tcPr>
        <w:tcBorders>
          <w:top w:val="single" w:color="3C8A2E" w:sz="6" w:space="0"/>
          <w:left w:val="single" w:color="3C8A2E" w:sz="8" w:space="0"/>
          <w:bottom w:val="single" w:color="3C8A2E" w:sz="8" w:space="0"/>
          <w:right w:val="single" w:color="3C8A2E" w:sz="8" w:space="0"/>
        </w:tcBorders>
      </w:tcPr>
    </w:tblStylePr>
    <w:tblStylePr w:type="firstCol">
      <w:rPr>
        <w:b/>
        <w:bCs/>
      </w:rPr>
    </w:tblStylePr>
    <w:tblStylePr w:type="lastCol">
      <w:rPr>
        <w:b/>
        <w:bCs/>
      </w:rPr>
      <w:tblPr/>
      <w:tcPr>
        <w:tcBorders>
          <w:top w:val="single" w:color="3C8A2E" w:sz="8" w:space="0"/>
          <w:left w:val="single" w:color="3C8A2E" w:sz="8" w:space="0"/>
          <w:bottom w:val="single" w:color="3C8A2E" w:sz="8" w:space="0"/>
          <w:right w:val="single" w:color="3C8A2E" w:sz="8" w:space="0"/>
        </w:tcBorders>
      </w:tcPr>
    </w:tblStylePr>
    <w:tblStylePr w:type="band1Vert">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1Horz">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2Horz">
      <w:tblPr/>
      <w:tcPr>
        <w:tcBorders>
          <w:top w:val="single" w:color="3C8A2E" w:sz="8" w:space="0"/>
          <w:left w:val="single" w:color="3C8A2E" w:sz="8" w:space="0"/>
          <w:bottom w:val="single" w:color="3C8A2E" w:sz="8" w:space="0"/>
          <w:right w:val="single" w:color="3C8A2E" w:sz="8" w:space="0"/>
        </w:tcBorders>
      </w:tcPr>
    </w:tblStylePr>
  </w:style>
  <w:style w:type="table" w:styleId="LightGrid-Accent43" w:customStyle="1">
    <w:name w:val="Light Grid - Accent 43"/>
    <w:basedOn w:val="TableauNormal"/>
    <w:uiPriority w:val="62"/>
    <w:rPr>
      <w:lang w:eastAsia="en-US"/>
    </w:rPr>
    <w:tblPr>
      <w:tblStyleRowBandSize w:val="1"/>
      <w:tblStyleColBandSize w:val="1"/>
      <w:tblBorders>
        <w:top w:val="single" w:color="3C8A2E" w:sz="8" w:space="0"/>
        <w:left w:val="single" w:color="3C8A2E" w:sz="8" w:space="0"/>
        <w:bottom w:val="single" w:color="3C8A2E" w:sz="8" w:space="0"/>
        <w:right w:val="single" w:color="3C8A2E" w:sz="8" w:space="0"/>
        <w:insideH w:val="single" w:color="3C8A2E" w:sz="8" w:space="0"/>
        <w:insideV w:val="single" w:color="3C8A2E" w:sz="8" w:space="0"/>
      </w:tblBorders>
    </w:tblPr>
    <w:tblStylePr w:type="firstRow">
      <w:pPr>
        <w:spacing w:before="0" w:after="0" w:line="240" w:lineRule="auto"/>
      </w:pPr>
      <w:rPr>
        <w:b/>
        <w:bCs/>
      </w:rPr>
      <w:tblPr/>
      <w:tcPr>
        <w:tcBorders>
          <w:top w:val="single" w:color="3C8A2E" w:sz="8" w:space="0"/>
          <w:left w:val="single" w:color="3C8A2E" w:sz="8" w:space="0"/>
          <w:bottom w:val="single" w:color="3C8A2E" w:sz="18" w:space="0"/>
          <w:right w:val="single" w:color="3C8A2E" w:sz="8" w:space="0"/>
        </w:tcBorders>
      </w:tcPr>
    </w:tblStylePr>
    <w:tblStylePr w:type="lastRow">
      <w:pPr>
        <w:spacing w:before="0" w:after="0" w:line="240" w:lineRule="auto"/>
      </w:pPr>
      <w:rPr>
        <w:b/>
        <w:bCs/>
      </w:rPr>
      <w:tblPr/>
      <w:tcPr>
        <w:tcBorders>
          <w:top w:val="single" w:color="3C8A2E" w:sz="6" w:space="0"/>
          <w:left w:val="single" w:color="3C8A2E" w:sz="8" w:space="0"/>
          <w:bottom w:val="single" w:color="3C8A2E" w:sz="8" w:space="0"/>
          <w:right w:val="single" w:color="3C8A2E" w:sz="8" w:space="0"/>
        </w:tcBorders>
      </w:tcPr>
    </w:tblStylePr>
    <w:tblStylePr w:type="firstCol">
      <w:rPr>
        <w:b/>
        <w:bCs/>
      </w:rPr>
    </w:tblStylePr>
    <w:tblStylePr w:type="lastCol">
      <w:rPr>
        <w:b/>
        <w:bCs/>
      </w:rPr>
      <w:tblPr/>
      <w:tcPr>
        <w:tcBorders>
          <w:top w:val="single" w:color="3C8A2E" w:sz="8" w:space="0"/>
          <w:left w:val="single" w:color="3C8A2E" w:sz="8" w:space="0"/>
          <w:bottom w:val="single" w:color="3C8A2E" w:sz="8" w:space="0"/>
          <w:right w:val="single" w:color="3C8A2E" w:sz="8" w:space="0"/>
        </w:tcBorders>
      </w:tcPr>
    </w:tblStylePr>
    <w:tblStylePr w:type="band1Vert">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1Horz">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2Horz">
      <w:tblPr/>
      <w:tcPr>
        <w:tcBorders>
          <w:top w:val="single" w:color="3C8A2E" w:sz="8" w:space="0"/>
          <w:left w:val="single" w:color="3C8A2E" w:sz="8" w:space="0"/>
          <w:bottom w:val="single" w:color="3C8A2E" w:sz="8" w:space="0"/>
          <w:right w:val="single" w:color="3C8A2E" w:sz="8" w:space="0"/>
        </w:tcBorders>
      </w:tcPr>
    </w:tblStylePr>
  </w:style>
  <w:style w:type="table" w:styleId="LightGrid-Accent44" w:customStyle="1">
    <w:name w:val="Light Grid - Accent 44"/>
    <w:basedOn w:val="TableauNormal"/>
    <w:uiPriority w:val="62"/>
    <w:rPr>
      <w:lang w:eastAsia="en-US"/>
    </w:rPr>
    <w:tblPr>
      <w:tblStyleRowBandSize w:val="1"/>
      <w:tblStyleColBandSize w:val="1"/>
      <w:tblBorders>
        <w:top w:val="single" w:color="3C8A2E" w:sz="8" w:space="0"/>
        <w:left w:val="single" w:color="3C8A2E" w:sz="8" w:space="0"/>
        <w:bottom w:val="single" w:color="3C8A2E" w:sz="8" w:space="0"/>
        <w:right w:val="single" w:color="3C8A2E" w:sz="8" w:space="0"/>
        <w:insideH w:val="single" w:color="3C8A2E" w:sz="8" w:space="0"/>
        <w:insideV w:val="single" w:color="3C8A2E" w:sz="8" w:space="0"/>
      </w:tblBorders>
    </w:tblPr>
    <w:tblStylePr w:type="firstRow">
      <w:pPr>
        <w:spacing w:before="0" w:after="0" w:line="240" w:lineRule="auto"/>
      </w:pPr>
      <w:rPr>
        <w:b/>
        <w:bCs/>
      </w:rPr>
      <w:tblPr/>
      <w:tcPr>
        <w:tcBorders>
          <w:top w:val="single" w:color="3C8A2E" w:sz="8" w:space="0"/>
          <w:left w:val="single" w:color="3C8A2E" w:sz="8" w:space="0"/>
          <w:bottom w:val="single" w:color="3C8A2E" w:sz="18" w:space="0"/>
          <w:right w:val="single" w:color="3C8A2E" w:sz="8" w:space="0"/>
        </w:tcBorders>
      </w:tcPr>
    </w:tblStylePr>
    <w:tblStylePr w:type="lastRow">
      <w:pPr>
        <w:spacing w:before="0" w:after="0" w:line="240" w:lineRule="auto"/>
      </w:pPr>
      <w:rPr>
        <w:b/>
        <w:bCs/>
      </w:rPr>
      <w:tblPr/>
      <w:tcPr>
        <w:tcBorders>
          <w:top w:val="single" w:color="3C8A2E" w:sz="6" w:space="0"/>
          <w:left w:val="single" w:color="3C8A2E" w:sz="8" w:space="0"/>
          <w:bottom w:val="single" w:color="3C8A2E" w:sz="8" w:space="0"/>
          <w:right w:val="single" w:color="3C8A2E" w:sz="8" w:space="0"/>
        </w:tcBorders>
      </w:tcPr>
    </w:tblStylePr>
    <w:tblStylePr w:type="firstCol">
      <w:rPr>
        <w:b/>
        <w:bCs/>
      </w:rPr>
    </w:tblStylePr>
    <w:tblStylePr w:type="lastCol">
      <w:rPr>
        <w:b/>
        <w:bCs/>
      </w:rPr>
      <w:tblPr/>
      <w:tcPr>
        <w:tcBorders>
          <w:top w:val="single" w:color="3C8A2E" w:sz="8" w:space="0"/>
          <w:left w:val="single" w:color="3C8A2E" w:sz="8" w:space="0"/>
          <w:bottom w:val="single" w:color="3C8A2E" w:sz="8" w:space="0"/>
          <w:right w:val="single" w:color="3C8A2E" w:sz="8" w:space="0"/>
        </w:tcBorders>
      </w:tcPr>
    </w:tblStylePr>
    <w:tblStylePr w:type="band1Vert">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1Horz">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2Horz">
      <w:tblPr/>
      <w:tcPr>
        <w:tcBorders>
          <w:top w:val="single" w:color="3C8A2E" w:sz="8" w:space="0"/>
          <w:left w:val="single" w:color="3C8A2E" w:sz="8" w:space="0"/>
          <w:bottom w:val="single" w:color="3C8A2E" w:sz="8" w:space="0"/>
          <w:right w:val="single" w:color="3C8A2E" w:sz="8" w:space="0"/>
        </w:tcBorders>
      </w:tcPr>
    </w:tblStylePr>
  </w:style>
  <w:style w:type="table" w:styleId="LightGrid-Accent45" w:customStyle="1">
    <w:name w:val="Light Grid - Accent 45"/>
    <w:basedOn w:val="TableauNormal"/>
    <w:uiPriority w:val="62"/>
    <w:rPr>
      <w:lang w:eastAsia="en-US"/>
    </w:rPr>
    <w:tblPr>
      <w:tblStyleRowBandSize w:val="1"/>
      <w:tblStyleColBandSize w:val="1"/>
      <w:tblBorders>
        <w:top w:val="single" w:color="3C8A2E" w:sz="8" w:space="0"/>
        <w:left w:val="single" w:color="3C8A2E" w:sz="8" w:space="0"/>
        <w:bottom w:val="single" w:color="3C8A2E" w:sz="8" w:space="0"/>
        <w:right w:val="single" w:color="3C8A2E" w:sz="8" w:space="0"/>
        <w:insideH w:val="single" w:color="3C8A2E" w:sz="8" w:space="0"/>
        <w:insideV w:val="single" w:color="3C8A2E" w:sz="8" w:space="0"/>
      </w:tblBorders>
    </w:tblPr>
    <w:tblStylePr w:type="firstRow">
      <w:pPr>
        <w:spacing w:before="0" w:after="0" w:line="240" w:lineRule="auto"/>
      </w:pPr>
      <w:rPr>
        <w:b/>
        <w:bCs/>
      </w:rPr>
      <w:tblPr/>
      <w:tcPr>
        <w:tcBorders>
          <w:top w:val="single" w:color="3C8A2E" w:sz="8" w:space="0"/>
          <w:left w:val="single" w:color="3C8A2E" w:sz="8" w:space="0"/>
          <w:bottom w:val="single" w:color="3C8A2E" w:sz="18" w:space="0"/>
          <w:right w:val="single" w:color="3C8A2E" w:sz="8" w:space="0"/>
        </w:tcBorders>
      </w:tcPr>
    </w:tblStylePr>
    <w:tblStylePr w:type="lastRow">
      <w:pPr>
        <w:spacing w:before="0" w:after="0" w:line="240" w:lineRule="auto"/>
      </w:pPr>
      <w:rPr>
        <w:b/>
        <w:bCs/>
      </w:rPr>
      <w:tblPr/>
      <w:tcPr>
        <w:tcBorders>
          <w:top w:val="single" w:color="3C8A2E" w:sz="6" w:space="0"/>
          <w:left w:val="single" w:color="3C8A2E" w:sz="8" w:space="0"/>
          <w:bottom w:val="single" w:color="3C8A2E" w:sz="8" w:space="0"/>
          <w:right w:val="single" w:color="3C8A2E" w:sz="8" w:space="0"/>
        </w:tcBorders>
      </w:tcPr>
    </w:tblStylePr>
    <w:tblStylePr w:type="firstCol">
      <w:rPr>
        <w:b/>
        <w:bCs/>
      </w:rPr>
    </w:tblStylePr>
    <w:tblStylePr w:type="lastCol">
      <w:rPr>
        <w:b/>
        <w:bCs/>
      </w:rPr>
      <w:tblPr/>
      <w:tcPr>
        <w:tcBorders>
          <w:top w:val="single" w:color="3C8A2E" w:sz="8" w:space="0"/>
          <w:left w:val="single" w:color="3C8A2E" w:sz="8" w:space="0"/>
          <w:bottom w:val="single" w:color="3C8A2E" w:sz="8" w:space="0"/>
          <w:right w:val="single" w:color="3C8A2E" w:sz="8" w:space="0"/>
        </w:tcBorders>
      </w:tcPr>
    </w:tblStylePr>
    <w:tblStylePr w:type="band1Vert">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1Horz">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2Horz">
      <w:tblPr/>
      <w:tcPr>
        <w:tcBorders>
          <w:top w:val="single" w:color="3C8A2E" w:sz="8" w:space="0"/>
          <w:left w:val="single" w:color="3C8A2E" w:sz="8" w:space="0"/>
          <w:bottom w:val="single" w:color="3C8A2E" w:sz="8" w:space="0"/>
          <w:right w:val="single" w:color="3C8A2E" w:sz="8" w:space="0"/>
        </w:tcBorders>
      </w:tcPr>
    </w:tblStylePr>
  </w:style>
  <w:style w:type="table" w:styleId="LightGrid-Accent46" w:customStyle="1">
    <w:name w:val="Light Grid - Accent 46"/>
    <w:basedOn w:val="TableauNormal"/>
    <w:uiPriority w:val="62"/>
    <w:rPr>
      <w:lang w:eastAsia="en-US"/>
    </w:rPr>
    <w:tblPr>
      <w:tblStyleRowBandSize w:val="1"/>
      <w:tblStyleColBandSize w:val="1"/>
      <w:tblBorders>
        <w:top w:val="single" w:color="3C8A2E" w:sz="8" w:space="0"/>
        <w:left w:val="single" w:color="3C8A2E" w:sz="8" w:space="0"/>
        <w:bottom w:val="single" w:color="3C8A2E" w:sz="8" w:space="0"/>
        <w:right w:val="single" w:color="3C8A2E" w:sz="8" w:space="0"/>
        <w:insideH w:val="single" w:color="3C8A2E" w:sz="8" w:space="0"/>
        <w:insideV w:val="single" w:color="3C8A2E" w:sz="8" w:space="0"/>
      </w:tblBorders>
    </w:tblPr>
    <w:tblStylePr w:type="firstRow">
      <w:pPr>
        <w:spacing w:before="0" w:after="0" w:line="240" w:lineRule="auto"/>
      </w:pPr>
      <w:rPr>
        <w:b/>
        <w:bCs/>
      </w:rPr>
      <w:tblPr/>
      <w:tcPr>
        <w:tcBorders>
          <w:top w:val="single" w:color="3C8A2E" w:sz="8" w:space="0"/>
          <w:left w:val="single" w:color="3C8A2E" w:sz="8" w:space="0"/>
          <w:bottom w:val="single" w:color="3C8A2E" w:sz="18" w:space="0"/>
          <w:right w:val="single" w:color="3C8A2E" w:sz="8" w:space="0"/>
        </w:tcBorders>
      </w:tcPr>
    </w:tblStylePr>
    <w:tblStylePr w:type="lastRow">
      <w:pPr>
        <w:spacing w:before="0" w:after="0" w:line="240" w:lineRule="auto"/>
      </w:pPr>
      <w:rPr>
        <w:b/>
        <w:bCs/>
      </w:rPr>
      <w:tblPr/>
      <w:tcPr>
        <w:tcBorders>
          <w:top w:val="single" w:color="3C8A2E" w:sz="6" w:space="0"/>
          <w:left w:val="single" w:color="3C8A2E" w:sz="8" w:space="0"/>
          <w:bottom w:val="single" w:color="3C8A2E" w:sz="8" w:space="0"/>
          <w:right w:val="single" w:color="3C8A2E" w:sz="8" w:space="0"/>
        </w:tcBorders>
      </w:tcPr>
    </w:tblStylePr>
    <w:tblStylePr w:type="firstCol">
      <w:rPr>
        <w:b/>
        <w:bCs/>
      </w:rPr>
    </w:tblStylePr>
    <w:tblStylePr w:type="lastCol">
      <w:rPr>
        <w:b/>
        <w:bCs/>
      </w:rPr>
      <w:tblPr/>
      <w:tcPr>
        <w:tcBorders>
          <w:top w:val="single" w:color="3C8A2E" w:sz="8" w:space="0"/>
          <w:left w:val="single" w:color="3C8A2E" w:sz="8" w:space="0"/>
          <w:bottom w:val="single" w:color="3C8A2E" w:sz="8" w:space="0"/>
          <w:right w:val="single" w:color="3C8A2E" w:sz="8" w:space="0"/>
        </w:tcBorders>
      </w:tcPr>
    </w:tblStylePr>
    <w:tblStylePr w:type="band1Vert">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1Horz">
      <w:tblPr/>
      <w:tcPr>
        <w:tcBorders>
          <w:top w:val="single" w:color="3C8A2E" w:sz="8" w:space="0"/>
          <w:left w:val="single" w:color="3C8A2E" w:sz="8" w:space="0"/>
          <w:bottom w:val="single" w:color="3C8A2E" w:sz="8" w:space="0"/>
          <w:right w:val="single" w:color="3C8A2E" w:sz="8" w:space="0"/>
        </w:tcBorders>
        <w:shd w:val="clear" w:color="auto" w:fill="C8EAC2"/>
      </w:tcPr>
    </w:tblStylePr>
    <w:tblStylePr w:type="band2Horz">
      <w:tblPr/>
      <w:tcPr>
        <w:tcBorders>
          <w:top w:val="single" w:color="3C8A2E" w:sz="8" w:space="0"/>
          <w:left w:val="single" w:color="3C8A2E" w:sz="8" w:space="0"/>
          <w:bottom w:val="single" w:color="3C8A2E" w:sz="8" w:space="0"/>
          <w:right w:val="single" w:color="3C8A2E" w:sz="8" w:space="0"/>
        </w:tcBorders>
      </w:tcPr>
    </w:tblStylePr>
  </w:style>
  <w:style w:type="table" w:styleId="LightList-Accent44" w:customStyle="1">
    <w:name w:val="Light List - Accent 44"/>
    <w:basedOn w:val="TableauNormal"/>
    <w:uiPriority w:val="61"/>
    <w:rPr>
      <w:rFonts w:cstheme="minorBidi"/>
      <w:lang w:eastAsia="en-US"/>
    </w:rPr>
    <w:tblPr>
      <w:tblStyleRowBandSize w:val="1"/>
      <w:tblStyleColBandSize w:val="1"/>
      <w:tblBorders>
        <w:top w:val="single" w:color="3C8A2E" w:themeColor="accent4" w:sz="8" w:space="0"/>
        <w:left w:val="single" w:color="3C8A2E" w:themeColor="accent4" w:sz="8" w:space="0"/>
        <w:bottom w:val="single" w:color="3C8A2E" w:themeColor="accent4" w:sz="8" w:space="0"/>
        <w:right w:val="single" w:color="3C8A2E" w:themeColor="accent4" w:sz="8" w:space="0"/>
      </w:tblBorders>
    </w:tblPr>
    <w:tblStylePr w:type="firstRow">
      <w:pPr>
        <w:spacing w:before="0" w:after="0" w:line="240" w:lineRule="auto"/>
      </w:pPr>
      <w:rPr>
        <w:b/>
        <w:bCs/>
        <w:color w:val="FFFFFF" w:themeColor="background1"/>
      </w:rPr>
      <w:tblPr/>
      <w:tcPr>
        <w:shd w:val="clear" w:color="auto" w:fill="3C8A2E" w:themeFill="accent4"/>
      </w:tcPr>
    </w:tblStylePr>
    <w:tblStylePr w:type="lastRow">
      <w:pPr>
        <w:spacing w:before="0" w:after="0" w:line="240" w:lineRule="auto"/>
      </w:pPr>
      <w:rPr>
        <w:b/>
        <w:bCs/>
      </w:rPr>
      <w:tblPr/>
      <w:tcPr>
        <w:tcBorders>
          <w:top w:val="single" w:color="3C8A2E" w:themeColor="accent4" w:sz="6" w:space="0"/>
          <w:left w:val="single" w:color="3C8A2E" w:themeColor="accent4" w:sz="8" w:space="0"/>
          <w:bottom w:val="single" w:color="3C8A2E" w:themeColor="accent4" w:sz="8" w:space="0"/>
          <w:right w:val="single" w:color="3C8A2E" w:themeColor="accent4" w:sz="8" w:space="0"/>
        </w:tcBorders>
      </w:tcPr>
    </w:tblStylePr>
    <w:tblStylePr w:type="firstCol">
      <w:rPr>
        <w:b/>
        <w:bCs/>
      </w:rPr>
    </w:tblStylePr>
    <w:tblStylePr w:type="lastCol">
      <w:rPr>
        <w:b/>
        <w:bCs/>
      </w:rPr>
    </w:tblStylePr>
    <w:tblStylePr w:type="band1Vert">
      <w:tblPr/>
      <w:tcPr>
        <w:tcBorders>
          <w:top w:val="single" w:color="3C8A2E" w:themeColor="accent4" w:sz="8" w:space="0"/>
          <w:left w:val="single" w:color="3C8A2E" w:themeColor="accent4" w:sz="8" w:space="0"/>
          <w:bottom w:val="single" w:color="3C8A2E" w:themeColor="accent4" w:sz="8" w:space="0"/>
          <w:right w:val="single" w:color="3C8A2E" w:themeColor="accent4" w:sz="8" w:space="0"/>
        </w:tcBorders>
      </w:tcPr>
    </w:tblStylePr>
    <w:tblStylePr w:type="band1Horz">
      <w:tblPr/>
      <w:tcPr>
        <w:tcBorders>
          <w:top w:val="single" w:color="3C8A2E" w:themeColor="accent4" w:sz="8" w:space="0"/>
          <w:left w:val="single" w:color="3C8A2E" w:themeColor="accent4" w:sz="8" w:space="0"/>
          <w:bottom w:val="single" w:color="3C8A2E" w:themeColor="accent4" w:sz="8" w:space="0"/>
          <w:right w:val="single" w:color="3C8A2E" w:themeColor="accent4" w:sz="8" w:space="0"/>
        </w:tcBorders>
      </w:tcPr>
    </w:tblStylePr>
  </w:style>
  <w:style w:type="table" w:styleId="Listeclaire-Accent4">
    <w:name w:val="Light List Accent 4"/>
    <w:basedOn w:val="TableauNormal"/>
    <w:uiPriority w:val="61"/>
    <w:rPr>
      <w:rFonts w:cstheme="minorBidi"/>
      <w:lang w:eastAsia="en-US"/>
    </w:rPr>
    <w:tblPr>
      <w:tblStyleRowBandSize w:val="1"/>
      <w:tblStyleColBandSize w:val="1"/>
      <w:tblBorders>
        <w:top w:val="single" w:color="3C8A2E" w:themeColor="accent4" w:sz="8" w:space="0"/>
        <w:left w:val="single" w:color="3C8A2E" w:themeColor="accent4" w:sz="8" w:space="0"/>
        <w:bottom w:val="single" w:color="3C8A2E" w:themeColor="accent4" w:sz="8" w:space="0"/>
        <w:right w:val="single" w:color="3C8A2E" w:themeColor="accent4" w:sz="8" w:space="0"/>
      </w:tblBorders>
    </w:tblPr>
    <w:tblStylePr w:type="firstRow">
      <w:pPr>
        <w:spacing w:before="0" w:after="0" w:line="240" w:lineRule="auto"/>
      </w:pPr>
      <w:rPr>
        <w:b/>
        <w:bCs/>
        <w:color w:val="FFFFFF" w:themeColor="background1"/>
      </w:rPr>
      <w:tblPr/>
      <w:tcPr>
        <w:shd w:val="clear" w:color="auto" w:fill="3C8A2E" w:themeFill="accent4"/>
      </w:tcPr>
    </w:tblStylePr>
    <w:tblStylePr w:type="lastRow">
      <w:pPr>
        <w:spacing w:before="0" w:after="0" w:line="240" w:lineRule="auto"/>
      </w:pPr>
      <w:rPr>
        <w:b/>
        <w:bCs/>
      </w:rPr>
      <w:tblPr/>
      <w:tcPr>
        <w:tcBorders>
          <w:top w:val="single" w:color="3C8A2E" w:themeColor="accent4" w:sz="6" w:space="0"/>
          <w:left w:val="single" w:color="3C8A2E" w:themeColor="accent4" w:sz="8" w:space="0"/>
          <w:bottom w:val="single" w:color="3C8A2E" w:themeColor="accent4" w:sz="8" w:space="0"/>
          <w:right w:val="single" w:color="3C8A2E" w:themeColor="accent4" w:sz="8" w:space="0"/>
        </w:tcBorders>
      </w:tcPr>
    </w:tblStylePr>
    <w:tblStylePr w:type="firstCol">
      <w:rPr>
        <w:b/>
        <w:bCs/>
      </w:rPr>
    </w:tblStylePr>
    <w:tblStylePr w:type="lastCol">
      <w:rPr>
        <w:b/>
        <w:bCs/>
      </w:rPr>
    </w:tblStylePr>
    <w:tblStylePr w:type="band1Vert">
      <w:tblPr/>
      <w:tcPr>
        <w:tcBorders>
          <w:top w:val="single" w:color="3C8A2E" w:themeColor="accent4" w:sz="8" w:space="0"/>
          <w:left w:val="single" w:color="3C8A2E" w:themeColor="accent4" w:sz="8" w:space="0"/>
          <w:bottom w:val="single" w:color="3C8A2E" w:themeColor="accent4" w:sz="8" w:space="0"/>
          <w:right w:val="single" w:color="3C8A2E" w:themeColor="accent4" w:sz="8" w:space="0"/>
        </w:tcBorders>
      </w:tcPr>
    </w:tblStylePr>
    <w:tblStylePr w:type="band1Horz">
      <w:tblPr/>
      <w:tcPr>
        <w:tcBorders>
          <w:top w:val="single" w:color="3C8A2E" w:themeColor="accent4" w:sz="8" w:space="0"/>
          <w:left w:val="single" w:color="3C8A2E" w:themeColor="accent4" w:sz="8" w:space="0"/>
          <w:bottom w:val="single" w:color="3C8A2E" w:themeColor="accent4" w:sz="8" w:space="0"/>
          <w:right w:val="single" w:color="3C8A2E" w:themeColor="accent4" w:sz="8" w:space="0"/>
        </w:tcBorders>
      </w:tcPr>
    </w:tblStylePr>
  </w:style>
  <w:style w:type="table" w:styleId="Grilledutableau">
    <w:name w:val="Table Grid"/>
    <w:basedOn w:val="TableauNormal"/>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TableauGrille4-Accentuation4">
    <w:name w:val="Grid Table 4 Accent 40"/>
    <w:basedOn w:val="TableauNormal"/>
    <w:uiPriority w:val="49"/>
    <w:tblPr>
      <w:tblStyleRowBandSize w:val="1"/>
      <w:tblStyleColBandSize w:val="1"/>
      <w:tblBorders>
        <w:top w:val="single" w:color="7ACE6C" w:themeColor="accent4" w:themeTint="99" w:sz="4" w:space="0"/>
        <w:left w:val="single" w:color="7ACE6C" w:themeColor="accent4" w:themeTint="99" w:sz="4" w:space="0"/>
        <w:bottom w:val="single" w:color="7ACE6C" w:themeColor="accent4" w:themeTint="99" w:sz="4" w:space="0"/>
        <w:right w:val="single" w:color="7ACE6C" w:themeColor="accent4" w:themeTint="99" w:sz="4" w:space="0"/>
        <w:insideH w:val="single" w:color="7ACE6C" w:themeColor="accent4" w:themeTint="99" w:sz="4" w:space="0"/>
        <w:insideV w:val="single" w:color="7ACE6C" w:themeColor="accent4" w:themeTint="99" w:sz="4" w:space="0"/>
      </w:tblBorders>
    </w:tblPr>
    <w:tblStylePr w:type="firstRow">
      <w:rPr>
        <w:b/>
        <w:bCs/>
        <w:color w:val="FFFFFF" w:themeColor="background1"/>
      </w:rPr>
      <w:tblPr/>
      <w:tcPr>
        <w:tcBorders>
          <w:top w:val="single" w:color="3C8A2E" w:themeColor="accent4" w:sz="4" w:space="0"/>
          <w:left w:val="single" w:color="3C8A2E" w:themeColor="accent4" w:sz="4" w:space="0"/>
          <w:bottom w:val="single" w:color="3C8A2E" w:themeColor="accent4" w:sz="4" w:space="0"/>
          <w:right w:val="single" w:color="3C8A2E" w:themeColor="accent4" w:sz="4" w:space="0"/>
        </w:tcBorders>
        <w:shd w:val="clear" w:color="auto" w:fill="3C8A2E" w:themeFill="accent4"/>
      </w:tcPr>
    </w:tblStylePr>
    <w:tblStylePr w:type="lastRow">
      <w:rPr>
        <w:b/>
        <w:bCs/>
      </w:rPr>
      <w:tblPr/>
      <w:tcPr>
        <w:tcBorders>
          <w:top w:val="single" w:color="3C8A2E" w:themeColor="accent4" w:sz="4" w:space="0"/>
        </w:tcBorders>
      </w:tcPr>
    </w:tblStylePr>
    <w:tblStylePr w:type="firstCol">
      <w:rPr>
        <w:b/>
        <w:bCs/>
      </w:rPr>
    </w:tblStylePr>
    <w:tblStylePr w:type="lastCol">
      <w:rPr>
        <w:b/>
        <w:bCs/>
      </w:rPr>
    </w:tblStylePr>
    <w:tblStylePr w:type="band1Vert">
      <w:tblPr/>
      <w:tcPr>
        <w:shd w:val="clear" w:color="auto" w:fill="D2EECE" w:themeFill="accent4" w:themeFillTint="33"/>
      </w:tcPr>
    </w:tblStylePr>
    <w:tblStylePr w:type="band1Horz">
      <w:tblPr/>
      <w:tcPr>
        <w:shd w:val="clear" w:color="auto" w:fill="D2EECE" w:themeFill="accent4" w:themeFillTint="33"/>
      </w:tcPr>
    </w:tblStylePr>
  </w:style>
  <w:style w:type="table" w:styleId="TableauGrille5Fonc-Accentuation2">
    <w:name w:val="Grid Table 5 Dark Accent 20"/>
    <w:basedOn w:val="TableauNormal"/>
    <w:uiPriority w:val="50"/>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CFFC3" w:themeFill="accent2"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tcBorders>
        <w:shd w:val="clear" w:color="auto" w:fill="92D400" w:themeFill="accent2"/>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tcBorders>
        <w:shd w:val="clear" w:color="auto" w:fill="92D400" w:themeFill="accent2"/>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tcBorders>
        <w:shd w:val="clear" w:color="auto" w:fill="92D400" w:themeFill="accent2"/>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tcBorders>
        <w:shd w:val="clear" w:color="auto" w:fill="92D400" w:themeFill="accent2"/>
      </w:tcPr>
    </w:tblStylePr>
    <w:tblStylePr w:type="band1Vert">
      <w:tblPr/>
      <w:tcPr>
        <w:shd w:val="clear" w:color="auto" w:fill="D9FF87" w:themeFill="accent2" w:themeFillTint="66"/>
      </w:tcPr>
    </w:tblStylePr>
    <w:tblStylePr w:type="band1Horz">
      <w:tblPr/>
      <w:tcPr>
        <w:shd w:val="clear" w:color="auto" w:fill="D9FF87" w:themeFill="accent2" w:themeFillTint="66"/>
      </w:tcPr>
    </w:tblStylePr>
  </w:style>
  <w:style w:type="table" w:styleId="TableauGrille4-Accentuation1">
    <w:name w:val="Grid Table 4 Accent 10"/>
    <w:basedOn w:val="TableauNormal"/>
    <w:uiPriority w:val="49"/>
    <w:tblPr>
      <w:tblStyleRowBandSize w:val="1"/>
      <w:tblStyleColBandSize w:val="1"/>
      <w:tblBorders>
        <w:top w:val="single" w:color="1361FF" w:themeColor="accent1" w:themeTint="99" w:sz="4" w:space="0"/>
        <w:left w:val="single" w:color="1361FF" w:themeColor="accent1" w:themeTint="99" w:sz="4" w:space="0"/>
        <w:bottom w:val="single" w:color="1361FF" w:themeColor="accent1" w:themeTint="99" w:sz="4" w:space="0"/>
        <w:right w:val="single" w:color="1361FF" w:themeColor="accent1" w:themeTint="99" w:sz="4" w:space="0"/>
        <w:insideH w:val="single" w:color="1361FF" w:themeColor="accent1" w:themeTint="99" w:sz="4" w:space="0"/>
        <w:insideV w:val="single" w:color="1361FF" w:themeColor="accent1" w:themeTint="99" w:sz="4" w:space="0"/>
      </w:tblBorders>
    </w:tblPr>
    <w:tblStylePr w:type="firstRow">
      <w:rPr>
        <w:b/>
        <w:bCs/>
        <w:color w:val="FFFFFF" w:themeColor="background1"/>
      </w:rPr>
      <w:tblPr/>
      <w:tcPr>
        <w:tcBorders>
          <w:top w:val="single" w:color="002776" w:themeColor="accent1" w:sz="4" w:space="0"/>
          <w:left w:val="single" w:color="002776" w:themeColor="accent1" w:sz="4" w:space="0"/>
          <w:bottom w:val="single" w:color="002776" w:themeColor="accent1" w:sz="4" w:space="0"/>
          <w:right w:val="single" w:color="002776" w:themeColor="accent1" w:sz="4" w:space="0"/>
        </w:tcBorders>
        <w:shd w:val="clear" w:color="auto" w:fill="002776" w:themeFill="accent1"/>
      </w:tcPr>
    </w:tblStylePr>
    <w:tblStylePr w:type="lastRow">
      <w:rPr>
        <w:b/>
        <w:bCs/>
      </w:rPr>
      <w:tblPr/>
      <w:tcPr>
        <w:tcBorders>
          <w:top w:val="single" w:color="002776" w:themeColor="accent1" w:sz="4" w:space="0"/>
        </w:tcBorders>
      </w:tcPr>
    </w:tblStylePr>
    <w:tblStylePr w:type="firstCol">
      <w:rPr>
        <w:b/>
        <w:bCs/>
      </w:rPr>
    </w:tblStylePr>
    <w:tblStylePr w:type="lastCol">
      <w:rPr>
        <w:b/>
        <w:bCs/>
      </w:rPr>
    </w:tblStylePr>
    <w:tblStylePr w:type="band1Vert">
      <w:tblPr/>
      <w:tcPr>
        <w:shd w:val="clear" w:color="auto" w:fill="B0CAFF" w:themeFill="accent1" w:themeFillTint="33"/>
      </w:tcPr>
    </w:tblStylePr>
    <w:tblStylePr w:type="band1Horz">
      <w:tblPr/>
      <w:tcPr>
        <w:shd w:val="clear" w:color="auto" w:fill="B0CAFF" w:themeFill="accent1" w:themeFillTint="33"/>
      </w:tcPr>
    </w:tblStylePr>
  </w:style>
  <w:style w:type="table" w:styleId="TableGrid1" w:customStyle="1">
    <w:name w:val="Table Grid1"/>
    <w:basedOn w:val="TableauNormal"/>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docy" w:customStyle="1">
    <w:name w:val="docy"/>
    <w:basedOn w:val="Normal"/>
    <w:pPr>
      <w:spacing w:before="100" w:beforeAutospacing="1" w:after="100" w:afterAutospacing="1"/>
      <w:jc w:val="left"/>
    </w:pPr>
    <w:rPr>
      <w:rFonts w:ascii="Times New Roman" w:hAnsi="Times New Roman" w:cs="Times New Roman"/>
      <w:sz w:val="24"/>
      <w:szCs w:val="24"/>
    </w:rPr>
  </w:style>
  <w:style w:type="table" w:styleId="TableauGrille4-Accentuation51" w:customStyle="1">
    <w:name w:val="Tableau Grille 4 - Accentuation 51"/>
    <w:uiPriority w:val="49"/>
    <w:pPr>
      <w:pBdr>
        <w:top w:val="none" w:color="000000" w:sz="4" w:space="0"/>
        <w:left w:val="none" w:color="000000" w:sz="4" w:space="0"/>
        <w:bottom w:val="none" w:color="000000" w:sz="4" w:space="0"/>
        <w:right w:val="none" w:color="000000" w:sz="4" w:space="0"/>
        <w:between w:val="none" w:color="000000" w:sz="4" w:space="0"/>
      </w:pBdr>
    </w:pPr>
    <w:tblPr>
      <w:tblStyleRowBandSize w:val="1"/>
      <w:tblStyleColBandSize w:val="1"/>
      <w:tblInd w:w="0" w:type="dxa"/>
      <w:tblBorders>
        <w:top w:val="single" w:color="AADDF0" w:themeColor="accent5" w:themeTint="99" w:sz="4" w:space="0"/>
        <w:left w:val="single" w:color="AADDF0" w:themeColor="accent5" w:themeTint="99" w:sz="4" w:space="0"/>
        <w:bottom w:val="single" w:color="AADDF0" w:themeColor="accent5" w:themeTint="99" w:sz="4" w:space="0"/>
        <w:right w:val="single" w:color="AADDF0" w:themeColor="accent5" w:themeTint="99" w:sz="4" w:space="0"/>
        <w:insideH w:val="single" w:color="AADDF0" w:themeColor="accent5" w:themeTint="99" w:sz="4" w:space="0"/>
        <w:insideV w:val="single" w:color="AADDF0" w:themeColor="accent5" w:themeTint="99" w:sz="4" w:space="0"/>
      </w:tblBorders>
      <w:tblCellMar>
        <w:top w:w="0" w:type="dxa"/>
        <w:left w:w="108" w:type="dxa"/>
        <w:bottom w:w="0" w:type="dxa"/>
        <w:right w:w="108" w:type="dxa"/>
      </w:tblCellMar>
    </w:tblPr>
    <w:tcPr>
      <w:tcW w:w="0" w:type="auto"/>
    </w:tcPr>
    <w:tblStylePr w:type="firstRow">
      <w:rPr>
        <w:b/>
        <w:bCs/>
        <w:color w:val="FFFFFF" w:themeColor="background1"/>
      </w:rPr>
      <w:tblPr/>
      <w:tcPr>
        <w:tcBorders>
          <w:top w:val="single" w:color="72C7E7" w:themeColor="accent5" w:sz="4" w:space="0"/>
          <w:left w:val="single" w:color="72C7E7" w:themeColor="accent5" w:sz="4" w:space="0"/>
          <w:bottom w:val="single" w:color="72C7E7" w:themeColor="accent5" w:sz="4" w:space="0"/>
          <w:right w:val="single" w:color="72C7E7" w:themeColor="accent5" w:sz="4" w:space="0"/>
        </w:tcBorders>
        <w:shd w:val="clear" w:color="auto" w:fill="72C7E7" w:themeFill="accent5"/>
      </w:tcPr>
    </w:tblStylePr>
    <w:tblStylePr w:type="lastRow">
      <w:rPr>
        <w:b/>
        <w:bCs/>
      </w:rPr>
      <w:tblPr/>
      <w:tcPr>
        <w:tcBorders>
          <w:top w:val="single" w:color="72C7E7" w:themeColor="accent5" w:sz="4" w:space="0"/>
        </w:tcBorders>
      </w:tcPr>
    </w:tblStylePr>
    <w:tblStylePr w:type="firstCol">
      <w:rPr>
        <w:b/>
        <w:bCs/>
      </w:rPr>
    </w:tblStylePr>
    <w:tblStylePr w:type="lastCol">
      <w:rPr>
        <w:b/>
        <w:bCs/>
      </w:rPr>
    </w:tblStylePr>
    <w:tblStylePr w:type="band1Vert">
      <w:tblPr/>
      <w:tcPr>
        <w:shd w:val="clear" w:color="auto" w:fill="E2F3FA" w:themeFill="accent5" w:themeFillTint="33"/>
      </w:tcPr>
    </w:tblStylePr>
    <w:tblStylePr w:type="band1Horz">
      <w:tblPr/>
      <w:tcPr>
        <w:shd w:val="clear" w:color="auto" w:fill="E2F3FA" w:themeFill="accent5" w:themeFillTint="33"/>
      </w:tcPr>
    </w:tblStylePr>
  </w:style>
  <w:style w:type="paragraph" w:styleId="Titre21" w:customStyle="1">
    <w:name w:val="Titre 21"/>
    <w:qFormat/>
    <w:pPr>
      <w:keepNext/>
      <w:keepLines/>
      <w:numPr>
        <w:ilvl w:val="1"/>
        <w:numId w:val="209"/>
      </w:numPr>
      <w:pBdr>
        <w:top w:val="none" w:color="000000" w:sz="4" w:space="0"/>
        <w:left w:val="none" w:color="000000" w:sz="4" w:space="0"/>
        <w:bottom w:val="none" w:color="000000" w:sz="4" w:space="0"/>
        <w:right w:val="none" w:color="000000" w:sz="4" w:space="0"/>
        <w:between w:val="none" w:color="000000" w:sz="4" w:space="0"/>
      </w:pBdr>
      <w:spacing w:before="360" w:after="80" w:line="259" w:lineRule="auto"/>
      <w:outlineLvl w:val="0"/>
    </w:pPr>
    <w:rPr>
      <w:rFonts w:ascii="Calibri" w:hAnsi="Calibri" w:eastAsia="Calibri" w:cs="Calibri"/>
      <w:b/>
      <w:bCs/>
      <w:color w:val="03A6A3"/>
      <w:sz w:val="28"/>
      <w:szCs w:val="28"/>
    </w:rPr>
  </w:style>
  <w:style w:type="paragraph" w:styleId="Titre31" w:customStyle="1">
    <w:name w:val="Titre 31"/>
    <w:basedOn w:val="Titre21"/>
    <w:qFormat/>
    <w:pPr>
      <w:numPr>
        <w:ilvl w:val="2"/>
      </w:numPr>
    </w:pPr>
    <w:rPr>
      <w:b w:val="0"/>
      <w:bCs w:val="0"/>
      <w:sz w:val="24"/>
      <w:szCs w:val="24"/>
    </w:rPr>
  </w:style>
  <w:style w:type="paragraph" w:styleId="Titre41" w:customStyle="1">
    <w:name w:val="Titre 41"/>
    <w:basedOn w:val="Titre31"/>
    <w:qFormat/>
    <w:pPr>
      <w:numPr>
        <w:ilvl w:val="3"/>
      </w:numPr>
      <w:outlineLvl w:val="3"/>
    </w:pPr>
    <w:rPr>
      <w:rFonts w:eastAsia="Times New Roman"/>
    </w:rPr>
  </w:style>
  <w:style w:type="table" w:styleId="TableGrid0" w:customStyle="1">
    <w:name w:val="Table Grid0"/>
    <w:basedOn w:val="TableauNormal"/>
    <w:uiPriority w:val="39"/>
    <w:rsid w:val="0031145B"/>
    <w:rPr>
      <w:rFonts w:eastAsiaTheme="minorEastAsia"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tionnonrsolue">
    <w:name w:val="Unresolved Mention"/>
    <w:basedOn w:val="Policepardfaut"/>
    <w:uiPriority w:val="99"/>
    <w:semiHidden/>
    <w:unhideWhenUsed/>
    <w:rsid w:val="00A65D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owasp.org/www-project-top-ten/" TargetMode="External"/><Relationship Id="rId21" Type="http://schemas.openxmlformats.org/officeDocument/2006/relationships/image" Target="media/image4.png"/><Relationship Id="rId42" Type="http://schemas.openxmlformats.org/officeDocument/2006/relationships/image" Target="media/image140.png"/><Relationship Id="rId63" Type="http://schemas.openxmlformats.org/officeDocument/2006/relationships/image" Target="media/image230.png"/><Relationship Id="rId84" Type="http://schemas.openxmlformats.org/officeDocument/2006/relationships/image" Target="media/image34.jpg"/><Relationship Id="rId138" Type="http://schemas.openxmlformats.org/officeDocument/2006/relationships/hyperlink" Target="https://docs.google.com/spreadsheets/d/1kudqX-bm3RoEz65lohbycXq99p5ETUL9MjsC-GHBFhY/edit" TargetMode="External"/><Relationship Id="rId107" Type="http://schemas.openxmlformats.org/officeDocument/2006/relationships/hyperlink" Target="https://docs.google.com/spreadsheets/d/182JNBd06kLIEzS1sm455MhbEyJAL9309cVd-yqbmaNY/edit?usp=sharing" TargetMode="External"/><Relationship Id="rId11" Type="http://schemas.openxmlformats.org/officeDocument/2006/relationships/endnotes" Target="endnotes.xml"/><Relationship Id="rId32" Type="http://schemas.openxmlformats.org/officeDocument/2006/relationships/image" Target="media/image90.png"/><Relationship Id="rId37" Type="http://schemas.openxmlformats.org/officeDocument/2006/relationships/image" Target="media/image12.png"/><Relationship Id="rId53" Type="http://schemas.openxmlformats.org/officeDocument/2006/relationships/image" Target="media/image190.png"/><Relationship Id="rId58" Type="http://schemas.openxmlformats.org/officeDocument/2006/relationships/image" Target="media/image21.png"/><Relationship Id="rId74" Type="http://schemas.openxmlformats.org/officeDocument/2006/relationships/image" Target="media/image29.png"/><Relationship Id="rId79" Type="http://schemas.openxmlformats.org/officeDocument/2006/relationships/image" Target="media/image310.png"/><Relationship Id="rId102" Type="http://schemas.openxmlformats.org/officeDocument/2006/relationships/hyperlink" Target="https://www.ssi.gouv.fr/guide/agilite-et-securite-numeriques-methode-et-outils-a-lusage-des-equipes-projet/" TargetMode="External"/><Relationship Id="rId123" Type="http://schemas.openxmlformats.org/officeDocument/2006/relationships/hyperlink" Target="https://forge-dsi.dcidf.inrae.fr/finance/playbook/-/jobs" TargetMode="External"/><Relationship Id="rId128" Type="http://schemas.openxmlformats.org/officeDocument/2006/relationships/hyperlink" Target="https://docs.google.com/document/d/1i4f7AY16gEo64ppy1Lw8GC3gHcEUhXY5LWsE-L0FdN8/edit?tab=t.0" TargetMode="External"/><Relationship Id="rId144" Type="http://schemas.openxmlformats.org/officeDocument/2006/relationships/header" Target="header1.xml"/><Relationship Id="rId149"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image" Target="media/image37.png"/><Relationship Id="rId95" Type="http://schemas.openxmlformats.org/officeDocument/2006/relationships/hyperlink" Target="http://references.modernisation.gouv.fr/interoperabilite" TargetMode="External"/><Relationship Id="rId22" Type="http://schemas.openxmlformats.org/officeDocument/2006/relationships/image" Target="media/image45.png"/><Relationship Id="rId27"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image" Target="media/image17.png"/><Relationship Id="rId64" Type="http://schemas.openxmlformats.org/officeDocument/2006/relationships/image" Target="media/image24.png"/><Relationship Id="rId69" Type="http://schemas.openxmlformats.org/officeDocument/2006/relationships/image" Target="media/image260.png"/><Relationship Id="rId113" Type="http://schemas.openxmlformats.org/officeDocument/2006/relationships/image" Target="media/image40.png"/><Relationship Id="rId118" Type="http://schemas.openxmlformats.org/officeDocument/2006/relationships/hyperlink" Target="https://docs.google.com/document/d/1hsHigicWsVOMMWYYCAVvamBOp9yRkW3crfXvP6TInEo/edit?tab=t.0" TargetMode="External"/><Relationship Id="rId134" Type="http://schemas.openxmlformats.org/officeDocument/2006/relationships/image" Target="media/image43.png"/><Relationship Id="rId139" Type="http://schemas.openxmlformats.org/officeDocument/2006/relationships/hyperlink" Target="https://docs.google.com/spreadsheets/d/1QPNddHkiV6ArMpMALDyiw6K0f8ufIuQIGZP2gFs3AVw/edit" TargetMode="External"/><Relationship Id="rId80" Type="http://schemas.openxmlformats.org/officeDocument/2006/relationships/image" Target="media/image32.png"/><Relationship Id="rId85" Type="http://schemas.openxmlformats.org/officeDocument/2006/relationships/image" Target="media/image340.jpg"/><Relationship Id="rId12" Type="http://schemas.openxmlformats.org/officeDocument/2006/relationships/image" Target="media/image1.png"/><Relationship Id="rId33" Type="http://schemas.openxmlformats.org/officeDocument/2006/relationships/image" Target="media/image10.png"/><Relationship Id="rId38" Type="http://schemas.openxmlformats.org/officeDocument/2006/relationships/image" Target="media/image120.png"/><Relationship Id="rId59" Type="http://schemas.openxmlformats.org/officeDocument/2006/relationships/image" Target="media/image210.png"/><Relationship Id="rId103" Type="http://schemas.openxmlformats.org/officeDocument/2006/relationships/hyperlink" Target="https://drive.google.com/open?id=0B0zuN93ZT-35fmxUTmpiaFhfNmRubU1ZeTJoeFp4V2taRlIxTTBycG40TTI1NU9rYXRBR3M" TargetMode="External"/><Relationship Id="rId108" Type="http://schemas.openxmlformats.org/officeDocument/2006/relationships/comments" Target="comments.xml"/><Relationship Id="rId124" Type="http://schemas.openxmlformats.org/officeDocument/2006/relationships/image" Target="media/image41.png"/><Relationship Id="rId129" Type="http://schemas.openxmlformats.org/officeDocument/2006/relationships/hyperlink" Target="https://simulation-paie.intranet.inrae.fr/" TargetMode="External"/><Relationship Id="rId54" Type="http://schemas.openxmlformats.org/officeDocument/2006/relationships/hyperlink" Target="https://docs.pingidentity.com/pingidm/8/getting-started/about-idm.html" TargetMode="External"/><Relationship Id="rId70" Type="http://schemas.openxmlformats.org/officeDocument/2006/relationships/image" Target="media/image27.png"/><Relationship Id="rId75" Type="http://schemas.openxmlformats.org/officeDocument/2006/relationships/image" Target="media/image290.png"/><Relationship Id="rId91" Type="http://schemas.openxmlformats.org/officeDocument/2006/relationships/image" Target="media/image38.svg"/><Relationship Id="rId96" Type="http://schemas.openxmlformats.org/officeDocument/2006/relationships/hyperlink" Target="http://references.modernisation.gouv.fr/referentiel/" TargetMode="External"/><Relationship Id="rId140" Type="http://schemas.openxmlformats.org/officeDocument/2006/relationships/hyperlink" Target="https://docs.google.com/spreadsheets/d/1Bfwf9CtdI13ZlVB8e2nIjZP698NbXW9tvlXqoWjDzpI/edit?gid=1436438371" TargetMode="External"/><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5.png"/><Relationship Id="rId28" Type="http://schemas.openxmlformats.org/officeDocument/2006/relationships/image" Target="media/image70.png"/><Relationship Id="rId49" Type="http://schemas.openxmlformats.org/officeDocument/2006/relationships/image" Target="media/image170.png"/><Relationship Id="rId114" Type="http://schemas.openxmlformats.org/officeDocument/2006/relationships/image" Target="media/image390.png"/><Relationship Id="rId119" Type="http://schemas.openxmlformats.org/officeDocument/2006/relationships/hyperlink" Target="https://forge-dsi.dcidf.inrae.fr/finance/playbook/-/jobs" TargetMode="External"/><Relationship Id="rId44" Type="http://schemas.openxmlformats.org/officeDocument/2006/relationships/image" Target="media/image150.png"/><Relationship Id="rId60" Type="http://schemas.openxmlformats.org/officeDocument/2006/relationships/image" Target="media/image22.png"/><Relationship Id="rId65" Type="http://schemas.openxmlformats.org/officeDocument/2006/relationships/image" Target="media/image240.png"/><Relationship Id="rId81" Type="http://schemas.openxmlformats.org/officeDocument/2006/relationships/image" Target="media/image320.png"/><Relationship Id="rId86" Type="http://schemas.openxmlformats.org/officeDocument/2006/relationships/image" Target="media/image35.png"/><Relationship Id="rId130" Type="http://schemas.openxmlformats.org/officeDocument/2006/relationships/image" Target="media/image42.png"/><Relationship Id="rId135" Type="http://schemas.openxmlformats.org/officeDocument/2006/relationships/image" Target="media/image420.png"/><Relationship Id="rId18" Type="http://schemas.openxmlformats.org/officeDocument/2006/relationships/image" Target="media/image2.png"/><Relationship Id="rId39" Type="http://schemas.openxmlformats.org/officeDocument/2006/relationships/image" Target="media/image13.png"/><Relationship Id="rId109" Type="http://schemas.microsoft.com/office/2011/relationships/commentsExtended" Target="commentsExtended.xml"/><Relationship Id="rId34" Type="http://schemas.openxmlformats.org/officeDocument/2006/relationships/image" Target="media/image100.png"/><Relationship Id="rId50" Type="http://schemas.openxmlformats.org/officeDocument/2006/relationships/image" Target="media/image18.png"/><Relationship Id="rId55" Type="http://schemas.openxmlformats.org/officeDocument/2006/relationships/hyperlink" Target="https://docs.pingidentity.com/pingidm/8/getting-started/about-idm.html" TargetMode="External"/><Relationship Id="rId76" Type="http://schemas.openxmlformats.org/officeDocument/2006/relationships/image" Target="media/image30.png"/><Relationship Id="rId97" Type="http://schemas.openxmlformats.org/officeDocument/2006/relationships/hyperlink" Target="http://www.ssi.gouv.fr/administration/reglementation/confiance-numerique/le-referentiel-general-de-securite-rgs/" TargetMode="External"/><Relationship Id="rId104" Type="http://schemas.openxmlformats.org/officeDocument/2006/relationships/hyperlink" Target="https://drive.google.com/open?id=0B0zuN93ZT-35M0xON3pDa1ZOa2s" TargetMode="External"/><Relationship Id="rId120" Type="http://schemas.openxmlformats.org/officeDocument/2006/relationships/hyperlink" Target="https://forge-dsi.dcidf.inrae.fr/finance/simulation-paie/-/pipelines" TargetMode="External"/><Relationship Id="rId125" Type="http://schemas.openxmlformats.org/officeDocument/2006/relationships/image" Target="media/image400.png"/><Relationship Id="rId141" Type="http://schemas.openxmlformats.org/officeDocument/2006/relationships/hyperlink" Target="https://docs.google.com/spreadsheets/d/182JNBd06kLIEzS1sm455MhbEyJAL9309cVd-yqbmaNY/edit" TargetMode="External"/><Relationship Id="rId146" Type="http://schemas.openxmlformats.org/officeDocument/2006/relationships/header" Target="header2.xml"/><Relationship Id="rId7" Type="http://schemas.openxmlformats.org/officeDocument/2006/relationships/styles" Target="styles.xml"/><Relationship Id="rId71" Type="http://schemas.openxmlformats.org/officeDocument/2006/relationships/image" Target="media/image270.png"/><Relationship Id="rId92" Type="http://schemas.openxmlformats.org/officeDocument/2006/relationships/image" Target="media/image370.png"/><Relationship Id="rId2" Type="http://schemas.openxmlformats.org/officeDocument/2006/relationships/customXml" Target="../customXml/item2.xml"/><Relationship Id="rId29" Type="http://schemas.openxmlformats.org/officeDocument/2006/relationships/image" Target="media/image8.png"/><Relationship Id="rId24" Type="http://schemas.openxmlformats.org/officeDocument/2006/relationships/image" Target="media/image50.png"/><Relationship Id="rId40" Type="http://schemas.openxmlformats.org/officeDocument/2006/relationships/image" Target="media/image130.png"/><Relationship Id="rId45" Type="http://schemas.openxmlformats.org/officeDocument/2006/relationships/hyperlink" Target="https://www.amue.fr/pilotage/logiciels/sinaps-1/" TargetMode="External"/><Relationship Id="rId66" Type="http://schemas.openxmlformats.org/officeDocument/2006/relationships/image" Target="media/image25.png"/><Relationship Id="rId87" Type="http://schemas.openxmlformats.org/officeDocument/2006/relationships/image" Target="media/image350.png"/><Relationship Id="rId110" Type="http://schemas.microsoft.com/office/2016/09/relationships/commentsIds" Target="commentsIds.xml"/><Relationship Id="rId115" Type="http://schemas.openxmlformats.org/officeDocument/2006/relationships/hyperlink" Target="https://monservicesecurise.cyber.gouv.fr/" TargetMode="External"/><Relationship Id="rId131" Type="http://schemas.openxmlformats.org/officeDocument/2006/relationships/image" Target="media/image410.png"/><Relationship Id="rId136" Type="http://schemas.openxmlformats.org/officeDocument/2006/relationships/hyperlink" Target="https://docs.google.com/document/d/1hsHigicWsVOMMWYYCAVvamBOp9yRkW3crfXvP6TInEo/edit?tab=t.0" TargetMode="External"/><Relationship Id="rId61" Type="http://schemas.openxmlformats.org/officeDocument/2006/relationships/image" Target="media/image220.png"/><Relationship Id="rId82" Type="http://schemas.openxmlformats.org/officeDocument/2006/relationships/image" Target="media/image33.png"/><Relationship Id="rId19" Type="http://schemas.openxmlformats.org/officeDocument/2006/relationships/image" Target="media/image3.png"/><Relationship Id="rId30" Type="http://schemas.openxmlformats.org/officeDocument/2006/relationships/image" Target="media/image80.png"/><Relationship Id="rId35" Type="http://schemas.openxmlformats.org/officeDocument/2006/relationships/image" Target="media/image11.png"/><Relationship Id="rId56" Type="http://schemas.openxmlformats.org/officeDocument/2006/relationships/image" Target="media/image20.png"/><Relationship Id="rId77" Type="http://schemas.openxmlformats.org/officeDocument/2006/relationships/image" Target="media/image300.png"/><Relationship Id="rId100" Type="http://schemas.openxmlformats.org/officeDocument/2006/relationships/hyperlink" Target="https://www.cnil.fr/fr/infographie-dois-je-faire-une-aipd" TargetMode="External"/><Relationship Id="rId105" Type="http://schemas.openxmlformats.org/officeDocument/2006/relationships/hyperlink" Target="https://wiki.inra.fr/wiki/equipeproductionpils/templateXwiki/templateExpoitation" TargetMode="External"/><Relationship Id="rId126" Type="http://schemas.openxmlformats.org/officeDocument/2006/relationships/hyperlink" Target="https://ordo-solapp.dsi.inrae.fr/project/Simulation_Paie/job/show/f7c0e397-f737-4265-8816-f955c073b9bc" TargetMode="External"/><Relationship Id="rId147"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180.png"/><Relationship Id="rId72" Type="http://schemas.openxmlformats.org/officeDocument/2006/relationships/image" Target="media/image28.png"/><Relationship Id="rId93" Type="http://schemas.openxmlformats.org/officeDocument/2006/relationships/image" Target="media/image39.png"/><Relationship Id="rId98" Type="http://schemas.openxmlformats.org/officeDocument/2006/relationships/hyperlink" Target="https://www.ssi.gouv.fr/entreprise/reglementation/protection-des-systemes-dinformations/la-politique-de-securite-des-systemes-dinformation-de-letat-pssie/" TargetMode="External"/><Relationship Id="rId121" Type="http://schemas.openxmlformats.org/officeDocument/2006/relationships/hyperlink" Target="https://ordo-solapp.dsi.inrae.fr/project/Simulation_Paie/job/show/f7c0e397-f737-4265-8816-f955c073b9bc" TargetMode="External"/><Relationship Id="rId142" Type="http://schemas.openxmlformats.org/officeDocument/2006/relationships/hyperlink" Target="https://docs.google.com/spreadsheets/d/1Ixv9DPXJy14DUr9HINuK-jwz9VmoikTA61tySzARdYM/edit" TargetMode="External"/><Relationship Id="rId3" Type="http://schemas.openxmlformats.org/officeDocument/2006/relationships/customXml" Target="../customXml/item3.xml"/><Relationship Id="rId25" Type="http://schemas.openxmlformats.org/officeDocument/2006/relationships/image" Target="media/image6.png"/><Relationship Id="rId46" Type="http://schemas.openxmlformats.org/officeDocument/2006/relationships/image" Target="media/image16.png"/><Relationship Id="rId67" Type="http://schemas.openxmlformats.org/officeDocument/2006/relationships/image" Target="media/image250.png"/><Relationship Id="rId116" Type="http://schemas.openxmlformats.org/officeDocument/2006/relationships/hyperlink" Target="https://cwe.mitre.org/" TargetMode="External"/><Relationship Id="rId137" Type="http://schemas.openxmlformats.org/officeDocument/2006/relationships/hyperlink" Target="https://docs.google.com/spreadsheets/d/1TnVNeNgeHm0MxA6qPf0PvCw_gZBapsO70Ei77-nCW3w/edit?gid=11291926" TargetMode="External"/><Relationship Id="rId20" Type="http://schemas.openxmlformats.org/officeDocument/2006/relationships/image" Target="media/image34.png"/><Relationship Id="rId41" Type="http://schemas.openxmlformats.org/officeDocument/2006/relationships/image" Target="media/image14.png"/><Relationship Id="rId62" Type="http://schemas.openxmlformats.org/officeDocument/2006/relationships/image" Target="media/image23.png"/><Relationship Id="rId83" Type="http://schemas.openxmlformats.org/officeDocument/2006/relationships/image" Target="media/image330.png"/><Relationship Id="rId88" Type="http://schemas.openxmlformats.org/officeDocument/2006/relationships/image" Target="media/image36.png"/><Relationship Id="rId111" Type="http://schemas.openxmlformats.org/officeDocument/2006/relationships/hyperlink" Target="https://onlyoffice.dctlse.inrae.fr/8.3.3-fd847a554d6f2a7a04296daf7ee3cffc/web-apps/apps/documenteditor/main/index.html?_dc=8.3.3-18&amp;lang=fr&amp;customer=ONLYOFFICE&amp;type=desktop&amp;frameEditorId=iframeEditor&amp;isForm=false&amp;compact=true&amp;parentOrigin=https://nextcloud.inrae.fr&amp;uitheme=default-light&amp;fileType=docx" TargetMode="External"/><Relationship Id="rId132" Type="http://schemas.openxmlformats.org/officeDocument/2006/relationships/hyperlink" Target="https://ordo-solapp.dsi.inrae.fr/project/Simulation_Paie/job/show/314666b0-4869-489c-ad35-4ddee2f0a9f8" TargetMode="External"/><Relationship Id="rId36" Type="http://schemas.openxmlformats.org/officeDocument/2006/relationships/image" Target="media/image110.png"/><Relationship Id="rId57" Type="http://schemas.openxmlformats.org/officeDocument/2006/relationships/image" Target="media/image200.png"/><Relationship Id="rId106" Type="http://schemas.openxmlformats.org/officeDocument/2006/relationships/hyperlink" Target="https://docs.google.com/spreadsheets/d/1TnVNeNgeHm0MxA6qPf0PvCw_gZBapsO70Ei77-nCW3w/edit?usp=sharing" TargetMode="External"/><Relationship Id="rId127" Type="http://schemas.openxmlformats.org/officeDocument/2006/relationships/hyperlink" Target="https://integration-paie.intranet.inrae.fr/actuator/health" TargetMode="External"/><Relationship Id="rId10" Type="http://schemas.openxmlformats.org/officeDocument/2006/relationships/footnotes" Target="footnotes.xml"/><Relationship Id="rId31" Type="http://schemas.openxmlformats.org/officeDocument/2006/relationships/image" Target="media/image9.png"/><Relationship Id="rId52" Type="http://schemas.openxmlformats.org/officeDocument/2006/relationships/image" Target="media/image19.png"/><Relationship Id="rId73" Type="http://schemas.openxmlformats.org/officeDocument/2006/relationships/image" Target="media/image280.png"/><Relationship Id="rId78" Type="http://schemas.openxmlformats.org/officeDocument/2006/relationships/image" Target="media/image31.png"/><Relationship Id="rId94" Type="http://schemas.openxmlformats.org/officeDocument/2006/relationships/image" Target="media/image38.png"/><Relationship Id="rId99" Type="http://schemas.openxmlformats.org/officeDocument/2006/relationships/hyperlink" Target="https://www.cnil.fr/fr/reglement-europeen-protection-donnees" TargetMode="External"/><Relationship Id="rId101" Type="http://schemas.openxmlformats.org/officeDocument/2006/relationships/hyperlink" Target="https://owasp.org/www-project-top-ten/" TargetMode="External"/><Relationship Id="rId122" Type="http://schemas.openxmlformats.org/officeDocument/2006/relationships/hyperlink" Target="https://forge-dsi.dcidf.inrae.fr/finance/playbook/-/blob/master/inventories/group_vars/production/version.yml?ref_type=heads" TargetMode="External"/><Relationship Id="rId143" Type="http://schemas.openxmlformats.org/officeDocument/2006/relationships/hyperlink" Target="https://drive.google.com/drive/folders/11hDmVQFGB4Qdz6KEd06OXibzre4F5mYr" TargetMode="External"/><Relationship Id="rId14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60.png"/><Relationship Id="rId47" Type="http://schemas.openxmlformats.org/officeDocument/2006/relationships/image" Target="media/image160.png"/><Relationship Id="rId68" Type="http://schemas.openxmlformats.org/officeDocument/2006/relationships/image" Target="media/image26.png"/><Relationship Id="rId89" Type="http://schemas.openxmlformats.org/officeDocument/2006/relationships/image" Target="media/image360.png"/><Relationship Id="rId112" Type="http://schemas.openxmlformats.org/officeDocument/2006/relationships/hyperlink" Target="https://onlyoffice.dctlse.inrae.fr/8.3.3-fd847a554d6f2a7a04296daf7ee3cffc/web-apps/apps/documenteditor/main/index.html?_dc=8.3.3-18&amp;lang=fr&amp;customer=ONLYOFFICE&amp;type=desktop&amp;frameEditorId=iframeEditor&amp;isForm=false&amp;compact=true&amp;parentOrigin=https://nextcloud.inrae.fr&amp;uitheme=default-light&amp;fileType=docx" TargetMode="External"/><Relationship Id="rId133" Type="http://schemas.openxmlformats.org/officeDocument/2006/relationships/hyperlink" Target="https://forge-dsi.dcidf.inrae.fr/finance/playbook/-/job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111.png"/><Relationship Id="rId2" Type="http://schemas.openxmlformats.org/officeDocument/2006/relationships/image" Target="media/image45.svg"/><Relationship Id="rId1" Type="http://schemas.openxmlformats.org/officeDocument/2006/relationships/image" Target="media/image44.png"/></Relationships>
</file>

<file path=word/theme/theme1.xml><?xml version="1.0" encoding="utf-8"?>
<a:theme xmlns:a="http://schemas.openxmlformats.org/drawingml/2006/main" name="Thème Office">
  <a:themeElements>
    <a:clrScheme name="DeloitteColors2009">
      <a:dk1>
        <a:srgbClr val="000000"/>
      </a:dk1>
      <a:lt1>
        <a:srgbClr val="FFFFFF"/>
      </a:lt1>
      <a:dk2>
        <a:srgbClr val="002776"/>
      </a:dk2>
      <a:lt2>
        <a:srgbClr val="FFFFFF"/>
      </a:lt2>
      <a:accent1>
        <a:srgbClr val="002776"/>
      </a:accent1>
      <a:accent2>
        <a:srgbClr val="92D400"/>
      </a:accent2>
      <a:accent3>
        <a:srgbClr val="00A1DE"/>
      </a:accent3>
      <a:accent4>
        <a:srgbClr val="3C8A2E"/>
      </a:accent4>
      <a:accent5>
        <a:srgbClr val="72C7E7"/>
      </a:accent5>
      <a:accent6>
        <a:srgbClr val="C9DD03"/>
      </a:accent6>
      <a:hlink>
        <a:srgbClr val="00A1DE"/>
      </a:hlink>
      <a:folHlink>
        <a:srgbClr val="72C7E7"/>
      </a:folHlink>
    </a:clrScheme>
    <a:fontScheme name="Office">
      <a:majorFont>
        <a:latin typeface="Cambria"/>
        <a:ea typeface="Arial"/>
        <a:cs typeface="Arial"/>
      </a:majorFont>
      <a:minorFont>
        <a:latin typeface="Calibri"/>
        <a:ea typeface="Arial"/>
        <a:cs typeface="Arial"/>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gradFill>
        <a:gradFill>
          <a:gsLst>
            <a:gs pos="0">
              <a:schemeClr val="phClr">
                <a:shade val="51000"/>
              </a:schemeClr>
            </a:gs>
            <a:gs pos="80000">
              <a:schemeClr val="phClr">
                <a:shade val="93000"/>
              </a:schemeClr>
            </a:gs>
            <a:gs pos="100000">
              <a:schemeClr val="phClr">
                <a:shade val="94000"/>
              </a:schemeClr>
            </a:gs>
          </a:gsLst>
          <a:lin ang="16200000" scaled="0"/>
        </a:gradFill>
      </a:fillStyleLst>
      <a:lnStyleLst>
        <a:ln w="9525" cap="flat" cmpd="sng" algn="ctr">
          <a:prstDash val="solid"/>
        </a:ln>
        <a:ln w="25400" cap="flat" cmpd="sng" algn="ctr">
          <a:prstDash val="solid"/>
        </a:ln>
        <a:ln w="38100" cap="flat" cmpd="sng" algn="ctr">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gradFill>
        <a:gradFill>
          <a:gsLst>
            <a:gs pos="0">
              <a:schemeClr val="phClr">
                <a:tint val="80000"/>
              </a:schemeClr>
            </a:gs>
            <a:gs pos="100000">
              <a:schemeClr val="phClr">
                <a:shade val="3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45FE9BC8EF2B24EB4BA0C0A32C8B31B" ma:contentTypeVersion="2" ma:contentTypeDescription="Crée un document." ma:contentTypeScope="" ma:versionID="ea03784a151cf27677ac9b88d1e98842">
  <xsd:schema xmlns:xsd="http://www.w3.org/2001/XMLSchema" xmlns:xs="http://www.w3.org/2001/XMLSchema" xmlns:p="http://schemas.microsoft.com/office/2006/metadata/properties" xmlns:ns2="50c7f489-29e7-4f43-a444-c77a3d4765bd" targetNamespace="http://schemas.microsoft.com/office/2006/metadata/properties" ma:root="true" ma:fieldsID="09cbdd54c000b9c6dbc1245aa2122d06" ns2:_="">
    <xsd:import namespace="50c7f489-29e7-4f43-a444-c77a3d4765bd"/>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c7f489-29e7-4f43-a444-c77a3d4765b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E26D16-5145-4D00-AB14-63D59674D61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C5C05EC-5E27-4D7C-A817-184C450F27C4}">
  <ds:schemaRefs>
    <ds:schemaRef ds:uri="http://schemas.openxmlformats.org/officeDocument/2006/bibliography"/>
  </ds:schemaRefs>
</ds:datastoreItem>
</file>

<file path=customXml/itemProps3.xml><?xml version="1.0" encoding="utf-8"?>
<ds:datastoreItem xmlns:ds="http://schemas.openxmlformats.org/officeDocument/2006/customXml" ds:itemID="{45C16CBA-747C-4C37-8A72-DEDAC8296E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c7f489-29e7-4f43-a444-c77a3d4765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CA4B86-B39B-454B-A0D0-28F4109CF0C9}">
  <ds:schemaRefs>
    <ds:schemaRef ds:uri="http://schemas.openxmlformats.org/officeDocument/2006/bibliography"/>
  </ds:schemaRefs>
</ds:datastoreItem>
</file>

<file path=customXml/itemProps5.xml><?xml version="1.0" encoding="utf-8"?>
<ds:datastoreItem xmlns:ds="http://schemas.openxmlformats.org/officeDocument/2006/customXml" ds:itemID="{D7765A96-5BBC-4B7F-A057-2E7AC962E6A9}">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Office Word</ap:Application>
  <ap:DocSecurity>0</ap:DocSecurity>
  <ap:ScaleCrop>false</ap:ScaleCrop>
  <ap:Manager>M.NASSR</ap:Manager>
  <ap:Company>INRAE</ap:Company>
  <ap:SharedDoc>false</ap:SharedDoc>
  <ap:HyperlinksChanged>false</ap:HyperlinksChanged>
  <ap:AppVersion>00.0001</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Pour usage interne</dc:subject>
  <dc:creator>INRAE</dc:creator>
  <dc:description/>
  <lastModifiedBy>Cecile Pereira-Santo</lastModifiedBy>
  <revision>3</revision>
  <dcterms:created xsi:type="dcterms:W3CDTF">2026-02-09T14:21:00.0000000Z</dcterms:created>
  <dcterms:modified xsi:type="dcterms:W3CDTF">2026-02-11T10:50:52.0443207Z</dcterms:modified>
  <dc:language>en-US</dc:language>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0x010100845FE9BC8EF2B24EB4BA0C0A32C8B31B</vt:lpwstr>
  </property>
  <property fmtid="{D5CDD505-2E9C-101B-9397-08002B2CF9AE}" pid="3" name="État">
    <vt:lpwstr>Travail</vt:lpwstr>
  </property>
</Properties>
</file>