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DED" w:rsidRDefault="003B1DED" w:rsidP="003B1DED">
      <w:bookmarkStart w:id="0" w:name="_GoBack"/>
      <w:bookmarkEnd w:id="0"/>
    </w:p>
    <w:p w:rsidR="003B1DED" w:rsidRDefault="003B1DED" w:rsidP="003B1DED"/>
    <w:p w:rsidR="003B1DED" w:rsidRPr="003B1DED" w:rsidRDefault="003B1DED" w:rsidP="003B1DED"/>
    <w:p w:rsidR="00CE08C1" w:rsidRDefault="00CE08C1" w:rsidP="00CE08C1"/>
    <w:p w:rsidR="00CE08C1" w:rsidRPr="00AE1A02" w:rsidRDefault="00CE08C1" w:rsidP="00AE1A02">
      <w:pPr>
        <w:pStyle w:val="Standard"/>
        <w:jc w:val="center"/>
        <w:rPr>
          <w:rFonts w:cs="Calibri"/>
          <w:b/>
          <w:bCs/>
          <w:caps/>
          <w:sz w:val="28"/>
          <w:szCs w:val="20"/>
        </w:rPr>
      </w:pPr>
      <w:r w:rsidRPr="00AE1A02">
        <w:rPr>
          <w:rFonts w:ascii="Marianne" w:hAnsi="Marianne" w:cs="Calibri"/>
          <w:b/>
          <w:bCs/>
          <w:caps/>
          <w:sz w:val="28"/>
          <w:szCs w:val="20"/>
        </w:rPr>
        <w:t xml:space="preserve">annexe </w:t>
      </w:r>
      <w:r w:rsidR="00F62BF3" w:rsidRPr="00AE1A02">
        <w:rPr>
          <w:rFonts w:ascii="Marianne" w:hAnsi="Marianne" w:cs="Calibri"/>
          <w:b/>
          <w:bCs/>
          <w:caps/>
          <w:sz w:val="28"/>
          <w:szCs w:val="20"/>
        </w:rPr>
        <w:t>1</w:t>
      </w:r>
      <w:r w:rsidR="00AB1F52" w:rsidRPr="00AE1A02">
        <w:rPr>
          <w:rFonts w:ascii="Marianne" w:hAnsi="Marianne" w:cs="Calibri"/>
          <w:b/>
          <w:bCs/>
          <w:caps/>
          <w:sz w:val="28"/>
          <w:szCs w:val="20"/>
        </w:rPr>
        <w:t xml:space="preserve"> AU </w:t>
      </w:r>
      <w:r w:rsidRPr="00AE1A02">
        <w:rPr>
          <w:rFonts w:ascii="Marianne" w:hAnsi="Marianne" w:cs="Calibri"/>
          <w:b/>
          <w:bCs/>
          <w:caps/>
          <w:sz w:val="28"/>
          <w:szCs w:val="20"/>
        </w:rPr>
        <w:t>reglement de la consultation</w:t>
      </w:r>
    </w:p>
    <w:p w:rsidR="00AB1F52" w:rsidRPr="00AE1A02" w:rsidRDefault="00AB1F52">
      <w:pPr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smallCaps/>
          <w:sz w:val="36"/>
          <w:szCs w:val="36"/>
          <w:lang w:eastAsia="en-US"/>
        </w:rPr>
      </w:pPr>
      <w:r w:rsidRPr="00AE1A02">
        <w:rPr>
          <w:b/>
          <w:smallCaps/>
          <w:sz w:val="36"/>
          <w:szCs w:val="36"/>
          <w:lang w:eastAsia="en-US"/>
        </w:rPr>
        <w:t>cadre de réponse technique</w:t>
      </w:r>
      <w:r>
        <w:rPr>
          <w:b/>
          <w:smallCaps/>
          <w:sz w:val="36"/>
          <w:szCs w:val="36"/>
          <w:lang w:eastAsia="en-US"/>
        </w:rPr>
        <w:t xml:space="preserve"> </w:t>
      </w:r>
      <w:r w:rsidRPr="00AE1A02">
        <w:rPr>
          <w:b/>
          <w:smallCaps/>
          <w:sz w:val="36"/>
          <w:szCs w:val="36"/>
          <w:lang w:eastAsia="en-US"/>
        </w:rPr>
        <w:t>(</w:t>
      </w:r>
      <w:proofErr w:type="spellStart"/>
      <w:r w:rsidRPr="00AE1A02">
        <w:rPr>
          <w:b/>
          <w:smallCaps/>
          <w:sz w:val="36"/>
          <w:szCs w:val="36"/>
          <w:lang w:eastAsia="en-US"/>
        </w:rPr>
        <w:t>crt</w:t>
      </w:r>
      <w:proofErr w:type="spellEnd"/>
      <w:r w:rsidRPr="00AE1A02">
        <w:rPr>
          <w:b/>
          <w:smallCaps/>
          <w:sz w:val="36"/>
          <w:szCs w:val="36"/>
          <w:lang w:eastAsia="en-US"/>
        </w:rPr>
        <w:t>)</w:t>
      </w:r>
    </w:p>
    <w:p w:rsidR="00780DCE" w:rsidRDefault="00780DCE" w:rsidP="00CE08C1">
      <w:pPr>
        <w:rPr>
          <w:b/>
          <w:caps/>
        </w:rPr>
      </w:pPr>
    </w:p>
    <w:p w:rsidR="00780DCE" w:rsidRDefault="00780DCE" w:rsidP="00CE08C1">
      <w:pPr>
        <w:rPr>
          <w:b/>
          <w:caps/>
        </w:rPr>
      </w:pPr>
    </w:p>
    <w:p w:rsidR="00780DCE" w:rsidRDefault="00AB1F52" w:rsidP="00780D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Accord cadre</w:t>
      </w:r>
      <w:r w:rsidR="00780DCE">
        <w:rPr>
          <w:b/>
          <w:iCs/>
          <w:sz w:val="28"/>
          <w:szCs w:val="28"/>
        </w:rPr>
        <w:t xml:space="preserve"> relatif à l’</w:t>
      </w:r>
      <w:r w:rsidR="00780DCE" w:rsidRPr="00F331ED">
        <w:rPr>
          <w:b/>
          <w:iCs/>
          <w:sz w:val="28"/>
          <w:szCs w:val="28"/>
        </w:rPr>
        <w:t xml:space="preserve">impression et </w:t>
      </w:r>
      <w:r w:rsidR="00780DCE">
        <w:rPr>
          <w:b/>
          <w:iCs/>
          <w:sz w:val="28"/>
          <w:szCs w:val="28"/>
        </w:rPr>
        <w:t>la</w:t>
      </w:r>
      <w:r w:rsidR="00780DCE" w:rsidRPr="00F331ED">
        <w:rPr>
          <w:b/>
          <w:iCs/>
          <w:sz w:val="28"/>
          <w:szCs w:val="28"/>
        </w:rPr>
        <w:t xml:space="preserve"> livraison de bulletins de vote </w:t>
      </w:r>
    </w:p>
    <w:p w:rsidR="00780DCE" w:rsidRDefault="00780DCE" w:rsidP="00780D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after="0" w:line="276" w:lineRule="auto"/>
        <w:jc w:val="center"/>
        <w:rPr>
          <w:b/>
          <w:iCs/>
          <w:sz w:val="28"/>
          <w:szCs w:val="28"/>
        </w:rPr>
      </w:pPr>
      <w:proofErr w:type="gramStart"/>
      <w:r w:rsidRPr="00F331ED">
        <w:rPr>
          <w:b/>
          <w:iCs/>
          <w:sz w:val="28"/>
          <w:szCs w:val="28"/>
        </w:rPr>
        <w:t>à</w:t>
      </w:r>
      <w:proofErr w:type="gramEnd"/>
      <w:r w:rsidRPr="00F331ED">
        <w:rPr>
          <w:b/>
          <w:iCs/>
          <w:sz w:val="28"/>
          <w:szCs w:val="28"/>
        </w:rPr>
        <w:t xml:space="preserve"> l’occasion de toute élection présidentielle ou référendum national </w:t>
      </w:r>
    </w:p>
    <w:p w:rsidR="00780DCE" w:rsidRPr="00F331ED" w:rsidRDefault="00780DCE" w:rsidP="00780D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76" w:lineRule="auto"/>
        <w:jc w:val="center"/>
        <w:rPr>
          <w:b/>
          <w:iCs/>
          <w:sz w:val="28"/>
          <w:szCs w:val="28"/>
        </w:rPr>
      </w:pPr>
      <w:proofErr w:type="gramStart"/>
      <w:r w:rsidRPr="00F331ED">
        <w:rPr>
          <w:b/>
          <w:iCs/>
          <w:sz w:val="28"/>
          <w:szCs w:val="28"/>
        </w:rPr>
        <w:t>pour</w:t>
      </w:r>
      <w:proofErr w:type="gramEnd"/>
      <w:r w:rsidRPr="00F331ED">
        <w:rPr>
          <w:b/>
          <w:iCs/>
          <w:sz w:val="28"/>
          <w:szCs w:val="28"/>
        </w:rPr>
        <w:t xml:space="preserve"> le haut-commissariat de la République en Nouvelle-Calédonie et l’administration supérieure des îles de Wallis et Futuna</w:t>
      </w:r>
    </w:p>
    <w:p w:rsidR="00780DCE" w:rsidRPr="00F331ED" w:rsidRDefault="00780DCE" w:rsidP="00780D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iCs/>
          <w:sz w:val="28"/>
          <w:szCs w:val="28"/>
        </w:rPr>
      </w:pPr>
      <w:r w:rsidRPr="00F331ED">
        <w:rPr>
          <w:b/>
          <w:iCs/>
          <w:sz w:val="28"/>
          <w:szCs w:val="28"/>
        </w:rPr>
        <w:t>N°2026_HC988_BULLETINS_DE_VOTE</w:t>
      </w: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780DCE" w:rsidRDefault="00780DCE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780DCE" w:rsidRDefault="00780DCE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780DCE" w:rsidRDefault="00780DCE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Default="00CE08C1" w:rsidP="00CE08C1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:rsidR="00CE08C1" w:rsidRPr="00507674" w:rsidRDefault="000B6BA1" w:rsidP="007F184C">
      <w:pPr>
        <w:suppressAutoHyphens w:val="0"/>
        <w:autoSpaceDE/>
        <w:spacing w:before="0" w:after="160" w:line="259" w:lineRule="auto"/>
        <w:jc w:val="left"/>
        <w:rPr>
          <w:b/>
          <w:sz w:val="21"/>
          <w:szCs w:val="21"/>
          <w:u w:val="single"/>
        </w:rPr>
      </w:pPr>
      <w:r>
        <w:rPr>
          <w:b/>
          <w:sz w:val="24"/>
          <w:lang w:eastAsia="fr-FR"/>
        </w:rPr>
        <w:br w:type="page"/>
      </w:r>
      <w:r w:rsidR="00CE08C1" w:rsidRPr="00507674">
        <w:rPr>
          <w:b/>
          <w:sz w:val="21"/>
          <w:szCs w:val="21"/>
          <w:u w:val="single"/>
        </w:rPr>
        <w:lastRenderedPageBreak/>
        <w:t>Généralités</w:t>
      </w:r>
    </w:p>
    <w:p w:rsidR="00CE08C1" w:rsidRPr="007175FC" w:rsidRDefault="00CE08C1" w:rsidP="00CE08C1">
      <w:pPr>
        <w:pStyle w:val="Paragraphedeliste"/>
        <w:ind w:left="0"/>
        <w:rPr>
          <w:rFonts w:eastAsia="SimSun"/>
          <w:color w:val="000000"/>
          <w:sz w:val="22"/>
          <w:szCs w:val="22"/>
          <w:lang w:bidi="hi-IN"/>
        </w:rPr>
      </w:pPr>
      <w:r w:rsidRPr="007175FC">
        <w:rPr>
          <w:rFonts w:eastAsia="SimSun"/>
          <w:color w:val="000000"/>
          <w:sz w:val="22"/>
          <w:szCs w:val="22"/>
          <w:lang w:bidi="hi-IN"/>
        </w:rPr>
        <w:t xml:space="preserve">L’offre technique doit prendre en compte l’ensemble des documents du dossier de consultation. Elle permet à l’administration d’apprécier la capacité du candidat à répondre aux objectifs </w:t>
      </w:r>
      <w:r w:rsidR="008B66CE" w:rsidRPr="007175FC">
        <w:rPr>
          <w:rFonts w:eastAsia="SimSun"/>
          <w:color w:val="000000"/>
          <w:sz w:val="22"/>
          <w:szCs w:val="22"/>
          <w:lang w:bidi="hi-IN"/>
        </w:rPr>
        <w:t>du marché</w:t>
      </w:r>
      <w:r w:rsidRPr="007175FC">
        <w:rPr>
          <w:rFonts w:eastAsia="SimSun"/>
          <w:color w:val="000000"/>
          <w:sz w:val="22"/>
          <w:szCs w:val="22"/>
          <w:lang w:bidi="hi-IN"/>
        </w:rPr>
        <w:t>.</w:t>
      </w:r>
    </w:p>
    <w:p w:rsidR="002565EA" w:rsidRPr="007175FC" w:rsidRDefault="002565EA" w:rsidP="002565EA">
      <w:pPr>
        <w:rPr>
          <w:sz w:val="22"/>
          <w:szCs w:val="22"/>
        </w:rPr>
      </w:pPr>
      <w:r w:rsidRPr="007175FC">
        <w:rPr>
          <w:sz w:val="22"/>
          <w:szCs w:val="22"/>
        </w:rPr>
        <w:t>Le présent document constitue le cadre de réponse que les soumissionnaires doivent renseigner en vue de la soumission de leur offre technique</w:t>
      </w:r>
      <w:r w:rsidR="00CD5854">
        <w:rPr>
          <w:sz w:val="22"/>
          <w:szCs w:val="22"/>
        </w:rPr>
        <w:t xml:space="preserve"> </w:t>
      </w:r>
      <w:r w:rsidR="00CD5854" w:rsidRPr="00C47546">
        <w:rPr>
          <w:b/>
          <w:sz w:val="22"/>
          <w:szCs w:val="22"/>
        </w:rPr>
        <w:t xml:space="preserve">et remettre </w:t>
      </w:r>
      <w:proofErr w:type="gramStart"/>
      <w:r w:rsidR="00CD5854" w:rsidRPr="00C47546">
        <w:rPr>
          <w:b/>
          <w:sz w:val="22"/>
          <w:szCs w:val="22"/>
        </w:rPr>
        <w:t>a</w:t>
      </w:r>
      <w:proofErr w:type="gramEnd"/>
      <w:r w:rsidR="00CD5854" w:rsidRPr="00C47546">
        <w:rPr>
          <w:b/>
          <w:sz w:val="22"/>
          <w:szCs w:val="22"/>
        </w:rPr>
        <w:t xml:space="preserve"> minima au format Word ou </w:t>
      </w:r>
      <w:proofErr w:type="spellStart"/>
      <w:r w:rsidR="00CD5854" w:rsidRPr="00C47546">
        <w:rPr>
          <w:b/>
          <w:sz w:val="22"/>
          <w:szCs w:val="22"/>
        </w:rPr>
        <w:t>Libroffice</w:t>
      </w:r>
      <w:proofErr w:type="spellEnd"/>
      <w:r w:rsidR="00CD5854" w:rsidRPr="00C47546">
        <w:rPr>
          <w:b/>
          <w:sz w:val="22"/>
          <w:szCs w:val="22"/>
        </w:rPr>
        <w:t>.</w:t>
      </w:r>
    </w:p>
    <w:p w:rsidR="002565EA" w:rsidRPr="007175FC" w:rsidRDefault="002565EA" w:rsidP="002565EA">
      <w:pPr>
        <w:rPr>
          <w:bCs/>
          <w:sz w:val="22"/>
          <w:szCs w:val="22"/>
        </w:rPr>
      </w:pPr>
      <w:r w:rsidRPr="007175FC">
        <w:rPr>
          <w:bCs/>
          <w:sz w:val="22"/>
          <w:szCs w:val="22"/>
        </w:rPr>
        <w:t xml:space="preserve">Il sera utilisé par le </w:t>
      </w:r>
      <w:r w:rsidR="0083338F">
        <w:rPr>
          <w:bCs/>
          <w:sz w:val="22"/>
          <w:szCs w:val="22"/>
        </w:rPr>
        <w:t>haut-commissariat de la République en Nouvelle-Calédonie</w:t>
      </w:r>
      <w:r w:rsidRPr="007175FC">
        <w:rPr>
          <w:bCs/>
          <w:sz w:val="22"/>
          <w:szCs w:val="22"/>
        </w:rPr>
        <w:t xml:space="preserve"> pour évaluer les offres conformément au</w:t>
      </w:r>
      <w:r w:rsidR="0083338F">
        <w:rPr>
          <w:bCs/>
          <w:sz w:val="22"/>
          <w:szCs w:val="22"/>
        </w:rPr>
        <w:t>x</w:t>
      </w:r>
      <w:r w:rsidRPr="007175FC">
        <w:rPr>
          <w:bCs/>
          <w:sz w:val="22"/>
          <w:szCs w:val="22"/>
        </w:rPr>
        <w:t xml:space="preserve"> critère</w:t>
      </w:r>
      <w:r w:rsidR="0083338F">
        <w:rPr>
          <w:bCs/>
          <w:sz w:val="22"/>
          <w:szCs w:val="22"/>
        </w:rPr>
        <w:t>s</w:t>
      </w:r>
      <w:r w:rsidRPr="007175FC">
        <w:rPr>
          <w:bCs/>
          <w:sz w:val="22"/>
          <w:szCs w:val="22"/>
        </w:rPr>
        <w:t xml:space="preserve"> d’analyse «</w:t>
      </w:r>
      <w:r w:rsidRPr="007175FC">
        <w:rPr>
          <w:rFonts w:ascii="Calibri" w:hAnsi="Calibri" w:cs="Calibri"/>
          <w:bCs/>
          <w:sz w:val="22"/>
          <w:szCs w:val="22"/>
        </w:rPr>
        <w:t> </w:t>
      </w:r>
      <w:r w:rsidRPr="007175FC">
        <w:rPr>
          <w:bCs/>
          <w:sz w:val="22"/>
          <w:szCs w:val="22"/>
        </w:rPr>
        <w:t>valeur technique » mentionné</w:t>
      </w:r>
      <w:r w:rsidR="0083338F">
        <w:rPr>
          <w:bCs/>
          <w:sz w:val="22"/>
          <w:szCs w:val="22"/>
        </w:rPr>
        <w:t>s</w:t>
      </w:r>
      <w:r w:rsidRPr="007175FC">
        <w:rPr>
          <w:bCs/>
          <w:sz w:val="22"/>
          <w:szCs w:val="22"/>
        </w:rPr>
        <w:t xml:space="preserve"> au règlement de la consultation.</w:t>
      </w:r>
    </w:p>
    <w:p w:rsidR="00EC47E5" w:rsidRPr="0083338F" w:rsidRDefault="002565EA" w:rsidP="002565EA">
      <w:pPr>
        <w:rPr>
          <w:sz w:val="22"/>
          <w:szCs w:val="22"/>
        </w:rPr>
      </w:pPr>
      <w:r w:rsidRPr="00AE1A02">
        <w:rPr>
          <w:b/>
          <w:sz w:val="22"/>
          <w:szCs w:val="22"/>
          <w:u w:val="single"/>
        </w:rPr>
        <w:t>Le</w:t>
      </w:r>
      <w:r w:rsidR="00EC47E5" w:rsidRPr="00AE1A02">
        <w:rPr>
          <w:b/>
          <w:sz w:val="22"/>
          <w:szCs w:val="22"/>
          <w:u w:val="single"/>
        </w:rPr>
        <w:t>s</w:t>
      </w:r>
      <w:r w:rsidRPr="00AE1A02">
        <w:rPr>
          <w:b/>
          <w:sz w:val="22"/>
          <w:szCs w:val="22"/>
          <w:u w:val="single"/>
        </w:rPr>
        <w:t xml:space="preserve"> candidat</w:t>
      </w:r>
      <w:r w:rsidR="00EC47E5" w:rsidRPr="00AE1A02">
        <w:rPr>
          <w:b/>
          <w:sz w:val="22"/>
          <w:szCs w:val="22"/>
          <w:u w:val="single"/>
        </w:rPr>
        <w:t>s</w:t>
      </w:r>
      <w:r w:rsidRPr="00AE1A02">
        <w:rPr>
          <w:b/>
          <w:sz w:val="22"/>
          <w:szCs w:val="22"/>
          <w:u w:val="single"/>
        </w:rPr>
        <w:t xml:space="preserve"> </w:t>
      </w:r>
      <w:r w:rsidR="0083338F" w:rsidRPr="00AE1A02">
        <w:rPr>
          <w:b/>
          <w:sz w:val="22"/>
          <w:szCs w:val="22"/>
          <w:u w:val="single"/>
        </w:rPr>
        <w:t>ont l’obligation</w:t>
      </w:r>
      <w:r w:rsidRPr="00AE1A02">
        <w:rPr>
          <w:b/>
          <w:sz w:val="22"/>
          <w:szCs w:val="22"/>
          <w:u w:val="single"/>
        </w:rPr>
        <w:t xml:space="preserve"> de répondre dans le présent </w:t>
      </w:r>
      <w:proofErr w:type="gramStart"/>
      <w:r w:rsidRPr="00AE1A02">
        <w:rPr>
          <w:b/>
          <w:sz w:val="22"/>
          <w:szCs w:val="22"/>
          <w:u w:val="single"/>
        </w:rPr>
        <w:t xml:space="preserve">cadre </w:t>
      </w:r>
      <w:r w:rsidR="0083338F" w:rsidRPr="00AE1A02">
        <w:rPr>
          <w:b/>
          <w:sz w:val="22"/>
          <w:szCs w:val="22"/>
          <w:u w:val="single"/>
        </w:rPr>
        <w:t>.</w:t>
      </w:r>
      <w:proofErr w:type="gramEnd"/>
    </w:p>
    <w:p w:rsidR="00F62BF3" w:rsidRDefault="00EC47E5" w:rsidP="00F8225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sz w:val="22"/>
          <w:szCs w:val="22"/>
        </w:rPr>
      </w:pPr>
      <w:r w:rsidRPr="007175FC">
        <w:rPr>
          <w:sz w:val="22"/>
          <w:szCs w:val="22"/>
        </w:rPr>
        <w:t xml:space="preserve">Leur attention est attirée sur le fait que les éléments de réponse attendus doivent être </w:t>
      </w:r>
      <w:r w:rsidRPr="007175FC">
        <w:rPr>
          <w:sz w:val="22"/>
          <w:szCs w:val="22"/>
          <w:u w:val="single"/>
        </w:rPr>
        <w:t>factuels, étayés et adaptés</w:t>
      </w:r>
      <w:r w:rsidRPr="007175FC">
        <w:rPr>
          <w:sz w:val="22"/>
          <w:szCs w:val="22"/>
        </w:rPr>
        <w:t xml:space="preserve"> au présent </w:t>
      </w:r>
      <w:r w:rsidR="00F62BF3">
        <w:rPr>
          <w:sz w:val="22"/>
          <w:szCs w:val="22"/>
        </w:rPr>
        <w:t>accord-cadre</w:t>
      </w:r>
      <w:r w:rsidRPr="007175FC">
        <w:rPr>
          <w:sz w:val="22"/>
          <w:szCs w:val="22"/>
        </w:rPr>
        <w:t xml:space="preserve">. </w:t>
      </w:r>
    </w:p>
    <w:p w:rsidR="00F62BF3" w:rsidRDefault="00EC47E5" w:rsidP="00F8225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sz w:val="22"/>
          <w:szCs w:val="22"/>
        </w:rPr>
      </w:pPr>
      <w:r w:rsidRPr="007175FC">
        <w:rPr>
          <w:sz w:val="22"/>
          <w:szCs w:val="22"/>
        </w:rPr>
        <w:t xml:space="preserve">L’ensemble des engagements qui sont consignés dans les documents précités sont </w:t>
      </w:r>
      <w:r w:rsidRPr="007175FC">
        <w:rPr>
          <w:sz w:val="22"/>
          <w:szCs w:val="22"/>
          <w:u w:val="single"/>
        </w:rPr>
        <w:t>contractuels et exécutoires</w:t>
      </w:r>
      <w:r w:rsidRPr="007175FC">
        <w:rPr>
          <w:sz w:val="22"/>
          <w:szCs w:val="22"/>
        </w:rPr>
        <w:t xml:space="preserve">. </w:t>
      </w:r>
    </w:p>
    <w:p w:rsidR="002565EA" w:rsidRPr="007175FC" w:rsidRDefault="00EC47E5" w:rsidP="00F8225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sz w:val="22"/>
          <w:szCs w:val="22"/>
        </w:rPr>
      </w:pPr>
      <w:r w:rsidRPr="007175FC">
        <w:rPr>
          <w:sz w:val="22"/>
          <w:szCs w:val="22"/>
        </w:rPr>
        <w:t>En conséquence, les présentations génériques ne seront pas valorisées.</w:t>
      </w:r>
    </w:p>
    <w:p w:rsidR="00CE08C1" w:rsidRPr="005426E9" w:rsidRDefault="00CE08C1" w:rsidP="003B1DED">
      <w:pPr>
        <w:pStyle w:val="Titre2"/>
        <w:tabs>
          <w:tab w:val="clear" w:pos="993"/>
        </w:tabs>
        <w:spacing w:after="0"/>
        <w:rPr>
          <w:lang w:val="fr-FR" w:eastAsia="fr-FR"/>
        </w:rPr>
      </w:pPr>
      <w:r>
        <w:rPr>
          <w:lang w:val="fr-FR"/>
        </w:rPr>
        <w:t>SOUS-</w:t>
      </w:r>
      <w:r w:rsidR="002565EA">
        <w:rPr>
          <w:lang w:val="fr-FR"/>
        </w:rPr>
        <w:t>CRITERE</w:t>
      </w:r>
      <w:r>
        <w:rPr>
          <w:lang w:val="fr-FR"/>
        </w:rPr>
        <w:t xml:space="preserve"> 1 </w:t>
      </w:r>
      <w:r w:rsidR="00F26A0E">
        <w:rPr>
          <w:lang w:val="fr-FR"/>
        </w:rPr>
        <w:t xml:space="preserve">– </w:t>
      </w:r>
      <w:r w:rsidR="00F62BF3">
        <w:rPr>
          <w:lang w:val="fr-FR"/>
        </w:rPr>
        <w:t xml:space="preserve">PERTINENCE DU </w:t>
      </w:r>
      <w:r w:rsidR="00CE2B18">
        <w:rPr>
          <w:color w:val="000000"/>
          <w:lang w:val="fr-FR"/>
        </w:rPr>
        <w:t>PILOTAGE DU MARCHE</w:t>
      </w:r>
      <w:r w:rsidR="003B1DED">
        <w:rPr>
          <w:color w:val="000000"/>
          <w:lang w:val="fr-FR"/>
        </w:rPr>
        <w:t xml:space="preserve"> </w:t>
      </w:r>
      <w:r w:rsidR="002565EA">
        <w:rPr>
          <w:color w:val="000000"/>
          <w:lang w:val="fr-FR"/>
        </w:rPr>
        <w:t xml:space="preserve">– </w:t>
      </w:r>
      <w:r w:rsidR="007175FC">
        <w:rPr>
          <w:color w:val="000000"/>
          <w:lang w:val="fr-FR"/>
        </w:rPr>
        <w:t>5</w:t>
      </w:r>
      <w:r w:rsidR="002565EA">
        <w:rPr>
          <w:color w:val="000000"/>
          <w:lang w:val="fr-FR"/>
        </w:rPr>
        <w:t xml:space="preserve"> POINTS</w:t>
      </w:r>
    </w:p>
    <w:p w:rsidR="002565EA" w:rsidRPr="00D00E1E" w:rsidRDefault="002565EA" w:rsidP="003B1DED">
      <w:pPr>
        <w:spacing w:before="0" w:after="0"/>
        <w:rPr>
          <w:b/>
          <w:sz w:val="22"/>
          <w:szCs w:val="22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565EA" w:rsidRPr="00D00E1E" w:rsidTr="007C3B04">
        <w:tc>
          <w:tcPr>
            <w:tcW w:w="9634" w:type="dxa"/>
          </w:tcPr>
          <w:p w:rsidR="002565EA" w:rsidRPr="003B1DED" w:rsidRDefault="003B1DED" w:rsidP="00846CA6">
            <w:pPr>
              <w:pStyle w:val="Paragraphedeliste"/>
              <w:numPr>
                <w:ilvl w:val="1"/>
                <w:numId w:val="8"/>
              </w:numPr>
              <w:spacing w:before="0" w:after="0"/>
              <w:ind w:left="309" w:hanging="30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="002565EA" w:rsidRPr="003B1DED">
              <w:rPr>
                <w:b/>
                <w:sz w:val="22"/>
                <w:szCs w:val="22"/>
              </w:rPr>
              <w:t>résenter</w:t>
            </w:r>
            <w:r w:rsidR="00846CA6">
              <w:rPr>
                <w:b/>
                <w:sz w:val="22"/>
                <w:szCs w:val="22"/>
              </w:rPr>
              <w:t xml:space="preserve"> en détail</w:t>
            </w:r>
            <w:r w:rsidR="002565EA" w:rsidRPr="003B1DED">
              <w:rPr>
                <w:b/>
                <w:sz w:val="22"/>
                <w:szCs w:val="22"/>
              </w:rPr>
              <w:t xml:space="preserve"> l'organisation </w:t>
            </w:r>
            <w:r w:rsidRPr="003B1DED">
              <w:rPr>
                <w:b/>
                <w:sz w:val="22"/>
                <w:szCs w:val="22"/>
              </w:rPr>
              <w:t xml:space="preserve">humaine et technique proposée pour piloter l’exécution du marché et les </w:t>
            </w:r>
            <w:r w:rsidR="00846CA6">
              <w:rPr>
                <w:b/>
                <w:sz w:val="22"/>
                <w:szCs w:val="22"/>
              </w:rPr>
              <w:t>outils permettant le</w:t>
            </w:r>
            <w:r w:rsidRPr="003B1DED">
              <w:rPr>
                <w:b/>
                <w:sz w:val="22"/>
                <w:szCs w:val="22"/>
              </w:rPr>
              <w:t xml:space="preserve"> suivi du stockage du papier, de la production des bulletins de vote et des livraisons</w:t>
            </w:r>
            <w:r w:rsidR="00CD5854">
              <w:rPr>
                <w:b/>
                <w:sz w:val="22"/>
                <w:szCs w:val="22"/>
              </w:rPr>
              <w:t>.</w:t>
            </w:r>
          </w:p>
        </w:tc>
      </w:tr>
      <w:tr w:rsidR="002565EA" w:rsidRPr="00D00E1E" w:rsidTr="007C3B04">
        <w:tc>
          <w:tcPr>
            <w:tcW w:w="9634" w:type="dxa"/>
          </w:tcPr>
          <w:p w:rsidR="002565EA" w:rsidRDefault="002565EA" w:rsidP="000E4C61">
            <w:pPr>
              <w:spacing w:before="0"/>
              <w:rPr>
                <w:sz w:val="22"/>
                <w:szCs w:val="22"/>
              </w:rPr>
            </w:pPr>
          </w:p>
          <w:p w:rsidR="002565EA" w:rsidRPr="00FA5F40" w:rsidRDefault="002565EA" w:rsidP="000E4C61">
            <w:pPr>
              <w:spacing w:before="0"/>
              <w:rPr>
                <w:i/>
                <w:sz w:val="22"/>
                <w:szCs w:val="22"/>
              </w:rPr>
            </w:pPr>
            <w:r w:rsidRPr="00FA5F40">
              <w:rPr>
                <w:i/>
                <w:sz w:val="22"/>
                <w:szCs w:val="22"/>
              </w:rPr>
              <w:t>Répondre ici ou reporter les numéros de page d’un document annexe</w:t>
            </w:r>
          </w:p>
          <w:p w:rsidR="002565EA" w:rsidRPr="00D00E1E" w:rsidRDefault="002565EA" w:rsidP="000E4C61">
            <w:pPr>
              <w:spacing w:before="0"/>
              <w:rPr>
                <w:sz w:val="22"/>
                <w:szCs w:val="22"/>
              </w:rPr>
            </w:pPr>
          </w:p>
        </w:tc>
      </w:tr>
    </w:tbl>
    <w:p w:rsidR="002565EA" w:rsidRPr="00D00E1E" w:rsidRDefault="002565EA" w:rsidP="002565EA">
      <w:pPr>
        <w:spacing w:before="0" w:after="0"/>
        <w:rPr>
          <w:sz w:val="22"/>
          <w:szCs w:val="22"/>
        </w:rPr>
      </w:pPr>
    </w:p>
    <w:p w:rsidR="00CE08C1" w:rsidRDefault="00536CC0" w:rsidP="003B1DED">
      <w:pPr>
        <w:pStyle w:val="Titre2"/>
        <w:spacing w:before="0" w:after="0"/>
        <w:rPr>
          <w:lang w:val="fr-FR" w:eastAsia="fr-FR"/>
        </w:rPr>
      </w:pPr>
      <w:r>
        <w:rPr>
          <w:lang w:val="fr-FR"/>
        </w:rPr>
        <w:t>SOUS-</w:t>
      </w:r>
      <w:r w:rsidR="002565EA">
        <w:rPr>
          <w:lang w:val="fr-FR"/>
        </w:rPr>
        <w:t>CRITERE</w:t>
      </w:r>
      <w:r>
        <w:rPr>
          <w:lang w:val="fr-FR"/>
        </w:rPr>
        <w:t xml:space="preserve"> 2</w:t>
      </w:r>
      <w:r w:rsidR="00CE08C1">
        <w:rPr>
          <w:lang w:val="fr-FR"/>
        </w:rPr>
        <w:t xml:space="preserve"> </w:t>
      </w:r>
      <w:r w:rsidR="002565EA">
        <w:rPr>
          <w:lang w:val="fr-FR"/>
        </w:rPr>
        <w:t xml:space="preserve">– </w:t>
      </w:r>
      <w:r w:rsidR="00F62BF3">
        <w:rPr>
          <w:lang w:val="fr-FR"/>
        </w:rPr>
        <w:t>QUALITE DE L’</w:t>
      </w:r>
      <w:r w:rsidR="003B1DED">
        <w:rPr>
          <w:lang w:val="fr-FR"/>
        </w:rPr>
        <w:t>approvisionnement et stockage du papier</w:t>
      </w:r>
      <w:r w:rsidR="00327631">
        <w:rPr>
          <w:lang w:val="fr-FR"/>
        </w:rPr>
        <w:t xml:space="preserve"> </w:t>
      </w:r>
      <w:r w:rsidR="00327631" w:rsidRPr="007175FC">
        <w:rPr>
          <w:lang w:val="fr-FR" w:eastAsia="fr-FR"/>
        </w:rPr>
        <w:t>–</w:t>
      </w:r>
      <w:r w:rsidR="00327631" w:rsidRPr="007175FC">
        <w:rPr>
          <w:lang w:val="fr-FR"/>
        </w:rPr>
        <w:t xml:space="preserve"> </w:t>
      </w:r>
      <w:r w:rsidR="00EA7968">
        <w:rPr>
          <w:lang w:val="fr-FR"/>
        </w:rPr>
        <w:t xml:space="preserve">20 </w:t>
      </w:r>
      <w:r w:rsidR="00327631">
        <w:rPr>
          <w:lang w:val="fr-FR"/>
        </w:rPr>
        <w:t>points</w:t>
      </w:r>
    </w:p>
    <w:p w:rsidR="002565EA" w:rsidRPr="005F141C" w:rsidRDefault="002565EA" w:rsidP="003B1DED">
      <w:pPr>
        <w:spacing w:before="0" w:after="0"/>
        <w:rPr>
          <w:b/>
          <w:sz w:val="22"/>
          <w:szCs w:val="22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565EA" w:rsidRPr="00D00E1E" w:rsidTr="007C3B04">
        <w:trPr>
          <w:hidden/>
        </w:trPr>
        <w:tc>
          <w:tcPr>
            <w:tcW w:w="9634" w:type="dxa"/>
          </w:tcPr>
          <w:p w:rsidR="003B1DED" w:rsidRPr="003B1DED" w:rsidRDefault="003B1DED" w:rsidP="003B1DED">
            <w:pPr>
              <w:pStyle w:val="Paragraphedeliste"/>
              <w:numPr>
                <w:ilvl w:val="0"/>
                <w:numId w:val="8"/>
              </w:numPr>
              <w:spacing w:before="0" w:after="0"/>
              <w:rPr>
                <w:b/>
                <w:vanish/>
                <w:sz w:val="22"/>
                <w:szCs w:val="22"/>
              </w:rPr>
            </w:pPr>
          </w:p>
          <w:p w:rsidR="002565EA" w:rsidRDefault="002565EA" w:rsidP="003B1DED">
            <w:pPr>
              <w:pStyle w:val="Paragraphedeliste"/>
              <w:numPr>
                <w:ilvl w:val="1"/>
                <w:numId w:val="8"/>
              </w:numPr>
              <w:spacing w:before="0" w:after="0"/>
              <w:ind w:left="167" w:hanging="167"/>
              <w:rPr>
                <w:b/>
                <w:sz w:val="22"/>
                <w:szCs w:val="22"/>
              </w:rPr>
            </w:pPr>
            <w:r w:rsidRPr="00D00E1E">
              <w:rPr>
                <w:b/>
                <w:sz w:val="22"/>
                <w:szCs w:val="22"/>
              </w:rPr>
              <w:t>Présenter en détail</w:t>
            </w:r>
            <w:r w:rsidR="003B1DED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3B1DED">
              <w:rPr>
                <w:b/>
                <w:sz w:val="22"/>
                <w:szCs w:val="22"/>
              </w:rPr>
              <w:t>:</w:t>
            </w:r>
          </w:p>
          <w:p w:rsidR="003B1DED" w:rsidRDefault="00F81B99" w:rsidP="003B1DED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 w:rsidRPr="003B1DED">
              <w:rPr>
                <w:b/>
                <w:sz w:val="22"/>
                <w:szCs w:val="22"/>
              </w:rPr>
              <w:t>Le</w:t>
            </w:r>
            <w:r w:rsidR="003B1DED" w:rsidRPr="003B1DED">
              <w:rPr>
                <w:b/>
                <w:sz w:val="22"/>
                <w:szCs w:val="22"/>
              </w:rPr>
              <w:t xml:space="preserve"> ou les types de papier proposés</w:t>
            </w:r>
            <w:r w:rsidR="003B1DED">
              <w:rPr>
                <w:b/>
                <w:sz w:val="22"/>
                <w:szCs w:val="22"/>
              </w:rPr>
              <w:t xml:space="preserve"> et leurs propriétés</w:t>
            </w:r>
            <w:r w:rsidR="003B1DED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3B1DED">
              <w:rPr>
                <w:b/>
                <w:sz w:val="22"/>
                <w:szCs w:val="22"/>
              </w:rPr>
              <w:t>;</w:t>
            </w:r>
          </w:p>
          <w:p w:rsidR="002565EA" w:rsidRPr="003B1DED" w:rsidRDefault="00F81B99" w:rsidP="003B1DED">
            <w:pPr>
              <w:pStyle w:val="Paragraphedeliste"/>
              <w:numPr>
                <w:ilvl w:val="0"/>
                <w:numId w:val="5"/>
              </w:numPr>
              <w:spacing w:before="0"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="003B1DED" w:rsidRPr="003B1DED">
              <w:rPr>
                <w:b/>
                <w:sz w:val="22"/>
                <w:szCs w:val="22"/>
              </w:rPr>
              <w:t xml:space="preserve">es sources d’approvisionnement pressenties et les solutions de secours </w:t>
            </w:r>
            <w:r w:rsidR="003B1DED">
              <w:rPr>
                <w:b/>
                <w:sz w:val="22"/>
                <w:szCs w:val="22"/>
              </w:rPr>
              <w:t xml:space="preserve">en cas de difficulté d’approvisionnement pour permettre la constitution de stocks </w:t>
            </w:r>
            <w:r w:rsidR="003B1DED" w:rsidRPr="00AA237D">
              <w:rPr>
                <w:b/>
                <w:sz w:val="22"/>
                <w:szCs w:val="22"/>
              </w:rPr>
              <w:t>en 6 semaines maximum.</w:t>
            </w:r>
          </w:p>
        </w:tc>
      </w:tr>
      <w:tr w:rsidR="002565EA" w:rsidRPr="00D00E1E" w:rsidTr="007C3B04">
        <w:tc>
          <w:tcPr>
            <w:tcW w:w="9634" w:type="dxa"/>
            <w:vAlign w:val="center"/>
          </w:tcPr>
          <w:p w:rsidR="002565EA" w:rsidRDefault="002565EA" w:rsidP="000E4C61">
            <w:pPr>
              <w:spacing w:before="0"/>
              <w:rPr>
                <w:i/>
                <w:sz w:val="22"/>
                <w:szCs w:val="22"/>
              </w:rPr>
            </w:pPr>
          </w:p>
          <w:p w:rsidR="002565EA" w:rsidRPr="00FA5F40" w:rsidRDefault="002565EA" w:rsidP="000E4C61">
            <w:pPr>
              <w:spacing w:before="0"/>
              <w:rPr>
                <w:i/>
                <w:sz w:val="22"/>
                <w:szCs w:val="22"/>
              </w:rPr>
            </w:pPr>
            <w:r w:rsidRPr="00FA5F40">
              <w:rPr>
                <w:i/>
                <w:sz w:val="22"/>
                <w:szCs w:val="22"/>
              </w:rPr>
              <w:t>Répondre ici ou reporter les numéros de page d’un document annexe</w:t>
            </w:r>
          </w:p>
          <w:p w:rsidR="002565EA" w:rsidRPr="00D00E1E" w:rsidRDefault="002565EA" w:rsidP="000E4C61">
            <w:pPr>
              <w:spacing w:before="0" w:after="0"/>
              <w:jc w:val="left"/>
              <w:rPr>
                <w:sz w:val="22"/>
                <w:szCs w:val="22"/>
              </w:rPr>
            </w:pPr>
          </w:p>
        </w:tc>
      </w:tr>
    </w:tbl>
    <w:p w:rsidR="002565EA" w:rsidRDefault="002565EA" w:rsidP="002565EA">
      <w:pPr>
        <w:spacing w:before="0" w:after="0"/>
        <w:rPr>
          <w:sz w:val="22"/>
          <w:szCs w:val="22"/>
        </w:rPr>
      </w:pPr>
    </w:p>
    <w:p w:rsidR="00237C5D" w:rsidRDefault="00237C5D" w:rsidP="002565EA">
      <w:pPr>
        <w:spacing w:before="0" w:after="0"/>
        <w:rPr>
          <w:sz w:val="22"/>
          <w:szCs w:val="22"/>
        </w:rPr>
      </w:pPr>
    </w:p>
    <w:p w:rsidR="00237C5D" w:rsidRDefault="00237C5D" w:rsidP="002565EA">
      <w:pPr>
        <w:spacing w:before="0" w:after="0"/>
        <w:rPr>
          <w:sz w:val="22"/>
          <w:szCs w:val="22"/>
        </w:rPr>
      </w:pPr>
    </w:p>
    <w:p w:rsidR="00237C5D" w:rsidRDefault="00237C5D" w:rsidP="002565EA">
      <w:pPr>
        <w:spacing w:before="0" w:after="0"/>
        <w:rPr>
          <w:sz w:val="22"/>
          <w:szCs w:val="22"/>
        </w:rPr>
      </w:pPr>
    </w:p>
    <w:p w:rsidR="00237C5D" w:rsidRDefault="00237C5D" w:rsidP="002565EA">
      <w:pPr>
        <w:spacing w:before="0" w:after="0"/>
        <w:rPr>
          <w:sz w:val="22"/>
          <w:szCs w:val="22"/>
        </w:rPr>
      </w:pPr>
    </w:p>
    <w:p w:rsidR="00237C5D" w:rsidRDefault="00237C5D" w:rsidP="002565EA">
      <w:pPr>
        <w:spacing w:before="0" w:after="0"/>
        <w:rPr>
          <w:sz w:val="22"/>
          <w:szCs w:val="22"/>
        </w:rPr>
      </w:pPr>
    </w:p>
    <w:p w:rsidR="00237C5D" w:rsidRPr="00D00E1E" w:rsidRDefault="00237C5D" w:rsidP="002565EA">
      <w:pPr>
        <w:spacing w:before="0" w:after="0"/>
        <w:rPr>
          <w:sz w:val="22"/>
          <w:szCs w:val="22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565EA" w:rsidRPr="00D00E1E" w:rsidTr="007C3B04">
        <w:tc>
          <w:tcPr>
            <w:tcW w:w="9634" w:type="dxa"/>
          </w:tcPr>
          <w:p w:rsidR="002565EA" w:rsidRDefault="002565EA" w:rsidP="003B1DED">
            <w:pPr>
              <w:pStyle w:val="Paragraphedeliste"/>
              <w:numPr>
                <w:ilvl w:val="1"/>
                <w:numId w:val="8"/>
              </w:numPr>
              <w:spacing w:before="0" w:after="0"/>
              <w:ind w:left="167" w:hanging="167"/>
              <w:rPr>
                <w:b/>
                <w:sz w:val="22"/>
                <w:szCs w:val="22"/>
              </w:rPr>
            </w:pPr>
            <w:r w:rsidRPr="00D00E1E">
              <w:rPr>
                <w:b/>
                <w:sz w:val="22"/>
                <w:szCs w:val="22"/>
              </w:rPr>
              <w:lastRenderedPageBreak/>
              <w:t>Présenter en détail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237C5D" w:rsidRDefault="003B1DED" w:rsidP="002565EA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 ou les solutions de stockage prop</w:t>
            </w:r>
            <w:r w:rsidR="00F81B99">
              <w:rPr>
                <w:b/>
                <w:sz w:val="22"/>
                <w:szCs w:val="22"/>
              </w:rPr>
              <w:t>osées</w:t>
            </w:r>
            <w:r w:rsidR="00237C5D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237C5D">
              <w:rPr>
                <w:b/>
                <w:sz w:val="22"/>
                <w:szCs w:val="22"/>
              </w:rPr>
              <w:t>:</w:t>
            </w:r>
          </w:p>
          <w:p w:rsidR="00237C5D" w:rsidRDefault="00237C5D" w:rsidP="0092246A">
            <w:pPr>
              <w:pStyle w:val="Paragraphedeliste"/>
              <w:numPr>
                <w:ilvl w:val="0"/>
                <w:numId w:val="9"/>
              </w:numPr>
              <w:suppressAutoHyphens w:val="0"/>
              <w:autoSpaceDE/>
              <w:spacing w:before="0" w:after="0"/>
              <w:ind w:left="1298"/>
              <w:contextualSpacing/>
              <w:rPr>
                <w:b/>
                <w:sz w:val="22"/>
                <w:szCs w:val="22"/>
              </w:rPr>
            </w:pPr>
            <w:r w:rsidRPr="00237C5D">
              <w:rPr>
                <w:b/>
                <w:sz w:val="22"/>
                <w:szCs w:val="22"/>
              </w:rPr>
              <w:t>Localisation</w:t>
            </w:r>
            <w:r>
              <w:rPr>
                <w:b/>
                <w:sz w:val="22"/>
                <w:szCs w:val="22"/>
              </w:rPr>
              <w:t xml:space="preserve"> et </w:t>
            </w:r>
            <w:r w:rsidRPr="00694153">
              <w:rPr>
                <w:b/>
                <w:sz w:val="22"/>
                <w:szCs w:val="22"/>
              </w:rPr>
              <w:t>capacité</w:t>
            </w:r>
            <w:r>
              <w:rPr>
                <w:b/>
                <w:sz w:val="22"/>
                <w:szCs w:val="22"/>
              </w:rPr>
              <w:t xml:space="preserve"> de stockage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;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  <w:p w:rsidR="00237C5D" w:rsidRDefault="00237C5D" w:rsidP="0092246A">
            <w:pPr>
              <w:pStyle w:val="Paragraphedeliste"/>
              <w:numPr>
                <w:ilvl w:val="0"/>
                <w:numId w:val="9"/>
              </w:numPr>
              <w:suppressAutoHyphens w:val="0"/>
              <w:autoSpaceDE/>
              <w:spacing w:before="0" w:after="0"/>
              <w:ind w:left="1298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Description circonstanciée des moyens</w:t>
            </w:r>
            <w:r w:rsidR="008E78E1" w:rsidRPr="0092246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et processus relatifs</w:t>
            </w:r>
            <w:r w:rsidR="008E78E1" w:rsidRPr="0092246A">
              <w:rPr>
                <w:b/>
                <w:sz w:val="22"/>
                <w:szCs w:val="22"/>
              </w:rPr>
              <w:t xml:space="preserve"> à la sécurisation de chaque site</w:t>
            </w:r>
            <w:r w:rsidR="00EA7968" w:rsidRPr="0092246A">
              <w:rPr>
                <w:b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;</w:t>
            </w:r>
          </w:p>
          <w:p w:rsidR="002565EA" w:rsidRPr="0092246A" w:rsidRDefault="00237C5D" w:rsidP="0092246A">
            <w:pPr>
              <w:pStyle w:val="Paragraphedeliste"/>
              <w:numPr>
                <w:ilvl w:val="0"/>
                <w:numId w:val="9"/>
              </w:numPr>
              <w:suppressAutoHyphens w:val="0"/>
              <w:autoSpaceDE/>
              <w:spacing w:before="0" w:after="0"/>
              <w:ind w:left="1298"/>
              <w:contextualSpacing/>
              <w:rPr>
                <w:b/>
                <w:sz w:val="22"/>
                <w:szCs w:val="22"/>
              </w:rPr>
            </w:pPr>
            <w:r w:rsidRPr="00237C5D">
              <w:rPr>
                <w:b/>
                <w:sz w:val="22"/>
                <w:szCs w:val="22"/>
              </w:rPr>
              <w:t>Méthode</w:t>
            </w:r>
            <w:r w:rsidR="00846CA6" w:rsidRPr="0092246A">
              <w:rPr>
                <w:b/>
                <w:sz w:val="22"/>
                <w:szCs w:val="22"/>
              </w:rPr>
              <w:t xml:space="preserve"> employée pour préserver l</w:t>
            </w:r>
            <w:r w:rsidR="00F81B99" w:rsidRPr="0092246A">
              <w:rPr>
                <w:b/>
                <w:sz w:val="22"/>
                <w:szCs w:val="22"/>
              </w:rPr>
              <w:t>’intégrité du papier stocké</w:t>
            </w:r>
            <w:r w:rsidR="00846CA6" w:rsidRPr="0092246A">
              <w:rPr>
                <w:b/>
                <w:sz w:val="22"/>
                <w:szCs w:val="22"/>
              </w:rPr>
              <w:t xml:space="preserve"> dans le temps</w:t>
            </w:r>
            <w:r w:rsidR="00F81B99" w:rsidRPr="0092246A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F81B99" w:rsidRPr="0092246A">
              <w:rPr>
                <w:b/>
                <w:sz w:val="22"/>
                <w:szCs w:val="22"/>
              </w:rPr>
              <w:t>;</w:t>
            </w:r>
          </w:p>
          <w:p w:rsidR="002565EA" w:rsidRPr="00D00E1E" w:rsidRDefault="00846CA6" w:rsidP="00F81B99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="002565EA" w:rsidRPr="00F55937">
              <w:rPr>
                <w:b/>
                <w:sz w:val="22"/>
                <w:szCs w:val="22"/>
              </w:rPr>
              <w:t xml:space="preserve">es moyens techniques et humains </w:t>
            </w:r>
            <w:r w:rsidR="00F81B99">
              <w:rPr>
                <w:b/>
                <w:sz w:val="22"/>
                <w:szCs w:val="22"/>
              </w:rPr>
              <w:t>dédiés au déstockage pour permettre le démarrage de la production dans un délai très court.</w:t>
            </w:r>
          </w:p>
        </w:tc>
      </w:tr>
      <w:tr w:rsidR="002565EA" w:rsidRPr="00D00E1E" w:rsidTr="007C3B04">
        <w:tc>
          <w:tcPr>
            <w:tcW w:w="9634" w:type="dxa"/>
          </w:tcPr>
          <w:p w:rsidR="002565EA" w:rsidRDefault="002565EA" w:rsidP="000E4C61">
            <w:pPr>
              <w:spacing w:before="0"/>
              <w:rPr>
                <w:i/>
                <w:sz w:val="22"/>
                <w:szCs w:val="22"/>
              </w:rPr>
            </w:pPr>
          </w:p>
          <w:p w:rsidR="002565EA" w:rsidRPr="00FA5F40" w:rsidRDefault="002565EA" w:rsidP="000E4C61">
            <w:pPr>
              <w:spacing w:before="0"/>
              <w:rPr>
                <w:i/>
                <w:sz w:val="22"/>
                <w:szCs w:val="22"/>
              </w:rPr>
            </w:pPr>
            <w:r w:rsidRPr="00FA5F40">
              <w:rPr>
                <w:i/>
                <w:sz w:val="22"/>
                <w:szCs w:val="22"/>
              </w:rPr>
              <w:t>Répondre ici ou reporter les numéros de page d’un document annexe</w:t>
            </w:r>
          </w:p>
          <w:p w:rsidR="002565EA" w:rsidRPr="00D00E1E" w:rsidRDefault="002565EA" w:rsidP="000E4C61">
            <w:pPr>
              <w:spacing w:before="0" w:after="0"/>
              <w:rPr>
                <w:sz w:val="22"/>
                <w:szCs w:val="22"/>
              </w:rPr>
            </w:pPr>
          </w:p>
        </w:tc>
      </w:tr>
    </w:tbl>
    <w:p w:rsidR="002565EA" w:rsidRDefault="002565EA" w:rsidP="003B1DED">
      <w:pPr>
        <w:spacing w:before="0" w:after="0"/>
        <w:textAlignment w:val="baseline"/>
      </w:pPr>
    </w:p>
    <w:p w:rsidR="002565EA" w:rsidRDefault="002565EA" w:rsidP="003B1DED">
      <w:pPr>
        <w:pStyle w:val="Titre2"/>
        <w:spacing w:before="0" w:after="0"/>
        <w:rPr>
          <w:lang w:val="fr-FR"/>
        </w:rPr>
      </w:pPr>
      <w:r>
        <w:rPr>
          <w:lang w:val="fr-FR"/>
        </w:rPr>
        <w:t xml:space="preserve">SOUS-CRITERE 3 – </w:t>
      </w:r>
      <w:r w:rsidR="00F62BF3">
        <w:rPr>
          <w:lang w:val="fr-FR"/>
        </w:rPr>
        <w:t>QuALITE DE LA F</w:t>
      </w:r>
      <w:r w:rsidR="00EC47E5">
        <w:rPr>
          <w:lang w:val="fr-FR"/>
        </w:rPr>
        <w:t xml:space="preserve">abrication </w:t>
      </w:r>
      <w:r w:rsidR="00583DE1">
        <w:rPr>
          <w:lang w:val="fr-FR"/>
        </w:rPr>
        <w:t xml:space="preserve">et livraison </w:t>
      </w:r>
      <w:r w:rsidR="00EC47E5">
        <w:rPr>
          <w:lang w:val="fr-FR"/>
        </w:rPr>
        <w:t>des bulletins de vote</w:t>
      </w:r>
      <w:r>
        <w:rPr>
          <w:lang w:val="fr-FR"/>
        </w:rPr>
        <w:t xml:space="preserve"> – </w:t>
      </w:r>
      <w:r w:rsidR="00EA7968">
        <w:rPr>
          <w:lang w:val="fr-FR"/>
        </w:rPr>
        <w:t xml:space="preserve">35 </w:t>
      </w:r>
      <w:r>
        <w:rPr>
          <w:lang w:val="fr-FR"/>
        </w:rPr>
        <w:t>POINTS</w:t>
      </w:r>
    </w:p>
    <w:p w:rsidR="002565EA" w:rsidRPr="00D00E1E" w:rsidRDefault="002565EA" w:rsidP="003B1DED">
      <w:pPr>
        <w:spacing w:before="0" w:after="0"/>
        <w:rPr>
          <w:b/>
          <w:sz w:val="22"/>
          <w:szCs w:val="22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565EA" w:rsidRPr="00D00E1E" w:rsidTr="007C3B04">
        <w:trPr>
          <w:hidden/>
        </w:trPr>
        <w:tc>
          <w:tcPr>
            <w:tcW w:w="9634" w:type="dxa"/>
          </w:tcPr>
          <w:p w:rsidR="00EC47E5" w:rsidRPr="00EC47E5" w:rsidRDefault="00EC47E5" w:rsidP="00EC47E5">
            <w:pPr>
              <w:pStyle w:val="Paragraphedeliste"/>
              <w:numPr>
                <w:ilvl w:val="0"/>
                <w:numId w:val="8"/>
              </w:numPr>
              <w:spacing w:before="0" w:after="0"/>
              <w:rPr>
                <w:b/>
                <w:vanish/>
                <w:sz w:val="22"/>
                <w:szCs w:val="22"/>
              </w:rPr>
            </w:pPr>
          </w:p>
          <w:p w:rsidR="00EC47E5" w:rsidRDefault="002565EA" w:rsidP="00EC47E5">
            <w:pPr>
              <w:pStyle w:val="Paragraphedeliste"/>
              <w:numPr>
                <w:ilvl w:val="1"/>
                <w:numId w:val="8"/>
              </w:numPr>
              <w:spacing w:before="0" w:after="0"/>
              <w:ind w:left="167" w:hanging="167"/>
              <w:rPr>
                <w:b/>
                <w:sz w:val="22"/>
                <w:szCs w:val="22"/>
              </w:rPr>
            </w:pPr>
            <w:r w:rsidRPr="00EC47E5">
              <w:rPr>
                <w:b/>
                <w:sz w:val="22"/>
                <w:szCs w:val="22"/>
              </w:rPr>
              <w:t>P</w:t>
            </w:r>
            <w:r w:rsidR="00BB0CDB">
              <w:rPr>
                <w:b/>
                <w:sz w:val="22"/>
                <w:szCs w:val="22"/>
              </w:rPr>
              <w:t>our les deux types de scrutins</w:t>
            </w:r>
            <w:r w:rsidR="00EA4BDF">
              <w:rPr>
                <w:b/>
                <w:sz w:val="22"/>
                <w:szCs w:val="22"/>
              </w:rPr>
              <w:t xml:space="preserve"> (présidentiel et référendum)</w:t>
            </w:r>
            <w:r w:rsidR="00BB0CDB">
              <w:rPr>
                <w:b/>
                <w:sz w:val="22"/>
                <w:szCs w:val="22"/>
              </w:rPr>
              <w:t xml:space="preserve"> et de délais </w:t>
            </w:r>
            <w:r w:rsidR="00EA4BDF">
              <w:rPr>
                <w:b/>
                <w:sz w:val="22"/>
                <w:szCs w:val="22"/>
              </w:rPr>
              <w:t xml:space="preserve">(normal et urgent) </w:t>
            </w:r>
            <w:r w:rsidR="00BB0CDB">
              <w:rPr>
                <w:b/>
                <w:sz w:val="22"/>
                <w:szCs w:val="22"/>
              </w:rPr>
              <w:t>prévus au marché, p</w:t>
            </w:r>
            <w:r w:rsidRPr="00EC47E5">
              <w:rPr>
                <w:b/>
                <w:sz w:val="22"/>
                <w:szCs w:val="22"/>
              </w:rPr>
              <w:t>résenter</w:t>
            </w:r>
            <w:r w:rsidR="00EC47E5">
              <w:rPr>
                <w:b/>
                <w:sz w:val="22"/>
                <w:szCs w:val="22"/>
              </w:rPr>
              <w:t xml:space="preserve"> en détail</w:t>
            </w:r>
            <w:r w:rsidR="007175FC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7175FC">
              <w:rPr>
                <w:b/>
                <w:sz w:val="22"/>
                <w:szCs w:val="22"/>
              </w:rPr>
              <w:t>:</w:t>
            </w:r>
          </w:p>
          <w:p w:rsidR="00EC47E5" w:rsidRDefault="00EC47E5" w:rsidP="00EC47E5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="00846CA6">
              <w:rPr>
                <w:b/>
                <w:sz w:val="22"/>
                <w:szCs w:val="22"/>
              </w:rPr>
              <w:t>es moyens techniques et humains</w:t>
            </w:r>
            <w:r w:rsidRPr="00EC47E5">
              <w:rPr>
                <w:b/>
                <w:sz w:val="22"/>
                <w:szCs w:val="22"/>
              </w:rPr>
              <w:t xml:space="preserve"> proposé</w:t>
            </w:r>
            <w:r w:rsidR="00846CA6">
              <w:rPr>
                <w:b/>
                <w:sz w:val="22"/>
                <w:szCs w:val="22"/>
              </w:rPr>
              <w:t>s</w:t>
            </w:r>
            <w:r w:rsidR="002565EA" w:rsidRPr="00EC47E5">
              <w:rPr>
                <w:b/>
                <w:sz w:val="22"/>
                <w:szCs w:val="22"/>
              </w:rPr>
              <w:t xml:space="preserve"> pour </w:t>
            </w:r>
            <w:r w:rsidRPr="00EC47E5">
              <w:rPr>
                <w:b/>
                <w:sz w:val="22"/>
                <w:szCs w:val="22"/>
              </w:rPr>
              <w:t>imprimer, façonner et conditionner les bulletins de vote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;</w:t>
            </w:r>
          </w:p>
          <w:p w:rsidR="008254A3" w:rsidRDefault="00EC47E5" w:rsidP="008254A3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Pr="00EC47E5">
              <w:rPr>
                <w:b/>
                <w:sz w:val="22"/>
                <w:szCs w:val="22"/>
              </w:rPr>
              <w:t xml:space="preserve">es solutions </w:t>
            </w:r>
            <w:r>
              <w:rPr>
                <w:b/>
                <w:sz w:val="22"/>
                <w:szCs w:val="22"/>
              </w:rPr>
              <w:t>de</w:t>
            </w:r>
            <w:r w:rsidRPr="00EC47E5">
              <w:rPr>
                <w:b/>
                <w:sz w:val="22"/>
                <w:szCs w:val="22"/>
              </w:rPr>
              <w:t xml:space="preserve"> gestion des risques associés</w:t>
            </w:r>
            <w:r w:rsidR="008254A3">
              <w:rPr>
                <w:b/>
                <w:sz w:val="22"/>
                <w:szCs w:val="22"/>
              </w:rPr>
              <w:t xml:space="preserve"> et les</w:t>
            </w:r>
            <w:r w:rsidR="008254A3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8254A3">
              <w:rPr>
                <w:b/>
                <w:sz w:val="22"/>
                <w:szCs w:val="22"/>
              </w:rPr>
              <w:t>solutions de secours ;</w:t>
            </w:r>
          </w:p>
          <w:p w:rsidR="007175FC" w:rsidRDefault="007175FC" w:rsidP="007175FC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Pr="007175FC">
              <w:rPr>
                <w:b/>
                <w:sz w:val="22"/>
                <w:szCs w:val="22"/>
              </w:rPr>
              <w:t>es solutions proposées pour assurer la livraison des bulletins de vote</w:t>
            </w:r>
            <w:r w:rsidR="00256A47">
              <w:rPr>
                <w:b/>
                <w:sz w:val="22"/>
                <w:szCs w:val="22"/>
              </w:rPr>
              <w:t>.</w:t>
            </w:r>
          </w:p>
          <w:p w:rsidR="008254A3" w:rsidRPr="008254A3" w:rsidRDefault="008254A3" w:rsidP="00583DE1">
            <w:pPr>
              <w:suppressAutoHyphens w:val="0"/>
              <w:autoSpaceDE/>
              <w:spacing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 cas de cotraitance ou sous-traitance, les moyens et le rôle de chacun des intervenants doivent être décrits en détail.</w:t>
            </w:r>
          </w:p>
        </w:tc>
      </w:tr>
      <w:tr w:rsidR="002565EA" w:rsidRPr="00D00E1E" w:rsidTr="007C3B04">
        <w:tc>
          <w:tcPr>
            <w:tcW w:w="9634" w:type="dxa"/>
          </w:tcPr>
          <w:p w:rsidR="002565EA" w:rsidRDefault="002565EA" w:rsidP="000E4C61">
            <w:pPr>
              <w:spacing w:before="0"/>
              <w:rPr>
                <w:sz w:val="22"/>
                <w:szCs w:val="22"/>
              </w:rPr>
            </w:pPr>
          </w:p>
          <w:p w:rsidR="002565EA" w:rsidRPr="00FA5F40" w:rsidRDefault="002565EA" w:rsidP="000E4C61">
            <w:pPr>
              <w:spacing w:before="0"/>
              <w:rPr>
                <w:i/>
                <w:sz w:val="22"/>
                <w:szCs w:val="22"/>
              </w:rPr>
            </w:pPr>
            <w:r w:rsidRPr="00FA5F40">
              <w:rPr>
                <w:i/>
                <w:sz w:val="22"/>
                <w:szCs w:val="22"/>
              </w:rPr>
              <w:t>Répondre ici ou reporter les numéros de page d’un document annexe</w:t>
            </w:r>
          </w:p>
          <w:p w:rsidR="002565EA" w:rsidRPr="00D00E1E" w:rsidRDefault="002565EA" w:rsidP="000E4C61">
            <w:pPr>
              <w:spacing w:before="0" w:after="0"/>
              <w:rPr>
                <w:sz w:val="22"/>
                <w:szCs w:val="22"/>
              </w:rPr>
            </w:pPr>
          </w:p>
        </w:tc>
      </w:tr>
    </w:tbl>
    <w:p w:rsidR="002565EA" w:rsidRPr="00D00E1E" w:rsidRDefault="002565EA" w:rsidP="002565EA">
      <w:pPr>
        <w:spacing w:before="0" w:after="0"/>
        <w:rPr>
          <w:sz w:val="22"/>
          <w:szCs w:val="22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565EA" w:rsidRPr="00D00E1E" w:rsidTr="007C3B04">
        <w:tc>
          <w:tcPr>
            <w:tcW w:w="9634" w:type="dxa"/>
          </w:tcPr>
          <w:p w:rsidR="00256A47" w:rsidRDefault="00256A47" w:rsidP="00583DE1">
            <w:pPr>
              <w:pStyle w:val="Paragraphedeliste"/>
              <w:numPr>
                <w:ilvl w:val="1"/>
                <w:numId w:val="8"/>
              </w:numPr>
              <w:spacing w:before="0" w:after="0"/>
              <w:ind w:left="167" w:hanging="16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Simulation de commande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:</w:t>
            </w:r>
          </w:p>
          <w:p w:rsidR="00256A47" w:rsidRPr="00256A47" w:rsidRDefault="002565EA" w:rsidP="00256A47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 w:rsidRPr="00583DE1">
              <w:rPr>
                <w:b/>
                <w:sz w:val="22"/>
                <w:szCs w:val="22"/>
              </w:rPr>
              <w:t xml:space="preserve">Présenter les </w:t>
            </w:r>
            <w:r w:rsidR="00846CA6">
              <w:rPr>
                <w:b/>
                <w:sz w:val="22"/>
                <w:szCs w:val="22"/>
              </w:rPr>
              <w:t xml:space="preserve">organisations </w:t>
            </w:r>
            <w:r w:rsidR="008254A3" w:rsidRPr="00583DE1">
              <w:rPr>
                <w:b/>
                <w:sz w:val="22"/>
                <w:szCs w:val="22"/>
              </w:rPr>
              <w:t>de</w:t>
            </w:r>
            <w:r w:rsidR="001B5FF1">
              <w:rPr>
                <w:b/>
                <w:sz w:val="22"/>
                <w:szCs w:val="22"/>
              </w:rPr>
              <w:t xml:space="preserve"> production proposé</w:t>
            </w:r>
            <w:r w:rsidR="00846CA6">
              <w:rPr>
                <w:b/>
                <w:sz w:val="22"/>
                <w:szCs w:val="22"/>
              </w:rPr>
              <w:t>e</w:t>
            </w:r>
            <w:r w:rsidR="001B5FF1">
              <w:rPr>
                <w:b/>
                <w:sz w:val="22"/>
                <w:szCs w:val="22"/>
              </w:rPr>
              <w:t>s</w:t>
            </w:r>
            <w:r w:rsidR="00653485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="00653485">
              <w:rPr>
                <w:b/>
                <w:sz w:val="22"/>
                <w:szCs w:val="22"/>
              </w:rPr>
              <w:t>rétroplannings</w:t>
            </w:r>
            <w:proofErr w:type="spellEnd"/>
            <w:r w:rsidR="00653485">
              <w:rPr>
                <w:b/>
                <w:sz w:val="22"/>
                <w:szCs w:val="22"/>
              </w:rPr>
              <w:t>, cadences journalières de production et de livraison, moyens mis à disposition, etc.)</w:t>
            </w:r>
            <w:r w:rsidR="001B5FF1">
              <w:rPr>
                <w:b/>
                <w:sz w:val="22"/>
                <w:szCs w:val="22"/>
              </w:rPr>
              <w:t xml:space="preserve"> en réponse</w:t>
            </w:r>
            <w:r w:rsidR="008254A3" w:rsidRPr="00583DE1">
              <w:rPr>
                <w:b/>
                <w:sz w:val="22"/>
                <w:szCs w:val="22"/>
              </w:rPr>
              <w:t xml:space="preserve"> aux scénarios suivants</w:t>
            </w:r>
            <w:r w:rsidR="004E4EE2">
              <w:rPr>
                <w:b/>
                <w:sz w:val="22"/>
                <w:szCs w:val="22"/>
              </w:rPr>
              <w:t xml:space="preserve"> </w:t>
            </w:r>
            <w:r w:rsidR="00256A47">
              <w:rPr>
                <w:b/>
                <w:sz w:val="22"/>
                <w:szCs w:val="22"/>
              </w:rPr>
              <w:t>;</w:t>
            </w:r>
          </w:p>
          <w:p w:rsidR="002565EA" w:rsidRDefault="00256A47" w:rsidP="00256A47">
            <w:pPr>
              <w:pStyle w:val="Paragraphedeliste"/>
              <w:numPr>
                <w:ilvl w:val="0"/>
                <w:numId w:val="5"/>
              </w:numPr>
              <w:suppressAutoHyphens w:val="0"/>
              <w:autoSpaceDE/>
              <w:spacing w:before="0"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1B5FF1">
              <w:rPr>
                <w:b/>
                <w:sz w:val="22"/>
                <w:szCs w:val="22"/>
              </w:rPr>
              <w:t xml:space="preserve">étailler les points d’attention nécessaires au </w:t>
            </w:r>
            <w:r>
              <w:rPr>
                <w:b/>
                <w:sz w:val="22"/>
                <w:szCs w:val="22"/>
              </w:rPr>
              <w:t>respect des délais contractuels.</w:t>
            </w:r>
          </w:p>
          <w:p w:rsidR="00653485" w:rsidRDefault="00653485" w:rsidP="00653485">
            <w:pPr>
              <w:spacing w:before="0" w:after="0"/>
              <w:rPr>
                <w:b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46"/>
              <w:gridCol w:w="3124"/>
              <w:gridCol w:w="3138"/>
            </w:tblGrid>
            <w:tr w:rsidR="00653485" w:rsidRPr="00653485" w:rsidTr="004955A3">
              <w:trPr>
                <w:trHeight w:val="279"/>
                <w:jc w:val="center"/>
              </w:trPr>
              <w:tc>
                <w:tcPr>
                  <w:tcW w:w="9408" w:type="dxa"/>
                  <w:gridSpan w:val="3"/>
                  <w:shd w:val="clear" w:color="auto" w:fill="D9D9D9" w:themeFill="background1" w:themeFillShade="D9"/>
                  <w:vAlign w:val="center"/>
                </w:tcPr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b/>
                      <w:sz w:val="22"/>
                      <w:szCs w:val="20"/>
                    </w:rPr>
                  </w:pPr>
                  <w:r w:rsidRPr="00653485">
                    <w:rPr>
                      <w:b/>
                      <w:sz w:val="22"/>
                      <w:szCs w:val="20"/>
                    </w:rPr>
                    <w:t>Présidentielle - délai classique</w:t>
                  </w:r>
                </w:p>
              </w:tc>
            </w:tr>
            <w:tr w:rsidR="00653485" w:rsidRPr="00653485" w:rsidTr="00653485">
              <w:trPr>
                <w:trHeight w:val="279"/>
                <w:jc w:val="center"/>
              </w:trPr>
              <w:tc>
                <w:tcPr>
                  <w:tcW w:w="3146" w:type="dxa"/>
                  <w:vAlign w:val="center"/>
                </w:tcPr>
                <w:p w:rsidR="00653485" w:rsidRPr="00653485" w:rsidRDefault="00653485" w:rsidP="00AB23AE">
                  <w:pPr>
                    <w:spacing w:before="0" w:after="0"/>
                    <w:jc w:val="center"/>
                    <w:rPr>
                      <w:b/>
                      <w:szCs w:val="20"/>
                    </w:rPr>
                  </w:pPr>
                  <w:r w:rsidRPr="00653485">
                    <w:rPr>
                      <w:b/>
                      <w:szCs w:val="20"/>
                    </w:rPr>
                    <w:t>Premier tour</w:t>
                  </w:r>
                  <w:r w:rsidRPr="00653485">
                    <w:rPr>
                      <w:rFonts w:ascii="Calibri" w:hAnsi="Calibri" w:cs="Calibri"/>
                      <w:b/>
                      <w:szCs w:val="20"/>
                    </w:rPr>
                    <w:t> </w:t>
                  </w:r>
                  <w:r w:rsidRPr="00653485">
                    <w:rPr>
                      <w:b/>
                      <w:szCs w:val="20"/>
                    </w:rPr>
                    <w:t xml:space="preserve">: </w:t>
                  </w:r>
                  <w:r w:rsidR="00AB23AE" w:rsidRPr="00653485">
                    <w:rPr>
                      <w:b/>
                      <w:szCs w:val="20"/>
                    </w:rPr>
                    <w:t>1</w:t>
                  </w:r>
                  <w:r w:rsidR="00AB23AE">
                    <w:rPr>
                      <w:b/>
                      <w:szCs w:val="20"/>
                    </w:rPr>
                    <w:t xml:space="preserve">1 </w:t>
                  </w:r>
                  <w:r w:rsidRPr="00653485">
                    <w:rPr>
                      <w:b/>
                      <w:szCs w:val="20"/>
                    </w:rPr>
                    <w:t>candidats</w:t>
                  </w:r>
                </w:p>
              </w:tc>
              <w:tc>
                <w:tcPr>
                  <w:tcW w:w="3124" w:type="dxa"/>
                  <w:vMerge w:val="restart"/>
                  <w:vAlign w:val="center"/>
                </w:tcPr>
                <w:p w:rsidR="0083338F" w:rsidRDefault="00653485" w:rsidP="00653485">
                  <w:pPr>
                    <w:spacing w:before="0" w:after="0"/>
                    <w:jc w:val="center"/>
                    <w:rPr>
                      <w:szCs w:val="20"/>
                    </w:rPr>
                  </w:pPr>
                  <w:r w:rsidRPr="00653485">
                    <w:rPr>
                      <w:szCs w:val="20"/>
                    </w:rPr>
                    <w:t>Format</w:t>
                  </w:r>
                  <w:r>
                    <w:rPr>
                      <w:rFonts w:ascii="Calibri" w:hAnsi="Calibri" w:cs="Calibri"/>
                      <w:szCs w:val="20"/>
                    </w:rPr>
                    <w:t> </w:t>
                  </w:r>
                  <w:r>
                    <w:rPr>
                      <w:szCs w:val="20"/>
                    </w:rPr>
                    <w:t xml:space="preserve">: </w:t>
                  </w:r>
                  <w:r w:rsidRPr="00653485">
                    <w:rPr>
                      <w:szCs w:val="20"/>
                    </w:rPr>
                    <w:t xml:space="preserve">A6 recto </w:t>
                  </w:r>
                </w:p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szCs w:val="20"/>
                    </w:rPr>
                  </w:pPr>
                  <w:r w:rsidRPr="00653485">
                    <w:rPr>
                      <w:szCs w:val="20"/>
                    </w:rPr>
                    <w:t>une couleur (noir)</w:t>
                  </w:r>
                </w:p>
              </w:tc>
              <w:tc>
                <w:tcPr>
                  <w:tcW w:w="3138" w:type="dxa"/>
                  <w:vAlign w:val="center"/>
                </w:tcPr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b/>
                      <w:szCs w:val="20"/>
                    </w:rPr>
                  </w:pPr>
                  <w:r w:rsidRPr="00653485">
                    <w:rPr>
                      <w:b/>
                      <w:szCs w:val="20"/>
                    </w:rPr>
                    <w:t>Le 11 avril 2027</w:t>
                  </w:r>
                </w:p>
              </w:tc>
            </w:tr>
            <w:tr w:rsidR="00653485" w:rsidRPr="00653485" w:rsidTr="00653485">
              <w:trPr>
                <w:trHeight w:val="279"/>
                <w:jc w:val="center"/>
              </w:trPr>
              <w:tc>
                <w:tcPr>
                  <w:tcW w:w="3146" w:type="dxa"/>
                  <w:vAlign w:val="center"/>
                </w:tcPr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b/>
                      <w:szCs w:val="20"/>
                    </w:rPr>
                  </w:pPr>
                  <w:r w:rsidRPr="00653485">
                    <w:rPr>
                      <w:b/>
                      <w:szCs w:val="20"/>
                    </w:rPr>
                    <w:t>Second tour</w:t>
                  </w:r>
                  <w:r w:rsidRPr="00653485">
                    <w:rPr>
                      <w:rFonts w:ascii="Calibri" w:hAnsi="Calibri" w:cs="Calibri"/>
                      <w:b/>
                      <w:szCs w:val="20"/>
                    </w:rPr>
                    <w:t> </w:t>
                  </w:r>
                  <w:r w:rsidRPr="00653485">
                    <w:rPr>
                      <w:b/>
                      <w:szCs w:val="20"/>
                    </w:rPr>
                    <w:t>: 2 candidats</w:t>
                  </w:r>
                </w:p>
              </w:tc>
              <w:tc>
                <w:tcPr>
                  <w:tcW w:w="3124" w:type="dxa"/>
                  <w:vMerge/>
                  <w:vAlign w:val="center"/>
                </w:tcPr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3138" w:type="dxa"/>
                  <w:vAlign w:val="center"/>
                </w:tcPr>
                <w:p w:rsidR="00653485" w:rsidRPr="00653485" w:rsidRDefault="00653485" w:rsidP="009F4A38">
                  <w:pPr>
                    <w:spacing w:before="0" w:after="0"/>
                    <w:jc w:val="center"/>
                    <w:rPr>
                      <w:b/>
                      <w:szCs w:val="20"/>
                    </w:rPr>
                  </w:pPr>
                  <w:r w:rsidRPr="00653485">
                    <w:rPr>
                      <w:b/>
                      <w:szCs w:val="20"/>
                    </w:rPr>
                    <w:t xml:space="preserve">Le </w:t>
                  </w:r>
                  <w:r w:rsidR="009F4A38">
                    <w:rPr>
                      <w:b/>
                      <w:szCs w:val="20"/>
                    </w:rPr>
                    <w:t>25</w:t>
                  </w:r>
                  <w:r w:rsidR="009F4A38" w:rsidRPr="00653485">
                    <w:rPr>
                      <w:b/>
                      <w:szCs w:val="20"/>
                    </w:rPr>
                    <w:t xml:space="preserve"> </w:t>
                  </w:r>
                  <w:r w:rsidRPr="00653485">
                    <w:rPr>
                      <w:b/>
                      <w:szCs w:val="20"/>
                    </w:rPr>
                    <w:t>avril 2027</w:t>
                  </w:r>
                </w:p>
              </w:tc>
            </w:tr>
          </w:tbl>
          <w:p w:rsidR="00653485" w:rsidRDefault="00653485" w:rsidP="00653485">
            <w:pPr>
              <w:spacing w:before="0" w:after="0"/>
              <w:rPr>
                <w:b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44"/>
              <w:gridCol w:w="3125"/>
              <w:gridCol w:w="3139"/>
            </w:tblGrid>
            <w:tr w:rsidR="00653485" w:rsidTr="00BC6D61">
              <w:trPr>
                <w:trHeight w:val="279"/>
                <w:jc w:val="center"/>
              </w:trPr>
              <w:tc>
                <w:tcPr>
                  <w:tcW w:w="9408" w:type="dxa"/>
                  <w:gridSpan w:val="3"/>
                  <w:shd w:val="clear" w:color="auto" w:fill="D9D9D9" w:themeFill="background1" w:themeFillShade="D9"/>
                  <w:vAlign w:val="center"/>
                </w:tcPr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b/>
                      <w:sz w:val="22"/>
                      <w:szCs w:val="20"/>
                    </w:rPr>
                  </w:pPr>
                  <w:r w:rsidRPr="00653485">
                    <w:rPr>
                      <w:b/>
                      <w:sz w:val="22"/>
                      <w:szCs w:val="20"/>
                    </w:rPr>
                    <w:t>Référendum - délai urgent</w:t>
                  </w:r>
                </w:p>
              </w:tc>
            </w:tr>
            <w:tr w:rsidR="00653485" w:rsidTr="00653485">
              <w:trPr>
                <w:trHeight w:val="85"/>
                <w:jc w:val="center"/>
              </w:trPr>
              <w:tc>
                <w:tcPr>
                  <w:tcW w:w="3144" w:type="dxa"/>
                  <w:vAlign w:val="center"/>
                </w:tcPr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b/>
                      <w:szCs w:val="20"/>
                    </w:rPr>
                  </w:pPr>
                  <w:r w:rsidRPr="00653485">
                    <w:rPr>
                      <w:b/>
                      <w:szCs w:val="20"/>
                    </w:rPr>
                    <w:t>4 bulletins de vote</w:t>
                  </w:r>
                </w:p>
              </w:tc>
              <w:tc>
                <w:tcPr>
                  <w:tcW w:w="3125" w:type="dxa"/>
                  <w:vAlign w:val="center"/>
                </w:tcPr>
                <w:p w:rsidR="0083338F" w:rsidRDefault="00653485" w:rsidP="00653485">
                  <w:pPr>
                    <w:spacing w:before="0" w:after="0"/>
                    <w:jc w:val="center"/>
                    <w:rPr>
                      <w:szCs w:val="20"/>
                    </w:rPr>
                  </w:pPr>
                  <w:r w:rsidRPr="00653485">
                    <w:rPr>
                      <w:szCs w:val="20"/>
                    </w:rPr>
                    <w:t>Format</w:t>
                  </w:r>
                  <w:r w:rsidRPr="00653485">
                    <w:rPr>
                      <w:rFonts w:ascii="Calibri" w:hAnsi="Calibri" w:cs="Calibri"/>
                      <w:szCs w:val="20"/>
                    </w:rPr>
                    <w:t> </w:t>
                  </w:r>
                  <w:r w:rsidRPr="00653485">
                    <w:rPr>
                      <w:szCs w:val="20"/>
                    </w:rPr>
                    <w:t xml:space="preserve">: A4 recto </w:t>
                  </w:r>
                </w:p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b/>
                      <w:szCs w:val="20"/>
                    </w:rPr>
                  </w:pPr>
                  <w:r w:rsidRPr="00653485">
                    <w:rPr>
                      <w:szCs w:val="20"/>
                    </w:rPr>
                    <w:t>deux couleurs (noir et bleu)</w:t>
                  </w:r>
                </w:p>
              </w:tc>
              <w:tc>
                <w:tcPr>
                  <w:tcW w:w="3139" w:type="dxa"/>
                  <w:vAlign w:val="center"/>
                </w:tcPr>
                <w:p w:rsidR="00653485" w:rsidRPr="00653485" w:rsidRDefault="00653485" w:rsidP="00653485">
                  <w:pPr>
                    <w:spacing w:before="0" w:after="0"/>
                    <w:jc w:val="center"/>
                    <w:rPr>
                      <w:b/>
                      <w:szCs w:val="20"/>
                    </w:rPr>
                  </w:pPr>
                  <w:r w:rsidRPr="00653485">
                    <w:rPr>
                      <w:b/>
                      <w:szCs w:val="20"/>
                    </w:rPr>
                    <w:t>Le 22 mars 2026</w:t>
                  </w:r>
                </w:p>
              </w:tc>
            </w:tr>
          </w:tbl>
          <w:p w:rsidR="00653485" w:rsidRDefault="00653485" w:rsidP="00653485">
            <w:pPr>
              <w:spacing w:before="0" w:after="0"/>
              <w:rPr>
                <w:b/>
                <w:sz w:val="22"/>
                <w:szCs w:val="22"/>
              </w:rPr>
            </w:pPr>
          </w:p>
          <w:p w:rsidR="00583DE1" w:rsidRDefault="00583DE1" w:rsidP="00583DE1">
            <w:pPr>
              <w:suppressAutoHyphens w:val="0"/>
              <w:autoSpaceDE/>
              <w:spacing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Pour ces simulations, le</w:t>
            </w:r>
            <w:r w:rsidR="00256A47">
              <w:rPr>
                <w:b/>
                <w:sz w:val="22"/>
                <w:szCs w:val="22"/>
              </w:rPr>
              <w:t xml:space="preserve">s quantités à produire sont déterminées par le nombre d’électeurs </w:t>
            </w:r>
            <w:r>
              <w:rPr>
                <w:b/>
                <w:sz w:val="22"/>
                <w:szCs w:val="22"/>
              </w:rPr>
              <w:t>connu à la date de publication du marché, présenté dans l’annexe I du CCTP.</w:t>
            </w:r>
          </w:p>
          <w:p w:rsidR="004E4EE2" w:rsidRDefault="004E4EE2" w:rsidP="00583DE1">
            <w:pPr>
              <w:suppressAutoHyphens w:val="0"/>
              <w:autoSpaceDE/>
              <w:spacing w:after="0"/>
              <w:contextualSpacing/>
              <w:rPr>
                <w:b/>
                <w:sz w:val="22"/>
                <w:szCs w:val="22"/>
              </w:rPr>
            </w:pPr>
          </w:p>
          <w:p w:rsidR="004E4EE2" w:rsidRDefault="004E4EE2" w:rsidP="00583DE1">
            <w:pPr>
              <w:suppressAutoHyphens w:val="0"/>
              <w:autoSpaceDE/>
              <w:spacing w:after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 candidat est libre de retenir la présentation qu’il souhaite. Elle doit être didactique et similaire à ce qui serait communiqué à l’administration lors d’une commande.</w:t>
            </w:r>
          </w:p>
          <w:p w:rsidR="00653485" w:rsidRDefault="00653485" w:rsidP="00583DE1">
            <w:pPr>
              <w:suppressAutoHyphens w:val="0"/>
              <w:autoSpaceDE/>
              <w:spacing w:after="0"/>
              <w:contextualSpacing/>
              <w:rPr>
                <w:b/>
                <w:sz w:val="22"/>
                <w:szCs w:val="22"/>
              </w:rPr>
            </w:pPr>
          </w:p>
          <w:p w:rsidR="00653485" w:rsidRPr="00653485" w:rsidRDefault="00653485" w:rsidP="0081056E">
            <w:pPr>
              <w:spacing w:before="0"/>
              <w:rPr>
                <w:i/>
                <w:sz w:val="22"/>
                <w:szCs w:val="22"/>
              </w:rPr>
            </w:pPr>
            <w:r w:rsidRPr="00653485">
              <w:rPr>
                <w:i/>
                <w:sz w:val="22"/>
                <w:szCs w:val="22"/>
              </w:rPr>
              <w:t xml:space="preserve">Ces scénarios sont fictifs et </w:t>
            </w:r>
            <w:r>
              <w:rPr>
                <w:i/>
                <w:sz w:val="22"/>
                <w:szCs w:val="22"/>
              </w:rPr>
              <w:t xml:space="preserve">n’ont trait </w:t>
            </w:r>
            <w:r w:rsidRPr="00653485">
              <w:rPr>
                <w:i/>
                <w:sz w:val="22"/>
                <w:szCs w:val="22"/>
              </w:rPr>
              <w:t>qu’à la seule analyse des offres.</w:t>
            </w:r>
          </w:p>
        </w:tc>
      </w:tr>
      <w:tr w:rsidR="002565EA" w:rsidRPr="00D00E1E" w:rsidTr="007C3B04">
        <w:tc>
          <w:tcPr>
            <w:tcW w:w="9634" w:type="dxa"/>
          </w:tcPr>
          <w:p w:rsidR="002565EA" w:rsidRDefault="002565EA" w:rsidP="000E4C61">
            <w:pPr>
              <w:spacing w:before="0"/>
              <w:rPr>
                <w:i/>
                <w:sz w:val="22"/>
                <w:szCs w:val="22"/>
              </w:rPr>
            </w:pPr>
          </w:p>
          <w:p w:rsidR="002565EA" w:rsidRPr="00FA5F40" w:rsidRDefault="002565EA" w:rsidP="000E4C61">
            <w:pPr>
              <w:spacing w:before="0"/>
              <w:rPr>
                <w:i/>
                <w:sz w:val="22"/>
                <w:szCs w:val="22"/>
              </w:rPr>
            </w:pPr>
            <w:r w:rsidRPr="00FA5F40">
              <w:rPr>
                <w:i/>
                <w:sz w:val="22"/>
                <w:szCs w:val="22"/>
              </w:rPr>
              <w:t>Répondre ici ou reporter les numéros de page d’un document annexe</w:t>
            </w:r>
          </w:p>
          <w:p w:rsidR="002565EA" w:rsidRPr="00D00E1E" w:rsidRDefault="002565EA" w:rsidP="000E4C61">
            <w:pPr>
              <w:spacing w:before="0" w:after="0"/>
              <w:rPr>
                <w:sz w:val="22"/>
                <w:szCs w:val="22"/>
              </w:rPr>
            </w:pPr>
          </w:p>
        </w:tc>
      </w:tr>
    </w:tbl>
    <w:p w:rsidR="00EC47E5" w:rsidRPr="00D00E1E" w:rsidRDefault="00EC47E5" w:rsidP="00EC47E5">
      <w:pPr>
        <w:spacing w:before="0" w:after="0"/>
        <w:rPr>
          <w:sz w:val="22"/>
          <w:szCs w:val="22"/>
        </w:rPr>
      </w:pPr>
    </w:p>
    <w:sectPr w:rsidR="00EC47E5" w:rsidRPr="00D00E1E" w:rsidSect="00974D43">
      <w:footerReference w:type="default" r:id="rId7"/>
      <w:headerReference w:type="first" r:id="rId8"/>
      <w:pgSz w:w="11906" w:h="16838"/>
      <w:pgMar w:top="1418" w:right="1151" w:bottom="1418" w:left="11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C1" w:rsidRDefault="00CE08C1" w:rsidP="00CE08C1">
      <w:pPr>
        <w:spacing w:before="0" w:after="0"/>
      </w:pPr>
      <w:r>
        <w:separator/>
      </w:r>
    </w:p>
  </w:endnote>
  <w:endnote w:type="continuationSeparator" w:id="0">
    <w:p w:rsidR="00CE08C1" w:rsidRDefault="00CE08C1" w:rsidP="00CE08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08509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565EA" w:rsidRDefault="002565EA">
            <w:pPr>
              <w:pStyle w:val="Pieddepage"/>
              <w:jc w:val="right"/>
            </w:pPr>
            <w:r>
              <w:rPr>
                <w:lang w:val="fr-FR"/>
              </w:rPr>
              <w:tab/>
            </w:r>
            <w:r w:rsidR="0083338F" w:rsidRPr="00AE1A02">
              <w:rPr>
                <w:i/>
                <w:sz w:val="22"/>
                <w:lang w:val="fr-FR"/>
              </w:rPr>
              <w:t>PRA046021</w:t>
            </w:r>
            <w:r w:rsidR="0083338F">
              <w:rPr>
                <w:i/>
                <w:sz w:val="22"/>
                <w:lang w:val="fr-FR"/>
              </w:rPr>
              <w:t xml:space="preserve"> _ </w:t>
            </w:r>
            <w:r w:rsidRPr="00AE1A02">
              <w:rPr>
                <w:i/>
                <w:sz w:val="22"/>
                <w:lang w:val="fr-FR"/>
              </w:rPr>
              <w:t>CRT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E1A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>/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E1A0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273242" w:rsidRDefault="00AE1A02">
    <w:pPr>
      <w:pStyle w:val="Pieddepage"/>
      <w:tabs>
        <w:tab w:val="clear" w:pos="4536"/>
        <w:tab w:val="clear" w:pos="9072"/>
        <w:tab w:val="left" w:pos="6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C1" w:rsidRDefault="00CE08C1" w:rsidP="00CE08C1">
      <w:pPr>
        <w:spacing w:before="0" w:after="0"/>
      </w:pPr>
      <w:r>
        <w:separator/>
      </w:r>
    </w:p>
  </w:footnote>
  <w:footnote w:type="continuationSeparator" w:id="0">
    <w:p w:rsidR="00CE08C1" w:rsidRDefault="00CE08C1" w:rsidP="00CE08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DCE" w:rsidRDefault="00780DCE">
    <w:pPr>
      <w:pStyle w:val="En-tte"/>
    </w:pPr>
  </w:p>
  <w:p w:rsidR="007F184C" w:rsidRDefault="00780DCE">
    <w:pPr>
      <w:pStyle w:val="En-tte"/>
    </w:pPr>
    <w:r>
      <w:rPr>
        <w:noProof/>
        <w:szCs w:val="20"/>
        <w:lang w:eastAsia="fr-FR"/>
      </w:rPr>
      <w:drawing>
        <wp:anchor distT="0" distB="0" distL="114300" distR="114300" simplePos="0" relativeHeight="251658240" behindDoc="1" locked="0" layoutInCell="1" allowOverlap="1" wp14:editId="2B78EC0F">
          <wp:simplePos x="0" y="0"/>
          <wp:positionH relativeFrom="margin">
            <wp:align>left</wp:align>
          </wp:positionH>
          <wp:positionV relativeFrom="paragraph">
            <wp:posOffset>-373380</wp:posOffset>
          </wp:positionV>
          <wp:extent cx="2459990" cy="1337310"/>
          <wp:effectExtent l="0" t="0" r="0" b="0"/>
          <wp:wrapTight wrapText="bothSides">
            <wp:wrapPolygon edited="0">
              <wp:start x="0" y="0"/>
              <wp:lineTo x="0" y="21231"/>
              <wp:lineTo x="21410" y="21231"/>
              <wp:lineTo x="2141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9990" cy="133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AB04728"/>
    <w:lvl w:ilvl="0">
      <w:start w:val="1"/>
      <w:numFmt w:val="upperRoman"/>
      <w:suff w:val="space"/>
      <w:lvlText w:val="Article %1."/>
      <w:lvlJc w:val="left"/>
      <w:pPr>
        <w:tabs>
          <w:tab w:val="num" w:pos="0"/>
        </w:tabs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2."/>
      <w:lvlJc w:val="left"/>
      <w:pPr>
        <w:tabs>
          <w:tab w:val="num" w:pos="720"/>
        </w:tabs>
        <w:ind w:left="0" w:firstLine="0"/>
      </w:pPr>
      <w:rPr>
        <w:rFonts w:cs="Arial" w:hint="default"/>
        <w:b/>
        <w:i w:val="0"/>
        <w:sz w:val="26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152" w:hanging="432"/>
      </w:pPr>
      <w:rPr>
        <w:rFonts w:ascii="Symbol" w:hAnsi="Symbol" w:cs="Symbol"/>
        <w:b/>
        <w:bCs/>
        <w:sz w:val="26"/>
        <w:szCs w:val="26"/>
        <w:u w:val="none"/>
        <w:lang w:val="x-none" w:bidi="x-none"/>
      </w:rPr>
    </w:lvl>
    <w:lvl w:ilvl="3">
      <w:start w:val="1"/>
      <w:numFmt w:val="decimal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1BA42A4F"/>
    <w:multiLevelType w:val="multilevel"/>
    <w:tmpl w:val="9850A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C687FF5"/>
    <w:multiLevelType w:val="hybridMultilevel"/>
    <w:tmpl w:val="FEFE0A3E"/>
    <w:lvl w:ilvl="0" w:tplc="DE668800">
      <w:start w:val="1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F640E"/>
    <w:multiLevelType w:val="multilevel"/>
    <w:tmpl w:val="7EF8521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3452775D"/>
    <w:multiLevelType w:val="hybridMultilevel"/>
    <w:tmpl w:val="E77AE926"/>
    <w:lvl w:ilvl="0" w:tplc="A3C41EC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91D06"/>
    <w:multiLevelType w:val="hybridMultilevel"/>
    <w:tmpl w:val="53126A6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73CC3702"/>
    <w:multiLevelType w:val="hybridMultilevel"/>
    <w:tmpl w:val="1DDA80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C1"/>
    <w:rsid w:val="000B6BA1"/>
    <w:rsid w:val="000F668A"/>
    <w:rsid w:val="00121AF1"/>
    <w:rsid w:val="00130C8E"/>
    <w:rsid w:val="001705EE"/>
    <w:rsid w:val="001B5FF1"/>
    <w:rsid w:val="001E6A1C"/>
    <w:rsid w:val="002376A6"/>
    <w:rsid w:val="00237C5D"/>
    <w:rsid w:val="00243A6E"/>
    <w:rsid w:val="002565EA"/>
    <w:rsid w:val="00256A47"/>
    <w:rsid w:val="00262931"/>
    <w:rsid w:val="00271C50"/>
    <w:rsid w:val="00282F07"/>
    <w:rsid w:val="00294FF7"/>
    <w:rsid w:val="00327631"/>
    <w:rsid w:val="0035593C"/>
    <w:rsid w:val="0036027C"/>
    <w:rsid w:val="003B1DED"/>
    <w:rsid w:val="003D7622"/>
    <w:rsid w:val="00496C42"/>
    <w:rsid w:val="004E43C6"/>
    <w:rsid w:val="004E4EE2"/>
    <w:rsid w:val="004E68F4"/>
    <w:rsid w:val="0053455E"/>
    <w:rsid w:val="00536CC0"/>
    <w:rsid w:val="00583DE1"/>
    <w:rsid w:val="005D5C99"/>
    <w:rsid w:val="005F141C"/>
    <w:rsid w:val="005F3527"/>
    <w:rsid w:val="006176D8"/>
    <w:rsid w:val="00653485"/>
    <w:rsid w:val="006A147F"/>
    <w:rsid w:val="006D1714"/>
    <w:rsid w:val="006E1183"/>
    <w:rsid w:val="00712F4B"/>
    <w:rsid w:val="007175FC"/>
    <w:rsid w:val="00721BFD"/>
    <w:rsid w:val="00743943"/>
    <w:rsid w:val="007523F8"/>
    <w:rsid w:val="007550A8"/>
    <w:rsid w:val="00780DCE"/>
    <w:rsid w:val="007C3B04"/>
    <w:rsid w:val="007E7002"/>
    <w:rsid w:val="007F184C"/>
    <w:rsid w:val="0081056E"/>
    <w:rsid w:val="008254A3"/>
    <w:rsid w:val="0083338F"/>
    <w:rsid w:val="00846CA6"/>
    <w:rsid w:val="00865CFB"/>
    <w:rsid w:val="008673C9"/>
    <w:rsid w:val="008863AF"/>
    <w:rsid w:val="008B66CE"/>
    <w:rsid w:val="008E78E1"/>
    <w:rsid w:val="008F499B"/>
    <w:rsid w:val="0092246A"/>
    <w:rsid w:val="009562F7"/>
    <w:rsid w:val="00993956"/>
    <w:rsid w:val="00997220"/>
    <w:rsid w:val="009E2A37"/>
    <w:rsid w:val="009F4A38"/>
    <w:rsid w:val="00A32C00"/>
    <w:rsid w:val="00A57C69"/>
    <w:rsid w:val="00AA237D"/>
    <w:rsid w:val="00AB1772"/>
    <w:rsid w:val="00AB1F52"/>
    <w:rsid w:val="00AB23AE"/>
    <w:rsid w:val="00AC7791"/>
    <w:rsid w:val="00AD1CC7"/>
    <w:rsid w:val="00AE1A02"/>
    <w:rsid w:val="00AE6B2A"/>
    <w:rsid w:val="00B62FCA"/>
    <w:rsid w:val="00BA1942"/>
    <w:rsid w:val="00BB0CDB"/>
    <w:rsid w:val="00BC69CF"/>
    <w:rsid w:val="00BC6BDD"/>
    <w:rsid w:val="00BD5655"/>
    <w:rsid w:val="00C204C1"/>
    <w:rsid w:val="00C22934"/>
    <w:rsid w:val="00C44928"/>
    <w:rsid w:val="00C44B3D"/>
    <w:rsid w:val="00C47546"/>
    <w:rsid w:val="00C918FB"/>
    <w:rsid w:val="00CD5854"/>
    <w:rsid w:val="00CE08C1"/>
    <w:rsid w:val="00CE2B18"/>
    <w:rsid w:val="00CF760F"/>
    <w:rsid w:val="00D36597"/>
    <w:rsid w:val="00D76566"/>
    <w:rsid w:val="00D8567E"/>
    <w:rsid w:val="00D90CBF"/>
    <w:rsid w:val="00DA7A45"/>
    <w:rsid w:val="00DB1A58"/>
    <w:rsid w:val="00DD487E"/>
    <w:rsid w:val="00DD6F15"/>
    <w:rsid w:val="00E47D3A"/>
    <w:rsid w:val="00EA4BDF"/>
    <w:rsid w:val="00EA7968"/>
    <w:rsid w:val="00EC28D8"/>
    <w:rsid w:val="00EC47E5"/>
    <w:rsid w:val="00F00F6F"/>
    <w:rsid w:val="00F26A0E"/>
    <w:rsid w:val="00F41833"/>
    <w:rsid w:val="00F62BF3"/>
    <w:rsid w:val="00F81B99"/>
    <w:rsid w:val="00F82258"/>
    <w:rsid w:val="00FB4589"/>
    <w:rsid w:val="00FC204D"/>
    <w:rsid w:val="00FD71EF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4CE871F-12EC-47D6-A327-04D414743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8C1"/>
    <w:pPr>
      <w:suppressAutoHyphens/>
      <w:autoSpaceDE w:val="0"/>
      <w:spacing w:before="120" w:after="120" w:line="240" w:lineRule="auto"/>
      <w:jc w:val="both"/>
    </w:pPr>
    <w:rPr>
      <w:rFonts w:ascii="Marianne" w:eastAsia="Times New Roman" w:hAnsi="Marianne" w:cs="Arial"/>
      <w:sz w:val="20"/>
      <w:szCs w:val="24"/>
      <w:lang w:eastAsia="zh-CN"/>
    </w:rPr>
  </w:style>
  <w:style w:type="paragraph" w:styleId="Titre2">
    <w:name w:val="heading 2"/>
    <w:basedOn w:val="Normal"/>
    <w:next w:val="Normal"/>
    <w:link w:val="Titre2Car"/>
    <w:qFormat/>
    <w:rsid w:val="00CE08C1"/>
    <w:pPr>
      <w:keepNext/>
      <w:numPr>
        <w:ilvl w:val="1"/>
        <w:numId w:val="1"/>
      </w:numPr>
      <w:shd w:val="clear" w:color="auto" w:fill="D8D8D8"/>
      <w:tabs>
        <w:tab w:val="left" w:pos="993"/>
      </w:tabs>
      <w:spacing w:before="240"/>
      <w:outlineLvl w:val="1"/>
    </w:pPr>
    <w:rPr>
      <w:rFonts w:eastAsia="MS Mincho" w:cs="Times New Roman"/>
      <w:b/>
      <w:bCs/>
      <w:caps/>
      <w:szCs w:val="26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CE08C1"/>
    <w:rPr>
      <w:rFonts w:ascii="Marianne" w:eastAsia="MS Mincho" w:hAnsi="Marianne" w:cs="Times New Roman"/>
      <w:b/>
      <w:bCs/>
      <w:caps/>
      <w:sz w:val="20"/>
      <w:szCs w:val="26"/>
      <w:shd w:val="clear" w:color="auto" w:fill="D8D8D8"/>
      <w:lang w:val="x-none" w:eastAsia="zh-CN"/>
    </w:rPr>
  </w:style>
  <w:style w:type="character" w:styleId="Numrodepage">
    <w:name w:val="page number"/>
    <w:rsid w:val="00CE08C1"/>
    <w:rPr>
      <w:sz w:val="20"/>
      <w:szCs w:val="20"/>
    </w:rPr>
  </w:style>
  <w:style w:type="paragraph" w:styleId="Lgende">
    <w:name w:val="caption"/>
    <w:basedOn w:val="Normal"/>
    <w:next w:val="Normal"/>
    <w:qFormat/>
    <w:rsid w:val="00CE08C1"/>
    <w:rPr>
      <w:b/>
    </w:rPr>
  </w:style>
  <w:style w:type="paragraph" w:styleId="Pieddepage">
    <w:name w:val="footer"/>
    <w:basedOn w:val="Normal"/>
    <w:link w:val="PieddepageCar"/>
    <w:uiPriority w:val="99"/>
    <w:rsid w:val="00CE08C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PieddepageCar">
    <w:name w:val="Pied de page Car"/>
    <w:basedOn w:val="Policepardfaut"/>
    <w:link w:val="Pieddepage"/>
    <w:uiPriority w:val="99"/>
    <w:rsid w:val="00CE08C1"/>
    <w:rPr>
      <w:rFonts w:ascii="Marianne" w:eastAsia="Times New Roman" w:hAnsi="Marianne" w:cs="Times New Roman"/>
      <w:sz w:val="20"/>
      <w:szCs w:val="24"/>
      <w:lang w:val="x-none"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CE08C1"/>
    <w:pPr>
      <w:ind w:left="708"/>
    </w:pPr>
  </w:style>
  <w:style w:type="character" w:customStyle="1" w:styleId="ParagraphedelisteCar">
    <w:name w:val="Paragraphe de liste Car"/>
    <w:link w:val="Paragraphedeliste"/>
    <w:uiPriority w:val="34"/>
    <w:rsid w:val="00CE08C1"/>
    <w:rPr>
      <w:rFonts w:ascii="Marianne" w:eastAsia="Times New Roman" w:hAnsi="Marianne" w:cs="Arial"/>
      <w:sz w:val="20"/>
      <w:szCs w:val="24"/>
      <w:lang w:eastAsia="zh-CN"/>
    </w:rPr>
  </w:style>
  <w:style w:type="table" w:styleId="Grilledutableau">
    <w:name w:val="Table Grid"/>
    <w:basedOn w:val="TableauNormal"/>
    <w:uiPriority w:val="39"/>
    <w:rsid w:val="00CE0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E08C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E08C1"/>
    <w:rPr>
      <w:rFonts w:ascii="Marianne" w:eastAsia="Times New Roman" w:hAnsi="Marianne" w:cs="Arial"/>
      <w:sz w:val="20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536C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6CC0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6CC0"/>
    <w:rPr>
      <w:rFonts w:ascii="Marianne" w:eastAsia="Times New Roman" w:hAnsi="Marianne" w:cs="Arial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6C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6CC0"/>
    <w:rPr>
      <w:rFonts w:ascii="Marianne" w:eastAsia="Times New Roman" w:hAnsi="Marianne" w:cs="Arial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CC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CC0"/>
    <w:rPr>
      <w:rFonts w:ascii="Segoe UI" w:eastAsia="Times New Roman" w:hAnsi="Segoe UI" w:cs="Segoe UI"/>
      <w:sz w:val="18"/>
      <w:szCs w:val="18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7F184C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F184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customStyle="1" w:styleId="Standard">
    <w:name w:val="Standard"/>
    <w:rsid w:val="00AB1F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4</Pages>
  <Words>671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 Camille</dc:creator>
  <cp:keywords/>
  <dc:description/>
  <cp:lastModifiedBy>Anne-Laure TERIITEHAU</cp:lastModifiedBy>
  <cp:revision>68</cp:revision>
  <dcterms:created xsi:type="dcterms:W3CDTF">2023-11-15T12:43:00Z</dcterms:created>
  <dcterms:modified xsi:type="dcterms:W3CDTF">2026-02-05T05:46:00Z</dcterms:modified>
</cp:coreProperties>
</file>