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04AB1">
            <w:pPr>
              <w:pStyle w:val="Pieddepage"/>
              <w:tabs>
                <w:tab w:val="clear" w:pos="4536"/>
                <w:tab w:val="clear" w:pos="9072"/>
              </w:tabs>
              <w:jc w:val="center"/>
              <w:rPr>
                <w:rFonts w:ascii="Arial" w:hAnsi="Arial" w:cs="Arial"/>
              </w:rPr>
            </w:pPr>
            <w:r>
              <w:rPr>
                <w:noProof/>
                <w:color w:val="000000"/>
                <w:sz w:val="24"/>
                <w:szCs w:val="24"/>
                <w:lang w:eastAsia="fr-FR"/>
              </w:rPr>
              <w:drawing>
                <wp:inline distT="0" distB="0" distL="0" distR="0">
                  <wp:extent cx="3609975" cy="13169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9975" cy="1316990"/>
                          </a:xfrm>
                          <a:prstGeom prst="rect">
                            <a:avLst/>
                          </a:prstGeom>
                          <a:noFill/>
                          <a:ln>
                            <a:noFill/>
                          </a:ln>
                        </pic:spPr>
                      </pic:pic>
                    </a:graphicData>
                  </a:graphic>
                </wp:inline>
              </w:drawing>
            </w:r>
          </w:p>
          <w:p w:rsidR="00472B25" w:rsidRDefault="00472B25" w:rsidP="00841AC4">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FC49F7">
        <w:rPr>
          <w:rFonts w:ascii="Arial" w:hAnsi="Arial" w:cs="Arial"/>
          <w:i/>
          <w:sz w:val="18"/>
          <w:szCs w:val="18"/>
        </w:rPr>
        <w:t>le pouvoir adjudicateur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FC49F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FC49F7">
              <w:rPr>
                <w:rFonts w:ascii="Arial" w:hAnsi="Arial" w:cs="Arial"/>
                <w:b/>
                <w:bCs/>
                <w:sz w:val="22"/>
                <w:szCs w:val="22"/>
              </w:rPr>
              <w:t>du pouvoir adjudicateur</w:t>
            </w:r>
          </w:p>
        </w:tc>
      </w:tr>
    </w:tbl>
    <w:p w:rsidR="00C41C64" w:rsidRDefault="00C41C64">
      <w:pPr>
        <w:rPr>
          <w:rFonts w:ascii="Arial" w:hAnsi="Arial" w:cs="Arial"/>
          <w:b/>
          <w:bCs/>
        </w:rPr>
      </w:pPr>
    </w:p>
    <w:p w:rsidR="002262D0" w:rsidRDefault="002262D0" w:rsidP="002262D0">
      <w:pPr>
        <w:tabs>
          <w:tab w:val="left" w:pos="851"/>
        </w:tabs>
        <w:jc w:val="both"/>
        <w:rPr>
          <w:rFonts w:ascii="Arial" w:hAnsi="Arial" w:cs="Arial"/>
        </w:rPr>
      </w:pPr>
      <w:r w:rsidRPr="0054424F">
        <w:rPr>
          <w:rFonts w:ascii="Arial" w:hAnsi="Arial" w:cs="Arial"/>
        </w:rPr>
        <w:t>Centre hospitalier de Mâcon</w:t>
      </w:r>
    </w:p>
    <w:p w:rsidR="0054424F" w:rsidRDefault="0054424F" w:rsidP="002262D0">
      <w:pPr>
        <w:tabs>
          <w:tab w:val="left" w:pos="851"/>
        </w:tabs>
        <w:jc w:val="both"/>
        <w:rPr>
          <w:rFonts w:ascii="Arial" w:hAnsi="Arial" w:cs="Arial"/>
        </w:rPr>
      </w:pPr>
      <w:r>
        <w:rPr>
          <w:rFonts w:ascii="Arial" w:hAnsi="Arial" w:cs="Arial"/>
        </w:rPr>
        <w:t>Site support du GHT de la Bourgogne Méridionale</w:t>
      </w:r>
    </w:p>
    <w:p w:rsidR="0054424F" w:rsidRDefault="0054424F" w:rsidP="002262D0">
      <w:pPr>
        <w:tabs>
          <w:tab w:val="left" w:pos="851"/>
        </w:tabs>
        <w:jc w:val="both"/>
        <w:rPr>
          <w:rFonts w:ascii="Arial" w:hAnsi="Arial" w:cs="Arial"/>
        </w:rPr>
      </w:pPr>
      <w:r>
        <w:rPr>
          <w:rFonts w:ascii="Arial" w:hAnsi="Arial" w:cs="Arial"/>
        </w:rPr>
        <w:t>350 Boulevard Louis Escande</w:t>
      </w:r>
    </w:p>
    <w:p w:rsidR="0054424F" w:rsidRDefault="0054424F" w:rsidP="002262D0">
      <w:pPr>
        <w:tabs>
          <w:tab w:val="left" w:pos="851"/>
        </w:tabs>
        <w:jc w:val="both"/>
        <w:rPr>
          <w:rFonts w:ascii="Arial" w:hAnsi="Arial" w:cs="Arial"/>
        </w:rPr>
      </w:pPr>
      <w:r>
        <w:rPr>
          <w:rFonts w:ascii="Arial" w:hAnsi="Arial" w:cs="Arial"/>
        </w:rPr>
        <w:t xml:space="preserve">71018 MACON CEDEX </w:t>
      </w:r>
    </w:p>
    <w:p w:rsidR="00B63308" w:rsidRPr="00B63308" w:rsidRDefault="00B63308" w:rsidP="00B63308">
      <w:pPr>
        <w:rPr>
          <w:rFonts w:ascii="Arial" w:hAnsi="Arial" w:cs="Arial"/>
        </w:rPr>
      </w:pPr>
      <w:r w:rsidRPr="00B63308">
        <w:rPr>
          <w:rFonts w:ascii="Arial" w:hAnsi="Arial" w:cs="Arial"/>
        </w:rPr>
        <w:t>Tél. : 03 85 27 52 05</w:t>
      </w:r>
    </w:p>
    <w:p w:rsidR="00B63308" w:rsidRPr="00B63308" w:rsidRDefault="00B63308" w:rsidP="00B63308">
      <w:pPr>
        <w:rPr>
          <w:rFonts w:ascii="Arial" w:hAnsi="Arial" w:cs="Arial"/>
        </w:rPr>
      </w:pPr>
      <w:r w:rsidRPr="00B63308">
        <w:rPr>
          <w:rFonts w:ascii="Arial" w:hAnsi="Arial" w:cs="Arial"/>
        </w:rPr>
        <w:t>Email : cellulemarches@ch-macon.fr</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2262D0">
      <w:pPr>
        <w:pStyle w:val="fcase1ertab"/>
        <w:tabs>
          <w:tab w:val="clear" w:pos="426"/>
          <w:tab w:val="left" w:pos="0"/>
        </w:tabs>
        <w:spacing w:before="120"/>
        <w:ind w:left="0" w:firstLine="0"/>
        <w:rPr>
          <w:rFonts w:ascii="Arial" w:hAnsi="Arial" w:cs="Arial"/>
          <w:bCs/>
          <w:sz w:val="16"/>
          <w:szCs w:val="16"/>
        </w:rPr>
      </w:pPr>
      <w:r>
        <w:rPr>
          <w:rFonts w:ascii="Arial" w:hAnsi="Arial" w:cs="Arial"/>
          <w:bCs/>
          <w:i/>
          <w:iCs/>
          <w:sz w:val="16"/>
          <w:szCs w:val="16"/>
        </w:rPr>
        <w:t>E</w:t>
      </w:r>
      <w:r w:rsidR="00472B25"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p>
    <w:p w:rsidR="00472B25" w:rsidRPr="008C2177" w:rsidRDefault="00472B25">
      <w:pPr>
        <w:rPr>
          <w:rFonts w:ascii="Arial" w:hAnsi="Arial" w:cs="Arial"/>
          <w:bCs/>
          <w:sz w:val="16"/>
          <w:szCs w:val="16"/>
        </w:rPr>
      </w:pPr>
    </w:p>
    <w:p w:rsidR="00CD3CA9" w:rsidRPr="00E14C3A" w:rsidRDefault="00CD3CA9" w:rsidP="00CD3CA9">
      <w:pPr>
        <w:rPr>
          <w:rFonts w:ascii="Arial" w:hAnsi="Arial" w:cs="Arial"/>
          <w:bCs/>
        </w:rPr>
      </w:pPr>
      <w:r w:rsidRPr="00E14C3A">
        <w:rPr>
          <w:rFonts w:ascii="Arial" w:hAnsi="Arial" w:cs="Arial"/>
          <w:bCs/>
        </w:rPr>
        <w:t>Maintenance préventive et corrective des adoucisseurs</w:t>
      </w:r>
      <w:r w:rsidR="00FA2D0E">
        <w:rPr>
          <w:rFonts w:ascii="Arial" w:hAnsi="Arial" w:cs="Arial"/>
          <w:bCs/>
        </w:rPr>
        <w:t xml:space="preserve"> et osmoseur</w:t>
      </w:r>
      <w:r>
        <w:rPr>
          <w:rFonts w:ascii="Arial" w:hAnsi="Arial" w:cs="Arial"/>
          <w:bCs/>
        </w:rPr>
        <w:t xml:space="preserve"> </w:t>
      </w:r>
      <w:r w:rsidRPr="00E14C3A">
        <w:rPr>
          <w:rFonts w:ascii="Arial" w:hAnsi="Arial" w:cs="Arial"/>
          <w:bCs/>
        </w:rPr>
        <w:t>des établissements du GHT de la Bourgogne Méridionale.</w:t>
      </w:r>
    </w:p>
    <w:p w:rsidR="00884D44" w:rsidRDefault="00884D44" w:rsidP="00FD15F3">
      <w:pPr>
        <w:tabs>
          <w:tab w:val="left" w:pos="426"/>
          <w:tab w:val="left" w:pos="851"/>
        </w:tabs>
        <w:jc w:val="both"/>
        <w:rPr>
          <w:rFonts w:ascii="Arial" w:hAnsi="Arial" w:cs="Arial"/>
        </w:rPr>
      </w:pPr>
    </w:p>
    <w:p w:rsidR="00FD15F3" w:rsidRDefault="00FD15F3" w:rsidP="00FD15F3">
      <w:pPr>
        <w:tabs>
          <w:tab w:val="left" w:pos="426"/>
          <w:tab w:val="left" w:pos="851"/>
        </w:tabs>
        <w:jc w:val="both"/>
        <w:rPr>
          <w:rFonts w:ascii="Marianne" w:hAnsi="Marianne" w:cs="Arial"/>
          <w:i/>
        </w:rPr>
      </w:pPr>
      <w:r w:rsidRPr="006D3436">
        <w:rPr>
          <w:rFonts w:ascii="Arial" w:hAnsi="Arial" w:cs="Arial"/>
        </w:rPr>
        <w:t>Le marché est alloti comme suit</w:t>
      </w:r>
      <w:r w:rsidRPr="000234DF">
        <w:rPr>
          <w:rFonts w:ascii="Marianne" w:hAnsi="Marianne"/>
          <w:bCs/>
          <w:lang w:val="fr-BE" w:eastAsia="fr-FR"/>
        </w:rPr>
        <w:t>:</w:t>
      </w:r>
      <w:r w:rsidRPr="000234DF">
        <w:rPr>
          <w:rFonts w:ascii="Marianne" w:hAnsi="Marianne"/>
          <w:bCs/>
          <w:i/>
          <w:iCs/>
          <w:lang w:val="fr-BE"/>
        </w:rPr>
        <w:t xml:space="preserve"> (</w:t>
      </w:r>
      <w:r w:rsidRPr="000234DF">
        <w:rPr>
          <w:rFonts w:ascii="Marianne" w:hAnsi="Marianne" w:cs="Arial"/>
          <w:i/>
          <w:iCs/>
        </w:rPr>
        <w:t>Cocher la case du</w:t>
      </w:r>
      <w:r w:rsidRPr="000234DF">
        <w:rPr>
          <w:rFonts w:ascii="Marianne" w:hAnsi="Marianne" w:cs="Arial"/>
          <w:i/>
        </w:rPr>
        <w:t xml:space="preserve"> ou des lots concerné(s) par ce document)</w:t>
      </w:r>
    </w:p>
    <w:p w:rsidR="006D3436" w:rsidRPr="000234DF" w:rsidRDefault="006D3436" w:rsidP="00FD15F3">
      <w:pPr>
        <w:tabs>
          <w:tab w:val="left" w:pos="426"/>
          <w:tab w:val="left" w:pos="851"/>
        </w:tabs>
        <w:jc w:val="both"/>
        <w:rPr>
          <w:rFonts w:ascii="Marianne" w:hAnsi="Marianne" w:cs="Arial"/>
          <w:i/>
        </w:rPr>
      </w:pPr>
    </w:p>
    <w:p w:rsidR="00CD3CA9" w:rsidRDefault="00FD15F3" w:rsidP="00CD3CA9">
      <w:pPr>
        <w:jc w:val="both"/>
        <w:rPr>
          <w:rFonts w:ascii="Arial" w:hAnsi="Arial" w:cs="Arial"/>
          <w:bCs/>
        </w:rPr>
      </w:pPr>
      <w:r w:rsidRPr="000234DF">
        <w:rPr>
          <w:rFonts w:ascii="Marianne" w:hAnsi="Marianne"/>
          <w:bCs/>
          <w:lang w:val="fr-BE" w:eastAsia="fr-FR"/>
        </w:rPr>
        <w:fldChar w:fldCharType="begin">
          <w:ffData>
            <w:name w:val="CaseACocher1"/>
            <w:enabled/>
            <w:calcOnExit w:val="0"/>
            <w:checkBox>
              <w:sizeAuto/>
              <w:default w:val="0"/>
            </w:checkBox>
          </w:ffData>
        </w:fldChar>
      </w:r>
      <w:r w:rsidRPr="000234DF">
        <w:rPr>
          <w:rFonts w:ascii="Marianne" w:hAnsi="Marianne"/>
          <w:bCs/>
          <w:lang w:val="en-GB" w:eastAsia="fr-FR"/>
        </w:rPr>
        <w:instrText xml:space="preserve"> FORMCHECKBOX </w:instrText>
      </w:r>
      <w:r w:rsidR="001436E8">
        <w:rPr>
          <w:rFonts w:ascii="Marianne" w:hAnsi="Marianne"/>
          <w:bCs/>
          <w:lang w:val="fr-BE" w:eastAsia="fr-FR"/>
        </w:rPr>
      </w:r>
      <w:r w:rsidR="001436E8">
        <w:rPr>
          <w:rFonts w:ascii="Marianne" w:hAnsi="Marianne"/>
          <w:bCs/>
          <w:lang w:val="fr-BE" w:eastAsia="fr-FR"/>
        </w:rPr>
        <w:fldChar w:fldCharType="separate"/>
      </w:r>
      <w:r w:rsidRPr="000234DF">
        <w:rPr>
          <w:rFonts w:ascii="Marianne" w:hAnsi="Marianne"/>
          <w:bCs/>
          <w:lang w:val="fr-BE" w:eastAsia="fr-FR"/>
        </w:rPr>
        <w:fldChar w:fldCharType="end"/>
      </w:r>
      <w:r w:rsidRPr="000234DF">
        <w:rPr>
          <w:rFonts w:ascii="Marianne" w:hAnsi="Marianne"/>
          <w:bCs/>
          <w:lang w:val="en-GB" w:eastAsia="fr-FR"/>
        </w:rPr>
        <w:t xml:space="preserve"> </w:t>
      </w:r>
      <w:r w:rsidRPr="006147A9">
        <w:rPr>
          <w:rFonts w:ascii="Arial" w:hAnsi="Arial" w:cs="Arial"/>
          <w:bCs/>
        </w:rPr>
        <w:t xml:space="preserve">Lot n° </w:t>
      </w:r>
      <w:r w:rsidR="00CD3CA9" w:rsidRPr="006147A9">
        <w:rPr>
          <w:rFonts w:ascii="Arial" w:hAnsi="Arial" w:cs="Arial"/>
          <w:bCs/>
        </w:rPr>
        <w:t>1</w:t>
      </w:r>
      <w:r w:rsidRPr="006147A9">
        <w:rPr>
          <w:rFonts w:ascii="Arial" w:hAnsi="Arial" w:cs="Arial"/>
          <w:bCs/>
        </w:rPr>
        <w:t>:</w:t>
      </w:r>
      <w:r w:rsidRPr="000234DF">
        <w:rPr>
          <w:rFonts w:ascii="Marianne" w:hAnsi="Marianne"/>
          <w:bCs/>
          <w:lang w:val="en-GB" w:eastAsia="fr-FR"/>
        </w:rPr>
        <w:t xml:space="preserve"> </w:t>
      </w:r>
      <w:r w:rsidR="00CD3CA9" w:rsidRPr="00E14C3A">
        <w:rPr>
          <w:rFonts w:ascii="Arial" w:hAnsi="Arial" w:cs="Arial"/>
          <w:bCs/>
        </w:rPr>
        <w:t>Maintenance préventive et corrective des adoucisseurs des Centres hospitaliers de Tournus et du Clunisois</w:t>
      </w:r>
    </w:p>
    <w:p w:rsidR="00CD3CA9" w:rsidRDefault="00CD3CA9" w:rsidP="00CD3CA9">
      <w:pPr>
        <w:jc w:val="both"/>
        <w:rPr>
          <w:rFonts w:ascii="Arial" w:hAnsi="Arial" w:cs="Arial"/>
          <w:bCs/>
        </w:rPr>
      </w:pPr>
    </w:p>
    <w:p w:rsidR="00CD3CA9" w:rsidRDefault="00BC463D" w:rsidP="00CD3CA9">
      <w:pPr>
        <w:jc w:val="both"/>
        <w:rPr>
          <w:rFonts w:ascii="Arial" w:hAnsi="Arial" w:cs="Arial"/>
          <w:bCs/>
        </w:rPr>
      </w:pPr>
      <w:r w:rsidRPr="000234DF">
        <w:rPr>
          <w:rFonts w:ascii="Marianne" w:hAnsi="Marianne"/>
          <w:bCs/>
          <w:lang w:val="fr-BE" w:eastAsia="fr-FR"/>
        </w:rPr>
        <w:fldChar w:fldCharType="begin">
          <w:ffData>
            <w:name w:val="CaseACocher1"/>
            <w:enabled/>
            <w:calcOnExit w:val="0"/>
            <w:checkBox>
              <w:sizeAuto/>
              <w:default w:val="0"/>
            </w:checkBox>
          </w:ffData>
        </w:fldChar>
      </w:r>
      <w:r w:rsidRPr="000234DF">
        <w:rPr>
          <w:rFonts w:ascii="Marianne" w:hAnsi="Marianne"/>
          <w:bCs/>
          <w:lang w:val="en-GB" w:eastAsia="fr-FR"/>
        </w:rPr>
        <w:instrText xml:space="preserve"> FORMCHECKBOX </w:instrText>
      </w:r>
      <w:r w:rsidR="001436E8">
        <w:rPr>
          <w:rFonts w:ascii="Marianne" w:hAnsi="Marianne"/>
          <w:bCs/>
          <w:lang w:val="fr-BE" w:eastAsia="fr-FR"/>
        </w:rPr>
      </w:r>
      <w:r w:rsidR="001436E8">
        <w:rPr>
          <w:rFonts w:ascii="Marianne" w:hAnsi="Marianne"/>
          <w:bCs/>
          <w:lang w:val="fr-BE" w:eastAsia="fr-FR"/>
        </w:rPr>
        <w:fldChar w:fldCharType="separate"/>
      </w:r>
      <w:r w:rsidRPr="000234DF">
        <w:rPr>
          <w:rFonts w:ascii="Marianne" w:hAnsi="Marianne"/>
          <w:bCs/>
          <w:lang w:val="fr-BE" w:eastAsia="fr-FR"/>
        </w:rPr>
        <w:fldChar w:fldCharType="end"/>
      </w:r>
      <w:r w:rsidRPr="000234DF">
        <w:rPr>
          <w:rFonts w:ascii="Marianne" w:hAnsi="Marianne"/>
          <w:bCs/>
          <w:lang w:val="en-GB" w:eastAsia="fr-FR"/>
        </w:rPr>
        <w:t xml:space="preserve"> </w:t>
      </w:r>
      <w:r w:rsidRPr="006147A9">
        <w:rPr>
          <w:rFonts w:ascii="Arial" w:hAnsi="Arial" w:cs="Arial"/>
          <w:bCs/>
        </w:rPr>
        <w:t xml:space="preserve">Lot n° </w:t>
      </w:r>
      <w:r w:rsidR="00CD3CA9">
        <w:rPr>
          <w:rFonts w:ascii="Arial" w:hAnsi="Arial" w:cs="Arial"/>
          <w:bCs/>
        </w:rPr>
        <w:t>2</w:t>
      </w:r>
      <w:r w:rsidRPr="00E14C3A">
        <w:rPr>
          <w:rFonts w:ascii="Arial" w:hAnsi="Arial" w:cs="Arial"/>
          <w:bCs/>
        </w:rPr>
        <w:t xml:space="preserve">: </w:t>
      </w:r>
      <w:r w:rsidR="00CD3CA9" w:rsidRPr="00E14C3A">
        <w:rPr>
          <w:rFonts w:ascii="Arial" w:hAnsi="Arial" w:cs="Arial"/>
          <w:bCs/>
        </w:rPr>
        <w:t>Maintenan</w:t>
      </w:r>
      <w:r w:rsidR="00FA2D0E">
        <w:rPr>
          <w:rFonts w:ascii="Arial" w:hAnsi="Arial" w:cs="Arial"/>
          <w:bCs/>
        </w:rPr>
        <w:t>ce préventive et corrective de l’</w:t>
      </w:r>
      <w:r w:rsidR="00CD3CA9" w:rsidRPr="00E14C3A">
        <w:rPr>
          <w:rFonts w:ascii="Arial" w:hAnsi="Arial" w:cs="Arial"/>
          <w:bCs/>
        </w:rPr>
        <w:t>osmoseur du Centre hospital</w:t>
      </w:r>
      <w:r w:rsidR="00CD3CA9">
        <w:rPr>
          <w:rFonts w:ascii="Arial" w:hAnsi="Arial" w:cs="Arial"/>
          <w:bCs/>
        </w:rPr>
        <w:t>ier du Pays Charolais Brionnais</w:t>
      </w:r>
    </w:p>
    <w:p w:rsidR="00BC463D" w:rsidRDefault="00BC463D" w:rsidP="00BC463D">
      <w:pPr>
        <w:rPr>
          <w:rFonts w:ascii="Arial" w:hAnsi="Arial" w:cs="Arial"/>
          <w:bCs/>
        </w:rPr>
      </w:pPr>
    </w:p>
    <w:p w:rsidR="00BC463D" w:rsidRPr="000234DF" w:rsidRDefault="00BC463D" w:rsidP="00BC463D">
      <w:pPr>
        <w:tabs>
          <w:tab w:val="left" w:pos="426"/>
          <w:tab w:val="left" w:pos="851"/>
        </w:tabs>
        <w:suppressAutoHyphens w:val="0"/>
        <w:jc w:val="both"/>
        <w:rPr>
          <w:rFonts w:ascii="Marianne" w:hAnsi="Marianne"/>
          <w:bCs/>
          <w:lang w:val="en-GB" w:eastAsia="fr-FR"/>
        </w:rPr>
      </w:pPr>
    </w:p>
    <w:p w:rsidR="006D3436" w:rsidRDefault="006D3436">
      <w:pPr>
        <w:suppressAutoHyphens w:val="0"/>
        <w:rPr>
          <w:rFonts w:ascii="Marianne" w:hAnsi="Marianne" w:cs="Arial"/>
          <w:bCs/>
          <w:sz w:val="16"/>
          <w:szCs w:val="16"/>
          <w:lang w:val="en-US"/>
        </w:rPr>
      </w:pPr>
      <w:r>
        <w:rPr>
          <w:rFonts w:ascii="Marianne" w:hAnsi="Marianne" w:cs="Arial"/>
          <w:bCs/>
          <w:sz w:val="16"/>
          <w:szCs w:val="16"/>
          <w:lang w:val="en-US"/>
        </w:rPr>
        <w:br w:type="page"/>
      </w:r>
    </w:p>
    <w:p w:rsidR="00FD15F3" w:rsidRPr="000234DF" w:rsidRDefault="00FD15F3" w:rsidP="00FD15F3">
      <w:pPr>
        <w:pStyle w:val="fcase1ertab"/>
        <w:tabs>
          <w:tab w:val="clear" w:pos="426"/>
          <w:tab w:val="left" w:pos="0"/>
        </w:tabs>
        <w:spacing w:before="120"/>
        <w:ind w:left="0" w:firstLine="0"/>
        <w:rPr>
          <w:rFonts w:ascii="Marianne" w:hAnsi="Marianne" w:cs="Arial"/>
          <w:bCs/>
          <w:sz w:val="16"/>
          <w:szCs w:val="16"/>
          <w:lang w:val="en-U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w:t>
      </w:r>
      <w:r w:rsidR="00FC49F7">
        <w:rPr>
          <w:i w:val="0"/>
          <w:sz w:val="20"/>
          <w:szCs w:val="20"/>
        </w:rPr>
        <w:t>du candidat</w:t>
      </w:r>
      <w:r>
        <w:rPr>
          <w:i w:val="0"/>
          <w:sz w:val="20"/>
          <w:szCs w:val="20"/>
        </w:rPr>
        <w:t xml:space="preserve">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 xml:space="preserve">sociale </w:t>
      </w:r>
      <w:r w:rsidR="00D63ADB">
        <w:rPr>
          <w:sz w:val="20"/>
          <w:szCs w:val="20"/>
        </w:rPr>
        <w:t>du candidat</w:t>
      </w:r>
      <w:r w:rsidRPr="000E2FF3">
        <w:rPr>
          <w:sz w:val="20"/>
          <w:szCs w:val="20"/>
        </w:rPr>
        <w:t xml:space="preserve">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FC49F7">
      <w:pPr>
        <w:ind w:left="567" w:hanging="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436E8">
        <w:fldChar w:fldCharType="separate"/>
      </w:r>
      <w:r>
        <w:fldChar w:fldCharType="end"/>
      </w:r>
      <w:r>
        <w:rPr>
          <w:rFonts w:ascii="Arial" w:hAnsi="Arial" w:cs="Arial"/>
          <w:bCs/>
        </w:rPr>
        <w:t xml:space="preserve"> </w:t>
      </w:r>
      <w:r>
        <w:rPr>
          <w:rFonts w:ascii="Arial" w:hAnsi="Arial" w:cs="Arial"/>
        </w:rPr>
        <w:t>Oui</w:t>
      </w:r>
    </w:p>
    <w:p w:rsidR="00427375" w:rsidRDefault="00427375" w:rsidP="00FC49F7">
      <w:pPr>
        <w:ind w:left="567" w:hanging="567"/>
        <w:jc w:val="both"/>
        <w:rPr>
          <w:rFonts w:ascii="Arial" w:hAnsi="Arial" w:cs="Arial"/>
        </w:rPr>
      </w:pPr>
    </w:p>
    <w:p w:rsidR="00427375" w:rsidRPr="00427375" w:rsidRDefault="00427375" w:rsidP="00FC49F7">
      <w:pPr>
        <w:ind w:left="567" w:hanging="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436E8">
        <w:fldChar w:fldCharType="separate"/>
      </w:r>
      <w:r>
        <w:fldChar w:fldCharType="end"/>
      </w:r>
      <w:r>
        <w:rPr>
          <w:rFonts w:ascii="Arial" w:hAnsi="Arial" w:cs="Arial"/>
          <w:bCs/>
        </w:rPr>
        <w:t xml:space="preserve"> </w:t>
      </w:r>
      <w:r>
        <w:rPr>
          <w:rFonts w:ascii="Arial" w:hAnsi="Arial" w:cs="Arial"/>
        </w:rPr>
        <w:t>Non.</w:t>
      </w:r>
    </w:p>
    <w:p w:rsidR="002262D0" w:rsidRDefault="002262D0">
      <w:pPr>
        <w:jc w:val="both"/>
        <w:rPr>
          <w:rFonts w:ascii="Arial" w:hAnsi="Arial" w:cs="Arial"/>
          <w:b/>
          <w:bCs/>
          <w:sz w:val="22"/>
          <w:szCs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36E8">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36E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36E8">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36E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FC49F7">
      <w:pPr>
        <w:pStyle w:val="En-tte"/>
        <w:tabs>
          <w:tab w:val="clear" w:pos="4536"/>
          <w:tab w:val="clear" w:pos="9072"/>
          <w:tab w:val="left" w:pos="2160"/>
        </w:tabs>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FC49F7">
      <w:pPr>
        <w:pStyle w:val="En-tte"/>
        <w:tabs>
          <w:tab w:val="clear" w:pos="4536"/>
          <w:tab w:val="clear" w:pos="9072"/>
          <w:tab w:val="left" w:pos="2160"/>
        </w:tabs>
        <w:jc w:val="both"/>
        <w:rPr>
          <w:rFonts w:ascii="Arial" w:hAnsi="Arial" w:cs="Arial"/>
          <w:iCs/>
          <w:sz w:val="16"/>
          <w:szCs w:val="18"/>
        </w:rPr>
      </w:pPr>
    </w:p>
    <w:p w:rsidR="00BD1236" w:rsidRPr="008C2177" w:rsidRDefault="00BD1236" w:rsidP="00FC49F7">
      <w:pPr>
        <w:pStyle w:val="En-tte"/>
        <w:tabs>
          <w:tab w:val="clear" w:pos="4536"/>
          <w:tab w:val="clear" w:pos="9072"/>
          <w:tab w:val="left" w:pos="2160"/>
        </w:tabs>
        <w:jc w:val="both"/>
        <w:rPr>
          <w:rFonts w:ascii="Arial" w:hAnsi="Arial" w:cs="Arial"/>
          <w:iCs/>
          <w:sz w:val="16"/>
          <w:szCs w:val="18"/>
        </w:rPr>
      </w:pPr>
    </w:p>
    <w:p w:rsidR="002228BD" w:rsidRPr="008C2177" w:rsidRDefault="002228BD" w:rsidP="00FC49F7">
      <w:pPr>
        <w:pStyle w:val="En-tte"/>
        <w:tabs>
          <w:tab w:val="clear" w:pos="4536"/>
          <w:tab w:val="clear" w:pos="9072"/>
          <w:tab w:val="left" w:pos="2160"/>
        </w:tabs>
        <w:jc w:val="both"/>
        <w:rPr>
          <w:rFonts w:ascii="Arial" w:hAnsi="Arial" w:cs="Arial"/>
          <w:iCs/>
          <w:sz w:val="16"/>
          <w:szCs w:val="18"/>
        </w:rPr>
      </w:pPr>
    </w:p>
    <w:p w:rsidR="002228BD" w:rsidRPr="008C2177" w:rsidRDefault="002228BD" w:rsidP="00FC49F7">
      <w:pPr>
        <w:pStyle w:val="En-tte"/>
        <w:tabs>
          <w:tab w:val="clear" w:pos="4536"/>
          <w:tab w:val="clear" w:pos="9072"/>
          <w:tab w:val="left" w:pos="2160"/>
        </w:tabs>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FC49F7">
      <w:pPr>
        <w:pStyle w:val="En-tte"/>
        <w:tabs>
          <w:tab w:val="clear" w:pos="4536"/>
          <w:tab w:val="clear" w:pos="9072"/>
          <w:tab w:val="left" w:pos="2160"/>
        </w:tabs>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FC49F7">
      <w:pPr>
        <w:pStyle w:val="En-tte"/>
        <w:tabs>
          <w:tab w:val="clear" w:pos="4536"/>
          <w:tab w:val="clear" w:pos="9072"/>
          <w:tab w:val="left" w:pos="2160"/>
        </w:tabs>
        <w:jc w:val="both"/>
        <w:rPr>
          <w:rFonts w:ascii="Arial" w:hAnsi="Arial" w:cs="Arial"/>
          <w:iCs/>
          <w:sz w:val="16"/>
          <w:szCs w:val="18"/>
        </w:rPr>
      </w:pPr>
    </w:p>
    <w:p w:rsidR="002228BD" w:rsidRPr="008C2177" w:rsidRDefault="002228BD" w:rsidP="00FC49F7">
      <w:pPr>
        <w:pStyle w:val="En-tte"/>
        <w:tabs>
          <w:tab w:val="clear" w:pos="4536"/>
          <w:tab w:val="clear" w:pos="9072"/>
          <w:tab w:val="left" w:pos="2160"/>
        </w:tabs>
        <w:jc w:val="both"/>
        <w:rPr>
          <w:rFonts w:ascii="Arial" w:hAnsi="Arial" w:cs="Arial"/>
          <w:iCs/>
          <w:sz w:val="16"/>
          <w:szCs w:val="18"/>
        </w:rPr>
      </w:pPr>
    </w:p>
    <w:p w:rsidR="002228BD" w:rsidRPr="008C2177" w:rsidRDefault="002228BD" w:rsidP="00FC49F7">
      <w:pPr>
        <w:pStyle w:val="En-tte"/>
        <w:tabs>
          <w:tab w:val="clear" w:pos="4536"/>
          <w:tab w:val="clear" w:pos="9072"/>
          <w:tab w:val="left" w:pos="2160"/>
        </w:tabs>
        <w:jc w:val="both"/>
        <w:rPr>
          <w:rFonts w:ascii="Arial" w:hAnsi="Arial" w:cs="Arial"/>
          <w:iCs/>
          <w:sz w:val="16"/>
          <w:szCs w:val="18"/>
        </w:rPr>
      </w:pPr>
    </w:p>
    <w:p w:rsidR="00BD1236" w:rsidRPr="008C2177" w:rsidRDefault="00BD1236" w:rsidP="00FC49F7">
      <w:pPr>
        <w:pStyle w:val="En-tte"/>
        <w:tabs>
          <w:tab w:val="left" w:pos="2160"/>
        </w:tabs>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FC49F7">
      <w:pPr>
        <w:pStyle w:val="En-tte"/>
        <w:tabs>
          <w:tab w:val="left" w:pos="2160"/>
        </w:tabs>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FC49F7">
      <w:pPr>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436E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FC49F7">
      <w:pPr>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FC49F7" w:rsidRDefault="00D21AD8" w:rsidP="00FC49F7">
      <w:pPr>
        <w:pStyle w:val="En-tte"/>
        <w:tabs>
          <w:tab w:val="clear" w:pos="4536"/>
          <w:tab w:val="clear" w:pos="9072"/>
          <w:tab w:val="left" w:pos="0"/>
          <w:tab w:val="left" w:pos="2160"/>
        </w:tabs>
        <w:jc w:val="both"/>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r w:rsidR="00FC49F7">
        <w:rPr>
          <w:rFonts w:ascii="Arial" w:hAnsi="Arial" w:cs="Arial"/>
          <w:i/>
          <w:iCs/>
          <w:szCs w:val="18"/>
        </w:rPr>
        <w:t xml:space="preserve"> </w:t>
      </w:r>
    </w:p>
    <w:p w:rsidR="00D21AD8" w:rsidRPr="00171BF1" w:rsidRDefault="006B4DD2" w:rsidP="00FC49F7">
      <w:pPr>
        <w:pStyle w:val="En-tte"/>
        <w:tabs>
          <w:tab w:val="clear" w:pos="4536"/>
          <w:tab w:val="clear" w:pos="9072"/>
          <w:tab w:val="left" w:pos="0"/>
          <w:tab w:val="left" w:pos="2160"/>
        </w:tabs>
        <w:jc w:val="both"/>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2262D0" w:rsidP="00171BF1">
      <w:pPr>
        <w:ind w:left="284"/>
        <w:jc w:val="both"/>
        <w:rPr>
          <w:rFonts w:ascii="Arial" w:hAnsi="Arial" w:cs="Arial"/>
          <w:sz w:val="16"/>
        </w:rPr>
      </w:pPr>
      <w:r>
        <w:rPr>
          <w:rFonts w:ascii="Arial" w:hAnsi="Arial" w:cs="Arial"/>
          <w:sz w:val="16"/>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436E8">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FC49F7">
      <w:pPr>
        <w:ind w:left="284"/>
        <w:jc w:val="both"/>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2262D0">
      <w:pPr>
        <w:tabs>
          <w:tab w:val="left" w:pos="576"/>
        </w:tabs>
        <w:jc w:val="both"/>
        <w:rPr>
          <w:rFonts w:ascii="Arial" w:hAnsi="Arial" w:cs="Arial"/>
          <w:b/>
          <w:bCs/>
          <w:sz w:val="22"/>
          <w:szCs w:val="22"/>
        </w:rPr>
      </w:pPr>
      <w:r>
        <w:rPr>
          <w:rFonts w:ascii="Arial" w:hAnsi="Arial" w:cs="Arial"/>
          <w:b/>
          <w:bCs/>
          <w:sz w:val="22"/>
          <w:szCs w:val="22"/>
        </w:rPr>
        <w:br w:type="page"/>
      </w:r>
      <w:r w:rsidR="00472B25"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7314F1" w:rsidRDefault="007314F1">
      <w:pPr>
        <w:tabs>
          <w:tab w:val="left" w:pos="426"/>
        </w:tabs>
        <w:jc w:val="both"/>
        <w:rPr>
          <w:rFonts w:ascii="Arial" w:hAnsi="Arial" w:cs="Arial"/>
          <w:spacing w:val="-10"/>
          <w:sz w:val="22"/>
          <w:szCs w:val="22"/>
        </w:rPr>
      </w:pPr>
    </w:p>
    <w:p w:rsidR="00472B25" w:rsidRDefault="00472B25" w:rsidP="003027E6">
      <w:pPr>
        <w:tabs>
          <w:tab w:val="left" w:pos="426"/>
        </w:tabs>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931" w:rsidRDefault="00B92931">
      <w:r>
        <w:separator/>
      </w:r>
    </w:p>
  </w:endnote>
  <w:endnote w:type="continuationSeparator" w:id="0">
    <w:p w:rsidR="00B92931" w:rsidRDefault="00B92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Marianne">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B63308" w:rsidRDefault="001436E8" w:rsidP="00B63308">
          <w:pPr>
            <w:shd w:val="clear" w:color="auto" w:fill="66CCFF"/>
            <w:snapToGrid w:val="0"/>
            <w:jc w:val="center"/>
            <w:rPr>
              <w:rFonts w:ascii="Arial" w:hAnsi="Arial" w:cs="Arial"/>
              <w:b/>
              <w:bCs/>
            </w:rPr>
          </w:pPr>
          <w:r>
            <w:rPr>
              <w:rFonts w:ascii="Arial" w:hAnsi="Arial" w:cs="Arial"/>
              <w:b/>
              <w:iCs/>
            </w:rPr>
            <w:t>2026AO50002</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436E8">
            <w:rPr>
              <w:rStyle w:val="Numrodepage"/>
              <w:rFonts w:cs="Arial"/>
              <w:b/>
              <w:noProof/>
            </w:rPr>
            <w:t>2</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436E8">
            <w:rPr>
              <w:rStyle w:val="Numrodepage"/>
              <w:rFonts w:cs="Arial"/>
              <w:b/>
              <w:noProof/>
            </w:rPr>
            <w:t>7</w:t>
          </w:r>
          <w:r>
            <w:rPr>
              <w:rStyle w:val="Numrodepage"/>
              <w:rFonts w:cs="Arial"/>
              <w:b/>
            </w:rPr>
            <w:fldChar w:fldCharType="end"/>
          </w:r>
        </w:p>
      </w:tc>
    </w:tr>
  </w:tbl>
  <w:p w:rsidR="00472B25" w:rsidRPr="00827FD0" w:rsidRDefault="00472B25" w:rsidP="003027E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931" w:rsidRDefault="00B92931">
      <w:r>
        <w:separator/>
      </w:r>
    </w:p>
  </w:footnote>
  <w:footnote w:type="continuationSeparator" w:id="0">
    <w:p w:rsidR="00B92931" w:rsidRDefault="00B92931">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w:t>
      </w:r>
      <w:bookmarkStart w:id="0" w:name="_GoBack"/>
      <w:bookmarkEnd w:id="0"/>
      <w:r>
        <w:rPr>
          <w:rFonts w:ascii="Arial" w:hAnsi="Arial" w:cs="Arial"/>
          <w:sz w:val="16"/>
          <w:szCs w:val="16"/>
        </w:rPr>
        <w:t>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5"/>
    <w:rsid w:val="0000723E"/>
    <w:rsid w:val="000227D0"/>
    <w:rsid w:val="00036184"/>
    <w:rsid w:val="00050981"/>
    <w:rsid w:val="00050CDC"/>
    <w:rsid w:val="000625CC"/>
    <w:rsid w:val="00092585"/>
    <w:rsid w:val="000C1C06"/>
    <w:rsid w:val="000D4E2E"/>
    <w:rsid w:val="000E0EFF"/>
    <w:rsid w:val="000E3A79"/>
    <w:rsid w:val="000F3F78"/>
    <w:rsid w:val="000F6E91"/>
    <w:rsid w:val="001113BC"/>
    <w:rsid w:val="0013398C"/>
    <w:rsid w:val="001436E8"/>
    <w:rsid w:val="001535C7"/>
    <w:rsid w:val="00171BF1"/>
    <w:rsid w:val="00191902"/>
    <w:rsid w:val="001A1D05"/>
    <w:rsid w:val="001A5A4C"/>
    <w:rsid w:val="001C1FEF"/>
    <w:rsid w:val="001D25B2"/>
    <w:rsid w:val="001D58F2"/>
    <w:rsid w:val="001E68EF"/>
    <w:rsid w:val="001F35D5"/>
    <w:rsid w:val="002228BD"/>
    <w:rsid w:val="00224E9C"/>
    <w:rsid w:val="002262D0"/>
    <w:rsid w:val="00240247"/>
    <w:rsid w:val="0025478A"/>
    <w:rsid w:val="00261FC1"/>
    <w:rsid w:val="002871EE"/>
    <w:rsid w:val="002A37D3"/>
    <w:rsid w:val="002B54BB"/>
    <w:rsid w:val="002B7A9A"/>
    <w:rsid w:val="002C1767"/>
    <w:rsid w:val="002D13A0"/>
    <w:rsid w:val="002F1469"/>
    <w:rsid w:val="003024CC"/>
    <w:rsid w:val="003027E6"/>
    <w:rsid w:val="00310F9B"/>
    <w:rsid w:val="00312505"/>
    <w:rsid w:val="00331DDB"/>
    <w:rsid w:val="00340F85"/>
    <w:rsid w:val="003C025D"/>
    <w:rsid w:val="003C4A1B"/>
    <w:rsid w:val="003D7667"/>
    <w:rsid w:val="003F2B90"/>
    <w:rsid w:val="00411396"/>
    <w:rsid w:val="00425B7A"/>
    <w:rsid w:val="00427375"/>
    <w:rsid w:val="00435123"/>
    <w:rsid w:val="0043679F"/>
    <w:rsid w:val="00472B25"/>
    <w:rsid w:val="004819AC"/>
    <w:rsid w:val="00483E5B"/>
    <w:rsid w:val="004A6D4B"/>
    <w:rsid w:val="004A7F71"/>
    <w:rsid w:val="004C221B"/>
    <w:rsid w:val="004E403E"/>
    <w:rsid w:val="005036C5"/>
    <w:rsid w:val="0050533F"/>
    <w:rsid w:val="00513F06"/>
    <w:rsid w:val="00516C8B"/>
    <w:rsid w:val="005254E3"/>
    <w:rsid w:val="0054424F"/>
    <w:rsid w:val="00553297"/>
    <w:rsid w:val="00555AC1"/>
    <w:rsid w:val="0056052C"/>
    <w:rsid w:val="0057403E"/>
    <w:rsid w:val="0059116B"/>
    <w:rsid w:val="005A325E"/>
    <w:rsid w:val="005A5386"/>
    <w:rsid w:val="005B4D8D"/>
    <w:rsid w:val="005C6314"/>
    <w:rsid w:val="005C765E"/>
    <w:rsid w:val="005D1005"/>
    <w:rsid w:val="005D3750"/>
    <w:rsid w:val="005F4173"/>
    <w:rsid w:val="00614607"/>
    <w:rsid w:val="006147A9"/>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3436"/>
    <w:rsid w:val="006E22A4"/>
    <w:rsid w:val="006E2F47"/>
    <w:rsid w:val="006E6210"/>
    <w:rsid w:val="006F6740"/>
    <w:rsid w:val="006F76A0"/>
    <w:rsid w:val="00717070"/>
    <w:rsid w:val="0072766E"/>
    <w:rsid w:val="007314F1"/>
    <w:rsid w:val="00741ECB"/>
    <w:rsid w:val="00755416"/>
    <w:rsid w:val="00764264"/>
    <w:rsid w:val="00787E55"/>
    <w:rsid w:val="007A7713"/>
    <w:rsid w:val="007B4FB2"/>
    <w:rsid w:val="007C0A0D"/>
    <w:rsid w:val="00815797"/>
    <w:rsid w:val="00826CBB"/>
    <w:rsid w:val="00827FD0"/>
    <w:rsid w:val="00833F59"/>
    <w:rsid w:val="00841AC4"/>
    <w:rsid w:val="00866311"/>
    <w:rsid w:val="00872C42"/>
    <w:rsid w:val="00872F33"/>
    <w:rsid w:val="00884D44"/>
    <w:rsid w:val="00887F8C"/>
    <w:rsid w:val="008A3707"/>
    <w:rsid w:val="008C2177"/>
    <w:rsid w:val="008D2EFB"/>
    <w:rsid w:val="009051AC"/>
    <w:rsid w:val="0090530B"/>
    <w:rsid w:val="00906660"/>
    <w:rsid w:val="00912339"/>
    <w:rsid w:val="0094174C"/>
    <w:rsid w:val="00954BA1"/>
    <w:rsid w:val="009A04B2"/>
    <w:rsid w:val="009A394A"/>
    <w:rsid w:val="009B07B5"/>
    <w:rsid w:val="009B23A7"/>
    <w:rsid w:val="009D0339"/>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40868"/>
    <w:rsid w:val="00B63308"/>
    <w:rsid w:val="00B80B6A"/>
    <w:rsid w:val="00B92931"/>
    <w:rsid w:val="00BA0854"/>
    <w:rsid w:val="00BA7752"/>
    <w:rsid w:val="00BB7109"/>
    <w:rsid w:val="00BC463D"/>
    <w:rsid w:val="00BD1236"/>
    <w:rsid w:val="00C00E04"/>
    <w:rsid w:val="00C05C6A"/>
    <w:rsid w:val="00C07A1D"/>
    <w:rsid w:val="00C10C87"/>
    <w:rsid w:val="00C279F4"/>
    <w:rsid w:val="00C301F0"/>
    <w:rsid w:val="00C41C64"/>
    <w:rsid w:val="00C56C9E"/>
    <w:rsid w:val="00C56E90"/>
    <w:rsid w:val="00C61C85"/>
    <w:rsid w:val="00C82B82"/>
    <w:rsid w:val="00CB66F6"/>
    <w:rsid w:val="00CC0527"/>
    <w:rsid w:val="00CC29D9"/>
    <w:rsid w:val="00CD3CA9"/>
    <w:rsid w:val="00CE32F2"/>
    <w:rsid w:val="00CF00C9"/>
    <w:rsid w:val="00D002AE"/>
    <w:rsid w:val="00D21AD8"/>
    <w:rsid w:val="00D436D9"/>
    <w:rsid w:val="00D63ADB"/>
    <w:rsid w:val="00D63EF7"/>
    <w:rsid w:val="00D82167"/>
    <w:rsid w:val="00D855B7"/>
    <w:rsid w:val="00DA0E8D"/>
    <w:rsid w:val="00DA5F03"/>
    <w:rsid w:val="00DC3F69"/>
    <w:rsid w:val="00DD3915"/>
    <w:rsid w:val="00DE1F0F"/>
    <w:rsid w:val="00DE21AE"/>
    <w:rsid w:val="00E04AB1"/>
    <w:rsid w:val="00E10A15"/>
    <w:rsid w:val="00E205DA"/>
    <w:rsid w:val="00E50B22"/>
    <w:rsid w:val="00EA3323"/>
    <w:rsid w:val="00ED0827"/>
    <w:rsid w:val="00EE435B"/>
    <w:rsid w:val="00EE5B56"/>
    <w:rsid w:val="00F12F30"/>
    <w:rsid w:val="00F1353C"/>
    <w:rsid w:val="00F76763"/>
    <w:rsid w:val="00F9673C"/>
    <w:rsid w:val="00FA2D0E"/>
    <w:rsid w:val="00FB44EA"/>
    <w:rsid w:val="00FB6488"/>
    <w:rsid w:val="00FC49F7"/>
    <w:rsid w:val="00FD11D9"/>
    <w:rsid w:val="00FD15F3"/>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28DE6F9"/>
  <w15:docId w15:val="{F6ED50E9-B43B-45AF-8627-414E1DB7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RedTitre1">
    <w:name w:val="RedTitre1"/>
    <w:basedOn w:val="Normal"/>
    <w:rsid w:val="004819AC"/>
    <w:pPr>
      <w:framePr w:hSpace="142" w:wrap="auto" w:vAnchor="text" w:hAnchor="text" w:xAlign="center" w:y="1"/>
      <w:widowControl w:val="0"/>
      <w:suppressAutoHyphens w:val="0"/>
      <w:autoSpaceDE w:val="0"/>
      <w:autoSpaceDN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621EF-16AC-4352-983C-413DA3DDA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3477</Words>
  <Characters>19125</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22557</CharactersWithSpaces>
  <SharedDoc>false</SharedDoc>
  <HLinks>
    <vt:vector size="204"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30</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27</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24</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21</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18</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15</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12</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9</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6</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3</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Carine BERGERET</cp:lastModifiedBy>
  <cp:revision>19</cp:revision>
  <cp:lastPrinted>2021-03-05T11:22:00Z</cp:lastPrinted>
  <dcterms:created xsi:type="dcterms:W3CDTF">2021-07-07T06:38:00Z</dcterms:created>
  <dcterms:modified xsi:type="dcterms:W3CDTF">2026-02-05T14:49:00Z</dcterms:modified>
</cp:coreProperties>
</file>