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082E4360"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5824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5824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58241"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58243"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241EB09D" w:rsidR="00803DD4" w:rsidRPr="003F5EE7" w:rsidRDefault="00803DD4" w:rsidP="00803DD4">
      <w:pPr>
        <w:suppressAutoHyphens w:val="0"/>
        <w:spacing w:after="120"/>
        <w:jc w:val="right"/>
        <w:rPr>
          <w:rFonts w:cs="Arial"/>
          <w:caps/>
          <w:color w:val="003087"/>
          <w:sz w:val="22"/>
          <w:szCs w:val="35"/>
          <w:lang w:val="en-US" w:eastAsia="fr-FR"/>
        </w:rPr>
      </w:pPr>
    </w:p>
    <w:p w14:paraId="75619F21" w14:textId="09AA9A84" w:rsidR="00397CA9" w:rsidRPr="003F5EE7" w:rsidRDefault="00397CA9" w:rsidP="00803DD4">
      <w:pPr>
        <w:suppressAutoHyphens w:val="0"/>
        <w:jc w:val="right"/>
        <w:rPr>
          <w:rFonts w:cs="Arial"/>
          <w:caps/>
          <w:color w:val="003087"/>
          <w:sz w:val="35"/>
          <w:szCs w:val="35"/>
          <w:lang w:val="en-US" w:eastAsia="fr-FR"/>
        </w:rPr>
      </w:pPr>
      <w:r w:rsidRPr="00655579">
        <w:rPr>
          <w:rFonts w:cs="Arial"/>
          <w:caps/>
          <w:color w:val="003087"/>
          <w:sz w:val="35"/>
          <w:szCs w:val="35"/>
          <w:lang w:val="en-US" w:eastAsia="fr-FR"/>
        </w:rPr>
        <w:t xml:space="preserve">PROCEDURE </w:t>
      </w:r>
      <w:r w:rsidR="009120DC">
        <w:rPr>
          <w:rFonts w:cs="Arial"/>
          <w:caps/>
          <w:color w:val="003087"/>
          <w:sz w:val="35"/>
          <w:szCs w:val="35"/>
          <w:lang w:val="en-US" w:eastAsia="fr-FR"/>
        </w:rPr>
        <w:t>FORMALISEE</w:t>
      </w:r>
    </w:p>
    <w:p w14:paraId="29BA4B29" w14:textId="77777777" w:rsidR="008774D5" w:rsidRDefault="008774D5" w:rsidP="00803DD4">
      <w:pPr>
        <w:suppressAutoHyphens w:val="0"/>
        <w:jc w:val="right"/>
        <w:rPr>
          <w:rFonts w:cs="Arial"/>
          <w:caps/>
          <w:color w:val="003087"/>
          <w:sz w:val="35"/>
          <w:szCs w:val="35"/>
          <w:lang w:val="en-US" w:eastAsia="fr-FR"/>
        </w:rPr>
      </w:pPr>
    </w:p>
    <w:p w14:paraId="409414BB" w14:textId="2101024C" w:rsidR="00D04582" w:rsidRPr="003F5EE7" w:rsidRDefault="00D04582" w:rsidP="00803DD4">
      <w:pPr>
        <w:suppressAutoHyphens w:val="0"/>
        <w:jc w:val="right"/>
        <w:rPr>
          <w:rFonts w:cs="Arial"/>
          <w:caps/>
          <w:color w:val="003087"/>
          <w:sz w:val="35"/>
          <w:szCs w:val="35"/>
          <w:lang w:val="en-US" w:eastAsia="fr-FR"/>
        </w:rPr>
      </w:pPr>
      <w:r>
        <w:rPr>
          <w:rFonts w:cs="Arial"/>
          <w:caps/>
          <w:color w:val="003087"/>
          <w:sz w:val="35"/>
          <w:szCs w:val="35"/>
          <w:lang w:val="en-US" w:eastAsia="fr-FR"/>
        </w:rPr>
        <w:t>AC2</w:t>
      </w:r>
      <w:r w:rsidR="002F1B60">
        <w:rPr>
          <w:rFonts w:cs="Arial"/>
          <w:caps/>
          <w:color w:val="003087"/>
          <w:sz w:val="35"/>
          <w:szCs w:val="35"/>
          <w:lang w:val="en-US" w:eastAsia="fr-FR"/>
        </w:rPr>
        <w:t>6</w:t>
      </w:r>
      <w:r>
        <w:rPr>
          <w:rFonts w:cs="Arial"/>
          <w:caps/>
          <w:color w:val="003087"/>
          <w:sz w:val="35"/>
          <w:szCs w:val="35"/>
          <w:lang w:val="en-US" w:eastAsia="fr-FR"/>
        </w:rPr>
        <w:t>TMA</w:t>
      </w:r>
      <w:r w:rsidR="002F1B60">
        <w:rPr>
          <w:rFonts w:cs="Arial"/>
          <w:caps/>
          <w:color w:val="003087"/>
          <w:sz w:val="35"/>
          <w:szCs w:val="35"/>
          <w:lang w:val="en-US" w:eastAsia="fr-FR"/>
        </w:rPr>
        <w:t>IDA</w:t>
      </w: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3F5EE7" w:rsidRDefault="00761235"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269A448E"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5C5C9E">
        <w:rPr>
          <w:rFonts w:ascii="Arial" w:hAnsi="Arial" w:cs="Arial"/>
        </w:rPr>
        <w:t xml:space="preserve">Prestations de Tierce Maintenance Applicative du </w:t>
      </w:r>
      <w:r w:rsidR="00AB02DF">
        <w:rPr>
          <w:rFonts w:ascii="Arial" w:hAnsi="Arial" w:cs="Arial"/>
        </w:rPr>
        <w:t>site</w:t>
      </w:r>
      <w:r w:rsidR="005C5C9E">
        <w:rPr>
          <w:rFonts w:ascii="Arial" w:hAnsi="Arial" w:cs="Arial"/>
        </w:rPr>
        <w:t xml:space="preserve"> </w:t>
      </w:r>
      <w:r w:rsidR="00AB02DF">
        <w:rPr>
          <w:rFonts w:ascii="Arial" w:hAnsi="Arial" w:cs="Arial"/>
        </w:rPr>
        <w:t>AIDA</w:t>
      </w:r>
      <w:r w:rsidR="005C5C9E">
        <w:rPr>
          <w:rFonts w:ascii="Arial" w:hAnsi="Arial" w:cs="Arial"/>
        </w:rPr>
        <w:t>.</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0A258E44"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CF5054">
        <w:rPr>
          <w:rFonts w:ascii="Arial" w:hAnsi="Arial" w:cs="Arial"/>
          <w:szCs w:val="22"/>
        </w:rPr>
        <w:t>AC2</w:t>
      </w:r>
      <w:r w:rsidR="007D43C9">
        <w:rPr>
          <w:rFonts w:ascii="Arial" w:hAnsi="Arial" w:cs="Arial"/>
          <w:szCs w:val="22"/>
        </w:rPr>
        <w:t>6TMAIDA</w:t>
      </w:r>
    </w:p>
    <w:p w14:paraId="3C235EBB" w14:textId="77777777" w:rsidR="00DD26F2" w:rsidRPr="008571D3" w:rsidRDefault="00DD26F2" w:rsidP="0061068C">
      <w:pPr>
        <w:tabs>
          <w:tab w:val="left" w:pos="426"/>
          <w:tab w:val="left" w:pos="851"/>
        </w:tabs>
        <w:jc w:val="both"/>
        <w:rPr>
          <w:rFonts w:ascii="Arial" w:hAnsi="Arial" w:cs="Arial"/>
          <w:sz w:val="12"/>
        </w:rPr>
      </w:pPr>
    </w:p>
    <w:p w14:paraId="7D16447D" w14:textId="77777777" w:rsidR="005A35EE"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r w:rsidR="005A35EE" w:rsidRPr="005A35EE">
        <w:rPr>
          <w:rFonts w:ascii="Arial" w:hAnsi="Arial" w:cs="Arial"/>
        </w:rPr>
        <w:t>72000000-5</w:t>
      </w:r>
      <w:r w:rsidR="005A35EE">
        <w:rPr>
          <w:rFonts w:ascii="Arial" w:hAnsi="Arial" w:cs="Arial"/>
        </w:rPr>
        <w:tab/>
      </w:r>
    </w:p>
    <w:p w14:paraId="00F0ECB2" w14:textId="77777777" w:rsidR="005A35EE" w:rsidRPr="005A35EE" w:rsidRDefault="005A35EE" w:rsidP="009459E3">
      <w:pPr>
        <w:tabs>
          <w:tab w:val="left" w:pos="426"/>
          <w:tab w:val="left" w:pos="851"/>
        </w:tabs>
        <w:ind w:left="2840" w:hanging="2840"/>
        <w:rPr>
          <w:rFonts w:ascii="Arial" w:hAnsi="Arial" w:cs="Arial"/>
          <w:sz w:val="8"/>
          <w:szCs w:val="8"/>
        </w:rPr>
      </w:pPr>
    </w:p>
    <w:p w14:paraId="54E69C5E" w14:textId="35B5201D" w:rsidR="009459E3" w:rsidRDefault="00F11EC7" w:rsidP="009459E3">
      <w:pPr>
        <w:tabs>
          <w:tab w:val="left" w:pos="426"/>
          <w:tab w:val="left" w:pos="851"/>
        </w:tabs>
        <w:ind w:left="2840" w:hanging="2840"/>
        <w:rPr>
          <w:rFonts w:ascii="Arial" w:hAnsi="Arial" w:cs="Arial"/>
        </w:rPr>
      </w:pPr>
      <w:r w:rsidRPr="00F11EC7">
        <w:rPr>
          <w:rFonts w:ascii="Arial" w:hAnsi="Arial" w:cs="Arial"/>
        </w:rPr>
        <w:t>Services de technologies de l’information, conseil, développement de logiciels, Internet et appui</w:t>
      </w:r>
      <w:r w:rsidR="005A35EE">
        <w:rPr>
          <w:rFonts w:ascii="Arial" w:hAnsi="Arial" w:cs="Arial"/>
        </w:rPr>
        <w:t>.</w:t>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0F4E296F" w14:textId="77777777" w:rsidR="009B1CD0" w:rsidRPr="00286358" w:rsidRDefault="009B1CD0" w:rsidP="00286358">
      <w:pPr>
        <w:pStyle w:val="fcasegauche"/>
        <w:tabs>
          <w:tab w:val="left" w:pos="851"/>
        </w:tabs>
        <w:spacing w:before="120" w:after="0"/>
        <w:ind w:left="782" w:firstLine="0"/>
        <w:rPr>
          <w:rFonts w:ascii="Arial" w:hAnsi="Arial" w:cs="Arial"/>
          <w:iCs/>
          <w:sz w:val="8"/>
          <w:szCs w:val="8"/>
        </w:rPr>
      </w:pPr>
    </w:p>
    <w:p w14:paraId="44983D1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31A22ECE"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 xml:space="preserve">Par dérogation à l’article 4.1 du CCAG-TIC, en cas de contradiction, les pièces constitutives qui suivent prévalent dans l’ordre de priorité décroissant mentionné ci-après : </w:t>
      </w:r>
    </w:p>
    <w:p w14:paraId="35EA57F9" w14:textId="77777777" w:rsidR="00B07F7C" w:rsidRPr="000F5B81" w:rsidRDefault="00B07F7C" w:rsidP="00B07F7C">
      <w:pPr>
        <w:pStyle w:val="fcasegauche"/>
        <w:tabs>
          <w:tab w:val="left" w:pos="851"/>
        </w:tabs>
        <w:rPr>
          <w:rFonts w:ascii="Arial Narrow" w:hAnsi="Arial Narrow" w:cs="Arial"/>
          <w:sz w:val="12"/>
          <w:szCs w:val="12"/>
        </w:rPr>
      </w:pPr>
    </w:p>
    <w:p w14:paraId="7A3DBBB4"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La notification de l’accord-cadre ;</w:t>
      </w:r>
    </w:p>
    <w:p w14:paraId="2D56D6D6" w14:textId="49E3F8D8"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L’acte d'Engagement (AE) réf AE AC2</w:t>
      </w:r>
      <w:r w:rsidR="00A01784">
        <w:rPr>
          <w:rFonts w:ascii="Arial Narrow" w:hAnsi="Arial Narrow" w:cs="Arial"/>
        </w:rPr>
        <w:t>6TMAIDA</w:t>
      </w:r>
      <w:r w:rsidRPr="00B07F7C">
        <w:rPr>
          <w:rFonts w:ascii="Arial Narrow" w:hAnsi="Arial Narrow" w:cs="Arial"/>
        </w:rPr>
        <w:t xml:space="preserve"> et son annexe financière en un original complété, daté et signé par une personne habilitée de plein droit à représenter la société :</w:t>
      </w:r>
    </w:p>
    <w:p w14:paraId="777C9FB0" w14:textId="089BB014" w:rsidR="00B07F7C" w:rsidRPr="00B07F7C" w:rsidRDefault="00B07F7C" w:rsidP="00B07F7C">
      <w:pPr>
        <w:pStyle w:val="fcasegauche"/>
        <w:tabs>
          <w:tab w:val="left" w:pos="851"/>
        </w:tabs>
        <w:rPr>
          <w:rFonts w:ascii="Arial Narrow" w:hAnsi="Arial Narrow" w:cs="Arial"/>
        </w:rPr>
      </w:pPr>
      <w:proofErr w:type="gramStart"/>
      <w:r w:rsidRPr="00B07F7C">
        <w:rPr>
          <w:rFonts w:ascii="Arial Narrow" w:hAnsi="Arial Narrow" w:cs="Arial"/>
        </w:rPr>
        <w:t>o</w:t>
      </w:r>
      <w:proofErr w:type="gramEnd"/>
      <w:r w:rsidRPr="00B07F7C">
        <w:rPr>
          <w:rFonts w:ascii="Arial Narrow" w:hAnsi="Arial Narrow" w:cs="Arial"/>
        </w:rPr>
        <w:tab/>
        <w:t>Annexe n°1 Annexe Financière (Réf. BPU</w:t>
      </w:r>
      <w:r w:rsidR="00880B2C">
        <w:rPr>
          <w:rFonts w:ascii="Arial Narrow" w:hAnsi="Arial Narrow" w:cs="Arial"/>
        </w:rPr>
        <w:t xml:space="preserve"> </w:t>
      </w:r>
      <w:r w:rsidR="00A01784" w:rsidRPr="00B07F7C">
        <w:rPr>
          <w:rFonts w:ascii="Arial Narrow" w:hAnsi="Arial Narrow" w:cs="Arial"/>
        </w:rPr>
        <w:t>AC2</w:t>
      </w:r>
      <w:r w:rsidR="00A01784">
        <w:rPr>
          <w:rFonts w:ascii="Arial Narrow" w:hAnsi="Arial Narrow" w:cs="Arial"/>
        </w:rPr>
        <w:t>6TMAIDA</w:t>
      </w:r>
      <w:r w:rsidRPr="00B07F7C">
        <w:rPr>
          <w:rFonts w:ascii="Arial Narrow" w:hAnsi="Arial Narrow" w:cs="Arial"/>
        </w:rPr>
        <w:t>)</w:t>
      </w:r>
    </w:p>
    <w:p w14:paraId="03071BE0" w14:textId="470BC97B"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 xml:space="preserve">Le cahier des clauses administratives particulières (CCAP </w:t>
      </w:r>
      <w:r w:rsidR="00A01784" w:rsidRPr="00B07F7C">
        <w:rPr>
          <w:rFonts w:ascii="Arial Narrow" w:hAnsi="Arial Narrow" w:cs="Arial"/>
        </w:rPr>
        <w:t>AC2</w:t>
      </w:r>
      <w:r w:rsidR="00A01784">
        <w:rPr>
          <w:rFonts w:ascii="Arial Narrow" w:hAnsi="Arial Narrow" w:cs="Arial"/>
        </w:rPr>
        <w:t>6TMAIDA</w:t>
      </w:r>
      <w:r w:rsidRPr="00B07F7C">
        <w:rPr>
          <w:rFonts w:ascii="Arial Narrow" w:hAnsi="Arial Narrow" w:cs="Arial"/>
        </w:rPr>
        <w:t>) dont l'exemplaire conservé dans les archives de l'Ineris fait seul foi</w:t>
      </w:r>
      <w:r w:rsidR="00880B2C">
        <w:rPr>
          <w:rFonts w:ascii="Arial Narrow" w:hAnsi="Arial Narrow" w:cs="Arial"/>
        </w:rPr>
        <w:t xml:space="preserve"> </w:t>
      </w:r>
      <w:r w:rsidRPr="00B07F7C">
        <w:rPr>
          <w:rFonts w:ascii="Arial Narrow" w:hAnsi="Arial Narrow" w:cs="Arial"/>
        </w:rPr>
        <w:t>;</w:t>
      </w:r>
    </w:p>
    <w:p w14:paraId="42C51A72"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Les conditions générales d’achat de l’Ineris ;</w:t>
      </w:r>
    </w:p>
    <w:p w14:paraId="1E94587E" w14:textId="6D639B4E"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La charte fournisseur disponible sur le site internet de l’Ineris (</w:t>
      </w:r>
      <w:hyperlink r:id="rId15" w:history="1">
        <w:r w:rsidR="00880B2C" w:rsidRPr="00C870C8">
          <w:rPr>
            <w:rStyle w:val="Lienhypertexte"/>
            <w:rFonts w:ascii="Arial Narrow" w:hAnsi="Arial Narrow" w:cs="Arial"/>
          </w:rPr>
          <w:t>www.ineris.fr</w:t>
        </w:r>
      </w:hyperlink>
      <w:r w:rsidR="00880B2C">
        <w:rPr>
          <w:rFonts w:ascii="Arial Narrow" w:hAnsi="Arial Narrow" w:cs="Arial"/>
        </w:rPr>
        <w:t xml:space="preserve"> </w:t>
      </w:r>
      <w:r w:rsidRPr="00B07F7C">
        <w:rPr>
          <w:rFonts w:ascii="Arial Narrow" w:hAnsi="Arial Narrow" w:cs="Arial"/>
        </w:rPr>
        <w:t>);</w:t>
      </w:r>
    </w:p>
    <w:p w14:paraId="3C13926B"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La charte de déontologie de l’Ineris</w:t>
      </w:r>
    </w:p>
    <w:p w14:paraId="55E4F8FF"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Questions – Réponses formulées lors de la procédure de passation.</w:t>
      </w:r>
    </w:p>
    <w:p w14:paraId="4C313E94" w14:textId="77777777" w:rsidR="00B07F7C" w:rsidRPr="00B07F7C" w:rsidRDefault="00B07F7C" w:rsidP="00B07F7C">
      <w:pPr>
        <w:pStyle w:val="fcasegauche"/>
        <w:tabs>
          <w:tab w:val="left" w:pos="851"/>
        </w:tabs>
        <w:rPr>
          <w:rFonts w:ascii="Arial Narrow" w:hAnsi="Arial Narrow" w:cs="Arial"/>
        </w:rPr>
      </w:pPr>
    </w:p>
    <w:p w14:paraId="183A9BD8" w14:textId="36F6EB82"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 xml:space="preserve">Le Cahier des Clauses Administratives Générales (CCAG) applicables aux marchés publics de prestations de techniques de l’information et de la communication (C.C.A.G. TIC),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00880B2C" w:rsidRPr="00C870C8">
          <w:rPr>
            <w:rStyle w:val="Lienhypertexte"/>
            <w:rFonts w:ascii="Arial Narrow" w:hAnsi="Arial Narrow" w:cs="Arial"/>
          </w:rPr>
          <w:t>www.marches-publics.fr</w:t>
        </w:r>
      </w:hyperlink>
      <w:r w:rsidR="00880B2C">
        <w:rPr>
          <w:rFonts w:ascii="Arial Narrow" w:hAnsi="Arial Narrow" w:cs="Arial"/>
        </w:rPr>
        <w:t xml:space="preserve"> </w:t>
      </w:r>
      <w:r w:rsidRPr="00B07F7C">
        <w:rPr>
          <w:rFonts w:ascii="Arial Narrow" w:hAnsi="Arial Narrow" w:cs="Arial"/>
        </w:rPr>
        <w:t>;</w:t>
      </w:r>
    </w:p>
    <w:p w14:paraId="1B796C69" w14:textId="00B2D9AB"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Le cahier des clauses techniques particulières (CCTP AC2</w:t>
      </w:r>
      <w:r w:rsidR="0044712F">
        <w:rPr>
          <w:rFonts w:ascii="Arial Narrow" w:hAnsi="Arial Narrow" w:cs="Arial"/>
        </w:rPr>
        <w:t>6TMAIDA</w:t>
      </w:r>
      <w:r w:rsidRPr="00B07F7C">
        <w:rPr>
          <w:rFonts w:ascii="Arial Narrow" w:hAnsi="Arial Narrow" w:cs="Arial"/>
        </w:rPr>
        <w:t>) La Politique de Sécurité du Système d’Information (PSSI) de l’Ineris.</w:t>
      </w:r>
    </w:p>
    <w:p w14:paraId="1C40C1CD"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 xml:space="preserve">L'offre technique du Titulaire référencée dans l’AE dans toute ses dispositions conformes aux documents qui précèdent </w:t>
      </w:r>
    </w:p>
    <w:p w14:paraId="7B579E26"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Les actes spéciaux de sous-traitance et leurs avenants éventuels, postérieurs à la notification du Marché.</w:t>
      </w:r>
    </w:p>
    <w:p w14:paraId="6B5B1F59"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La Convention de Services ; ce document sera rédigé par le Titulaire (V0 annexée à l’Offre), la version aboutie constitue un Livrable de la Phase Transitoire ; dès que la Convention de Services aboutie sera signée par les deux Parties, elle s’insérera au-dessus du CCTP dans l'ordre de prévalence contractuelle des documents ;</w:t>
      </w:r>
    </w:p>
    <w:p w14:paraId="21CE89CD"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 xml:space="preserve">Le Plan d’Assurance Sécurité ; ce document sera rédigé par le Titulaire et constitue un Livrable de la Phase </w:t>
      </w:r>
      <w:proofErr w:type="gramStart"/>
      <w:r w:rsidRPr="00B07F7C">
        <w:rPr>
          <w:rFonts w:ascii="Arial Narrow" w:hAnsi="Arial Narrow" w:cs="Arial"/>
        </w:rPr>
        <w:t>Transitoire;</w:t>
      </w:r>
      <w:proofErr w:type="gramEnd"/>
      <w:r w:rsidRPr="00B07F7C">
        <w:rPr>
          <w:rFonts w:ascii="Arial Narrow" w:hAnsi="Arial Narrow" w:cs="Arial"/>
        </w:rPr>
        <w:t xml:space="preserve"> dès que le Plan d’Assurance Sécurité sera signé par les deux Parties, il s’insérera au-dessus du Plan de Prise en Charge dans l'ordre de prévalence contractuelle des documents ; </w:t>
      </w:r>
    </w:p>
    <w:p w14:paraId="0B8949AE" w14:textId="03628903"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 xml:space="preserve">Le Plan de Réversibilité ; ce document sera rédigé par le Titulaire qui devra en établir une première version dans les </w:t>
      </w:r>
      <w:r w:rsidR="006341C1">
        <w:rPr>
          <w:rFonts w:ascii="Arial Narrow" w:hAnsi="Arial Narrow" w:cs="Arial"/>
        </w:rPr>
        <w:t>trois</w:t>
      </w:r>
      <w:r w:rsidRPr="00B07F7C">
        <w:rPr>
          <w:rFonts w:ascii="Arial Narrow" w:hAnsi="Arial Narrow" w:cs="Arial"/>
        </w:rPr>
        <w:t xml:space="preserve"> (</w:t>
      </w:r>
      <w:r w:rsidR="006341C1">
        <w:rPr>
          <w:rFonts w:ascii="Arial Narrow" w:hAnsi="Arial Narrow" w:cs="Arial"/>
        </w:rPr>
        <w:t>3</w:t>
      </w:r>
      <w:r w:rsidRPr="00B07F7C">
        <w:rPr>
          <w:rFonts w:ascii="Arial Narrow" w:hAnsi="Arial Narrow" w:cs="Arial"/>
        </w:rPr>
        <w:t xml:space="preserve">) premiers mois du Marché, ce document est ensuite mis à jour régulièrement ; dès que le Plan de réversibilité sera signé par les deux Parties, il s’insérera au-dessus de l’Offre du Titulaire dans l'ordre de prévalence contractuelle des documents ; </w:t>
      </w:r>
    </w:p>
    <w:p w14:paraId="2CDC4146" w14:textId="77777777" w:rsidR="00B07F7C" w:rsidRPr="00B07F7C"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Le PAQ ; ce document sera rédigé par le Titulaire et constitue un Livrable de la Phase Transitoire ; dès que le PAQ sera signé par les deux Parties, il s’insérera au-dessus de l’Offre du Titulaire dans l'ordre de prévalence contractuelle des documents ;</w:t>
      </w:r>
    </w:p>
    <w:p w14:paraId="7550C395" w14:textId="18C0E297" w:rsidR="00320879" w:rsidRDefault="00B07F7C" w:rsidP="00B07F7C">
      <w:pPr>
        <w:pStyle w:val="fcasegauche"/>
        <w:tabs>
          <w:tab w:val="left" w:pos="851"/>
        </w:tabs>
        <w:rPr>
          <w:rFonts w:ascii="Arial Narrow" w:hAnsi="Arial Narrow" w:cs="Arial"/>
        </w:rPr>
      </w:pPr>
      <w:r w:rsidRPr="00B07F7C">
        <w:rPr>
          <w:rFonts w:ascii="Arial Narrow" w:hAnsi="Arial Narrow" w:cs="Arial"/>
        </w:rPr>
        <w:t>•</w:t>
      </w:r>
      <w:r w:rsidRPr="00B07F7C">
        <w:rPr>
          <w:rFonts w:ascii="Arial Narrow" w:hAnsi="Arial Narrow" w:cs="Arial"/>
        </w:rPr>
        <w:tab/>
        <w:t>Les bons de commandes émis dans le cadre des marchés subséquents</w:t>
      </w:r>
    </w:p>
    <w:p w14:paraId="26897200" w14:textId="77777777" w:rsidR="00397CA9" w:rsidRPr="00320879" w:rsidRDefault="00397CA9" w:rsidP="00320879">
      <w:pPr>
        <w:pStyle w:val="fcasegauche"/>
        <w:tabs>
          <w:tab w:val="left" w:pos="851"/>
        </w:tabs>
        <w:rPr>
          <w:rFonts w:ascii="Arial Narrow" w:hAnsi="Arial Narrow" w:cs="Arial"/>
        </w:rPr>
      </w:pP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0B52E3C9" w14:textId="77777777" w:rsidR="00095A53" w:rsidRDefault="00095A53"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Default="009B1CD0" w:rsidP="0083205E">
      <w:pPr>
        <w:pStyle w:val="fcasegauche"/>
        <w:tabs>
          <w:tab w:val="left" w:pos="426"/>
          <w:tab w:val="left" w:pos="851"/>
        </w:tabs>
        <w:spacing w:after="0"/>
        <w:ind w:left="0" w:firstLine="0"/>
        <w:jc w:val="left"/>
        <w:rPr>
          <w:rFonts w:ascii="Arial Narrow" w:hAnsi="Arial Narrow" w:cs="Arial"/>
          <w:b/>
        </w:rPr>
      </w:pPr>
    </w:p>
    <w:p w14:paraId="4144F6A6" w14:textId="77777777" w:rsidR="00095A53" w:rsidRPr="004268AC" w:rsidRDefault="00095A53"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05F9429B" w14:textId="77777777" w:rsidR="00095A53" w:rsidRDefault="00095A53" w:rsidP="009B45B9">
      <w:pPr>
        <w:tabs>
          <w:tab w:val="left" w:pos="426"/>
          <w:tab w:val="left" w:pos="851"/>
        </w:tabs>
        <w:jc w:val="both"/>
        <w:rPr>
          <w:rFonts w:ascii="Arial Narrow" w:hAnsi="Arial Narrow" w:cs="Arial"/>
          <w:b/>
        </w:rPr>
        <w:sectPr w:rsidR="00095A53" w:rsidSect="00803DD4">
          <w:footerReference w:type="default" r:id="rId19"/>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262A2BDD"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005C0836">
        <w:rPr>
          <w:rFonts w:ascii="Arial" w:hAnsi="Arial" w:cs="Arial"/>
        </w:rPr>
        <w:t xml:space="preserve">ferme </w:t>
      </w:r>
      <w:r w:rsidRPr="00153371">
        <w:rPr>
          <w:rFonts w:ascii="Arial" w:hAnsi="Arial" w:cs="Arial"/>
        </w:rPr>
        <w:t xml:space="preserve">de </w:t>
      </w:r>
      <w:r w:rsidR="008F600D">
        <w:rPr>
          <w:rFonts w:ascii="Arial" w:hAnsi="Arial" w:cs="Arial"/>
        </w:rPr>
        <w:t>24</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4309DDFB" w:rsidR="009B1CD0" w:rsidRDefault="00237327" w:rsidP="009D2CA4">
      <w:pPr>
        <w:tabs>
          <w:tab w:val="left" w:pos="576"/>
          <w:tab w:val="left" w:pos="851"/>
        </w:tabs>
        <w:jc w:val="both"/>
        <w:rPr>
          <w:rFonts w:ascii="Arial" w:hAnsi="Arial" w:cs="Arial"/>
          <w:sz w:val="18"/>
        </w:rPr>
      </w:pPr>
      <w:r w:rsidRPr="00153371">
        <w:rPr>
          <w:rFonts w:ascii="Arial" w:hAnsi="Arial" w:cs="Arial"/>
        </w:rPr>
        <w:t>Et débute</w:t>
      </w:r>
      <w:r w:rsidR="00EE7907">
        <w:rPr>
          <w:rFonts w:ascii="Arial" w:hAnsi="Arial" w:cs="Arial"/>
        </w:rPr>
        <w:t xml:space="preserve"> </w:t>
      </w:r>
      <w:r w:rsidR="00223600">
        <w:rPr>
          <w:rFonts w:ascii="Arial" w:hAnsi="Arial" w:cs="Arial"/>
        </w:rPr>
        <w:t>le 1</w:t>
      </w:r>
      <w:r w:rsidR="00223600" w:rsidRPr="00223600">
        <w:rPr>
          <w:rFonts w:ascii="Arial" w:hAnsi="Arial" w:cs="Arial"/>
          <w:vertAlign w:val="superscript"/>
        </w:rPr>
        <w:t>er</w:t>
      </w:r>
      <w:r w:rsidR="00223600">
        <w:rPr>
          <w:rFonts w:ascii="Arial" w:hAnsi="Arial" w:cs="Arial"/>
        </w:rPr>
        <w:t xml:space="preserve"> </w:t>
      </w:r>
      <w:r w:rsidR="003034E8">
        <w:rPr>
          <w:rFonts w:ascii="Arial" w:hAnsi="Arial" w:cs="Arial"/>
        </w:rPr>
        <w:t xml:space="preserve">jour du mois suivant la </w:t>
      </w:r>
      <w:r w:rsidR="009B1CD0" w:rsidRPr="00FD77F0">
        <w:rPr>
          <w:rFonts w:ascii="Arial" w:hAnsi="Arial" w:cs="Arial"/>
        </w:rPr>
        <w:t xml:space="preserve">date de </w:t>
      </w:r>
      <w:r w:rsidR="00FD77F0">
        <w:rPr>
          <w:rFonts w:ascii="Arial" w:hAnsi="Arial" w:cs="Arial"/>
        </w:rPr>
        <w:t xml:space="preserve">sa </w:t>
      </w:r>
      <w:r w:rsidR="009B1CD0" w:rsidRPr="00FD77F0">
        <w:rPr>
          <w:rFonts w:ascii="Arial" w:hAnsi="Arial" w:cs="Arial"/>
        </w:rPr>
        <w:t xml:space="preserve">notification </w:t>
      </w:r>
      <w:r w:rsidR="00FD77F0">
        <w:rPr>
          <w:rFonts w:ascii="Arial" w:hAnsi="Arial" w:cs="Arial"/>
        </w:rPr>
        <w:t xml:space="preserve">au </w:t>
      </w:r>
      <w:r w:rsidR="00CA5314">
        <w:rPr>
          <w:rFonts w:ascii="Arial" w:hAnsi="Arial" w:cs="Arial"/>
        </w:rPr>
        <w:t>Titulaire</w:t>
      </w:r>
      <w:r w:rsidR="00CA5314" w:rsidRPr="00FD77F0">
        <w:rPr>
          <w:rFonts w:ascii="Arial" w:hAnsi="Arial" w:cs="Arial"/>
        </w:rPr>
        <w:t xml:space="preserve"> ;</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5C2ADC6F"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00687E9E">
        <w:rPr>
          <w:rFonts w:ascii="Arial Narrow" w:hAnsi="Arial Narrow"/>
        </w:rPr>
        <w:fldChar w:fldCharType="begin">
          <w:ffData>
            <w:name w:val=""/>
            <w:enabled/>
            <w:calcOnExit w:val="0"/>
            <w:checkBox>
              <w:size w:val="20"/>
              <w:default w:val="1"/>
            </w:checkBox>
          </w:ffData>
        </w:fldChar>
      </w:r>
      <w:r w:rsidR="00687E9E">
        <w:rPr>
          <w:rFonts w:ascii="Arial Narrow" w:hAnsi="Arial Narrow"/>
        </w:rPr>
        <w:instrText xml:space="preserve"> FORMCHECKBOX </w:instrText>
      </w:r>
      <w:r w:rsidR="00687E9E">
        <w:rPr>
          <w:rFonts w:ascii="Arial Narrow" w:hAnsi="Arial Narrow"/>
        </w:rPr>
      </w:r>
      <w:r w:rsidR="00687E9E">
        <w:rPr>
          <w:rFonts w:ascii="Arial Narrow" w:hAnsi="Arial Narrow"/>
        </w:rPr>
        <w:fldChar w:fldCharType="separate"/>
      </w:r>
      <w:r w:rsidR="00687E9E">
        <w:rPr>
          <w:rFonts w:ascii="Arial Narrow" w:hAnsi="Arial Narrow"/>
        </w:rPr>
        <w:fldChar w:fldCharType="end"/>
      </w:r>
      <w:r w:rsidRPr="004268AC">
        <w:rPr>
          <w:rFonts w:ascii="Arial Narrow" w:hAnsi="Arial Narrow"/>
        </w:rPr>
        <w:tab/>
        <w:t>OUI</w:t>
      </w:r>
      <w:r w:rsidR="00ED3918">
        <w:rPr>
          <w:rFonts w:ascii="Arial Narrow" w:hAnsi="Arial Narrow"/>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78FBCAD3" w14:textId="1FA6B139" w:rsidR="00444CF7"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 xml:space="preserve">Nombre des reconductions : </w:t>
      </w:r>
      <w:r w:rsidRPr="00006A79">
        <w:rPr>
          <w:rFonts w:ascii="Arial" w:hAnsi="Arial" w:cs="Arial"/>
        </w:rPr>
        <w:tab/>
      </w:r>
      <w:r w:rsidR="007D74DA">
        <w:rPr>
          <w:rFonts w:ascii="Arial" w:hAnsi="Arial" w:cs="Arial"/>
        </w:rPr>
        <w:t>deux</w:t>
      </w:r>
      <w:r w:rsidRPr="00006A79">
        <w:rPr>
          <w:rFonts w:ascii="Arial" w:hAnsi="Arial" w:cs="Arial"/>
        </w:rPr>
        <w:t xml:space="preserve"> reconduction</w:t>
      </w:r>
      <w:r w:rsidR="007D74DA">
        <w:rPr>
          <w:rFonts w:ascii="Arial" w:hAnsi="Arial" w:cs="Arial"/>
        </w:rPr>
        <w:t>s</w:t>
      </w:r>
    </w:p>
    <w:p w14:paraId="6EA0FD68"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31266941" w14:textId="66EF5E35"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Type de reconduction :</w:t>
      </w:r>
      <w:r w:rsidRPr="00006A79">
        <w:rPr>
          <w:rFonts w:ascii="Arial" w:hAnsi="Arial" w:cs="Arial"/>
        </w:rPr>
        <w:tab/>
      </w:r>
      <w:r w:rsidRPr="00006A79">
        <w:rPr>
          <w:rFonts w:ascii="Arial" w:hAnsi="Arial" w:cs="Arial"/>
        </w:rPr>
        <w:tab/>
      </w:r>
      <w:r w:rsidR="007D74DA">
        <w:rPr>
          <w:rFonts w:ascii="Arial Narrow" w:hAnsi="Arial Narrow"/>
        </w:rPr>
        <w:fldChar w:fldCharType="begin">
          <w:ffData>
            <w:name w:val=""/>
            <w:enabled/>
            <w:calcOnExit w:val="0"/>
            <w:checkBox>
              <w:size w:val="20"/>
              <w:default w:val="1"/>
            </w:checkBox>
          </w:ffData>
        </w:fldChar>
      </w:r>
      <w:r w:rsidR="007D74DA">
        <w:rPr>
          <w:rFonts w:ascii="Arial Narrow" w:hAnsi="Arial Narrow"/>
        </w:rPr>
        <w:instrText xml:space="preserve"> FORMCHECKBOX </w:instrText>
      </w:r>
      <w:r w:rsidR="007D74DA">
        <w:rPr>
          <w:rFonts w:ascii="Arial Narrow" w:hAnsi="Arial Narrow"/>
        </w:rPr>
      </w:r>
      <w:r w:rsidR="007D74DA">
        <w:rPr>
          <w:rFonts w:ascii="Arial Narrow" w:hAnsi="Arial Narrow"/>
        </w:rPr>
        <w:fldChar w:fldCharType="separate"/>
      </w:r>
      <w:r w:rsidR="007D74DA">
        <w:rPr>
          <w:rFonts w:ascii="Arial Narrow" w:hAnsi="Arial Narrow"/>
        </w:rPr>
        <w:fldChar w:fldCharType="end"/>
      </w:r>
      <w:r w:rsidRPr="00006A79">
        <w:rPr>
          <w:rFonts w:ascii="Arial" w:hAnsi="Arial" w:cs="Arial"/>
        </w:rPr>
        <w:t xml:space="preserve"> TACITE</w:t>
      </w:r>
      <w:r w:rsidRPr="00006A79">
        <w:rPr>
          <w:rFonts w:ascii="Arial" w:hAnsi="Arial" w:cs="Arial"/>
        </w:rPr>
        <w:tab/>
      </w:r>
      <w:r w:rsidRPr="00006A79">
        <w:rPr>
          <w:rFonts w:ascii="Arial" w:hAnsi="Arial" w:cs="Arial"/>
        </w:rPr>
        <w:tab/>
      </w:r>
      <w:r w:rsidRPr="00006A79">
        <w:rPr>
          <w:rFonts w:ascii="Segoe UI Symbol" w:hAnsi="Segoe UI Symbol" w:cs="Segoe UI Symbol"/>
        </w:rPr>
        <w:t>☐</w:t>
      </w:r>
      <w:r w:rsidRPr="00006A79">
        <w:rPr>
          <w:rFonts w:ascii="Arial" w:hAnsi="Arial" w:cs="Arial"/>
        </w:rPr>
        <w:t xml:space="preserve"> EXPRESSE</w:t>
      </w:r>
    </w:p>
    <w:p w14:paraId="29A0C0CD"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17113850"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Durée de</w:t>
      </w:r>
      <w:r>
        <w:rPr>
          <w:rFonts w:ascii="Arial" w:hAnsi="Arial" w:cs="Arial"/>
        </w:rPr>
        <w:t xml:space="preserve"> la</w:t>
      </w:r>
      <w:r w:rsidRPr="00006A79">
        <w:rPr>
          <w:rFonts w:ascii="Arial" w:hAnsi="Arial" w:cs="Arial"/>
        </w:rPr>
        <w:t xml:space="preserve"> reconduction : </w:t>
      </w:r>
      <w:r w:rsidRPr="00006A79">
        <w:rPr>
          <w:rFonts w:ascii="Arial" w:hAnsi="Arial" w:cs="Arial"/>
        </w:rPr>
        <w:tab/>
      </w:r>
      <w:r w:rsidRPr="00006A79">
        <w:rPr>
          <w:rFonts w:ascii="Arial" w:hAnsi="Arial" w:cs="Arial"/>
        </w:rPr>
        <w:tab/>
      </w:r>
      <w:r>
        <w:rPr>
          <w:rFonts w:ascii="Arial" w:hAnsi="Arial" w:cs="Arial"/>
        </w:rPr>
        <w:t>12</w:t>
      </w:r>
      <w:r w:rsidRPr="00006A79">
        <w:rPr>
          <w:rFonts w:ascii="Arial" w:hAnsi="Arial" w:cs="Arial"/>
        </w:rPr>
        <w:t xml:space="preserve"> mois</w:t>
      </w:r>
    </w:p>
    <w:p w14:paraId="0AAA259D"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3C71B5A0"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Le(s) titulaire(s) ne peut(vent) refuser la reconduction.</w:t>
      </w:r>
    </w:p>
    <w:p w14:paraId="7151A0CD"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6392C4F8"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Si l'acheteur ne souhaite pas reconduire le marché, il informe le(s) titulaire(s) de sa décision au plus tard 1 mois avant la date de fin de validité de l'accord-cadre, par messagerie électronique avec accusé de réception.</w:t>
      </w:r>
    </w:p>
    <w:p w14:paraId="6E1D4FCA" w14:textId="77777777" w:rsidR="00444CF7" w:rsidRPr="004268AC" w:rsidRDefault="00444CF7" w:rsidP="009B45B9">
      <w:pPr>
        <w:tabs>
          <w:tab w:val="left" w:pos="426"/>
          <w:tab w:val="left" w:pos="851"/>
        </w:tabs>
        <w:jc w:val="both"/>
        <w:rPr>
          <w:rFonts w:ascii="Arial Narrow" w:hAnsi="Arial Narrow"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07C586C3"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r w:rsidR="007F3933">
        <w:rPr>
          <w:rFonts w:ascii="Arial" w:hAnsi="Arial" w:cs="Arial"/>
          <w:b/>
          <w:sz w:val="18"/>
          <w:szCs w:val="22"/>
        </w:rPr>
        <w:t xml:space="preserve">de </w:t>
      </w:r>
      <w:r w:rsidR="007F3933" w:rsidRPr="00153371">
        <w:rPr>
          <w:rFonts w:ascii="Arial" w:hAnsi="Arial" w:cs="Arial"/>
          <w:b/>
          <w:sz w:val="18"/>
          <w:szCs w:val="22"/>
        </w:rPr>
        <w:t>:</w:t>
      </w:r>
      <w:r w:rsidRPr="00153371">
        <w:rPr>
          <w:rFonts w:ascii="Arial" w:hAnsi="Arial" w:cs="Arial"/>
          <w:b/>
          <w:sz w:val="18"/>
          <w:szCs w:val="22"/>
        </w:rPr>
        <w:t xml:space="preserve"> </w:t>
      </w:r>
      <w:r w:rsidRPr="00153371">
        <w:rPr>
          <w:rFonts w:ascii="Arial" w:hAnsi="Arial" w:cs="Arial"/>
          <w:b/>
          <w:sz w:val="18"/>
          <w:szCs w:val="22"/>
        </w:rPr>
        <w:tab/>
      </w:r>
      <w:r w:rsidR="009E4655" w:rsidRPr="007F3933">
        <w:rPr>
          <w:rFonts w:ascii="Arial" w:hAnsi="Arial" w:cs="Arial"/>
          <w:b/>
          <w:sz w:val="18"/>
          <w:szCs w:val="22"/>
        </w:rPr>
        <w:t>…………</w:t>
      </w:r>
      <w:r w:rsidRPr="007F3933">
        <w:rPr>
          <w:rFonts w:ascii="Arial" w:hAnsi="Arial" w:cs="Arial"/>
          <w:b/>
          <w:sz w:val="18"/>
          <w:szCs w:val="22"/>
        </w:rPr>
        <w:t>€/HT</w:t>
      </w: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66ADC33A" w14:textId="77777777" w:rsidR="00095A53" w:rsidRDefault="00095A53" w:rsidP="009B45B9">
      <w:pPr>
        <w:tabs>
          <w:tab w:val="left" w:pos="851"/>
        </w:tabs>
        <w:jc w:val="both"/>
        <w:rPr>
          <w:rFonts w:ascii="Arial Narrow" w:hAnsi="Arial Narrow" w:cs="Arial"/>
          <w:bCs/>
        </w:rPr>
        <w:sectPr w:rsidR="00095A53" w:rsidSect="00803DD4">
          <w:pgSz w:w="11906" w:h="16838"/>
          <w:pgMar w:top="454" w:right="851" w:bottom="736" w:left="851" w:header="720" w:footer="680" w:gutter="0"/>
          <w:cols w:space="720"/>
          <w:docGrid w:linePitch="360"/>
        </w:sectPr>
      </w:pPr>
    </w:p>
    <w:p w14:paraId="67E3BC12" w14:textId="77777777" w:rsidR="006C1971" w:rsidRDefault="006C1971" w:rsidP="009B45B9">
      <w:pPr>
        <w:tabs>
          <w:tab w:val="left" w:pos="851"/>
        </w:tabs>
        <w:jc w:val="both"/>
        <w:rPr>
          <w:rFonts w:ascii="Arial Narrow" w:hAnsi="Arial Narrow" w:cs="Arial"/>
          <w:bCs/>
        </w:rPr>
      </w:pPr>
    </w:p>
    <w:p w14:paraId="0C59517D" w14:textId="77777777" w:rsidR="00095A53" w:rsidRPr="004268AC" w:rsidRDefault="00095A53"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20"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1"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10775F2C" w14:textId="05875B29" w:rsidR="009B1CD0" w:rsidRDefault="009B1CD0" w:rsidP="005846FB">
      <w:pPr>
        <w:tabs>
          <w:tab w:val="left" w:pos="851"/>
        </w:tabs>
        <w:jc w:val="both"/>
        <w:rPr>
          <w:rFonts w:ascii="Arial Narrow" w:hAnsi="Arial Narrow" w:cs="Arial"/>
          <w:bCs/>
        </w:rPr>
      </w:pPr>
    </w:p>
    <w:p w14:paraId="493D1792" w14:textId="77777777" w:rsidR="00095A53" w:rsidRDefault="00095A53" w:rsidP="005846FB">
      <w:pPr>
        <w:tabs>
          <w:tab w:val="left" w:pos="851"/>
        </w:tabs>
        <w:jc w:val="both"/>
        <w:rPr>
          <w:rFonts w:ascii="Arial Narrow" w:hAnsi="Arial Narrow" w:cs="Arial"/>
          <w:bCs/>
        </w:rPr>
      </w:pPr>
    </w:p>
    <w:p w14:paraId="6534498F" w14:textId="77777777" w:rsidR="00095A53" w:rsidRDefault="00095A53" w:rsidP="005846FB">
      <w:pPr>
        <w:tabs>
          <w:tab w:val="left" w:pos="851"/>
        </w:tabs>
        <w:jc w:val="both"/>
        <w:rPr>
          <w:rFonts w:ascii="Arial Narrow" w:hAnsi="Arial Narrow" w:cs="Arial"/>
          <w:bCs/>
        </w:rPr>
      </w:pPr>
    </w:p>
    <w:p w14:paraId="18260480" w14:textId="77777777" w:rsidR="00095A53" w:rsidRDefault="00095A53" w:rsidP="005846FB">
      <w:pPr>
        <w:tabs>
          <w:tab w:val="left" w:pos="851"/>
        </w:tabs>
        <w:jc w:val="both"/>
        <w:rPr>
          <w:rFonts w:ascii="Arial Narrow" w:hAnsi="Arial Narrow" w:cs="Arial"/>
          <w:bCs/>
        </w:rPr>
      </w:pPr>
    </w:p>
    <w:p w14:paraId="35CBD48B" w14:textId="77777777" w:rsidR="00095A53" w:rsidRPr="004268AC" w:rsidRDefault="00095A53" w:rsidP="005846FB">
      <w:pPr>
        <w:tabs>
          <w:tab w:val="left" w:pos="851"/>
        </w:tabs>
        <w:jc w:val="both"/>
        <w:rPr>
          <w:rFonts w:ascii="Arial Narrow" w:hAnsi="Arial Narrow" w:cs="Arial"/>
          <w:bCs/>
        </w:rPr>
      </w:pPr>
    </w:p>
    <w:p w14:paraId="3F031A92" w14:textId="77777777" w:rsidR="00095A53" w:rsidRDefault="00095A53" w:rsidP="005846FB">
      <w:pPr>
        <w:tabs>
          <w:tab w:val="left" w:pos="851"/>
        </w:tabs>
        <w:jc w:val="both"/>
        <w:rPr>
          <w:rFonts w:ascii="Arial Narrow" w:hAnsi="Arial Narrow" w:cs="Arial"/>
          <w:bCs/>
        </w:rPr>
        <w:sectPr w:rsidR="00095A53" w:rsidSect="00803DD4">
          <w:pgSz w:w="11906" w:h="16838"/>
          <w:pgMar w:top="454" w:right="851" w:bottom="736" w:left="851" w:header="720" w:footer="680" w:gutter="0"/>
          <w:cols w:space="720"/>
          <w:docGrid w:linePitch="360"/>
        </w:sect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7AFB0CBF"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65449A">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Default="003521F6" w:rsidP="00EF71CC">
      <w:pPr>
        <w:suppressAutoHyphens w:val="0"/>
        <w:rPr>
          <w:rFonts w:ascii="Trebuchet MS" w:hAnsi="Trebuchet MS" w:cs="Arial"/>
        </w:rPr>
      </w:pPr>
    </w:p>
    <w:p w14:paraId="5B369B9D" w14:textId="77777777" w:rsidR="003C004B" w:rsidRDefault="003C004B" w:rsidP="00EF71CC">
      <w:pPr>
        <w:suppressAutoHyphens w:val="0"/>
        <w:rPr>
          <w:rFonts w:ascii="Trebuchet MS" w:hAnsi="Trebuchet MS" w:cs="Arial"/>
        </w:rPr>
      </w:pPr>
    </w:p>
    <w:p w14:paraId="7235E78F" w14:textId="77777777" w:rsidR="003C004B" w:rsidRPr="00392658" w:rsidRDefault="003C004B"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2ABF74D"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003C004B">
        <w:rPr>
          <w:rFonts w:ascii="Arial" w:hAnsi="Arial" w:cs="Arial"/>
          <w:b/>
          <w:sz w:val="22"/>
          <w:szCs w:val="22"/>
        </w:rPr>
        <w:t xml:space="preserve">référencée </w:t>
      </w:r>
      <w:r w:rsidR="003C004B">
        <w:rPr>
          <w:rFonts w:ascii="Arial" w:hAnsi="Arial" w:cs="Arial"/>
          <w:b/>
          <w:sz w:val="22"/>
          <w:szCs w:val="22"/>
        </w:rPr>
        <w:tab/>
      </w:r>
      <w:r w:rsidR="003C004B">
        <w:rPr>
          <w:rFonts w:ascii="Arial" w:hAnsi="Arial" w:cs="Arial"/>
          <w:b/>
          <w:sz w:val="22"/>
          <w:szCs w:val="22"/>
        </w:rPr>
        <w:tab/>
      </w:r>
      <w:r w:rsidR="003C004B">
        <w:rPr>
          <w:rFonts w:ascii="Arial" w:hAnsi="Arial" w:cs="Arial"/>
          <w:b/>
          <w:sz w:val="22"/>
          <w:szCs w:val="22"/>
        </w:rPr>
        <w:tab/>
      </w:r>
      <w:r w:rsidR="003C004B">
        <w:rPr>
          <w:rFonts w:ascii="Arial" w:hAnsi="Arial" w:cs="Arial"/>
          <w:b/>
          <w:sz w:val="22"/>
          <w:szCs w:val="22"/>
        </w:rPr>
        <w:tab/>
      </w:r>
      <w:r w:rsidR="003C004B">
        <w:rPr>
          <w:rFonts w:ascii="Arial" w:hAnsi="Arial" w:cs="Arial"/>
          <w:b/>
          <w:sz w:val="22"/>
          <w:szCs w:val="22"/>
        </w:rPr>
        <w:tab/>
        <w:t xml:space="preserve">et datée du </w:t>
      </w:r>
      <w:r w:rsidR="003C004B">
        <w:rPr>
          <w:rFonts w:ascii="Arial" w:hAnsi="Arial" w:cs="Arial"/>
          <w:b/>
          <w:sz w:val="22"/>
          <w:szCs w:val="22"/>
        </w:rPr>
        <w:tab/>
      </w:r>
      <w:r w:rsidR="003C004B">
        <w:rPr>
          <w:rFonts w:ascii="Arial" w:hAnsi="Arial" w:cs="Arial"/>
          <w:b/>
          <w:sz w:val="22"/>
          <w:szCs w:val="22"/>
        </w:rPr>
        <w:tab/>
      </w:r>
      <w:r w:rsidR="003C004B">
        <w:rPr>
          <w:rFonts w:ascii="Arial" w:hAnsi="Arial" w:cs="Arial"/>
          <w:b/>
          <w:sz w:val="22"/>
          <w:szCs w:val="22"/>
        </w:rPr>
        <w:tab/>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 w:name="_Hlk501544797"/>
    <w:p w14:paraId="3ECF2263" w14:textId="6D4E4539" w:rsidR="009A032A" w:rsidRPr="00A52D6B" w:rsidRDefault="00383CAA"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11C422B1" w14:textId="1BCDB2A1" w:rsidR="00022A4F" w:rsidRDefault="00383CAA" w:rsidP="00022A4F">
      <w:pPr>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022A4F">
        <w:rPr>
          <w:rFonts w:ascii="Arial" w:hAnsi="Arial" w:cs="Arial"/>
        </w:rPr>
        <w:t xml:space="preserve"> </w:t>
      </w:r>
      <w:proofErr w:type="gramStart"/>
      <w:r w:rsidR="00022A4F">
        <w:rPr>
          <w:rFonts w:ascii="Arial" w:hAnsi="Arial" w:cs="Arial"/>
        </w:rPr>
        <w:t>sans</w:t>
      </w:r>
      <w:proofErr w:type="gramEnd"/>
      <w:r w:rsidR="00022A4F">
        <w:rPr>
          <w:rFonts w:ascii="Arial" w:hAnsi="Arial" w:cs="Arial"/>
        </w:rPr>
        <w:t xml:space="preserve"> montant minimum. </w:t>
      </w:r>
    </w:p>
    <w:p w14:paraId="2C739EA5"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309F01AB" w14:textId="77777777" w:rsidR="00022A4F" w:rsidRDefault="00022A4F" w:rsidP="00022A4F">
      <w:pPr>
        <w:jc w:val="both"/>
        <w:rPr>
          <w:rFonts w:ascii="Arial" w:hAnsi="Arial" w:cs="Arial"/>
        </w:rPr>
      </w:pPr>
    </w:p>
    <w:p w14:paraId="1E8B8DAC" w14:textId="5127080E" w:rsidR="00960778" w:rsidRDefault="00022A4F" w:rsidP="00022A4F">
      <w:pPr>
        <w:jc w:val="both"/>
        <w:rPr>
          <w:rFonts w:ascii="Arial" w:hAnsi="Arial" w:cs="Arial"/>
        </w:rPr>
      </w:pPr>
      <w:r w:rsidRPr="0015404C">
        <w:rPr>
          <w:rFonts w:ascii="Arial" w:hAnsi="Arial" w:cs="Arial"/>
        </w:rPr>
        <w:t xml:space="preserve">Son montant maximum ne pourra dépasser le montant de </w:t>
      </w:r>
      <w:r w:rsidR="00960778" w:rsidRPr="0015404C">
        <w:rPr>
          <w:rFonts w:ascii="Arial" w:hAnsi="Arial" w:cs="Arial"/>
        </w:rPr>
        <w:tab/>
      </w:r>
      <w:r w:rsidR="00383CAA" w:rsidRPr="0015404C">
        <w:rPr>
          <w:rFonts w:ascii="Arial" w:hAnsi="Arial" w:cs="Arial"/>
        </w:rPr>
        <w:t>2</w:t>
      </w:r>
      <w:r w:rsidR="008F5E9E" w:rsidRPr="0015404C">
        <w:rPr>
          <w:rFonts w:ascii="Arial" w:hAnsi="Arial" w:cs="Arial"/>
        </w:rPr>
        <w:t>8</w:t>
      </w:r>
      <w:r w:rsidR="00383CAA" w:rsidRPr="0015404C">
        <w:rPr>
          <w:rFonts w:ascii="Arial" w:hAnsi="Arial" w:cs="Arial"/>
        </w:rPr>
        <w:t>0 000 euros/HT</w:t>
      </w:r>
      <w:r w:rsidR="005B17C0" w:rsidRPr="0015404C">
        <w:rPr>
          <w:rFonts w:ascii="Arial" w:hAnsi="Arial" w:cs="Arial"/>
        </w:rPr>
        <w:t>.</w:t>
      </w:r>
    </w:p>
    <w:p w14:paraId="7C51FD12" w14:textId="77777777" w:rsidR="00022A4F" w:rsidRDefault="00022A4F" w:rsidP="00022A4F">
      <w:pPr>
        <w:jc w:val="both"/>
        <w:rPr>
          <w:rFonts w:ascii="Arial" w:hAnsi="Arial" w:cs="Arial"/>
        </w:rPr>
      </w:pPr>
    </w:p>
    <w:p w14:paraId="7066A794" w14:textId="77777777" w:rsidR="00022A4F" w:rsidRDefault="00022A4F" w:rsidP="00022A4F">
      <w:pPr>
        <w:jc w:val="both"/>
        <w:rPr>
          <w:rFonts w:ascii="Arial" w:hAnsi="Arial" w:cs="Arial"/>
        </w:rPr>
      </w:pPr>
    </w:p>
    <w:p w14:paraId="2D37C557" w14:textId="20366520" w:rsidR="00022A4F" w:rsidRDefault="00022A4F" w:rsidP="00022A4F">
      <w:pPr>
        <w:jc w:val="both"/>
        <w:rPr>
          <w:rFonts w:ascii="Arial" w:hAnsi="Arial" w:cs="Arial"/>
        </w:rPr>
      </w:pPr>
      <w:r>
        <w:rPr>
          <w:rFonts w:ascii="Arial" w:hAnsi="Arial" w:cs="Arial"/>
        </w:rPr>
        <w:t xml:space="preserve">Ce montant est donné à titre indicatif et ne constitue en aucun cas un engagement de </w:t>
      </w:r>
      <w:r w:rsidR="00994BB5">
        <w:rPr>
          <w:rFonts w:ascii="Arial" w:hAnsi="Arial" w:cs="Arial"/>
        </w:rPr>
        <w:t>l’Ineris</w:t>
      </w:r>
      <w:r>
        <w:rPr>
          <w:rFonts w:ascii="Arial" w:hAnsi="Arial" w:cs="Arial"/>
        </w:rPr>
        <w:t>.</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05E6462B" w14:textId="77777777" w:rsidR="00243D50" w:rsidRPr="00A52D6B" w:rsidRDefault="00243D50" w:rsidP="00243D50">
      <w:pPr>
        <w:jc w:val="both"/>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40D1C" w14:textId="77777777" w:rsidR="00A44E57" w:rsidRDefault="00A44E57">
      <w:r>
        <w:separator/>
      </w:r>
    </w:p>
  </w:endnote>
  <w:endnote w:type="continuationSeparator" w:id="0">
    <w:p w14:paraId="5A5EBFDD" w14:textId="77777777" w:rsidR="00A44E57" w:rsidRDefault="00A4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altName w:val="Arial"/>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09957B0D" w:rsidR="005C0983" w:rsidRPr="008E1317" w:rsidRDefault="005C0983" w:rsidP="00B40408">
          <w:pPr>
            <w:ind w:right="-638"/>
            <w:rPr>
              <w:rFonts w:ascii="Arial" w:hAnsi="Arial" w:cs="Arial"/>
              <w:b/>
              <w:i/>
            </w:rPr>
          </w:pPr>
          <w:r w:rsidRPr="008E1317">
            <w:rPr>
              <w:rFonts w:ascii="Arial" w:hAnsi="Arial" w:cs="Arial"/>
              <w:b/>
            </w:rPr>
            <w:t>Acte d’engagement</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92792" w14:textId="77777777" w:rsidR="00A44E57" w:rsidRDefault="00A44E57">
      <w:r>
        <w:separator/>
      </w:r>
    </w:p>
  </w:footnote>
  <w:footnote w:type="continuationSeparator" w:id="0">
    <w:p w14:paraId="3735F14D" w14:textId="77777777" w:rsidR="00A44E57" w:rsidRDefault="00A44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5A53"/>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0F5B81"/>
    <w:rsid w:val="00103B77"/>
    <w:rsid w:val="00104B62"/>
    <w:rsid w:val="00105459"/>
    <w:rsid w:val="00106D9D"/>
    <w:rsid w:val="00116970"/>
    <w:rsid w:val="001172DE"/>
    <w:rsid w:val="00123CDB"/>
    <w:rsid w:val="00124620"/>
    <w:rsid w:val="001406E7"/>
    <w:rsid w:val="00153011"/>
    <w:rsid w:val="00153371"/>
    <w:rsid w:val="0015404C"/>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1D59"/>
    <w:rsid w:val="0021527A"/>
    <w:rsid w:val="00215C35"/>
    <w:rsid w:val="0021797C"/>
    <w:rsid w:val="00223600"/>
    <w:rsid w:val="00223EFE"/>
    <w:rsid w:val="00225A1A"/>
    <w:rsid w:val="00232BA0"/>
    <w:rsid w:val="00237327"/>
    <w:rsid w:val="00240987"/>
    <w:rsid w:val="002413DD"/>
    <w:rsid w:val="00243D50"/>
    <w:rsid w:val="002475EA"/>
    <w:rsid w:val="00251040"/>
    <w:rsid w:val="00263B88"/>
    <w:rsid w:val="0026489A"/>
    <w:rsid w:val="002654F2"/>
    <w:rsid w:val="00286358"/>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63D"/>
    <w:rsid w:val="002D690A"/>
    <w:rsid w:val="002E446D"/>
    <w:rsid w:val="002E7206"/>
    <w:rsid w:val="002E7F09"/>
    <w:rsid w:val="002F1B60"/>
    <w:rsid w:val="002F704A"/>
    <w:rsid w:val="003034E8"/>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3CAA"/>
    <w:rsid w:val="00384B40"/>
    <w:rsid w:val="00385E76"/>
    <w:rsid w:val="00392658"/>
    <w:rsid w:val="00392BA5"/>
    <w:rsid w:val="00397CA9"/>
    <w:rsid w:val="003A3321"/>
    <w:rsid w:val="003A363B"/>
    <w:rsid w:val="003B1DA8"/>
    <w:rsid w:val="003C004B"/>
    <w:rsid w:val="003C0DE8"/>
    <w:rsid w:val="003C12BC"/>
    <w:rsid w:val="003C35BA"/>
    <w:rsid w:val="003C4088"/>
    <w:rsid w:val="003D5EC7"/>
    <w:rsid w:val="003E2175"/>
    <w:rsid w:val="003E31C2"/>
    <w:rsid w:val="003F0C7D"/>
    <w:rsid w:val="003F1389"/>
    <w:rsid w:val="003F5EE7"/>
    <w:rsid w:val="00412382"/>
    <w:rsid w:val="0041526B"/>
    <w:rsid w:val="0042058C"/>
    <w:rsid w:val="004250DE"/>
    <w:rsid w:val="004268AC"/>
    <w:rsid w:val="0043706E"/>
    <w:rsid w:val="00444CF7"/>
    <w:rsid w:val="0044597F"/>
    <w:rsid w:val="0044629B"/>
    <w:rsid w:val="0044712F"/>
    <w:rsid w:val="004527E1"/>
    <w:rsid w:val="00454086"/>
    <w:rsid w:val="00457AC6"/>
    <w:rsid w:val="004653F1"/>
    <w:rsid w:val="00490F70"/>
    <w:rsid w:val="0049554E"/>
    <w:rsid w:val="004964B1"/>
    <w:rsid w:val="004A29D9"/>
    <w:rsid w:val="004A5CD9"/>
    <w:rsid w:val="004A7169"/>
    <w:rsid w:val="004B1EF8"/>
    <w:rsid w:val="004D1E4D"/>
    <w:rsid w:val="004E1B96"/>
    <w:rsid w:val="004E392A"/>
    <w:rsid w:val="004E75A6"/>
    <w:rsid w:val="004F09F2"/>
    <w:rsid w:val="004F2EC7"/>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35EE"/>
    <w:rsid w:val="005A42B3"/>
    <w:rsid w:val="005A4A3B"/>
    <w:rsid w:val="005A4CB5"/>
    <w:rsid w:val="005A7EFC"/>
    <w:rsid w:val="005B17C0"/>
    <w:rsid w:val="005B4FBC"/>
    <w:rsid w:val="005C0836"/>
    <w:rsid w:val="005C0983"/>
    <w:rsid w:val="005C0D45"/>
    <w:rsid w:val="005C1EBC"/>
    <w:rsid w:val="005C360B"/>
    <w:rsid w:val="005C52BC"/>
    <w:rsid w:val="005C5C9E"/>
    <w:rsid w:val="005C6427"/>
    <w:rsid w:val="005D4532"/>
    <w:rsid w:val="005E607F"/>
    <w:rsid w:val="005E78E9"/>
    <w:rsid w:val="005F0643"/>
    <w:rsid w:val="0061068C"/>
    <w:rsid w:val="00611C48"/>
    <w:rsid w:val="006168F1"/>
    <w:rsid w:val="00617AC2"/>
    <w:rsid w:val="00622256"/>
    <w:rsid w:val="00632952"/>
    <w:rsid w:val="00632ECA"/>
    <w:rsid w:val="006341C1"/>
    <w:rsid w:val="0064340D"/>
    <w:rsid w:val="0064560F"/>
    <w:rsid w:val="006527CB"/>
    <w:rsid w:val="006530DF"/>
    <w:rsid w:val="0065449A"/>
    <w:rsid w:val="00654621"/>
    <w:rsid w:val="0065499C"/>
    <w:rsid w:val="00655579"/>
    <w:rsid w:val="00660727"/>
    <w:rsid w:val="00675D49"/>
    <w:rsid w:val="006775ED"/>
    <w:rsid w:val="00681900"/>
    <w:rsid w:val="00687E9E"/>
    <w:rsid w:val="00690740"/>
    <w:rsid w:val="006929ED"/>
    <w:rsid w:val="00697C2C"/>
    <w:rsid w:val="006A0F5B"/>
    <w:rsid w:val="006A28E7"/>
    <w:rsid w:val="006A453A"/>
    <w:rsid w:val="006A4577"/>
    <w:rsid w:val="006B150F"/>
    <w:rsid w:val="006B5279"/>
    <w:rsid w:val="006B5736"/>
    <w:rsid w:val="006B5841"/>
    <w:rsid w:val="006C1971"/>
    <w:rsid w:val="006C4338"/>
    <w:rsid w:val="006D4252"/>
    <w:rsid w:val="006E1393"/>
    <w:rsid w:val="006E204B"/>
    <w:rsid w:val="006E265F"/>
    <w:rsid w:val="006E38AA"/>
    <w:rsid w:val="006F3DF9"/>
    <w:rsid w:val="007032A8"/>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C17D4"/>
    <w:rsid w:val="007D07EF"/>
    <w:rsid w:val="007D22A0"/>
    <w:rsid w:val="007D43C9"/>
    <w:rsid w:val="007D4AAE"/>
    <w:rsid w:val="007D5A94"/>
    <w:rsid w:val="007D5BE6"/>
    <w:rsid w:val="007D74DA"/>
    <w:rsid w:val="007D7A65"/>
    <w:rsid w:val="007E1155"/>
    <w:rsid w:val="007E21D1"/>
    <w:rsid w:val="007F3933"/>
    <w:rsid w:val="007F3C0B"/>
    <w:rsid w:val="007F68A6"/>
    <w:rsid w:val="00803DD4"/>
    <w:rsid w:val="00812A61"/>
    <w:rsid w:val="00813D07"/>
    <w:rsid w:val="0082049D"/>
    <w:rsid w:val="0083205E"/>
    <w:rsid w:val="00837859"/>
    <w:rsid w:val="00844DAA"/>
    <w:rsid w:val="008466D7"/>
    <w:rsid w:val="008571D3"/>
    <w:rsid w:val="0086061B"/>
    <w:rsid w:val="00867D9F"/>
    <w:rsid w:val="00873B5F"/>
    <w:rsid w:val="008774D5"/>
    <w:rsid w:val="00880B2C"/>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69C3"/>
    <w:rsid w:val="008F3EAA"/>
    <w:rsid w:val="008F5E9E"/>
    <w:rsid w:val="008F600D"/>
    <w:rsid w:val="009019B7"/>
    <w:rsid w:val="00901D90"/>
    <w:rsid w:val="009020F5"/>
    <w:rsid w:val="009034F9"/>
    <w:rsid w:val="0090399B"/>
    <w:rsid w:val="009049BA"/>
    <w:rsid w:val="00906CF9"/>
    <w:rsid w:val="009120DC"/>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2BEE"/>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D2CA4"/>
    <w:rsid w:val="009E4655"/>
    <w:rsid w:val="009F05A0"/>
    <w:rsid w:val="009F3907"/>
    <w:rsid w:val="009F3B01"/>
    <w:rsid w:val="00A010AE"/>
    <w:rsid w:val="00A01784"/>
    <w:rsid w:val="00A07D59"/>
    <w:rsid w:val="00A1232D"/>
    <w:rsid w:val="00A37DC1"/>
    <w:rsid w:val="00A42290"/>
    <w:rsid w:val="00A44E57"/>
    <w:rsid w:val="00A52D6B"/>
    <w:rsid w:val="00A61A45"/>
    <w:rsid w:val="00A663E8"/>
    <w:rsid w:val="00A711A5"/>
    <w:rsid w:val="00A736CF"/>
    <w:rsid w:val="00A80AD0"/>
    <w:rsid w:val="00A841FF"/>
    <w:rsid w:val="00A97E07"/>
    <w:rsid w:val="00AB02DF"/>
    <w:rsid w:val="00AB03C8"/>
    <w:rsid w:val="00AB3642"/>
    <w:rsid w:val="00AC1C89"/>
    <w:rsid w:val="00AC3BCA"/>
    <w:rsid w:val="00AC7942"/>
    <w:rsid w:val="00AD17A8"/>
    <w:rsid w:val="00AD1EA5"/>
    <w:rsid w:val="00AD6368"/>
    <w:rsid w:val="00AE1A5C"/>
    <w:rsid w:val="00AE2D37"/>
    <w:rsid w:val="00AE53DF"/>
    <w:rsid w:val="00AE7831"/>
    <w:rsid w:val="00AF1F73"/>
    <w:rsid w:val="00AF3806"/>
    <w:rsid w:val="00AF6BAB"/>
    <w:rsid w:val="00B054DA"/>
    <w:rsid w:val="00B06C3A"/>
    <w:rsid w:val="00B07DF8"/>
    <w:rsid w:val="00B07F7C"/>
    <w:rsid w:val="00B10E78"/>
    <w:rsid w:val="00B20EBA"/>
    <w:rsid w:val="00B2106D"/>
    <w:rsid w:val="00B3277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3FF8"/>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5314"/>
    <w:rsid w:val="00CA6B9B"/>
    <w:rsid w:val="00CA73BB"/>
    <w:rsid w:val="00CB05D1"/>
    <w:rsid w:val="00CB2532"/>
    <w:rsid w:val="00CB2CA4"/>
    <w:rsid w:val="00CC00B7"/>
    <w:rsid w:val="00CC681F"/>
    <w:rsid w:val="00CC6CB8"/>
    <w:rsid w:val="00CD0447"/>
    <w:rsid w:val="00CD185D"/>
    <w:rsid w:val="00CD4158"/>
    <w:rsid w:val="00CD46CC"/>
    <w:rsid w:val="00CD5584"/>
    <w:rsid w:val="00CD784D"/>
    <w:rsid w:val="00CE0B38"/>
    <w:rsid w:val="00CE2533"/>
    <w:rsid w:val="00CE7ED2"/>
    <w:rsid w:val="00CF5054"/>
    <w:rsid w:val="00CF5FA7"/>
    <w:rsid w:val="00D04582"/>
    <w:rsid w:val="00D141E3"/>
    <w:rsid w:val="00D21112"/>
    <w:rsid w:val="00D23F2C"/>
    <w:rsid w:val="00D252A2"/>
    <w:rsid w:val="00D33F88"/>
    <w:rsid w:val="00D41AEA"/>
    <w:rsid w:val="00D46BC7"/>
    <w:rsid w:val="00D4787B"/>
    <w:rsid w:val="00D479AF"/>
    <w:rsid w:val="00D5120B"/>
    <w:rsid w:val="00D576E5"/>
    <w:rsid w:val="00D6487A"/>
    <w:rsid w:val="00D745B1"/>
    <w:rsid w:val="00D74CA3"/>
    <w:rsid w:val="00D85419"/>
    <w:rsid w:val="00D85B4D"/>
    <w:rsid w:val="00D93018"/>
    <w:rsid w:val="00D93A55"/>
    <w:rsid w:val="00DA2C84"/>
    <w:rsid w:val="00DA316F"/>
    <w:rsid w:val="00DA6FB3"/>
    <w:rsid w:val="00DB562A"/>
    <w:rsid w:val="00DB796C"/>
    <w:rsid w:val="00DB7EF4"/>
    <w:rsid w:val="00DC0ED6"/>
    <w:rsid w:val="00DD26F2"/>
    <w:rsid w:val="00DD4A46"/>
    <w:rsid w:val="00DD5A41"/>
    <w:rsid w:val="00E02E19"/>
    <w:rsid w:val="00E05871"/>
    <w:rsid w:val="00E17A92"/>
    <w:rsid w:val="00E17D8E"/>
    <w:rsid w:val="00E20AD3"/>
    <w:rsid w:val="00E24989"/>
    <w:rsid w:val="00E31CC9"/>
    <w:rsid w:val="00E432A5"/>
    <w:rsid w:val="00E45F0E"/>
    <w:rsid w:val="00E47798"/>
    <w:rsid w:val="00E50E20"/>
    <w:rsid w:val="00E521C6"/>
    <w:rsid w:val="00E53A86"/>
    <w:rsid w:val="00E57FA7"/>
    <w:rsid w:val="00E604E4"/>
    <w:rsid w:val="00E6507D"/>
    <w:rsid w:val="00E734DB"/>
    <w:rsid w:val="00E74222"/>
    <w:rsid w:val="00E7455B"/>
    <w:rsid w:val="00E763C4"/>
    <w:rsid w:val="00E91757"/>
    <w:rsid w:val="00E92BEB"/>
    <w:rsid w:val="00E972CE"/>
    <w:rsid w:val="00EA5C18"/>
    <w:rsid w:val="00EA7E1F"/>
    <w:rsid w:val="00EB2B57"/>
    <w:rsid w:val="00EC42E7"/>
    <w:rsid w:val="00ED3918"/>
    <w:rsid w:val="00ED5E51"/>
    <w:rsid w:val="00ED7173"/>
    <w:rsid w:val="00ED76D3"/>
    <w:rsid w:val="00ED77C0"/>
    <w:rsid w:val="00EE7907"/>
    <w:rsid w:val="00EF1898"/>
    <w:rsid w:val="00EF38BF"/>
    <w:rsid w:val="00EF69A2"/>
    <w:rsid w:val="00EF71CC"/>
    <w:rsid w:val="00F11EC7"/>
    <w:rsid w:val="00F208EC"/>
    <w:rsid w:val="00F21477"/>
    <w:rsid w:val="00F23348"/>
    <w:rsid w:val="00F25FB6"/>
    <w:rsid w:val="00F331B7"/>
    <w:rsid w:val="00F33661"/>
    <w:rsid w:val="00F36DAA"/>
    <w:rsid w:val="00F407C5"/>
    <w:rsid w:val="00F4296B"/>
    <w:rsid w:val="00F45F8A"/>
    <w:rsid w:val="00F469C4"/>
    <w:rsid w:val="00F47796"/>
    <w:rsid w:val="00F55B68"/>
    <w:rsid w:val="00F66E91"/>
    <w:rsid w:val="00F83A14"/>
    <w:rsid w:val="00F87FAD"/>
    <w:rsid w:val="00F92CB5"/>
    <w:rsid w:val="00F95CB5"/>
    <w:rsid w:val="00FA04CA"/>
    <w:rsid w:val="00FA342D"/>
    <w:rsid w:val="00FA6231"/>
    <w:rsid w:val="00FB3832"/>
    <w:rsid w:val="00FB58D7"/>
    <w:rsid w:val="00FB65D3"/>
    <w:rsid w:val="00FC1C9F"/>
    <w:rsid w:val="00FC3DC2"/>
    <w:rsid w:val="00FD31B3"/>
    <w:rsid w:val="00FD6AD1"/>
    <w:rsid w:val="00FD77F0"/>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F13F1CA2-91E2-4D87-8AD0-279BB626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524946884">
              <w:marLeft w:val="0"/>
              <w:marRight w:val="0"/>
              <w:marTop w:val="0"/>
              <w:marBottom w:val="0"/>
              <w:divBdr>
                <w:top w:val="none" w:sz="0" w:space="0" w:color="auto"/>
                <w:left w:val="none" w:sz="0" w:space="0" w:color="auto"/>
                <w:bottom w:val="none" w:sz="0" w:space="0" w:color="auto"/>
                <w:right w:val="none" w:sz="0" w:space="0" w:color="auto"/>
              </w:divBdr>
            </w:div>
            <w:div w:id="731779031">
              <w:marLeft w:val="0"/>
              <w:marRight w:val="0"/>
              <w:marTop w:val="0"/>
              <w:marBottom w:val="0"/>
              <w:divBdr>
                <w:top w:val="none" w:sz="0" w:space="0" w:color="auto"/>
                <w:left w:val="none" w:sz="0" w:space="0" w:color="auto"/>
                <w:bottom w:val="none" w:sz="0" w:space="0" w:color="auto"/>
                <w:right w:val="none" w:sz="0" w:space="0" w:color="auto"/>
              </w:divBdr>
            </w:div>
          </w:divsChild>
        </w:div>
        <w:div w:id="863633453">
          <w:marLeft w:val="0"/>
          <w:marRight w:val="0"/>
          <w:marTop w:val="0"/>
          <w:marBottom w:val="0"/>
          <w:divBdr>
            <w:top w:val="none" w:sz="0" w:space="0" w:color="auto"/>
            <w:left w:val="none" w:sz="0" w:space="0" w:color="auto"/>
            <w:bottom w:val="none" w:sz="0" w:space="0" w:color="auto"/>
            <w:right w:val="none" w:sz="0" w:space="0" w:color="auto"/>
          </w:divBdr>
        </w:div>
        <w:div w:id="988899457">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471993120">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13723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23B47903D7B44C9FC92B7B9E7B89E0" ma:contentTypeVersion="3" ma:contentTypeDescription="Crée un document." ma:contentTypeScope="" ma:versionID="09e5bb1c4572bdf00d9ccdab7ff7f570">
  <xsd:schema xmlns:xsd="http://www.w3.org/2001/XMLSchema" xmlns:xs="http://www.w3.org/2001/XMLSchema" xmlns:p="http://schemas.microsoft.com/office/2006/metadata/properties" xmlns:ns2="ebae5f38-6bc4-4182-8c20-ba8eb79be800" targetNamespace="http://schemas.microsoft.com/office/2006/metadata/properties" ma:root="true" ma:fieldsID="af5071d161c0942dfdc2ef382cc94107" ns2:_="">
    <xsd:import namespace="ebae5f38-6bc4-4182-8c20-ba8eb79be80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e5f38-6bc4-4182-8c20-ba8eb79be8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B68A8D85-E5EC-4BF7-918E-7D2202A7917B}">
  <ds:schemaRefs>
    <ds:schemaRef ds:uri="http://schemas.microsoft.com/sharepoint/v3/contenttype/forms"/>
  </ds:schemaRefs>
</ds:datastoreItem>
</file>

<file path=customXml/itemProps3.xml><?xml version="1.0" encoding="utf-8"?>
<ds:datastoreItem xmlns:ds="http://schemas.openxmlformats.org/officeDocument/2006/customXml" ds:itemID="{F9AF45C5-70CA-4733-94CB-A157657E12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5.xml><?xml version="1.0" encoding="utf-8"?>
<ds:datastoreItem xmlns:ds="http://schemas.openxmlformats.org/officeDocument/2006/customXml" ds:itemID="{8E6E2502-BCFB-4353-B6F1-DD3EFA03D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e5f38-6bc4-4182-8c20-ba8eb79be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10</Pages>
  <Words>2429</Words>
  <Characters>13420</Characters>
  <Application>Microsoft Office Word</Application>
  <DocSecurity>0</DocSecurity>
  <Lines>478</Lines>
  <Paragraphs>198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15734</CharactersWithSpaces>
  <SharedDoc>false</SharedDoc>
  <HLinks>
    <vt:vector size="60" baseType="variant">
      <vt:variant>
        <vt:i4>7602259</vt:i4>
      </vt:variant>
      <vt:variant>
        <vt:i4>120</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117</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7209020</vt:i4>
      </vt:variant>
      <vt:variant>
        <vt:i4>9</vt:i4>
      </vt:variant>
      <vt:variant>
        <vt:i4>0</vt:i4>
      </vt:variant>
      <vt:variant>
        <vt:i4>5</vt:i4>
      </vt:variant>
      <vt:variant>
        <vt:lpwstr>http://www.marches-publics.fr/</vt:lpwstr>
      </vt:variant>
      <vt:variant>
        <vt:lpwstr/>
      </vt:variant>
      <vt:variant>
        <vt:i4>1179737</vt:i4>
      </vt:variant>
      <vt:variant>
        <vt:i4>6</vt:i4>
      </vt:variant>
      <vt:variant>
        <vt:i4>0</vt:i4>
      </vt:variant>
      <vt:variant>
        <vt:i4>5</vt:i4>
      </vt:variant>
      <vt:variant>
        <vt:lpwstr>http://www.ineris.fr/</vt:lpwstr>
      </vt:variant>
      <vt:variant>
        <vt:lpwstr/>
      </vt:variant>
      <vt:variant>
        <vt:i4>1835039</vt:i4>
      </vt:variant>
      <vt:variant>
        <vt:i4>9</vt:i4>
      </vt:variant>
      <vt:variant>
        <vt:i4>0</vt:i4>
      </vt:variant>
      <vt:variant>
        <vt:i4>5</vt:i4>
      </vt:variant>
      <vt:variant>
        <vt:lpwstr>https://www.ineris.fr/fr</vt:lpwstr>
      </vt:variant>
      <vt:variant>
        <vt:lpwstr/>
      </vt:variant>
      <vt:variant>
        <vt:i4>5111918</vt:i4>
      </vt:variant>
      <vt:variant>
        <vt:i4>6</vt:i4>
      </vt:variant>
      <vt:variant>
        <vt:i4>0</vt:i4>
      </vt:variant>
      <vt:variant>
        <vt:i4>5</vt:i4>
      </vt:variant>
      <vt:variant>
        <vt:lpwstr>mailto:ineris@ineris.fr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Blandine BABANI</dc:creator>
  <cp:keywords/>
  <cp:lastModifiedBy>BABANI Blandine</cp:lastModifiedBy>
  <cp:revision>67</cp:revision>
  <cp:lastPrinted>2017-09-28T07:48:00Z</cp:lastPrinted>
  <dcterms:created xsi:type="dcterms:W3CDTF">2023-03-24T07:29:00Z</dcterms:created>
  <dcterms:modified xsi:type="dcterms:W3CDTF">2026-02-04T15:24:00Z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0x0101001F23B47903D7B44C9FC92B7B9E7B89E0</vt:lpwstr>
  </property>
  <property fmtid="{D5CDD505-2E9C-101B-9397-08002B2CF9AE}" pid="3" name="docLang">
    <vt:lpwstr>fr</vt:lpwstr>
  </property>
</Properties>
</file>