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.bin" ContentType="application/vnd.ms-office.activeX"/>
  <Override PartName="/word/activeX/activeX2.xml" ContentType="application/vnd.ms-office.activeX+xml"/>
  <Override PartName="/word/activeX/activeX2.bin" ContentType="application/vnd.ms-office.activeX"/>
  <Override PartName="/word/activeX/activeX3.xml" ContentType="application/vnd.ms-office.activeX+xml"/>
  <Override PartName="/word/activeX/activeX3.bin" ContentType="application/vnd.ms-office.activeX"/>
  <Override PartName="/word/activeX/activeX4.xml" ContentType="application/vnd.ms-office.activeX+xml"/>
  <Override PartName="/word/activeX/activeX4.bin" ContentType="application/vnd.ms-office.activeX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cs="Arial" w:ascii="Arial" w:hAnsi="Arial"/>
          <w:b/>
          <w:bCs/>
          <w:color w:val="000000"/>
          <w:sz w:val="20"/>
        </w:rPr>
        <w:t>ANNEXE N°1 – DÉSIGNATION ET RÉPARTITION DE CHAQUE MEMBRE DU GROUPEMENT</w:t>
      </w:r>
    </w:p>
    <w:p>
      <w:pPr>
        <w:pStyle w:val="Normal"/>
        <w:bidi w:val="0"/>
        <w:jc w:val="both"/>
        <w:rPr>
          <w:rFonts w:ascii="Arial" w:hAnsi="Arial" w:cs="Arial"/>
          <w:bCs/>
          <w:color w:val="000000"/>
          <w:sz w:val="20"/>
        </w:rPr>
      </w:pPr>
      <w:r>
        <w:rPr>
          <w:rFonts w:cs="Arial" w:ascii="Arial" w:hAnsi="Arial"/>
          <w:bCs/>
          <w:color w:val="000000"/>
          <w:sz w:val="20"/>
        </w:rPr>
      </w:r>
    </w:p>
    <w:tbl>
      <w:tblPr>
        <w:tblW w:w="14619" w:type="dxa"/>
        <w:jc w:val="end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6345"/>
        <w:gridCol w:w="4140"/>
        <w:gridCol w:w="1635"/>
        <w:gridCol w:w="975"/>
        <w:gridCol w:w="1524"/>
      </w:tblGrid>
      <w:tr>
        <w:trPr>
          <w:trHeight w:val="735" w:hRule="atLeast"/>
        </w:trPr>
        <w:tc>
          <w:tcPr>
            <w:tcW w:w="634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Contenudetableau"/>
              <w:bidi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Désignation des membres du groupement</w:t>
            </w:r>
          </w:p>
        </w:tc>
        <w:tc>
          <w:tcPr>
            <w:tcW w:w="414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  <w:t>Prestations concernées</w:t>
            </w:r>
          </w:p>
        </w:tc>
        <w:tc>
          <w:tcPr>
            <w:tcW w:w="163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Contenudetableau"/>
              <w:bidi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Montant HT</w:t>
            </w:r>
          </w:p>
        </w:tc>
        <w:tc>
          <w:tcPr>
            <w:tcW w:w="97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DDDDDD" w:val="clear"/>
            <w:vAlign w:val="center"/>
          </w:tcPr>
          <w:p>
            <w:pPr>
              <w:pStyle w:val="Contenudetableau"/>
              <w:bidi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Taux de TVA</w:t>
            </w:r>
          </w:p>
        </w:tc>
        <w:tc>
          <w:tcPr>
            <w:tcW w:w="152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DDDDDD" w:val="clear"/>
            <w:vAlign w:val="center"/>
          </w:tcPr>
          <w:p>
            <w:pPr>
              <w:pStyle w:val="Contenudetableau"/>
              <w:bidi w:val="0"/>
              <w:jc w:val="center"/>
              <w:rPr>
                <w:rFonts w:cs="Arial"/>
              </w:rPr>
            </w:pPr>
            <w:r>
              <w:rPr>
                <w:rFonts w:cs="Arial"/>
              </w:rPr>
              <w:t>Montant TTC</w:t>
            </w:r>
          </w:p>
        </w:tc>
      </w:tr>
      <w:tr>
        <w:trPr>
          <w:trHeight w:val="1815" w:hRule="atLeast"/>
        </w:trPr>
        <w:tc>
          <w:tcPr>
            <w:tcW w:w="634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Dénomination sociale :………………………………………...……………</w:t>
            </w:r>
            <w:r>
              <w:rPr/>
              <w:t>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N° SIRET :…………………………….......….......................................……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Adresse :………………………………………………………………………..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…………………………………………………………………………………</w:t>
            </w:r>
            <w:r>
              <w:rPr/>
              <w:t>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</w:rPr>
              <w:t xml:space="preserve">Le signataire est un artisan ou une PME * : </w:t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</w:rPr>
              <w:tab/>
            </w:r>
            <w:r>
              <w:rPr>
                <w:rFonts w:eastAsia="Times New Roman" w:cs="Times New Roman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obj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control_shape_0" o:allowincell="t" style="width:10.45pt;height:13.45pt" type="#_x0000_t75"/>
                <w:control r:id="rId2" w:name="Case à cocher 5" w:shapeid="control_shape_0"/>
              </w:object>
            </w:r>
            <w:r>
              <w:rPr>
                <w:rFonts w:eastAsia="Times New Roman" w:cs="Arial" w:ascii="Arial" w:hAnsi="Arial"/>
                <w:b w:val="false"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O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UI</w:t>
              <w:tab/>
              <w:tab/>
            </w:r>
            <w:r>
              <w:rPr>
                <w:rFonts w:eastAsia="Times New Roman" w:cs="Times New Roman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object>
                <v:shape id="control_shape_1" o:allowincell="t" style="width:10.45pt;height:13.45pt" type="#_x0000_t75"/>
                <w:control r:id="rId3" w:name="Case à cocher 5" w:shapeid="control_shape_1"/>
              </w:object>
            </w:r>
            <w:r>
              <w:rPr>
                <w:rFonts w:eastAsia="Times New Roman" w:cs="Arial" w:ascii="Arial" w:hAnsi="Arial"/>
                <w:b w:val="false"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NON</w:t>
            </w:r>
          </w:p>
          <w:p>
            <w:pPr>
              <w:pStyle w:val="Normal"/>
              <w:tabs>
                <w:tab w:val="clear" w:pos="709"/>
                <w:tab w:val="left" w:pos="4244" w:leader="none"/>
                <w:tab w:val="left" w:pos="5847" w:leader="none"/>
              </w:tabs>
              <w:bidi w:val="0"/>
              <w:spacing w:before="156" w:after="0"/>
              <w:jc w:val="both"/>
              <w:rPr/>
            </w:pPr>
            <w:r>
              <w:rPr>
                <w:rFonts w:cs="Arial" w:ascii="Arial" w:hAnsi="Arial"/>
                <w:bCs/>
                <w:color w:val="000000"/>
                <w:sz w:val="20"/>
              </w:rPr>
              <w:t xml:space="preserve">*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Au sens de la recommandation 2003/361/CE de la Commission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Européenne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du 6 mai 2003 concernant la définition des micro, petites, et moyennes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entreprises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>ou à des artisans au sens du I de l’article 19 de la Loi n°96-603 du 5 juillet 1996 modifiée relative au développement et à la promotion du commerce et de l’artisanat.</w:t>
            </w:r>
          </w:p>
        </w:tc>
        <w:tc>
          <w:tcPr>
            <w:tcW w:w="414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63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97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52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634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Dénomination sociale :………………………………………...……………</w:t>
            </w:r>
            <w:r>
              <w:rPr/>
              <w:t>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N° SIRET :…………………………….......….......................................……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Adresse :………………………………………………………………………..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…………………………………………………………………………………</w:t>
            </w:r>
            <w:r>
              <w:rPr/>
              <w:t>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</w:rPr>
              <w:t xml:space="preserve">Le signataire est un artisan ou une PME * : </w:t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</w:rPr>
              <w:tab/>
            </w:r>
            <w:r>
              <w:rPr>
                <w:rFonts w:eastAsia="Times New Roman" w:cs="Times New Roman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object>
                <v:shape id="control_shape_2" o:allowincell="t" style="width:10.45pt;height:13.45pt" type="#_x0000_t75"/>
                <w:control r:id="rId4" w:name="Case à cocher 5" w:shapeid="control_shape_2"/>
              </w:object>
            </w:r>
            <w:r>
              <w:rPr>
                <w:rFonts w:eastAsia="Times New Roman" w:cs="Arial" w:ascii="Arial" w:hAnsi="Arial"/>
                <w:b w:val="false"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O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UI</w:t>
              <w:tab/>
              <w:tab/>
            </w:r>
            <w:r>
              <w:rPr>
                <w:rFonts w:eastAsia="Times New Roman" w:cs="Times New Roman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object>
                <v:shape id="control_shape_3" o:allowincell="t" style="width:10.45pt;height:13.45pt" type="#_x0000_t75"/>
                <w:control r:id="rId5" w:name="Case à cocher 5" w:shapeid="control_shape_3"/>
              </w:object>
            </w:r>
            <w:r>
              <w:rPr>
                <w:rFonts w:eastAsia="Times New Roman" w:cs="Arial" w:ascii="Arial" w:hAnsi="Arial"/>
                <w:b w:val="false"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NON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>
                <w:rFonts w:cs="Arial" w:ascii="Arial" w:hAnsi="Arial"/>
                <w:bCs/>
                <w:color w:val="000000"/>
                <w:sz w:val="20"/>
              </w:rPr>
              <w:t xml:space="preserve">*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Au sens de la recommandation 2003/361/CE de la Commission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Européenne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du 6 mai 2003 concernant la définition des micro, petites, et moyennes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entreprises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>ou à des artisans au sens du I de l’article 19 de la Loi n°96-603 du 5 juillet 1996 modifiée relative au développement et à la promotion du commerce et de l’artisanat.</w:t>
            </w:r>
          </w:p>
        </w:tc>
        <w:tc>
          <w:tcPr>
            <w:tcW w:w="414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63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97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52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634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Dénomination sociale :………………………………………...……………</w:t>
            </w:r>
            <w:r>
              <w:rPr/>
              <w:t>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N° SIRET :…………………………….......….......................................……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Adresse :………………………………………………………………………..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…………………………………………………………………………………</w:t>
            </w:r>
            <w:r>
              <w:rPr/>
              <w:t>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</w:rPr>
              <w:t xml:space="preserve">Le signataire est un artisan ou une PME * : </w:t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</w:rPr>
              <w:tab/>
            </w:r>
            <w:r>
              <w:rPr>
                <w:rFonts w:eastAsia="Times New Roman" w:cs="Times New Roman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object>
                <v:shape id="control_shape_4" o:allowincell="t" style="width:10.45pt;height:13.45pt" type="#_x0000_t75"/>
                <w:control r:id="rId6" w:name="Case à cocher 5" w:shapeid="control_shape_4"/>
              </w:object>
            </w:r>
            <w:r>
              <w:rPr>
                <w:rFonts w:eastAsia="Times New Roman" w:cs="Arial" w:ascii="Arial" w:hAnsi="Arial"/>
                <w:b w:val="false"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O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UI</w:t>
              <w:tab/>
              <w:tab/>
            </w:r>
            <w:r>
              <w:rPr>
                <w:rFonts w:eastAsia="Times New Roman" w:cs="Times New Roman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object>
                <v:shape id="control_shape_5" o:allowincell="t" style="width:10.45pt;height:13.45pt" type="#_x0000_t75"/>
                <w:control r:id="rId7" w:name="Case à cocher 5" w:shapeid="control_shape_5"/>
              </w:object>
            </w:r>
            <w:r>
              <w:rPr>
                <w:rFonts w:eastAsia="Times New Roman" w:cs="Arial" w:ascii="Arial" w:hAnsi="Arial"/>
                <w:b w:val="false"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NON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>
                <w:rFonts w:cs="Arial" w:ascii="Arial" w:hAnsi="Arial"/>
                <w:bCs/>
                <w:color w:val="000000"/>
                <w:sz w:val="20"/>
              </w:rPr>
              <w:t xml:space="preserve">*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Au sens de la recommandation 2003/361/CE de la Commission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Européenne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du 6 mai 2003 concernant la définition des micro, petites, et moyennes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entreprises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>ou à des artisans au sens du I de l’article 19 de la Loi n°96-603 du 5 juillet 1996 modifiée relative au développement et à la promotion du commerce et de l’artisanat.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414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63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97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52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</w:tr>
      <w:tr>
        <w:trPr/>
        <w:tc>
          <w:tcPr>
            <w:tcW w:w="634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Dénomination sociale :………………………………………...……………</w:t>
            </w:r>
            <w:r>
              <w:rPr/>
              <w:t>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N° SIRET :…………………………….......….......................................……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Adresse :………………………………………………………………………..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  <w:t>…………………………………………………………………………………</w:t>
            </w:r>
            <w:r>
              <w:rPr/>
              <w:t>..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/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</w:rPr>
              <w:t xml:space="preserve">Le signataire est un artisan ou une PME * : </w:t>
            </w:r>
          </w:p>
          <w:p>
            <w:pPr>
              <w:pStyle w:val="Normal"/>
              <w:bidi w:val="0"/>
              <w:jc w:val="both"/>
              <w:rPr>
                <w:rFonts w:ascii="Arial" w:hAnsi="Arial" w:cs="Arial"/>
                <w:bCs/>
                <w:color w:val="000000"/>
                <w:sz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</w:rPr>
              <w:tab/>
            </w:r>
            <w:r>
              <w:rPr>
                <w:rFonts w:eastAsia="Times New Roman" w:cs="Times New Roman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object>
                <v:shape id="control_shape_6" o:allowincell="t" style="width:10.45pt;height:13.45pt" type="#_x0000_t75"/>
                <w:control r:id="rId8" w:name="Case à cocher 5" w:shapeid="control_shape_6"/>
              </w:object>
            </w:r>
            <w:r>
              <w:rPr>
                <w:rFonts w:eastAsia="Times New Roman" w:cs="Arial" w:ascii="Arial" w:hAnsi="Arial"/>
                <w:b w:val="false"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O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UI</w:t>
              <w:tab/>
              <w:tab/>
            </w:r>
            <w:r>
              <w:rPr>
                <w:rFonts w:eastAsia="Times New Roman" w:cs="Times New Roman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Arial" w:cs="Arial" w:ascii="Arial" w:hAnsi="Arial"/>
                <w:b w:val="false"/>
                <w:bCs/>
                <w:color w:val="000000"/>
                <w:sz w:val="28"/>
                <w:szCs w:val="28"/>
                <w:u w:val="none"/>
                <w:shd w:fill="auto" w:val="clear"/>
                <w:lang w:val="fr-FR" w:bidi="ar-SA"/>
              </w:rPr>
              <w:object>
                <v:shape id="control_shape_7" o:allowincell="t" style="width:10.45pt;height:13.45pt" type="#_x0000_t75"/>
                <w:control r:id="rId9" w:name="Case à cocher 5" w:shapeid="control_shape_7"/>
              </w:object>
            </w:r>
            <w:r>
              <w:rPr>
                <w:rFonts w:eastAsia="Times New Roman" w:cs="Arial" w:ascii="Arial" w:hAnsi="Arial"/>
                <w:b w:val="false"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 xml:space="preserve"> </w:t>
            </w:r>
            <w:r>
              <w:rPr>
                <w:rFonts w:eastAsia="Times New Roman" w:cs="Arial" w:ascii="Arial" w:hAnsi="Arial"/>
                <w:b/>
                <w:bCs/>
                <w:color w:val="000000"/>
                <w:sz w:val="20"/>
                <w:szCs w:val="20"/>
                <w:u w:val="none"/>
                <w:shd w:fill="auto" w:val="clear"/>
                <w:lang w:val="fr-FR" w:bidi="ar-SA"/>
              </w:rPr>
              <w:t>NON</w:t>
            </w:r>
          </w:p>
          <w:p>
            <w:pPr>
              <w:pStyle w:val="Normal"/>
              <w:tabs>
                <w:tab w:val="clear" w:pos="709"/>
              </w:tabs>
              <w:bidi w:val="0"/>
              <w:spacing w:before="156" w:after="0"/>
              <w:rPr/>
            </w:pPr>
            <w:r>
              <w:rPr>
                <w:rFonts w:cs="Arial" w:ascii="Arial" w:hAnsi="Arial"/>
                <w:bCs/>
                <w:color w:val="000000"/>
                <w:sz w:val="20"/>
              </w:rPr>
              <w:t xml:space="preserve">*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Au sens de la recommandation 2003/361/CE de la Commission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Européenne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du 6 mai 2003 concernant la définition des micro, petites, et moyennes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 xml:space="preserve">entreprises </w:t>
            </w:r>
            <w:r>
              <w:rPr>
                <w:rFonts w:cs="Arial" w:ascii="Arial" w:hAnsi="Arial"/>
                <w:bCs/>
                <w:i/>
                <w:iCs/>
                <w:color w:val="000000"/>
                <w:sz w:val="16"/>
                <w:szCs w:val="16"/>
              </w:rPr>
              <w:t>ou à des artisans au sens du I de l’article 19 de la Loi n°96-603 du 5 juillet 1996 modifiée relative au développement et à la promotion du commerce et de l’artisanat.</w:t>
            </w:r>
          </w:p>
        </w:tc>
        <w:tc>
          <w:tcPr>
            <w:tcW w:w="414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63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975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  <w:tc>
          <w:tcPr>
            <w:tcW w:w="1524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rPr>
                <w:rFonts w:cs="Arial"/>
              </w:rPr>
            </w:pPr>
            <w:r>
              <w:rPr>
                <w:rFonts w:cs="Arial"/>
              </w:rPr>
            </w:r>
          </w:p>
        </w:tc>
      </w:tr>
    </w:tbl>
    <w:p>
      <w:pPr>
        <w:pStyle w:val="Normal"/>
        <w:bidi w:val="0"/>
        <w:jc w:val="both"/>
        <w:rPr>
          <w:rFonts w:ascii="Arial" w:hAnsi="Arial" w:cs="Arial"/>
          <w:bCs/>
          <w:color w:val="000000"/>
          <w:sz w:val="20"/>
        </w:rPr>
      </w:pPr>
      <w:r>
        <w:rPr>
          <w:rFonts w:cs="Arial" w:ascii="Arial" w:hAnsi="Arial"/>
          <w:bCs/>
          <w:color w:val="000000"/>
          <w:sz w:val="20"/>
        </w:rPr>
      </w:r>
    </w:p>
    <w:sectPr>
      <w:headerReference w:type="default" r:id="rId10"/>
      <w:footerReference w:type="default" r:id="rId11"/>
      <w:type w:val="nextPage"/>
      <w:pgSz w:orient="landscape" w:w="16838" w:h="11906"/>
      <w:pgMar w:left="1134" w:right="959" w:gutter="0" w:header="315" w:top="825" w:footer="327" w:bottom="821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Wingdings">
    <w:charset w:val="02"/>
    <w:family w:val="auto"/>
    <w:pitch w:val="variable"/>
  </w:font>
  <w:font w:name="Courier New">
    <w:charset w:val="00" w:characterSet="windows-1252"/>
    <w:family w:val="modern"/>
    <w:pitch w:val="default"/>
  </w:font>
  <w:font w:name="CG Times (WN)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4536"/>
        <w:tab w:val="clear" w:pos="9072"/>
        <w:tab w:val="right" w:pos="14744" w:leader="none"/>
      </w:tabs>
      <w:bidi w:val="0"/>
      <w:rPr>
        <w:rFonts w:ascii="Arial" w:hAnsi="Arial" w:cs="Arial"/>
      </w:rPr>
    </w:pPr>
    <w:r>
      <w:rPr>
        <w:rFonts w:cs="Arial" w:ascii="Arial" w:hAnsi="Arial"/>
        <w:i/>
        <w:iCs/>
        <w:sz w:val="18"/>
        <w:szCs w:val="18"/>
      </w:rPr>
      <w:t>Acte d’engagement_</w:t>
    </w:r>
    <w:r>
      <w:rPr>
        <w:rFonts w:cs="Arial" w:ascii="Arial" w:hAnsi="Arial"/>
        <w:i/>
        <w:iCs/>
        <w:sz w:val="18"/>
        <w:szCs w:val="18"/>
      </w:rPr>
      <w:t>Annexe n°1</w:t>
    </w:r>
    <w:r>
      <w:rPr>
        <w:rFonts w:cs="Arial" w:ascii="Arial" w:hAnsi="Arial"/>
        <w:i/>
        <w:iCs/>
        <w:sz w:val="18"/>
        <w:szCs w:val="18"/>
      </w:rPr>
      <w:tab/>
      <w:t xml:space="preserve">page </w:t>
    </w:r>
    <w:r>
      <w:rPr>
        <w:rStyle w:val="PageNumber"/>
        <w:rFonts w:cs="Arial" w:ascii="Arial" w:hAnsi="Arial"/>
        <w:i/>
        <w:iCs/>
        <w:sz w:val="18"/>
        <w:szCs w:val="18"/>
      </w:rPr>
      <w:fldChar w:fldCharType="begin"/>
    </w:r>
    <w:r>
      <w:rPr>
        <w:rStyle w:val="PageNumber"/>
        <w:rFonts w:cs="Arial" w:ascii="Arial" w:hAnsi="Arial"/>
        <w:i/>
        <w:iCs/>
        <w:sz w:val="18"/>
        <w:szCs w:val="18"/>
      </w:rPr>
      <w:instrText xml:space="preserve"> PAGE </w:instrText>
    </w:r>
    <w:r>
      <w:rPr>
        <w:rStyle w:val="PageNumber"/>
        <w:rFonts w:cs="Arial" w:ascii="Arial" w:hAnsi="Arial"/>
        <w:i/>
        <w:iCs/>
        <w:sz w:val="18"/>
        <w:szCs w:val="18"/>
      </w:rPr>
      <w:fldChar w:fldCharType="separate"/>
    </w:r>
    <w:r>
      <w:rPr>
        <w:rStyle w:val="PageNumber"/>
        <w:rFonts w:cs="Arial" w:ascii="Arial" w:hAnsi="Arial"/>
        <w:i/>
        <w:iCs/>
        <w:sz w:val="18"/>
        <w:szCs w:val="18"/>
      </w:rPr>
      <w:t>2</w:t>
    </w:r>
    <w:r>
      <w:rPr>
        <w:rStyle w:val="PageNumber"/>
        <w:rFonts w:cs="Arial" w:ascii="Arial" w:hAnsi="Arial"/>
        <w:i/>
        <w:iCs/>
        <w:sz w:val="18"/>
        <w:szCs w:val="18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819"/>
        <w:tab w:val="clear" w:pos="9638"/>
        <w:tab w:val="center" w:pos="4536" w:leader="none"/>
        <w:tab w:val="right" w:pos="9639" w:leader="none"/>
      </w:tabs>
      <w:bidi w:val="0"/>
      <w:rPr>
        <w:rFonts w:ascii="Arial" w:hAnsi="Arial" w:cs="Arial"/>
        <w:i w:val="false"/>
        <w:iCs w:val="false"/>
        <w:color w:val="0000FF"/>
        <w:sz w:val="16"/>
        <w:lang w:val="de-DE"/>
      </w:rPr>
    </w:pPr>
    <w:r>
      <w:rPr>
        <w:rFonts w:cs="Arial" w:ascii="Arial" w:hAnsi="Arial"/>
        <w:i w:val="false"/>
        <w:iCs w:val="false"/>
        <w:color w:val="0000FF"/>
        <w:sz w:val="16"/>
        <w:lang w:val="de-DE"/>
      </w:rPr>
      <w:t xml:space="preserve">ORLEANS </w:t>
    </w:r>
    <w:r>
      <w:rPr>
        <w:rFonts w:cs="Arial" w:ascii="Arial" w:hAnsi="Arial"/>
        <w:i w:val="false"/>
        <w:iCs w:val="false"/>
        <w:color w:val="0000FF"/>
        <w:sz w:val="16"/>
        <w:lang w:val="de-DE"/>
      </w:rPr>
      <w:t>(45)</w:t>
    </w:r>
    <w:r>
      <w:rPr>
        <w:rFonts w:cs="Arial" w:ascii="Arial" w:hAnsi="Arial"/>
        <w:i w:val="false"/>
        <w:iCs w:val="false"/>
        <w:color w:val="0000FF"/>
        <w:sz w:val="16"/>
        <w:lang w:val="de-DE"/>
      </w:rPr>
      <w:t xml:space="preserve"> - Travaux d’aménagement d’un Local de Rétention Administrative (LRA) à l’Hotel de Police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decimal"/>
      <w:pStyle w:val="Heading2"/>
      <w:lvlText w:val="%2."/>
      <w:lvlJc w:val="start"/>
      <w:pPr>
        <w:tabs>
          <w:tab w:val="num" w:pos="0"/>
        </w:tabs>
        <w:ind w:start="0" w:hanging="0"/>
      </w:pPr>
    </w:lvl>
    <w:lvl w:ilvl="2">
      <w:start w:val="1"/>
      <w:numFmt w:val="lowerLetter"/>
      <w:pStyle w:val="Heading3"/>
      <w:lvlText w:val="%3)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pStyle w:val="Heading4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pStyle w:val="Heading5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pStyle w:val="Heading8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pStyle w:val="Heading9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fr-F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jc w:val="both"/>
    </w:pPr>
    <w:rPr>
      <w:rFonts w:ascii="Arial" w:hAnsi="Arial" w:eastAsia="SimSun" w:cs="Mangal"/>
      <w:color w:val="auto"/>
      <w:kern w:val="0"/>
      <w:sz w:val="20"/>
      <w:szCs w:val="24"/>
      <w:lang w:val="fr-FR" w:eastAsia="zh-CN" w:bidi="hi-IN"/>
    </w:rPr>
  </w:style>
  <w:style w:type="paragraph" w:styleId="Heading1">
    <w:name w:val="heading 1"/>
    <w:basedOn w:val="Titre"/>
    <w:next w:val="BodyText"/>
    <w:qFormat/>
    <w:pPr>
      <w:numPr>
        <w:ilvl w:val="0"/>
        <w:numId w:val="1"/>
      </w:numPr>
      <w:pBdr/>
      <w:shd w:fill="FFFFFF" w:val="clear"/>
      <w:tabs>
        <w:tab w:val="clear" w:pos="709"/>
      </w:tabs>
      <w:bidi w:val="0"/>
      <w:spacing w:before="113" w:after="113"/>
      <w:ind w:hanging="0" w:start="0" w:end="0"/>
      <w:jc w:val="start"/>
      <w:outlineLvl w:val="0"/>
    </w:pPr>
    <w:rPr>
      <w:rFonts w:ascii="Arial" w:hAnsi="Arial"/>
      <w:b/>
      <w:bCs/>
      <w:sz w:val="20"/>
      <w:szCs w:val="36"/>
    </w:rPr>
  </w:style>
  <w:style w:type="paragraph" w:styleId="Heading2">
    <w:name w:val="heading 2"/>
    <w:basedOn w:val="Titre"/>
    <w:next w:val="BodyText"/>
    <w:autoRedefine/>
    <w:qFormat/>
    <w:pPr>
      <w:numPr>
        <w:ilvl w:val="1"/>
        <w:numId w:val="1"/>
      </w:numPr>
      <w:pBdr>
        <w:bottom w:val="nil"/>
      </w:pBdr>
      <w:shd w:fill="auto" w:val="clear"/>
      <w:tabs>
        <w:tab w:val="clear" w:pos="709"/>
        <w:tab w:val="left" w:pos="623" w:leader="none"/>
      </w:tabs>
      <w:bidi w:val="0"/>
      <w:spacing w:before="113" w:after="113"/>
      <w:ind w:hanging="0" w:start="283" w:end="0"/>
      <w:jc w:val="start"/>
      <w:outlineLvl w:val="1"/>
    </w:pPr>
    <w:rPr>
      <w:rFonts w:ascii="Arial" w:hAnsi="Arial"/>
      <w:b/>
      <w:bCs/>
      <w:sz w:val="20"/>
      <w:szCs w:val="21"/>
      <w:u w:val="single"/>
    </w:rPr>
  </w:style>
  <w:style w:type="paragraph" w:styleId="Heading3">
    <w:name w:val="heading 3"/>
    <w:basedOn w:val="Titre"/>
    <w:next w:val="BodyText"/>
    <w:qFormat/>
    <w:pPr>
      <w:numPr>
        <w:ilvl w:val="2"/>
        <w:numId w:val="1"/>
      </w:numPr>
      <w:suppressLineNumbers/>
      <w:pBdr>
        <w:bottom w:val="nil"/>
      </w:pBdr>
      <w:shd w:fill="auto" w:val="clear"/>
      <w:tabs>
        <w:tab w:val="clear" w:pos="709"/>
        <w:tab w:val="left" w:pos="1134" w:leader="none"/>
      </w:tabs>
      <w:bidi w:val="0"/>
      <w:spacing w:before="0" w:after="0"/>
      <w:ind w:hanging="0" w:start="567" w:end="0"/>
      <w:jc w:val="start"/>
      <w:outlineLvl w:val="2"/>
    </w:pPr>
    <w:rPr>
      <w:rFonts w:ascii="Arial" w:hAnsi="Arial"/>
      <w:b w:val="false"/>
      <w:bCs/>
      <w:i w:val="false"/>
      <w:sz w:val="19"/>
      <w:szCs w:val="28"/>
      <w:u w:val="none"/>
    </w:rPr>
  </w:style>
  <w:style w:type="paragraph" w:styleId="Heading4">
    <w:name w:val="heading 4"/>
    <w:basedOn w:val="Titre"/>
    <w:next w:val="BodyText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3"/>
      <w:szCs w:val="27"/>
    </w:rPr>
  </w:style>
  <w:style w:type="paragraph" w:styleId="Heading5">
    <w:name w:val="heading 5"/>
    <w:basedOn w:val="Titre"/>
    <w:next w:val="BodyText"/>
    <w:qFormat/>
    <w:pPr>
      <w:numPr>
        <w:ilvl w:val="4"/>
        <w:numId w:val="1"/>
      </w:numPr>
      <w:spacing w:before="120" w:after="60"/>
      <w:outlineLvl w:val="4"/>
    </w:pPr>
    <w:rPr>
      <w:b/>
      <w:bCs/>
      <w:sz w:val="20"/>
      <w:szCs w:val="24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outlineLvl w:val="7"/>
    </w:pPr>
    <w:rPr>
      <w:b/>
      <w:bCs/>
      <w:color w:val="0000FF"/>
      <w:sz w:val="24"/>
    </w:rPr>
  </w:style>
  <w:style w:type="paragraph" w:styleId="Heading9">
    <w:name w:val="heading 9"/>
    <w:basedOn w:val="Titre"/>
    <w:next w:val="BodyText"/>
    <w:qFormat/>
    <w:pPr>
      <w:numPr>
        <w:ilvl w:val="8"/>
        <w:numId w:val="1"/>
      </w:numPr>
      <w:spacing w:before="60" w:after="60"/>
      <w:outlineLvl w:val="8"/>
    </w:pPr>
    <w:rPr>
      <w:b/>
      <w:bCs/>
      <w:sz w:val="18"/>
      <w:szCs w:val="21"/>
    </w:rPr>
  </w:style>
  <w:style w:type="character" w:styleId="Policepardfaut">
    <w:name w:val="Police par défaut"/>
    <w:qFormat/>
    <w:rPr/>
  </w:style>
  <w:style w:type="character" w:styleId="PageNumber">
    <w:name w:val="page number"/>
    <w:basedOn w:val="Policepardfaut"/>
    <w:rPr/>
  </w:style>
  <w:style w:type="character" w:styleId="Caractresdenumrotation">
    <w:name w:val="Caractères de numérotation"/>
    <w:qFormat/>
    <w:rPr/>
  </w:style>
  <w:style w:type="character" w:styleId="Puces">
    <w:name w:val="Puces"/>
    <w:qFormat/>
    <w:rPr>
      <w:rFonts w:ascii="OpenSymbol" w:hAnsi="OpenSymbol" w:eastAsia="OpenSymbol" w:cs="OpenSymbol"/>
      <w:sz w:val="30"/>
      <w:szCs w:val="30"/>
    </w:rPr>
  </w:style>
  <w:style w:type="character" w:styleId="Hyperlink">
    <w:name w:val="Hyperlink"/>
    <w:basedOn w:val="Policepardfaut"/>
    <w:rPr>
      <w:color w:val="0000FF"/>
      <w:u w:val="single"/>
    </w:rPr>
  </w:style>
  <w:style w:type="character" w:styleId="FollowedHyperlink">
    <w:name w:val="FollowedHyperlink"/>
    <w:basedOn w:val="Policepardfaut"/>
    <w:rPr>
      <w:color w:val="800080"/>
      <w:u w:val="single"/>
    </w:rPr>
  </w:style>
  <w:style w:type="character" w:styleId="Sautdindex">
    <w:name w:val="Saut d'index"/>
    <w:qFormat/>
    <w:rPr/>
  </w:style>
  <w:style w:type="character" w:styleId="WW8Num2z0">
    <w:name w:val="WW8Num2z0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3">
    <w:name w:val="WW8Num2z3"/>
    <w:qFormat/>
    <w:rPr>
      <w:rFonts w:ascii="Symbol" w:hAnsi="Symbol" w:cs="Symbol"/>
    </w:rPr>
  </w:style>
  <w:style w:type="paragraph" w:styleId="Titre">
    <w:name w:val="Titre"/>
    <w:basedOn w:val="Normal"/>
    <w:next w:val="BodyText"/>
    <w:qFormat/>
    <w:pPr>
      <w:keepNext w:val="true"/>
      <w:pBdr>
        <w:bottom w:val="single" w:sz="2" w:space="1" w:color="000000"/>
      </w:pBdr>
      <w:shd w:fill="DDDDDD" w:val="clear"/>
      <w:bidi w:val="0"/>
      <w:spacing w:before="240" w:after="312"/>
      <w:jc w:val="center"/>
    </w:pPr>
    <w:rPr>
      <w:rFonts w:ascii="Arial" w:hAnsi="Arial" w:eastAsia="Microsoft YaHei" w:cs="Mangal"/>
      <w:sz w:val="24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Title">
    <w:name w:val="Title"/>
    <w:basedOn w:val="Titre"/>
    <w:next w:val="BodyText"/>
    <w:qFormat/>
    <w:pPr>
      <w:jc w:val="center"/>
    </w:pPr>
    <w:rPr>
      <w:b/>
      <w:bCs/>
      <w:sz w:val="56"/>
      <w:szCs w:val="56"/>
    </w:rPr>
  </w:style>
  <w:style w:type="paragraph" w:styleId="Corpsdetexte3">
    <w:name w:val="Corps de texte 3"/>
    <w:basedOn w:val="Normal"/>
    <w:qFormat/>
    <w:pPr>
      <w:jc w:val="both"/>
    </w:pPr>
    <w:rPr>
      <w:sz w:val="24"/>
    </w:rPr>
  </w:style>
  <w:style w:type="paragraph" w:styleId="Commentaireuser">
    <w:name w:val="Commentaire (user)"/>
    <w:basedOn w:val="Normal"/>
    <w:qFormat/>
    <w:pPr/>
    <w:rPr>
      <w:sz w:val="20"/>
    </w:rPr>
  </w:style>
  <w:style w:type="paragraph" w:styleId="TOC2">
    <w:name w:val="toc 2"/>
    <w:basedOn w:val="Normal"/>
    <w:next w:val="Normal"/>
    <w:pPr>
      <w:bidi w:val="0"/>
      <w:spacing w:before="78" w:after="78"/>
      <w:ind w:hanging="0" w:start="280" w:end="0"/>
    </w:pPr>
    <w:rPr/>
  </w:style>
  <w:style w:type="paragraph" w:styleId="JACTITRE2">
    <w:name w:val="JAC TITRE 2"/>
    <w:basedOn w:val="TOC2"/>
    <w:qFormat/>
    <w:pPr>
      <w:tabs>
        <w:tab w:val="clear" w:pos="709"/>
        <w:tab w:val="left" w:pos="851" w:leader="none"/>
        <w:tab w:val="left" w:pos="1418" w:leader="none"/>
        <w:tab w:val="right" w:pos="9639" w:leader="none"/>
      </w:tabs>
      <w:spacing w:before="0" w:after="0"/>
      <w:ind w:hanging="0" w:start="0" w:end="0"/>
    </w:pPr>
    <w:rPr>
      <w:rFonts w:ascii="Arial" w:hAnsi="Arial" w:cs="Arial"/>
      <w:i/>
      <w:iCs/>
      <w:caps/>
      <w:color w:val="000000"/>
      <w:sz w:val="20"/>
      <w:u w:val="single"/>
      <w:lang w:val="zxx" w:eastAsia="zxx"/>
    </w:rPr>
  </w:style>
  <w:style w:type="paragraph" w:styleId="BodyTextIndent">
    <w:name w:val="Body Text Indent"/>
    <w:basedOn w:val="Normal"/>
    <w:pPr>
      <w:tabs>
        <w:tab w:val="clear" w:pos="709"/>
        <w:tab w:val="right" w:pos="9638" w:leader="dot"/>
      </w:tabs>
      <w:spacing w:before="0" w:after="0"/>
      <w:ind w:firstLine="567" w:start="0" w:end="0"/>
      <w:jc w:val="both"/>
    </w:pPr>
    <w:rPr>
      <w:sz w:val="24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IndexHeading">
    <w:name w:val="index heading"/>
    <w:basedOn w:val="Titre"/>
    <w:pPr>
      <w:suppressLineNumbers/>
      <w:ind w:hanging="0" w:start="0"/>
    </w:pPr>
    <w:rPr>
      <w:b/>
      <w:bCs/>
      <w:sz w:val="32"/>
      <w:szCs w:val="32"/>
    </w:rPr>
  </w:style>
  <w:style w:type="paragraph" w:styleId="TOCHeading">
    <w:name w:val="TOC Heading"/>
    <w:basedOn w:val="Titre"/>
    <w:qFormat/>
    <w:pPr>
      <w:suppressLineNumbers/>
      <w:shd w:fill="FFFFFF" w:val="clear"/>
      <w:bidi w:val="0"/>
      <w:spacing w:before="0" w:after="312"/>
      <w:ind w:hanging="0" w:start="0" w:end="0"/>
    </w:pPr>
    <w:rPr>
      <w:b/>
      <w:bCs/>
      <w:sz w:val="28"/>
      <w:szCs w:val="32"/>
    </w:rPr>
  </w:style>
  <w:style w:type="paragraph" w:styleId="TOC1">
    <w:name w:val="toc 1"/>
    <w:basedOn w:val="Index"/>
    <w:pPr>
      <w:tabs>
        <w:tab w:val="clear" w:pos="709"/>
        <w:tab w:val="right" w:pos="9638" w:leader="dot"/>
      </w:tabs>
      <w:bidi w:val="0"/>
      <w:spacing w:before="156" w:after="156"/>
      <w:ind w:hanging="0" w:start="0" w:end="0"/>
    </w:pPr>
    <w:rPr>
      <w:b/>
    </w:rPr>
  </w:style>
  <w:style w:type="paragraph" w:styleId="TOC3">
    <w:name w:val="toc 3"/>
    <w:basedOn w:val="Index"/>
    <w:pPr>
      <w:tabs>
        <w:tab w:val="clear" w:pos="709"/>
        <w:tab w:val="right" w:pos="9638" w:leader="dot"/>
      </w:tabs>
      <w:bidi w:val="0"/>
      <w:ind w:hanging="0" w:start="566" w:end="0"/>
    </w:pPr>
    <w:rPr>
      <w:i/>
    </w:rPr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NormalWeb">
    <w:name w:val="Normal (Web)"/>
    <w:basedOn w:val="Normal"/>
    <w:qFormat/>
    <w:pPr>
      <w:spacing w:before="100" w:after="100"/>
    </w:pPr>
    <w:rPr>
      <w:rFonts w:ascii="Arial" w:hAnsi="Arial" w:cs="Arial"/>
      <w:color w:val="000000"/>
      <w:sz w:val="17"/>
      <w:szCs w:val="17"/>
    </w:rPr>
  </w:style>
  <w:style w:type="paragraph" w:styleId="WW-BodyText2">
    <w:name w:val="WW-Body Text 2"/>
    <w:basedOn w:val="Normal"/>
    <w:qFormat/>
    <w:pPr>
      <w:spacing w:before="0" w:after="120"/>
      <w:ind w:firstLine="284" w:start="0" w:end="0"/>
      <w:jc w:val="both"/>
    </w:pPr>
    <w:rPr>
      <w:sz w:val="24"/>
    </w:rPr>
  </w:style>
  <w:style w:type="paragraph" w:styleId="courrier">
    <w:name w:val="courrier"/>
    <w:basedOn w:val="Normal"/>
    <w:qFormat/>
    <w:pPr/>
    <w:rPr>
      <w:sz w:val="20"/>
    </w:rPr>
  </w:style>
  <w:style w:type="paragraph" w:styleId="FootnoteText">
    <w:name w:val="footnote text"/>
    <w:basedOn w:val="Normal"/>
    <w:pPr>
      <w:suppressLineNumbers/>
      <w:bidi w:val="0"/>
      <w:ind w:hanging="339" w:start="339" w:end="0"/>
    </w:pPr>
    <w:rPr>
      <w:sz w:val="20"/>
      <w:szCs w:val="20"/>
      <w:vertAlign w:val="superscript"/>
    </w:rPr>
  </w:style>
  <w:style w:type="paragraph" w:styleId="Titre10">
    <w:name w:val="Titre 10"/>
    <w:basedOn w:val="Titre"/>
    <w:next w:val="BodyText"/>
    <w:qFormat/>
    <w:pPr>
      <w:numPr>
        <w:ilvl w:val="8"/>
        <w:numId w:val="1"/>
      </w:numPr>
      <w:spacing w:before="60" w:after="60"/>
      <w:outlineLvl w:val="8"/>
    </w:pPr>
    <w:rPr>
      <w:b/>
      <w:bCs/>
      <w:sz w:val="18"/>
      <w:szCs w:val="21"/>
    </w:rPr>
  </w:style>
  <w:style w:type="paragraph" w:styleId="BodyText2">
    <w:name w:val="Body Text 2"/>
    <w:basedOn w:val="Normal"/>
    <w:qFormat/>
    <w:pPr>
      <w:overflowPunct w:val="false"/>
      <w:autoSpaceDE w:val="false"/>
      <w:spacing w:before="120" w:after="0"/>
      <w:ind w:hanging="0" w:start="567" w:end="0"/>
      <w:jc w:val="both"/>
      <w:textAlignment w:val="baseline"/>
    </w:pPr>
    <w:rPr>
      <w:rFonts w:ascii="CG Times (WN)" w:hAnsi="CG Times (WN)" w:cs="CG Times (WN)"/>
      <w:sz w:val="22"/>
    </w:rPr>
  </w:style>
  <w:style w:type="numbering" w:styleId="Numbering1">
    <w:name w:val="Numbering 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ntrol" Target="activeX/activeX1.xml"/><Relationship Id="rId3" Type="http://schemas.openxmlformats.org/officeDocument/2006/relationships/control" Target="activeX/activeX2.xml"/><Relationship Id="rId4" Type="http://schemas.openxmlformats.org/officeDocument/2006/relationships/control" Target="activeX/activeX3.xml"/><Relationship Id="rId5" Type="http://schemas.openxmlformats.org/officeDocument/2006/relationships/control" Target="activeX/activeX4.xml"/><Relationship Id="rId6" Type="http://schemas.openxmlformats.org/officeDocument/2006/relationships/control" Target="activeX/activeX5.xml"/><Relationship Id="rId7" Type="http://schemas.openxmlformats.org/officeDocument/2006/relationships/control" Target="activeX/activeX6.xml"/><Relationship Id="rId8" Type="http://schemas.openxmlformats.org/officeDocument/2006/relationships/control" Target="activeX/activeX7.xml"/><Relationship Id="rId9" Type="http://schemas.openxmlformats.org/officeDocument/2006/relationships/control" Target="activeX/activeX8.xm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activeX/_rels/activeX1.xml.rels><?xml version="1.0" encoding="UTF-8"?>
<Relationships xmlns="http://schemas.openxmlformats.org/package/2006/relationships"><Relationship Id="rId1" Type="http://schemas.microsoft.com/office/2006/relationships/activeXControlBinary" Target="activeX1.bin"/>
</Relationships>
</file>

<file path=word/activeX/_rels/activeX2.xml.rels><?xml version="1.0" encoding="UTF-8"?>
<Relationships xmlns="http://schemas.openxmlformats.org/package/2006/relationships"><Relationship Id="rId1" Type="http://schemas.microsoft.com/office/2006/relationships/activeXControlBinary" Target="activeX2.bin"/>
</Relationships>
</file>

<file path=word/activeX/_rels/activeX3.xml.rels><?xml version="1.0" encoding="UTF-8"?>
<Relationships xmlns="http://schemas.openxmlformats.org/package/2006/relationships"><Relationship Id="rId1" Type="http://schemas.microsoft.com/office/2006/relationships/activeXControlBinary" Target="activeX3.bin"/>
</Relationships>
</file>

<file path=word/activeX/_rels/activeX4.xml.rels><?xml version="1.0" encoding="UTF-8"?>
<Relationships xmlns="http://schemas.openxmlformats.org/package/2006/relationships"><Relationship Id="rId1" Type="http://schemas.microsoft.com/office/2006/relationships/activeXControlBinary" Target="activeX4.bin"/>
</Relationships>
</file>

<file path=word/activeX/_rels/activeX5.xml.rels><?xml version="1.0" encoding="UTF-8"?>
<Relationships xmlns="http://schemas.openxmlformats.org/package/2006/relationships"><Relationship Id="rId1" Type="http://schemas.microsoft.com/office/2006/relationships/activeXControlBinary" Target="activeX5.bin"/>
</Relationships>
</file>

<file path=word/activeX/_rels/activeX6.xml.rels><?xml version="1.0" encoding="UTF-8"?>
<Relationships xmlns="http://schemas.openxmlformats.org/package/2006/relationships"><Relationship Id="rId1" Type="http://schemas.microsoft.com/office/2006/relationships/activeXControlBinary" Target="activeX6.bin"/>
</Relationships>
</file>

<file path=word/activeX/_rels/activeX7.xml.rels><?xml version="1.0" encoding="UTF-8"?>
<Relationships xmlns="http://schemas.openxmlformats.org/package/2006/relationships"><Relationship Id="rId1" Type="http://schemas.microsoft.com/office/2006/relationships/activeXControlBinary" Target="activeX7.bin"/>
</Relationships>
</file>

<file path=word/activeX/_rels/activeX8.xml.rels><?xml version="1.0" encoding="UTF-8"?>
<Relationships xmlns="http://schemas.openxmlformats.org/package/2006/relationships"><Relationship Id="rId1" Type="http://schemas.microsoft.com/office/2006/relationships/activeXControlBinary" Target="activeX8.bin"/>
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352</Words>
  <Characters>2216</Characters>
  <CharactersWithSpaces>2561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