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olor w:val="000000"/>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4</w:t>
      </w:r>
      <w:r>
        <w:rPr>
          <w:rFonts w:cs="Arial" w:ascii="Arial" w:hAnsi="Arial"/>
          <w:b/>
          <w:bCs/>
          <w:color w:val="000000"/>
          <w:sz w:val="24"/>
          <w:szCs w:val="20"/>
        </w:rPr>
        <w:t xml:space="preserve"> – </w:t>
      </w:r>
      <w:r>
        <w:rPr>
          <w:rFonts w:cs="Arial" w:ascii="Arial" w:hAnsi="Arial"/>
          <w:b/>
          <w:bCs/>
          <w:color w:val="000000"/>
          <w:sz w:val="24"/>
          <w:szCs w:val="20"/>
        </w:rPr>
        <w:t>Electricité – CFO - CFA</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Dans le cadr</w:t>
      </w:r>
      <w:r>
        <w:rPr>
          <w:rFonts w:cs="Arial" w:ascii="Marianne" w:hAnsi="Marianne"/>
          <w:bCs/>
          <w:color w:val="000000"/>
          <w:sz w:val="20"/>
        </w:rPr>
        <w:t xml:space="preserve">e de ce marché, l’acheteur en tant que </w:t>
      </w:r>
      <w:r>
        <w:rPr>
          <w:rFonts w:cs="Arial" w:ascii="Marianne" w:hAnsi="Marianne"/>
          <w:bCs/>
          <w:color w:val="000000"/>
          <w:sz w:val="20"/>
          <w:u w:val="single"/>
        </w:rPr>
        <w:t>pouvoir adjudicateur</w:t>
      </w:r>
      <w:r>
        <w:rPr>
          <w:rFonts w:cs="Arial" w:ascii="Marianne" w:hAnsi="Marianne"/>
          <w:bCs/>
          <w:color w:val="000000"/>
          <w:sz w:val="20"/>
        </w:rPr>
        <w:t xml:space="preserve"> au sens de l’article </w:t>
      </w:r>
      <w:r>
        <w:rPr>
          <w:rFonts w:cs="Arial" w:ascii="Marianne" w:hAnsi="Marianne"/>
          <w:bCs/>
          <w:color w:val="000000"/>
          <w:sz w:val="20"/>
        </w:rPr>
        <w:t>L.1211-1 du code de la commande publique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color w:val="000000"/>
          <w:sz w:val="20"/>
        </w:rPr>
      </w:pPr>
      <w:r>
        <w:rPr>
          <w:rFonts w:cs="Arial" w:ascii="Marianne" w:hAnsi="Marianne"/>
          <w:color w:val="000000"/>
          <w:sz w:val="20"/>
          <w:u w:val="none"/>
        </w:rPr>
        <w:t>A</w:t>
      </w:r>
      <w:r>
        <w:rPr>
          <w:rFonts w:cs="Arial" w:ascii="Marianne" w:hAnsi="Marianne"/>
          <w:color w:val="000000"/>
          <w:sz w:val="20"/>
          <w:u w:val="none"/>
        </w:rPr>
        <w:t xml:space="preserve">près avoir pris connaissance </w:t>
      </w:r>
      <w:r>
        <w:rPr>
          <w:rFonts w:cs="Arial" w:ascii="Marianne" w:hAnsi="Marianne"/>
          <w:color w:val="000000"/>
          <w:sz w:val="20"/>
          <w:u w:val="none"/>
        </w:rPr>
        <w:t>et accepté l</w:t>
      </w:r>
      <w:r>
        <w:rPr>
          <w:rFonts w:cs="Arial" w:ascii="Marianne" w:hAnsi="Marianne"/>
          <w:color w:val="000000"/>
          <w:sz w:val="20"/>
          <w:u w:val="none"/>
        </w:rPr>
        <w:t>es pièces constitutives du marché indiquées dans</w:t>
      </w:r>
      <w:r>
        <w:rPr>
          <w:rFonts w:cs="Arial" w:ascii="Marianne" w:hAnsi="Marianne"/>
          <w:color w:val="000000"/>
          <w:sz w:val="20"/>
          <w:u w:val="none"/>
        </w:rPr>
        <w:t xml:space="preserve"> le</w:t>
      </w:r>
      <w:r>
        <w:rPr>
          <w:rFonts w:cs="Arial" w:ascii="Marianne" w:hAnsi="Marianne"/>
          <w:color w:val="000000"/>
          <w:sz w:val="20"/>
          <w:u w:val="none"/>
        </w:rPr>
        <w:t xml:space="preserve"> </w:t>
      </w:r>
      <w:r>
        <w:rPr>
          <w:rFonts w:cs="Arial" w:ascii="Marianne" w:hAnsi="Marianne"/>
          <w:color w:val="000000"/>
          <w:sz w:val="20"/>
        </w:rPr>
        <w:t>Cahier des Clauses Administratives Particulières (</w:t>
      </w:r>
      <w:r>
        <w:rPr>
          <w:rFonts w:cs="Arial" w:ascii="Marianne" w:hAnsi="Marianne"/>
          <w:color w:val="000000"/>
          <w:sz w:val="20"/>
        </w:rPr>
        <w:t>CCAP</w:t>
      </w:r>
      <w:r>
        <w:rPr>
          <w:rFonts w:cs="Arial" w:ascii="Marianne" w:hAnsi="Marianne"/>
          <w:color w:val="000000"/>
          <w:sz w:val="20"/>
        </w:rPr>
        <w:t xml:space="preserve">) </w:t>
      </w:r>
      <w:r>
        <w:rPr>
          <w:rFonts w:cs="Arial" w:ascii="Marianne" w:hAnsi="Marianne"/>
          <w:color w:val="000000"/>
          <w:sz w:val="20"/>
        </w:rPr>
        <w:t>et conformément à leurs clauses et stipulations,</w:t>
      </w:r>
    </w:p>
    <w:p>
      <w:pPr>
        <w:pStyle w:val="Normal"/>
        <w:tabs>
          <w:tab w:val="clear" w:pos="709"/>
        </w:tabs>
        <w:bidi w:val="0"/>
        <w:jc w:val="both"/>
        <w:rPr>
          <w:rFonts w:ascii="Marianne" w:hAnsi="Marianne" w:cs="Arial"/>
          <w:color w:val="000000"/>
          <w:sz w:val="20"/>
        </w:rPr>
      </w:pPr>
      <w:r>
        <w:rPr>
          <w:rFonts w:cs="Arial" w:ascii="Marianne" w:hAnsi="Marianne"/>
          <w:color w:val="000000"/>
          <w:sz w:val="20"/>
        </w:rPr>
      </w:r>
    </w:p>
    <w:p>
      <w:pPr>
        <w:pStyle w:val="Normal"/>
        <w:tabs>
          <w:tab w:val="clear" w:pos="709"/>
        </w:tabs>
        <w:bidi w:val="0"/>
        <w:jc w:val="both"/>
        <w:rPr>
          <w:rFonts w:ascii="Marianne" w:hAnsi="Marianne" w:cs="Arial"/>
          <w:color w:val="000000"/>
          <w:sz w:val="20"/>
        </w:rPr>
      </w:pPr>
      <w:r>
        <w:rPr>
          <w:rFonts w:cs="Arial" w:ascii="Marianne" w:hAnsi="Marianne"/>
          <w:color w:val="000000"/>
          <w:sz w:val="20"/>
        </w:rPr>
        <w:t>E</w:t>
      </w:r>
      <w:r>
        <w:rPr>
          <w:rFonts w:cs="Arial" w:ascii="Marianne" w:hAnsi="Marianne"/>
          <w:color w:val="000000"/>
          <w:sz w:val="20"/>
        </w:rPr>
        <w:t xml:space="preserve">t après avoir </w:t>
      </w:r>
      <w:r>
        <w:rPr>
          <w:rFonts w:cs="Arial" w:ascii="Marianne" w:hAnsi="Marianne"/>
          <w:color w:val="000000"/>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color w:val="000000"/>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color w:val="000000"/>
        </w:rPr>
      </w:pPr>
      <w:bookmarkStart w:id="2" w:name="__RefHeading___Toc3716_394951158"/>
      <w:bookmarkEnd w:id="2"/>
      <w:r>
        <w:rPr>
          <w:rFonts w:ascii="Marianne" w:hAnsi="Marianne"/>
          <w:color w:val="000000"/>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color w:val="000000"/>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color w:val="000000"/>
        </w:rPr>
        <w:t xml:space="preserve"> </w:t>
      </w:r>
      <w:r>
        <w:rPr>
          <w:rFonts w:ascii="Marianne" w:hAnsi="Marianne"/>
          <w:b/>
          <w:bCs/>
          <w:color w:val="000000"/>
        </w:rPr>
        <w:t xml:space="preserve">se conformer aux clauses du </w:t>
      </w:r>
      <w:r>
        <w:rPr>
          <w:rFonts w:ascii="Marianne" w:hAnsi="Marianne"/>
          <w:b/>
          <w:bCs/>
          <w:color w:val="000000"/>
        </w:rPr>
        <w:t>marché</w:t>
      </w:r>
      <w:r>
        <w:rPr>
          <w:rFonts w:ascii="Marianne" w:hAnsi="Marianne"/>
          <w:b/>
          <w:bCs/>
          <w:color w:val="000000"/>
        </w:rPr>
        <w:t xml:space="preserve"> </w:t>
      </w:r>
      <w:r>
        <w:rPr>
          <w:rFonts w:ascii="Marianne" w:hAnsi="Marianne"/>
          <w:b/>
          <w:bCs/>
          <w:color w:val="000000"/>
        </w:rPr>
        <w:t>et</w:t>
      </w:r>
      <w:r>
        <w:rPr>
          <w:rFonts w:ascii="Marianne" w:hAnsi="Marianne"/>
          <w:color w:val="000000"/>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3" w:name="__RefHeading___Toc3718_394951158"/>
      <w:bookmarkEnd w:id="3"/>
      <w:r>
        <w:rPr>
          <w:rFonts w:ascii="Marianne" w:hAnsi="Marianne"/>
          <w:color w:val="000000"/>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olor w:val="000000"/>
        </w:rPr>
      </w:pPr>
      <w:r>
        <w:rPr>
          <w:rFonts w:eastAsia="Times New Roman" w:ascii="Marianne" w:hAnsi="Marianne"/>
          <w:b/>
          <w:color w:val="000000"/>
          <w:szCs w:val="20"/>
          <w:u w:val="none"/>
          <w:shd w:fill="auto" w:val="clear"/>
          <w:lang w:val="fr-FR" w:bidi="ar-SA"/>
        </w:rPr>
        <w:t xml:space="preserve">s’engage, au nom des membres du groupement, sur la base de l’offre du groupement, </w:t>
      </w:r>
      <w:r>
        <w:rPr>
          <w:rFonts w:ascii="Marianne" w:hAnsi="Marianne"/>
          <w:b/>
          <w:color w:val="000000"/>
        </w:rPr>
        <w:t xml:space="preserve">à se conformer aux clauses du </w:t>
      </w:r>
      <w:r>
        <w:rPr>
          <w:rFonts w:ascii="Marianne" w:hAnsi="Marianne"/>
          <w:b/>
          <w:color w:val="000000"/>
        </w:rPr>
        <w:t>marché</w:t>
      </w:r>
      <w:r>
        <w:rPr>
          <w:rFonts w:ascii="Marianne" w:hAnsi="Marianne"/>
          <w:b/>
          <w:color w:val="000000"/>
        </w:rPr>
        <w:t xml:space="preserve"> </w:t>
      </w:r>
      <w:r>
        <w:rPr>
          <w:rFonts w:ascii="Marianne" w:hAnsi="Marianne"/>
          <w:b/>
          <w:color w:val="000000"/>
        </w:rPr>
        <w:t xml:space="preserve">et </w:t>
      </w:r>
      <w:r>
        <w:rPr>
          <w:rFonts w:eastAsia="Times New Roman" w:ascii="Marianne" w:hAnsi="Marianne"/>
          <w:b/>
          <w:color w:val="000000"/>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color w:val="000000"/>
        </w:rPr>
      </w:pPr>
      <w:bookmarkStart w:id="7" w:name="__RefHeading___Toc717_3351285205"/>
      <w:bookmarkEnd w:id="7"/>
      <w:r>
        <w:rPr>
          <w:rFonts w:ascii="Marianne" w:hAnsi="Marianne"/>
          <w:color w:val="000000"/>
        </w:rPr>
        <w:t xml:space="preserve">ARTICLE </w:t>
      </w:r>
      <w:r>
        <w:rPr>
          <w:rFonts w:ascii="Marianne" w:hAnsi="Marianne"/>
          <w:color w:val="000000"/>
        </w:rPr>
        <w:t>5</w:t>
      </w:r>
      <w:r>
        <w:rPr>
          <w:rFonts w:ascii="Marianne" w:hAnsi="Marianne"/>
          <w:color w:val="000000"/>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color w:val="000000"/>
        </w:rPr>
      </w:pPr>
      <w:bookmarkStart w:id="9" w:name="__RefHeading___Toc9346_3351285205"/>
      <w:bookmarkEnd w:id="9"/>
      <w:r>
        <w:rPr>
          <w:rFonts w:ascii="Marianne" w:hAnsi="Marianne"/>
          <w:color w:val="000000"/>
        </w:rPr>
        <w:t xml:space="preserve">ARTICLE </w:t>
      </w:r>
      <w:r>
        <w:rPr>
          <w:rFonts w:ascii="Marianne" w:hAnsi="Marianne"/>
          <w:color w:val="000000"/>
        </w:rPr>
        <w:t xml:space="preserve">6 </w:t>
      </w:r>
      <w:r>
        <w:rPr>
          <w:rFonts w:ascii="Marianne" w:hAnsi="Marianne"/>
          <w:color w:val="000000"/>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color w:val="000000"/>
        </w:rPr>
      </w:pPr>
      <w:bookmarkStart w:id="12" w:name="__RefHeading___Toc9352_3351285205"/>
      <w:bookmarkEnd w:id="12"/>
      <w:r>
        <w:rPr>
          <w:rFonts w:ascii="Marianne" w:hAnsi="Marianne"/>
          <w:color w:val="000000"/>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color w:val="000000"/>
        </w:rPr>
      </w:pPr>
      <w:bookmarkStart w:id="13" w:name="__RefHeading___Toc9354_3351285205"/>
      <w:bookmarkEnd w:id="13"/>
      <w:r>
        <w:rPr>
          <w:rFonts w:ascii="Marianne" w:hAnsi="Marianne"/>
          <w:color w:val="000000"/>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color w:val="000000"/>
        </w:rPr>
      </w:pPr>
      <w:bookmarkStart w:id="14" w:name="__RefHeading___Toc9356_3351285205"/>
      <w:bookmarkEnd w:id="14"/>
      <w:r>
        <w:rPr>
          <w:rFonts w:ascii="Marianne" w:hAnsi="Marianne"/>
          <w:color w:val="000000"/>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color w:val="000000"/>
          <w:sz w:val="12"/>
          <w:szCs w:val="12"/>
        </w:rPr>
      </w:pPr>
      <w:r>
        <w:rPr>
          <w:rFonts w:cs="Arial" w:ascii="Marianne" w:hAnsi="Marianne"/>
          <w:color w:val="000000"/>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olor w:val="000000"/>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color w:val="000000"/>
                <w:u w:val="single"/>
              </w:rPr>
            </w:pPr>
            <w:r>
              <w:rPr>
                <w:rFonts w:ascii="Marianne" w:hAnsi="Marianne"/>
                <w:b/>
                <w:bCs/>
                <w:color w:val="000000"/>
                <w:u w:val="single"/>
              </w:rPr>
              <w:t>Acceptation de l’offre</w:t>
            </w:r>
          </w:p>
          <w:p>
            <w:pPr>
              <w:pStyle w:val="Normal"/>
              <w:bidi w:val="0"/>
              <w:rPr>
                <w:rFonts w:ascii="Marianne" w:hAnsi="Marianne"/>
                <w:b/>
                <w:bCs/>
                <w:color w:val="000000"/>
                <w:u w:val="single"/>
              </w:rPr>
            </w:pPr>
            <w:r>
              <w:rPr>
                <w:rFonts w:ascii="Marianne" w:hAnsi="Marianne"/>
                <w:b/>
                <w:bCs/>
                <w:color w:val="000000"/>
                <w:u w:val="single"/>
              </w:rPr>
            </w:r>
          </w:p>
          <w:p>
            <w:pPr>
              <w:pStyle w:val="Normal"/>
              <w:bidi w:val="0"/>
              <w:spacing w:before="0" w:after="120"/>
              <w:jc w:val="both"/>
              <w:rPr>
                <w:rFonts w:ascii="Marianne" w:hAnsi="Marianne" w:cs="Arial"/>
                <w:color w:val="000000"/>
                <w:sz w:val="20"/>
              </w:rPr>
            </w:pPr>
            <w:r>
              <w:rPr>
                <w:rFonts w:cs="Arial" w:ascii="Marianne" w:hAnsi="Marianne"/>
                <w:color w:val="000000"/>
                <w:sz w:val="20"/>
              </w:rPr>
              <w:t>Est acceptée la présente offre pour valoir acte d’engagement</w:t>
            </w:r>
          </w:p>
          <w:p>
            <w:pPr>
              <w:pStyle w:val="Normal"/>
              <w:bidi w:val="0"/>
              <w:spacing w:before="120" w:after="0"/>
              <w:rPr>
                <w:rFonts w:ascii="Marianne" w:hAnsi="Marianne" w:cs="Arial"/>
                <w:color w:val="000000"/>
                <w:sz w:val="20"/>
              </w:rPr>
            </w:pPr>
            <w:r>
              <w:rPr>
                <w:rFonts w:cs="Arial" w:ascii="Marianne" w:hAnsi="Marianne"/>
                <w:color w:val="000000"/>
                <w:sz w:val="20"/>
              </w:rPr>
              <w:t>Le présent marché se trouve ainsi conclu pour le montant figurant ci-dessous.</w:t>
            </w:r>
          </w:p>
          <w:p>
            <w:pPr>
              <w:pStyle w:val="Normal"/>
              <w:bidi w:val="0"/>
              <w:rPr>
                <w:rFonts w:ascii="Marianne" w:hAnsi="Marianne" w:cs="Arial"/>
                <w:color w:val="000000"/>
                <w:sz w:val="16"/>
              </w:rPr>
            </w:pPr>
            <w:r>
              <w:rPr>
                <w:rFonts w:cs="Arial" w:ascii="Marianne" w:hAnsi="Marianne"/>
                <w:color w:val="000000"/>
                <w:sz w:val="16"/>
              </w:rPr>
            </w:r>
          </w:p>
          <w:p>
            <w:pPr>
              <w:pStyle w:val="Normal"/>
              <w:bidi w:val="0"/>
              <w:spacing w:lineRule="auto" w:line="360"/>
              <w:rPr>
                <w:rFonts w:ascii="Marianne" w:hAnsi="Marianne" w:cs="Arial"/>
                <w:color w:val="000000"/>
                <w:sz w:val="20"/>
              </w:rPr>
            </w:pPr>
            <w:r>
              <w:rPr>
                <w:rFonts w:cs="Arial" w:ascii="Marianne" w:hAnsi="Marianne"/>
                <w:color w:val="000000"/>
                <w:sz w:val="20"/>
              </w:rPr>
              <w:t xml:space="preserve">Prix global et forfaitaire H.T. : </w:t>
              <w:tab/>
              <w:t>………...…....……..€</w:t>
              <w:tab/>
            </w:r>
          </w:p>
          <w:p>
            <w:pPr>
              <w:pStyle w:val="Normal"/>
              <w:bidi w:val="0"/>
              <w:spacing w:lineRule="auto" w:line="360"/>
              <w:rPr>
                <w:rFonts w:ascii="Marianne" w:hAnsi="Marianne" w:cs="Arial"/>
                <w:color w:val="000000"/>
                <w:sz w:val="20"/>
              </w:rPr>
            </w:pPr>
            <w:r>
              <w:rPr>
                <w:rFonts w:cs="Arial" w:ascii="Marianne" w:hAnsi="Marianne"/>
                <w:color w:val="000000"/>
                <w:sz w:val="20"/>
              </w:rPr>
              <w:t>Taux TVA : ………. %</w:t>
              <w:tab/>
              <w:t>Montant :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4 – Electricité – CFO - CFA</w:t>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1885</Words>
  <Characters>10052</Characters>
  <CharactersWithSpaces>11919</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