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sz w:val="20"/>
          <w:szCs w:val="20"/>
        </w:rPr>
      </w:pPr>
      <w:r>
        <w:rPr>
          <w:sz w:val="20"/>
          <w:szCs w:val="20"/>
        </w:rPr>
      </w:r>
    </w:p>
    <w:p>
      <w:pPr>
        <w:pStyle w:val="Normal"/>
        <w:bidi w:val="0"/>
        <w:rPr>
          <w:rFonts w:ascii="Arial" w:hAnsi="Arial"/>
          <w:sz w:val="20"/>
          <w:szCs w:val="20"/>
        </w:rPr>
      </w:pPr>
      <w:r>
        <w:rPr>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
          <w:color w:val="000000"/>
          <w:sz w:val="16"/>
          <w:szCs w:val="16"/>
        </w:rPr>
      </w:pPr>
      <w:r>
        <w:rPr>
          <w:rFonts w:cs="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color w:val="000000"/>
        </w:rPr>
      </w:pPr>
      <w:r>
        <w:rPr>
          <w:rFonts w:cs="Arial"/>
          <w:b w:val="false"/>
          <w:bCs w:val="false"/>
          <w:color w:val="000000"/>
          <w:sz w:val="24"/>
          <w:szCs w:val="24"/>
        </w:rPr>
        <w:t>MARCHÉ PUBLIC DE TRAVAUX</w:t>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
          <w:bCs/>
          <w:color w:val="000000"/>
          <w:sz w:val="16"/>
          <w:szCs w:val="16"/>
        </w:rPr>
      </w:pPr>
      <w:r>
        <w:rPr>
          <w:rFonts w:cs="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color w:val="000000"/>
          <w:sz w:val="24"/>
          <w:szCs w:val="24"/>
        </w:rPr>
      </w:pPr>
      <w:r>
        <w:rPr>
          <w:rFonts w:cs="Arial"/>
          <w:bCs/>
          <w:color w:val="000000"/>
          <w:sz w:val="24"/>
          <w:szCs w:val="24"/>
        </w:rPr>
        <w:t>Procédure adaptée</w:t>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Cs/>
          <w:color w:val="000000"/>
          <w:sz w:val="24"/>
          <w:szCs w:val="24"/>
        </w:rPr>
      </w:pPr>
      <w:r>
        <w:rPr>
          <w:rFonts w:cs="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color w:val="000000"/>
        </w:rPr>
      </w:pPr>
      <w:r>
        <w:rPr>
          <w:rFonts w:cs="Arial"/>
          <w:bCs/>
          <w:color w:val="000000"/>
          <w:sz w:val="16"/>
          <w:szCs w:val="16"/>
        </w:rPr>
        <w:t xml:space="preserve">(articles L.2123-1 et </w:t>
      </w:r>
      <w:r>
        <w:rPr>
          <w:rFonts w:cs="Arial"/>
          <w:b w:val="false"/>
          <w:bCs w:val="false"/>
          <w:color w:val="000000"/>
          <w:sz w:val="16"/>
          <w:szCs w:val="16"/>
        </w:rPr>
        <w:t>R.2123-1 aux R.2123-8 du code de la commande publique)</w:t>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t>l</w:t>
      </w:r>
    </w:p>
    <w:p>
      <w:pPr>
        <w:pStyle w:val="Normal"/>
        <w:bidi w:val="0"/>
        <w:rPr>
          <w:rFonts w:ascii="Arial" w:hAnsi="Arial"/>
          <w:color w:val="000000"/>
          <w:sz w:val="20"/>
          <w:szCs w:val="20"/>
        </w:rPr>
      </w:pPr>
      <w:r>
        <w:rPr>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olor w:val="000000"/>
        </w:rPr>
      </w:pPr>
      <w:r>
        <w:rPr>
          <w:rFonts w:cs="Arial"/>
          <w:b/>
          <w:bCs/>
          <w:color w:val="000000"/>
          <w:sz w:val="16"/>
        </w:rPr>
        <w:br/>
      </w:r>
      <w:r>
        <w:rPr>
          <w:rFonts w:cs="Arial" w:ascii="Marianne" w:hAnsi="Marianne"/>
          <w:b/>
          <w:bCs/>
          <w:color w:val="000000"/>
          <w:sz w:val="30"/>
          <w:szCs w:val="30"/>
        </w:rPr>
        <w:t xml:space="preserve">ORLEANS (45) </w:t>
        <w:br/>
        <w:t>Travaux d’aménagement d’un Local de Rétention Administrative (LRA) à l’Hotel de Police</w:t>
      </w:r>
      <w:r>
        <w:rPr>
          <w:rFonts w:cs="Arial"/>
          <w:b/>
          <w:bCs/>
          <w:color w:val="000000"/>
          <w:sz w:val="40"/>
          <w:szCs w:val="26"/>
        </w:rPr>
        <w:br/>
      </w:r>
    </w:p>
    <w:p>
      <w:pPr>
        <w:pStyle w:val="Normal"/>
        <w:bidi w:val="0"/>
        <w:rPr>
          <w:rFonts w:ascii="Arial" w:hAnsi="Arial"/>
          <w:color w:val="000000"/>
          <w:sz w:val="20"/>
          <w:szCs w:val="20"/>
        </w:rPr>
      </w:pPr>
      <w:r>
        <w:rPr>
          <w:color w:val="000000"/>
          <w:sz w:val="20"/>
          <w:szCs w:val="20"/>
        </w:rPr>
      </w:r>
    </w:p>
    <w:p>
      <w:pPr>
        <w:pStyle w:val="Normal"/>
        <w:bidi w:val="0"/>
        <w:rPr>
          <w:rFonts w:ascii="Arial" w:hAnsi="Arial"/>
          <w:color w:val="000000"/>
          <w:sz w:val="20"/>
          <w:szCs w:val="20"/>
        </w:rPr>
      </w:pPr>
      <w:r>
        <w:rPr>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rFonts w:ascii="Arial" w:hAnsi="Arial" w:cs="Arial"/>
          <w:b w:val="false"/>
          <w:bCs w:val="false"/>
          <w:color w:val="000000"/>
          <w:sz w:val="20"/>
          <w:szCs w:val="20"/>
        </w:rPr>
      </w:pPr>
      <w:r>
        <w:rPr>
          <w:rFonts w:cs="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b/>
          <w:bCs/>
          <w:color w:val="000000"/>
          <w:sz w:val="30"/>
          <w:szCs w:val="30"/>
        </w:rPr>
      </w:pPr>
      <w:r>
        <w:rPr>
          <w:rFonts w:cs="Arial"/>
          <w:b/>
          <w:bCs/>
          <w:color w:val="000000"/>
          <w:sz w:val="30"/>
          <w:szCs w:val="30"/>
        </w:rPr>
        <w:t>ACTE D’ENGAGEMENT (AE)</w:t>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jc w:val="center"/>
        <w:rPr>
          <w:rFonts w:ascii="Arial" w:hAnsi="Arial" w:cs="Arial"/>
          <w:b/>
          <w:bCs/>
          <w:color w:val="000000"/>
          <w:sz w:val="24"/>
          <w:szCs w:val="20"/>
        </w:rPr>
      </w:pPr>
      <w:r>
        <w:rPr>
          <w:rFonts w:cs="Arial"/>
          <w:b/>
          <w:bCs/>
          <w:color w:val="000000"/>
          <w:sz w:val="24"/>
          <w:szCs w:val="20"/>
        </w:rPr>
        <w:t>LOT n° 1 – Désamiantage</w:t>
      </w:r>
    </w:p>
    <w:p>
      <w:pPr>
        <w:pStyle w:val="Normal"/>
        <w:bidi w:val="0"/>
        <w:jc w:val="center"/>
        <w:rPr>
          <w:rFonts w:ascii="Arial" w:hAnsi="Arial" w:cs="Arial"/>
          <w:b/>
          <w:bCs/>
          <w:color w:val="000000"/>
          <w:sz w:val="24"/>
          <w:szCs w:val="20"/>
        </w:rPr>
      </w:pPr>
      <w:r>
        <w:rPr>
          <w:rFonts w:cs="Arial"/>
          <w:b/>
          <w:bCs/>
          <w:color w:val="000000"/>
          <w:sz w:val="24"/>
          <w:szCs w:val="20"/>
        </w:rPr>
      </w:r>
    </w:p>
    <w:p>
      <w:pPr>
        <w:pStyle w:val="Normal"/>
        <w:bidi w:val="0"/>
        <w:jc w:val="center"/>
        <w:rPr>
          <w:rFonts w:ascii="Arial" w:hAnsi="Arial" w:cs="Arial"/>
          <w:b/>
          <w:bCs/>
          <w:color w:val="000000"/>
          <w:sz w:val="24"/>
          <w:szCs w:val="20"/>
        </w:rPr>
      </w:pPr>
      <w:r>
        <w:rPr>
          <w:rFonts w:cs="Arial"/>
          <w:b/>
          <w:bCs/>
          <w:color w:val="000000"/>
          <w:sz w:val="24"/>
          <w:szCs w:val="20"/>
        </w:rPr>
        <w:t>MOIS M0 : Mars 2026</w:t>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suppressAutoHyphens w:val="true"/>
        <w:overflowPunct w:val="true"/>
        <w:bidi w:val="0"/>
        <w:ind w:hanging="0" w:start="-567" w:end="0"/>
        <w:jc w:val="both"/>
        <w:rPr>
          <w:i/>
          <w:iCs/>
          <w:color w:val="000000"/>
        </w:rPr>
      </w:pPr>
      <w:r>
        <w:rPr>
          <w:i/>
          <w:iCs/>
          <w:color w:val="000000"/>
        </w:rPr>
        <w:t>Partie ci-dessous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color w:val="000000"/>
          <w:sz w:val="22"/>
        </w:rPr>
        <w:t>N° MARCHE</w:t>
      </w:r>
    </w:p>
    <w:tbl>
      <w:tblPr>
        <w:tblW w:w="9645" w:type="dxa"/>
        <w:jc w:val="start"/>
        <w:tblInd w:w="20" w:type="dxa"/>
        <w:tblLayout w:type="fixed"/>
        <w:tblCellMar>
          <w:top w:w="0" w:type="dxa"/>
          <w:start w:w="71" w:type="dxa"/>
          <w:bottom w:w="0" w:type="dxa"/>
          <w:end w:w="71" w:type="dxa"/>
        </w:tblCellMar>
      </w:tblPr>
      <w:tblGrid>
        <w:gridCol w:w="975"/>
        <w:gridCol w:w="3690"/>
        <w:gridCol w:w="614"/>
        <w:gridCol w:w="4366"/>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bCs/>
                <w:color w:val="000000"/>
                <w:sz w:val="24"/>
              </w:rPr>
            </w:r>
          </w:p>
        </w:tc>
        <w:tc>
          <w:tcPr>
            <w:tcW w:w="614"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bCs/>
                <w:color w:val="000000"/>
                <w:sz w:val="24"/>
              </w:rPr>
              <w:t>EJ</w:t>
            </w:r>
          </w:p>
        </w:tc>
        <w:tc>
          <w:tcPr>
            <w:tcW w:w="4366"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bCs/>
                <w:color w:val="000000"/>
                <w:sz w:val="24"/>
              </w:rPr>
            </w:r>
          </w:p>
        </w:tc>
      </w:tr>
    </w:tbl>
    <w:p>
      <w:pPr>
        <w:pStyle w:val="courrier"/>
        <w:bidi w:val="0"/>
        <w:rPr>
          <w:rFonts w:ascii="Arial" w:hAnsi="Arial" w:cs="Arial"/>
          <w:bCs/>
          <w:color w:val="000000"/>
        </w:rPr>
      </w:pPr>
      <w:r>
        <w:rPr>
          <w:rFonts w:cs="Arial"/>
          <w:bCs/>
          <w:color w:val="000000"/>
        </w:rPr>
      </w:r>
    </w:p>
    <w:p>
      <w:pPr>
        <w:pStyle w:val="courrier"/>
        <w:bidi w:val="0"/>
        <w:rPr>
          <w:rFonts w:ascii="Arial" w:hAnsi="Arial" w:cs="Arial"/>
          <w:bCs/>
          <w:color w:val="000000"/>
        </w:rPr>
      </w:pPr>
      <w:r>
        <w:rPr>
          <w:rFonts w:cs="Arial"/>
          <w:bCs/>
          <w:color w:val="000000"/>
        </w:rPr>
      </w:r>
    </w:p>
    <w:p>
      <w:pPr>
        <w:pStyle w:val="courrier"/>
        <w:bidi w:val="0"/>
        <w:rPr>
          <w:rFonts w:ascii="Arial" w:hAnsi="Arial" w:cs="Arial"/>
          <w:bCs/>
          <w:color w:val="000000"/>
        </w:rPr>
      </w:pPr>
      <w:r>
        <w:rPr>
          <w:rFonts w:cs="Arial"/>
          <w:bCs/>
          <w:color w:val="000000"/>
        </w:rPr>
      </w:r>
    </w:p>
    <w:p>
      <w:pPr>
        <w:pStyle w:val="Normal"/>
        <w:tabs>
          <w:tab w:val="clear" w:pos="709"/>
          <w:tab w:val="center" w:pos="4815" w:leader="none"/>
        </w:tabs>
        <w:bidi w:val="0"/>
        <w:rPr>
          <w:color w:val="000000"/>
        </w:rPr>
      </w:pPr>
      <w:r>
        <w:rPr>
          <w:color w:val="000000"/>
        </w:rPr>
        <w:tab/>
        <w:t>N°Chorus : 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jc w:val="center"/>
        <w:rPr>
          <w:color w:val="000000"/>
        </w:rPr>
      </w:pPr>
      <w:r>
        <w:rPr>
          <w:rFonts w:cs="Arial"/>
          <w:b w:val="false"/>
          <w:bCs w:val="false"/>
          <w:color w:val="000000"/>
          <w:sz w:val="20"/>
          <w:szCs w:val="20"/>
        </w:rPr>
        <w:t xml:space="preserve">Le présent A.E. comporte </w:t>
      </w:r>
      <w:r>
        <w:rPr>
          <w:rFonts w:cs="Arial"/>
          <w:b w:val="false"/>
          <w:bCs w:val="false"/>
          <w:color w:val="000000"/>
          <w:sz w:val="20"/>
          <w:szCs w:val="20"/>
        </w:rPr>
        <w:fldChar w:fldCharType="begin"/>
      </w:r>
      <w:r>
        <w:rPr>
          <w:rFonts w:cs="Arial"/>
          <w:b w:val="false"/>
          <w:bCs w:val="false"/>
          <w:color w:val="000000"/>
          <w:sz w:val="20"/>
          <w:szCs w:val="20"/>
        </w:rPr>
        <w:instrText xml:space="preserve"> NUMPAGES </w:instrText>
      </w:r>
      <w:r>
        <w:rPr>
          <w:rFonts w:cs="Arial"/>
          <w:b w:val="false"/>
          <w:bCs w:val="false"/>
          <w:color w:val="000000"/>
          <w:sz w:val="20"/>
          <w:szCs w:val="20"/>
        </w:rPr>
        <w:fldChar w:fldCharType="separate"/>
      </w:r>
      <w:r>
        <w:rPr>
          <w:rFonts w:cs="Arial"/>
          <w:b w:val="false"/>
          <w:bCs w:val="false"/>
          <w:color w:val="000000"/>
          <w:sz w:val="20"/>
          <w:szCs w:val="20"/>
        </w:rPr>
        <w:t>12</w:t>
      </w:r>
      <w:r>
        <w:rPr>
          <w:rFonts w:cs="Arial"/>
          <w:b w:val="false"/>
          <w:bCs w:val="false"/>
          <w:color w:val="000000"/>
          <w:sz w:val="20"/>
          <w:szCs w:val="20"/>
        </w:rPr>
        <w:fldChar w:fldCharType="end"/>
      </w:r>
      <w:r>
        <w:rPr>
          <w:rFonts w:cs="Arial"/>
          <w:b w:val="false"/>
          <w:bCs w:val="false"/>
          <w:color w:val="000000"/>
          <w:sz w:val="20"/>
          <w:szCs w:val="20"/>
        </w:rPr>
        <w:t xml:space="preserve"> pages dont celle-ci.</w:t>
      </w:r>
      <w:r>
        <w:br w:type="page"/>
      </w:r>
    </w:p>
    <w:p>
      <w:pPr>
        <w:pStyle w:val="Normal"/>
        <w:bidi w:val="0"/>
        <w:spacing w:before="0" w:after="0"/>
        <w:jc w:val="center"/>
        <w:rPr>
          <w:rFonts w:ascii="Arial" w:hAnsi="Arial" w:cs="Arial"/>
          <w:b w:val="false"/>
          <w:bCs w:val="false"/>
          <w:color w:val="000000"/>
          <w:sz w:val="20"/>
          <w:szCs w:val="20"/>
        </w:rPr>
      </w:pPr>
      <w:r>
        <w:rPr>
          <w:rFonts w:cs="Arial"/>
          <w:b w:val="false"/>
          <w:bCs w:val="false"/>
          <w:color w:val="000000"/>
          <w:sz w:val="20"/>
          <w:szCs w:val="20"/>
        </w:rPr>
      </w:r>
    </w:p>
    <w:sdt>
      <w:sdtPr>
        <w:docPartObj>
          <w:docPartGallery w:val="Table of Contents"/>
          <w:docPartUnique w:val="true"/>
        </w:docPartObj>
      </w:sdtPr>
      <w:sdtContent>
        <w:p>
          <w:pPr>
            <w:pStyle w:val="TOCHeading"/>
            <w:rPr/>
          </w:pPr>
          <w:r>
            <w:rPr/>
            <w:t>SOMMAIRE</w:t>
          </w:r>
        </w:p>
        <w:p>
          <w:pPr>
            <w:pStyle w:val="TOC1"/>
            <w:tabs>
              <w:tab w:val="clear" w:pos="9638"/>
              <w:tab w:val="right" w:pos="9637" w:leader="dot"/>
            </w:tabs>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dot"/>
            </w:tabs>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left" w:pos="880" w:leader="none"/>
              <w:tab w:val="right" w:pos="9637" w:leader="dot"/>
            </w:tabs>
            <w:rPr/>
          </w:pPr>
          <w:hyperlink w:anchor="__RefHeading___Toc3716_394951158" w:tooltip="Candidature individuelle">
            <w:r>
              <w:rPr>
                <w:rStyle w:val="Sautdindex"/>
              </w:rPr>
              <w:t>1.</w:t>
              <w:tab/>
              <w:t>Candidature individuelle</w:t>
              <w:tab/>
              <w:t>3</w:t>
            </w:r>
          </w:hyperlink>
        </w:p>
        <w:p>
          <w:pPr>
            <w:pStyle w:val="TOC2"/>
            <w:tabs>
              <w:tab w:val="clear" w:pos="709"/>
              <w:tab w:val="left" w:pos="880" w:leader="none"/>
              <w:tab w:val="right" w:pos="9637" w:leader="dot"/>
            </w:tabs>
            <w:rPr/>
          </w:pPr>
          <w:hyperlink w:anchor="__RefHeading___Toc3718_394951158" w:tooltip="Candidature groupée">
            <w:r>
              <w:rPr>
                <w:rStyle w:val="Sautdindex"/>
              </w:rPr>
              <w:t>2.</w:t>
              <w:tab/>
              <w:t>Candidature groupée</w:t>
              <w:tab/>
              <w:t>4</w:t>
            </w:r>
          </w:hyperlink>
        </w:p>
        <w:p>
          <w:pPr>
            <w:pStyle w:val="TOC1"/>
            <w:tabs>
              <w:tab w:val="clear" w:pos="9638"/>
              <w:tab w:val="right" w:pos="9637" w:leader="dot"/>
            </w:tabs>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dot"/>
            </w:tabs>
            <w:rPr/>
          </w:pPr>
          <w:hyperlink w:anchor="__RefHeading___Toc3720_394951158" w:tooltip="ARTICLE 4 – OBJET">
            <w:r>
              <w:rPr>
                <w:rStyle w:val="Sautdindex"/>
              </w:rPr>
              <w:t>ARTICLE 4 – OBJET</w:t>
              <w:tab/>
              <w:t>6</w:t>
            </w:r>
          </w:hyperlink>
        </w:p>
        <w:p>
          <w:pPr>
            <w:pStyle w:val="TOC2"/>
            <w:tabs>
              <w:tab w:val="clear" w:pos="709"/>
              <w:tab w:val="left" w:pos="880" w:leader="none"/>
              <w:tab w:val="right" w:pos="9637" w:leader="dot"/>
            </w:tabs>
            <w:rPr/>
          </w:pPr>
          <w:hyperlink w:anchor="__RefHeading___Toc3722_394951158" w:tooltip="Objet du marché">
            <w:r>
              <w:rPr>
                <w:rStyle w:val="Sautdindex"/>
              </w:rPr>
              <w:t>1.</w:t>
              <w:tab/>
              <w:t>Objet du marché</w:t>
              <w:tab/>
              <w:t>6</w:t>
            </w:r>
          </w:hyperlink>
        </w:p>
        <w:p>
          <w:pPr>
            <w:pStyle w:val="TOC1"/>
            <w:tabs>
              <w:tab w:val="clear" w:pos="9638"/>
              <w:tab w:val="right" w:pos="9637" w:leader="dot"/>
            </w:tabs>
            <w:rPr/>
          </w:pPr>
          <w:hyperlink w:anchor="__RefHeading___Toc717_3351285205" w:tooltip="ARTICLE 5 – ENGAGEMENT DU CANDIDAT">
            <w:r>
              <w:rPr>
                <w:rStyle w:val="Sautdindex"/>
              </w:rPr>
              <w:t>ARTICLE 5 – ENGAGEMENT DU CANDIDAT</w:t>
              <w:tab/>
              <w:t>7</w:t>
            </w:r>
          </w:hyperlink>
        </w:p>
        <w:p>
          <w:pPr>
            <w:pStyle w:val="TOC2"/>
            <w:tabs>
              <w:tab w:val="clear" w:pos="709"/>
              <w:tab w:val="left" w:pos="880" w:leader="none"/>
              <w:tab w:val="right" w:pos="9637" w:leader="dot"/>
            </w:tabs>
            <w:rPr/>
          </w:pPr>
          <w:hyperlink w:anchor="__RefHeading___Toc9344_3351285205" w:tooltip="Sous-traitance">
            <w:r>
              <w:rPr>
                <w:rStyle w:val="Sautdindex"/>
              </w:rPr>
              <w:t>1.</w:t>
              <w:tab/>
              <w:t>Sous-traitance</w:t>
              <w:tab/>
              <w:t>7</w:t>
            </w:r>
          </w:hyperlink>
        </w:p>
        <w:p>
          <w:pPr>
            <w:pStyle w:val="TOC1"/>
            <w:tabs>
              <w:tab w:val="clear" w:pos="9638"/>
              <w:tab w:val="right" w:pos="9637" w:leader="dot"/>
            </w:tabs>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dot"/>
            </w:tabs>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left" w:pos="880" w:leader="none"/>
              <w:tab w:val="right" w:pos="9637" w:leader="dot"/>
            </w:tabs>
            <w:rPr/>
          </w:pPr>
          <w:hyperlink w:anchor="__RefHeading___Toc9350_3351285205" w:tooltip="Candidature individuelle">
            <w:r>
              <w:rPr>
                <w:rStyle w:val="Sautdindex"/>
              </w:rPr>
              <w:t>1.</w:t>
              <w:tab/>
              <w:t>Candidature individuelle</w:t>
              <w:tab/>
              <w:t>8</w:t>
            </w:r>
          </w:hyperlink>
        </w:p>
        <w:p>
          <w:pPr>
            <w:pStyle w:val="TOC2"/>
            <w:tabs>
              <w:tab w:val="clear" w:pos="709"/>
              <w:tab w:val="left" w:pos="880" w:leader="none"/>
              <w:tab w:val="right" w:pos="9637" w:leader="dot"/>
            </w:tabs>
            <w:rPr/>
          </w:pPr>
          <w:hyperlink w:anchor="__RefHeading___Toc9352_3351285205" w:tooltip="Candidature groupée">
            <w:r>
              <w:rPr>
                <w:rStyle w:val="Sautdindex"/>
              </w:rPr>
              <w:t>2.</w:t>
              <w:tab/>
              <w:t>Candidature groupée</w:t>
              <w:tab/>
              <w:t>9</w:t>
            </w:r>
          </w:hyperlink>
        </w:p>
        <w:p>
          <w:pPr>
            <w:pStyle w:val="TOC3"/>
            <w:tabs>
              <w:tab w:val="clear" w:pos="9638"/>
              <w:tab w:val="left" w:pos="1320" w:leader="none"/>
              <w:tab w:val="right" w:pos="9637" w:leader="dot"/>
            </w:tabs>
            <w:rPr/>
          </w:pPr>
          <w:hyperlink w:anchor="__RefHeading___Toc9354_3351285205" w:tooltip="Paiement sur un seul compte">
            <w:r>
              <w:rPr>
                <w:rStyle w:val="Sautdindex"/>
              </w:rPr>
              <w:t>a)</w:t>
              <w:tab/>
              <w:t>Paiement sur un seul compte</w:t>
              <w:tab/>
              <w:t>9</w:t>
            </w:r>
          </w:hyperlink>
        </w:p>
        <w:p>
          <w:pPr>
            <w:pStyle w:val="TOC3"/>
            <w:tabs>
              <w:tab w:val="clear" w:pos="9638"/>
              <w:tab w:val="left" w:pos="1320" w:leader="none"/>
              <w:tab w:val="right" w:pos="9637" w:leader="dot"/>
            </w:tabs>
            <w:rPr/>
          </w:pPr>
          <w:hyperlink w:anchor="__RefHeading___Toc9356_3351285205" w:tooltip="Paiement sur plusieurs comptes">
            <w:r>
              <w:rPr>
                <w:rStyle w:val="Sautdindex"/>
              </w:rPr>
              <w:t>b)</w:t>
              <w:tab/>
              <w:t>Paiement sur plusieurs comptes</w:t>
              <w:tab/>
              <w:t>10</w:t>
            </w:r>
          </w:hyperlink>
        </w:p>
        <w:p>
          <w:pPr>
            <w:pStyle w:val="TOC1"/>
            <w:tabs>
              <w:tab w:val="clear" w:pos="9638"/>
              <w:tab w:val="right" w:pos="9637" w:leader="dot"/>
            </w:tabs>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spacing w:before="0" w:after="113"/>
        <w:ind w:hanging="0" w:start="0" w:end="0"/>
        <w:jc w:val="start"/>
        <w:rPr>
          <w:rFonts w:ascii="Marianne" w:hAnsi="Marianne"/>
        </w:rPr>
      </w:pPr>
      <w:bookmarkStart w:id="0" w:name="__RefHeading___Toc4490_2429693684"/>
      <w:bookmarkEnd w:id="0"/>
      <w:r>
        <w:rPr>
          <w:rFonts w:ascii="Marianne" w:hAnsi="Marianne"/>
        </w:rPr>
        <w:t>ARTICLE 1 – 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L.1211-1 </w:t>
      </w:r>
      <w:r>
        <w:rPr>
          <w:rFonts w:cs="Arial" w:ascii="Marianne" w:hAnsi="Marianne"/>
          <w:bCs/>
          <w:color w:val="000000"/>
          <w:sz w:val="20"/>
        </w:rPr>
        <w:t>du code de la commande publique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M. le Préfet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Secrétariat Général pour l’Administration du Ministère de l’Intérieur (SGAMI)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ind w:hanging="0" w:start="0" w:end="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sz w:val="20"/>
        </w:rPr>
      </w:pPr>
      <w:r>
        <w:rPr>
          <w:rFonts w:cs="Arial" w:ascii="Marianne" w:hAnsi="Marianne"/>
          <w:sz w:val="20"/>
          <w:u w:val="none"/>
        </w:rPr>
        <w:t xml:space="preserve">Après avoir pris connaissance et accepté les pièces constitutives du marché indiquées dans le </w:t>
      </w:r>
      <w:r>
        <w:rPr>
          <w:rFonts w:cs="Arial" w:ascii="Marianne" w:hAnsi="Marianne"/>
          <w:sz w:val="20"/>
        </w:rPr>
        <w:t>Cahier des Clauses Administratives Particulières (CCAP) 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Et après avoir 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R.2143-3 à R.2143-16 du code de la commande publique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ind w:hanging="0" w:start="283" w:end="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de l’établissement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 de téléphone fixe :</w:t>
        <w:tab/>
        <w:t xml:space="preserve"> N°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Il est demandé au candidat de renseigner une 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qui permettra les échanges électroniques via PLACE liés à l’exécution administrative du marché pour toute sa durée (notification, paiement, facture, modification contractuelle, avenant...). 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pt;height:13.4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 o:allowincell="t" style="width:10.4pt;height:13.4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Au sens de la recommandation 2003/361/CE de la Commission Européenne du 6 mai 2003 concernant la définition des micro, petites, et moyennes entreprises 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s’engage pour son propre compte ou pour le compte de la société sur la base de son offre à</w:t>
      </w:r>
      <w:r>
        <w:rPr>
          <w:rFonts w:ascii="Marianne" w:hAnsi="Marianne"/>
        </w:rPr>
        <w:t xml:space="preserve"> </w:t>
      </w:r>
      <w:r>
        <w:rPr>
          <w:rFonts w:ascii="Marianne" w:hAnsi="Marianne"/>
          <w:b/>
          <w:bCs/>
        </w:rPr>
        <w:t>se conformer aux clauses du marché 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ind w:hanging="0" w:start="283" w:end="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2" o:allowincell="t" style="width:10.4pt;height:13.4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3" o:allowincell="t" style="width:10.4pt;height:13.4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4" o:allowincell="t" style="width:10.4pt;height:13.4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5" o:allowincell="t" style="width:10.4pt;height:13.4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b/>
        </w:rPr>
      </w:r>
      <w:r>
        <w:br w:type="page"/>
      </w:r>
    </w:p>
    <w:p>
      <w:pPr>
        <w:pStyle w:val="Normal"/>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6" o:allowincell="t" style="width:9.65pt;height:11.9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7" o:allowincell="t" style="width:10.4pt;height:13.4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8" o:allowincell="t" style="width:10.4pt;height:13.4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de l’établissement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 de téléphone fixe :</w:t>
        <w:tab/>
        <w:t xml:space="preserve"> N°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Il est demandé au candidat de renseigner une 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qui permettra les échanges électroniques via PLACE liés à l’exécution administrative du marché pour toute sa durée (notification, paiement, facture, modification contractuelle, avenant...). 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marché 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9" o:allowincell="t" style="width:10.4pt;height:13.4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0" o:allowincell="t" style="width:10.4pt;height:13.4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b/>
        </w:rPr>
      </w:r>
      <w:r>
        <w:br w:type="page"/>
      </w:r>
    </w:p>
    <w:p>
      <w:pPr>
        <w:pStyle w:val="Normal"/>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Désignation et répartition de chaque membre du groupement – Annexe n°1 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1" o:allowincell="t" style="width:10.4pt;height:13.4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2" o:allowincell="t" style="width:10.4pt;height:13.4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3" o:allowincell="t" style="width:10.4pt;height:13.4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4" o:allowincell="t" style="width:10.4pt;height:13.4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5" o:allowincell="t" style="width:10.4pt;height:13.4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6" o:allowincell="t" style="width:10.4pt;height:13.4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7" o:allowincell="t" style="width:10.4pt;height:13.4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8" o:allowincell="t" style="width:10.4pt;height:13.4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9" o:allowincell="t" style="width:10.4pt;height:13.4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Au sens de la recommandation 2003/361/CE de la Commission Européenne du 6 mai 2003 concernant la définition des micro, petites, et moyennes entreprises 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ind w:hanging="0" w:start="0" w:end="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180 (cent quatre-vingts)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ind w:hanging="0" w:start="0" w:end="0"/>
        <w:jc w:val="start"/>
        <w:rPr>
          <w:rFonts w:ascii="Marianne" w:hAnsi="Marianne"/>
          <w:color w:val="000000"/>
        </w:rPr>
      </w:pPr>
      <w:bookmarkStart w:id="5" w:name="__RefHeading___Toc3720_394951158"/>
      <w:bookmarkEnd w:id="5"/>
      <w:r>
        <w:rPr>
          <w:rFonts w:ascii="Marianne" w:hAnsi="Marianne"/>
          <w:color w:val="000000"/>
        </w:rPr>
        <w:t xml:space="preserve">ARTICLE 4 – 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ind w:hanging="0" w:start="283" w:end="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 xml:space="preserve">Le présent marché concerne les travaux d’aménagement d’un Local de Rétention Administrative (LRA) à l’Hotel de Police d’Orléans (45).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spacing w:before="0" w:after="113"/>
        <w:ind w:hanging="0" w:start="0" w:end="0"/>
        <w:jc w:val="start"/>
        <w:rPr>
          <w:rFonts w:ascii="Marianne" w:hAnsi="Marianne"/>
          <w:color w:val="000000"/>
        </w:rPr>
      </w:pPr>
      <w:bookmarkStart w:id="7" w:name="__RefHeading___Toc717_3351285205"/>
      <w:bookmarkEnd w:id="7"/>
      <w:r>
        <w:rPr>
          <w:rFonts w:ascii="Marianne" w:hAnsi="Marianne"/>
          <w:color w:val="000000"/>
        </w:rPr>
        <w:t>ARTICLE 5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29"/>
        <w:gridCol w:w="3196"/>
      </w:tblGrid>
      <w:tr>
        <w:trPr>
          <w:trHeight w:val="735" w:hRule="atLeast"/>
        </w:trPr>
        <w:tc>
          <w:tcPr>
            <w:tcW w:w="2475" w:type="dxa"/>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t>Montant H.T. ….......</w:t>
            </w:r>
          </w:p>
        </w:tc>
        <w:tc>
          <w:tcPr>
            <w:tcW w:w="929" w:type="dxa"/>
            <w:tcBorders/>
            <w:vAlign w:val="center"/>
          </w:tcPr>
          <w:p>
            <w:pPr>
              <w:pStyle w:val="Contenudetableauuser"/>
              <w:bidi w:val="0"/>
              <w:jc w:val="center"/>
              <w:rPr>
                <w:rFonts w:ascii="Marianne" w:hAnsi="Marianne"/>
                <w:color w:val="000000"/>
                <w:sz w:val="20"/>
                <w:szCs w:val="20"/>
              </w:rPr>
            </w:pPr>
            <w:r>
              <w:rPr>
                <w:rFonts w:ascii="Marianne" w:hAnsi="Marianne"/>
                <w:color w:val="000000"/>
                <w:sz w:val="20"/>
                <w:szCs w:val="20"/>
              </w:rPr>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t>Taux de la TVA …..</w:t>
            </w:r>
          </w:p>
        </w:tc>
        <w:tc>
          <w:tcPr>
            <w:tcW w:w="929"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t>Montant TVA incluse</w:t>
            </w:r>
          </w:p>
        </w:tc>
        <w:tc>
          <w:tcPr>
            <w:tcW w:w="929" w:type="dxa"/>
            <w:tcBorders/>
            <w:vAlign w:val="center"/>
          </w:tcPr>
          <w:p>
            <w:pPr>
              <w:pStyle w:val="Contenudetableauuser"/>
              <w:bidi w:val="0"/>
              <w:jc w:val="center"/>
              <w:rPr>
                <w:rFonts w:ascii="Marianne" w:hAnsi="Marianne"/>
                <w:color w:val="000000"/>
                <w:sz w:val="20"/>
                <w:szCs w:val="20"/>
              </w:rPr>
            </w:pPr>
            <w:r>
              <w:rPr>
                <w:rFonts w:ascii="Marianne" w:hAnsi="Marianne"/>
                <w:color w:val="000000"/>
                <w:sz w:val="20"/>
                <w:szCs w:val="20"/>
              </w:rPr>
            </w:r>
          </w:p>
        </w:tc>
        <w:tc>
          <w:tcPr>
            <w:tcW w:w="3196" w:type="dxa"/>
            <w:tcBorders>
              <w:start w:val="single" w:sz="2" w:space="0" w:color="000000"/>
              <w:bottom w:val="single" w:sz="2" w:space="0" w:color="000000"/>
              <w:end w:val="single" w:sz="2" w:space="0" w:color="000000"/>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cs="Open Sans"/>
          <w:szCs w:val="24"/>
        </w:rPr>
      </w:r>
    </w:p>
    <w:p>
      <w:pPr>
        <w:pStyle w:val="Heading2"/>
        <w:bidi w:val="0"/>
        <w:ind w:hanging="0" w:start="283" w:end="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conformément à / aux déclaration(s) de sous-traitance fournie(s) (DC4) 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ind w:hanging="0" w:start="0" w:end="0"/>
        <w:jc w:val="start"/>
        <w:rPr>
          <w:rFonts w:ascii="Marianne" w:hAnsi="Marianne"/>
          <w:color w:val="000000"/>
        </w:rPr>
      </w:pPr>
      <w:bookmarkStart w:id="9" w:name="__RefHeading___Toc9346_3351285205"/>
      <w:bookmarkEnd w:id="9"/>
      <w:r>
        <w:rPr>
          <w:rFonts w:ascii="Marianne" w:hAnsi="Marianne"/>
          <w:color w:val="000000"/>
        </w:rPr>
        <w:t>ARTICLE 6 –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mois de préparation </w:t>
      </w:r>
      <w:r>
        <w:rPr>
          <w:rFonts w:cs="Arial" w:ascii="Marianne" w:hAnsi="Marianne"/>
          <w:b/>
          <w:bCs/>
          <w:color w:val="000000"/>
          <w:sz w:val="24"/>
          <w:szCs w:val="24"/>
        </w:rPr>
        <w:t>+</w:t>
      </w:r>
      <w:r>
        <w:rPr>
          <w:rFonts w:cs="Arial" w:ascii="Marianne" w:hAnsi="Marianne"/>
          <w:b/>
          <w:bCs/>
          <w:color w:val="000000"/>
        </w:rPr>
        <w:t xml:space="preserve"> cinq (5) mois 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Ce délai court à compter de l’ordre de service de démarrage notifié au titulaire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ind w:hanging="0" w:start="0" w:end="0"/>
        <w:jc w:val="start"/>
        <w:rPr>
          <w:rFonts w:ascii="Marianne" w:hAnsi="Marianne"/>
        </w:rPr>
      </w:pPr>
      <w:bookmarkStart w:id="10" w:name="__RefHeading___Toc9348_3351285205"/>
      <w:bookmarkEnd w:id="10"/>
      <w:r>
        <w:rPr>
          <w:rFonts w:ascii="Marianne" w:hAnsi="Marianne"/>
        </w:rPr>
        <w:t>ARTICLE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ind w:hanging="0" w:start="283" w:end="0"/>
        <w:jc w:val="start"/>
        <w:rPr>
          <w:rFonts w:ascii="Marianne" w:hAnsi="Marianne"/>
        </w:rPr>
      </w:pPr>
      <w:bookmarkStart w:id="11" w:name="__RefHeading___Toc9350_3351285205"/>
      <w:bookmarkEnd w:id="11"/>
      <w:r>
        <w:rPr>
          <w:rFonts w:ascii="Marianne" w:hAnsi="Marianne"/>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0" o:allowincell="t" style="width:10.4pt;height:13.4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1" o:allowincell="t" style="width:10.4pt;height:13.4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spacing w:before="0" w:after="113"/>
        <w:ind w:hanging="0" w:start="283" w:end="0"/>
        <w:jc w:val="start"/>
        <w:rPr>
          <w:rFonts w:ascii="Marianne" w:hAnsi="Marianne"/>
        </w:rPr>
      </w:pPr>
      <w:bookmarkStart w:id="12" w:name="__RefHeading___Toc9352_3351285205"/>
      <w:bookmarkEnd w:id="12"/>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ind w:hanging="0" w:start="567" w:end="0"/>
        <w:jc w:val="start"/>
        <w:rPr>
          <w:rFonts w:ascii="Marianne" w:hAnsi="Marianne"/>
        </w:rPr>
      </w:pPr>
      <w:bookmarkStart w:id="13" w:name="__RefHeading___Toc9354_3351285205"/>
      <w:bookmarkEnd w:id="13"/>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mandataire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2" o:allowincell="t" style="width:10.4pt;height:13.4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3" o:allowincell="t" style="width:10.4pt;height:13.4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spacing w:before="0" w:after="0"/>
        <w:ind w:hanging="0" w:start="567" w:end="0"/>
        <w:jc w:val="start"/>
        <w:rPr>
          <w:rFonts w:ascii="Marianne" w:hAnsi="Marianne"/>
        </w:rPr>
      </w:pPr>
      <w:bookmarkStart w:id="14" w:name="__RefHeading___Toc9356_3351285205"/>
      <w:bookmarkEnd w:id="14"/>
      <w:r>
        <w:rPr>
          <w:rFonts w:ascii="Marianne" w:hAnsi="Marianne"/>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des comptes suivants selon les répartitions jointes en annexe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12"/>
          <w:szCs w:val="12"/>
        </w:rPr>
      </w:pPr>
      <w:r>
        <w:rPr>
          <w:rFonts w:cs="Arial" w:ascii="Marianne" w:hAnsi="Marianne"/>
          <w:sz w:val="12"/>
          <w:szCs w:val="12"/>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co-traitant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4" o:allowincell="t" style="width:10.4pt;height:13.4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5" o:allowincell="t" style="width:10.4pt;height:13.4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co-traitant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co-traitant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6" o:allowincell="t" style="width:10.4pt;height:13.4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7" o:allowincell="t" style="width:10.4pt;height:13.4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co-traitant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co-traitant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8" o:allowincell="t" style="width:10.4pt;height:13.4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9" o:allowincell="t" style="width:10.4pt;height:13.4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co-traitant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spacing w:before="0" w:after="113"/>
        <w:ind w:hanging="0" w:start="0" w:end="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Signature(s) du 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Montant T.T.C. (en lettres) :</w:t>
            </w:r>
            <w:r>
              <w:rPr>
                <w:rFonts w:cs="Arial" w:ascii="Marianne" w:hAnsi="Marianne"/>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FF00CC"/>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sz w:val="20"/>
                <w:u w:val="none"/>
              </w:rPr>
            </w:pPr>
            <w:r>
              <w:rPr>
                <w:rFonts w:cs="Arial" w:ascii="Marianne" w:hAnsi="Marianne"/>
                <w:b/>
                <w:sz w:val="20"/>
                <w:u w:val="none"/>
              </w:rPr>
            </w:r>
          </w:p>
          <w:p>
            <w:pPr>
              <w:pStyle w:val="Normal"/>
              <w:tabs>
                <w:tab w:val="clear" w:pos="709"/>
              </w:tabs>
              <w:bidi w:val="0"/>
              <w:spacing w:before="0" w:after="312"/>
              <w:jc w:val="both"/>
              <w:rPr>
                <w:rFonts w:ascii="Marianne" w:hAnsi="Marianne" w:cs="Arial"/>
                <w:bCs/>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à Rennes,  le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even" r:id="rId33"/>
      <w:headerReference w:type="default" r:id="rId34"/>
      <w:headerReference w:type="first" r:id="rId35"/>
      <w:footerReference w:type="even" r:id="rId36"/>
      <w:footerReference w:type="default" r:id="rId37"/>
      <w:footerReference w:type="first" r:id="rId38"/>
      <w:type w:val="nextPage"/>
      <w:pgSz w:w="11906" w:h="16838"/>
      <w:pgMar w:left="1134" w:right="1134" w:gutter="0" w:header="435" w:top="1170" w:footer="608" w:bottom="1146"/>
      <w:pgNumType w:fmt="decimal"/>
      <w:formProt w:val="false"/>
      <w:textDirection w:val="lrTb"/>
      <w:docGrid w:type="default" w:linePitch="312" w:charSpace="18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erif">
    <w:altName w:val="Times New Roman"/>
    <w:charset w:val="01"/>
    <w:family w:val="roman"/>
    <w:pitch w:val="default"/>
  </w:font>
  <w:font w:name="Arial">
    <w:charset w:val="01"/>
    <w:family w:val="swiss"/>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Marianne">
    <w:charset w:val="01"/>
    <w:family w:val="auto"/>
    <w:pitch w:val="default"/>
  </w:font>
  <w:font w:name="CG Times (WN)">
    <w:charset w:val="01"/>
    <w:family w:val="roman"/>
    <w:pitch w:val="default"/>
  </w:font>
  <w:font w:name="Marianne">
    <w:charset w:val="01"/>
    <w:family w:val="swiss"/>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1 désamiantage</w:t>
      <w:tab/>
      <w:tab/>
      <w:t xml:space="preserve">Page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1 désamiantage</w:t>
      <w:tab/>
      <w:tab/>
      <w:t xml:space="preserve">Page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rPr/>
    </w:lvl>
    <w:lvl w:ilvl="1">
      <w:start w:val="1"/>
      <w:numFmt w:val="decimal"/>
      <w:pStyle w:val="Heading2"/>
      <w:lvlText w:val="%2."/>
      <w:lvlJc w:val="start"/>
      <w:pPr>
        <w:tabs>
          <w:tab w:val="num" w:pos="0"/>
        </w:tabs>
        <w:ind w:start="0" w:hanging="0"/>
      </w:pPr>
      <w:rPr/>
    </w:lvl>
    <w:lvl w:ilvl="2">
      <w:start w:val="1"/>
      <w:numFmt w:val="lowerLetter"/>
      <w:pStyle w:val="Heading3"/>
      <w:lvlText w:val="%3)"/>
      <w:lvlJc w:val="start"/>
      <w:pPr>
        <w:tabs>
          <w:tab w:val="num" w:pos="0"/>
        </w:tabs>
        <w:ind w:start="0" w:hanging="0"/>
      </w:pPr>
      <w:rPr/>
    </w:lvl>
    <w:lvl w:ilvl="3">
      <w:start w:val="1"/>
      <w:numFmt w:val="none"/>
      <w:pStyle w:val="Heading4"/>
      <w:suff w:val="nothing"/>
      <w:lvlText w:val="%4"/>
      <w:lvlJc w:val="start"/>
      <w:pPr>
        <w:tabs>
          <w:tab w:val="num" w:pos="0"/>
        </w:tabs>
        <w:ind w:start="0" w:hanging="0"/>
      </w:pPr>
      <w:rPr/>
    </w:lvl>
    <w:lvl w:ilvl="4">
      <w:start w:val="1"/>
      <w:numFmt w:val="none"/>
      <w:pStyle w:val="Heading5"/>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pStyle w:val="Heading8"/>
      <w:suff w:val="nothing"/>
      <w:lvlText w:val="%8"/>
      <w:lvlJc w:val="start"/>
      <w:pPr>
        <w:tabs>
          <w:tab w:val="num" w:pos="0"/>
        </w:tabs>
        <w:ind w:start="0" w:hanging="0"/>
      </w:pPr>
      <w:rPr/>
    </w:lvl>
    <w:lvl w:ilvl="8">
      <w:start w:val="1"/>
      <w:numFmt w:val="none"/>
      <w:pStyle w:val="Heading9"/>
      <w:suff w:val="nothing"/>
      <w:lvlText w:val="%9"/>
      <w:lvlJc w:val="start"/>
      <w:pPr>
        <w:tabs>
          <w:tab w:val="num" w:pos="0"/>
        </w:tabs>
        <w:ind w:start="0" w:hanging="0"/>
      </w:pPr>
      <w:r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both"/>
    </w:pPr>
    <w:rPr>
      <w:rFonts w:ascii="Arial" w:hAnsi="Arial" w:eastAsia="SimSun" w:cs="Mangal"/>
      <w:color w:val="auto"/>
      <w:kern w:val="0"/>
      <w:sz w:val="20"/>
      <w:szCs w:val="24"/>
      <w:lang w:val="fr-FR" w:eastAsia="zh-CN" w:bidi="hi-IN"/>
    </w:rPr>
  </w:style>
  <w:style w:type="paragraph" w:styleId="Heading1">
    <w:name w:val="heading 1"/>
    <w:basedOn w:val="Titreuser"/>
    <w:next w:val="BodyText"/>
    <w:qFormat/>
    <w:pPr>
      <w:numPr>
        <w:ilvl w:val="0"/>
        <w:numId w:val="1"/>
      </w:numPr>
      <w:shd w:val="clear" w:fill="FFFFFF"/>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user"/>
    <w:next w:val="BodyText"/>
    <w:autoRedefine/>
    <w:qFormat/>
    <w:pPr>
      <w:numPr>
        <w:ilvl w:val="1"/>
        <w:numId w:val="1"/>
      </w:numPr>
      <w:pBdr>
        <w:bottom w:val="nil"/>
      </w:pBdr>
      <w:shd w:val="clear" w:fill="auto"/>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user"/>
    <w:next w:val="BodyText"/>
    <w:qFormat/>
    <w:pPr>
      <w:numPr>
        <w:ilvl w:val="2"/>
        <w:numId w:val="1"/>
      </w:numPr>
      <w:suppressLineNumbers/>
      <w:pBdr>
        <w:bottom w:val="nil"/>
      </w:pBdr>
      <w:shd w:val="clear" w:fill="auto"/>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user"/>
    <w:next w:val="BodyText"/>
    <w:qFormat/>
    <w:pPr>
      <w:numPr>
        <w:ilvl w:val="3"/>
        <w:numId w:val="1"/>
      </w:numPr>
      <w:spacing w:before="120" w:after="120"/>
      <w:outlineLvl w:val="3"/>
    </w:pPr>
    <w:rPr>
      <w:b/>
      <w:bCs/>
      <w:i/>
      <w:iCs/>
      <w:sz w:val="23"/>
      <w:szCs w:val="27"/>
    </w:rPr>
  </w:style>
  <w:style w:type="paragraph" w:styleId="Heading5">
    <w:name w:val="heading 5"/>
    <w:basedOn w:val="Titreuser"/>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user"/>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user">
    <w:name w:val="Saut d'index (user)"/>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pBdr>
        <w:bottom w:val="single" w:sz="2" w:space="1" w:color="000000"/>
      </w:pBdr>
      <w:shd w:val="clear" w:fill="DDDDDD"/>
      <w:bidi w:val="0"/>
      <w:spacing w:before="240" w:after="312"/>
      <w:jc w:val="center"/>
    </w:pPr>
    <w:rPr>
      <w:rFonts w:ascii="Arial" w:hAnsi="Arial" w:eastAsia="Microsoft YaHei" w:cs="Mangal"/>
      <w:sz w:val="24"/>
      <w:szCs w:val="28"/>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user"/>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user">
    <w:name w:val="Commentaire (user)"/>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user">
    <w:name w:val="Contenu de tableau (user)"/>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user"/>
    <w:pPr>
      <w:suppressLineNumbers/>
      <w:ind w:hanging="0" w:start="0" w:end="0"/>
    </w:pPr>
    <w:rPr>
      <w:b/>
      <w:bCs/>
      <w:sz w:val="32"/>
      <w:szCs w:val="32"/>
    </w:rPr>
  </w:style>
  <w:style w:type="paragraph" w:styleId="TOCHeading">
    <w:name w:val="TOC Heading"/>
    <w:basedOn w:val="Titreuser"/>
    <w:qFormat/>
    <w:pPr>
      <w:suppressLineNumbers/>
      <w:shd w:val="clear" w:fill="FFFFFF"/>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user">
    <w:name w:val="Titre de tableau (user)"/>
    <w:basedOn w:val="Contenudetableauuser"/>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user">
    <w:name w:val="Titre 10 (user)"/>
    <w:basedOn w:val="Titreuser"/>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tru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header" Target="header2.xml"/><Relationship Id="rId35" Type="http://schemas.openxmlformats.org/officeDocument/2006/relationships/header" Target="header3.xml"/><Relationship Id="rId36" Type="http://schemas.openxmlformats.org/officeDocument/2006/relationships/footer" Target="footer1.xml"/><Relationship Id="rId37" Type="http://schemas.openxmlformats.org/officeDocument/2006/relationships/footer" Target="footer2.xml"/><Relationship Id="rId38" Type="http://schemas.openxmlformats.org/officeDocument/2006/relationships/footer" Target="footer3.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1880</Words>
  <Characters>10037</Characters>
  <CharactersWithSpaces>11896</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