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06D37287" w14:textId="77777777" w:rsidR="00A90D33" w:rsidRDefault="00A90D33" w:rsidP="00BF4413">
      <w:pPr>
        <w:pStyle w:val="Titredudocument"/>
        <w:shd w:val="clear" w:color="auto" w:fill="0A0096"/>
        <w:spacing w:line="276" w:lineRule="auto"/>
        <w:jc w:val="center"/>
        <w:rPr>
          <w:rFonts w:ascii="Arial" w:hAnsi="Arial" w:cs="Arial"/>
          <w:sz w:val="32"/>
          <w:szCs w:val="32"/>
        </w:rPr>
      </w:pPr>
    </w:p>
    <w:p w14:paraId="65635880" w14:textId="3C2F8A25" w:rsidR="00BA06D4"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615158B1" w14:textId="77777777" w:rsidR="00A90D33" w:rsidRPr="00332147" w:rsidRDefault="00A90D33" w:rsidP="00BF4413">
      <w:pPr>
        <w:pStyle w:val="Titredudocument"/>
        <w:shd w:val="clear" w:color="auto" w:fill="0A0096"/>
        <w:spacing w:line="276" w:lineRule="auto"/>
        <w:jc w:val="center"/>
        <w:rPr>
          <w:rFonts w:ascii="Arial" w:hAnsi="Arial" w:cs="Arial"/>
          <w:sz w:val="32"/>
          <w:szCs w:val="32"/>
        </w:rPr>
      </w:pPr>
    </w:p>
    <w:p w14:paraId="639260AC" w14:textId="77777777" w:rsidR="00A90D33" w:rsidRPr="00A90D33" w:rsidRDefault="00737146" w:rsidP="00A90D33">
      <w:pPr>
        <w:pStyle w:val="Sansinterligne"/>
        <w:tabs>
          <w:tab w:val="right" w:pos="0"/>
        </w:tabs>
        <w:spacing w:before="480"/>
        <w:rPr>
          <w:rFonts w:ascii="Arial" w:hAnsi="Arial" w:cs="Arial"/>
          <w:b/>
          <w:bCs/>
          <w:sz w:val="28"/>
          <w:szCs w:val="28"/>
        </w:rPr>
      </w:pPr>
      <w:bookmarkStart w:id="0" w:name="SoustitreRC"/>
      <w:r w:rsidRPr="00A90D33">
        <w:rPr>
          <w:rFonts w:ascii="Arial" w:hAnsi="Arial" w:cs="Arial"/>
          <w:b/>
          <w:bCs/>
          <w:sz w:val="28"/>
          <w:szCs w:val="28"/>
        </w:rPr>
        <w:t xml:space="preserve">OBJET : </w:t>
      </w:r>
    </w:p>
    <w:p w14:paraId="5EAE7BF2" w14:textId="6F8F3287" w:rsidR="00BA06D4" w:rsidRPr="00A90D33" w:rsidRDefault="00A90D33" w:rsidP="00A90D33">
      <w:pPr>
        <w:pStyle w:val="Sansinterligne"/>
        <w:tabs>
          <w:tab w:val="right" w:pos="0"/>
        </w:tabs>
        <w:spacing w:before="480"/>
        <w:rPr>
          <w:rFonts w:ascii="Arial" w:hAnsi="Arial" w:cs="Arial"/>
          <w:b/>
          <w:bCs/>
          <w:sz w:val="28"/>
          <w:szCs w:val="28"/>
        </w:rPr>
      </w:pPr>
      <w:r w:rsidRPr="00A90D33">
        <w:rPr>
          <w:rFonts w:ascii="Arial" w:hAnsi="Arial" w:cs="Arial"/>
          <w:b/>
          <w:bCs/>
          <w:sz w:val="28"/>
          <w:szCs w:val="28"/>
        </w:rPr>
        <w:t>Accord-cadre</w:t>
      </w:r>
      <w:r w:rsidR="00BA06D4" w:rsidRPr="00A90D33">
        <w:rPr>
          <w:rFonts w:ascii="Arial" w:hAnsi="Arial" w:cs="Arial"/>
          <w:b/>
          <w:bCs/>
          <w:sz w:val="28"/>
          <w:szCs w:val="28"/>
        </w:rPr>
        <w:t xml:space="preserve"> relatif à </w:t>
      </w:r>
      <w:bookmarkEnd w:id="0"/>
      <w:r w:rsidRPr="00A90D33">
        <w:rPr>
          <w:rFonts w:ascii="Arial" w:hAnsi="Arial" w:cs="Arial"/>
          <w:b/>
          <w:bCs/>
          <w:sz w:val="28"/>
          <w:szCs w:val="28"/>
        </w:rPr>
        <w:t>portant sur la fourniture de quatre (4) moteurs à balourds avec solution de pilotage et prestations de service</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117CE29A" w14:textId="77777777" w:rsidR="00A90D33" w:rsidRDefault="00A90D33" w:rsidP="00BA06D4">
      <w:pPr>
        <w:pBdr>
          <w:top w:val="dotted" w:sz="4" w:space="1" w:color="auto"/>
          <w:left w:val="dotted" w:sz="4" w:space="0" w:color="auto"/>
          <w:bottom w:val="dotted" w:sz="4" w:space="1" w:color="auto"/>
          <w:right w:val="dotted" w:sz="4" w:space="4" w:color="auto"/>
        </w:pBdr>
        <w:jc w:val="center"/>
        <w:rPr>
          <w:rFonts w:ascii="Arial" w:hAnsi="Arial" w:cs="Arial"/>
          <w:b/>
          <w:bCs/>
        </w:rPr>
      </w:pPr>
    </w:p>
    <w:p w14:paraId="2A2F2489" w14:textId="58ECDA3B" w:rsidR="003A7FA3"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sz w:val="24"/>
          <w:szCs w:val="24"/>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536DF3D1" w14:textId="77777777" w:rsidR="00A90D33" w:rsidRPr="00BA06D4" w:rsidRDefault="00A90D33" w:rsidP="00BA06D4">
      <w:pPr>
        <w:pBdr>
          <w:top w:val="dotted" w:sz="4" w:space="1" w:color="auto"/>
          <w:left w:val="dotted" w:sz="4" w:space="0" w:color="auto"/>
          <w:bottom w:val="dotted" w:sz="4" w:space="1" w:color="auto"/>
          <w:right w:val="dotted" w:sz="4" w:space="4" w:color="auto"/>
        </w:pBdr>
        <w:jc w:val="center"/>
        <w:rPr>
          <w:rFonts w:ascii="Arial" w:hAnsi="Arial" w:cs="Arial"/>
          <w:b/>
          <w:bCs/>
        </w:rPr>
      </w:pP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7B2A4357" w14:textId="77777777" w:rsidR="00A90D33" w:rsidRDefault="00A90D33" w:rsidP="00651E0B">
            <w:pPr>
              <w:autoSpaceDE w:val="0"/>
              <w:autoSpaceDN w:val="0"/>
              <w:adjustRightInd w:val="0"/>
              <w:jc w:val="left"/>
              <w:rPr>
                <w:rFonts w:ascii="Arial" w:hAnsi="Arial" w:cs="Arial"/>
                <w:sz w:val="20"/>
                <w:szCs w:val="20"/>
              </w:rPr>
            </w:pPr>
          </w:p>
          <w:p w14:paraId="353DDB4A" w14:textId="77777777" w:rsidR="00737146" w:rsidRDefault="00A90D33" w:rsidP="00651E0B">
            <w:pPr>
              <w:autoSpaceDE w:val="0"/>
              <w:autoSpaceDN w:val="0"/>
              <w:adjustRightInd w:val="0"/>
              <w:jc w:val="left"/>
              <w:rPr>
                <w:rFonts w:ascii="Arial" w:hAnsi="Arial" w:cs="Arial"/>
                <w:sz w:val="20"/>
                <w:szCs w:val="20"/>
              </w:rPr>
            </w:pPr>
            <w:r>
              <w:rPr>
                <w:rFonts w:ascii="Arial" w:hAnsi="Arial" w:cs="Arial"/>
                <w:sz w:val="20"/>
                <w:szCs w:val="20"/>
              </w:rPr>
              <w:t>Marché à procédure adaptée</w:t>
            </w:r>
          </w:p>
          <w:p w14:paraId="4A4C63A7" w14:textId="5E0EDC67" w:rsidR="00A90D33" w:rsidRPr="00A26426" w:rsidRDefault="00A90D33" w:rsidP="00651E0B">
            <w:pPr>
              <w:autoSpaceDE w:val="0"/>
              <w:autoSpaceDN w:val="0"/>
              <w:adjustRightInd w:val="0"/>
              <w:jc w:val="left"/>
              <w:rPr>
                <w:rFonts w:ascii="Arial" w:hAnsi="Arial" w:cs="Arial"/>
                <w:sz w:val="20"/>
                <w:szCs w:val="20"/>
              </w:rPr>
            </w:pPr>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641271EE" w:rsidR="00737146" w:rsidRPr="00A26426" w:rsidRDefault="00A90D33" w:rsidP="00651E0B">
            <w:pPr>
              <w:autoSpaceDE w:val="0"/>
              <w:autoSpaceDN w:val="0"/>
              <w:adjustRightInd w:val="0"/>
              <w:jc w:val="left"/>
              <w:rPr>
                <w:rFonts w:ascii="Arial" w:hAnsi="Arial" w:cs="Arial"/>
                <w:b/>
                <w:bCs/>
                <w:sz w:val="20"/>
                <w:szCs w:val="20"/>
              </w:rPr>
            </w:pPr>
            <w:r w:rsidRPr="009D44B8">
              <w:rPr>
                <w:rFonts w:cstheme="minorHAnsi"/>
                <w:b/>
                <w:bCs/>
                <w:sz w:val="24"/>
              </w:rPr>
              <w:t>ASNR/DES/SES</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41775651" w14:textId="0C4BBBA5" w:rsidR="00F05014"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21530732" w:history="1">
        <w:r w:rsidR="00F05014" w:rsidRPr="00D36F22">
          <w:rPr>
            <w:rStyle w:val="Lienhypertexte"/>
          </w:rPr>
          <w:t>ARTICLE 1 : OBJET DE L’ACTE D’ENGAGEMENT</w:t>
        </w:r>
        <w:r w:rsidR="00F05014">
          <w:rPr>
            <w:webHidden/>
          </w:rPr>
          <w:tab/>
        </w:r>
        <w:r w:rsidR="00F05014">
          <w:rPr>
            <w:webHidden/>
          </w:rPr>
          <w:fldChar w:fldCharType="begin"/>
        </w:r>
        <w:r w:rsidR="00F05014">
          <w:rPr>
            <w:webHidden/>
          </w:rPr>
          <w:instrText xml:space="preserve"> PAGEREF _Toc221530732 \h </w:instrText>
        </w:r>
        <w:r w:rsidR="00F05014">
          <w:rPr>
            <w:webHidden/>
          </w:rPr>
        </w:r>
        <w:r w:rsidR="00F05014">
          <w:rPr>
            <w:webHidden/>
          </w:rPr>
          <w:fldChar w:fldCharType="separate"/>
        </w:r>
        <w:r w:rsidR="00F05014">
          <w:rPr>
            <w:webHidden/>
          </w:rPr>
          <w:t>3</w:t>
        </w:r>
        <w:r w:rsidR="00F05014">
          <w:rPr>
            <w:webHidden/>
          </w:rPr>
          <w:fldChar w:fldCharType="end"/>
        </w:r>
      </w:hyperlink>
    </w:p>
    <w:p w14:paraId="1A372850" w14:textId="1934DFE5" w:rsidR="00F05014" w:rsidRDefault="00F05014">
      <w:pPr>
        <w:pStyle w:val="TM1"/>
        <w:rPr>
          <w:rFonts w:asciiTheme="minorHAnsi" w:eastAsiaTheme="minorEastAsia" w:hAnsiTheme="minorHAnsi" w:cstheme="minorBidi"/>
          <w:b w:val="0"/>
          <w:bCs w:val="0"/>
          <w:kern w:val="2"/>
          <w:sz w:val="24"/>
          <w:szCs w:val="24"/>
          <w:lang w:eastAsia="fr-FR"/>
          <w14:ligatures w14:val="standardContextual"/>
        </w:rPr>
      </w:pPr>
      <w:hyperlink w:anchor="_Toc221530733" w:history="1">
        <w:r w:rsidRPr="00D36F22">
          <w:rPr>
            <w:rStyle w:val="Lienhypertexte"/>
          </w:rPr>
          <w:t>ARTICLE 2 : ENGAGEMENT DU TITULAIRE OU DU GROUPEMENT TITULAIRE</w:t>
        </w:r>
        <w:r>
          <w:rPr>
            <w:webHidden/>
          </w:rPr>
          <w:tab/>
        </w:r>
        <w:r>
          <w:rPr>
            <w:webHidden/>
          </w:rPr>
          <w:fldChar w:fldCharType="begin"/>
        </w:r>
        <w:r>
          <w:rPr>
            <w:webHidden/>
          </w:rPr>
          <w:instrText xml:space="preserve"> PAGEREF _Toc221530733 \h </w:instrText>
        </w:r>
        <w:r>
          <w:rPr>
            <w:webHidden/>
          </w:rPr>
        </w:r>
        <w:r>
          <w:rPr>
            <w:webHidden/>
          </w:rPr>
          <w:fldChar w:fldCharType="separate"/>
        </w:r>
        <w:r>
          <w:rPr>
            <w:webHidden/>
          </w:rPr>
          <w:t>4</w:t>
        </w:r>
        <w:r>
          <w:rPr>
            <w:webHidden/>
          </w:rPr>
          <w:fldChar w:fldCharType="end"/>
        </w:r>
      </w:hyperlink>
    </w:p>
    <w:p w14:paraId="51123218" w14:textId="2A3839F3" w:rsidR="00F05014" w:rsidRDefault="00F05014">
      <w:pPr>
        <w:pStyle w:val="TM1"/>
        <w:rPr>
          <w:rFonts w:asciiTheme="minorHAnsi" w:eastAsiaTheme="minorEastAsia" w:hAnsiTheme="minorHAnsi" w:cstheme="minorBidi"/>
          <w:b w:val="0"/>
          <w:bCs w:val="0"/>
          <w:kern w:val="2"/>
          <w:sz w:val="24"/>
          <w:szCs w:val="24"/>
          <w:lang w:eastAsia="fr-FR"/>
          <w14:ligatures w14:val="standardContextual"/>
        </w:rPr>
      </w:pPr>
      <w:hyperlink w:anchor="_Toc221530734" w:history="1">
        <w:r w:rsidRPr="00D36F22">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_Toc221530734 \h </w:instrText>
        </w:r>
        <w:r>
          <w:rPr>
            <w:webHidden/>
          </w:rPr>
        </w:r>
        <w:r>
          <w:rPr>
            <w:webHidden/>
          </w:rPr>
          <w:fldChar w:fldCharType="separate"/>
        </w:r>
        <w:r>
          <w:rPr>
            <w:webHidden/>
          </w:rPr>
          <w:t>9</w:t>
        </w:r>
        <w:r>
          <w:rPr>
            <w:webHidden/>
          </w:rPr>
          <w:fldChar w:fldCharType="end"/>
        </w:r>
      </w:hyperlink>
    </w:p>
    <w:p w14:paraId="4218A2ED" w14:textId="7920DE66" w:rsidR="00F05014" w:rsidRDefault="00F05014">
      <w:pPr>
        <w:pStyle w:val="TM1"/>
        <w:rPr>
          <w:rFonts w:asciiTheme="minorHAnsi" w:eastAsiaTheme="minorEastAsia" w:hAnsiTheme="minorHAnsi" w:cstheme="minorBidi"/>
          <w:b w:val="0"/>
          <w:bCs w:val="0"/>
          <w:kern w:val="2"/>
          <w:sz w:val="24"/>
          <w:szCs w:val="24"/>
          <w:lang w:eastAsia="fr-FR"/>
          <w14:ligatures w14:val="standardContextual"/>
        </w:rPr>
      </w:pPr>
      <w:hyperlink w:anchor="_Toc221530735" w:history="1">
        <w:r w:rsidRPr="00D36F22">
          <w:rPr>
            <w:rStyle w:val="Lienhypertexte"/>
          </w:rPr>
          <w:t>ARTICLE 4 : IDENTIFICATION ET SIGNATURE DE L’ACHETEUR ET CHOIX DE L’OFFRE</w:t>
        </w:r>
        <w:r>
          <w:rPr>
            <w:webHidden/>
          </w:rPr>
          <w:tab/>
        </w:r>
        <w:r>
          <w:rPr>
            <w:webHidden/>
          </w:rPr>
          <w:fldChar w:fldCharType="begin"/>
        </w:r>
        <w:r>
          <w:rPr>
            <w:webHidden/>
          </w:rPr>
          <w:instrText xml:space="preserve"> PAGEREF _Toc221530735 \h </w:instrText>
        </w:r>
        <w:r>
          <w:rPr>
            <w:webHidden/>
          </w:rPr>
        </w:r>
        <w:r>
          <w:rPr>
            <w:webHidden/>
          </w:rPr>
          <w:fldChar w:fldCharType="separate"/>
        </w:r>
        <w:r>
          <w:rPr>
            <w:webHidden/>
          </w:rPr>
          <w:t>11</w:t>
        </w:r>
        <w:r>
          <w:rPr>
            <w:webHidden/>
          </w:rPr>
          <w:fldChar w:fldCharType="end"/>
        </w:r>
      </w:hyperlink>
    </w:p>
    <w:p w14:paraId="4653C717" w14:textId="462F40A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21530732"/>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EAFB513"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A90D33">
        <w:rPr>
          <w:rFonts w:ascii="Arial" w:hAnsi="Arial" w:cs="Arial"/>
          <w:sz w:val="20"/>
          <w:szCs w:val="20"/>
        </w:rPr>
        <w:t xml:space="preserve"> l’achat </w:t>
      </w:r>
      <w:r w:rsidR="00A90D33" w:rsidRPr="00A90D33">
        <w:rPr>
          <w:rFonts w:ascii="Arial" w:hAnsi="Arial" w:cs="Arial"/>
          <w:sz w:val="20"/>
          <w:szCs w:val="20"/>
        </w:rPr>
        <w:t>de quatre (4) moteurs à balourds avec solution de pilotage et prestations de service</w:t>
      </w:r>
      <w:r w:rsidR="00A90D33">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4DDB46B9" w:rsidR="00394C8C" w:rsidRPr="00A90D33" w:rsidRDefault="00394C8C" w:rsidP="00A90D33">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à l’ensemble du marché public</w:t>
      </w:r>
      <w:r w:rsidR="00A90D33">
        <w:rPr>
          <w:rFonts w:ascii="Arial" w:hAnsi="Arial" w:cs="Arial"/>
          <w:sz w:val="20"/>
          <w:szCs w:val="20"/>
        </w:rPr>
        <w:t>.</w:t>
      </w:r>
    </w:p>
    <w:p w14:paraId="7A3780AD" w14:textId="77777777" w:rsidR="00394C8C" w:rsidRPr="00394C8C" w:rsidRDefault="00394C8C" w:rsidP="00394C8C">
      <w:pPr>
        <w:tabs>
          <w:tab w:val="left" w:pos="426"/>
          <w:tab w:val="left" w:pos="851"/>
        </w:tabs>
        <w:rPr>
          <w:rFonts w:ascii="Arial" w:hAnsi="Arial" w:cs="Arial"/>
          <w:sz w:val="20"/>
          <w:szCs w:val="20"/>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21530733"/>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6221925"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r w:rsidR="00A90D33">
        <w:rPr>
          <w:rFonts w:ascii="Arial" w:hAnsi="Arial" w:cs="Arial"/>
          <w:sz w:val="20"/>
          <w:szCs w:val="20"/>
        </w:rPr>
        <w:t>(Décomposition du Prix Global Forfaitaire ET Bordereau des Prix Unitaires)</w:t>
      </w:r>
    </w:p>
    <w:p w14:paraId="72C1AFEE" w14:textId="7792772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w:t>
      </w:r>
    </w:p>
    <w:p w14:paraId="5CEB44CC" w14:textId="031F248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A90D33">
        <w:rPr>
          <w:rFonts w:ascii="Arial" w:hAnsi="Arial" w:cs="Arial"/>
          <w:sz w:val="20"/>
          <w:szCs w:val="20"/>
        </w:rPr>
        <w:t>« </w:t>
      </w:r>
      <w:r w:rsidR="00A90D33" w:rsidRPr="00A90D33">
        <w:rPr>
          <w:rFonts w:ascii="Arial" w:hAnsi="Arial" w:cs="Arial"/>
          <w:sz w:val="20"/>
          <w:szCs w:val="20"/>
        </w:rPr>
        <w:t>ASNR/DES/SES/2025-00178</w:t>
      </w:r>
      <w:r w:rsidR="00A90D33">
        <w:rPr>
          <w:rFonts w:ascii="Arial" w:hAnsi="Arial" w:cs="Arial"/>
          <w:sz w:val="20"/>
          <w:szCs w:val="20"/>
        </w:rPr>
        <w:t> »</w:t>
      </w:r>
    </w:p>
    <w:p w14:paraId="51D33043" w14:textId="34AE2C9D"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A90D33" w:rsidRPr="00A90D33">
        <w:rPr>
          <w:rFonts w:ascii="Arial" w:hAnsi="Arial" w:cs="Arial"/>
          <w:sz w:val="20"/>
          <w:szCs w:val="20"/>
        </w:rPr>
        <w:t>de Fournitures courantes et services</w:t>
      </w:r>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05224AFB" w14:textId="1023C74A"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r w:rsidRPr="00394C8C">
        <w:rPr>
          <w:rFonts w:ascii="Arial" w:hAnsi="Arial" w:cs="Arial"/>
        </w:rPr>
        <w:lastRenderedPageBreak/>
        <w:t>à livrer les fournitures / exécuter les travaux et/ou prestations demandées aux prix forfaitaires (DPGF) et unitaires (BPU) initia</w:t>
      </w:r>
      <w:r w:rsidR="00A90D33">
        <w:rPr>
          <w:rFonts w:ascii="Arial" w:hAnsi="Arial" w:cs="Arial"/>
        </w:rPr>
        <w:t>ux</w:t>
      </w:r>
      <w:r w:rsidRPr="00394C8C">
        <w:rPr>
          <w:rFonts w:ascii="Arial" w:hAnsi="Arial" w:cs="Arial"/>
        </w:rPr>
        <w:t xml:space="preserve">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2875E965"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5DE3F81" w14:textId="111B6711" w:rsidR="00766305" w:rsidRPr="00A90D33" w:rsidRDefault="00A90D33" w:rsidP="00A90D33">
      <w:pPr>
        <w:numPr>
          <w:ilvl w:val="0"/>
          <w:numId w:val="37"/>
        </w:numPr>
        <w:tabs>
          <w:tab w:val="left" w:pos="426"/>
          <w:tab w:val="left" w:pos="851"/>
        </w:tabs>
        <w:suppressAutoHyphens/>
        <w:spacing w:before="120" w:after="0" w:line="240" w:lineRule="auto"/>
        <w:rPr>
          <w:rFonts w:ascii="Arial" w:hAnsi="Arial" w:cs="Arial"/>
          <w:b/>
          <w:bCs/>
          <w:sz w:val="20"/>
          <w:szCs w:val="20"/>
        </w:rPr>
      </w:pPr>
      <w:r>
        <w:rPr>
          <w:rFonts w:ascii="Arial" w:hAnsi="Arial" w:cs="Arial"/>
          <w:b/>
          <w:bCs/>
          <w:sz w:val="20"/>
          <w:szCs w:val="20"/>
        </w:rPr>
        <w:t xml:space="preserve">Montant des prestations de la partie accord-cadre à bons de commande </w:t>
      </w:r>
      <w:r w:rsidR="00766305" w:rsidRPr="00A90D33">
        <w:rPr>
          <w:rFonts w:ascii="Arial" w:hAnsi="Arial" w:cs="Arial"/>
          <w:b/>
          <w:bCs/>
          <w:sz w:val="20"/>
          <w:szCs w:val="20"/>
        </w:rPr>
        <w:t>:</w:t>
      </w:r>
      <w:r w:rsidRPr="00A90D33">
        <w:rPr>
          <w:rFonts w:ascii="Arial" w:hAnsi="Arial" w:cs="Arial"/>
          <w:b/>
          <w:bCs/>
          <w:sz w:val="20"/>
          <w:szCs w:val="20"/>
        </w:rPr>
        <w:t xml:space="preserve"> </w:t>
      </w:r>
    </w:p>
    <w:p w14:paraId="2A370292" w14:textId="503FBDDE" w:rsidR="00766305" w:rsidRPr="00A90D33" w:rsidRDefault="00F05014" w:rsidP="00766305">
      <w:pPr>
        <w:pStyle w:val="Paragraphedeliste"/>
        <w:numPr>
          <w:ilvl w:val="0"/>
          <w:numId w:val="7"/>
        </w:numPr>
        <w:rPr>
          <w:rFonts w:ascii="Arial" w:hAnsi="Arial" w:cs="Arial"/>
          <w:b/>
          <w:bCs/>
          <w:sz w:val="20"/>
          <w:szCs w:val="20"/>
        </w:rPr>
      </w:pPr>
      <w:sdt>
        <w:sdtPr>
          <w:rPr>
            <w:rFonts w:ascii="Arial" w:hAnsi="Arial" w:cs="Arial"/>
            <w:b/>
            <w:bCs/>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sdtContent>
          <w:r w:rsidR="00A90D33" w:rsidRPr="00A90D33">
            <w:rPr>
              <w:rFonts w:ascii="Arial" w:hAnsi="Arial" w:cs="Arial"/>
              <w:b/>
              <w:bCs/>
              <w:sz w:val="20"/>
              <w:szCs w:val="20"/>
            </w:rPr>
            <w:t>Sans montant minimum</w:t>
          </w:r>
        </w:sdtContent>
      </w:sdt>
    </w:p>
    <w:p w14:paraId="1B6A5230" w14:textId="69A02E6E" w:rsidR="00766305" w:rsidRPr="00A90D33" w:rsidRDefault="00A90D33" w:rsidP="00766305">
      <w:pPr>
        <w:pStyle w:val="Paragraphedeliste"/>
        <w:numPr>
          <w:ilvl w:val="0"/>
          <w:numId w:val="7"/>
        </w:numPr>
        <w:rPr>
          <w:rFonts w:ascii="Arial" w:hAnsi="Arial" w:cs="Arial"/>
          <w:b/>
          <w:bCs/>
          <w:sz w:val="20"/>
          <w:szCs w:val="20"/>
        </w:rPr>
      </w:pPr>
      <w:r w:rsidRPr="00A90D33">
        <w:rPr>
          <w:rFonts w:ascii="Arial" w:hAnsi="Arial" w:cs="Arial"/>
          <w:b/>
          <w:bCs/>
          <w:sz w:val="20"/>
          <w:szCs w:val="20"/>
        </w:rPr>
        <w:t>Montant maximum, sur la durée totale, de 40 000 € HT</w:t>
      </w:r>
    </w:p>
    <w:p w14:paraId="04F02E18" w14:textId="77777777" w:rsidR="007461BC" w:rsidRDefault="007461BC" w:rsidP="007461BC">
      <w:pPr>
        <w:rPr>
          <w:rStyle w:val="Textedelespacerserv"/>
          <w:rFonts w:ascii="Arial" w:hAnsi="Arial" w:cs="Arial"/>
          <w:b/>
          <w:color w:val="000000" w:themeColor="text1"/>
          <w:sz w:val="20"/>
          <w:szCs w:val="20"/>
        </w:rPr>
      </w:pPr>
    </w:p>
    <w:p w14:paraId="79A4AEED" w14:textId="570957B0" w:rsidR="007461BC" w:rsidRPr="007461BC" w:rsidRDefault="007461BC" w:rsidP="007461BC">
      <w:pPr>
        <w:rPr>
          <w:rStyle w:val="Textedelespacerserv"/>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En cas d’impossibilité de l’attributaire désigné d’exécuter le marché pour un cas fortuit ou de force majeure, le signataire, et dans le cas où il est placé en deuxième position, s’engage à maintenir son offre jusqu’à la notification du marché au Titulaire.  </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DBE309C" w14:textId="77777777" w:rsidR="00F05014" w:rsidRPr="00F05014" w:rsidRDefault="00F05014" w:rsidP="00F05014">
      <w:pPr>
        <w:rPr>
          <w:rFonts w:ascii="Arial" w:hAnsi="Arial" w:cs="Arial"/>
          <w:sz w:val="20"/>
          <w:szCs w:val="20"/>
        </w:rPr>
      </w:pPr>
      <w:r w:rsidRPr="00F05014">
        <w:rPr>
          <w:rFonts w:ascii="Arial" w:hAnsi="Arial" w:cs="Arial"/>
          <w:sz w:val="20"/>
          <w:szCs w:val="20"/>
        </w:rPr>
        <w:t>Le marché est composé de deux parties exécutées de manière séquentielle puis en parallèle.</w:t>
      </w:r>
    </w:p>
    <w:p w14:paraId="245B8DAA" w14:textId="77777777" w:rsidR="00F05014" w:rsidRPr="00F05014" w:rsidRDefault="00F05014" w:rsidP="00F05014">
      <w:pPr>
        <w:rPr>
          <w:rFonts w:ascii="Arial" w:hAnsi="Arial" w:cs="Arial"/>
          <w:sz w:val="20"/>
          <w:szCs w:val="20"/>
        </w:rPr>
      </w:pPr>
      <w:r w:rsidRPr="00F05014">
        <w:rPr>
          <w:rFonts w:ascii="Arial" w:hAnsi="Arial" w:cs="Arial"/>
          <w:sz w:val="20"/>
          <w:szCs w:val="20"/>
        </w:rPr>
        <w:t>La partie « marché ordinaire » couvre les prestations de livraison, installation, assistance technique à distance, formation et livraison des équipements. Elle commence à la date de notification du marché et prend fin à la date de réception définitive des équipements sur le site de Thessalonique (Grèce).</w:t>
      </w:r>
    </w:p>
    <w:p w14:paraId="6756870D" w14:textId="77777777" w:rsidR="00F05014" w:rsidRPr="00F05014" w:rsidRDefault="00F05014" w:rsidP="00F05014">
      <w:pPr>
        <w:rPr>
          <w:rFonts w:ascii="Arial" w:hAnsi="Arial" w:cs="Arial"/>
          <w:sz w:val="20"/>
          <w:szCs w:val="20"/>
        </w:rPr>
      </w:pPr>
      <w:r w:rsidRPr="00F05014">
        <w:rPr>
          <w:rFonts w:ascii="Arial" w:hAnsi="Arial" w:cs="Arial"/>
          <w:sz w:val="20"/>
          <w:szCs w:val="20"/>
        </w:rPr>
        <w:t>La partie « accord-cadre à bons de commande » couvre les prestations d'assistance technique in situ nécessaires à l'exploitation des équipements. Elle commence à la date de réception définitive et s'étend sur une durée de douze (12) mois, coïncidant ainsi avec la période de garantie.</w:t>
      </w:r>
    </w:p>
    <w:p w14:paraId="1B4AD1E4" w14:textId="7D87E4D2" w:rsidR="00F05014" w:rsidRPr="003566E0" w:rsidRDefault="00F05014" w:rsidP="00F05014">
      <w:pPr>
        <w:rPr>
          <w:rFonts w:ascii="Arial" w:hAnsi="Arial" w:cs="Arial"/>
          <w:sz w:val="20"/>
          <w:szCs w:val="20"/>
        </w:rPr>
      </w:pPr>
      <w:r w:rsidRPr="00F05014">
        <w:rPr>
          <w:rFonts w:ascii="Arial" w:hAnsi="Arial" w:cs="Arial"/>
          <w:sz w:val="20"/>
          <w:szCs w:val="20"/>
        </w:rPr>
        <w:t>La période de garantie commence à la date de réception définitive des équipements sur le site de Thessalonique et couvre une durée minimale de douze (12) mois. Le marché prend fin à l'expiration de cette période.</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08BE8AE9" w:rsidR="00E83147" w:rsidRPr="00DC4013" w:rsidRDefault="00D65C23" w:rsidP="00E83147">
            <w:pPr>
              <w:pStyle w:val="texte"/>
              <w:ind w:left="0"/>
              <w:rPr>
                <w:rFonts w:cs="Arial"/>
              </w:rPr>
            </w:pPr>
            <w:r w:rsidRPr="00D65C23">
              <w:rPr>
                <w:rFonts w:cs="Arial"/>
              </w:rPr>
              <w:t>David BOUHJITI</w:t>
            </w:r>
          </w:p>
        </w:tc>
        <w:tc>
          <w:tcPr>
            <w:tcW w:w="2440" w:type="dxa"/>
          </w:tcPr>
          <w:p w14:paraId="6ED430C7" w14:textId="1595C259" w:rsidR="00E83147" w:rsidRPr="00DC4013" w:rsidRDefault="00D65C23" w:rsidP="00E83147">
            <w:pPr>
              <w:pStyle w:val="texte"/>
              <w:ind w:left="0"/>
              <w:rPr>
                <w:rFonts w:cs="Arial"/>
              </w:rPr>
            </w:pPr>
            <w:r w:rsidRPr="00D65C23">
              <w:rPr>
                <w:rFonts w:cs="Arial"/>
              </w:rPr>
              <w:t>01.58.35.74.28</w:t>
            </w:r>
          </w:p>
        </w:tc>
        <w:tc>
          <w:tcPr>
            <w:tcW w:w="2375" w:type="dxa"/>
          </w:tcPr>
          <w:p w14:paraId="5D6030BC" w14:textId="213DDBA5" w:rsidR="00E83147" w:rsidRPr="00DC4013" w:rsidRDefault="00D65C23" w:rsidP="00E83147">
            <w:pPr>
              <w:pStyle w:val="texte"/>
              <w:ind w:left="0"/>
              <w:rPr>
                <w:rFonts w:cs="Arial"/>
              </w:rPr>
            </w:pPr>
            <w:hyperlink r:id="rId11" w:history="1">
              <w:r w:rsidRPr="00AE0C25">
                <w:rPr>
                  <w:rStyle w:val="Lienhypertexte"/>
                  <w:rFonts w:cs="Arial"/>
                </w:rPr>
                <w:t>david.bouhjiti@asnr.fr</w:t>
              </w:r>
            </w:hyperlink>
            <w:r>
              <w:rPr>
                <w:rFonts w:cs="Arial"/>
              </w:rPr>
              <w:t xml:space="preserve"> </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FAB28F3" w:rsidR="00E83147" w:rsidRPr="00DC4013" w:rsidRDefault="00D65C23" w:rsidP="00E83147">
            <w:pPr>
              <w:pStyle w:val="texte"/>
              <w:ind w:left="0"/>
              <w:rPr>
                <w:rFonts w:cs="Arial"/>
              </w:rPr>
            </w:pPr>
            <w:r w:rsidRPr="00D65C23">
              <w:rPr>
                <w:rFonts w:cs="Arial"/>
              </w:rPr>
              <w:t>Fabrice MARTIAL</w:t>
            </w:r>
          </w:p>
        </w:tc>
        <w:tc>
          <w:tcPr>
            <w:tcW w:w="2440" w:type="dxa"/>
          </w:tcPr>
          <w:p w14:paraId="333C502D" w14:textId="66946990" w:rsidR="00E83147" w:rsidRPr="00DC4013" w:rsidRDefault="00D65C23" w:rsidP="00E83147">
            <w:pPr>
              <w:pStyle w:val="texte"/>
              <w:ind w:left="0"/>
              <w:rPr>
                <w:rFonts w:cs="Arial"/>
              </w:rPr>
            </w:pPr>
            <w:r w:rsidRPr="00D65C23">
              <w:rPr>
                <w:rFonts w:cs="Arial"/>
              </w:rPr>
              <w:t>01.58.35.91.53</w:t>
            </w:r>
          </w:p>
        </w:tc>
        <w:tc>
          <w:tcPr>
            <w:tcW w:w="2375" w:type="dxa"/>
          </w:tcPr>
          <w:p w14:paraId="2BDC8BDE" w14:textId="2D16CBBD" w:rsidR="00E83147" w:rsidRPr="00DC4013" w:rsidRDefault="00D65C23" w:rsidP="00E83147">
            <w:pPr>
              <w:pStyle w:val="texte"/>
              <w:ind w:left="0"/>
              <w:rPr>
                <w:rFonts w:cs="Arial"/>
              </w:rPr>
            </w:pPr>
            <w:hyperlink r:id="rId12" w:history="1">
              <w:r w:rsidRPr="00AE0C25">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4985E3F6" w14:textId="77777777" w:rsidR="00D65C23" w:rsidRDefault="00D65C23" w:rsidP="00DC4013">
      <w:pPr>
        <w:shd w:val="clear" w:color="auto" w:fill="FFFFFF"/>
        <w:spacing w:line="360" w:lineRule="auto"/>
        <w:ind w:left="2062" w:firstLine="210"/>
        <w:rPr>
          <w:rFonts w:ascii="Arial" w:hAnsi="Arial" w:cs="Arial"/>
          <w:sz w:val="20"/>
          <w:szCs w:val="20"/>
        </w:rPr>
      </w:pPr>
    </w:p>
    <w:p w14:paraId="4E186C83" w14:textId="77777777" w:rsidR="00D65C23" w:rsidRPr="00DC4013" w:rsidRDefault="00D65C2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5EE654E9" w:rsidR="00E83147" w:rsidRPr="00DC4013" w:rsidRDefault="00A90D33" w:rsidP="00E83147">
            <w:pPr>
              <w:pStyle w:val="texte"/>
              <w:ind w:left="0"/>
              <w:rPr>
                <w:rFonts w:cs="Arial"/>
              </w:rPr>
            </w:pPr>
            <w:r w:rsidRPr="009D44B8">
              <w:rPr>
                <w:rFonts w:asciiTheme="minorHAnsi" w:hAnsiTheme="minorHAnsi" w:cstheme="minorHAnsi"/>
                <w:b/>
                <w:bCs/>
                <w:sz w:val="24"/>
              </w:rPr>
              <w:t>ASNR/DES/SES</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21530734"/>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21530735"/>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175947B" w14:textId="58D71B4F" w:rsidR="00956385" w:rsidRPr="00956385" w:rsidRDefault="00956385" w:rsidP="00956385">
      <w:pPr>
        <w:pStyle w:val="Titre4"/>
        <w:numPr>
          <w:ilvl w:val="0"/>
          <w:numId w:val="20"/>
        </w:numPr>
        <w:rPr>
          <w:rFonts w:ascii="Arial" w:hAnsi="Arial" w:cs="Arial"/>
          <w:caps/>
          <w:sz w:val="24"/>
          <w:szCs w:val="24"/>
          <w:u w:val="none"/>
        </w:rPr>
      </w:pPr>
      <w:r w:rsidRPr="00956385">
        <w:rPr>
          <w:rFonts w:ascii="Arial" w:hAnsi="Arial" w:cs="Arial"/>
          <w:caps/>
          <w:sz w:val="24"/>
          <w:szCs w:val="24"/>
          <w:u w:val="none"/>
        </w:rPr>
        <w:t>ACCEPTATION DE L’OFFRE PAR L’ACHETEUR</w:t>
      </w:r>
    </w:p>
    <w:p w14:paraId="0B04DDC5" w14:textId="081BA236" w:rsidR="00B2420E" w:rsidRPr="00956385" w:rsidRDefault="00B2420E" w:rsidP="00956385">
      <w:pPr>
        <w:tabs>
          <w:tab w:val="left" w:pos="851"/>
        </w:tabs>
        <w:ind w:left="567"/>
        <w:rPr>
          <w:rFonts w:ascii="Arial" w:hAnsi="Arial" w:cs="Arial"/>
          <w:b/>
          <w:sz w:val="20"/>
          <w:szCs w:val="20"/>
        </w:rPr>
      </w:pPr>
      <w:r w:rsidRPr="00F22B61">
        <w:rPr>
          <w:rFonts w:ascii="Arial" w:hAnsi="Arial" w:cs="Arial"/>
          <w:b/>
          <w:sz w:val="20"/>
          <w:szCs w:val="20"/>
        </w:rPr>
        <w:t>La présente offre est acceptée </w:t>
      </w:r>
      <w:r w:rsidR="00956385">
        <w:rPr>
          <w:rFonts w:ascii="Arial" w:hAnsi="Arial" w:cs="Arial"/>
          <w:b/>
          <w:sz w:val="20"/>
          <w:szCs w:val="20"/>
        </w:rPr>
        <w:t xml:space="preserve">pour l’ensemble du marché public n° </w:t>
      </w:r>
      <w:r w:rsidR="00956385" w:rsidRPr="00956385">
        <w:rPr>
          <w:rFonts w:ascii="Arial" w:hAnsi="Arial" w:cs="Arial"/>
          <w:b/>
          <w:sz w:val="20"/>
          <w:szCs w:val="20"/>
          <w:highlight w:val="yellow"/>
        </w:rPr>
        <w:t>50000XXX-33000XXXX</w:t>
      </w:r>
    </w:p>
    <w:p w14:paraId="4D5B0415" w14:textId="0FED15A3" w:rsidR="00B2420E" w:rsidRPr="00F22B61" w:rsidRDefault="00B2420E" w:rsidP="00F05014">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37B87544" w14:textId="232AFF13"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956385">
        <w:rPr>
          <w:rFonts w:ascii="Arial" w:hAnsi="Arial" w:cs="Arial"/>
          <w:b/>
          <w:sz w:val="20"/>
          <w:szCs w:val="20"/>
          <w:lang w:eastAsia="fr-FR"/>
        </w:rPr>
        <w:t xml:space="preserve"> Annexe financière (DPGF + BPU)</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3BEB19D0"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956385">
        <w:rPr>
          <w:rFonts w:ascii="Arial" w:hAnsi="Arial" w:cs="Arial"/>
          <w:b/>
          <w:bCs/>
          <w:sz w:val="28"/>
          <w:szCs w:val="28"/>
        </w:rPr>
        <w:t xml:space="preserve"> DPGF /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2455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461BC"/>
    <w:rsid w:val="007641E2"/>
    <w:rsid w:val="00766305"/>
    <w:rsid w:val="00774ACA"/>
    <w:rsid w:val="00775D1D"/>
    <w:rsid w:val="00775FA6"/>
    <w:rsid w:val="00782F4C"/>
    <w:rsid w:val="00785219"/>
    <w:rsid w:val="00786AD0"/>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56385"/>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0D33"/>
    <w:rsid w:val="00AB3BDD"/>
    <w:rsid w:val="00AB43A8"/>
    <w:rsid w:val="00AC458A"/>
    <w:rsid w:val="00AC6B6C"/>
    <w:rsid w:val="00AE46A0"/>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65C23"/>
    <w:rsid w:val="00D750DB"/>
    <w:rsid w:val="00D75323"/>
    <w:rsid w:val="00D77927"/>
    <w:rsid w:val="00D93043"/>
    <w:rsid w:val="00DA2868"/>
    <w:rsid w:val="00DB2F66"/>
    <w:rsid w:val="00DC0F70"/>
    <w:rsid w:val="00DC3717"/>
    <w:rsid w:val="00DC4013"/>
    <w:rsid w:val="00DC60FF"/>
    <w:rsid w:val="00DD1EB0"/>
    <w:rsid w:val="00DD2003"/>
    <w:rsid w:val="00DD5069"/>
    <w:rsid w:val="00DE744F"/>
    <w:rsid w:val="00E17AA5"/>
    <w:rsid w:val="00E2211F"/>
    <w:rsid w:val="00E500FE"/>
    <w:rsid w:val="00E645D6"/>
    <w:rsid w:val="00E76D36"/>
    <w:rsid w:val="00E83147"/>
    <w:rsid w:val="00E864ED"/>
    <w:rsid w:val="00E92775"/>
    <w:rsid w:val="00EA66AA"/>
    <w:rsid w:val="00EB7292"/>
    <w:rsid w:val="00ED605E"/>
    <w:rsid w:val="00EE6ABB"/>
    <w:rsid w:val="00F04E3D"/>
    <w:rsid w:val="00F05014"/>
    <w:rsid w:val="00F0629D"/>
    <w:rsid w:val="00F4468D"/>
    <w:rsid w:val="00F46FBD"/>
    <w:rsid w:val="00F51304"/>
    <w:rsid w:val="00F525BB"/>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bouhjiti@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2455C"/>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46A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525BB"/>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1842</Words>
  <Characters>10133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7</cp:revision>
  <cp:lastPrinted>2023-04-04T08:25:00Z</cp:lastPrinted>
  <dcterms:created xsi:type="dcterms:W3CDTF">2026-01-06T10:08:00Z</dcterms:created>
  <dcterms:modified xsi:type="dcterms:W3CDTF">2026-02-09T10:58:00Z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