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sz w:val="28"/>
        </w:rPr>
      </w:pP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align>center</wp:align>
            </wp:positionH>
            <wp:positionV relativeFrom="margin">
              <wp:align>top</wp:align>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4964430</wp:posOffset>
            </wp:positionH>
            <wp:positionV relativeFrom="paragraph">
              <wp:posOffset>98425</wp:posOffset>
            </wp:positionV>
            <wp:extent cx="1099820" cy="404495"/>
            <wp:effectExtent l="0" t="0" r="5080" b="0"/>
            <wp:wrapThrough wrapText="bothSides">
              <wp:wrapPolygon edited="0">
                <wp:start x="0" y="0"/>
                <wp:lineTo x="0" y="20345"/>
                <wp:lineTo x="21326" y="20345"/>
                <wp:lineTo x="21326" y="0"/>
                <wp:lineTo x="0" y="0"/>
              </wp:wrapPolygon>
            </wp:wrapThrough>
            <wp:docPr id="9" name="Image 9"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CORBERAND\AppData\Local\Microsoft\Windows\INetCache\Content.MSO\E3DFF825.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982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simplePos x="0" y="0"/>
            <wp:positionH relativeFrom="margin">
              <wp:posOffset>130810</wp:posOffset>
            </wp:positionH>
            <wp:positionV relativeFrom="paragraph">
              <wp:posOffset>112395</wp:posOffset>
            </wp:positionV>
            <wp:extent cx="1334135" cy="434340"/>
            <wp:effectExtent l="0" t="0" r="0" b="3810"/>
            <wp:wrapTight wrapText="bothSides">
              <wp:wrapPolygon edited="0">
                <wp:start x="0" y="0"/>
                <wp:lineTo x="0" y="20842"/>
                <wp:lineTo x="21281" y="20842"/>
                <wp:lineTo x="21281" y="0"/>
                <wp:lineTo x="0" y="0"/>
              </wp:wrapPolygon>
            </wp:wrapTight>
            <wp:docPr id="2" name="Image 2" descr="Petites annonces - Le CH St Denis Delafontaine recr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tites annonces - Le CH St Denis Delafontaine recru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4135"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center"/>
        <w:rPr>
          <w:b/>
          <w:sz w:val="24"/>
        </w:rPr>
      </w:pPr>
      <w:r>
        <w:rPr>
          <w:b/>
          <w:sz w:val="24"/>
        </w:rPr>
        <w:t>ATTRI1</w:t>
      </w:r>
    </w:p>
    <w:p>
      <w:pPr>
        <w:rPr>
          <w:b/>
          <w:sz w:val="24"/>
        </w:rPr>
      </w:pPr>
    </w:p>
    <w:p>
      <w:pPr>
        <w:ind w:left="0" w:right="411"/>
        <w:rPr>
          <w:rFonts w:cs="Calibri"/>
          <w:b/>
          <w:szCs w:val="20"/>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jc w:val="center"/>
              <w:rPr>
                <w:b/>
                <w:sz w:val="28"/>
              </w:rPr>
            </w:pPr>
            <w:r>
              <w:rPr>
                <w:b/>
                <w:sz w:val="28"/>
              </w:rPr>
              <w:t>A.E.</w:t>
            </w:r>
          </w:p>
          <w:p>
            <w:pPr>
              <w:jc w:val="center"/>
              <w:rPr>
                <w:b/>
                <w:sz w:val="28"/>
              </w:rPr>
            </w:pPr>
            <w:r>
              <w:rPr>
                <w:b/>
                <w:sz w:val="28"/>
              </w:rPr>
              <w:t>ACTE D’ENGAGEMENT</w:t>
            </w:r>
          </w:p>
          <w:p>
            <w:pPr>
              <w:jc w:val="center"/>
              <w:rPr>
                <w:b/>
                <w:sz w:val="28"/>
              </w:rPr>
            </w:pPr>
            <w:r>
              <w:rPr>
                <w:b/>
                <w:sz w:val="28"/>
              </w:rPr>
              <w:t xml:space="preserve">N° </w:t>
            </w:r>
          </w:p>
        </w:tc>
      </w:tr>
    </w:tbl>
    <w:p>
      <w:pPr>
        <w:rPr>
          <w:b/>
          <w:sz w:val="28"/>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312" w:right="-112"/>
              <w:jc w:val="center"/>
              <w:rPr>
                <w:b/>
                <w:sz w:val="28"/>
              </w:rPr>
            </w:pPr>
            <w:r>
              <w:rPr>
                <w:b/>
                <w:sz w:val="28"/>
              </w:rPr>
              <w:t>Fourniture d’équipements de protection individuelle (EPI) à usage unique non stériles (UUNS) pour le GHT Plaine De France</w:t>
            </w:r>
          </w:p>
        </w:tc>
      </w:tr>
    </w:tbl>
    <w:p>
      <w:pPr>
        <w:ind w:right="411"/>
        <w:jc w:val="center"/>
        <w:rPr>
          <w:rFonts w:cs="Calibri"/>
          <w:szCs w:val="22"/>
        </w:rPr>
      </w:pPr>
    </w:p>
    <w:p>
      <w:pPr>
        <w:ind w:right="411"/>
        <w:jc w:val="center"/>
        <w:rPr>
          <w:rFonts w:cs="Calibri"/>
          <w:szCs w:val="22"/>
        </w:rPr>
      </w:pPr>
    </w:p>
    <w:p>
      <w:pPr>
        <w:jc w:val="center"/>
        <w:rPr>
          <w:b/>
        </w:rPr>
      </w:pPr>
      <w:r>
        <w:rPr>
          <w:b/>
        </w:rPr>
        <w:t>La procédure est passée en application des dispositions du Code la Commande Publique (ci-après « le Code ») :</w:t>
      </w:r>
    </w:p>
    <w:p>
      <w:pPr>
        <w:ind w:left="0"/>
      </w:pPr>
    </w:p>
    <w:p>
      <w:pPr>
        <w:ind w:left="0"/>
        <w:jc w:val="center"/>
      </w:pPr>
      <w:r>
        <w:t>Appel d’offres ouvert</w:t>
      </w:r>
      <w:r>
        <w:rPr>
          <w:color w:val="FF0066"/>
        </w:rPr>
        <w:t> :</w:t>
      </w:r>
      <w:r>
        <w:t xml:space="preserve"> articles L.2124-2 et R.2124-2-1 du Code ;</w:t>
      </w:r>
    </w:p>
    <w:p>
      <w:pPr>
        <w:jc w:val="center"/>
      </w:pPr>
      <w:r>
        <w:t>&amp;</w:t>
      </w:r>
    </w:p>
    <w:p>
      <w:pPr>
        <w:jc w:val="center"/>
      </w:pPr>
      <w:r>
        <w:t>Accord-cadre Mono-attributaire : articles –L.2125-1</w:t>
      </w:r>
      <w:r>
        <w:rPr>
          <w:bCs/>
        </w:rPr>
        <w:t xml:space="preserve"> </w:t>
      </w:r>
      <w:r>
        <w:t>et R.2162-2-2°- du Code ;</w:t>
      </w:r>
    </w:p>
    <w:p>
      <w:pPr>
        <w:jc w:val="center"/>
      </w:pPr>
      <w:r>
        <w:t>&amp;</w:t>
      </w:r>
    </w:p>
    <w:p>
      <w:pPr>
        <w:jc w:val="center"/>
        <w:rPr>
          <w:bCs/>
        </w:rPr>
      </w:pPr>
      <w:r>
        <w:rPr>
          <w:bCs/>
        </w:rPr>
        <w:t xml:space="preserve">A bons de commande : articles R.2162-13 à R.2162-14 du code </w:t>
      </w:r>
    </w:p>
    <w:p>
      <w:pPr>
        <w:jc w:val="center"/>
        <w:rPr>
          <w:bCs/>
        </w:rPr>
      </w:pPr>
    </w:p>
    <w:p>
      <w:pPr>
        <w:jc w:val="center"/>
      </w:pPr>
    </w:p>
    <w:p>
      <w:pPr>
        <w:ind w:left="0" w:right="284"/>
        <w:jc w:val="center"/>
        <w:rPr>
          <w:b/>
        </w:rPr>
      </w:pPr>
    </w:p>
    <w:p>
      <w:pPr>
        <w:ind w:left="0" w:right="284"/>
        <w:jc w:val="center"/>
      </w:pPr>
    </w:p>
    <w:p>
      <w:pPr>
        <w:jc w:val="center"/>
        <w:rPr>
          <w:b/>
        </w:rPr>
      </w:pPr>
      <w:r>
        <w:rPr>
          <w:b/>
        </w:rPr>
        <w:t>Acheteur</w:t>
      </w:r>
    </w:p>
    <w:p>
      <w:pPr>
        <w:jc w:val="center"/>
        <w:rPr>
          <w:b/>
        </w:rPr>
      </w:pPr>
    </w:p>
    <w:p>
      <w:pPr>
        <w:ind w:left="0" w:right="411"/>
        <w:jc w:val="center"/>
        <w:rPr>
          <w:rFonts w:cs="Calibri"/>
          <w:b/>
          <w:sz w:val="24"/>
        </w:rPr>
      </w:pPr>
      <w:r>
        <w:rPr>
          <w:rFonts w:cs="Calibri"/>
          <w:b/>
          <w:sz w:val="24"/>
        </w:rPr>
        <w:t xml:space="preserve">                  CENTRE HOSPITALIER DE SAINT-DENIS</w:t>
      </w:r>
    </w:p>
    <w:p>
      <w:pPr>
        <w:ind w:left="0" w:right="411"/>
        <w:jc w:val="center"/>
        <w:rPr>
          <w:rFonts w:cs="Calibri"/>
          <w:bCs/>
        </w:rPr>
      </w:pPr>
      <w:r>
        <w:rPr>
          <w:rFonts w:cs="Calibri"/>
          <w:bCs/>
        </w:rPr>
        <w:t xml:space="preserve">                             ETABLISSEMENT SUPPORT DU GHT PLAINE DE </w:t>
      </w:r>
      <w:r>
        <w:rPr>
          <w:bCs/>
        </w:rPr>
        <w:t>FRANCE</w:t>
      </w:r>
    </w:p>
    <w:p>
      <w:pPr>
        <w:ind w:left="0" w:right="411"/>
        <w:jc w:val="center"/>
        <w:rPr>
          <w:rFonts w:cs="Calibri"/>
          <w:sz w:val="24"/>
        </w:rPr>
      </w:pPr>
      <w:r>
        <w:rPr>
          <w:rFonts w:cs="Calibri"/>
          <w:bCs/>
          <w:sz w:val="24"/>
        </w:rPr>
        <w:t xml:space="preserve">                   Direction des Achats</w:t>
      </w:r>
    </w:p>
    <w:p>
      <w:pPr>
        <w:ind w:left="0" w:right="411"/>
        <w:jc w:val="center"/>
        <w:rPr>
          <w:rFonts w:cs="Calibri"/>
          <w:sz w:val="24"/>
        </w:rPr>
      </w:pPr>
      <w:r>
        <w:rPr>
          <w:rFonts w:cs="Calibri"/>
          <w:sz w:val="24"/>
        </w:rPr>
        <w:t xml:space="preserve">                    2, rue du Docteur Delafontaine</w:t>
      </w:r>
    </w:p>
    <w:p>
      <w:pPr>
        <w:ind w:left="0" w:right="411"/>
        <w:jc w:val="center"/>
        <w:rPr>
          <w:rFonts w:cs="Calibri"/>
          <w:sz w:val="24"/>
        </w:rPr>
      </w:pPr>
      <w:r>
        <w:rPr>
          <w:rFonts w:cs="Calibri"/>
          <w:sz w:val="24"/>
        </w:rPr>
        <w:t xml:space="preserve">            BP 279</w:t>
      </w:r>
    </w:p>
    <w:p>
      <w:pPr>
        <w:ind w:left="0" w:right="411"/>
        <w:jc w:val="center"/>
        <w:rPr>
          <w:rFonts w:cs="Calibri"/>
          <w:sz w:val="24"/>
        </w:rPr>
      </w:pPr>
      <w:r>
        <w:rPr>
          <w:rFonts w:cs="Calibri"/>
          <w:sz w:val="24"/>
        </w:rPr>
        <w:t xml:space="preserve">                  93205 SAINT-DENIS CEDEX</w:t>
      </w:r>
    </w:p>
    <w:p/>
    <w:p/>
    <w:p/>
    <w:p>
      <w:pPr>
        <w:spacing w:after="200" w:line="276" w:lineRule="auto"/>
      </w:pPr>
    </w:p>
    <w:p>
      <w:pPr>
        <w:spacing w:after="200" w:line="276" w:lineRule="auto"/>
      </w:pPr>
      <w:r>
        <w:br w:type="page"/>
      </w:r>
    </w:p>
    <w:p>
      <w:pPr>
        <w:ind w:left="0"/>
        <w:rPr>
          <w:b/>
        </w:rPr>
      </w:pPr>
      <w:r>
        <w:rPr>
          <w:b/>
        </w:rPr>
        <w:lastRenderedPageBreak/>
        <w:t>OBJET DU MARCHE PUBLIC</w:t>
      </w:r>
    </w:p>
    <w:p>
      <w:r>
        <w:t xml:space="preserve">Le présent marché a pour objet la fourniture d’équipements de protection </w:t>
      </w:r>
      <w:bookmarkStart w:id="0" w:name="_GoBack"/>
      <w:r>
        <w:t>individuel</w:t>
      </w:r>
      <w:bookmarkEnd w:id="0"/>
      <w:r>
        <w:t xml:space="preserve">le (EPI) à usage unique non stériles (UUNS) pour les besoins du GHT plaine de France </w:t>
      </w:r>
    </w:p>
    <w:p>
      <w:pPr>
        <w:rPr>
          <w:rFonts w:cs="Calibri"/>
          <w:color w:val="000000"/>
          <w:szCs w:val="22"/>
        </w:rPr>
      </w:pPr>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w:t>
      </w: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Pr>
          <w:rFonts w:cs="Calibri"/>
          <w:color w:val="000000"/>
          <w:szCs w:val="22"/>
        </w:rPr>
        <w:t>à</w:t>
      </w:r>
      <w:proofErr w:type="gramEnd"/>
      <w:r>
        <w:rPr>
          <w:rFonts w:cs="Calibri"/>
          <w:color w:val="000000"/>
          <w:szCs w:val="22"/>
        </w:rPr>
        <w:t xml:space="preserve"> l’offre de base ;</w:t>
      </w:r>
    </w:p>
    <w:p>
      <w:pPr>
        <w:rPr>
          <w:rFonts w:cs="Calibri"/>
          <w:color w:val="000000"/>
          <w:szCs w:val="22"/>
        </w:rPr>
      </w:pPr>
    </w:p>
    <w:p>
      <w:bookmarkStart w:id="1" w:name="_Hlk182850348"/>
      <w:bookmarkStart w:id="2" w:name="_Hlk219465779"/>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bookmarkEnd w:id="1"/>
      <w:r>
        <w:tab/>
      </w:r>
      <w:r>
        <w:rPr>
          <w:u w:val="single"/>
        </w:rPr>
        <w:t>Lot 1</w:t>
      </w:r>
      <w:r>
        <w:t xml:space="preserve"> -</w:t>
      </w:r>
      <w:r>
        <w:rPr>
          <w:spacing w:val="-1"/>
        </w:rPr>
        <w:t xml:space="preserve">   Bonnet de chirurgie</w:t>
      </w:r>
    </w:p>
    <w:p>
      <w:pPr>
        <w:pStyle w:val="TableParagraph"/>
        <w:spacing w:line="265" w:lineRule="exact"/>
        <w:rPr>
          <w:spacing w:val="-2"/>
        </w:rPr>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2</w:t>
      </w:r>
      <w:r>
        <w:t xml:space="preserve"> -</w:t>
      </w:r>
      <w:r>
        <w:tab/>
        <w:t>Cagoule de chirurgien</w:t>
      </w:r>
    </w:p>
    <w:p>
      <w:pPr>
        <w:pStyle w:val="TableParagraph"/>
        <w:spacing w:line="265" w:lineRule="exact"/>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3</w:t>
      </w:r>
      <w:r>
        <w:t xml:space="preserve"> -</w:t>
      </w:r>
      <w:r>
        <w:tab/>
        <w:t>Charlotte clip</w:t>
      </w:r>
    </w:p>
    <w:p>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4</w:t>
      </w:r>
      <w:r>
        <w:t xml:space="preserve"> -</w:t>
      </w:r>
      <w:r>
        <w:rPr>
          <w:spacing w:val="-1"/>
        </w:rPr>
        <w:t xml:space="preserve">   Coiffe à nouer de chirurgie</w:t>
      </w:r>
    </w:p>
    <w:p>
      <w:pPr>
        <w:pStyle w:val="TableParagraph"/>
        <w:spacing w:line="265" w:lineRule="exact"/>
        <w:rPr>
          <w:spacing w:val="-2"/>
        </w:rPr>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5</w:t>
      </w:r>
      <w:r>
        <w:t xml:space="preserve"> -</w:t>
      </w:r>
      <w:r>
        <w:tab/>
        <w:t>Masque chirurgical type IIR à élastique</w:t>
      </w:r>
    </w:p>
    <w:p>
      <w:pPr>
        <w:pStyle w:val="TableParagraph"/>
        <w:spacing w:line="265" w:lineRule="exact"/>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6</w:t>
      </w:r>
      <w:r>
        <w:t xml:space="preserve"> -</w:t>
      </w:r>
      <w:r>
        <w:tab/>
        <w:t>Masque chirurgical type IIR à liens</w:t>
      </w:r>
    </w:p>
    <w:p>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7</w:t>
      </w:r>
      <w:r>
        <w:t xml:space="preserve"> -</w:t>
      </w:r>
      <w:r>
        <w:rPr>
          <w:spacing w:val="-1"/>
        </w:rPr>
        <w:t xml:space="preserve">   Masque pédiatrique à élastique type IIR</w:t>
      </w:r>
    </w:p>
    <w:p>
      <w:pPr>
        <w:pStyle w:val="TableParagraph"/>
        <w:spacing w:line="265" w:lineRule="exact"/>
        <w:rPr>
          <w:spacing w:val="-2"/>
        </w:rPr>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8</w:t>
      </w:r>
      <w:r>
        <w:t xml:space="preserve"> -</w:t>
      </w:r>
      <w:r>
        <w:tab/>
        <w:t>Masque FFP2 sans valve bec de canard</w:t>
      </w:r>
    </w:p>
    <w:p>
      <w:pPr>
        <w:pStyle w:val="TableParagraph"/>
        <w:spacing w:line="265" w:lineRule="exact"/>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9</w:t>
      </w:r>
      <w:r>
        <w:t xml:space="preserve"> -</w:t>
      </w:r>
      <w:r>
        <w:tab/>
        <w:t>Masque à visière antiprojections</w:t>
      </w:r>
    </w:p>
    <w:p>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10</w:t>
      </w:r>
      <w:r>
        <w:t xml:space="preserve"> -</w:t>
      </w:r>
      <w:r>
        <w:rPr>
          <w:spacing w:val="-1"/>
        </w:rPr>
        <w:t xml:space="preserve"> Blouse de protection</w:t>
      </w:r>
    </w:p>
    <w:p>
      <w:pPr>
        <w:pStyle w:val="TableParagraph"/>
        <w:spacing w:line="265" w:lineRule="exact"/>
        <w:rPr>
          <w:spacing w:val="-2"/>
        </w:rPr>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11</w:t>
      </w:r>
      <w:r>
        <w:t xml:space="preserve"> -</w:t>
      </w:r>
      <w:r>
        <w:tab/>
        <w:t>Blouson de bloc</w:t>
      </w:r>
    </w:p>
    <w:p>
      <w:pPr>
        <w:pStyle w:val="TableParagraph"/>
        <w:spacing w:line="265" w:lineRule="exact"/>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12</w:t>
      </w:r>
      <w:r>
        <w:t xml:space="preserve"> -</w:t>
      </w:r>
      <w:r>
        <w:tab/>
        <w:t>Pyjama de bloc</w:t>
      </w:r>
    </w:p>
    <w:bookmarkEnd w:id="2"/>
    <w:p>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13</w:t>
      </w:r>
      <w:r>
        <w:t xml:space="preserve"> -</w:t>
      </w:r>
      <w:r>
        <w:rPr>
          <w:spacing w:val="-1"/>
        </w:rPr>
        <w:t xml:space="preserve"> Chemise patient </w:t>
      </w:r>
    </w:p>
    <w:p>
      <w:pPr>
        <w:pStyle w:val="TableParagraph"/>
        <w:spacing w:line="265" w:lineRule="exact"/>
        <w:rPr>
          <w:spacing w:val="-2"/>
        </w:rPr>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14</w:t>
      </w:r>
      <w:r>
        <w:t xml:space="preserve"> -</w:t>
      </w:r>
      <w:r>
        <w:tab/>
        <w:t>Kit opéré</w:t>
      </w:r>
    </w:p>
    <w:p>
      <w:pPr>
        <w:pStyle w:val="TableParagraph"/>
        <w:spacing w:line="265" w:lineRule="exact"/>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15</w:t>
      </w:r>
      <w:r>
        <w:t xml:space="preserve"> -</w:t>
      </w:r>
      <w:r>
        <w:tab/>
        <w:t>Couvre chaussure simple</w:t>
      </w:r>
    </w:p>
    <w:p>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16</w:t>
      </w:r>
      <w:r>
        <w:t xml:space="preserve"> -</w:t>
      </w:r>
      <w:r>
        <w:rPr>
          <w:spacing w:val="-1"/>
        </w:rPr>
        <w:t xml:space="preserve"> Couvre chaussure antidérapante</w:t>
      </w:r>
    </w:p>
    <w:p>
      <w:pPr>
        <w:pStyle w:val="TableParagraph"/>
        <w:spacing w:line="265" w:lineRule="exact"/>
        <w:rPr>
          <w:spacing w:val="-2"/>
        </w:rPr>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17</w:t>
      </w:r>
      <w:r>
        <w:t xml:space="preserve"> -</w:t>
      </w:r>
      <w:r>
        <w:tab/>
        <w:t>Gant d’examen vinyle gestes salissants</w:t>
      </w:r>
    </w:p>
    <w:p>
      <w:pPr>
        <w:pStyle w:val="TableParagraph"/>
        <w:spacing w:line="265" w:lineRule="exact"/>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18</w:t>
      </w:r>
      <w:r>
        <w:t xml:space="preserve"> - Gant d’examen nitrile gestes fins</w:t>
      </w:r>
    </w:p>
    <w:p>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19</w:t>
      </w:r>
      <w:r>
        <w:t xml:space="preserve"> -</w:t>
      </w:r>
      <w:r>
        <w:rPr>
          <w:spacing w:val="-1"/>
        </w:rPr>
        <w:t xml:space="preserve"> Gant d’examen nitrile manchette longue</w:t>
      </w:r>
    </w:p>
    <w:p>
      <w:pPr>
        <w:pStyle w:val="TableParagraph"/>
        <w:spacing w:line="265" w:lineRule="exact"/>
        <w:rPr>
          <w:spacing w:val="-2"/>
        </w:rPr>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20</w:t>
      </w:r>
      <w:r>
        <w:t xml:space="preserve"> -</w:t>
      </w:r>
      <w:r>
        <w:tab/>
        <w:t>Lunette de protection UU (monture et visière)</w:t>
      </w:r>
    </w:p>
    <w:p>
      <w:pPr>
        <w:pStyle w:val="TableParagraph"/>
        <w:spacing w:line="265" w:lineRule="exact"/>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21</w:t>
      </w:r>
      <w:r>
        <w:t xml:space="preserve"> -</w:t>
      </w:r>
      <w:r>
        <w:tab/>
        <w:t>Tablier polyéthylène</w:t>
      </w:r>
    </w:p>
    <w:p>
      <w:pPr>
        <w:pStyle w:val="TableParagraph"/>
        <w:spacing w:line="265" w:lineRule="exact"/>
      </w:pPr>
      <w: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u w:val="single"/>
        </w:rPr>
        <w:t>Lot 22</w:t>
      </w:r>
      <w:r>
        <w:t xml:space="preserve"> -</w:t>
      </w:r>
      <w:r>
        <w:tab/>
        <w:t>Tablier de protection absorbant et imperméable</w:t>
      </w:r>
    </w:p>
    <w:p>
      <w:pPr>
        <w:pStyle w:val="TableParagraph"/>
        <w:spacing w:line="265" w:lineRule="exact"/>
      </w:pPr>
    </w:p>
    <w:p>
      <w:pPr>
        <w:pStyle w:val="TableParagraph"/>
        <w:spacing w:line="265" w:lineRule="exact"/>
      </w:pPr>
    </w:p>
    <w:p>
      <w:pPr>
        <w:pStyle w:val="Titre1"/>
      </w:pPr>
      <w:r>
        <w:t>Engagement du titulaire ou du groupement titulaire</w:t>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CCAP et CCTP</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CCAG-FCS 2021 - Cahier des Clauses Administratives Générales applicables aux marchés publics de Fournitures Courantes et Services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w:t>
      </w:r>
      <w:proofErr w:type="gramStart"/>
      <w:r>
        <w:rPr>
          <w:rFonts w:cs="Calibri"/>
          <w:color w:val="000000"/>
          <w:szCs w:val="22"/>
        </w:rPr>
        <w:t xml:space="preserve"> :…</w:t>
      </w:r>
      <w:proofErr w:type="gramEnd"/>
      <w:r>
        <w:rPr>
          <w:rFonts w:cs="Calibri"/>
          <w:color w:val="000000"/>
          <w:szCs w:val="22"/>
        </w:rPr>
        <w:t>…………………………………………………………………………………………</w:t>
      </w:r>
    </w:p>
    <w:p>
      <w:pPr>
        <w:spacing w:before="100" w:beforeAutospacing="1" w:after="100" w:afterAutospacing="1"/>
        <w:rPr>
          <w:rFonts w:cs="Calibri"/>
          <w:color w:val="000000"/>
          <w:szCs w:val="22"/>
        </w:rPr>
      </w:pPr>
      <w:proofErr w:type="gramStart"/>
      <w:r>
        <w:rPr>
          <w:rFonts w:cs="Calibri"/>
          <w:color w:val="000000"/>
          <w:szCs w:val="22"/>
        </w:rPr>
        <w:t>et</w:t>
      </w:r>
      <w:proofErr w:type="gramEnd"/>
      <w:r>
        <w:rPr>
          <w:rFonts w:cs="Calibri"/>
          <w:color w:val="000000"/>
          <w:szCs w:val="22"/>
        </w:rPr>
        <w:t xml:space="preserve">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lastRenderedPageBreak/>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widowControl w:val="0"/>
        <w:tabs>
          <w:tab w:val="left" w:leader="dot" w:pos="8505"/>
        </w:tabs>
        <w:spacing w:before="40"/>
        <w:ind w:left="1418"/>
        <w:rPr>
          <w:rFonts w:cs="Calibri"/>
          <w:szCs w:val="22"/>
        </w:rPr>
      </w:pP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s’engage</w:t>
      </w:r>
      <w:proofErr w:type="gramEnd"/>
      <w:r>
        <w:rPr>
          <w:rFonts w:cs="Calibri"/>
          <w:color w:val="000000"/>
          <w:szCs w:val="22"/>
        </w:rPr>
        <w:t>, sur la base de son offre et pour son propre compte ;</w:t>
      </w:r>
    </w:p>
    <w:p>
      <w:pPr>
        <w:tabs>
          <w:tab w:val="left" w:pos="2687"/>
        </w:tabs>
        <w:rPr>
          <w:rFonts w:cs="Calibri"/>
          <w:szCs w:val="22"/>
        </w:rPr>
      </w:pPr>
      <w:r>
        <w:rPr>
          <w:rFonts w:cs="Calibri"/>
          <w:szCs w:val="22"/>
        </w:rPr>
        <w:tab/>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engage</w:t>
      </w:r>
      <w:proofErr w:type="gramEnd"/>
      <w:r>
        <w:rPr>
          <w:rFonts w:cs="Calibri"/>
          <w:color w:val="000000"/>
          <w:szCs w:val="22"/>
        </w:rPr>
        <w:t xml:space="preserv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proofErr w:type="gramStart"/>
      <w:r>
        <w:rPr>
          <w:rFonts w:cs="Calibri"/>
          <w:color w:val="000000"/>
          <w:szCs w:val="22"/>
        </w:rPr>
        <w:t>à</w:t>
      </w:r>
      <w:proofErr w:type="gramEnd"/>
      <w:r>
        <w:rPr>
          <w:rFonts w:cs="Calibri"/>
          <w:color w:val="000000"/>
          <w:szCs w:val="22"/>
        </w:rPr>
        <w:t xml:space="preserve"> livrer les fournitures demandées ou à exécuter les prestations demandées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aux</w:t>
      </w:r>
      <w:proofErr w:type="gramEnd"/>
      <w:r>
        <w:rPr>
          <w:rFonts w:cs="Calibri"/>
          <w:color w:val="000000"/>
          <w:szCs w:val="22"/>
        </w:rPr>
        <w:t xml:space="preserve"> prix indiqués ci-dessous ou dans l’annexe financière jointe au présent document.</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Pr>
          <w:rFonts w:cs="Calibri"/>
          <w:color w:val="000000"/>
          <w:szCs w:val="22"/>
        </w:rPr>
        <w:t>conjoint</w:t>
      </w:r>
      <w:proofErr w:type="gramEnd"/>
      <w:r>
        <w:rPr>
          <w:rFonts w:cs="Calibri"/>
          <w:color w:val="000000"/>
          <w:szCs w:val="22"/>
        </w:rPr>
        <w:t xml:space="preserve">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tbl>
      <w:tblPr>
        <w:tblStyle w:val="Grilledutableau"/>
        <w:tblW w:w="0" w:type="auto"/>
        <w:tblInd w:w="709" w:type="dxa"/>
        <w:tblLook w:val="04A0" w:firstRow="1" w:lastRow="0" w:firstColumn="1" w:lastColumn="0" w:noHBand="0" w:noVBand="1"/>
      </w:tblPr>
      <w:tblGrid>
        <w:gridCol w:w="2998"/>
        <w:gridCol w:w="2998"/>
        <w:gridCol w:w="3066"/>
      </w:tblGrid>
      <w:tr>
        <w:tc>
          <w:tcPr>
            <w:tcW w:w="2998" w:type="dxa"/>
            <w:vMerge w:val="restart"/>
          </w:tcPr>
          <w:p>
            <w:pPr>
              <w:spacing w:before="100" w:beforeAutospacing="1" w:after="100" w:afterAutospacing="1"/>
              <w:ind w:left="0"/>
              <w:rPr>
                <w:rFonts w:cs="Calibri"/>
                <w:color w:val="000000"/>
                <w:sz w:val="18"/>
                <w:szCs w:val="22"/>
              </w:rPr>
            </w:pPr>
            <w:r>
              <w:rPr>
                <w:rFonts w:cs="Calibri"/>
                <w:color w:val="000000"/>
                <w:szCs w:val="22"/>
              </w:rPr>
              <w:t>Désignation des membres du groupement conjoint</w:t>
            </w:r>
          </w:p>
        </w:tc>
        <w:tc>
          <w:tcPr>
            <w:tcW w:w="6064" w:type="dxa"/>
            <w:gridSpan w:val="2"/>
          </w:tcPr>
          <w:p>
            <w:pPr>
              <w:spacing w:before="100" w:beforeAutospacing="1" w:after="100" w:afterAutospacing="1"/>
              <w:ind w:left="0"/>
              <w:rPr>
                <w:rFonts w:cs="Calibri"/>
                <w:color w:val="000000"/>
                <w:sz w:val="18"/>
                <w:szCs w:val="22"/>
              </w:rPr>
            </w:pPr>
            <w:r>
              <w:rPr>
                <w:rFonts w:cs="Calibri"/>
                <w:color w:val="000000"/>
                <w:szCs w:val="22"/>
              </w:rPr>
              <w:t>Prestations exécutées par les membres du groupement conjoint</w:t>
            </w:r>
          </w:p>
        </w:tc>
      </w:tr>
      <w:tr>
        <w:tc>
          <w:tcPr>
            <w:tcW w:w="2998" w:type="dxa"/>
            <w:vMerge/>
          </w:tcPr>
          <w:p>
            <w:pPr>
              <w:spacing w:before="100" w:beforeAutospacing="1" w:after="100" w:afterAutospacing="1"/>
              <w:ind w:left="0"/>
              <w:rPr>
                <w:rFonts w:cs="Calibri"/>
                <w:color w:val="000000"/>
                <w:sz w:val="18"/>
                <w:szCs w:val="22"/>
              </w:rPr>
            </w:pPr>
          </w:p>
        </w:tc>
        <w:tc>
          <w:tcPr>
            <w:tcW w:w="2998" w:type="dxa"/>
          </w:tcPr>
          <w:p>
            <w:pPr>
              <w:spacing w:before="100" w:beforeAutospacing="1" w:after="100" w:afterAutospacing="1"/>
              <w:ind w:left="0"/>
              <w:rPr>
                <w:rFonts w:cs="Calibri"/>
                <w:color w:val="000000"/>
                <w:sz w:val="18"/>
                <w:szCs w:val="22"/>
              </w:rPr>
            </w:pPr>
            <w:r>
              <w:rPr>
                <w:rFonts w:cs="Calibri"/>
                <w:color w:val="000000"/>
                <w:szCs w:val="22"/>
              </w:rPr>
              <w:t>Nature de la prestation</w:t>
            </w:r>
          </w:p>
        </w:tc>
        <w:tc>
          <w:tcPr>
            <w:tcW w:w="3066" w:type="dxa"/>
          </w:tcPr>
          <w:p>
            <w:pPr>
              <w:spacing w:before="100" w:beforeAutospacing="1" w:after="100" w:afterAutospacing="1"/>
              <w:rPr>
                <w:rFonts w:cs="Calibri"/>
                <w:color w:val="000000"/>
                <w:sz w:val="18"/>
                <w:szCs w:val="22"/>
              </w:rPr>
            </w:pPr>
            <w:r>
              <w:rPr>
                <w:rFonts w:cs="Calibri"/>
                <w:color w:val="000000"/>
                <w:szCs w:val="22"/>
              </w:rPr>
              <w:t>Montant HT de la prestation</w:t>
            </w:r>
          </w:p>
        </w:tc>
      </w:tr>
      <w:tr>
        <w:trPr>
          <w:trHeight w:val="476"/>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r>
        <w:trPr>
          <w:trHeight w:val="522"/>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bl>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roofErr w:type="gramStart"/>
      <w:r>
        <w:rPr>
          <w:rFonts w:cs="Calibri"/>
          <w:color w:val="000000"/>
          <w:szCs w:val="22"/>
        </w:rPr>
        <w:t>…….</w:t>
      </w:r>
      <w:proofErr w:type="gramEnd"/>
      <w:r>
        <w:rPr>
          <w:rFonts w:cs="Calibri"/>
          <w:color w:val="000000"/>
          <w:szCs w:val="22"/>
        </w:rPr>
        <w:t>.</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p>
    <w:p>
      <w:pPr>
        <w:pStyle w:val="Titre2"/>
      </w:pPr>
      <w:r>
        <w:lastRenderedPageBreak/>
        <w:t>Durée d’exécution du marché public</w:t>
      </w:r>
    </w:p>
    <w:p>
      <w:pPr>
        <w:rPr>
          <w:lang w:eastAsia="ar-SA"/>
        </w:rPr>
      </w:pPr>
      <w:r>
        <w:t xml:space="preserve">L’accord-cadre est conclu </w:t>
      </w:r>
      <w:r>
        <w:rPr>
          <w:lang w:eastAsia="ar-SA"/>
        </w:rPr>
        <w:t>pour une durée initiale d’un (1) an, à compter du 1</w:t>
      </w:r>
      <w:r>
        <w:rPr>
          <w:vertAlign w:val="superscript"/>
          <w:lang w:eastAsia="ar-SA"/>
        </w:rPr>
        <w:t>er</w:t>
      </w:r>
      <w:r>
        <w:rPr>
          <w:lang w:eastAsia="ar-SA"/>
        </w:rPr>
        <w:t xml:space="preserve"> mai 2026 et jusqu’au 30 avril 2027.</w:t>
      </w:r>
    </w:p>
    <w:p>
      <w:pPr>
        <w:rPr>
          <w:lang w:eastAsia="ar-SA"/>
        </w:rPr>
      </w:pPr>
      <w:r>
        <w:rPr>
          <w:rFonts w:eastAsia="Calibri"/>
        </w:rPr>
        <w:t xml:space="preserve">Il pourra être reconduit tacitement, </w:t>
      </w:r>
      <w:r>
        <w:rPr>
          <w:lang w:eastAsia="ar-SA"/>
        </w:rPr>
        <w:t>par période d’un (1) an, pour une durée maximale totale de trois (3) reconductions, soit jusqu’au 30 avril 2030.</w:t>
      </w:r>
    </w:p>
    <w:p>
      <w:pPr>
        <w:ind w:left="0"/>
        <w:rPr>
          <w:lang w:eastAsia="ar-SA"/>
        </w:rPr>
      </w:pPr>
    </w:p>
    <w:p>
      <w:pPr>
        <w:rPr>
          <w:rFonts w:eastAsia="Calibri"/>
          <w:lang w:eastAsia="ar-SA"/>
        </w:rPr>
      </w:pPr>
      <w:r>
        <w:rPr>
          <w:rFonts w:eastAsia="Calibri"/>
          <w:lang w:eastAsia="ar-SA"/>
        </w:rPr>
        <w:t>Le Centre Hospitalier de Saint-Denis et le Centre Hospitalier de Gonesse peut, ne pas reconduire le marché moyennant un préavis de 2 mois, soit avant le 1</w:t>
      </w:r>
      <w:r>
        <w:rPr>
          <w:rFonts w:eastAsia="Calibri"/>
          <w:vertAlign w:val="superscript"/>
          <w:lang w:eastAsia="ar-SA"/>
        </w:rPr>
        <w:t>er</w:t>
      </w:r>
      <w:r>
        <w:rPr>
          <w:rFonts w:eastAsia="Calibri"/>
          <w:lang w:eastAsia="ar-SA"/>
        </w:rPr>
        <w:t xml:space="preserve"> mars de chaque année. Cette décision est notifiée par tout moyen (y compris électronique dont il est accusé réception par le Titulaire) permettant de lui donner une date certaine.</w:t>
      </w:r>
    </w:p>
    <w:p>
      <w:pPr>
        <w:rPr>
          <w:rFonts w:eastAsia="Calibri"/>
          <w:lang w:eastAsia="ar-SA"/>
        </w:rPr>
      </w:pPr>
      <w:r>
        <w:rPr>
          <w:rFonts w:eastAsia="Calibri"/>
          <w:lang w:eastAsia="ar-SA"/>
        </w:rPr>
        <w:t>Le Titulaire n’a droit à aucune indemnité en cas de non reconduction.</w:t>
      </w:r>
    </w:p>
    <w:p>
      <w:pPr>
        <w:pStyle w:val="Titre1"/>
        <w:spacing w:after="0"/>
        <w:ind w:left="357" w:hanging="357"/>
      </w:pPr>
      <w:r>
        <w:t>Signature du marché public par le titulaire individuel ou, en cas groupement, le mandataire dûment habilité ou chaque membre du groupement</w:t>
      </w:r>
    </w:p>
    <w:p>
      <w:pPr>
        <w:rPr>
          <w:rFonts w:cs="Calibri"/>
          <w:color w:val="000000"/>
          <w:sz w:val="18"/>
          <w:szCs w:val="22"/>
        </w:rPr>
      </w:pPr>
      <w:r>
        <w:rPr>
          <w:rFonts w:cs="Calibri"/>
          <w:color w:val="000000"/>
          <w:sz w:val="18"/>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pPr>
        <w:rPr>
          <w:rFonts w:cs="Calibri"/>
          <w:color w:val="000000"/>
          <w:sz w:val="18"/>
          <w:szCs w:val="22"/>
        </w:rPr>
      </w:pP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conjoint</w:t>
      </w:r>
      <w:proofErr w:type="gramEnd"/>
      <w:r>
        <w:rPr>
          <w:rFonts w:cs="Calibri"/>
          <w:color w:val="000000"/>
          <w:szCs w:val="22"/>
        </w:rPr>
        <w:t xml:space="preserve">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Pr>
          <w:rFonts w:cs="Calibri"/>
          <w:color w:val="000000"/>
          <w:szCs w:val="22"/>
        </w:rPr>
        <w:t>pour</w:t>
      </w:r>
      <w:proofErr w:type="gramEnd"/>
      <w:r>
        <w:rPr>
          <w:rFonts w:cs="Calibri"/>
          <w:color w:val="000000"/>
          <w:szCs w:val="22"/>
        </w:rPr>
        <w:t xml:space="preserve">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w:t>
      </w:r>
      <w:proofErr w:type="gramStart"/>
      <w:r>
        <w:rPr>
          <w:rFonts w:cs="Calibri"/>
          <w:color w:val="000000"/>
          <w:sz w:val="18"/>
          <w:szCs w:val="22"/>
        </w:rPr>
        <w:t>joindre</w:t>
      </w:r>
      <w:proofErr w:type="gramEnd"/>
      <w:r>
        <w:rPr>
          <w:rFonts w:cs="Calibri"/>
          <w:color w:val="000000"/>
          <w:sz w:val="18"/>
          <w:szCs w:val="22"/>
        </w:rPr>
        <w:t xml:space="preserv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rPr>
          <w:sz w:val="20"/>
        </w:rPr>
        <w:fldChar w:fldCharType="begin">
          <w:ffData>
            <w:name w:val=""/>
            <w:enabled/>
            <w:calcOnExit w:val="0"/>
            <w:checkBox>
              <w:size w:val="20"/>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Calibri"/>
          <w:color w:val="000000"/>
          <w:sz w:val="20"/>
          <w:szCs w:val="22"/>
        </w:rPr>
        <w:t xml:space="preserve"> </w:t>
      </w:r>
      <w:proofErr w:type="gramStart"/>
      <w:r>
        <w:rPr>
          <w:rFonts w:cs="Calibri"/>
          <w:color w:val="000000"/>
          <w:szCs w:val="22"/>
        </w:rPr>
        <w:t>pour</w:t>
      </w:r>
      <w:proofErr w:type="gramEnd"/>
      <w:r>
        <w:rPr>
          <w:rFonts w:cs="Calibri"/>
          <w:color w:val="000000"/>
          <w:szCs w:val="22"/>
        </w:rPr>
        <w:t xml:space="preserve"> signer, en leur nom et pour leur compte, les modifications ultérieures du marché public ;</w:t>
      </w:r>
    </w:p>
    <w:p>
      <w:pPr>
        <w:rPr>
          <w:rFonts w:cs="Calibri"/>
          <w:color w:val="000000"/>
          <w:sz w:val="18"/>
          <w:szCs w:val="22"/>
        </w:rPr>
      </w:pPr>
      <w:r>
        <w:rPr>
          <w:rFonts w:cs="Calibri"/>
          <w:color w:val="000000"/>
          <w:sz w:val="18"/>
          <w:szCs w:val="22"/>
        </w:rPr>
        <w:t>(</w:t>
      </w:r>
      <w:proofErr w:type="gramStart"/>
      <w:r>
        <w:rPr>
          <w:rFonts w:cs="Calibri"/>
          <w:color w:val="000000"/>
          <w:sz w:val="18"/>
          <w:szCs w:val="22"/>
        </w:rPr>
        <w:t>joindre</w:t>
      </w:r>
      <w:proofErr w:type="gramEnd"/>
      <w:r>
        <w:rPr>
          <w:rFonts w:cs="Calibri"/>
          <w:color w:val="000000"/>
          <w:sz w:val="18"/>
          <w:szCs w:val="22"/>
        </w:rPr>
        <w:t xml:space="preserv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ont</w:t>
      </w:r>
      <w:proofErr w:type="gramEnd"/>
      <w:r>
        <w:rPr>
          <w:rFonts w:cs="Calibri"/>
          <w:color w:val="000000"/>
          <w:szCs w:val="22"/>
        </w:rPr>
        <w:t xml:space="preserve"> donné mandat au mandataire dans les conditions définies par les pouvoirs joints en annexe.</w:t>
      </w:r>
    </w:p>
    <w:p>
      <w:pPr>
        <w:rPr>
          <w:rFonts w:cs="Calibri"/>
          <w:color w:val="000000"/>
          <w:sz w:val="18"/>
          <w:szCs w:val="22"/>
        </w:rPr>
      </w:pPr>
      <w:r>
        <w:rPr>
          <w:rFonts w:cs="Calibri"/>
          <w:color w:val="000000"/>
          <w:sz w:val="18"/>
          <w:szCs w:val="22"/>
        </w:rPr>
        <w:t>(</w:t>
      </w:r>
      <w:proofErr w:type="gramStart"/>
      <w:r>
        <w:rPr>
          <w:rFonts w:cs="Calibri"/>
          <w:color w:val="000000"/>
          <w:sz w:val="18"/>
          <w:szCs w:val="22"/>
        </w:rPr>
        <w:t>hors</w:t>
      </w:r>
      <w:proofErr w:type="gramEnd"/>
      <w:r>
        <w:rPr>
          <w:rFonts w:cs="Calibri"/>
          <w:color w:val="000000"/>
          <w:sz w:val="18"/>
          <w:szCs w:val="22"/>
        </w:rPr>
        <w:t xml:space="preserve"> cas des marchés de défense ou de sécurité dans lequel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lastRenderedPageBreak/>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les représenter vis-à-vis de l’acheteur et pour coordonner l’ensemble des prestations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qui l’accepte, pour signer, en leur nom et pour leur compte, les modifications ultérieures du marché public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donnent</w:t>
      </w:r>
      <w:proofErr w:type="gramEnd"/>
      <w:r>
        <w:rPr>
          <w:rFonts w:cs="Calibri"/>
          <w:color w:val="000000"/>
          <w:szCs w:val="22"/>
        </w:rPr>
        <w:t xml:space="preserve"> mandat au mandataire dans les conditions définies ci-dessous :</w:t>
      </w:r>
    </w:p>
    <w:p>
      <w:pPr>
        <w:spacing w:after="100" w:afterAutospacing="1"/>
        <w:ind w:firstLine="709"/>
        <w:rPr>
          <w:rFonts w:cs="Calibri"/>
          <w:color w:val="000000"/>
          <w:sz w:val="18"/>
          <w:szCs w:val="22"/>
        </w:rPr>
      </w:pPr>
      <w:r>
        <w:rPr>
          <w:rFonts w:cs="Calibri"/>
          <w:color w:val="000000"/>
          <w:sz w:val="18"/>
          <w:szCs w:val="22"/>
        </w:rPr>
        <w:t>(Donner des précisions sur l’étendue du mandat.)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504"/>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ind w:left="0"/>
        <w:rPr>
          <w:rFonts w:eastAsiaTheme="minorHAnsi"/>
          <w:b/>
          <w:bCs/>
          <w:caps/>
          <w:kern w:val="32"/>
          <w:szCs w:val="32"/>
        </w:rPr>
      </w:pPr>
    </w:p>
    <w:p>
      <w:pPr>
        <w:ind w:left="0"/>
        <w:rPr>
          <w:rFonts w:eastAsiaTheme="minorHAnsi"/>
          <w:b/>
          <w:bCs/>
          <w:caps/>
          <w:kern w:val="32"/>
          <w:szCs w:val="32"/>
        </w:rPr>
      </w:pPr>
    </w:p>
    <w:p>
      <w:pPr>
        <w:pStyle w:val="Titre1"/>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tabs>
          <w:tab w:val="left" w:pos="3048"/>
          <w:tab w:val="center" w:pos="5245"/>
        </w:tabs>
        <w:rPr>
          <w:rFonts w:cs="Calibri"/>
          <w:color w:val="000000"/>
          <w:szCs w:val="22"/>
        </w:rPr>
      </w:pPr>
      <w:r>
        <w:rPr>
          <w:rFonts w:cs="Calibri"/>
          <w:color w:val="000000"/>
          <w:szCs w:val="22"/>
        </w:rPr>
        <w:tab/>
      </w:r>
      <w:r>
        <w:rPr>
          <w:rFonts w:cs="Calibri"/>
          <w:color w:val="000000"/>
          <w:szCs w:val="22"/>
        </w:rPr>
        <w:tab/>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jc w:val="center"/>
        <w:rPr>
          <w:rFonts w:cs="Calibri"/>
          <w:color w:val="000000"/>
          <w:szCs w:val="22"/>
        </w:rPr>
      </w:pPr>
      <w:r>
        <w:rPr>
          <w:b/>
          <w:sz w:val="28"/>
        </w:rPr>
        <w:t xml:space="preserve"> </w:t>
      </w:r>
      <w:r>
        <w:rPr>
          <w:rFonts w:cs="Calibri"/>
          <w:color w:val="000000"/>
          <w:szCs w:val="22"/>
        </w:rPr>
        <w:t>Le comptable assignataire du CENTRE HOSPITALIER DE SAINT-DENIS</w:t>
      </w:r>
    </w:p>
    <w:p>
      <w:pPr>
        <w:jc w:val="center"/>
        <w:rPr>
          <w:rFonts w:cs="Calibri"/>
          <w:color w:val="000000"/>
          <w:szCs w:val="22"/>
        </w:rPr>
      </w:pPr>
      <w:r>
        <w:rPr>
          <w:rFonts w:cs="Calibri"/>
          <w:color w:val="000000"/>
          <w:szCs w:val="22"/>
        </w:rPr>
        <w:t>ETABLISSEMENT SUPPORT DU GHT PLAINE DE FRANCE</w:t>
      </w:r>
    </w:p>
    <w:p>
      <w:pPr>
        <w:jc w:val="center"/>
        <w:rPr>
          <w:rFonts w:cs="Calibri"/>
          <w:color w:val="000000"/>
          <w:szCs w:val="22"/>
        </w:rPr>
      </w:pPr>
      <w:r>
        <w:rPr>
          <w:rFonts w:cs="Calibri"/>
          <w:color w:val="000000"/>
          <w:szCs w:val="22"/>
        </w:rPr>
        <w:t>Direction des Achats</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BP 279</w:t>
      </w:r>
    </w:p>
    <w:p>
      <w:pPr>
        <w:jc w:val="center"/>
        <w:rPr>
          <w:rFonts w:cs="Calibri"/>
          <w:color w:val="000000"/>
          <w:szCs w:val="22"/>
        </w:rPr>
      </w:pPr>
      <w:r>
        <w:rPr>
          <w:rFonts w:cs="Calibri"/>
          <w:color w:val="000000"/>
          <w:szCs w:val="22"/>
        </w:rPr>
        <w:t>93205 SAINT-DENIS CEDEX</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 xml:space="preserve">Imputation budgétaire : </w:t>
      </w:r>
    </w:p>
    <w:p>
      <w:pPr>
        <w:pStyle w:val="Paragraphedeliste"/>
        <w:spacing w:before="100" w:beforeAutospacing="1" w:after="100" w:afterAutospacing="1"/>
        <w:ind w:left="1429"/>
        <w:rPr>
          <w:rFonts w:cs="Calibri"/>
          <w:color w:val="000000"/>
          <w:szCs w:val="22"/>
        </w:rPr>
      </w:pPr>
    </w:p>
    <w:p>
      <w:pPr>
        <w:pStyle w:val="Paragraphedeliste"/>
        <w:spacing w:before="100" w:beforeAutospacing="1" w:after="100" w:afterAutospacing="1"/>
        <w:ind w:left="1429"/>
        <w:rPr>
          <w:rFonts w:cs="Calibri"/>
          <w:color w:val="000000"/>
          <w:szCs w:val="22"/>
        </w:rPr>
      </w:pPr>
    </w:p>
    <w:p>
      <w:pPr>
        <w:pStyle w:val="Titre1"/>
      </w:pPr>
      <w:r>
        <w:lastRenderedPageBreak/>
        <w:t>DECISION De l’acheteur</w:t>
      </w:r>
    </w:p>
    <w:p>
      <w:pPr>
        <w:spacing w:before="100" w:beforeAutospacing="1" w:after="100" w:afterAutospacing="1"/>
        <w:rPr>
          <w:rFonts w:cs="Calibri"/>
          <w:color w:val="000000"/>
          <w:szCs w:val="22"/>
        </w:rPr>
      </w:pPr>
      <w:r>
        <w:rPr>
          <w:rFonts w:cs="Calibri"/>
          <w:color w:val="000000"/>
          <w:szCs w:val="22"/>
        </w:rPr>
        <w:t>La consultation est attribuée à la société :</w:t>
      </w:r>
    </w:p>
    <w:p>
      <w:pPr>
        <w:spacing w:before="100" w:beforeAutospacing="1" w:after="100" w:afterAutospacing="1"/>
        <w:rPr>
          <w:rFonts w:cs="Calibri"/>
          <w:color w:val="000000"/>
          <w:szCs w:val="22"/>
        </w:rPr>
      </w:pPr>
      <w:r>
        <w:rPr>
          <w:rFonts w:cs="Calibri"/>
          <w:color w:val="000000"/>
          <w:szCs w:val="22"/>
        </w:rPr>
        <w:t>L’offre financière est jointe au présent acte d’engagement.</w:t>
      </w:r>
    </w:p>
    <w:p>
      <w:pPr>
        <w:spacing w:before="100" w:beforeAutospacing="1" w:after="100" w:afterAutospacing="1"/>
        <w:rPr>
          <w:rFonts w:cs="Calibri"/>
          <w:color w:val="000000"/>
          <w:szCs w:val="22"/>
          <w:highlight w:val="yellow"/>
        </w:rPr>
      </w:pPr>
      <w:r>
        <w:rPr>
          <w:rFonts w:cs="Calibri"/>
          <w:color w:val="000000"/>
          <w:szCs w:val="22"/>
        </w:rPr>
        <w:t xml:space="preserve">A Saint Denis, le ……………                                                                                                                </w:t>
      </w:r>
      <w:r>
        <w:rPr>
          <w:rFonts w:cs="Calibri"/>
          <w:b/>
          <w:color w:val="000000"/>
          <w:szCs w:val="22"/>
        </w:rPr>
        <w:t>Clara BRUNEL</w:t>
      </w:r>
    </w:p>
    <w:p>
      <w:pPr>
        <w:jc w:val="right"/>
        <w:rPr>
          <w:rFonts w:cs="Calibri"/>
          <w:color w:val="000000"/>
          <w:szCs w:val="22"/>
        </w:rPr>
      </w:pPr>
      <w:r>
        <w:rPr>
          <w:rFonts w:cs="Calibri"/>
          <w:color w:val="000000"/>
          <w:szCs w:val="22"/>
        </w:rPr>
        <w:t>Directrice des Achats</w:t>
      </w:r>
    </w:p>
    <w:p>
      <w:pPr>
        <w:jc w:val="right"/>
        <w:rPr>
          <w:rFonts w:cs="Calibri"/>
          <w:color w:val="000000"/>
          <w:sz w:val="20"/>
          <w:szCs w:val="22"/>
        </w:rPr>
      </w:pPr>
      <w:r>
        <w:rPr>
          <w:rFonts w:cs="Calibri"/>
          <w:color w:val="000000"/>
          <w:sz w:val="20"/>
          <w:szCs w:val="22"/>
        </w:rPr>
        <w:t>GHT PLAINE DE France</w:t>
      </w:r>
    </w:p>
    <w:p>
      <w:pPr>
        <w:jc w:val="right"/>
        <w:rPr>
          <w:rFonts w:cs="Calibri"/>
          <w:color w:val="000000"/>
          <w:sz w:val="20"/>
          <w:szCs w:val="22"/>
        </w:rPr>
      </w:pPr>
    </w:p>
    <w:p>
      <w:pPr>
        <w:jc w:val="right"/>
        <w:rPr>
          <w:rFonts w:cs="Calibri"/>
          <w:color w:val="000000"/>
          <w:sz w:val="20"/>
          <w:szCs w:val="22"/>
        </w:rPr>
      </w:pPr>
    </w:p>
    <w:sectPr>
      <w:footerReference w:type="default" r:id="rId14"/>
      <w:headerReference w:type="first" r:id="rId15"/>
      <w:footerReference w:type="first" r:id="rId16"/>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Franklin Gothic Heavy"/>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4"/>
        <w:szCs w:val="16"/>
      </w:rPr>
    </w:pPr>
    <w:sdt>
      <w:sdtPr>
        <w:rPr>
          <w:rFonts w:asciiTheme="minorHAnsi" w:hAnsiTheme="minorHAnsi" w:cstheme="minorHAnsi"/>
          <w:sz w:val="8"/>
          <w:szCs w:val="16"/>
        </w:rPr>
        <w:id w:val="-994563573"/>
        <w:docPartObj>
          <w:docPartGallery w:val="Page Numbers (Bottom of Page)"/>
          <w:docPartUnique/>
        </w:docPartObj>
      </w:sdtPr>
      <w:sdtEndPr>
        <w:rPr>
          <w:sz w:val="14"/>
        </w:rPr>
      </w:sdtEndPr>
      <w:sdtContent>
        <w:sdt>
          <w:sdtPr>
            <w:rPr>
              <w:rFonts w:asciiTheme="minorHAnsi" w:hAnsiTheme="minorHAnsi" w:cstheme="minorHAnsi"/>
              <w:sz w:val="14"/>
              <w:szCs w:val="16"/>
            </w:rPr>
            <w:id w:val="916440288"/>
            <w:docPartObj>
              <w:docPartGallery w:val="Page Numbers (Top of Page)"/>
              <w:docPartUnique/>
            </w:docPartObj>
          </w:sdtPr>
          <w:sdtContent>
            <w:r>
              <w:rPr>
                <w:rFonts w:asciiTheme="minorHAnsi" w:hAnsiTheme="minorHAnsi" w:cstheme="minorHAnsi"/>
                <w:sz w:val="14"/>
                <w:szCs w:val="16"/>
              </w:rPr>
              <w:t xml:space="preserve"> Fourniture d’équipements de protection individuelle (EPI) à usage unique non stériles (UUNS) pour le GHT Plaine De France</w:t>
            </w:r>
            <w:r>
              <w:rPr>
                <w:rFonts w:asciiTheme="minorHAnsi" w:hAnsiTheme="minorHAnsi" w:cstheme="minorHAnsi"/>
                <w:sz w:val="14"/>
                <w:szCs w:val="16"/>
              </w:rPr>
              <w:tab/>
            </w:r>
            <w:r>
              <w:rPr>
                <w:rFonts w:asciiTheme="minorHAnsi" w:hAnsiTheme="minorHAnsi" w:cstheme="minorHAnsi"/>
                <w:sz w:val="14"/>
                <w:szCs w:val="16"/>
              </w:rPr>
              <w:tab/>
              <w:t xml:space="preserve">Page </w:t>
            </w:r>
            <w:r>
              <w:rPr>
                <w:rFonts w:asciiTheme="minorHAnsi" w:hAnsiTheme="minorHAnsi" w:cstheme="minorHAnsi"/>
                <w:b/>
                <w:bCs/>
                <w:sz w:val="14"/>
                <w:szCs w:val="16"/>
              </w:rPr>
              <w:fldChar w:fldCharType="begin"/>
            </w:r>
            <w:r>
              <w:rPr>
                <w:rFonts w:asciiTheme="minorHAnsi" w:hAnsiTheme="minorHAnsi" w:cstheme="minorHAnsi"/>
                <w:b/>
                <w:bCs/>
                <w:sz w:val="14"/>
                <w:szCs w:val="16"/>
              </w:rPr>
              <w:instrText>PAGE</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3</w:t>
            </w:r>
            <w:r>
              <w:rPr>
                <w:rFonts w:asciiTheme="minorHAnsi" w:hAnsiTheme="minorHAnsi" w:cstheme="minorHAnsi"/>
                <w:b/>
                <w:bCs/>
                <w:sz w:val="14"/>
                <w:szCs w:val="16"/>
              </w:rPr>
              <w:fldChar w:fldCharType="end"/>
            </w:r>
            <w:r>
              <w:rPr>
                <w:rFonts w:asciiTheme="minorHAnsi" w:hAnsiTheme="minorHAnsi" w:cstheme="minorHAnsi"/>
                <w:sz w:val="14"/>
                <w:szCs w:val="16"/>
              </w:rPr>
              <w:t xml:space="preserve"> sur </w:t>
            </w:r>
            <w:r>
              <w:rPr>
                <w:rFonts w:asciiTheme="minorHAnsi" w:hAnsiTheme="minorHAnsi" w:cstheme="minorHAnsi"/>
                <w:b/>
                <w:bCs/>
                <w:sz w:val="14"/>
                <w:szCs w:val="16"/>
              </w:rPr>
              <w:fldChar w:fldCharType="begin"/>
            </w:r>
            <w:r>
              <w:rPr>
                <w:rFonts w:asciiTheme="minorHAnsi" w:hAnsiTheme="minorHAnsi" w:cstheme="minorHAnsi"/>
                <w:b/>
                <w:bCs/>
                <w:sz w:val="14"/>
                <w:szCs w:val="16"/>
              </w:rPr>
              <w:instrText>NUMPAGES</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1.25pt;height:129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3BF400D"/>
    <w:multiLevelType w:val="multilevel"/>
    <w:tmpl w:val="E6D4DECC"/>
    <w:lvl w:ilvl="0">
      <w:start w:val="1"/>
      <w:numFmt w:val="decimal"/>
      <w:lvlText w:val="Article %1"/>
      <w:lvlJc w:val="left"/>
      <w:pPr>
        <w:ind w:left="1495" w:hanging="360"/>
      </w:pPr>
      <w:rPr>
        <w:rFonts w:ascii="Calibri" w:hAnsi="Calibri" w:hint="default"/>
        <w:b/>
        <w:i w:val="0"/>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5"/>
  </w:num>
  <w:num w:numId="4">
    <w:abstractNumId w:val="24"/>
  </w:num>
  <w:num w:numId="5">
    <w:abstractNumId w:val="27"/>
  </w:num>
  <w:num w:numId="6">
    <w:abstractNumId w:val="17"/>
  </w:num>
  <w:num w:numId="7">
    <w:abstractNumId w:val="20"/>
  </w:num>
  <w:num w:numId="8">
    <w:abstractNumId w:val="23"/>
  </w:num>
  <w:num w:numId="9">
    <w:abstractNumId w:val="19"/>
  </w:num>
  <w:num w:numId="10">
    <w:abstractNumId w:val="5"/>
  </w:num>
  <w:num w:numId="11">
    <w:abstractNumId w:val="16"/>
  </w:num>
  <w:num w:numId="12">
    <w:abstractNumId w:val="28"/>
  </w:num>
  <w:num w:numId="13">
    <w:abstractNumId w:val="22"/>
  </w:num>
  <w:num w:numId="14">
    <w:abstractNumId w:val="6"/>
  </w:num>
  <w:num w:numId="15">
    <w:abstractNumId w:val="11"/>
  </w:num>
  <w:num w:numId="16">
    <w:abstractNumId w:val="26"/>
  </w:num>
  <w:num w:numId="17">
    <w:abstractNumId w:val="25"/>
  </w:num>
  <w:num w:numId="18">
    <w:abstractNumId w:val="14"/>
  </w:num>
  <w:num w:numId="19">
    <w:abstractNumId w:val="10"/>
  </w:num>
  <w:num w:numId="20">
    <w:abstractNumId w:val="8"/>
  </w:num>
  <w:num w:numId="21">
    <w:abstractNumId w:val="13"/>
  </w:num>
  <w:num w:numId="22">
    <w:abstractNumId w:val="9"/>
  </w:num>
  <w:num w:numId="23">
    <w:abstractNumId w:val="21"/>
  </w:num>
  <w:num w:numId="24">
    <w:abstractNumId w:val="12"/>
  </w:num>
  <w:num w:numId="25">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spacing w:before="240" w:after="240"/>
      <w:ind w:left="0"/>
      <w:outlineLvl w:val="0"/>
    </w:pPr>
    <w:rPr>
      <w:rFonts w:eastAsiaTheme="minorHAnsi"/>
      <w:b/>
      <w:bCs/>
      <w:caps/>
      <w:kern w:val="32"/>
      <w:szCs w:val="32"/>
    </w:rPr>
  </w:style>
  <w:style w:type="paragraph" w:styleId="Titre2">
    <w:name w:val="heading 2"/>
    <w:basedOn w:val="Mtexte1"/>
    <w:next w:val="Titre3"/>
    <w:link w:val="Titre2Car"/>
    <w:uiPriority w:val="9"/>
    <w:qFormat/>
    <w:locked/>
    <w:pPr>
      <w:spacing w:before="240" w:after="120"/>
      <w:ind w:left="0"/>
      <w:outlineLvl w:val="1"/>
    </w:pPr>
    <w:rPr>
      <w:b/>
    </w:rPr>
  </w:style>
  <w:style w:type="paragraph" w:styleId="Titre3">
    <w:name w:val="heading 3"/>
    <w:basedOn w:val="Normal"/>
    <w:next w:val="Normal"/>
    <w:link w:val="Titre3Car"/>
    <w:uiPriority w:val="9"/>
    <w:qFormat/>
    <w:locked/>
    <w:pPr>
      <w:keepNext/>
      <w:spacing w:before="240" w:after="60"/>
      <w:ind w:left="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basedOn w:val="Normal"/>
    <w:uiPriority w:val="34"/>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 w:type="paragraph" w:customStyle="1" w:styleId="TableParagraph">
    <w:name w:val="Table Paragraph"/>
    <w:basedOn w:val="Normal"/>
    <w:uiPriority w:val="1"/>
    <w:qFormat/>
    <w:pPr>
      <w:widowControl w:val="0"/>
      <w:autoSpaceDE w:val="0"/>
      <w:autoSpaceDN w:val="0"/>
      <w:spacing w:line="253" w:lineRule="exact"/>
      <w:ind w:left="777"/>
    </w:pPr>
    <w:rPr>
      <w:rFonts w:eastAsia="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91999f-73c6-4a1f-ab89-51cb4fd3c239">
      <Terms xmlns="http://schemas.microsoft.com/office/infopath/2007/PartnerControls"/>
    </lcf76f155ced4ddcb4097134ff3c332f>
    <TaxCatchAll xmlns="f15aae98-6294-4f96-bdcc-7b167cda7c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80D626A28C384B9129441D19F39C77" ma:contentTypeVersion="16" ma:contentTypeDescription="Crée un document." ma:contentTypeScope="" ma:versionID="92c694f6d8f74a9e13c8063993c4f188">
  <xsd:schema xmlns:xsd="http://www.w3.org/2001/XMLSchema" xmlns:xs="http://www.w3.org/2001/XMLSchema" xmlns:p="http://schemas.microsoft.com/office/2006/metadata/properties" xmlns:ns2="c791999f-73c6-4a1f-ab89-51cb4fd3c239" xmlns:ns3="f15aae98-6294-4f96-bdcc-7b167cda7c86" targetNamespace="http://schemas.microsoft.com/office/2006/metadata/properties" ma:root="true" ma:fieldsID="e7fe03b1a35e00878ffd1821efb95c1e" ns2:_="" ns3:_="">
    <xsd:import namespace="c791999f-73c6-4a1f-ab89-51cb4fd3c239"/>
    <xsd:import namespace="f15aae98-6294-4f96-bdcc-7b167cda7c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1999f-73c6-4a1f-ab89-51cb4fd3c2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5aae98-6294-4f96-bdcc-7b167cda7c8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ad50d103-6722-49b1-b99a-2a2793761c03}" ma:internalName="TaxCatchAll" ma:showField="CatchAllData" ma:web="f15aae98-6294-4f96-bdcc-7b167cda7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EE135-18FC-4390-8D62-6E041489C8DE}">
  <ds:schemaRefs>
    <ds:schemaRef ds:uri="http://schemas.microsoft.com/office/2006/metadata/properties"/>
    <ds:schemaRef ds:uri="http://schemas.microsoft.com/office/infopath/2007/PartnerControls"/>
    <ds:schemaRef ds:uri="c791999f-73c6-4a1f-ab89-51cb4fd3c239"/>
    <ds:schemaRef ds:uri="f15aae98-6294-4f96-bdcc-7b167cda7c86"/>
  </ds:schemaRefs>
</ds:datastoreItem>
</file>

<file path=customXml/itemProps2.xml><?xml version="1.0" encoding="utf-8"?>
<ds:datastoreItem xmlns:ds="http://schemas.openxmlformats.org/officeDocument/2006/customXml" ds:itemID="{4798C254-1AD3-48D1-BA32-671C0FAEB704}">
  <ds:schemaRefs>
    <ds:schemaRef ds:uri="http://schemas.microsoft.com/sharepoint/v3/contenttype/forms"/>
  </ds:schemaRefs>
</ds:datastoreItem>
</file>

<file path=customXml/itemProps3.xml><?xml version="1.0" encoding="utf-8"?>
<ds:datastoreItem xmlns:ds="http://schemas.openxmlformats.org/officeDocument/2006/customXml" ds:itemID="{EED82F77-3804-47E9-88AD-115A25E7D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1999f-73c6-4a1f-ab89-51cb4fd3c239"/>
    <ds:schemaRef ds:uri="f15aae98-6294-4f96-bdcc-7b167cda7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D54EA3-CCA4-49C2-9B4F-EF967604B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1643</Words>
  <Characters>9040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Sandrine GERMAIN</cp:lastModifiedBy>
  <cp:revision>36</cp:revision>
  <cp:lastPrinted>2020-09-29T16:24:00Z</cp:lastPrinted>
  <dcterms:created xsi:type="dcterms:W3CDTF">2022-06-27T13:37:00Z</dcterms:created>
  <dcterms:modified xsi:type="dcterms:W3CDTF">2026-01-29T13:49:00Z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0x0101005780D626A28C384B9129441D19F39C77</vt:lpwstr>
  </property>
</Properties>
</file>