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1915D" w14:textId="54267A0E" w:rsidR="00D31FB9" w:rsidRPr="00E66D3C" w:rsidRDefault="00D31FB9" w:rsidP="00945BCD">
      <w:pPr>
        <w:spacing w:before="120" w:after="120"/>
        <w:ind w:left="2832" w:firstLine="708"/>
        <w:jc w:val="both"/>
        <w:rPr>
          <w:rFonts w:ascii="Arial" w:hAnsi="Arial" w:cs="Arial"/>
          <w:b/>
          <w:sz w:val="28"/>
          <w:szCs w:val="28"/>
        </w:rPr>
      </w:pPr>
      <w:r w:rsidRPr="00E66D3C">
        <w:rPr>
          <w:rFonts w:ascii="Arial" w:hAnsi="Arial" w:cs="Arial"/>
          <w:b/>
          <w:sz w:val="28"/>
          <w:szCs w:val="28"/>
        </w:rPr>
        <w:t xml:space="preserve">Annexe </w:t>
      </w:r>
      <w:r w:rsidR="00865D43">
        <w:rPr>
          <w:rFonts w:ascii="Arial" w:hAnsi="Arial" w:cs="Arial"/>
          <w:b/>
          <w:sz w:val="28"/>
          <w:szCs w:val="28"/>
        </w:rPr>
        <w:t>PsdL</w:t>
      </w:r>
    </w:p>
    <w:p w14:paraId="0C325D74" w14:textId="77777777" w:rsidR="00D31FB9" w:rsidRPr="00E66D3C" w:rsidRDefault="00D31FB9" w:rsidP="00D31FB9">
      <w:pPr>
        <w:spacing w:before="120" w:after="120"/>
        <w:jc w:val="both"/>
        <w:rPr>
          <w:rFonts w:ascii="Arial" w:hAnsi="Arial" w:cs="Arial"/>
          <w:b/>
          <w:szCs w:val="22"/>
          <w:u w:val="single"/>
        </w:rPr>
      </w:pPr>
    </w:p>
    <w:p w14:paraId="0337D541" w14:textId="33E293F1" w:rsidR="00D31FB9" w:rsidRPr="00E66D3C" w:rsidRDefault="00D31FB9" w:rsidP="00945BCD">
      <w:pPr>
        <w:pStyle w:val="Paragraphedeliste"/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Cs w:val="22"/>
          <w:u w:val="single"/>
        </w:rPr>
      </w:pPr>
      <w:r w:rsidRPr="00E66D3C">
        <w:rPr>
          <w:rFonts w:ascii="Arial" w:hAnsi="Arial" w:cs="Arial"/>
          <w:b/>
          <w:szCs w:val="22"/>
          <w:u w:val="single"/>
        </w:rPr>
        <w:t>Décomposition et calcul du PsdL</w:t>
      </w:r>
      <w:r w:rsidRPr="00E66D3C">
        <w:rPr>
          <w:rFonts w:ascii="Arial" w:hAnsi="Arial" w:cs="Arial"/>
          <w:b/>
          <w:szCs w:val="22"/>
          <w:u w:val="single"/>
          <w:vertAlign w:val="subscript"/>
        </w:rPr>
        <w:t xml:space="preserve">0 </w:t>
      </w:r>
      <w:r w:rsidRPr="00E66D3C">
        <w:rPr>
          <w:rFonts w:ascii="Arial" w:hAnsi="Arial" w:cs="Arial"/>
          <w:b/>
          <w:szCs w:val="22"/>
          <w:u w:val="single"/>
        </w:rPr>
        <w:t>et</w:t>
      </w:r>
      <w:r w:rsidRPr="00E66D3C">
        <w:rPr>
          <w:rFonts w:ascii="Arial" w:hAnsi="Arial" w:cs="Arial"/>
          <w:b/>
          <w:szCs w:val="22"/>
          <w:u w:val="single"/>
          <w:vertAlign w:val="subscript"/>
        </w:rPr>
        <w:t xml:space="preserve"> </w:t>
      </w:r>
      <w:r w:rsidRPr="00E66D3C">
        <w:rPr>
          <w:rFonts w:ascii="Arial" w:hAnsi="Arial" w:cs="Arial"/>
          <w:b/>
          <w:szCs w:val="22"/>
          <w:u w:val="single"/>
        </w:rPr>
        <w:t>PsdL</w:t>
      </w:r>
      <w:r w:rsidRPr="00E66D3C">
        <w:rPr>
          <w:rFonts w:ascii="Arial" w:hAnsi="Arial" w:cs="Arial"/>
          <w:b/>
          <w:szCs w:val="22"/>
          <w:u w:val="single"/>
          <w:vertAlign w:val="subscript"/>
        </w:rPr>
        <w:t>1</w:t>
      </w:r>
      <w:r w:rsidRPr="00E66D3C">
        <w:rPr>
          <w:rFonts w:ascii="Arial" w:hAnsi="Arial" w:cs="Arial"/>
          <w:b/>
          <w:szCs w:val="22"/>
          <w:u w:val="single"/>
        </w:rPr>
        <w:t xml:space="preserve"> (t=0 et t=1)</w:t>
      </w:r>
      <w:r w:rsidRPr="00E66D3C">
        <w:rPr>
          <w:rFonts w:ascii="Arial" w:hAnsi="Arial" w:cs="Arial"/>
          <w:b/>
          <w:szCs w:val="22"/>
        </w:rPr>
        <w:t xml:space="preserve"> :</w:t>
      </w:r>
    </w:p>
    <w:p w14:paraId="45598AED" w14:textId="77777777" w:rsidR="00476974" w:rsidRPr="00E66D3C" w:rsidRDefault="00476974" w:rsidP="00FC09ED">
      <w:pPr>
        <w:pStyle w:val="Paragraphedeliste"/>
        <w:spacing w:before="120" w:after="120"/>
        <w:jc w:val="both"/>
        <w:rPr>
          <w:rFonts w:ascii="Arial" w:hAnsi="Arial" w:cs="Arial"/>
          <w:b/>
          <w:szCs w:val="22"/>
          <w:u w:val="single"/>
        </w:rPr>
      </w:pPr>
    </w:p>
    <w:p w14:paraId="718D4898" w14:textId="447DAE33" w:rsidR="00D31FB9" w:rsidRPr="00E66D3C" w:rsidRDefault="00361BDE" w:rsidP="00D31FB9">
      <w:pPr>
        <w:spacing w:after="40"/>
        <w:rPr>
          <w:rFonts w:ascii="Arial" w:eastAsiaTheme="minorEastAsia" w:hAnsi="Arial" w:cs="Arial"/>
          <w:sz w:val="18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18"/>
                </w:rPr>
                <m:t>PsdL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18"/>
                </w:rPr>
                <m:t>t</m:t>
              </m:r>
            </m:sub>
          </m:sSub>
          <m:r>
            <m:rPr>
              <m:nor/>
            </m:rPr>
            <w:rPr>
              <w:rFonts w:ascii="Arial" w:hAnsi="Arial" w:cs="Arial"/>
              <w:sz w:val="18"/>
            </w:rPr>
            <m:t>=44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1,0299 * 1.067 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2021) 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18"/>
            </w:rPr>
            <m:t>+ 18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18"/>
            </w:rPr>
            <m:t>+ 15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1,0691*1,0505 * 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2010) moy2010</m:t>
                  </m:r>
                </m:sub>
              </m:sSub>
            </m:den>
          </m:f>
        </m:oMath>
      </m:oMathPara>
    </w:p>
    <w:p w14:paraId="5426F258" w14:textId="2490B57E" w:rsidR="00D31FB9" w:rsidRPr="00E66D3C" w:rsidRDefault="00D31FB9" w:rsidP="00D31FB9">
      <w:pPr>
        <w:spacing w:after="40"/>
        <w:rPr>
          <w:rFonts w:ascii="Arial" w:eastAsiaTheme="minorEastAsia" w:hAnsi="Arial" w:cs="Arial"/>
          <w:sz w:val="20"/>
        </w:rPr>
      </w:pPr>
      <m:oMathPara>
        <m:oMath>
          <m:r>
            <m:rPr>
              <m:nor/>
            </m:rPr>
            <w:rPr>
              <w:rFonts w:ascii="Arial" w:hAnsi="Arial" w:cs="Arial"/>
              <w:sz w:val="18"/>
            </w:rPr>
            <m:t>+ 11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1,329 * 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2015)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1998)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18"/>
            </w:rPr>
            <m:t>+ 8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1,078 * 1,0272 * 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2010)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18"/>
            </w:rPr>
            <m:t>+ 4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1,2883 * 1,1997 * 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2010) moy2010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  <w:sz w:val="18"/>
            </w:rPr>
            <m:t xml:space="preserve"> </m:t>
          </m:r>
        </m:oMath>
      </m:oMathPara>
    </w:p>
    <w:p w14:paraId="7ED10610" w14:textId="77777777" w:rsidR="005530EB" w:rsidRPr="00E66D3C" w:rsidRDefault="005530EB" w:rsidP="00D31FB9">
      <w:pPr>
        <w:tabs>
          <w:tab w:val="left" w:pos="3261"/>
        </w:tabs>
        <w:spacing w:before="240" w:after="120"/>
        <w:rPr>
          <w:rFonts w:ascii="Arial" w:hAnsi="Arial" w:cs="Arial"/>
          <w:szCs w:val="22"/>
        </w:rPr>
      </w:pPr>
    </w:p>
    <w:p w14:paraId="752BEF02" w14:textId="57980A53" w:rsidR="00D31FB9" w:rsidRPr="00E66D3C" w:rsidRDefault="00D31FB9" w:rsidP="00D31FB9">
      <w:pPr>
        <w:tabs>
          <w:tab w:val="left" w:pos="3261"/>
        </w:tabs>
        <w:spacing w:before="240" w:after="120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</w:rPr>
        <w:t>Dans laquelle 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440"/>
        <w:gridCol w:w="6609"/>
      </w:tblGrid>
      <w:tr w:rsidR="00D31FB9" w:rsidRPr="00E66D3C" w14:paraId="76059FDB" w14:textId="77777777" w:rsidTr="004A7E97">
        <w:trPr>
          <w:tblHeader/>
          <w:jc w:val="center"/>
        </w:trPr>
        <w:tc>
          <w:tcPr>
            <w:tcW w:w="1976" w:type="dxa"/>
            <w:vAlign w:val="center"/>
            <w:hideMark/>
          </w:tcPr>
          <w:p w14:paraId="317D2626" w14:textId="77777777" w:rsidR="00D31FB9" w:rsidRPr="00E66D3C" w:rsidRDefault="00D31FB9" w:rsidP="004A7E97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b/>
                <w:szCs w:val="22"/>
                <w:lang w:eastAsia="en-US"/>
              </w:rPr>
              <w:t>Nom de la série</w:t>
            </w:r>
          </w:p>
        </w:tc>
        <w:tc>
          <w:tcPr>
            <w:tcW w:w="1440" w:type="dxa"/>
            <w:vAlign w:val="center"/>
            <w:hideMark/>
          </w:tcPr>
          <w:p w14:paraId="292D548D" w14:textId="77777777" w:rsidR="00D31FB9" w:rsidRPr="00E66D3C" w:rsidRDefault="00D31FB9" w:rsidP="004A7E97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b/>
                <w:szCs w:val="22"/>
                <w:lang w:eastAsia="en-US"/>
              </w:rPr>
              <w:t>Identifiant</w:t>
            </w:r>
          </w:p>
        </w:tc>
        <w:tc>
          <w:tcPr>
            <w:tcW w:w="6609" w:type="dxa"/>
            <w:vAlign w:val="center"/>
            <w:hideMark/>
          </w:tcPr>
          <w:p w14:paraId="4B116968" w14:textId="77777777" w:rsidR="00D31FB9" w:rsidRPr="00E66D3C" w:rsidRDefault="00D31FB9" w:rsidP="004A7E97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b/>
                <w:szCs w:val="22"/>
                <w:lang w:eastAsia="en-US"/>
              </w:rPr>
              <w:t>Définition</w:t>
            </w:r>
          </w:p>
        </w:tc>
      </w:tr>
      <w:tr w:rsidR="00D31FB9" w:rsidRPr="00E66D3C" w14:paraId="02F1C1EB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50D2960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SERV 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14:paraId="39D2AC5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001718399</w:t>
            </w:r>
          </w:p>
        </w:tc>
        <w:tc>
          <w:tcPr>
            <w:tcW w:w="6609" w:type="dxa"/>
            <w:vAlign w:val="center"/>
            <w:hideMark/>
          </w:tcPr>
          <w:p w14:paraId="6229591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Indices des prix de vente des services français aux entreprises françaises (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BtoB</w:t>
            </w:r>
            <w:proofErr w:type="spellEnd"/>
            <w:r w:rsidRPr="00E66D3C">
              <w:rPr>
                <w:rFonts w:ascii="Arial" w:hAnsi="Arial" w:cs="Arial"/>
                <w:szCs w:val="22"/>
                <w:lang w:eastAsia="en-US"/>
              </w:rPr>
              <w:t>) - Total HN hors TCH - Ensemble des services hors transports de passagers, hôtellerie, restauration, communications et immobilier.</w:t>
            </w:r>
          </w:p>
          <w:p w14:paraId="674CCEDB" w14:textId="5E235843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arrêtée.</w:t>
            </w:r>
          </w:p>
          <w:p w14:paraId="08A8842C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43E352F1" w14:textId="4D04B67C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« SERV 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 (010546088) » : 1,0299</w:t>
            </w:r>
            <w:r w:rsidR="00DE360C" w:rsidRPr="00E66D3C">
              <w:rPr>
                <w:rFonts w:ascii="Arial" w:hAnsi="Arial" w:cs="Arial"/>
                <w:szCs w:val="22"/>
                <w:lang w:eastAsia="en-US"/>
              </w:rPr>
              <w:t xml:space="preserve">  </w:t>
            </w:r>
          </w:p>
        </w:tc>
      </w:tr>
      <w:tr w:rsidR="00D31FB9" w:rsidRPr="00E66D3C" w14:paraId="30663F70" w14:textId="77777777" w:rsidTr="004A7E97">
        <w:trPr>
          <w:jc w:val="center"/>
        </w:trPr>
        <w:tc>
          <w:tcPr>
            <w:tcW w:w="1976" w:type="dxa"/>
            <w:vAlign w:val="center"/>
          </w:tcPr>
          <w:p w14:paraId="0FA90A1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SERV 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</w:tcPr>
          <w:p w14:paraId="62F51DA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010546088</w:t>
            </w:r>
          </w:p>
        </w:tc>
        <w:tc>
          <w:tcPr>
            <w:tcW w:w="6609" w:type="dxa"/>
            <w:vAlign w:val="center"/>
          </w:tcPr>
          <w:p w14:paraId="707E6AF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Indices des prix de production des services français aux entreprises françaises (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BtoB</w:t>
            </w:r>
            <w:proofErr w:type="spellEnd"/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) − Total HS hors TCH − Ensemble des services hors transports de passagers, hôtellerie, restauration, communications et immobilier </w:t>
            </w:r>
          </w:p>
          <w:p w14:paraId="44FDE48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Prix de marché − Base 2015</w:t>
            </w:r>
          </w:p>
          <w:p w14:paraId="2CD4A649" w14:textId="11B34B49" w:rsidR="00E66D3C" w:rsidRPr="00E66D3C" w:rsidRDefault="00E66D3C" w:rsidP="00E66D3C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arrêtée.</w:t>
            </w:r>
          </w:p>
          <w:p w14:paraId="74FC0519" w14:textId="77777777" w:rsidR="00E66D3C" w:rsidRPr="00E66D3C" w:rsidRDefault="00E66D3C" w:rsidP="00E66D3C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Coefficient de raccordement avec l’indice de remplacement </w:t>
            </w:r>
          </w:p>
          <w:p w14:paraId="3CDAC938" w14:textId="035C9456" w:rsidR="00E66D3C" w:rsidRPr="00E66D3C" w:rsidRDefault="00E66D3C" w:rsidP="00E66D3C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« SERV 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 (010766501) » : 1,067</w:t>
            </w:r>
          </w:p>
        </w:tc>
      </w:tr>
      <w:tr w:rsidR="008637E3" w:rsidRPr="00E66D3C" w14:paraId="59299823" w14:textId="77777777" w:rsidTr="004A7E97">
        <w:trPr>
          <w:jc w:val="center"/>
        </w:trPr>
        <w:tc>
          <w:tcPr>
            <w:tcW w:w="1976" w:type="dxa"/>
            <w:vAlign w:val="center"/>
          </w:tcPr>
          <w:p w14:paraId="245BE104" w14:textId="77777777" w:rsidR="00A32C1B" w:rsidRPr="00E66D3C" w:rsidRDefault="008637E3" w:rsidP="008637E3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SERV </w:t>
            </w:r>
            <w:proofErr w:type="spellStart"/>
            <w:proofErr w:type="gramStart"/>
            <w:r w:rsidRPr="00E66D3C">
              <w:rPr>
                <w:rFonts w:ascii="Arial" w:hAnsi="Arial" w:cs="Arial"/>
                <w:szCs w:val="22"/>
              </w:rPr>
              <w:t>h.TCHI</w:t>
            </w:r>
            <w:proofErr w:type="spellEnd"/>
            <w:proofErr w:type="gramEnd"/>
            <w:r w:rsidRPr="00E66D3C">
              <w:rPr>
                <w:rFonts w:ascii="Arial" w:hAnsi="Arial" w:cs="Arial"/>
                <w:szCs w:val="22"/>
              </w:rPr>
              <w:t xml:space="preserve"> </w:t>
            </w:r>
          </w:p>
          <w:p w14:paraId="1553980F" w14:textId="1DFA3F52" w:rsidR="008637E3" w:rsidRPr="00E66D3C" w:rsidRDefault="008637E3" w:rsidP="008637E3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vertAlign w:val="subscript"/>
              </w:rPr>
              <w:t>(base 2021)</w:t>
            </w:r>
          </w:p>
        </w:tc>
        <w:tc>
          <w:tcPr>
            <w:tcW w:w="1440" w:type="dxa"/>
            <w:vAlign w:val="center"/>
          </w:tcPr>
          <w:p w14:paraId="42FD40BB" w14:textId="1DBD4507" w:rsidR="008637E3" w:rsidRPr="00E66D3C" w:rsidRDefault="008637E3" w:rsidP="008637E3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</w:rPr>
              <w:t>010766501</w:t>
            </w:r>
          </w:p>
        </w:tc>
        <w:tc>
          <w:tcPr>
            <w:tcW w:w="6609" w:type="dxa"/>
            <w:vAlign w:val="center"/>
          </w:tcPr>
          <w:p w14:paraId="08A91224" w14:textId="010DD7FE" w:rsidR="008637E3" w:rsidRPr="00E66D3C" w:rsidRDefault="008637E3" w:rsidP="008637E3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</w:rPr>
              <w:t>Indices des prix de production des services français aux entreprises françaises (</w:t>
            </w:r>
            <w:proofErr w:type="spellStart"/>
            <w:r w:rsidRPr="00E66D3C">
              <w:rPr>
                <w:rFonts w:ascii="Arial" w:hAnsi="Arial" w:cs="Arial"/>
                <w:szCs w:val="22"/>
              </w:rPr>
              <w:t>BtoB</w:t>
            </w:r>
            <w:proofErr w:type="spellEnd"/>
            <w:r w:rsidRPr="00E66D3C">
              <w:rPr>
                <w:rFonts w:ascii="Arial" w:hAnsi="Arial" w:cs="Arial"/>
                <w:szCs w:val="22"/>
              </w:rPr>
              <w:t xml:space="preserve">) − Total HS hors TCH − Ensemble des services hors transports de passagers, hôtellerie, restauration, communications et immobilier </w:t>
            </w:r>
            <w:r w:rsidRPr="00E66D3C">
              <w:rPr>
                <w:rFonts w:ascii="Arial" w:hAnsi="Arial" w:cs="Arial"/>
                <w:szCs w:val="22"/>
              </w:rPr>
              <w:br/>
              <w:t>Prix de marché − Base 2021</w:t>
            </w:r>
          </w:p>
        </w:tc>
      </w:tr>
      <w:tr w:rsidR="00D31FB9" w:rsidRPr="00E66D3C" w14:paraId="62CF009E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5D9C7A36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ICCm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14:paraId="5709513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000604030</w:t>
            </w:r>
          </w:p>
        </w:tc>
        <w:tc>
          <w:tcPr>
            <w:tcW w:w="6609" w:type="dxa"/>
            <w:vAlign w:val="center"/>
            <w:hideMark/>
          </w:tcPr>
          <w:p w14:paraId="1B7E9962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Moyenne des quatre derniers indices du coût de la construction des immeubles à usage d'habitation.</w:t>
            </w:r>
          </w:p>
        </w:tc>
      </w:tr>
      <w:tr w:rsidR="00D31FB9" w:rsidRPr="00E66D3C" w14:paraId="7E73B447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3A579A32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BQ</w:t>
            </w:r>
          </w:p>
        </w:tc>
        <w:tc>
          <w:tcPr>
            <w:tcW w:w="1440" w:type="dxa"/>
            <w:vAlign w:val="center"/>
            <w:hideMark/>
          </w:tcPr>
          <w:p w14:paraId="4DC3401D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001652110</w:t>
            </w:r>
          </w:p>
        </w:tc>
        <w:tc>
          <w:tcPr>
            <w:tcW w:w="6609" w:type="dxa"/>
            <w:vAlign w:val="center"/>
            <w:hideMark/>
          </w:tcPr>
          <w:p w14:paraId="567F6B1B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des biens d'investissement (MIG CAG)</w:t>
            </w:r>
          </w:p>
          <w:p w14:paraId="713CCB17" w14:textId="24F04F8C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arrêtée.</w:t>
            </w:r>
          </w:p>
          <w:p w14:paraId="44481ADB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1D3B13CF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« BQ (010534801) » : 1,0505</w:t>
            </w:r>
          </w:p>
        </w:tc>
      </w:tr>
      <w:tr w:rsidR="00D31FB9" w:rsidRPr="00E66D3C" w14:paraId="5D756E19" w14:textId="77777777" w:rsidTr="004A7E97">
        <w:trPr>
          <w:jc w:val="center"/>
        </w:trPr>
        <w:tc>
          <w:tcPr>
            <w:tcW w:w="1976" w:type="dxa"/>
            <w:vAlign w:val="center"/>
          </w:tcPr>
          <w:p w14:paraId="37D7FDF5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BQ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</w:tcPr>
          <w:p w14:paraId="743664B6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010534801</w:t>
            </w:r>
          </w:p>
        </w:tc>
        <w:tc>
          <w:tcPr>
            <w:tcW w:w="6609" w:type="dxa"/>
            <w:vAlign w:val="center"/>
          </w:tcPr>
          <w:p w14:paraId="65C2899C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MIG CAG − Biens d'investissement - Base 2015</w:t>
            </w:r>
          </w:p>
          <w:p w14:paraId="73260A4C" w14:textId="322866A8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arrêtée.</w:t>
            </w:r>
          </w:p>
          <w:p w14:paraId="156603A4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05A67223" w14:textId="3EDDC50A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« BQ (010764318) » : </w:t>
            </w:r>
            <m:oMath>
              <m:r>
                <m:rPr>
                  <m:nor/>
                </m:rPr>
                <w:rPr>
                  <w:rFonts w:ascii="Arial" w:hAnsi="Arial" w:cs="Arial"/>
                  <w:szCs w:val="22"/>
                  <w:lang w:eastAsia="en-US"/>
                </w:rPr>
                <m:t>1,0691</m:t>
              </m:r>
            </m:oMath>
          </w:p>
        </w:tc>
      </w:tr>
      <w:tr w:rsidR="00D31FB9" w:rsidRPr="00E66D3C" w14:paraId="447CC102" w14:textId="77777777" w:rsidTr="004A7E97">
        <w:trPr>
          <w:jc w:val="center"/>
        </w:trPr>
        <w:tc>
          <w:tcPr>
            <w:tcW w:w="1976" w:type="dxa"/>
            <w:vAlign w:val="center"/>
          </w:tcPr>
          <w:p w14:paraId="7D0D968F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BQ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2021)</w:t>
            </w:r>
          </w:p>
        </w:tc>
        <w:tc>
          <w:tcPr>
            <w:tcW w:w="1440" w:type="dxa"/>
            <w:vAlign w:val="center"/>
          </w:tcPr>
          <w:p w14:paraId="0D55F838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010764318</w:t>
            </w:r>
          </w:p>
        </w:tc>
        <w:tc>
          <w:tcPr>
            <w:tcW w:w="6609" w:type="dxa"/>
            <w:vAlign w:val="center"/>
          </w:tcPr>
          <w:p w14:paraId="36203105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Indice de prix de production de l'industrie française pour le marché français − MIG CAG − Biens d'investissement  </w:t>
            </w:r>
          </w:p>
          <w:p w14:paraId="0C055AE5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lastRenderedPageBreak/>
              <w:t>Prix de marché − Base 2021 –Données mensuelles brutes</w:t>
            </w:r>
          </w:p>
        </w:tc>
      </w:tr>
      <w:tr w:rsidR="00D31FB9" w:rsidRPr="00E66D3C" w14:paraId="770882C3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01053DF3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lastRenderedPageBreak/>
              <w:t xml:space="preserve">TCH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1998)</w:t>
            </w:r>
          </w:p>
        </w:tc>
        <w:tc>
          <w:tcPr>
            <w:tcW w:w="1440" w:type="dxa"/>
            <w:vAlign w:val="center"/>
            <w:hideMark/>
          </w:tcPr>
          <w:p w14:paraId="41264D0C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000867353</w:t>
            </w:r>
          </w:p>
        </w:tc>
        <w:tc>
          <w:tcPr>
            <w:tcW w:w="6609" w:type="dxa"/>
            <w:vAlign w:val="center"/>
            <w:hideMark/>
          </w:tcPr>
          <w:p w14:paraId="7566A0EC" w14:textId="52F708BB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des prix à la consommation - Regroupements particuliers (mensuel, ensemble des ménages, métropole + DOM, base 1998) - Transports, communications et hôtellerie (TCH) - Série arrêtée</w:t>
            </w:r>
            <w:r w:rsidR="00E66D3C">
              <w:rPr>
                <w:rFonts w:ascii="Arial" w:hAnsi="Arial" w:cs="Arial"/>
                <w:szCs w:val="22"/>
                <w:lang w:eastAsia="en-US"/>
              </w:rPr>
              <w:t>.</w:t>
            </w:r>
          </w:p>
          <w:p w14:paraId="7D3861AF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« TCH-base2015 (001763861) » : 1,329</w:t>
            </w:r>
          </w:p>
        </w:tc>
      </w:tr>
      <w:tr w:rsidR="00D31FB9" w:rsidRPr="00E66D3C" w14:paraId="3080AD72" w14:textId="77777777" w:rsidTr="004A7E97">
        <w:trPr>
          <w:trHeight w:val="874"/>
          <w:jc w:val="center"/>
        </w:trPr>
        <w:tc>
          <w:tcPr>
            <w:tcW w:w="1976" w:type="dxa"/>
            <w:vAlign w:val="center"/>
            <w:hideMark/>
          </w:tcPr>
          <w:p w14:paraId="1C8D6D5A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TCH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14:paraId="78A8C892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001763861</w:t>
            </w:r>
          </w:p>
        </w:tc>
        <w:tc>
          <w:tcPr>
            <w:tcW w:w="6609" w:type="dxa"/>
            <w:vAlign w:val="center"/>
            <w:hideMark/>
          </w:tcPr>
          <w:p w14:paraId="7E236FB0" w14:textId="77777777" w:rsidR="00D31FB9" w:rsidRPr="00E66D3C" w:rsidRDefault="00D31FB9" w:rsidP="004A7E97">
            <w:pPr>
              <w:spacing w:after="40"/>
              <w:rPr>
                <w:rFonts w:ascii="Arial" w:eastAsia="Calibri" w:hAnsi="Arial" w:cs="Arial"/>
                <w:szCs w:val="22"/>
                <w:lang w:eastAsia="en-US"/>
              </w:rPr>
            </w:pPr>
            <w:r w:rsidRPr="00E66D3C">
              <w:rPr>
                <w:rFonts w:ascii="Arial" w:eastAsia="Calibri" w:hAnsi="Arial" w:cs="Arial"/>
                <w:szCs w:val="22"/>
                <w:lang w:eastAsia="en-US"/>
              </w:rPr>
              <w:t xml:space="preserve">Indice des prix à la consommation - Regroupements particuliers (mensuel, ensemble des ménages, France, base 2015) - </w:t>
            </w:r>
            <w:r w:rsidRPr="00E66D3C">
              <w:rPr>
                <w:rFonts w:ascii="Arial" w:hAnsi="Arial" w:cs="Arial"/>
                <w:szCs w:val="22"/>
                <w:lang w:eastAsia="en-US"/>
              </w:rPr>
              <w:t>Transports, communications et hôtellerie (TCH)</w:t>
            </w:r>
          </w:p>
        </w:tc>
      </w:tr>
      <w:tr w:rsidR="00D31FB9" w:rsidRPr="00E66D3C" w14:paraId="1434655C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538AC7A7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PROD</w:t>
            </w:r>
          </w:p>
        </w:tc>
        <w:tc>
          <w:tcPr>
            <w:tcW w:w="1440" w:type="dxa"/>
            <w:vAlign w:val="center"/>
            <w:hideMark/>
          </w:tcPr>
          <w:p w14:paraId="0E1A3853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001652104</w:t>
            </w:r>
          </w:p>
        </w:tc>
        <w:tc>
          <w:tcPr>
            <w:tcW w:w="6609" w:type="dxa"/>
            <w:vAlign w:val="center"/>
            <w:hideMark/>
          </w:tcPr>
          <w:p w14:paraId="1EEF75C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l’industrie hors industrie agroalimentaire et énergie.</w:t>
            </w:r>
          </w:p>
          <w:p w14:paraId="63866B3F" w14:textId="67E5888B" w:rsidR="00D31FB9" w:rsidRPr="00E66D3C" w:rsidRDefault="00E66D3C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Série arrêtée</w:t>
            </w:r>
            <w:r w:rsidR="00D31FB9" w:rsidRPr="00E66D3C">
              <w:rPr>
                <w:rFonts w:ascii="Arial" w:hAnsi="Arial" w:cs="Arial"/>
                <w:szCs w:val="22"/>
                <w:lang w:eastAsia="en-US"/>
              </w:rPr>
              <w:t>.</w:t>
            </w:r>
          </w:p>
          <w:p w14:paraId="36CD37D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79E2FDED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« PROD (010534799) » : 1,0272</w:t>
            </w:r>
          </w:p>
        </w:tc>
      </w:tr>
      <w:tr w:rsidR="00D31FB9" w:rsidRPr="00E66D3C" w14:paraId="6E9BE1F5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3921426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PROD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14:paraId="4BFE3ECA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010534799</w:t>
            </w:r>
          </w:p>
        </w:tc>
        <w:tc>
          <w:tcPr>
            <w:tcW w:w="6609" w:type="dxa"/>
            <w:vAlign w:val="center"/>
            <w:hideMark/>
          </w:tcPr>
          <w:p w14:paraId="73BBBA8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BCXZ − Industrie hors IAA et énergie (B_C_X_FD_MIG_NRG) − Base 2015</w:t>
            </w:r>
          </w:p>
          <w:p w14:paraId="03EEA8A8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 depuis le 29/02/2024.</w:t>
            </w:r>
          </w:p>
          <w:p w14:paraId="75C8D4B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3495B70B" w14:textId="5CDCE47A" w:rsidR="00D31FB9" w:rsidRPr="00E66D3C" w:rsidRDefault="00D31FB9" w:rsidP="000C65C4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« PROD (010764316) » : </w:t>
            </w:r>
            <w:r w:rsidR="000C65C4" w:rsidRPr="00E66D3C">
              <w:rPr>
                <w:rFonts w:ascii="Arial" w:hAnsi="Arial" w:cs="Arial"/>
                <w:szCs w:val="22"/>
                <w:lang w:eastAsia="en-US"/>
              </w:rPr>
              <w:t>1,078</w:t>
            </w:r>
          </w:p>
        </w:tc>
      </w:tr>
      <w:tr w:rsidR="00D31FB9" w:rsidRPr="00E66D3C" w14:paraId="33AC9A7B" w14:textId="77777777" w:rsidTr="004A7E97">
        <w:trPr>
          <w:jc w:val="center"/>
        </w:trPr>
        <w:tc>
          <w:tcPr>
            <w:tcW w:w="1976" w:type="dxa"/>
            <w:vAlign w:val="center"/>
          </w:tcPr>
          <w:p w14:paraId="6D38605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PROD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2021)</w:t>
            </w:r>
          </w:p>
        </w:tc>
        <w:tc>
          <w:tcPr>
            <w:tcW w:w="1440" w:type="dxa"/>
            <w:vAlign w:val="center"/>
          </w:tcPr>
          <w:p w14:paraId="26D5295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010764316</w:t>
            </w:r>
          </w:p>
        </w:tc>
        <w:tc>
          <w:tcPr>
            <w:tcW w:w="6609" w:type="dxa"/>
            <w:vAlign w:val="center"/>
          </w:tcPr>
          <w:p w14:paraId="5AA00E47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Indice de prix de production de l'industrie française pour le marché français − BCXZ − Industrie hors IAA et énergie (B_C_X_FD_MIG_NRG)  </w:t>
            </w:r>
          </w:p>
          <w:p w14:paraId="4950968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Prix de marché − Base 2021 − Données mensuelles brutes</w:t>
            </w:r>
          </w:p>
        </w:tc>
      </w:tr>
      <w:tr w:rsidR="00D31FB9" w:rsidRPr="00E66D3C" w14:paraId="5F1159F0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7FAF32CD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EGC</w:t>
            </w:r>
          </w:p>
        </w:tc>
        <w:tc>
          <w:tcPr>
            <w:tcW w:w="1440" w:type="dxa"/>
            <w:vAlign w:val="center"/>
            <w:hideMark/>
          </w:tcPr>
          <w:p w14:paraId="7F3CE5AB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001652125</w:t>
            </w:r>
          </w:p>
        </w:tc>
        <w:tc>
          <w:tcPr>
            <w:tcW w:w="6609" w:type="dxa"/>
            <w:vAlign w:val="center"/>
            <w:hideMark/>
          </w:tcPr>
          <w:p w14:paraId="5E43D36B" w14:textId="6BB4344E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l'électricité, du gaz, de la vapeur et de l'air conditionné (A21 D, CPF 35).</w:t>
            </w:r>
            <w:r w:rsidRPr="00E66D3C">
              <w:rPr>
                <w:rFonts w:ascii="Arial" w:hAnsi="Arial" w:cs="Arial"/>
                <w:szCs w:val="22"/>
                <w:lang w:eastAsia="en-US"/>
              </w:rPr>
              <w:br/>
              <w:t>Série arrêtée.</w:t>
            </w:r>
          </w:p>
          <w:p w14:paraId="6B12AB47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4641A2DA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«  EGC (010534835) » : 1,1997</w:t>
            </w:r>
          </w:p>
        </w:tc>
      </w:tr>
      <w:tr w:rsidR="00D31FB9" w:rsidRPr="00E66D3C" w14:paraId="0806D160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37B436BD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EGC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14:paraId="17A4AF61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010534835</w:t>
            </w:r>
          </w:p>
        </w:tc>
        <w:tc>
          <w:tcPr>
            <w:tcW w:w="6609" w:type="dxa"/>
            <w:vAlign w:val="center"/>
            <w:hideMark/>
          </w:tcPr>
          <w:p w14:paraId="23E8D0FD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A21 D, CPF 35 − Électricité, gaz, vapeur et air conditionné − Base 2015</w:t>
            </w:r>
          </w:p>
          <w:p w14:paraId="35A64EF4" w14:textId="7B477F2E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arrêtée.</w:t>
            </w:r>
          </w:p>
          <w:p w14:paraId="482FC6B3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Coefficient de raccordement avec l’indice de remplacement </w:t>
            </w:r>
          </w:p>
          <w:p w14:paraId="6BE6959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« EGC (010764352) » : 1,2883</w:t>
            </w:r>
          </w:p>
        </w:tc>
      </w:tr>
      <w:tr w:rsidR="00D31FB9" w:rsidRPr="00E66D3C" w14:paraId="48D5FD1D" w14:textId="77777777" w:rsidTr="004A7E97">
        <w:trPr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16D6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EGC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2021)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7C3B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010764352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2C1C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A21 D, CPF 35 − Électricité, gaz, vapeur et air conditionné</w:t>
            </w:r>
          </w:p>
          <w:p w14:paraId="70821113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Prix de marché − Base 2021 − Données mensuelles brutes</w:t>
            </w:r>
          </w:p>
        </w:tc>
      </w:tr>
      <w:tr w:rsidR="00D31FB9" w:rsidRPr="00E66D3C" w14:paraId="744B83BC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545C1B13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ICHTrev-TS-IME</w:t>
            </w:r>
          </w:p>
        </w:tc>
        <w:tc>
          <w:tcPr>
            <w:tcW w:w="1440" w:type="dxa"/>
            <w:vAlign w:val="center"/>
            <w:hideMark/>
          </w:tcPr>
          <w:p w14:paraId="6C87841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001565183</w:t>
            </w:r>
          </w:p>
        </w:tc>
        <w:tc>
          <w:tcPr>
            <w:tcW w:w="6609" w:type="dxa"/>
            <w:vAlign w:val="center"/>
            <w:hideMark/>
          </w:tcPr>
          <w:p w14:paraId="25E243B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mensuel du Coût Horaire du Travail révisé - Salaires et charges - Industries Mécaniques et Électriques.</w:t>
            </w:r>
          </w:p>
        </w:tc>
      </w:tr>
    </w:tbl>
    <w:p w14:paraId="1009CA79" w14:textId="77777777" w:rsidR="00D31FB9" w:rsidRPr="00E66D3C" w:rsidRDefault="00D31FB9" w:rsidP="00D31FB9">
      <w:pPr>
        <w:pStyle w:val="Retraitcorpsdetexte"/>
        <w:tabs>
          <w:tab w:val="left" w:pos="3261"/>
        </w:tabs>
        <w:ind w:left="6372" w:hanging="5664"/>
        <w:rPr>
          <w:rFonts w:ascii="Arial" w:hAnsi="Arial" w:cs="Arial"/>
          <w:szCs w:val="22"/>
        </w:rPr>
      </w:pPr>
    </w:p>
    <w:p w14:paraId="62A92B25" w14:textId="77777777" w:rsidR="00D31FB9" w:rsidRPr="00E66D3C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</w:rPr>
        <w:t xml:space="preserve">Les indices </w:t>
      </w:r>
      <w:proofErr w:type="spellStart"/>
      <w:r w:rsidRPr="00E66D3C">
        <w:rPr>
          <w:rFonts w:ascii="Arial" w:hAnsi="Arial" w:cs="Arial"/>
          <w:szCs w:val="22"/>
        </w:rPr>
        <w:t>ICCm</w:t>
      </w:r>
      <w:proofErr w:type="spellEnd"/>
      <w:r w:rsidRPr="00E66D3C">
        <w:rPr>
          <w:rFonts w:ascii="Arial" w:hAnsi="Arial" w:cs="Arial"/>
          <w:szCs w:val="22"/>
        </w:rPr>
        <w:t xml:space="preserve"> et SERV </w:t>
      </w:r>
      <w:proofErr w:type="spellStart"/>
      <w:proofErr w:type="gramStart"/>
      <w:r w:rsidRPr="00E66D3C">
        <w:rPr>
          <w:rFonts w:ascii="Arial" w:hAnsi="Arial" w:cs="Arial"/>
          <w:szCs w:val="22"/>
        </w:rPr>
        <w:t>h.TCHI</w:t>
      </w:r>
      <w:proofErr w:type="spellEnd"/>
      <w:proofErr w:type="gramEnd"/>
      <w:r w:rsidRPr="00E66D3C">
        <w:rPr>
          <w:rFonts w:ascii="Arial" w:hAnsi="Arial" w:cs="Arial"/>
          <w:szCs w:val="22"/>
        </w:rPr>
        <w:t xml:space="preserve"> sont trimestriels. Leurs valeurs sont établies par l'INSEE pour le 1</w:t>
      </w:r>
      <w:r w:rsidRPr="00E66D3C">
        <w:rPr>
          <w:rFonts w:ascii="Arial" w:hAnsi="Arial" w:cs="Arial"/>
          <w:szCs w:val="22"/>
          <w:vertAlign w:val="superscript"/>
        </w:rPr>
        <w:t>er</w:t>
      </w:r>
      <w:r w:rsidRPr="00E66D3C">
        <w:rPr>
          <w:rFonts w:ascii="Arial" w:hAnsi="Arial" w:cs="Arial"/>
          <w:szCs w:val="22"/>
        </w:rPr>
        <w:t xml:space="preserve"> jour du trimestre en cours et valable pendant les 3 mois de ce trimestre. Pour le calcul de PsdL, les valeurs de ces 2 indices seront lues un trimestre auparavant.</w:t>
      </w:r>
    </w:p>
    <w:p w14:paraId="0EE90435" w14:textId="77777777" w:rsidR="00D31FB9" w:rsidRPr="00E66D3C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  <w:u w:val="single"/>
        </w:rPr>
        <w:lastRenderedPageBreak/>
        <w:t>Remarque 1 :</w:t>
      </w:r>
      <w:r w:rsidRPr="00E66D3C">
        <w:rPr>
          <w:rFonts w:ascii="Arial" w:hAnsi="Arial" w:cs="Arial"/>
          <w:szCs w:val="22"/>
        </w:rPr>
        <w:t xml:space="preserve"> par définition PsdL est exprimé en base 100 en 2010, conformément aux indices de prix à la production mensuels publiés par l’INSEE depuis le 30 mars 2013.</w:t>
      </w:r>
    </w:p>
    <w:p w14:paraId="1C532FF6" w14:textId="77777777" w:rsidR="00D31FB9" w:rsidRPr="00E66D3C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  <w:u w:val="single"/>
        </w:rPr>
        <w:t>Remarque 2 :</w:t>
      </w:r>
      <w:r w:rsidRPr="00E66D3C">
        <w:rPr>
          <w:rFonts w:ascii="Arial" w:hAnsi="Arial" w:cs="Arial"/>
          <w:szCs w:val="22"/>
        </w:rPr>
        <w:t xml:space="preserve"> règle de l’arrondi.</w:t>
      </w:r>
    </w:p>
    <w:p w14:paraId="3E63A784" w14:textId="77777777" w:rsidR="00D31FB9" w:rsidRPr="00E66D3C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</w:rPr>
        <w:t>Dans la formule de calcul de PsdL présentée ci-dessus, les coefficients de pondération étant multipliés par 100, tous les calculs intermédiaires seront arrondis à la quatrième décimale.</w:t>
      </w:r>
    </w:p>
    <w:p w14:paraId="101E40CF" w14:textId="77777777" w:rsidR="00D31FB9" w:rsidRPr="00E66D3C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</w:rPr>
        <w:t>Pour information :</w:t>
      </w:r>
    </w:p>
    <w:p w14:paraId="73A8EE1B" w14:textId="77777777" w:rsidR="00D31FB9" w:rsidRPr="00E66D3C" w:rsidRDefault="00D31FB9" w:rsidP="00D31FB9">
      <w:pPr>
        <w:spacing w:before="120"/>
        <w:ind w:left="708"/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2009"/>
      </w:tblGrid>
      <w:tr w:rsidR="00D31FB9" w:rsidRPr="00E66D3C" w14:paraId="5C52F242" w14:textId="77777777" w:rsidTr="004A7E97">
        <w:trPr>
          <w:jc w:val="center"/>
        </w:trPr>
        <w:tc>
          <w:tcPr>
            <w:tcW w:w="3530" w:type="dxa"/>
            <w:vAlign w:val="center"/>
          </w:tcPr>
          <w:p w14:paraId="32C388C1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SERV </w:t>
            </w:r>
            <w:proofErr w:type="spellStart"/>
            <w:r w:rsidRPr="00E66D3C">
              <w:rPr>
                <w:rFonts w:ascii="Arial" w:hAnsi="Arial" w:cs="Arial"/>
                <w:szCs w:val="22"/>
              </w:rPr>
              <w:t>h.TCHI</w:t>
            </w:r>
            <w:proofErr w:type="spellEnd"/>
            <w:r w:rsidRPr="00E66D3C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  <w:vAlign w:val="center"/>
          </w:tcPr>
          <w:p w14:paraId="12623333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99,8500</w:t>
            </w:r>
          </w:p>
        </w:tc>
      </w:tr>
      <w:tr w:rsidR="00D31FB9" w:rsidRPr="00E66D3C" w14:paraId="0B73E2E2" w14:textId="77777777" w:rsidTr="004A7E97">
        <w:trPr>
          <w:jc w:val="center"/>
        </w:trPr>
        <w:tc>
          <w:tcPr>
            <w:tcW w:w="3530" w:type="dxa"/>
            <w:vAlign w:val="center"/>
          </w:tcPr>
          <w:p w14:paraId="7524B9CC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proofErr w:type="spellStart"/>
            <w:r w:rsidRPr="00E66D3C">
              <w:rPr>
                <w:rFonts w:ascii="Arial" w:hAnsi="Arial" w:cs="Arial"/>
                <w:szCs w:val="22"/>
              </w:rPr>
              <w:t>ICCm</w:t>
            </w:r>
            <w:proofErr w:type="spellEnd"/>
            <w:r w:rsidRPr="00E66D3C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  <w:vAlign w:val="center"/>
          </w:tcPr>
          <w:p w14:paraId="1CF8AF90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1506,9375</w:t>
            </w:r>
          </w:p>
        </w:tc>
      </w:tr>
      <w:tr w:rsidR="00D31FB9" w:rsidRPr="00E66D3C" w14:paraId="430E2785" w14:textId="77777777" w:rsidTr="004A7E97">
        <w:trPr>
          <w:jc w:val="center"/>
        </w:trPr>
        <w:tc>
          <w:tcPr>
            <w:tcW w:w="3530" w:type="dxa"/>
            <w:vAlign w:val="center"/>
          </w:tcPr>
          <w:p w14:paraId="77D3BB16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BQ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10BD23AC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D31FB9" w:rsidRPr="00E66D3C" w14:paraId="7EE6E6DA" w14:textId="77777777" w:rsidTr="004A7E97">
        <w:trPr>
          <w:jc w:val="center"/>
        </w:trPr>
        <w:tc>
          <w:tcPr>
            <w:tcW w:w="3530" w:type="dxa"/>
            <w:vAlign w:val="center"/>
          </w:tcPr>
          <w:p w14:paraId="110EEF56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TCH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05007DCD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126,9442</w:t>
            </w:r>
          </w:p>
        </w:tc>
      </w:tr>
      <w:tr w:rsidR="00D31FB9" w:rsidRPr="00E66D3C" w14:paraId="2397FCC1" w14:textId="77777777" w:rsidTr="004A7E97">
        <w:trPr>
          <w:jc w:val="center"/>
        </w:trPr>
        <w:tc>
          <w:tcPr>
            <w:tcW w:w="3530" w:type="dxa"/>
            <w:vAlign w:val="center"/>
          </w:tcPr>
          <w:p w14:paraId="7B334109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PROD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7853029B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D31FB9" w:rsidRPr="00E66D3C" w14:paraId="44353A5B" w14:textId="77777777" w:rsidTr="004A7E97">
        <w:trPr>
          <w:jc w:val="center"/>
        </w:trPr>
        <w:tc>
          <w:tcPr>
            <w:tcW w:w="3530" w:type="dxa"/>
            <w:vAlign w:val="center"/>
          </w:tcPr>
          <w:p w14:paraId="18C8491D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EGC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56A99E92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99,9917</w:t>
            </w:r>
          </w:p>
        </w:tc>
      </w:tr>
    </w:tbl>
    <w:p w14:paraId="490C7D70" w14:textId="77777777" w:rsidR="00D31FB9" w:rsidRPr="00E66D3C" w:rsidRDefault="00D31FB9" w:rsidP="00D31FB9">
      <w:pPr>
        <w:pStyle w:val="parag1"/>
        <w:tabs>
          <w:tab w:val="clear" w:pos="1135"/>
          <w:tab w:val="clear" w:pos="1702"/>
          <w:tab w:val="clear" w:pos="3686"/>
          <w:tab w:val="clear" w:pos="5954"/>
          <w:tab w:val="clear" w:pos="6237"/>
        </w:tabs>
        <w:overflowPunct/>
        <w:autoSpaceDE/>
        <w:autoSpaceDN/>
        <w:adjustRightInd/>
        <w:spacing w:before="0"/>
        <w:ind w:left="708"/>
        <w:textAlignment w:val="auto"/>
        <w:rPr>
          <w:rFonts w:ascii="Arial" w:hAnsi="Arial" w:cs="Arial"/>
          <w:szCs w:val="22"/>
        </w:rPr>
      </w:pPr>
    </w:p>
    <w:p w14:paraId="6CEFB1F3" w14:textId="77777777" w:rsidR="00342418" w:rsidRPr="00E66D3C" w:rsidRDefault="00342418" w:rsidP="00D31FB9">
      <w:pPr>
        <w:pStyle w:val="parag1"/>
        <w:overflowPunct/>
        <w:autoSpaceDE/>
        <w:spacing w:before="0"/>
        <w:rPr>
          <w:rFonts w:ascii="Arial" w:hAnsi="Arial" w:cs="Arial"/>
          <w:szCs w:val="22"/>
          <w:u w:val="single"/>
        </w:rPr>
      </w:pPr>
    </w:p>
    <w:p w14:paraId="5DB0C6CF" w14:textId="77777777" w:rsidR="00342418" w:rsidRPr="00E66D3C" w:rsidRDefault="00342418" w:rsidP="00D31FB9">
      <w:pPr>
        <w:pStyle w:val="parag1"/>
        <w:overflowPunct/>
        <w:autoSpaceDE/>
        <w:spacing w:before="0"/>
        <w:rPr>
          <w:rFonts w:ascii="Arial" w:hAnsi="Arial" w:cs="Arial"/>
          <w:szCs w:val="22"/>
          <w:u w:val="single"/>
        </w:rPr>
      </w:pPr>
    </w:p>
    <w:p w14:paraId="11397185" w14:textId="63C4C7AB" w:rsidR="00486A99" w:rsidRPr="00E66D3C" w:rsidRDefault="00486A99">
      <w:pPr>
        <w:rPr>
          <w:rFonts w:ascii="Arial" w:hAnsi="Arial" w:cs="Arial"/>
        </w:rPr>
      </w:pPr>
    </w:p>
    <w:p w14:paraId="4413FCF6" w14:textId="77777777" w:rsidR="00486A99" w:rsidRPr="00E66D3C" w:rsidRDefault="00486A99" w:rsidP="00486A99">
      <w:pPr>
        <w:pStyle w:val="Paragraphedeliste"/>
        <w:numPr>
          <w:ilvl w:val="0"/>
          <w:numId w:val="3"/>
        </w:numPr>
        <w:spacing w:before="120"/>
        <w:jc w:val="both"/>
        <w:rPr>
          <w:rFonts w:ascii="Arial" w:hAnsi="Arial" w:cs="Arial"/>
          <w:b/>
          <w:szCs w:val="22"/>
        </w:rPr>
      </w:pPr>
      <w:r w:rsidRPr="00E66D3C">
        <w:rPr>
          <w:rFonts w:ascii="Arial" w:hAnsi="Arial" w:cs="Arial"/>
          <w:b/>
          <w:szCs w:val="22"/>
        </w:rPr>
        <w:t>Lecture des indices :</w:t>
      </w:r>
    </w:p>
    <w:p w14:paraId="4DDC40E2" w14:textId="77777777" w:rsidR="00486A99" w:rsidRPr="00E66D3C" w:rsidRDefault="00486A99" w:rsidP="00486A99">
      <w:pPr>
        <w:spacing w:before="120" w:after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</w:rPr>
        <w:t>« 0 » et « 1 » sont les dates de lecture des indices pour mise en œuvre de la formule (représente un mois de l’année).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093"/>
        <w:gridCol w:w="1932"/>
        <w:gridCol w:w="1967"/>
        <w:gridCol w:w="1890"/>
      </w:tblGrid>
      <w:tr w:rsidR="00486A99" w:rsidRPr="00E66D3C" w14:paraId="7BF663B4" w14:textId="77777777" w:rsidTr="00E067FA">
        <w:trPr>
          <w:tblHeader/>
          <w:jc w:val="center"/>
        </w:trPr>
        <w:tc>
          <w:tcPr>
            <w:tcW w:w="1180" w:type="dxa"/>
            <w:shd w:val="clear" w:color="auto" w:fill="auto"/>
            <w:vAlign w:val="center"/>
          </w:tcPr>
          <w:p w14:paraId="15B1FDF0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14:paraId="68679FE0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66D3C">
              <w:rPr>
                <w:rFonts w:ascii="Arial" w:hAnsi="Arial" w:cs="Arial"/>
                <w:b/>
                <w:szCs w:val="22"/>
              </w:rPr>
              <w:t>Date de début de la période d’application du coefficient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A6D3D59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66D3C">
              <w:rPr>
                <w:rFonts w:ascii="Arial" w:hAnsi="Arial" w:cs="Arial"/>
                <w:b/>
                <w:szCs w:val="22"/>
              </w:rPr>
              <w:t>Date de fin de la période d’application du coefficient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7BD76B86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66D3C">
              <w:rPr>
                <w:rFonts w:ascii="Arial" w:hAnsi="Arial" w:cs="Arial"/>
                <w:b/>
                <w:szCs w:val="22"/>
              </w:rPr>
              <w:t>Date de l’indice « 0 »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244FEF9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66D3C">
              <w:rPr>
                <w:rFonts w:ascii="Arial" w:hAnsi="Arial" w:cs="Arial"/>
                <w:b/>
                <w:szCs w:val="22"/>
              </w:rPr>
              <w:t>Date de lecture de l’indice « 1 »</w:t>
            </w:r>
          </w:p>
        </w:tc>
      </w:tr>
      <w:tr w:rsidR="00486A99" w:rsidRPr="00E66D3C" w14:paraId="70C2DECD" w14:textId="77777777" w:rsidTr="00E067FA">
        <w:trPr>
          <w:jc w:val="center"/>
        </w:trPr>
        <w:tc>
          <w:tcPr>
            <w:tcW w:w="1180" w:type="dxa"/>
            <w:shd w:val="clear" w:color="auto" w:fill="auto"/>
            <w:vAlign w:val="center"/>
          </w:tcPr>
          <w:p w14:paraId="365BFB02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66D3C">
              <w:rPr>
                <w:rFonts w:ascii="Arial" w:hAnsi="Arial" w:cs="Arial"/>
                <w:b/>
                <w:szCs w:val="22"/>
              </w:rPr>
              <w:t>Période 1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1B95711" w14:textId="7316BD6E" w:rsidR="00486A99" w:rsidRPr="00E66D3C" w:rsidRDefault="00486A99" w:rsidP="00C64994">
            <w:pPr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>Date de notification</w:t>
            </w:r>
            <w:r w:rsidR="00C64994">
              <w:rPr>
                <w:rFonts w:ascii="Arial" w:hAnsi="Arial" w:cs="Arial"/>
                <w:szCs w:val="22"/>
              </w:rPr>
              <w:t xml:space="preserve"> du marché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E340E89" w14:textId="1340ADCA" w:rsidR="00486A99" w:rsidRPr="00E66D3C" w:rsidRDefault="00E067FA" w:rsidP="00FA6DCD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Date de fin du marché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3E1E8A7E" w14:textId="6C340064" w:rsidR="00486A99" w:rsidRPr="00E66D3C" w:rsidRDefault="00486A99" w:rsidP="00E067FA">
            <w:pPr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>Date d’établissement des prix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4B3CCC1" w14:textId="07B2485C" w:rsidR="00486A99" w:rsidRPr="00E66D3C" w:rsidRDefault="00C64994" w:rsidP="00E067FA">
            <w:pPr>
              <w:jc w:val="center"/>
              <w:rPr>
                <w:rFonts w:ascii="Arial" w:hAnsi="Arial" w:cs="Arial"/>
                <w:szCs w:val="22"/>
              </w:rPr>
            </w:pPr>
            <w:bookmarkStart w:id="0" w:name="_GoBack"/>
            <w:bookmarkEnd w:id="0"/>
            <w:r w:rsidRPr="00E66D3C">
              <w:rPr>
                <w:rFonts w:ascii="Arial" w:hAnsi="Arial" w:cs="Arial"/>
                <w:szCs w:val="22"/>
              </w:rPr>
              <w:t>Date de notification</w:t>
            </w:r>
            <w:r>
              <w:rPr>
                <w:rFonts w:ascii="Arial" w:hAnsi="Arial" w:cs="Arial"/>
                <w:szCs w:val="22"/>
              </w:rPr>
              <w:t xml:space="preserve"> du marché</w:t>
            </w:r>
            <w:r w:rsidR="00361BDE">
              <w:rPr>
                <w:rFonts w:ascii="Arial" w:hAnsi="Arial" w:cs="Arial"/>
                <w:szCs w:val="22"/>
              </w:rPr>
              <w:t xml:space="preserve"> moins 3 mois</w:t>
            </w:r>
          </w:p>
        </w:tc>
      </w:tr>
    </w:tbl>
    <w:p w14:paraId="0F2CC87C" w14:textId="63A2F892" w:rsidR="00486A99" w:rsidRPr="00E66D3C" w:rsidRDefault="00486A99">
      <w:pPr>
        <w:rPr>
          <w:rFonts w:ascii="Arial" w:hAnsi="Arial" w:cs="Arial"/>
        </w:rPr>
      </w:pPr>
    </w:p>
    <w:p w14:paraId="3662E626" w14:textId="77777777" w:rsidR="0090793B" w:rsidRPr="00E66D3C" w:rsidRDefault="0090793B" w:rsidP="0090793B">
      <w:pPr>
        <w:spacing w:before="120"/>
        <w:jc w:val="both"/>
        <w:rPr>
          <w:rFonts w:ascii="Arial" w:hAnsi="Arial" w:cs="Arial"/>
        </w:rPr>
      </w:pPr>
      <w:r w:rsidRPr="00E66D3C">
        <w:rPr>
          <w:rFonts w:ascii="Arial" w:hAnsi="Arial" w:cs="Arial"/>
        </w:rPr>
        <w:t>Pour chaque indice « 0 », le service retient la valeur définitive du mois d’établissement des prix.</w:t>
      </w:r>
    </w:p>
    <w:p w14:paraId="0B240245" w14:textId="77777777" w:rsidR="0090793B" w:rsidRPr="00E66D3C" w:rsidRDefault="0090793B" w:rsidP="0090793B">
      <w:pPr>
        <w:spacing w:before="120"/>
        <w:jc w:val="both"/>
        <w:rPr>
          <w:rFonts w:ascii="Arial" w:hAnsi="Arial" w:cs="Arial"/>
        </w:rPr>
      </w:pPr>
      <w:r w:rsidRPr="00E66D3C">
        <w:rPr>
          <w:rFonts w:ascii="Arial" w:hAnsi="Arial" w:cs="Arial"/>
        </w:rPr>
        <w:t>Pour chaque indice « 1 », le service retient alors la valeur du dernier indice connu à cette date. Les valeurs des indices éventuellement provisoires mentionnés ci-dessus sont considérées comme définitives.</w:t>
      </w:r>
    </w:p>
    <w:p w14:paraId="7E26ED19" w14:textId="77777777" w:rsidR="0090793B" w:rsidRPr="00E66D3C" w:rsidRDefault="0090793B">
      <w:pPr>
        <w:rPr>
          <w:rFonts w:ascii="Arial" w:hAnsi="Arial" w:cs="Arial"/>
        </w:rPr>
      </w:pPr>
    </w:p>
    <w:sectPr w:rsidR="0090793B" w:rsidRPr="00E66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6F2B"/>
    <w:multiLevelType w:val="hybridMultilevel"/>
    <w:tmpl w:val="44F011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D532D0"/>
    <w:multiLevelType w:val="hybridMultilevel"/>
    <w:tmpl w:val="40265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C6529F"/>
    <w:multiLevelType w:val="hybridMultilevel"/>
    <w:tmpl w:val="DD7EB87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FB9"/>
    <w:rsid w:val="000C65C4"/>
    <w:rsid w:val="00155A8C"/>
    <w:rsid w:val="0015705D"/>
    <w:rsid w:val="001C3003"/>
    <w:rsid w:val="0027750D"/>
    <w:rsid w:val="00342418"/>
    <w:rsid w:val="00361BDE"/>
    <w:rsid w:val="00476974"/>
    <w:rsid w:val="004829BF"/>
    <w:rsid w:val="00486A99"/>
    <w:rsid w:val="00542E67"/>
    <w:rsid w:val="005530EB"/>
    <w:rsid w:val="00570A80"/>
    <w:rsid w:val="005C7398"/>
    <w:rsid w:val="00603493"/>
    <w:rsid w:val="00612EDA"/>
    <w:rsid w:val="00695E4E"/>
    <w:rsid w:val="006D7E36"/>
    <w:rsid w:val="006E2F92"/>
    <w:rsid w:val="00704ADB"/>
    <w:rsid w:val="00722E17"/>
    <w:rsid w:val="00735F05"/>
    <w:rsid w:val="007C6690"/>
    <w:rsid w:val="008637E3"/>
    <w:rsid w:val="00865D43"/>
    <w:rsid w:val="00866389"/>
    <w:rsid w:val="0090793B"/>
    <w:rsid w:val="00945BCD"/>
    <w:rsid w:val="00A034C8"/>
    <w:rsid w:val="00A32C1B"/>
    <w:rsid w:val="00A32E17"/>
    <w:rsid w:val="00B426BC"/>
    <w:rsid w:val="00C32408"/>
    <w:rsid w:val="00C64994"/>
    <w:rsid w:val="00C77566"/>
    <w:rsid w:val="00CB348F"/>
    <w:rsid w:val="00CD714F"/>
    <w:rsid w:val="00CE1758"/>
    <w:rsid w:val="00D31FB9"/>
    <w:rsid w:val="00DE360C"/>
    <w:rsid w:val="00E067FA"/>
    <w:rsid w:val="00E36EB3"/>
    <w:rsid w:val="00E66D3C"/>
    <w:rsid w:val="00FB0A81"/>
    <w:rsid w:val="00FC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02D2"/>
  <w15:chartTrackingRefBased/>
  <w15:docId w15:val="{02EB180A-909A-44F3-9DA2-C22EF9F4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FB9"/>
    <w:pPr>
      <w:spacing w:after="0" w:line="240" w:lineRule="auto"/>
    </w:pPr>
    <w:rPr>
      <w:rFonts w:eastAsia="Times New Roman"/>
      <w:color w:val="auto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D31FB9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D31FB9"/>
    <w:pPr>
      <w:ind w:left="744" w:firstLine="624"/>
    </w:pPr>
  </w:style>
  <w:style w:type="character" w:customStyle="1" w:styleId="RetraitcorpsdetexteCar">
    <w:name w:val="Retrait corps de texte Car"/>
    <w:basedOn w:val="Policepardfaut"/>
    <w:link w:val="Retraitcorpsdetexte"/>
    <w:rsid w:val="00D31FB9"/>
    <w:rPr>
      <w:rFonts w:eastAsia="Times New Roman"/>
      <w:color w:val="auto"/>
      <w:szCs w:val="24"/>
      <w:lang w:eastAsia="fr-FR"/>
    </w:rPr>
  </w:style>
  <w:style w:type="paragraph" w:customStyle="1" w:styleId="parag1">
    <w:name w:val="parag 1"/>
    <w:basedOn w:val="Normal"/>
    <w:rsid w:val="00D31FB9"/>
    <w:pPr>
      <w:tabs>
        <w:tab w:val="left" w:pos="1135"/>
        <w:tab w:val="left" w:pos="1702"/>
        <w:tab w:val="left" w:pos="3686"/>
        <w:tab w:val="left" w:pos="5954"/>
        <w:tab w:val="left" w:pos="6237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D31F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1FB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1FB9"/>
    <w:rPr>
      <w:rFonts w:eastAsia="Times New Roman"/>
      <w:color w:val="auto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1F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1FB9"/>
    <w:rPr>
      <w:rFonts w:eastAsia="Times New Roman"/>
      <w:b/>
      <w:bCs/>
      <w:color w:val="auto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1FB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1FB9"/>
    <w:rPr>
      <w:rFonts w:ascii="Segoe UI" w:eastAsia="Times New Roman" w:hAnsi="Segoe UI" w:cs="Segoe UI"/>
      <w:color w:val="auto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45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928</Words>
  <Characters>5110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MARBOEUF-RIVA Michael ICT III A</dc:creator>
  <cp:keywords/>
  <dc:description/>
  <cp:lastModifiedBy>CHENE Lionel TECH SUPE ETUD FAB</cp:lastModifiedBy>
  <cp:revision>16</cp:revision>
  <dcterms:created xsi:type="dcterms:W3CDTF">2025-06-13T15:30:00Z</dcterms:created>
  <dcterms:modified xsi:type="dcterms:W3CDTF">2026-01-09T10:17:00Z</dcterms:modified>
</cp:coreProperties>
</file>