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73B8F" w14:textId="5A08002D" w:rsidR="0054071B" w:rsidRDefault="00AB42FD" w:rsidP="00B37F60">
      <w:pPr>
        <w:spacing w:before="100" w:beforeAutospacing="1" w:after="100" w:afterAutospacing="1" w:line="240" w:lineRule="auto"/>
        <w:jc w:val="center"/>
        <w:rPr>
          <w:b/>
          <w:bCs/>
          <w:sz w:val="22"/>
          <w:szCs w:val="22"/>
        </w:rPr>
      </w:pPr>
      <w:r>
        <w:rPr>
          <w:b/>
          <w:bCs/>
          <w:sz w:val="22"/>
          <w:szCs w:val="22"/>
        </w:rPr>
        <w:t xml:space="preserve">South African Municipal Risk Insurance: </w:t>
      </w:r>
      <w:r w:rsidR="0054071B" w:rsidRPr="00B37F60">
        <w:rPr>
          <w:b/>
          <w:bCs/>
          <w:sz w:val="22"/>
          <w:szCs w:val="22"/>
        </w:rPr>
        <w:t>Parametric</w:t>
      </w:r>
      <w:r w:rsidR="006E7599" w:rsidRPr="00B37F60">
        <w:rPr>
          <w:b/>
          <w:bCs/>
          <w:sz w:val="22"/>
          <w:szCs w:val="22"/>
        </w:rPr>
        <w:t xml:space="preserve"> Flood I</w:t>
      </w:r>
      <w:r w:rsidR="0054071B" w:rsidRPr="00B37F60">
        <w:rPr>
          <w:b/>
          <w:bCs/>
          <w:sz w:val="22"/>
          <w:szCs w:val="22"/>
        </w:rPr>
        <w:t xml:space="preserve">nsurance </w:t>
      </w:r>
      <w:r w:rsidR="006E7599" w:rsidRPr="00B37F60">
        <w:rPr>
          <w:b/>
          <w:bCs/>
          <w:sz w:val="22"/>
          <w:szCs w:val="22"/>
        </w:rPr>
        <w:t xml:space="preserve">Product </w:t>
      </w:r>
      <w:r>
        <w:rPr>
          <w:b/>
          <w:bCs/>
          <w:sz w:val="22"/>
          <w:szCs w:val="22"/>
        </w:rPr>
        <w:t>Finalization</w:t>
      </w:r>
      <w:r w:rsidRPr="00B37F60">
        <w:rPr>
          <w:b/>
          <w:bCs/>
          <w:sz w:val="22"/>
          <w:szCs w:val="22"/>
        </w:rPr>
        <w:t xml:space="preserve"> </w:t>
      </w:r>
      <w:r w:rsidR="0054071B" w:rsidRPr="00B37F60">
        <w:rPr>
          <w:b/>
          <w:bCs/>
          <w:sz w:val="22"/>
          <w:szCs w:val="22"/>
        </w:rPr>
        <w:t>for</w:t>
      </w:r>
      <w:r w:rsidR="006E7599" w:rsidRPr="00B37F60">
        <w:rPr>
          <w:b/>
          <w:bCs/>
          <w:sz w:val="22"/>
          <w:szCs w:val="22"/>
        </w:rPr>
        <w:t xml:space="preserve"> the City of </w:t>
      </w:r>
      <w:r w:rsidR="0054071B" w:rsidRPr="00B37F60">
        <w:rPr>
          <w:b/>
          <w:bCs/>
          <w:sz w:val="22"/>
          <w:szCs w:val="22"/>
        </w:rPr>
        <w:t xml:space="preserve">Cape Town </w:t>
      </w:r>
      <w:r w:rsidR="001219F1">
        <w:rPr>
          <w:b/>
          <w:bCs/>
          <w:sz w:val="22"/>
          <w:szCs w:val="22"/>
        </w:rPr>
        <w:t>and exploration for products in two further municipalities</w:t>
      </w:r>
    </w:p>
    <w:p w14:paraId="62B0401E" w14:textId="77777777" w:rsidR="00D27066" w:rsidRDefault="00D27066" w:rsidP="00D27066">
      <w:pPr>
        <w:pStyle w:val="Titre2"/>
      </w:pPr>
    </w:p>
    <w:p w14:paraId="49FC0DCC" w14:textId="0A7B5733" w:rsidR="00D27066" w:rsidRDefault="00D27066" w:rsidP="00D27066">
      <w:pPr>
        <w:pStyle w:val="Titre2"/>
      </w:pPr>
      <w:r>
        <w:t>Presentation of AFD</w:t>
      </w:r>
      <w:r>
        <w:t xml:space="preserve"> Group</w:t>
      </w:r>
    </w:p>
    <w:p w14:paraId="65AA1DE7" w14:textId="77777777" w:rsidR="00D27066" w:rsidRPr="00EF605E" w:rsidRDefault="00D27066" w:rsidP="00D27066">
      <w:pPr>
        <w:pStyle w:val="NormalWeb"/>
        <w:jc w:val="both"/>
        <w:rPr>
          <w:rStyle w:val="texttaille12"/>
          <w:rFonts w:asciiTheme="minorHAnsi" w:hAnsiTheme="minorHAnsi" w:cstheme="minorHAnsi"/>
          <w:sz w:val="22"/>
          <w:szCs w:val="22"/>
        </w:rPr>
      </w:pPr>
      <w:r w:rsidRPr="00EF605E">
        <w:rPr>
          <w:rStyle w:val="texttaille12"/>
          <w:rFonts w:asciiTheme="minorHAnsi" w:hAnsiTheme="minorHAnsi" w:cstheme="minorHAnsi"/>
          <w:sz w:val="22"/>
          <w:szCs w:val="22"/>
        </w:rPr>
        <w:t xml:space="preserve">The Agence Française de Développement (AFD) Group is a French public institution that finances, supports and accelerates the transition to a more just and sustainable world. </w:t>
      </w:r>
    </w:p>
    <w:p w14:paraId="4A4A1C1B" w14:textId="77777777" w:rsidR="00D27066" w:rsidRPr="00EF605E" w:rsidRDefault="00D27066" w:rsidP="00D27066">
      <w:pPr>
        <w:pStyle w:val="NormalWeb"/>
        <w:spacing w:before="0" w:beforeAutospacing="0" w:after="0" w:afterAutospacing="0"/>
        <w:jc w:val="both"/>
        <w:rPr>
          <w:rStyle w:val="texttaille12"/>
          <w:rFonts w:asciiTheme="minorHAnsi" w:hAnsiTheme="minorHAnsi" w:cstheme="minorHAnsi"/>
          <w:sz w:val="22"/>
          <w:szCs w:val="22"/>
        </w:rPr>
      </w:pPr>
      <w:r w:rsidRPr="00EF605E">
        <w:rPr>
          <w:rStyle w:val="texttaille12"/>
          <w:rFonts w:asciiTheme="minorHAnsi" w:hAnsiTheme="minorHAnsi" w:cstheme="minorHAnsi"/>
          <w:sz w:val="22"/>
          <w:szCs w:val="22"/>
        </w:rPr>
        <w:t>Our teams are involved in over 4,000 projects in the French overseas territories and in 115 other countries, for the common good of humanity –climate, biodiversity, peace, gender equality, education and health. The AFD Group is contributing to the commitment of France and of the French people to the Sustainable Development Goals. For a shared world.</w:t>
      </w:r>
    </w:p>
    <w:p w14:paraId="182514F2" w14:textId="77777777" w:rsidR="00D27066" w:rsidRPr="00EF605E" w:rsidRDefault="00D27066" w:rsidP="00D27066">
      <w:pPr>
        <w:pStyle w:val="NormalWeb"/>
        <w:spacing w:before="0" w:beforeAutospacing="0" w:after="0" w:afterAutospacing="0"/>
        <w:jc w:val="both"/>
        <w:rPr>
          <w:rStyle w:val="texttaille12"/>
          <w:rFonts w:asciiTheme="minorHAnsi" w:hAnsiTheme="minorHAnsi" w:cstheme="minorHAnsi"/>
          <w:sz w:val="22"/>
          <w:szCs w:val="22"/>
          <w:u w:val="single"/>
        </w:rPr>
      </w:pPr>
    </w:p>
    <w:p w14:paraId="61A15949" w14:textId="77777777" w:rsidR="00D27066" w:rsidRPr="00EF605E" w:rsidRDefault="00D27066" w:rsidP="00D27066">
      <w:pPr>
        <w:pStyle w:val="NormalWeb"/>
        <w:spacing w:before="0" w:beforeAutospacing="0" w:after="0" w:afterAutospacing="0"/>
        <w:jc w:val="both"/>
        <w:rPr>
          <w:rFonts w:asciiTheme="minorHAnsi" w:hAnsiTheme="minorHAnsi" w:cstheme="minorHAnsi"/>
          <w:sz w:val="22"/>
          <w:szCs w:val="22"/>
        </w:rPr>
      </w:pPr>
      <w:r w:rsidRPr="00EF605E">
        <w:rPr>
          <w:rStyle w:val="texttaille12"/>
          <w:rFonts w:asciiTheme="minorHAnsi" w:hAnsiTheme="minorHAnsi" w:cstheme="minorHAnsi"/>
          <w:sz w:val="22"/>
          <w:szCs w:val="22"/>
        </w:rPr>
        <w:t>Through</w:t>
      </w:r>
      <w:r w:rsidRPr="00EF605E">
        <w:rPr>
          <w:rFonts w:asciiTheme="minorHAnsi" w:hAnsiTheme="minorHAnsi" w:cstheme="minorHAnsi"/>
          <w:sz w:val="22"/>
          <w:szCs w:val="22"/>
        </w:rPr>
        <w:t xml:space="preserve"> </w:t>
      </w:r>
      <w:hyperlink r:id="rId8" w:tooltip="AFD grants" w:history="1">
        <w:r w:rsidRPr="00EF605E">
          <w:rPr>
            <w:rStyle w:val="lev"/>
            <w:rFonts w:asciiTheme="minorHAnsi" w:hAnsiTheme="minorHAnsi" w:cstheme="minorHAnsi"/>
            <w:sz w:val="22"/>
            <w:szCs w:val="22"/>
          </w:rPr>
          <w:t>grants,</w:t>
        </w:r>
        <w:r w:rsidRPr="00EF605E">
          <w:rPr>
            <w:rStyle w:val="texttaille12"/>
            <w:rFonts w:asciiTheme="minorHAnsi" w:hAnsiTheme="minorHAnsi" w:cstheme="minorHAnsi"/>
            <w:sz w:val="22"/>
            <w:szCs w:val="22"/>
          </w:rPr>
          <w:t xml:space="preserve"> </w:t>
        </w:r>
      </w:hyperlink>
      <w:r w:rsidRPr="00EF605E">
        <w:rPr>
          <w:rFonts w:asciiTheme="minorHAnsi" w:hAnsiTheme="minorHAnsi" w:cstheme="minorHAnsi"/>
          <w:sz w:val="22"/>
          <w:szCs w:val="22"/>
        </w:rPr>
        <w:t xml:space="preserve"> </w:t>
      </w:r>
      <w:hyperlink r:id="rId9" w:tooltip="AFD loans" w:history="1">
        <w:r w:rsidRPr="00EF605E">
          <w:rPr>
            <w:rStyle w:val="lev"/>
            <w:rFonts w:asciiTheme="minorHAnsi" w:hAnsiTheme="minorHAnsi" w:cstheme="minorHAnsi"/>
            <w:sz w:val="22"/>
            <w:szCs w:val="22"/>
          </w:rPr>
          <w:t>loans,</w:t>
        </w:r>
        <w:r w:rsidRPr="00EF605E">
          <w:rPr>
            <w:rStyle w:val="texttaille12"/>
            <w:rFonts w:asciiTheme="minorHAnsi" w:hAnsiTheme="minorHAnsi" w:cstheme="minorHAnsi"/>
            <w:sz w:val="22"/>
            <w:szCs w:val="22"/>
          </w:rPr>
          <w:t xml:space="preserve"> </w:t>
        </w:r>
      </w:hyperlink>
      <w:r w:rsidRPr="00EF605E">
        <w:rPr>
          <w:rFonts w:asciiTheme="minorHAnsi" w:hAnsiTheme="minorHAnsi" w:cstheme="minorHAnsi"/>
          <w:sz w:val="22"/>
          <w:szCs w:val="22"/>
        </w:rPr>
        <w:t xml:space="preserve"> </w:t>
      </w:r>
      <w:hyperlink r:id="rId10" w:tooltip="AFD guarantees" w:history="1">
        <w:r w:rsidRPr="00EF605E">
          <w:rPr>
            <w:rStyle w:val="lev"/>
            <w:rFonts w:asciiTheme="minorHAnsi" w:hAnsiTheme="minorHAnsi" w:cstheme="minorHAnsi"/>
            <w:sz w:val="22"/>
            <w:szCs w:val="22"/>
          </w:rPr>
          <w:t>guarantee funds</w:t>
        </w:r>
        <w:r w:rsidRPr="00EF605E">
          <w:rPr>
            <w:rStyle w:val="texttaille12"/>
            <w:rFonts w:asciiTheme="minorHAnsi" w:hAnsiTheme="minorHAnsi" w:cstheme="minorHAnsi"/>
            <w:sz w:val="22"/>
            <w:szCs w:val="22"/>
          </w:rPr>
          <w:t xml:space="preserve"> </w:t>
        </w:r>
      </w:hyperlink>
      <w:r w:rsidRPr="00EF605E">
        <w:rPr>
          <w:rStyle w:val="texttaille12"/>
          <w:rFonts w:asciiTheme="minorHAnsi" w:hAnsiTheme="minorHAnsi" w:cstheme="minorHAnsi"/>
          <w:sz w:val="22"/>
          <w:szCs w:val="22"/>
        </w:rPr>
        <w:t>or</w:t>
      </w:r>
      <w:r w:rsidRPr="00EF605E">
        <w:rPr>
          <w:rFonts w:asciiTheme="minorHAnsi" w:hAnsiTheme="minorHAnsi" w:cstheme="minorHAnsi"/>
          <w:sz w:val="22"/>
          <w:szCs w:val="22"/>
        </w:rPr>
        <w:t xml:space="preserve"> </w:t>
      </w:r>
      <w:hyperlink r:id="rId11" w:tooltip="C2D AFD" w:history="1">
        <w:r w:rsidRPr="00EF605E">
          <w:rPr>
            <w:rStyle w:val="lev"/>
            <w:rFonts w:asciiTheme="minorHAnsi" w:hAnsiTheme="minorHAnsi" w:cstheme="minorHAnsi"/>
            <w:sz w:val="22"/>
            <w:szCs w:val="22"/>
          </w:rPr>
          <w:t>debt reduction and development contracts,</w:t>
        </w:r>
        <w:r w:rsidRPr="00EF605E">
          <w:rPr>
            <w:rStyle w:val="texttaille12"/>
            <w:rFonts w:asciiTheme="minorHAnsi" w:hAnsiTheme="minorHAnsi" w:cstheme="minorHAnsi"/>
            <w:sz w:val="22"/>
            <w:szCs w:val="22"/>
          </w:rPr>
          <w:t xml:space="preserve"> </w:t>
        </w:r>
      </w:hyperlink>
      <w:r w:rsidRPr="00EF605E">
        <w:rPr>
          <w:rStyle w:val="texttaille12"/>
          <w:rFonts w:asciiTheme="minorHAnsi" w:hAnsiTheme="minorHAnsi" w:cstheme="minorHAnsi"/>
          <w:sz w:val="22"/>
          <w:szCs w:val="22"/>
        </w:rPr>
        <w:t>AFD funds projects, programmes and studies and supports its partners in developing and intermediate countries.</w:t>
      </w:r>
    </w:p>
    <w:p w14:paraId="05EB2967" w14:textId="77777777" w:rsidR="00D27066" w:rsidRPr="00EF605E" w:rsidRDefault="00D27066" w:rsidP="00D27066">
      <w:pPr>
        <w:pStyle w:val="NormalWeb"/>
        <w:spacing w:before="0" w:beforeAutospacing="0" w:after="0" w:afterAutospacing="0"/>
        <w:jc w:val="both"/>
        <w:rPr>
          <w:rFonts w:asciiTheme="minorHAnsi" w:hAnsiTheme="minorHAnsi" w:cstheme="minorHAnsi"/>
          <w:sz w:val="22"/>
          <w:szCs w:val="22"/>
        </w:rPr>
      </w:pPr>
    </w:p>
    <w:p w14:paraId="29A00CC4" w14:textId="77777777" w:rsidR="00D27066" w:rsidRPr="00EF605E" w:rsidRDefault="00D27066" w:rsidP="00D27066">
      <w:pPr>
        <w:pStyle w:val="NormalWeb"/>
        <w:spacing w:before="0" w:beforeAutospacing="0" w:after="0" w:afterAutospacing="0"/>
        <w:jc w:val="both"/>
        <w:rPr>
          <w:rFonts w:asciiTheme="minorHAnsi" w:hAnsiTheme="minorHAnsi" w:cstheme="minorHAnsi"/>
          <w:sz w:val="22"/>
          <w:szCs w:val="22"/>
        </w:rPr>
      </w:pPr>
      <w:r w:rsidRPr="00EF605E">
        <w:rPr>
          <w:rFonts w:asciiTheme="minorHAnsi" w:hAnsiTheme="minorHAnsi" w:cstheme="minorHAnsi"/>
          <w:sz w:val="22"/>
          <w:szCs w:val="22"/>
        </w:rPr>
        <w:t xml:space="preserve">Its subsidiary </w:t>
      </w:r>
      <w:hyperlink r:id="rId12" w:tgtFrame="_blank" w:history="1">
        <w:r w:rsidRPr="00EF605E">
          <w:rPr>
            <w:rStyle w:val="lev"/>
            <w:rFonts w:asciiTheme="minorHAnsi" w:hAnsiTheme="minorHAnsi" w:cstheme="minorHAnsi"/>
            <w:sz w:val="22"/>
            <w:szCs w:val="22"/>
            <w:u w:val="single"/>
          </w:rPr>
          <w:t>Proparco</w:t>
        </w:r>
        <w:r w:rsidRPr="00EF605E">
          <w:rPr>
            <w:rStyle w:val="mainsitecolor"/>
            <w:rFonts w:asciiTheme="minorHAnsi" w:hAnsiTheme="minorHAnsi" w:cstheme="minorHAnsi"/>
            <w:sz w:val="22"/>
            <w:szCs w:val="22"/>
            <w:u w:val="single"/>
          </w:rPr>
          <w:t xml:space="preserve"> </w:t>
        </w:r>
      </w:hyperlink>
      <w:r w:rsidRPr="00EF605E">
        <w:rPr>
          <w:rStyle w:val="mainsitecolor"/>
          <w:rFonts w:asciiTheme="minorHAnsi" w:hAnsiTheme="minorHAnsi" w:cstheme="minorHAnsi"/>
          <w:sz w:val="22"/>
          <w:szCs w:val="22"/>
          <w:u w:val="single"/>
        </w:rPr>
        <w:t>(</w:t>
      </w:r>
      <w:hyperlink r:id="rId13" w:history="1">
        <w:r w:rsidRPr="00EF605E">
          <w:rPr>
            <w:rStyle w:val="Lienhypertexte"/>
            <w:rFonts w:asciiTheme="minorHAnsi" w:hAnsiTheme="minorHAnsi" w:cstheme="minorHAnsi"/>
            <w:sz w:val="22"/>
            <w:szCs w:val="22"/>
          </w:rPr>
          <w:t>www.proparco.fr</w:t>
        </w:r>
      </w:hyperlink>
      <w:r w:rsidRPr="00EF605E">
        <w:rPr>
          <w:rStyle w:val="mainsitecolor"/>
          <w:rFonts w:asciiTheme="minorHAnsi" w:hAnsiTheme="minorHAnsi" w:cstheme="minorHAnsi"/>
          <w:sz w:val="22"/>
          <w:szCs w:val="22"/>
          <w:u w:val="single"/>
        </w:rPr>
        <w:t xml:space="preserve">) </w:t>
      </w:r>
      <w:r w:rsidRPr="00EF605E">
        <w:rPr>
          <w:rFonts w:asciiTheme="minorHAnsi" w:hAnsiTheme="minorHAnsi" w:cstheme="minorHAnsi"/>
          <w:sz w:val="22"/>
          <w:szCs w:val="22"/>
        </w:rPr>
        <w:t xml:space="preserve">provides support for private investments. Dedicated to mobilising French public expertise, </w:t>
      </w:r>
      <w:r w:rsidRPr="00EF605E">
        <w:rPr>
          <w:rFonts w:asciiTheme="minorHAnsi" w:hAnsiTheme="minorHAnsi" w:cstheme="minorHAnsi"/>
          <w:b/>
          <w:sz w:val="22"/>
          <w:szCs w:val="22"/>
          <w:u w:val="single"/>
        </w:rPr>
        <w:t>Expertise France</w:t>
      </w:r>
      <w:r w:rsidRPr="00EF605E">
        <w:rPr>
          <w:rFonts w:asciiTheme="minorHAnsi" w:hAnsiTheme="minorHAnsi" w:cstheme="minorHAnsi"/>
          <w:sz w:val="22"/>
          <w:szCs w:val="22"/>
        </w:rPr>
        <w:t xml:space="preserve"> (</w:t>
      </w:r>
      <w:hyperlink r:id="rId14" w:history="1">
        <w:r w:rsidRPr="00EF605E">
          <w:rPr>
            <w:rStyle w:val="Lienhypertexte"/>
            <w:rFonts w:asciiTheme="minorHAnsi" w:hAnsiTheme="minorHAnsi" w:cstheme="minorHAnsi"/>
            <w:sz w:val="22"/>
            <w:szCs w:val="22"/>
          </w:rPr>
          <w:t>www.expertisefrance.fr</w:t>
        </w:r>
      </w:hyperlink>
      <w:r w:rsidRPr="00EF605E">
        <w:rPr>
          <w:rFonts w:asciiTheme="minorHAnsi" w:hAnsiTheme="minorHAnsi" w:cstheme="minorHAnsi"/>
          <w:sz w:val="22"/>
          <w:szCs w:val="22"/>
        </w:rPr>
        <w:t>) has joined the AFD Group in 2022.</w:t>
      </w:r>
    </w:p>
    <w:p w14:paraId="7C168574" w14:textId="77777777" w:rsidR="00D27066" w:rsidRPr="00EF605E" w:rsidRDefault="00D27066" w:rsidP="00D27066">
      <w:pPr>
        <w:pStyle w:val="NormalWeb"/>
        <w:spacing w:before="0" w:beforeAutospacing="0" w:after="0" w:afterAutospacing="0"/>
        <w:jc w:val="both"/>
        <w:rPr>
          <w:rFonts w:asciiTheme="minorHAnsi" w:hAnsiTheme="minorHAnsi" w:cstheme="minorHAnsi"/>
          <w:sz w:val="22"/>
          <w:szCs w:val="22"/>
        </w:rPr>
      </w:pPr>
    </w:p>
    <w:p w14:paraId="070AB392" w14:textId="77777777" w:rsidR="00D27066" w:rsidRPr="00EF605E" w:rsidRDefault="00D27066" w:rsidP="00D27066">
      <w:pPr>
        <w:pStyle w:val="NormalWeb"/>
        <w:spacing w:before="0" w:beforeAutospacing="0" w:after="0" w:afterAutospacing="0"/>
        <w:jc w:val="both"/>
        <w:rPr>
          <w:rFonts w:asciiTheme="minorHAnsi" w:hAnsiTheme="minorHAnsi" w:cstheme="minorHAnsi"/>
          <w:sz w:val="22"/>
          <w:szCs w:val="22"/>
        </w:rPr>
      </w:pPr>
      <w:r w:rsidRPr="00EF605E">
        <w:rPr>
          <w:rFonts w:asciiTheme="minorHAnsi" w:hAnsiTheme="minorHAnsi" w:cstheme="minorHAnsi"/>
          <w:sz w:val="22"/>
          <w:szCs w:val="22"/>
        </w:rPr>
        <w:t>AFD also works with French and international academic networks to feed into forward-looking discussions and debates on development.</w:t>
      </w:r>
      <w:r>
        <w:rPr>
          <w:rFonts w:asciiTheme="minorHAnsi" w:hAnsiTheme="minorHAnsi" w:cstheme="minorHAnsi"/>
          <w:sz w:val="22"/>
          <w:szCs w:val="22"/>
        </w:rPr>
        <w:t xml:space="preserve"> </w:t>
      </w:r>
      <w:r w:rsidRPr="00EF605E">
        <w:rPr>
          <w:rFonts w:asciiTheme="minorHAnsi" w:hAnsiTheme="minorHAnsi" w:cstheme="minorHAnsi"/>
          <w:sz w:val="22"/>
          <w:szCs w:val="22"/>
        </w:rPr>
        <w:t xml:space="preserve">It manages </w:t>
      </w:r>
      <w:r w:rsidRPr="00EF605E">
        <w:rPr>
          <w:rFonts w:asciiTheme="minorHAnsi" w:hAnsiTheme="minorHAnsi" w:cstheme="minorHAnsi"/>
          <w:b/>
          <w:bCs/>
          <w:sz w:val="22"/>
          <w:szCs w:val="22"/>
        </w:rPr>
        <w:t xml:space="preserve">the </w:t>
      </w:r>
      <w:hyperlink r:id="rId15" w:tgtFrame="_blank" w:history="1">
        <w:r w:rsidRPr="00EF605E">
          <w:rPr>
            <w:rStyle w:val="lev"/>
            <w:rFonts w:asciiTheme="minorHAnsi" w:hAnsiTheme="minorHAnsi" w:cstheme="minorHAnsi"/>
            <w:sz w:val="22"/>
            <w:szCs w:val="22"/>
            <w:u w:val="single"/>
          </w:rPr>
          <w:t>French Global Environment Fund (Fonds français pour l’environnement mondial - FFEM)</w:t>
        </w:r>
        <w:r w:rsidRPr="00EF605E">
          <w:rPr>
            <w:rStyle w:val="mainsitecolor"/>
            <w:rFonts w:asciiTheme="minorHAnsi" w:hAnsiTheme="minorHAnsi" w:cstheme="minorHAnsi"/>
            <w:sz w:val="22"/>
            <w:szCs w:val="22"/>
            <w:u w:val="single"/>
          </w:rPr>
          <w:t xml:space="preserve"> </w:t>
        </w:r>
      </w:hyperlink>
      <w:r w:rsidRPr="00EF605E">
        <w:rPr>
          <w:rFonts w:asciiTheme="minorHAnsi" w:hAnsiTheme="minorHAnsi" w:cstheme="minorHAnsi"/>
          <w:sz w:val="22"/>
          <w:szCs w:val="22"/>
        </w:rPr>
        <w:t>, which co-finances projects that bridge environmental and development issues.</w:t>
      </w:r>
    </w:p>
    <w:p w14:paraId="4097A867" w14:textId="77777777" w:rsidR="00D27066" w:rsidRPr="00EF605E" w:rsidRDefault="00D27066" w:rsidP="00D27066">
      <w:pPr>
        <w:pStyle w:val="NormalWeb"/>
        <w:spacing w:before="0" w:beforeAutospacing="0" w:after="0" w:afterAutospacing="0"/>
        <w:jc w:val="both"/>
        <w:rPr>
          <w:rFonts w:asciiTheme="minorHAnsi" w:hAnsiTheme="minorHAnsi" w:cstheme="minorHAnsi"/>
          <w:sz w:val="22"/>
          <w:szCs w:val="22"/>
        </w:rPr>
      </w:pPr>
    </w:p>
    <w:p w14:paraId="15245262" w14:textId="77777777" w:rsidR="00D27066" w:rsidRPr="00EF605E" w:rsidRDefault="00D27066" w:rsidP="00D27066">
      <w:pPr>
        <w:pStyle w:val="NormalWeb"/>
        <w:spacing w:before="0" w:beforeAutospacing="0" w:after="0" w:afterAutospacing="0"/>
        <w:jc w:val="both"/>
        <w:rPr>
          <w:rFonts w:asciiTheme="minorHAnsi" w:hAnsiTheme="minorHAnsi" w:cstheme="minorHAnsi"/>
          <w:sz w:val="22"/>
          <w:szCs w:val="22"/>
        </w:rPr>
      </w:pPr>
      <w:r w:rsidRPr="00EF605E">
        <w:rPr>
          <w:rFonts w:asciiTheme="minorHAnsi" w:hAnsiTheme="minorHAnsi" w:cstheme="minorHAnsi"/>
          <w:sz w:val="22"/>
          <w:szCs w:val="22"/>
        </w:rPr>
        <w:t xml:space="preserve">Full information on AFD, and in particular its Code of Ethics, which the service provider is strongly encouraged to read, can be found at </w:t>
      </w:r>
      <w:hyperlink r:id="rId16" w:history="1">
        <w:r w:rsidRPr="00EF605E">
          <w:rPr>
            <w:rStyle w:val="Lienhypertexte"/>
            <w:rFonts w:asciiTheme="minorHAnsi" w:hAnsiTheme="minorHAnsi" w:cstheme="minorHAnsi"/>
            <w:sz w:val="22"/>
            <w:szCs w:val="22"/>
          </w:rPr>
          <w:t>www.afd.fr</w:t>
        </w:r>
      </w:hyperlink>
      <w:r w:rsidRPr="00EF605E">
        <w:rPr>
          <w:rFonts w:asciiTheme="minorHAnsi" w:hAnsiTheme="minorHAnsi" w:cstheme="minorHAnsi"/>
          <w:sz w:val="22"/>
          <w:szCs w:val="22"/>
        </w:rPr>
        <w:t>.</w:t>
      </w:r>
    </w:p>
    <w:p w14:paraId="21CEBFC9" w14:textId="1FD982EB" w:rsidR="006E7599" w:rsidRPr="00B37F60" w:rsidRDefault="006E7599" w:rsidP="0086589A">
      <w:pPr>
        <w:pStyle w:val="Titre1"/>
      </w:pPr>
      <w:r w:rsidRPr="00B37F60">
        <w:t xml:space="preserve">Background </w:t>
      </w:r>
    </w:p>
    <w:p w14:paraId="75EA7DB8" w14:textId="4E8A2FB9" w:rsidR="00AB42FD" w:rsidRPr="0086589A" w:rsidRDefault="00AB42FD" w:rsidP="0086589A">
      <w:pPr>
        <w:spacing w:before="100" w:beforeAutospacing="1" w:after="100" w:afterAutospacing="1" w:line="240" w:lineRule="auto"/>
        <w:rPr>
          <w:rFonts w:cs="Arial"/>
          <w:sz w:val="22"/>
          <w:szCs w:val="22"/>
        </w:rPr>
      </w:pPr>
      <w:r w:rsidRPr="0086589A">
        <w:rPr>
          <w:rFonts w:cs="Arial"/>
          <w:sz w:val="22"/>
          <w:szCs w:val="22"/>
        </w:rPr>
        <w:t>South Africa is uniquely positioned to scale the use of parametric insurance at the sub-national level. The country’s market penetration is high, the insurance sector is developed, the government’s appetite is strong, capacity is in place, and the governance structure allows for a staged approach, where more advanced municipalities lead the way and others join</w:t>
      </w:r>
      <w:r w:rsidR="00543211">
        <w:rPr>
          <w:rFonts w:cs="Arial"/>
          <w:sz w:val="22"/>
          <w:szCs w:val="22"/>
        </w:rPr>
        <w:t xml:space="preserve"> later</w:t>
      </w:r>
      <w:r w:rsidRPr="0086589A">
        <w:rPr>
          <w:rFonts w:cs="Arial"/>
          <w:sz w:val="22"/>
          <w:szCs w:val="22"/>
        </w:rPr>
        <w:t>, building an attractive national pool for underwriters.</w:t>
      </w:r>
      <w:r w:rsidR="0097532C" w:rsidRPr="0086589A">
        <w:rPr>
          <w:rFonts w:cs="Arial"/>
          <w:sz w:val="22"/>
          <w:szCs w:val="22"/>
        </w:rPr>
        <w:t xml:space="preserve"> </w:t>
      </w:r>
    </w:p>
    <w:p w14:paraId="3FE5EC50" w14:textId="0D53C6FC" w:rsidR="00AB42FD" w:rsidRPr="0086589A" w:rsidRDefault="00903C20" w:rsidP="0086589A">
      <w:pPr>
        <w:spacing w:before="100" w:beforeAutospacing="1" w:after="100" w:afterAutospacing="1" w:line="240" w:lineRule="auto"/>
        <w:rPr>
          <w:rFonts w:cs="Arial"/>
          <w:sz w:val="22"/>
          <w:szCs w:val="22"/>
        </w:rPr>
      </w:pPr>
      <w:r w:rsidRPr="0086589A">
        <w:rPr>
          <w:rFonts w:cs="Arial"/>
          <w:sz w:val="22"/>
          <w:szCs w:val="22"/>
        </w:rPr>
        <w:t xml:space="preserve">Recent work conducted by the World Bank </w:t>
      </w:r>
      <w:r w:rsidR="008F2412" w:rsidRPr="0086589A">
        <w:rPr>
          <w:rFonts w:cs="Arial"/>
          <w:sz w:val="22"/>
          <w:szCs w:val="22"/>
        </w:rPr>
        <w:t xml:space="preserve">for the National Treasury </w:t>
      </w:r>
      <w:r w:rsidR="00CD2069">
        <w:rPr>
          <w:rFonts w:cs="Arial"/>
          <w:sz w:val="22"/>
          <w:szCs w:val="22"/>
        </w:rPr>
        <w:t xml:space="preserve">(NT) </w:t>
      </w:r>
      <w:r w:rsidRPr="0086589A">
        <w:rPr>
          <w:rFonts w:cs="Arial"/>
          <w:sz w:val="22"/>
          <w:szCs w:val="22"/>
        </w:rPr>
        <w:t xml:space="preserve">highlights that </w:t>
      </w:r>
      <w:r w:rsidR="00AB42FD" w:rsidRPr="0086589A">
        <w:rPr>
          <w:rFonts w:cs="Arial"/>
          <w:sz w:val="22"/>
          <w:szCs w:val="22"/>
        </w:rPr>
        <w:t xml:space="preserve">municipalities </w:t>
      </w:r>
      <w:r w:rsidR="008E6D5D" w:rsidRPr="0086589A">
        <w:rPr>
          <w:rFonts w:cs="Arial"/>
          <w:sz w:val="22"/>
          <w:szCs w:val="22"/>
        </w:rPr>
        <w:t>only use insurance</w:t>
      </w:r>
      <w:r w:rsidR="00AB42FD" w:rsidRPr="0086589A">
        <w:rPr>
          <w:rFonts w:cs="Arial"/>
          <w:sz w:val="22"/>
          <w:szCs w:val="22"/>
        </w:rPr>
        <w:t xml:space="preserve"> in limited cases, mainly for vehicles and buildings, and to a lesser extent for</w:t>
      </w:r>
      <w:r w:rsidR="00CD2069">
        <w:rPr>
          <w:rFonts w:cs="Arial"/>
          <w:sz w:val="22"/>
          <w:szCs w:val="22"/>
        </w:rPr>
        <w:t xml:space="preserve"> public</w:t>
      </w:r>
      <w:r w:rsidR="00AB42FD" w:rsidRPr="0086589A">
        <w:rPr>
          <w:rFonts w:cs="Arial"/>
          <w:sz w:val="22"/>
          <w:szCs w:val="22"/>
        </w:rPr>
        <w:t xml:space="preserve"> infrastructure. Only 32% of </w:t>
      </w:r>
      <w:r w:rsidR="00543211">
        <w:rPr>
          <w:rFonts w:cs="Arial"/>
          <w:sz w:val="22"/>
          <w:szCs w:val="22"/>
        </w:rPr>
        <w:t xml:space="preserve">South African </w:t>
      </w:r>
      <w:r w:rsidR="00AB42FD" w:rsidRPr="0086589A">
        <w:rPr>
          <w:rFonts w:cs="Arial"/>
          <w:sz w:val="22"/>
          <w:szCs w:val="22"/>
        </w:rPr>
        <w:t xml:space="preserve">municipalities use insurance at all, with median disaster payouts of just 4.9 million rand and slow settlement times of 12–24 months. Municipal insurance is generally inadequate, constrained by </w:t>
      </w:r>
      <w:r w:rsidR="00D43797">
        <w:rPr>
          <w:rFonts w:cs="Arial"/>
          <w:sz w:val="22"/>
          <w:szCs w:val="22"/>
        </w:rPr>
        <w:t>available budget</w:t>
      </w:r>
      <w:r w:rsidR="00AB42FD" w:rsidRPr="0086589A">
        <w:rPr>
          <w:rFonts w:cs="Arial"/>
          <w:sz w:val="22"/>
          <w:szCs w:val="22"/>
        </w:rPr>
        <w:t xml:space="preserve">, regulatory barriers to parametric products, and complex, lengthy claims processes. </w:t>
      </w:r>
      <w:r w:rsidR="008F2412" w:rsidRPr="0086589A">
        <w:rPr>
          <w:rFonts w:cs="Arial"/>
          <w:sz w:val="22"/>
          <w:szCs w:val="22"/>
        </w:rPr>
        <w:t>Guidelines</w:t>
      </w:r>
      <w:r w:rsidR="00AB42FD" w:rsidRPr="0086589A">
        <w:rPr>
          <w:rFonts w:cs="Arial"/>
          <w:sz w:val="22"/>
          <w:szCs w:val="22"/>
        </w:rPr>
        <w:t xml:space="preserve"> </w:t>
      </w:r>
      <w:r w:rsidR="008F2412" w:rsidRPr="0086589A">
        <w:rPr>
          <w:rFonts w:cs="Arial"/>
          <w:sz w:val="22"/>
          <w:szCs w:val="22"/>
        </w:rPr>
        <w:t>on</w:t>
      </w:r>
      <w:r w:rsidR="00AB42FD" w:rsidRPr="0086589A">
        <w:rPr>
          <w:rFonts w:cs="Arial"/>
          <w:sz w:val="22"/>
          <w:szCs w:val="22"/>
        </w:rPr>
        <w:t xml:space="preserve"> insurance procurement for SA municipalities</w:t>
      </w:r>
      <w:r w:rsidR="008F2412" w:rsidRPr="0086589A">
        <w:rPr>
          <w:rFonts w:cs="Arial"/>
          <w:sz w:val="22"/>
          <w:szCs w:val="22"/>
        </w:rPr>
        <w:t xml:space="preserve"> are currently being developed and there is </w:t>
      </w:r>
      <w:r w:rsidR="00AB42FD" w:rsidRPr="0086589A">
        <w:rPr>
          <w:rFonts w:cs="Arial"/>
          <w:sz w:val="22"/>
          <w:szCs w:val="22"/>
        </w:rPr>
        <w:t>a piece of research on the ability of NT to provide a conditional grant to co-finance municipal insurance premium</w:t>
      </w:r>
      <w:r w:rsidR="008F2412" w:rsidRPr="0086589A">
        <w:rPr>
          <w:rFonts w:cs="Arial"/>
          <w:sz w:val="22"/>
          <w:szCs w:val="22"/>
        </w:rPr>
        <w:t>s</w:t>
      </w:r>
      <w:r w:rsidR="005665C3">
        <w:rPr>
          <w:rFonts w:cs="Arial"/>
          <w:sz w:val="22"/>
          <w:szCs w:val="22"/>
        </w:rPr>
        <w:t xml:space="preserve"> in-lieu of payments from the National Disaster Fund post event</w:t>
      </w:r>
      <w:r w:rsidR="008F2412" w:rsidRPr="0086589A">
        <w:rPr>
          <w:rFonts w:cs="Arial"/>
          <w:sz w:val="22"/>
          <w:szCs w:val="22"/>
        </w:rPr>
        <w:t xml:space="preserve">. </w:t>
      </w:r>
    </w:p>
    <w:p w14:paraId="54D62729" w14:textId="6B848252" w:rsidR="0048501E" w:rsidRPr="0086589A" w:rsidRDefault="00AB42FD" w:rsidP="0086589A">
      <w:pPr>
        <w:spacing w:before="100" w:beforeAutospacing="1" w:after="100" w:afterAutospacing="1" w:line="240" w:lineRule="auto"/>
        <w:rPr>
          <w:rFonts w:cs="Arial"/>
          <w:sz w:val="22"/>
          <w:szCs w:val="22"/>
        </w:rPr>
      </w:pPr>
      <w:r w:rsidRPr="0086589A">
        <w:rPr>
          <w:rFonts w:cs="Arial"/>
          <w:sz w:val="22"/>
          <w:szCs w:val="22"/>
        </w:rPr>
        <w:t xml:space="preserve">Larger cities in South Africa </w:t>
      </w:r>
      <w:r w:rsidR="00CD2069">
        <w:rPr>
          <w:rFonts w:cs="Arial"/>
          <w:sz w:val="22"/>
          <w:szCs w:val="22"/>
        </w:rPr>
        <w:t xml:space="preserve">(also known as </w:t>
      </w:r>
      <w:r w:rsidR="00A97455">
        <w:rPr>
          <w:rFonts w:cs="Arial"/>
          <w:sz w:val="22"/>
          <w:szCs w:val="22"/>
        </w:rPr>
        <w:t>m</w:t>
      </w:r>
      <w:r w:rsidR="00CD2069">
        <w:rPr>
          <w:rFonts w:cs="Arial"/>
          <w:sz w:val="22"/>
          <w:szCs w:val="22"/>
        </w:rPr>
        <w:t xml:space="preserve">etropolitan </w:t>
      </w:r>
      <w:r w:rsidR="00A97455">
        <w:rPr>
          <w:rFonts w:cs="Arial"/>
          <w:sz w:val="22"/>
          <w:szCs w:val="22"/>
        </w:rPr>
        <w:t>m</w:t>
      </w:r>
      <w:r w:rsidR="00CD2069">
        <w:rPr>
          <w:rFonts w:cs="Arial"/>
          <w:sz w:val="22"/>
          <w:szCs w:val="22"/>
        </w:rPr>
        <w:t xml:space="preserve">unicipalities) </w:t>
      </w:r>
      <w:r w:rsidRPr="0086589A">
        <w:rPr>
          <w:rFonts w:cs="Arial"/>
          <w:sz w:val="22"/>
          <w:szCs w:val="22"/>
        </w:rPr>
        <w:t xml:space="preserve">show a strong appetite for innovative insurance approaches. For example, the City of Cape Town already operates their General Insurance Fund in which sector departments pay premiums into a city-wide fund for indemnity cover and </w:t>
      </w:r>
      <w:r w:rsidR="00543211">
        <w:rPr>
          <w:rFonts w:cs="Arial"/>
          <w:sz w:val="22"/>
          <w:szCs w:val="22"/>
        </w:rPr>
        <w:t>is</w:t>
      </w:r>
      <w:r w:rsidRPr="0086589A">
        <w:rPr>
          <w:rFonts w:cs="Arial"/>
          <w:sz w:val="22"/>
          <w:szCs w:val="22"/>
        </w:rPr>
        <w:t xml:space="preserve"> interested in exploring how parametric insurance c</w:t>
      </w:r>
      <w:r w:rsidR="00543211">
        <w:rPr>
          <w:rFonts w:cs="Arial"/>
          <w:sz w:val="22"/>
          <w:szCs w:val="22"/>
        </w:rPr>
        <w:t>ould</w:t>
      </w:r>
      <w:r w:rsidRPr="0086589A">
        <w:rPr>
          <w:rFonts w:cs="Arial"/>
          <w:sz w:val="22"/>
          <w:szCs w:val="22"/>
        </w:rPr>
        <w:t xml:space="preserve"> complement this, with quick</w:t>
      </w:r>
      <w:r w:rsidR="003F1646">
        <w:rPr>
          <w:rFonts w:cs="Arial"/>
          <w:sz w:val="22"/>
          <w:szCs w:val="22"/>
        </w:rPr>
        <w:t>er</w:t>
      </w:r>
      <w:r w:rsidRPr="0086589A">
        <w:rPr>
          <w:rFonts w:cs="Arial"/>
          <w:sz w:val="22"/>
          <w:szCs w:val="22"/>
        </w:rPr>
        <w:t xml:space="preserve"> payouts</w:t>
      </w:r>
      <w:r w:rsidR="003F1646">
        <w:rPr>
          <w:rFonts w:cs="Arial"/>
          <w:sz w:val="22"/>
          <w:szCs w:val="22"/>
        </w:rPr>
        <w:t xml:space="preserve"> </w:t>
      </w:r>
      <w:r w:rsidR="00543211">
        <w:rPr>
          <w:rFonts w:cs="Arial"/>
          <w:sz w:val="22"/>
          <w:szCs w:val="22"/>
        </w:rPr>
        <w:t xml:space="preserve">and </w:t>
      </w:r>
      <w:r w:rsidR="003F1646">
        <w:rPr>
          <w:rFonts w:cs="Arial"/>
          <w:sz w:val="22"/>
          <w:szCs w:val="22"/>
        </w:rPr>
        <w:t>in order to protect the overall metro budget</w:t>
      </w:r>
      <w:r w:rsidR="00FB5C97">
        <w:rPr>
          <w:rFonts w:cs="Arial"/>
          <w:sz w:val="22"/>
          <w:szCs w:val="22"/>
        </w:rPr>
        <w:t xml:space="preserve"> and implementation program</w:t>
      </w:r>
      <w:r w:rsidRPr="0086589A">
        <w:rPr>
          <w:rFonts w:cs="Arial"/>
          <w:sz w:val="22"/>
          <w:szCs w:val="22"/>
        </w:rPr>
        <w:t xml:space="preserve">, </w:t>
      </w:r>
      <w:r w:rsidR="003F1646">
        <w:rPr>
          <w:rFonts w:cs="Arial"/>
          <w:sz w:val="22"/>
          <w:szCs w:val="22"/>
        </w:rPr>
        <w:t xml:space="preserve">for example </w:t>
      </w:r>
      <w:r w:rsidRPr="0086589A">
        <w:rPr>
          <w:rFonts w:cs="Arial"/>
          <w:sz w:val="22"/>
          <w:szCs w:val="22"/>
        </w:rPr>
        <w:t xml:space="preserve">when extreme floods lead to </w:t>
      </w:r>
      <w:r w:rsidR="003F1646">
        <w:rPr>
          <w:rFonts w:cs="Arial"/>
          <w:sz w:val="22"/>
          <w:szCs w:val="22"/>
        </w:rPr>
        <w:t xml:space="preserve">an increased risk of </w:t>
      </w:r>
      <w:r w:rsidRPr="0086589A">
        <w:rPr>
          <w:rFonts w:cs="Arial"/>
          <w:sz w:val="22"/>
          <w:szCs w:val="22"/>
        </w:rPr>
        <w:t xml:space="preserve">short-term revenue reduction at the same time as increased emergency response needs. </w:t>
      </w:r>
      <w:r w:rsidR="00771A8F" w:rsidRPr="0086589A">
        <w:rPr>
          <w:rFonts w:cs="Arial"/>
          <w:sz w:val="22"/>
          <w:szCs w:val="22"/>
        </w:rPr>
        <w:t>Pre-design technical work</w:t>
      </w:r>
      <w:r w:rsidR="0042557D" w:rsidRPr="0086589A">
        <w:rPr>
          <w:rFonts w:cs="Arial"/>
          <w:sz w:val="22"/>
          <w:szCs w:val="22"/>
        </w:rPr>
        <w:t xml:space="preserve"> on a potential </w:t>
      </w:r>
      <w:r w:rsidR="00543211">
        <w:rPr>
          <w:rFonts w:cs="Arial"/>
          <w:sz w:val="22"/>
          <w:szCs w:val="22"/>
        </w:rPr>
        <w:t xml:space="preserve">parametric insurance </w:t>
      </w:r>
      <w:r w:rsidR="0042557D" w:rsidRPr="0086589A">
        <w:rPr>
          <w:rFonts w:cs="Arial"/>
          <w:sz w:val="22"/>
          <w:szCs w:val="22"/>
        </w:rPr>
        <w:t>product</w:t>
      </w:r>
      <w:r w:rsidR="00771A8F" w:rsidRPr="0086589A">
        <w:rPr>
          <w:rFonts w:cs="Arial"/>
          <w:sz w:val="22"/>
          <w:szCs w:val="22"/>
        </w:rPr>
        <w:t xml:space="preserve"> was prepared for the City of Cape Town under a World Bank program, at the request of the National Treasury. </w:t>
      </w:r>
      <w:r w:rsidR="00C9777C" w:rsidRPr="0086589A">
        <w:rPr>
          <w:rFonts w:cs="Arial"/>
          <w:sz w:val="22"/>
          <w:szCs w:val="22"/>
        </w:rPr>
        <w:t xml:space="preserve">This highlighted </w:t>
      </w:r>
      <w:r w:rsidR="00675018" w:rsidRPr="0086589A">
        <w:rPr>
          <w:rFonts w:cs="Arial"/>
          <w:sz w:val="22"/>
          <w:szCs w:val="22"/>
        </w:rPr>
        <w:t>the</w:t>
      </w:r>
      <w:r w:rsidR="00C9777C" w:rsidRPr="0086589A">
        <w:rPr>
          <w:rFonts w:cs="Arial"/>
          <w:sz w:val="22"/>
          <w:szCs w:val="22"/>
        </w:rPr>
        <w:t xml:space="preserve"> significant potential of parametric products to complement existing insurance arrangements</w:t>
      </w:r>
      <w:r w:rsidR="0042557D" w:rsidRPr="0086589A">
        <w:rPr>
          <w:rFonts w:cs="Arial"/>
          <w:sz w:val="22"/>
          <w:szCs w:val="22"/>
        </w:rPr>
        <w:t xml:space="preserve"> (more details below)</w:t>
      </w:r>
      <w:r w:rsidR="00C9777C" w:rsidRPr="0086589A">
        <w:rPr>
          <w:rFonts w:cs="Arial"/>
          <w:sz w:val="22"/>
          <w:szCs w:val="22"/>
        </w:rPr>
        <w:t xml:space="preserve">. </w:t>
      </w:r>
    </w:p>
    <w:p w14:paraId="403006CC" w14:textId="2BB33DD0" w:rsidR="006D1530" w:rsidRPr="0086589A" w:rsidRDefault="0054016D" w:rsidP="00B535A0">
      <w:pPr>
        <w:spacing w:before="100" w:beforeAutospacing="1" w:after="100" w:afterAutospacing="1" w:line="240" w:lineRule="auto"/>
        <w:rPr>
          <w:rFonts w:cs="Arial"/>
          <w:sz w:val="22"/>
          <w:szCs w:val="22"/>
        </w:rPr>
      </w:pPr>
      <w:r w:rsidRPr="0086589A">
        <w:rPr>
          <w:rFonts w:cs="Arial"/>
          <w:sz w:val="22"/>
          <w:szCs w:val="22"/>
        </w:rPr>
        <w:t xml:space="preserve">The vision is to scale up the level of financial protection in municipalities, starting with the more advanced municipalities, </w:t>
      </w:r>
      <w:r w:rsidR="00AB42FD" w:rsidRPr="0086589A">
        <w:rPr>
          <w:rFonts w:cs="Arial"/>
          <w:sz w:val="22"/>
          <w:szCs w:val="22"/>
        </w:rPr>
        <w:t>followed by other</w:t>
      </w:r>
      <w:r w:rsidRPr="0086589A">
        <w:rPr>
          <w:rFonts w:cs="Arial"/>
          <w:sz w:val="22"/>
          <w:szCs w:val="22"/>
        </w:rPr>
        <w:t>s</w:t>
      </w:r>
      <w:r w:rsidR="00AB42FD" w:rsidRPr="0086589A">
        <w:rPr>
          <w:rFonts w:cs="Arial"/>
          <w:sz w:val="22"/>
          <w:szCs w:val="22"/>
        </w:rPr>
        <w:t>,</w:t>
      </w:r>
      <w:r w:rsidR="004729B9">
        <w:rPr>
          <w:rFonts w:cs="Arial"/>
          <w:sz w:val="22"/>
          <w:szCs w:val="22"/>
        </w:rPr>
        <w:t xml:space="preserve"> and </w:t>
      </w:r>
      <w:r w:rsidR="00AB42FD" w:rsidRPr="0086589A">
        <w:rPr>
          <w:rFonts w:cs="Arial"/>
          <w:sz w:val="22"/>
          <w:szCs w:val="22"/>
        </w:rPr>
        <w:t>eventually scaling into nationwide products integrated into the disaster risk financing system at the national level.</w:t>
      </w:r>
      <w:r w:rsidR="00272C85" w:rsidRPr="007C58EF">
        <w:rPr>
          <w:sz w:val="22"/>
          <w:szCs w:val="22"/>
          <w:vertAlign w:val="superscript"/>
        </w:rPr>
        <w:footnoteReference w:id="1"/>
      </w:r>
      <w:r w:rsidR="00AB42FD" w:rsidRPr="0086589A">
        <w:rPr>
          <w:rFonts w:cs="Arial"/>
          <w:sz w:val="22"/>
          <w:szCs w:val="22"/>
        </w:rPr>
        <w:t xml:space="preserve"> </w:t>
      </w:r>
      <w:r w:rsidR="006D1530">
        <w:rPr>
          <w:rFonts w:cs="Arial"/>
          <w:sz w:val="22"/>
          <w:szCs w:val="22"/>
        </w:rPr>
        <w:t xml:space="preserve">As well as financial protection, this work should </w:t>
      </w:r>
      <w:r w:rsidR="00B535A0">
        <w:rPr>
          <w:rFonts w:cs="Arial"/>
          <w:sz w:val="22"/>
          <w:szCs w:val="22"/>
        </w:rPr>
        <w:t>support</w:t>
      </w:r>
      <w:r w:rsidR="006D1530">
        <w:rPr>
          <w:rFonts w:cs="Arial"/>
          <w:sz w:val="22"/>
          <w:szCs w:val="22"/>
        </w:rPr>
        <w:t xml:space="preserve"> risk assessment practices and </w:t>
      </w:r>
      <w:r w:rsidR="006D1530" w:rsidRPr="0086589A">
        <w:rPr>
          <w:rFonts w:cs="Arial"/>
          <w:sz w:val="22"/>
          <w:szCs w:val="22"/>
        </w:rPr>
        <w:t>climate change strategies and action plans led by the municipalities</w:t>
      </w:r>
      <w:r w:rsidR="00543211">
        <w:rPr>
          <w:rFonts w:cs="Arial"/>
          <w:sz w:val="22"/>
          <w:szCs w:val="22"/>
        </w:rPr>
        <w:t xml:space="preserve"> that would serve to mitigate the disaster risks and impacts</w:t>
      </w:r>
      <w:r w:rsidR="006D1530" w:rsidRPr="0086589A">
        <w:rPr>
          <w:rFonts w:cs="Arial"/>
          <w:sz w:val="22"/>
          <w:szCs w:val="22"/>
        </w:rPr>
        <w:t xml:space="preserve">. </w:t>
      </w:r>
    </w:p>
    <w:p w14:paraId="73884315" w14:textId="26B8BEAC" w:rsidR="00B742E6" w:rsidRDefault="00EE0E70" w:rsidP="0018397D">
      <w:pPr>
        <w:spacing w:before="100" w:beforeAutospacing="1" w:after="100" w:afterAutospacing="1" w:line="240" w:lineRule="auto"/>
        <w:rPr>
          <w:rFonts w:cs="Arial"/>
          <w:sz w:val="22"/>
          <w:szCs w:val="22"/>
        </w:rPr>
      </w:pPr>
      <w:r>
        <w:rPr>
          <w:rFonts w:cs="Arial"/>
          <w:sz w:val="22"/>
          <w:szCs w:val="22"/>
        </w:rPr>
        <w:t>This</w:t>
      </w:r>
      <w:r w:rsidR="0054016D" w:rsidRPr="0086589A">
        <w:rPr>
          <w:rFonts w:cs="Arial"/>
          <w:sz w:val="22"/>
          <w:szCs w:val="22"/>
        </w:rPr>
        <w:t xml:space="preserve"> TOR </w:t>
      </w:r>
      <w:r w:rsidR="009A55FD">
        <w:rPr>
          <w:rFonts w:cs="Arial"/>
          <w:sz w:val="22"/>
          <w:szCs w:val="22"/>
        </w:rPr>
        <w:t>reflects two workstreams that are to be delivered by the consultant in a phased way.</w:t>
      </w:r>
      <w:r w:rsidR="0079235C">
        <w:rPr>
          <w:rFonts w:cs="Arial"/>
          <w:sz w:val="22"/>
          <w:szCs w:val="22"/>
        </w:rPr>
        <w:t xml:space="preserve"> </w:t>
      </w:r>
      <w:r w:rsidR="009A55FD">
        <w:rPr>
          <w:rFonts w:cs="Arial"/>
          <w:sz w:val="22"/>
          <w:szCs w:val="22"/>
        </w:rPr>
        <w:t xml:space="preserve"> The first is to finalize the product design f</w:t>
      </w:r>
      <w:r w:rsidR="009A55FD" w:rsidRPr="008B0F6B">
        <w:rPr>
          <w:rFonts w:cs="Arial"/>
          <w:sz w:val="22"/>
          <w:szCs w:val="22"/>
        </w:rPr>
        <w:t xml:space="preserve">or a parametric flood </w:t>
      </w:r>
      <w:r w:rsidR="008B0F6B" w:rsidRPr="0086589A">
        <w:rPr>
          <w:rFonts w:cs="Arial"/>
          <w:sz w:val="22"/>
          <w:szCs w:val="22"/>
        </w:rPr>
        <w:t>insurance product for the City of Cape Town, building off the technical work done to date</w:t>
      </w:r>
      <w:r>
        <w:rPr>
          <w:rFonts w:cs="Arial"/>
          <w:sz w:val="22"/>
          <w:szCs w:val="22"/>
        </w:rPr>
        <w:t xml:space="preserve">. </w:t>
      </w:r>
      <w:r w:rsidRPr="00EE0E70">
        <w:rPr>
          <w:rFonts w:cs="Arial"/>
          <w:sz w:val="22"/>
          <w:szCs w:val="22"/>
        </w:rPr>
        <w:t xml:space="preserve">Building on any successful parametric flood </w:t>
      </w:r>
      <w:r w:rsidRPr="00EE0E70">
        <w:rPr>
          <w:rFonts w:cs="Arial"/>
          <w:sz w:val="22"/>
          <w:szCs w:val="22"/>
        </w:rPr>
        <w:lastRenderedPageBreak/>
        <w:t xml:space="preserve">insurance product for the </w:t>
      </w:r>
      <w:r>
        <w:rPr>
          <w:rFonts w:cs="Arial"/>
          <w:sz w:val="22"/>
          <w:szCs w:val="22"/>
        </w:rPr>
        <w:t>C</w:t>
      </w:r>
      <w:r w:rsidRPr="00EE0E70">
        <w:rPr>
          <w:rFonts w:cs="Arial"/>
          <w:sz w:val="22"/>
          <w:szCs w:val="22"/>
        </w:rPr>
        <w:t xml:space="preserve">ity of Cape Town, a </w:t>
      </w:r>
      <w:r w:rsidR="0018397D">
        <w:rPr>
          <w:rFonts w:cs="Arial"/>
          <w:sz w:val="22"/>
          <w:szCs w:val="22"/>
        </w:rPr>
        <w:t>second workstream</w:t>
      </w:r>
      <w:r w:rsidRPr="00EE0E70">
        <w:rPr>
          <w:rFonts w:cs="Arial"/>
          <w:sz w:val="22"/>
          <w:szCs w:val="22"/>
        </w:rPr>
        <w:t xml:space="preserve"> would scope the potential for similar products for </w:t>
      </w:r>
      <w:r w:rsidR="0018397D">
        <w:rPr>
          <w:rFonts w:cs="Arial"/>
          <w:sz w:val="22"/>
          <w:szCs w:val="22"/>
        </w:rPr>
        <w:t xml:space="preserve">two </w:t>
      </w:r>
      <w:r w:rsidRPr="00EE0E70">
        <w:rPr>
          <w:rFonts w:cs="Arial"/>
          <w:sz w:val="22"/>
          <w:szCs w:val="22"/>
        </w:rPr>
        <w:t>other municipalities in South Africa</w:t>
      </w:r>
      <w:r w:rsidR="006E473F">
        <w:rPr>
          <w:rFonts w:cs="Arial"/>
          <w:sz w:val="22"/>
          <w:szCs w:val="22"/>
        </w:rPr>
        <w:t xml:space="preserve"> (yet to be decided)</w:t>
      </w:r>
      <w:r w:rsidRPr="00EE0E70">
        <w:rPr>
          <w:rFonts w:cs="Arial"/>
          <w:sz w:val="22"/>
          <w:szCs w:val="22"/>
        </w:rPr>
        <w:t xml:space="preserve">. </w:t>
      </w:r>
    </w:p>
    <w:p w14:paraId="2C392ED9" w14:textId="0E0EF324" w:rsidR="009A55FD" w:rsidRPr="00706EE5" w:rsidRDefault="004E7AB9" w:rsidP="0018397D">
      <w:pPr>
        <w:spacing w:before="100" w:beforeAutospacing="1" w:after="100" w:afterAutospacing="1" w:line="240" w:lineRule="auto"/>
        <w:rPr>
          <w:rFonts w:cs="Arial"/>
          <w:sz w:val="22"/>
          <w:szCs w:val="22"/>
          <w:lang w:val="en-GB"/>
        </w:rPr>
      </w:pPr>
      <w:r>
        <w:rPr>
          <w:rFonts w:cs="Arial"/>
          <w:sz w:val="22"/>
          <w:szCs w:val="22"/>
        </w:rPr>
        <w:t>Fo</w:t>
      </w:r>
      <w:r w:rsidRPr="004E7AB9">
        <w:rPr>
          <w:rFonts w:cs="Arial"/>
          <w:sz w:val="22"/>
          <w:szCs w:val="22"/>
          <w:lang w:val="en-GB"/>
        </w:rPr>
        <w:t>r Workstream 1,</w:t>
      </w:r>
      <w:r>
        <w:rPr>
          <w:rFonts w:cs="Arial"/>
          <w:sz w:val="22"/>
          <w:szCs w:val="22"/>
          <w:lang w:val="en-GB"/>
        </w:rPr>
        <w:t xml:space="preserve"> </w:t>
      </w:r>
      <w:r w:rsidRPr="00B535A0">
        <w:rPr>
          <w:rFonts w:cs="Arial"/>
          <w:sz w:val="22"/>
          <w:szCs w:val="22"/>
        </w:rPr>
        <w:t xml:space="preserve">AFD </w:t>
      </w:r>
      <w:r>
        <w:rPr>
          <w:rFonts w:cs="Arial"/>
          <w:sz w:val="22"/>
          <w:szCs w:val="22"/>
        </w:rPr>
        <w:t>Group (Agence Française de Développement)</w:t>
      </w:r>
      <w:r w:rsidRPr="004E7AB9">
        <w:rPr>
          <w:rFonts w:cs="Arial"/>
          <w:sz w:val="22"/>
          <w:szCs w:val="22"/>
          <w:lang w:val="en-GB"/>
        </w:rPr>
        <w:t xml:space="preserve"> we will be partnering with the City of C</w:t>
      </w:r>
      <w:r>
        <w:rPr>
          <w:rFonts w:cs="Arial"/>
          <w:sz w:val="22"/>
          <w:szCs w:val="22"/>
          <w:lang w:val="en-GB"/>
        </w:rPr>
        <w:t xml:space="preserve">ape </w:t>
      </w:r>
      <w:r w:rsidRPr="004E7AB9">
        <w:rPr>
          <w:rFonts w:cs="Arial"/>
          <w:sz w:val="22"/>
          <w:szCs w:val="22"/>
          <w:lang w:val="en-GB"/>
        </w:rPr>
        <w:t>T</w:t>
      </w:r>
      <w:r>
        <w:rPr>
          <w:rFonts w:cs="Arial"/>
          <w:sz w:val="22"/>
          <w:szCs w:val="22"/>
          <w:lang w:val="en-GB"/>
        </w:rPr>
        <w:t>own</w:t>
      </w:r>
      <w:r w:rsidRPr="004E7AB9">
        <w:rPr>
          <w:rFonts w:cs="Arial"/>
          <w:sz w:val="22"/>
          <w:szCs w:val="22"/>
          <w:lang w:val="en-GB"/>
        </w:rPr>
        <w:t xml:space="preserve"> and for Workstream 2 with the N</w:t>
      </w:r>
      <w:r>
        <w:rPr>
          <w:rFonts w:cs="Arial"/>
          <w:sz w:val="22"/>
          <w:szCs w:val="22"/>
          <w:lang w:val="en-GB"/>
        </w:rPr>
        <w:t>ational Treasury and t</w:t>
      </w:r>
      <w:r w:rsidRPr="004E7AB9">
        <w:rPr>
          <w:rFonts w:cs="Arial"/>
          <w:sz w:val="22"/>
          <w:szCs w:val="22"/>
          <w:lang w:val="en-GB"/>
        </w:rPr>
        <w:t>he</w:t>
      </w:r>
      <w:r>
        <w:rPr>
          <w:rFonts w:cs="Arial"/>
          <w:sz w:val="22"/>
          <w:szCs w:val="22"/>
          <w:lang w:val="en-GB"/>
        </w:rPr>
        <w:t xml:space="preserve"> selected</w:t>
      </w:r>
      <w:r w:rsidRPr="004E7AB9">
        <w:rPr>
          <w:rFonts w:cs="Arial"/>
          <w:sz w:val="22"/>
          <w:szCs w:val="22"/>
          <w:lang w:val="en-GB"/>
        </w:rPr>
        <w:t xml:space="preserve"> </w:t>
      </w:r>
      <w:r w:rsidR="00706EE5">
        <w:rPr>
          <w:rFonts w:cs="Arial"/>
          <w:sz w:val="22"/>
          <w:szCs w:val="22"/>
          <w:lang w:val="en-GB"/>
        </w:rPr>
        <w:t xml:space="preserve">municipalities. </w:t>
      </w:r>
      <w:r w:rsidR="001B3AC4">
        <w:rPr>
          <w:rFonts w:cs="Arial"/>
          <w:sz w:val="22"/>
          <w:szCs w:val="22"/>
          <w:lang w:val="en-GB"/>
        </w:rPr>
        <w:t>T</w:t>
      </w:r>
      <w:r w:rsidR="00706EE5">
        <w:rPr>
          <w:rFonts w:cs="Arial"/>
          <w:sz w:val="22"/>
          <w:szCs w:val="22"/>
          <w:lang w:val="en-GB"/>
        </w:rPr>
        <w:t xml:space="preserve">he </w:t>
      </w:r>
      <w:r w:rsidR="00706EE5">
        <w:rPr>
          <w:sz w:val="22"/>
          <w:szCs w:val="22"/>
        </w:rPr>
        <w:t>World Bank</w:t>
      </w:r>
      <w:r w:rsidR="001B3AC4">
        <w:rPr>
          <w:sz w:val="22"/>
          <w:szCs w:val="22"/>
        </w:rPr>
        <w:t xml:space="preserve"> will be a key partner across both workstreams</w:t>
      </w:r>
      <w:r w:rsidR="00706EE5">
        <w:rPr>
          <w:sz w:val="22"/>
          <w:szCs w:val="22"/>
        </w:rPr>
        <w:t xml:space="preserve"> as </w:t>
      </w:r>
      <w:r w:rsidR="001B3AC4">
        <w:rPr>
          <w:sz w:val="22"/>
          <w:szCs w:val="22"/>
        </w:rPr>
        <w:t>the output from this work will feed into</w:t>
      </w:r>
      <w:r w:rsidR="00706EE5">
        <w:rPr>
          <w:sz w:val="22"/>
          <w:szCs w:val="22"/>
        </w:rPr>
        <w:t xml:space="preserve"> a broader engagement of resilience. </w:t>
      </w:r>
      <w:r w:rsidR="00841D5C">
        <w:rPr>
          <w:sz w:val="22"/>
          <w:szCs w:val="22"/>
        </w:rPr>
        <w:t xml:space="preserve">The contract with the Consultant will be </w:t>
      </w:r>
      <w:r w:rsidR="00850FF3">
        <w:rPr>
          <w:sz w:val="22"/>
          <w:szCs w:val="22"/>
        </w:rPr>
        <w:t>funded</w:t>
      </w:r>
      <w:r w:rsidR="00841D5C">
        <w:rPr>
          <w:sz w:val="22"/>
          <w:szCs w:val="22"/>
        </w:rPr>
        <w:t xml:space="preserve"> </w:t>
      </w:r>
      <w:r w:rsidR="00850FF3">
        <w:rPr>
          <w:sz w:val="22"/>
          <w:szCs w:val="22"/>
        </w:rPr>
        <w:t xml:space="preserve">by the AFD Group </w:t>
      </w:r>
      <w:r w:rsidR="00841D5C">
        <w:rPr>
          <w:sz w:val="22"/>
          <w:szCs w:val="22"/>
        </w:rPr>
        <w:t xml:space="preserve">under the IDRIMA </w:t>
      </w:r>
      <w:r w:rsidR="00850FF3">
        <w:rPr>
          <w:sz w:val="22"/>
          <w:szCs w:val="22"/>
        </w:rPr>
        <w:t>Facility</w:t>
      </w:r>
      <w:r w:rsidR="00841D5C">
        <w:rPr>
          <w:sz w:val="22"/>
          <w:szCs w:val="22"/>
        </w:rPr>
        <w:t xml:space="preserve"> and </w:t>
      </w:r>
      <w:r w:rsidR="00850FF3">
        <w:rPr>
          <w:sz w:val="22"/>
          <w:szCs w:val="22"/>
        </w:rPr>
        <w:t xml:space="preserve">managed by </w:t>
      </w:r>
      <w:r w:rsidR="00841D5C">
        <w:rPr>
          <w:sz w:val="22"/>
          <w:szCs w:val="22"/>
        </w:rPr>
        <w:t>Expertise France.</w:t>
      </w:r>
    </w:p>
    <w:p w14:paraId="30F4D1D4" w14:textId="7025840D" w:rsidR="00B12835" w:rsidRDefault="00B12835" w:rsidP="00821953">
      <w:pPr>
        <w:pStyle w:val="Titre2"/>
      </w:pPr>
      <w:r w:rsidRPr="0086589A">
        <w:t>Workstream 1</w:t>
      </w:r>
    </w:p>
    <w:p w14:paraId="22A55DFB" w14:textId="61FF3C02" w:rsidR="009D660D" w:rsidRDefault="009D660D" w:rsidP="0086589A">
      <w:pPr>
        <w:pStyle w:val="Titre4"/>
      </w:pPr>
      <w:r>
        <w:t>Background</w:t>
      </w:r>
    </w:p>
    <w:p w14:paraId="3EA8E835" w14:textId="46448649" w:rsidR="00072A5B" w:rsidRPr="00B37F60" w:rsidRDefault="009D660D" w:rsidP="009D660D">
      <w:pPr>
        <w:spacing w:before="100" w:beforeAutospacing="1" w:after="100" w:afterAutospacing="1" w:line="240" w:lineRule="auto"/>
        <w:rPr>
          <w:rFonts w:cs="Arial"/>
          <w:sz w:val="22"/>
          <w:szCs w:val="22"/>
        </w:rPr>
      </w:pPr>
      <w:r w:rsidRPr="00B37F60">
        <w:rPr>
          <w:rFonts w:cs="Arial"/>
          <w:sz w:val="22"/>
          <w:szCs w:val="22"/>
        </w:rPr>
        <w:t xml:space="preserve">An analysis of key </w:t>
      </w:r>
      <w:r w:rsidR="00706726">
        <w:rPr>
          <w:rFonts w:cs="Arial"/>
          <w:sz w:val="22"/>
          <w:szCs w:val="22"/>
        </w:rPr>
        <w:t xml:space="preserve">climate </w:t>
      </w:r>
      <w:r w:rsidRPr="00B37F60">
        <w:rPr>
          <w:rFonts w:cs="Arial"/>
          <w:sz w:val="22"/>
          <w:szCs w:val="22"/>
        </w:rPr>
        <w:t xml:space="preserve">risk drivers was conducted for </w:t>
      </w:r>
      <w:r w:rsidR="004273C7">
        <w:rPr>
          <w:rFonts w:cs="Arial"/>
          <w:sz w:val="22"/>
          <w:szCs w:val="22"/>
        </w:rPr>
        <w:t xml:space="preserve">the </w:t>
      </w:r>
      <w:r w:rsidR="0039592E">
        <w:rPr>
          <w:rFonts w:cs="Arial"/>
          <w:sz w:val="22"/>
          <w:szCs w:val="22"/>
        </w:rPr>
        <w:t>City</w:t>
      </w:r>
      <w:r w:rsidR="0039592E" w:rsidRPr="00B37F60">
        <w:rPr>
          <w:rFonts w:cs="Arial"/>
          <w:sz w:val="22"/>
          <w:szCs w:val="22"/>
        </w:rPr>
        <w:t xml:space="preserve"> </w:t>
      </w:r>
      <w:r w:rsidR="0039592E">
        <w:rPr>
          <w:rFonts w:cs="Arial"/>
          <w:sz w:val="22"/>
          <w:szCs w:val="22"/>
        </w:rPr>
        <w:t xml:space="preserve">of </w:t>
      </w:r>
      <w:r w:rsidR="0039592E" w:rsidRPr="00B37F60">
        <w:rPr>
          <w:rFonts w:cs="Arial"/>
          <w:sz w:val="22"/>
          <w:szCs w:val="22"/>
        </w:rPr>
        <w:t xml:space="preserve">Cape Town </w:t>
      </w:r>
      <w:r w:rsidR="0039592E">
        <w:rPr>
          <w:rFonts w:cs="Arial"/>
          <w:sz w:val="22"/>
          <w:szCs w:val="22"/>
        </w:rPr>
        <w:t xml:space="preserve">(metropolitan </w:t>
      </w:r>
      <w:r w:rsidR="0039592E" w:rsidRPr="00B37F60">
        <w:rPr>
          <w:rFonts w:cs="Arial"/>
          <w:sz w:val="22"/>
          <w:szCs w:val="22"/>
        </w:rPr>
        <w:t>municipality</w:t>
      </w:r>
      <w:r w:rsidR="00072A5B">
        <w:rPr>
          <w:rFonts w:cs="Arial"/>
          <w:sz w:val="22"/>
          <w:szCs w:val="22"/>
        </w:rPr>
        <w:t>)</w:t>
      </w:r>
      <w:r w:rsidR="00072A5B">
        <w:rPr>
          <w:rStyle w:val="Appelnotedebasdep"/>
          <w:rFonts w:cs="Arial"/>
          <w:sz w:val="22"/>
          <w:szCs w:val="22"/>
        </w:rPr>
        <w:footnoteReference w:id="2"/>
      </w:r>
      <w:r w:rsidR="0039592E">
        <w:rPr>
          <w:rFonts w:cs="Arial"/>
          <w:sz w:val="22"/>
          <w:szCs w:val="22"/>
        </w:rPr>
        <w:t xml:space="preserve"> </w:t>
      </w:r>
      <w:r w:rsidRPr="00B37F60">
        <w:rPr>
          <w:rFonts w:cs="Arial"/>
          <w:sz w:val="22"/>
          <w:szCs w:val="22"/>
        </w:rPr>
        <w:t xml:space="preserve">through a literature review and interviews with key stakeholders. This found that heavy rainfall (particularly from “cut-off low” weather systems), rising sea levels, challenges with water management and the compounding effects of rapid informal development are all driving increasing flood risks. For example, the September 2023 floods cost Cape Town an estimated R154 million (NDMC, 2023). </w:t>
      </w:r>
      <w:r w:rsidR="00706726">
        <w:rPr>
          <w:rFonts w:cs="Arial"/>
          <w:sz w:val="22"/>
          <w:szCs w:val="22"/>
        </w:rPr>
        <w:t>The</w:t>
      </w:r>
      <w:r w:rsidR="00072A5B">
        <w:rPr>
          <w:rFonts w:cs="Arial"/>
          <w:sz w:val="22"/>
          <w:szCs w:val="22"/>
        </w:rPr>
        <w:t xml:space="preserve"> City identified the need for pr</w:t>
      </w:r>
      <w:r w:rsidR="002B3936">
        <w:rPr>
          <w:rFonts w:cs="Arial"/>
          <w:sz w:val="22"/>
          <w:szCs w:val="22"/>
        </w:rPr>
        <w:t xml:space="preserve">otection </w:t>
      </w:r>
      <w:r w:rsidR="002B3936" w:rsidRPr="0086589A">
        <w:rPr>
          <w:rFonts w:cs="Arial"/>
          <w:sz w:val="22"/>
          <w:szCs w:val="22"/>
        </w:rPr>
        <w:t>for extreme flood events, to (i)</w:t>
      </w:r>
      <w:r w:rsidR="002B3936">
        <w:rPr>
          <w:rFonts w:cs="Arial"/>
          <w:sz w:val="22"/>
          <w:szCs w:val="22"/>
        </w:rPr>
        <w:t xml:space="preserve"> </w:t>
      </w:r>
      <w:r w:rsidR="002B3936" w:rsidRPr="0086589A">
        <w:rPr>
          <w:rFonts w:cs="Arial"/>
          <w:sz w:val="22"/>
          <w:szCs w:val="22"/>
        </w:rPr>
        <w:t xml:space="preserve">protect the city’s revenue base, </w:t>
      </w:r>
      <w:r w:rsidR="00C35D69">
        <w:rPr>
          <w:rFonts w:cs="Arial"/>
          <w:sz w:val="22"/>
          <w:szCs w:val="22"/>
        </w:rPr>
        <w:t xml:space="preserve">(ii) assist with recovery/repair of assets not covered by standard insurance; </w:t>
      </w:r>
      <w:r w:rsidR="002B3936" w:rsidRPr="0086589A">
        <w:rPr>
          <w:rFonts w:cs="Arial"/>
          <w:sz w:val="22"/>
          <w:szCs w:val="22"/>
        </w:rPr>
        <w:t>and (ii</w:t>
      </w:r>
      <w:r w:rsidR="00C35D69">
        <w:rPr>
          <w:rFonts w:cs="Arial"/>
          <w:sz w:val="22"/>
          <w:szCs w:val="22"/>
        </w:rPr>
        <w:t>i</w:t>
      </w:r>
      <w:r w:rsidR="002B3936" w:rsidRPr="0086589A">
        <w:rPr>
          <w:rFonts w:cs="Arial"/>
          <w:sz w:val="22"/>
          <w:szCs w:val="22"/>
        </w:rPr>
        <w:t xml:space="preserve">) support households and businesses in extreme events. </w:t>
      </w:r>
      <w:r w:rsidR="00BF10F1">
        <w:rPr>
          <w:rFonts w:cs="Arial"/>
          <w:sz w:val="22"/>
          <w:szCs w:val="22"/>
        </w:rPr>
        <w:t xml:space="preserve">Any </w:t>
      </w:r>
      <w:r w:rsidR="002B3936" w:rsidRPr="0086589A">
        <w:rPr>
          <w:rFonts w:cs="Arial"/>
          <w:sz w:val="22"/>
          <w:szCs w:val="22"/>
        </w:rPr>
        <w:t>payouts could be used for direct financial support to households/businesses, or as tariff / bad-debt relief, allowing people to recover while keeping the city’s balance sheet healthy</w:t>
      </w:r>
      <w:r w:rsidR="00B14434">
        <w:rPr>
          <w:rFonts w:cs="Arial"/>
          <w:sz w:val="22"/>
          <w:szCs w:val="22"/>
        </w:rPr>
        <w:t xml:space="preserve"> and able to maintain the delivery of</w:t>
      </w:r>
      <w:r w:rsidR="00C35D69">
        <w:rPr>
          <w:rFonts w:cs="Arial"/>
          <w:sz w:val="22"/>
          <w:szCs w:val="22"/>
        </w:rPr>
        <w:t xml:space="preserve"> services against</w:t>
      </w:r>
      <w:r w:rsidR="00B14434">
        <w:rPr>
          <w:rFonts w:cs="Arial"/>
          <w:sz w:val="22"/>
          <w:szCs w:val="22"/>
        </w:rPr>
        <w:t xml:space="preserve"> the planned budget</w:t>
      </w:r>
      <w:r w:rsidR="002B3936" w:rsidRPr="0086589A">
        <w:rPr>
          <w:rFonts w:cs="Arial"/>
          <w:sz w:val="22"/>
          <w:szCs w:val="22"/>
        </w:rPr>
        <w:t xml:space="preserve">. </w:t>
      </w:r>
    </w:p>
    <w:p w14:paraId="664A1483" w14:textId="559C538D" w:rsidR="009D660D" w:rsidRPr="00B37F60" w:rsidRDefault="009D660D" w:rsidP="009D660D">
      <w:pPr>
        <w:spacing w:before="100" w:beforeAutospacing="1" w:after="100" w:afterAutospacing="1" w:line="240" w:lineRule="auto"/>
        <w:rPr>
          <w:rFonts w:cs="Arial"/>
          <w:sz w:val="22"/>
          <w:szCs w:val="22"/>
        </w:rPr>
      </w:pPr>
      <w:r w:rsidRPr="00B37F60">
        <w:rPr>
          <w:rFonts w:cs="Arial"/>
          <w:sz w:val="22"/>
          <w:szCs w:val="22"/>
        </w:rPr>
        <w:t xml:space="preserve">Following further analysis of flood hazards, excess rainfall and </w:t>
      </w:r>
      <w:r w:rsidR="00B646A5">
        <w:rPr>
          <w:rFonts w:cs="Arial"/>
          <w:sz w:val="22"/>
          <w:szCs w:val="22"/>
        </w:rPr>
        <w:t xml:space="preserve">high </w:t>
      </w:r>
      <w:r w:rsidRPr="00B37F60">
        <w:rPr>
          <w:rFonts w:cs="Arial"/>
          <w:sz w:val="22"/>
          <w:szCs w:val="22"/>
        </w:rPr>
        <w:t xml:space="preserve">groundwater </w:t>
      </w:r>
      <w:r w:rsidR="00B646A5">
        <w:rPr>
          <w:rFonts w:cs="Arial"/>
          <w:sz w:val="22"/>
          <w:szCs w:val="22"/>
        </w:rPr>
        <w:t xml:space="preserve">tables </w:t>
      </w:r>
      <w:r w:rsidRPr="00B37F60">
        <w:rPr>
          <w:rFonts w:cs="Arial"/>
          <w:sz w:val="22"/>
          <w:szCs w:val="22"/>
        </w:rPr>
        <w:t xml:space="preserve">were identified as the most important drivers. Several possible parametric indices that </w:t>
      </w:r>
      <w:r w:rsidR="004273C7">
        <w:rPr>
          <w:rFonts w:cs="Arial"/>
          <w:sz w:val="22"/>
          <w:szCs w:val="22"/>
        </w:rPr>
        <w:t>capture</w:t>
      </w:r>
      <w:r w:rsidRPr="00B37F60">
        <w:rPr>
          <w:rFonts w:cs="Arial"/>
          <w:sz w:val="22"/>
          <w:szCs w:val="22"/>
        </w:rPr>
        <w:t xml:space="preserve"> these drivers were designed and tested against historical flood events in an initial parametric insurance design scoping project. An index based on excess rainfall (over 30 days) using one Cape Town weather station at the airport</w:t>
      </w:r>
      <w:r w:rsidR="00B646A5">
        <w:rPr>
          <w:rFonts w:cs="Arial"/>
          <w:sz w:val="22"/>
          <w:szCs w:val="22"/>
        </w:rPr>
        <w:t>,</w:t>
      </w:r>
      <w:r w:rsidRPr="00B37F60">
        <w:rPr>
          <w:rFonts w:cs="Arial"/>
          <w:sz w:val="22"/>
          <w:szCs w:val="22"/>
        </w:rPr>
        <w:t xml:space="preserve"> which is representative of a broader area (10km)</w:t>
      </w:r>
      <w:r w:rsidR="00B646A5">
        <w:rPr>
          <w:rFonts w:cs="Arial"/>
          <w:sz w:val="22"/>
          <w:szCs w:val="22"/>
        </w:rPr>
        <w:t>,</w:t>
      </w:r>
      <w:r w:rsidRPr="00B37F60">
        <w:rPr>
          <w:rFonts w:cs="Arial"/>
          <w:sz w:val="22"/>
          <w:szCs w:val="22"/>
        </w:rPr>
        <w:t xml:space="preserve"> going back over 20 years, </w:t>
      </w:r>
      <w:r w:rsidR="00B646A5">
        <w:rPr>
          <w:rFonts w:cs="Arial"/>
          <w:sz w:val="22"/>
          <w:szCs w:val="22"/>
        </w:rPr>
        <w:t xml:space="preserve">is </w:t>
      </w:r>
      <w:r>
        <w:rPr>
          <w:rFonts w:cs="Arial"/>
          <w:sz w:val="22"/>
          <w:szCs w:val="22"/>
        </w:rPr>
        <w:t>in line with market standard</w:t>
      </w:r>
      <w:r w:rsidRPr="00B37F60">
        <w:rPr>
          <w:rFonts w:cs="Arial"/>
          <w:sz w:val="22"/>
          <w:szCs w:val="22"/>
        </w:rPr>
        <w:t xml:space="preserve"> </w:t>
      </w:r>
      <w:r>
        <w:rPr>
          <w:rFonts w:cs="Arial"/>
          <w:sz w:val="22"/>
          <w:szCs w:val="22"/>
        </w:rPr>
        <w:t xml:space="preserve">and </w:t>
      </w:r>
      <w:r w:rsidR="00B646A5">
        <w:rPr>
          <w:rFonts w:cs="Arial"/>
          <w:sz w:val="22"/>
          <w:szCs w:val="22"/>
        </w:rPr>
        <w:t xml:space="preserve">was </w:t>
      </w:r>
      <w:r>
        <w:rPr>
          <w:rFonts w:cs="Arial"/>
          <w:sz w:val="22"/>
          <w:szCs w:val="22"/>
        </w:rPr>
        <w:t xml:space="preserve">thus </w:t>
      </w:r>
      <w:r w:rsidRPr="00B37F60">
        <w:rPr>
          <w:rFonts w:cs="Arial"/>
          <w:sz w:val="22"/>
          <w:szCs w:val="22"/>
        </w:rPr>
        <w:t>selected a</w:t>
      </w:r>
      <w:r w:rsidR="00B646A5">
        <w:rPr>
          <w:rFonts w:cs="Arial"/>
          <w:sz w:val="22"/>
          <w:szCs w:val="22"/>
        </w:rPr>
        <w:t>s the</w:t>
      </w:r>
      <w:r w:rsidRPr="00B37F60">
        <w:rPr>
          <w:rFonts w:cs="Arial"/>
          <w:sz w:val="22"/>
          <w:szCs w:val="22"/>
        </w:rPr>
        <w:t xml:space="preserve"> most appropriate. Limited economic loss data available for two historic events (2023 and 2024) was used to create a </w:t>
      </w:r>
      <w:r w:rsidR="0039592E">
        <w:rPr>
          <w:rFonts w:cs="Arial"/>
          <w:sz w:val="22"/>
          <w:szCs w:val="22"/>
        </w:rPr>
        <w:t>loss</w:t>
      </w:r>
      <w:r w:rsidRPr="00B37F60">
        <w:rPr>
          <w:rFonts w:cs="Arial"/>
          <w:sz w:val="22"/>
          <w:szCs w:val="22"/>
        </w:rPr>
        <w:t xml:space="preserve"> curve. This proof of concept enabled two product options, with different trigger return periods, limits and payout functions, to be designed, and indicative premiums calculated for consideration by</w:t>
      </w:r>
      <w:r w:rsidR="0039592E">
        <w:rPr>
          <w:rFonts w:cs="Arial"/>
          <w:sz w:val="22"/>
          <w:szCs w:val="22"/>
        </w:rPr>
        <w:t xml:space="preserve"> </w:t>
      </w:r>
      <w:r w:rsidR="00E96D64">
        <w:rPr>
          <w:rFonts w:cs="Arial"/>
          <w:sz w:val="22"/>
          <w:szCs w:val="22"/>
        </w:rPr>
        <w:t xml:space="preserve">the </w:t>
      </w:r>
      <w:r w:rsidR="0039592E">
        <w:rPr>
          <w:rFonts w:cs="Arial"/>
          <w:sz w:val="22"/>
          <w:szCs w:val="22"/>
        </w:rPr>
        <w:t>City</w:t>
      </w:r>
      <w:r w:rsidR="008A054D">
        <w:rPr>
          <w:rFonts w:cs="Arial"/>
          <w:sz w:val="22"/>
          <w:szCs w:val="22"/>
        </w:rPr>
        <w:t>.</w:t>
      </w:r>
      <w:r w:rsidRPr="00B37F60">
        <w:rPr>
          <w:rFonts w:cs="Arial"/>
          <w:sz w:val="22"/>
          <w:szCs w:val="22"/>
        </w:rPr>
        <w:t xml:space="preserve"> </w:t>
      </w:r>
    </w:p>
    <w:p w14:paraId="4301C161" w14:textId="7B786A8B" w:rsidR="009D660D" w:rsidRDefault="009D660D" w:rsidP="009D660D">
      <w:pPr>
        <w:spacing w:before="100" w:beforeAutospacing="1" w:after="100" w:afterAutospacing="1" w:line="240" w:lineRule="auto"/>
        <w:rPr>
          <w:rFonts w:cs="Arial"/>
          <w:sz w:val="22"/>
          <w:szCs w:val="22"/>
        </w:rPr>
      </w:pPr>
      <w:r w:rsidRPr="004A7902">
        <w:rPr>
          <w:rFonts w:cs="Arial"/>
          <w:sz w:val="22"/>
          <w:szCs w:val="22"/>
        </w:rPr>
        <w:t>This analysis revealed that parametric insurance is most cost-effective for higher-return period (more extreme</w:t>
      </w:r>
      <w:r w:rsidRPr="00B37F60">
        <w:rPr>
          <w:rFonts w:cs="Arial"/>
          <w:sz w:val="22"/>
          <w:szCs w:val="22"/>
        </w:rPr>
        <w:t xml:space="preserve">) events, to complement existing indemnity-based insurance, and </w:t>
      </w:r>
      <w:r w:rsidR="00B646A5">
        <w:rPr>
          <w:rFonts w:cs="Arial"/>
          <w:sz w:val="22"/>
          <w:szCs w:val="22"/>
        </w:rPr>
        <w:t xml:space="preserve">to </w:t>
      </w:r>
      <w:r w:rsidRPr="00B37F60">
        <w:rPr>
          <w:rFonts w:cs="Arial"/>
          <w:sz w:val="22"/>
          <w:szCs w:val="22"/>
        </w:rPr>
        <w:t xml:space="preserve">provide rapid financial support for the municipality in the event of severe rainfall events that cause significant disruption to industrial </w:t>
      </w:r>
      <w:r w:rsidR="00F06DD3">
        <w:rPr>
          <w:rFonts w:cs="Arial"/>
          <w:sz w:val="22"/>
          <w:szCs w:val="22"/>
        </w:rPr>
        <w:t xml:space="preserve">and residential </w:t>
      </w:r>
      <w:r w:rsidRPr="00B37F60">
        <w:rPr>
          <w:rFonts w:cs="Arial"/>
          <w:sz w:val="22"/>
          <w:szCs w:val="22"/>
        </w:rPr>
        <w:t>areas</w:t>
      </w:r>
      <w:r w:rsidR="002C74C5">
        <w:rPr>
          <w:rFonts w:cs="Arial"/>
          <w:sz w:val="22"/>
          <w:szCs w:val="22"/>
        </w:rPr>
        <w:t xml:space="preserve"> (excluding </w:t>
      </w:r>
      <w:r w:rsidR="002C74C5">
        <w:rPr>
          <w:rFonts w:cs="Arial"/>
          <w:sz w:val="22"/>
          <w:szCs w:val="22"/>
          <w:lang w:val="en-GB"/>
        </w:rPr>
        <w:t>the areas experiencing</w:t>
      </w:r>
      <w:r w:rsidR="002C74C5" w:rsidRPr="002C74C5">
        <w:rPr>
          <w:rFonts w:cs="Arial"/>
          <w:sz w:val="22"/>
          <w:szCs w:val="22"/>
          <w:lang w:val="en-GB"/>
        </w:rPr>
        <w:t xml:space="preserve"> regular flooding</w:t>
      </w:r>
      <w:r w:rsidR="002C74C5">
        <w:rPr>
          <w:rFonts w:cs="Arial"/>
          <w:sz w:val="22"/>
          <w:szCs w:val="22"/>
          <w:lang w:val="en-GB"/>
        </w:rPr>
        <w:t>)</w:t>
      </w:r>
      <w:r w:rsidRPr="00B37F60">
        <w:rPr>
          <w:rFonts w:cs="Arial"/>
          <w:sz w:val="22"/>
          <w:szCs w:val="22"/>
        </w:rPr>
        <w:t xml:space="preserve">, and </w:t>
      </w:r>
      <w:r w:rsidR="00B14434">
        <w:rPr>
          <w:rFonts w:cs="Arial"/>
          <w:sz w:val="22"/>
          <w:szCs w:val="22"/>
        </w:rPr>
        <w:t xml:space="preserve">subsequently </w:t>
      </w:r>
      <w:r w:rsidRPr="00B37F60">
        <w:rPr>
          <w:rFonts w:cs="Arial"/>
          <w:sz w:val="22"/>
          <w:szCs w:val="22"/>
        </w:rPr>
        <w:t xml:space="preserve">to municipal budget income. </w:t>
      </w:r>
    </w:p>
    <w:p w14:paraId="267D35AC" w14:textId="6E35424A" w:rsidR="00E96D64" w:rsidRDefault="009D660D" w:rsidP="009D660D">
      <w:pPr>
        <w:spacing w:before="100" w:beforeAutospacing="1" w:after="100" w:afterAutospacing="1" w:line="240" w:lineRule="auto"/>
        <w:rPr>
          <w:rFonts w:cs="Arial"/>
          <w:sz w:val="22"/>
          <w:szCs w:val="22"/>
        </w:rPr>
      </w:pPr>
      <w:r w:rsidRPr="00B37F60">
        <w:rPr>
          <w:rFonts w:cs="Arial"/>
          <w:sz w:val="22"/>
          <w:szCs w:val="22"/>
        </w:rPr>
        <w:t xml:space="preserve">Further development work of the initial excess rainfall prototype is needed to extend the model to support the pricing and placing of a parametric </w:t>
      </w:r>
      <w:r>
        <w:rPr>
          <w:rFonts w:cs="Arial"/>
          <w:sz w:val="22"/>
          <w:szCs w:val="22"/>
        </w:rPr>
        <w:t>flood</w:t>
      </w:r>
      <w:r w:rsidRPr="00B37F60">
        <w:rPr>
          <w:rFonts w:cs="Arial"/>
          <w:sz w:val="22"/>
          <w:szCs w:val="22"/>
        </w:rPr>
        <w:t xml:space="preserve"> insurance scheme that meets these requirements</w:t>
      </w:r>
      <w:r>
        <w:rPr>
          <w:rFonts w:cs="Arial"/>
          <w:sz w:val="22"/>
          <w:szCs w:val="22"/>
        </w:rPr>
        <w:t xml:space="preserve"> for Cape Town</w:t>
      </w:r>
      <w:r w:rsidRPr="00B37F60">
        <w:rPr>
          <w:rFonts w:cs="Arial"/>
          <w:sz w:val="22"/>
          <w:szCs w:val="22"/>
        </w:rPr>
        <w:t xml:space="preserve">. In addition, such a model </w:t>
      </w:r>
      <w:r w:rsidR="009A6B80">
        <w:rPr>
          <w:rFonts w:cs="Arial"/>
          <w:sz w:val="22"/>
          <w:szCs w:val="22"/>
        </w:rPr>
        <w:t>should</w:t>
      </w:r>
      <w:r w:rsidRPr="00B37F60">
        <w:rPr>
          <w:rFonts w:cs="Arial"/>
          <w:sz w:val="22"/>
          <w:szCs w:val="22"/>
        </w:rPr>
        <w:t xml:space="preserve"> inform broader </w:t>
      </w:r>
      <w:r>
        <w:rPr>
          <w:rFonts w:cs="Arial"/>
          <w:sz w:val="22"/>
          <w:szCs w:val="22"/>
        </w:rPr>
        <w:t xml:space="preserve">disaster </w:t>
      </w:r>
      <w:r w:rsidRPr="00B37F60">
        <w:rPr>
          <w:rFonts w:cs="Arial"/>
          <w:sz w:val="22"/>
          <w:szCs w:val="22"/>
        </w:rPr>
        <w:t xml:space="preserve">risk </w:t>
      </w:r>
      <w:r w:rsidRPr="00B37F60">
        <w:rPr>
          <w:rFonts w:cs="Arial"/>
          <w:sz w:val="22"/>
          <w:szCs w:val="22"/>
        </w:rPr>
        <w:lastRenderedPageBreak/>
        <w:t>management decision priorities</w:t>
      </w:r>
      <w:r w:rsidR="00B21545">
        <w:rPr>
          <w:rFonts w:cs="Arial"/>
          <w:sz w:val="22"/>
          <w:szCs w:val="22"/>
        </w:rPr>
        <w:t xml:space="preserve"> and feed into the City’s </w:t>
      </w:r>
      <w:r w:rsidR="009A6B80" w:rsidRPr="0086589A">
        <w:rPr>
          <w:rFonts w:cs="Arial"/>
          <w:sz w:val="22"/>
          <w:szCs w:val="22"/>
        </w:rPr>
        <w:t xml:space="preserve">broader “Resilience Financing Framework” that covers the full risk management cycle. </w:t>
      </w:r>
      <w:r w:rsidR="00E96D64">
        <w:rPr>
          <w:rFonts w:cs="Arial"/>
          <w:sz w:val="22"/>
          <w:szCs w:val="22"/>
        </w:rPr>
        <w:t xml:space="preserve">Such that </w:t>
      </w:r>
      <w:r w:rsidR="00E96D64" w:rsidRPr="005707A8">
        <w:rPr>
          <w:rFonts w:cs="Arial"/>
          <w:sz w:val="22"/>
          <w:szCs w:val="22"/>
        </w:rPr>
        <w:t xml:space="preserve">if no disaster occurs, the analytics informing the product </w:t>
      </w:r>
      <w:r w:rsidR="00E96D64">
        <w:rPr>
          <w:rFonts w:cs="Arial"/>
          <w:sz w:val="22"/>
          <w:szCs w:val="22"/>
        </w:rPr>
        <w:t>still</w:t>
      </w:r>
      <w:r w:rsidR="00E96D64" w:rsidRPr="005707A8">
        <w:rPr>
          <w:rFonts w:cs="Arial"/>
          <w:sz w:val="22"/>
          <w:szCs w:val="22"/>
        </w:rPr>
        <w:t xml:space="preserve"> support improved planning and adaptation decisions</w:t>
      </w:r>
      <w:r w:rsidR="00B14434">
        <w:rPr>
          <w:rFonts w:cs="Arial"/>
          <w:sz w:val="22"/>
          <w:szCs w:val="22"/>
        </w:rPr>
        <w:t xml:space="preserve"> – which in turn reduce the impact of disasters</w:t>
      </w:r>
      <w:r w:rsidR="00E96D64" w:rsidRPr="005707A8">
        <w:rPr>
          <w:rFonts w:cs="Arial"/>
          <w:sz w:val="22"/>
          <w:szCs w:val="22"/>
        </w:rPr>
        <w:t>.</w:t>
      </w:r>
      <w:r w:rsidR="00E96D64">
        <w:rPr>
          <w:rFonts w:cs="Arial"/>
          <w:sz w:val="22"/>
          <w:szCs w:val="22"/>
        </w:rPr>
        <w:t xml:space="preserve"> At the same time t</w:t>
      </w:r>
      <w:r w:rsidRPr="00B37F60">
        <w:rPr>
          <w:rFonts w:cs="Arial"/>
          <w:sz w:val="22"/>
          <w:szCs w:val="22"/>
        </w:rPr>
        <w:t>he index should remain simple to understand and explain, whilst capturing the severe flood events of interest.</w:t>
      </w:r>
    </w:p>
    <w:p w14:paraId="68C0D165" w14:textId="66BA957F" w:rsidR="009D660D" w:rsidRDefault="009D660D" w:rsidP="009D660D">
      <w:pPr>
        <w:spacing w:before="100" w:beforeAutospacing="1" w:after="100" w:afterAutospacing="1" w:line="240" w:lineRule="auto"/>
        <w:rPr>
          <w:rFonts w:cs="Arial"/>
          <w:sz w:val="22"/>
          <w:szCs w:val="22"/>
        </w:rPr>
      </w:pPr>
      <w:r w:rsidRPr="008D3748">
        <w:rPr>
          <w:rFonts w:cs="Arial"/>
          <w:sz w:val="22"/>
          <w:szCs w:val="22"/>
        </w:rPr>
        <w:t xml:space="preserve">With the delivery of this work, </w:t>
      </w:r>
      <w:r w:rsidR="009A6B80">
        <w:rPr>
          <w:rFonts w:cs="Arial"/>
          <w:sz w:val="22"/>
          <w:szCs w:val="22"/>
        </w:rPr>
        <w:t xml:space="preserve">the City </w:t>
      </w:r>
      <w:r w:rsidRPr="008D3748">
        <w:rPr>
          <w:rFonts w:cs="Arial"/>
          <w:sz w:val="22"/>
          <w:szCs w:val="22"/>
        </w:rPr>
        <w:t xml:space="preserve">will be able to bring a product to market, at which point it should become a blueprint for the use of parametric products by South African metros. To </w:t>
      </w:r>
      <w:r w:rsidR="002922A8" w:rsidRPr="008D3748">
        <w:rPr>
          <w:rFonts w:cs="Arial"/>
          <w:sz w:val="22"/>
          <w:szCs w:val="22"/>
        </w:rPr>
        <w:t>capitalize</w:t>
      </w:r>
      <w:r w:rsidRPr="008D3748">
        <w:rPr>
          <w:rFonts w:cs="Arial"/>
          <w:sz w:val="22"/>
          <w:szCs w:val="22"/>
        </w:rPr>
        <w:t xml:space="preserve"> on the momentum created by placing the product, and subject to the success of the first workstream, a second workstream </w:t>
      </w:r>
      <w:r w:rsidR="00CD2069">
        <w:rPr>
          <w:rFonts w:cs="Arial"/>
          <w:sz w:val="22"/>
          <w:szCs w:val="22"/>
        </w:rPr>
        <w:t xml:space="preserve">(conditional tranche) </w:t>
      </w:r>
      <w:r w:rsidRPr="008D3748">
        <w:rPr>
          <w:rFonts w:cs="Arial"/>
          <w:sz w:val="22"/>
          <w:szCs w:val="22"/>
        </w:rPr>
        <w:t xml:space="preserve">will be undertaken to scale the parametric product </w:t>
      </w:r>
      <w:r w:rsidR="00CD2069">
        <w:rPr>
          <w:rFonts w:cs="Arial"/>
          <w:sz w:val="22"/>
          <w:szCs w:val="22"/>
        </w:rPr>
        <w:t xml:space="preserve">to other municipalities </w:t>
      </w:r>
      <w:r w:rsidRPr="008D3748">
        <w:rPr>
          <w:rFonts w:cs="Arial"/>
          <w:sz w:val="22"/>
          <w:szCs w:val="22"/>
        </w:rPr>
        <w:t xml:space="preserve">beyond Cape Town. </w:t>
      </w:r>
    </w:p>
    <w:p w14:paraId="1D2010F9" w14:textId="348A192E" w:rsidR="006E7599" w:rsidRPr="00B37F60" w:rsidRDefault="006E7599" w:rsidP="0086589A">
      <w:pPr>
        <w:pStyle w:val="Titre4"/>
      </w:pPr>
      <w:r w:rsidRPr="00B37F60">
        <w:t xml:space="preserve">Activities </w:t>
      </w:r>
    </w:p>
    <w:p w14:paraId="71864A7B" w14:textId="61AEAD8F" w:rsidR="00341AD2" w:rsidRPr="00B37F60" w:rsidRDefault="006E7599" w:rsidP="00341AD2">
      <w:pPr>
        <w:spacing w:before="100" w:beforeAutospacing="1" w:after="100" w:afterAutospacing="1" w:line="240" w:lineRule="auto"/>
        <w:rPr>
          <w:rFonts w:cs="Arial"/>
          <w:sz w:val="22"/>
          <w:szCs w:val="22"/>
        </w:rPr>
      </w:pPr>
      <w:r w:rsidRPr="00B37F60">
        <w:rPr>
          <w:rFonts w:cs="Arial"/>
          <w:sz w:val="22"/>
          <w:szCs w:val="22"/>
        </w:rPr>
        <w:t>The consultancy will be expected to perform the following activities</w:t>
      </w:r>
      <w:r w:rsidR="00341AD2">
        <w:rPr>
          <w:rFonts w:cs="Arial"/>
          <w:sz w:val="22"/>
          <w:szCs w:val="22"/>
        </w:rPr>
        <w:t xml:space="preserve">. </w:t>
      </w:r>
      <w:r w:rsidR="00341AD2" w:rsidRPr="00B37F60">
        <w:rPr>
          <w:rFonts w:cs="Arial"/>
          <w:sz w:val="22"/>
          <w:szCs w:val="22"/>
        </w:rPr>
        <w:t xml:space="preserve">Any product design should meet the requirements of the insurance market for a parametric flood product (on risk modelling, validation and analytics). </w:t>
      </w:r>
    </w:p>
    <w:p w14:paraId="61078B22" w14:textId="773F518E" w:rsidR="00F91A14" w:rsidRPr="004354C1" w:rsidRDefault="00F91A14" w:rsidP="00F91A14">
      <w:pPr>
        <w:spacing w:before="100" w:beforeAutospacing="1" w:after="100" w:afterAutospacing="1" w:line="240" w:lineRule="auto"/>
        <w:rPr>
          <w:rFonts w:cs="Arial"/>
          <w:b/>
          <w:bCs/>
          <w:i/>
          <w:iCs/>
          <w:sz w:val="22"/>
          <w:szCs w:val="22"/>
        </w:rPr>
      </w:pPr>
      <w:r w:rsidRPr="004354C1">
        <w:rPr>
          <w:rFonts w:cs="Arial"/>
          <w:b/>
          <w:bCs/>
          <w:i/>
          <w:iCs/>
          <w:sz w:val="22"/>
          <w:szCs w:val="22"/>
        </w:rPr>
        <w:t xml:space="preserve">Phase </w:t>
      </w:r>
      <w:r w:rsidR="005635D5">
        <w:rPr>
          <w:rFonts w:cs="Arial"/>
          <w:b/>
          <w:bCs/>
          <w:i/>
          <w:iCs/>
          <w:sz w:val="22"/>
          <w:szCs w:val="22"/>
        </w:rPr>
        <w:t>I</w:t>
      </w:r>
      <w:r w:rsidRPr="004354C1">
        <w:rPr>
          <w:rFonts w:cs="Arial"/>
          <w:b/>
          <w:bCs/>
          <w:i/>
          <w:iCs/>
          <w:sz w:val="22"/>
          <w:szCs w:val="22"/>
        </w:rPr>
        <w:t>: Product design</w:t>
      </w:r>
    </w:p>
    <w:p w14:paraId="6B340E06" w14:textId="6741229E" w:rsidR="001D5A18" w:rsidRPr="00B37F60" w:rsidRDefault="001D5A18" w:rsidP="00B37F60">
      <w:pPr>
        <w:pStyle w:val="Paragraphedeliste"/>
        <w:numPr>
          <w:ilvl w:val="0"/>
          <w:numId w:val="1"/>
        </w:numPr>
        <w:spacing w:before="100" w:beforeAutospacing="1" w:after="100" w:afterAutospacing="1" w:line="240" w:lineRule="auto"/>
        <w:rPr>
          <w:rFonts w:cs="Arial"/>
          <w:sz w:val="22"/>
          <w:szCs w:val="22"/>
        </w:rPr>
      </w:pPr>
      <w:r w:rsidRPr="00B37F60">
        <w:rPr>
          <w:rFonts w:cs="Arial"/>
          <w:sz w:val="22"/>
          <w:szCs w:val="22"/>
        </w:rPr>
        <w:t xml:space="preserve">Lessons from existing </w:t>
      </w:r>
      <w:r w:rsidR="007D2A93">
        <w:rPr>
          <w:rFonts w:cs="Arial"/>
          <w:sz w:val="22"/>
          <w:szCs w:val="22"/>
        </w:rPr>
        <w:t xml:space="preserve">parametric flood insurance </w:t>
      </w:r>
      <w:r w:rsidRPr="00B37F60">
        <w:rPr>
          <w:rFonts w:cs="Arial"/>
          <w:sz w:val="22"/>
          <w:szCs w:val="22"/>
        </w:rPr>
        <w:t xml:space="preserve">products - Work with the City </w:t>
      </w:r>
      <w:r w:rsidR="00CE140D">
        <w:rPr>
          <w:rFonts w:cs="Arial"/>
          <w:sz w:val="22"/>
          <w:szCs w:val="22"/>
        </w:rPr>
        <w:t>of Cape Town</w:t>
      </w:r>
      <w:r w:rsidRPr="00B37F60">
        <w:rPr>
          <w:rFonts w:cs="Arial"/>
          <w:sz w:val="22"/>
          <w:szCs w:val="22"/>
        </w:rPr>
        <w:t xml:space="preserve"> and </w:t>
      </w:r>
      <w:r w:rsidR="00134962">
        <w:rPr>
          <w:rFonts w:cs="Arial"/>
          <w:sz w:val="22"/>
          <w:szCs w:val="22"/>
        </w:rPr>
        <w:t xml:space="preserve">other market experts to capture </w:t>
      </w:r>
      <w:r w:rsidRPr="00B37F60">
        <w:rPr>
          <w:rFonts w:cs="Arial"/>
          <w:sz w:val="22"/>
          <w:szCs w:val="22"/>
        </w:rPr>
        <w:t xml:space="preserve"> lessons from existing </w:t>
      </w:r>
      <w:r w:rsidR="00491DE6">
        <w:rPr>
          <w:rFonts w:cs="Arial"/>
          <w:sz w:val="22"/>
          <w:szCs w:val="22"/>
        </w:rPr>
        <w:t xml:space="preserve">regional and global </w:t>
      </w:r>
      <w:r w:rsidRPr="00B37F60">
        <w:rPr>
          <w:rFonts w:cs="Arial"/>
          <w:sz w:val="22"/>
          <w:szCs w:val="22"/>
        </w:rPr>
        <w:t>parametric products and implications/differences with their requirements</w:t>
      </w:r>
      <w:r w:rsidR="00D5347F">
        <w:rPr>
          <w:rFonts w:cs="Arial"/>
          <w:sz w:val="22"/>
          <w:szCs w:val="22"/>
        </w:rPr>
        <w:t xml:space="preserve"> for th</w:t>
      </w:r>
      <w:r w:rsidR="00F17343">
        <w:rPr>
          <w:rFonts w:cs="Arial"/>
          <w:sz w:val="22"/>
          <w:szCs w:val="22"/>
        </w:rPr>
        <w:t>e new product</w:t>
      </w:r>
      <w:r w:rsidRPr="00B37F60">
        <w:rPr>
          <w:rFonts w:cs="Arial"/>
          <w:sz w:val="22"/>
          <w:szCs w:val="22"/>
        </w:rPr>
        <w:t xml:space="preserve">. </w:t>
      </w:r>
    </w:p>
    <w:p w14:paraId="48BAC0B6" w14:textId="42BF274A" w:rsidR="00037028" w:rsidRPr="0086589A" w:rsidRDefault="002116D2" w:rsidP="004C0D4A">
      <w:pPr>
        <w:pStyle w:val="Paragraphedeliste"/>
        <w:numPr>
          <w:ilvl w:val="0"/>
          <w:numId w:val="1"/>
        </w:numPr>
        <w:spacing w:before="100" w:beforeAutospacing="1" w:after="100" w:afterAutospacing="1" w:line="240" w:lineRule="auto"/>
        <w:rPr>
          <w:rFonts w:eastAsia="Calibri" w:cstheme="minorHAnsi"/>
          <w:sz w:val="22"/>
          <w:szCs w:val="22"/>
        </w:rPr>
      </w:pPr>
      <w:r w:rsidRPr="00B37F60">
        <w:rPr>
          <w:sz w:val="22"/>
          <w:szCs w:val="22"/>
        </w:rPr>
        <w:t>Exposure data – working with the client and stakeholders, agree on the category(ies) of interest (e.g. population, businesses, transport links</w:t>
      </w:r>
      <w:r w:rsidR="007006DF">
        <w:rPr>
          <w:sz w:val="22"/>
          <w:szCs w:val="22"/>
        </w:rPr>
        <w:t xml:space="preserve">, public infrastructures, </w:t>
      </w:r>
      <w:r w:rsidR="00B14434">
        <w:rPr>
          <w:sz w:val="22"/>
          <w:szCs w:val="22"/>
        </w:rPr>
        <w:t xml:space="preserve">revenue streams </w:t>
      </w:r>
      <w:r w:rsidR="007006DF">
        <w:rPr>
          <w:sz w:val="22"/>
          <w:szCs w:val="22"/>
        </w:rPr>
        <w:t>etc…</w:t>
      </w:r>
      <w:r w:rsidRPr="00B37F60">
        <w:rPr>
          <w:sz w:val="22"/>
          <w:szCs w:val="22"/>
        </w:rPr>
        <w:t xml:space="preserve">) </w:t>
      </w:r>
      <w:r w:rsidR="00DC054C">
        <w:rPr>
          <w:sz w:val="22"/>
          <w:szCs w:val="22"/>
        </w:rPr>
        <w:t xml:space="preserve">and </w:t>
      </w:r>
      <w:r w:rsidR="00470DEB">
        <w:rPr>
          <w:sz w:val="22"/>
          <w:szCs w:val="22"/>
        </w:rPr>
        <w:t xml:space="preserve">the geographic boundary of the </w:t>
      </w:r>
      <w:r w:rsidR="00DC054C">
        <w:rPr>
          <w:sz w:val="22"/>
          <w:szCs w:val="22"/>
        </w:rPr>
        <w:t xml:space="preserve">area </w:t>
      </w:r>
      <w:r w:rsidR="00295E7C">
        <w:rPr>
          <w:sz w:val="22"/>
          <w:szCs w:val="22"/>
        </w:rPr>
        <w:t xml:space="preserve">to be </w:t>
      </w:r>
      <w:r w:rsidR="009A3F60">
        <w:rPr>
          <w:sz w:val="22"/>
          <w:szCs w:val="22"/>
        </w:rPr>
        <w:t>covered</w:t>
      </w:r>
      <w:r w:rsidR="00295E7C">
        <w:rPr>
          <w:sz w:val="22"/>
          <w:szCs w:val="22"/>
        </w:rPr>
        <w:t xml:space="preserve"> by</w:t>
      </w:r>
      <w:r w:rsidRPr="00B37F60">
        <w:rPr>
          <w:sz w:val="22"/>
          <w:szCs w:val="22"/>
        </w:rPr>
        <w:t xml:space="preserve"> the </w:t>
      </w:r>
      <w:r w:rsidR="00295E7C">
        <w:rPr>
          <w:sz w:val="22"/>
          <w:szCs w:val="22"/>
        </w:rPr>
        <w:t>product</w:t>
      </w:r>
      <w:r w:rsidR="00470DEB">
        <w:rPr>
          <w:sz w:val="22"/>
          <w:szCs w:val="22"/>
        </w:rPr>
        <w:t xml:space="preserve"> for the </w:t>
      </w:r>
      <w:r w:rsidR="008E694F">
        <w:rPr>
          <w:sz w:val="22"/>
          <w:szCs w:val="22"/>
        </w:rPr>
        <w:t>C</w:t>
      </w:r>
      <w:r w:rsidR="00470DEB">
        <w:rPr>
          <w:sz w:val="22"/>
          <w:szCs w:val="22"/>
        </w:rPr>
        <w:t>ity of Cape Town</w:t>
      </w:r>
      <w:r w:rsidRPr="00B37F60">
        <w:rPr>
          <w:sz w:val="22"/>
          <w:szCs w:val="22"/>
        </w:rPr>
        <w:t>. Identify available data sets and the work required to access</w:t>
      </w:r>
      <w:r w:rsidR="008E694F">
        <w:rPr>
          <w:sz w:val="22"/>
          <w:szCs w:val="22"/>
        </w:rPr>
        <w:t xml:space="preserve"> and </w:t>
      </w:r>
      <w:r w:rsidRPr="00B37F60">
        <w:rPr>
          <w:sz w:val="22"/>
          <w:szCs w:val="22"/>
        </w:rPr>
        <w:t>reformat data to conform with the input requirements of the model. High quality exposure data for the urban environment will be particularly important in generating accurate assessments</w:t>
      </w:r>
      <w:r w:rsidR="00E656A5" w:rsidRPr="00B37F60">
        <w:rPr>
          <w:sz w:val="22"/>
          <w:szCs w:val="22"/>
        </w:rPr>
        <w:t>.</w:t>
      </w:r>
    </w:p>
    <w:p w14:paraId="4BB4A1B1" w14:textId="3A531341" w:rsidR="002308BD" w:rsidRPr="0086589A" w:rsidRDefault="00037028" w:rsidP="00037028">
      <w:pPr>
        <w:pStyle w:val="Paragraphedeliste"/>
        <w:numPr>
          <w:ilvl w:val="0"/>
          <w:numId w:val="1"/>
        </w:numPr>
        <w:spacing w:before="100" w:beforeAutospacing="1" w:after="100" w:afterAutospacing="1" w:line="240" w:lineRule="auto"/>
        <w:rPr>
          <w:rFonts w:eastAsia="Calibri" w:cstheme="minorHAnsi"/>
          <w:sz w:val="22"/>
          <w:szCs w:val="22"/>
        </w:rPr>
      </w:pPr>
      <w:r w:rsidRPr="00CD2069">
        <w:rPr>
          <w:rFonts w:cs="Times New Roman"/>
          <w:sz w:val="22"/>
          <w:szCs w:val="22"/>
        </w:rPr>
        <w:t>Regulation</w:t>
      </w:r>
      <w:r>
        <w:rPr>
          <w:rFonts w:cs="Times New Roman"/>
          <w:sz w:val="22"/>
          <w:szCs w:val="22"/>
        </w:rPr>
        <w:t xml:space="preserve"> – work with the client</w:t>
      </w:r>
      <w:r w:rsidR="00CD2069">
        <w:rPr>
          <w:rFonts w:cs="Times New Roman"/>
          <w:sz w:val="22"/>
          <w:szCs w:val="22"/>
        </w:rPr>
        <w:t xml:space="preserve"> (AFD</w:t>
      </w:r>
      <w:r w:rsidR="005A23E9">
        <w:rPr>
          <w:rFonts w:cs="Times New Roman"/>
          <w:sz w:val="22"/>
          <w:szCs w:val="22"/>
        </w:rPr>
        <w:t xml:space="preserve"> Group</w:t>
      </w:r>
      <w:r w:rsidR="00CD2069">
        <w:rPr>
          <w:rFonts w:cs="Times New Roman"/>
          <w:sz w:val="22"/>
          <w:szCs w:val="22"/>
        </w:rPr>
        <w:t xml:space="preserve">), the </w:t>
      </w:r>
      <w:r w:rsidR="008E694F">
        <w:rPr>
          <w:rFonts w:cs="Times New Roman"/>
          <w:sz w:val="22"/>
          <w:szCs w:val="22"/>
        </w:rPr>
        <w:t>C</w:t>
      </w:r>
      <w:r w:rsidR="00CD2069">
        <w:rPr>
          <w:rFonts w:cs="Times New Roman"/>
          <w:sz w:val="22"/>
          <w:szCs w:val="22"/>
        </w:rPr>
        <w:t>ity of Cape Town</w:t>
      </w:r>
      <w:r>
        <w:rPr>
          <w:rFonts w:cs="Times New Roman"/>
          <w:sz w:val="22"/>
          <w:szCs w:val="22"/>
        </w:rPr>
        <w:t xml:space="preserve"> and </w:t>
      </w:r>
      <w:r w:rsidRPr="00CD2069">
        <w:rPr>
          <w:rFonts w:cs="Times New Roman"/>
          <w:sz w:val="22"/>
          <w:szCs w:val="22"/>
        </w:rPr>
        <w:t>the World Bank</w:t>
      </w:r>
      <w:r>
        <w:rPr>
          <w:rFonts w:cs="Times New Roman"/>
          <w:sz w:val="22"/>
          <w:szCs w:val="22"/>
        </w:rPr>
        <w:t xml:space="preserve"> on any specific requirements related to regulation and requirements related to the product. Keeping in mind the need to have a flexible approach which can be adjusted over time. </w:t>
      </w:r>
      <w:r w:rsidR="00E656A5" w:rsidRPr="0086589A">
        <w:rPr>
          <w:sz w:val="22"/>
          <w:szCs w:val="22"/>
        </w:rPr>
        <w:t xml:space="preserve"> </w:t>
      </w:r>
    </w:p>
    <w:p w14:paraId="660E43F3" w14:textId="2CF89A52" w:rsidR="00404649" w:rsidRPr="0086589A" w:rsidRDefault="00404649" w:rsidP="0086589A">
      <w:pPr>
        <w:numPr>
          <w:ilvl w:val="0"/>
          <w:numId w:val="1"/>
        </w:numPr>
        <w:spacing w:before="100" w:beforeAutospacing="1" w:after="100" w:afterAutospacing="1" w:line="240" w:lineRule="auto"/>
        <w:rPr>
          <w:rFonts w:eastAsia="Calibri" w:cstheme="minorHAnsi"/>
          <w:sz w:val="22"/>
          <w:szCs w:val="22"/>
        </w:rPr>
      </w:pPr>
      <w:r w:rsidRPr="0082067F">
        <w:rPr>
          <w:rFonts w:cs="Times New Roman"/>
          <w:sz w:val="22"/>
          <w:szCs w:val="22"/>
        </w:rPr>
        <w:t xml:space="preserve">Use of funds </w:t>
      </w:r>
      <w:r w:rsidR="00A676D4">
        <w:rPr>
          <w:rFonts w:cs="Times New Roman"/>
          <w:sz w:val="22"/>
          <w:szCs w:val="22"/>
        </w:rPr>
        <w:t>–</w:t>
      </w:r>
      <w:r w:rsidRPr="0082067F">
        <w:rPr>
          <w:rFonts w:cs="Times New Roman"/>
          <w:sz w:val="22"/>
          <w:szCs w:val="22"/>
        </w:rPr>
        <w:t xml:space="preserve"> </w:t>
      </w:r>
      <w:r w:rsidRPr="0082067F">
        <w:rPr>
          <w:rFonts w:eastAsia="Times New Roman"/>
          <w:color w:val="000000"/>
          <w:sz w:val="22"/>
          <w:szCs w:val="22"/>
        </w:rPr>
        <w:t xml:space="preserve">Define the specific use of funds (e.g., emergency pumping, overtime for response crews, </w:t>
      </w:r>
      <w:r w:rsidR="00B14434">
        <w:rPr>
          <w:rFonts w:eastAsia="Times New Roman"/>
          <w:color w:val="000000"/>
          <w:sz w:val="22"/>
          <w:szCs w:val="22"/>
        </w:rPr>
        <w:t xml:space="preserve">rates relief </w:t>
      </w:r>
      <w:r w:rsidRPr="0082067F">
        <w:rPr>
          <w:rFonts w:eastAsia="Times New Roman"/>
          <w:color w:val="000000"/>
          <w:sz w:val="22"/>
          <w:szCs w:val="22"/>
        </w:rPr>
        <w:t>etc</w:t>
      </w:r>
      <w:r>
        <w:rPr>
          <w:rFonts w:eastAsia="Times New Roman"/>
          <w:color w:val="000000"/>
          <w:sz w:val="22"/>
          <w:szCs w:val="22"/>
        </w:rPr>
        <w:t>.</w:t>
      </w:r>
      <w:r w:rsidRPr="0082067F">
        <w:rPr>
          <w:rFonts w:eastAsia="Times New Roman"/>
          <w:color w:val="000000"/>
          <w:sz w:val="22"/>
          <w:szCs w:val="22"/>
        </w:rPr>
        <w:t>), to comply with the requirements of ma</w:t>
      </w:r>
      <w:r w:rsidR="001F023D">
        <w:rPr>
          <w:rFonts w:eastAsia="Times New Roman"/>
          <w:color w:val="000000"/>
          <w:sz w:val="22"/>
          <w:szCs w:val="22"/>
        </w:rPr>
        <w:t>n</w:t>
      </w:r>
      <w:r w:rsidRPr="0082067F">
        <w:rPr>
          <w:rFonts w:eastAsia="Times New Roman"/>
          <w:color w:val="000000"/>
          <w:sz w:val="22"/>
          <w:szCs w:val="22"/>
        </w:rPr>
        <w:t>y insurers regarding internal compliance approvals before quoting.</w:t>
      </w:r>
    </w:p>
    <w:p w14:paraId="52DD6DBC" w14:textId="2CE96730" w:rsidR="00092746" w:rsidRPr="00847298" w:rsidRDefault="00092746" w:rsidP="00B37F60">
      <w:pPr>
        <w:pStyle w:val="Paragraphedeliste"/>
        <w:numPr>
          <w:ilvl w:val="0"/>
          <w:numId w:val="1"/>
        </w:numPr>
        <w:spacing w:before="100" w:beforeAutospacing="1" w:after="100" w:afterAutospacing="1" w:line="240" w:lineRule="auto"/>
        <w:rPr>
          <w:rFonts w:cs="Times New Roman"/>
          <w:sz w:val="22"/>
          <w:szCs w:val="22"/>
        </w:rPr>
      </w:pPr>
      <w:r w:rsidRPr="00847298">
        <w:rPr>
          <w:rFonts w:eastAsia="Calibri" w:cstheme="minorHAnsi"/>
          <w:sz w:val="22"/>
          <w:szCs w:val="22"/>
        </w:rPr>
        <w:t xml:space="preserve">Historical flood impacts/losses </w:t>
      </w:r>
      <w:r w:rsidR="00854D81" w:rsidRPr="00847298">
        <w:rPr>
          <w:rFonts w:eastAsia="Calibri" w:cstheme="minorHAnsi"/>
          <w:sz w:val="22"/>
          <w:szCs w:val="22"/>
        </w:rPr>
        <w:t>–</w:t>
      </w:r>
      <w:r w:rsidRPr="00847298">
        <w:rPr>
          <w:rFonts w:eastAsia="Calibri" w:cstheme="minorHAnsi"/>
          <w:sz w:val="22"/>
          <w:szCs w:val="22"/>
        </w:rPr>
        <w:t xml:space="preserve"> </w:t>
      </w:r>
      <w:r w:rsidR="00C97CC0" w:rsidRPr="00847298">
        <w:rPr>
          <w:rFonts w:eastAsia="Calibri" w:cstheme="minorHAnsi"/>
          <w:sz w:val="22"/>
          <w:szCs w:val="22"/>
        </w:rPr>
        <w:t xml:space="preserve">develop a </w:t>
      </w:r>
      <w:r w:rsidR="00847298" w:rsidRPr="00847298">
        <w:rPr>
          <w:rFonts w:eastAsia="Calibri" w:cstheme="minorHAnsi"/>
          <w:sz w:val="22"/>
          <w:szCs w:val="22"/>
        </w:rPr>
        <w:t xml:space="preserve">set of scenarios </w:t>
      </w:r>
      <w:r w:rsidR="00847298" w:rsidRPr="00847298">
        <w:rPr>
          <w:rFonts w:cs="Times New Roman"/>
          <w:sz w:val="22"/>
          <w:szCs w:val="22"/>
        </w:rPr>
        <w:t xml:space="preserve">of likely flood damage by area and asset type, using historical </w:t>
      </w:r>
      <w:r w:rsidR="00847298">
        <w:rPr>
          <w:rFonts w:cs="Times New Roman"/>
          <w:sz w:val="22"/>
          <w:szCs w:val="22"/>
        </w:rPr>
        <w:t>f</w:t>
      </w:r>
      <w:r w:rsidR="00854D81" w:rsidRPr="00847298">
        <w:rPr>
          <w:rFonts w:eastAsia="Calibri" w:cstheme="minorHAnsi"/>
          <w:sz w:val="22"/>
          <w:szCs w:val="22"/>
        </w:rPr>
        <w:t>lood events</w:t>
      </w:r>
      <w:r w:rsidR="00CE140D">
        <w:rPr>
          <w:rFonts w:eastAsia="Calibri" w:cstheme="minorHAnsi"/>
          <w:sz w:val="22"/>
          <w:szCs w:val="22"/>
        </w:rPr>
        <w:t xml:space="preserve"> for the </w:t>
      </w:r>
      <w:r w:rsidR="00470DEB">
        <w:rPr>
          <w:rFonts w:eastAsia="Calibri" w:cstheme="minorHAnsi"/>
          <w:sz w:val="22"/>
          <w:szCs w:val="22"/>
        </w:rPr>
        <w:t>defined area of interest in Cape Town</w:t>
      </w:r>
      <w:r w:rsidRPr="00847298">
        <w:rPr>
          <w:rFonts w:cs="Arial"/>
          <w:sz w:val="22"/>
          <w:szCs w:val="22"/>
        </w:rPr>
        <w:t xml:space="preserve">. </w:t>
      </w:r>
      <w:r w:rsidR="00CD2069">
        <w:rPr>
          <w:rFonts w:cs="Arial"/>
          <w:sz w:val="22"/>
          <w:szCs w:val="22"/>
        </w:rPr>
        <w:t xml:space="preserve">The scenarios shall specifically highlight the losses and impacts on the municipality’s assets and revenue streams – directly and indirectly (and not solely on affected households and businesses). </w:t>
      </w:r>
      <w:r w:rsidRPr="00847298">
        <w:rPr>
          <w:rFonts w:cs="Arial"/>
          <w:sz w:val="22"/>
          <w:szCs w:val="22"/>
        </w:rPr>
        <w:t xml:space="preserve">This should </w:t>
      </w:r>
      <w:r w:rsidR="00EA0B4D" w:rsidRPr="00847298">
        <w:rPr>
          <w:rFonts w:cs="Arial"/>
          <w:sz w:val="22"/>
          <w:szCs w:val="22"/>
        </w:rPr>
        <w:t>be informed by</w:t>
      </w:r>
      <w:r w:rsidRPr="00847298">
        <w:rPr>
          <w:rFonts w:cs="Arial"/>
          <w:sz w:val="22"/>
          <w:szCs w:val="22"/>
        </w:rPr>
        <w:t xml:space="preserve"> data from the public, humanitarian and private sectors. </w:t>
      </w:r>
      <w:r w:rsidR="00847298">
        <w:rPr>
          <w:rFonts w:cs="Arial"/>
          <w:sz w:val="22"/>
          <w:szCs w:val="22"/>
        </w:rPr>
        <w:t xml:space="preserve">Any historical data should be collated in a database for record and if the depth allows can be used to develop the historical loss distribution beyond scenarios. </w:t>
      </w:r>
      <w:r w:rsidRPr="00847298">
        <w:rPr>
          <w:rFonts w:cs="Times New Roman"/>
          <w:sz w:val="22"/>
          <w:szCs w:val="22"/>
        </w:rPr>
        <w:t xml:space="preserve"> Th</w:t>
      </w:r>
      <w:r w:rsidR="00847298">
        <w:rPr>
          <w:rFonts w:cs="Times New Roman"/>
          <w:sz w:val="22"/>
          <w:szCs w:val="22"/>
        </w:rPr>
        <w:t>e scenarios c</w:t>
      </w:r>
      <w:r w:rsidRPr="00847298">
        <w:rPr>
          <w:rFonts w:cs="Times New Roman"/>
          <w:sz w:val="22"/>
          <w:szCs w:val="22"/>
        </w:rPr>
        <w:t>an be used to define coverage and attachment points and retrospectively test them against these scenarios and actual history where available.</w:t>
      </w:r>
    </w:p>
    <w:p w14:paraId="1F8A1371" w14:textId="719672C1" w:rsidR="006609E6" w:rsidRPr="00B37F60" w:rsidRDefault="00AA3258" w:rsidP="00B37F60">
      <w:pPr>
        <w:pStyle w:val="Paragraphedeliste"/>
        <w:numPr>
          <w:ilvl w:val="0"/>
          <w:numId w:val="1"/>
        </w:numPr>
        <w:spacing w:before="100" w:beforeAutospacing="1" w:after="100" w:afterAutospacing="1" w:line="240" w:lineRule="auto"/>
        <w:rPr>
          <w:rFonts w:cs="Arial"/>
          <w:sz w:val="22"/>
          <w:szCs w:val="22"/>
        </w:rPr>
      </w:pPr>
      <w:r w:rsidRPr="00B37F60">
        <w:rPr>
          <w:rFonts w:eastAsia="Calibri" w:cstheme="minorHAnsi"/>
          <w:sz w:val="22"/>
          <w:szCs w:val="22"/>
        </w:rPr>
        <w:t xml:space="preserve">High resolution rainfall data – </w:t>
      </w:r>
      <w:r w:rsidR="00DC6ABE">
        <w:rPr>
          <w:rFonts w:eastAsia="Calibri" w:cstheme="minorHAnsi"/>
          <w:sz w:val="22"/>
          <w:szCs w:val="22"/>
        </w:rPr>
        <w:t>identify</w:t>
      </w:r>
      <w:r w:rsidRPr="00B37F60">
        <w:rPr>
          <w:rFonts w:eastAsia="Calibri" w:cstheme="minorHAnsi"/>
          <w:sz w:val="22"/>
          <w:szCs w:val="22"/>
        </w:rPr>
        <w:t xml:space="preserve"> rainfall data with suitable spatial resolutions on which to credibly localize the rainfall within the area of interest. </w:t>
      </w:r>
      <w:r w:rsidR="006609E6" w:rsidRPr="00B37F60">
        <w:rPr>
          <w:rFonts w:cs="Arial"/>
          <w:sz w:val="22"/>
          <w:szCs w:val="22"/>
        </w:rPr>
        <w:t>Enriching the one weather station-based excess rainfall structure with more weather stations to represent a broader area, given the distribution of industrial</w:t>
      </w:r>
      <w:r w:rsidR="00347A69">
        <w:rPr>
          <w:rFonts w:cs="Arial"/>
          <w:sz w:val="22"/>
          <w:szCs w:val="22"/>
        </w:rPr>
        <w:t xml:space="preserve"> and residential</w:t>
      </w:r>
      <w:r w:rsidR="006609E6" w:rsidRPr="00B37F60">
        <w:rPr>
          <w:rFonts w:cs="Arial"/>
          <w:sz w:val="22"/>
          <w:szCs w:val="22"/>
        </w:rPr>
        <w:t xml:space="preserve"> areas across the municipality</w:t>
      </w:r>
      <w:r w:rsidR="00347A69">
        <w:rPr>
          <w:rFonts w:cs="Arial"/>
          <w:sz w:val="22"/>
          <w:szCs w:val="22"/>
        </w:rPr>
        <w:t xml:space="preserve"> (excluding frequently flooding areas)</w:t>
      </w:r>
      <w:r w:rsidR="00847298">
        <w:rPr>
          <w:rFonts w:cs="Arial"/>
          <w:sz w:val="22"/>
          <w:szCs w:val="22"/>
        </w:rPr>
        <w:t xml:space="preserve">, considering the risks of using such data (such as access issues) and any other data sources </w:t>
      </w:r>
      <w:r w:rsidR="005A23E9">
        <w:rPr>
          <w:rFonts w:cs="Arial"/>
          <w:sz w:val="22"/>
          <w:szCs w:val="22"/>
        </w:rPr>
        <w:t>is required to</w:t>
      </w:r>
      <w:r w:rsidR="00847298">
        <w:rPr>
          <w:rFonts w:cs="Arial"/>
          <w:sz w:val="22"/>
          <w:szCs w:val="22"/>
        </w:rPr>
        <w:t xml:space="preserve"> complement this. </w:t>
      </w:r>
    </w:p>
    <w:p w14:paraId="728ABEC2" w14:textId="6B428138" w:rsidR="00BD6738" w:rsidRPr="00B67361" w:rsidRDefault="001F79BE" w:rsidP="0082067F">
      <w:pPr>
        <w:pStyle w:val="Paragraphedeliste"/>
        <w:numPr>
          <w:ilvl w:val="0"/>
          <w:numId w:val="1"/>
        </w:numPr>
        <w:spacing w:before="100" w:beforeAutospacing="1" w:after="100" w:afterAutospacing="1" w:line="240" w:lineRule="auto"/>
        <w:rPr>
          <w:rFonts w:cs="Arial"/>
          <w:sz w:val="22"/>
          <w:szCs w:val="22"/>
        </w:rPr>
      </w:pPr>
      <w:r>
        <w:rPr>
          <w:rFonts w:cs="Arial"/>
          <w:sz w:val="22"/>
          <w:szCs w:val="22"/>
        </w:rPr>
        <w:t>Index design</w:t>
      </w:r>
      <w:r w:rsidR="00A676D4">
        <w:rPr>
          <w:rFonts w:cs="Arial"/>
          <w:sz w:val="22"/>
          <w:szCs w:val="22"/>
        </w:rPr>
        <w:t xml:space="preserve"> </w:t>
      </w:r>
      <w:r w:rsidR="00A676D4">
        <w:rPr>
          <w:rFonts w:cs="Times New Roman"/>
          <w:sz w:val="22"/>
          <w:szCs w:val="22"/>
        </w:rPr>
        <w:t>–</w:t>
      </w:r>
      <w:r w:rsidR="00847298">
        <w:rPr>
          <w:rFonts w:cs="Arial"/>
          <w:sz w:val="22"/>
          <w:szCs w:val="22"/>
        </w:rPr>
        <w:t xml:space="preserve"> </w:t>
      </w:r>
      <w:r w:rsidR="007161B2">
        <w:rPr>
          <w:rFonts w:cs="Arial"/>
          <w:sz w:val="22"/>
          <w:szCs w:val="22"/>
        </w:rPr>
        <w:t xml:space="preserve">Develop an index, with </w:t>
      </w:r>
      <w:r w:rsidR="007F0AD4">
        <w:rPr>
          <w:rFonts w:cs="Arial"/>
          <w:sz w:val="22"/>
          <w:szCs w:val="22"/>
        </w:rPr>
        <w:t xml:space="preserve">appropriate </w:t>
      </w:r>
      <w:r w:rsidR="007161B2">
        <w:rPr>
          <w:rFonts w:cs="Arial"/>
          <w:sz w:val="22"/>
          <w:szCs w:val="22"/>
        </w:rPr>
        <w:t xml:space="preserve">trigger thresholds to </w:t>
      </w:r>
      <w:r w:rsidR="007F0AD4">
        <w:rPr>
          <w:rFonts w:cs="Arial"/>
          <w:sz w:val="22"/>
          <w:szCs w:val="22"/>
        </w:rPr>
        <w:t xml:space="preserve">adequately </w:t>
      </w:r>
      <w:r w:rsidR="007161B2">
        <w:rPr>
          <w:rFonts w:cs="Arial"/>
          <w:sz w:val="22"/>
          <w:szCs w:val="22"/>
        </w:rPr>
        <w:t xml:space="preserve">proxy </w:t>
      </w:r>
      <w:r w:rsidR="000B2D27">
        <w:rPr>
          <w:rFonts w:cs="Arial"/>
          <w:sz w:val="22"/>
          <w:szCs w:val="22"/>
        </w:rPr>
        <w:t xml:space="preserve">the vulnerability </w:t>
      </w:r>
      <w:r w:rsidR="007F0AD4">
        <w:rPr>
          <w:rFonts w:cs="Arial"/>
          <w:sz w:val="22"/>
          <w:szCs w:val="22"/>
        </w:rPr>
        <w:t>and</w:t>
      </w:r>
      <w:r w:rsidR="00B423DC">
        <w:rPr>
          <w:rFonts w:cs="Arial"/>
          <w:sz w:val="22"/>
          <w:szCs w:val="22"/>
        </w:rPr>
        <w:t xml:space="preserve"> corresponding</w:t>
      </w:r>
      <w:r w:rsidR="007161B2">
        <w:rPr>
          <w:rFonts w:cs="Arial"/>
          <w:sz w:val="22"/>
          <w:szCs w:val="22"/>
        </w:rPr>
        <w:t xml:space="preserve"> losses in the areas of interest. </w:t>
      </w:r>
      <w:r w:rsidR="000B2D27">
        <w:rPr>
          <w:rFonts w:cs="Arial"/>
          <w:sz w:val="22"/>
          <w:szCs w:val="22"/>
        </w:rPr>
        <w:t>For</w:t>
      </w:r>
      <w:r w:rsidR="007035B6" w:rsidRPr="00B37F60">
        <w:rPr>
          <w:rFonts w:eastAsia="Calibri" w:cstheme="minorHAnsi"/>
          <w:sz w:val="22"/>
          <w:szCs w:val="22"/>
        </w:rPr>
        <w:t xml:space="preserve"> the selected exposure data set(s), analyze the options for developing additional vulnerability relationships</w:t>
      </w:r>
      <w:r w:rsidR="0026074D">
        <w:rPr>
          <w:rFonts w:eastAsia="Calibri" w:cstheme="minorHAnsi"/>
          <w:sz w:val="22"/>
          <w:szCs w:val="22"/>
        </w:rPr>
        <w:t xml:space="preserve">. </w:t>
      </w:r>
    </w:p>
    <w:p w14:paraId="76ED5E54" w14:textId="24F95070" w:rsidR="001F79BE" w:rsidRPr="0082067F" w:rsidRDefault="00BD6738" w:rsidP="0082067F">
      <w:pPr>
        <w:pStyle w:val="Paragraphedeliste"/>
        <w:numPr>
          <w:ilvl w:val="0"/>
          <w:numId w:val="1"/>
        </w:numPr>
        <w:spacing w:before="100" w:beforeAutospacing="1" w:after="100" w:afterAutospacing="1" w:line="240" w:lineRule="auto"/>
        <w:rPr>
          <w:rFonts w:cs="Arial"/>
          <w:sz w:val="22"/>
          <w:szCs w:val="22"/>
        </w:rPr>
      </w:pPr>
      <w:r>
        <w:rPr>
          <w:rFonts w:eastAsia="Calibri" w:cstheme="minorHAnsi"/>
          <w:sz w:val="22"/>
          <w:szCs w:val="22"/>
        </w:rPr>
        <w:t xml:space="preserve">Payout modalities </w:t>
      </w:r>
      <w:r w:rsidR="00A676D4">
        <w:rPr>
          <w:rFonts w:cs="Times New Roman"/>
          <w:sz w:val="22"/>
          <w:szCs w:val="22"/>
        </w:rPr>
        <w:t>– T</w:t>
      </w:r>
      <w:r>
        <w:rPr>
          <w:rFonts w:eastAsia="Calibri" w:cstheme="minorHAnsi"/>
          <w:sz w:val="22"/>
          <w:szCs w:val="22"/>
        </w:rPr>
        <w:t xml:space="preserve">he Consultant should also </w:t>
      </w:r>
      <w:r w:rsidRPr="00BD6738">
        <w:rPr>
          <w:rFonts w:eastAsia="Calibri" w:cstheme="minorHAnsi"/>
          <w:sz w:val="22"/>
          <w:szCs w:val="22"/>
        </w:rPr>
        <w:t>define and test the payout modalities of the insurance mechanisms (binary on/off payouts or graduated payouts based on thresholds</w:t>
      </w:r>
      <w:r>
        <w:rPr>
          <w:rFonts w:eastAsia="Calibri" w:cstheme="minorHAnsi"/>
          <w:sz w:val="22"/>
          <w:szCs w:val="22"/>
        </w:rPr>
        <w:t xml:space="preserve">) </w:t>
      </w:r>
      <w:r w:rsidR="001F79BE" w:rsidRPr="0082067F">
        <w:rPr>
          <w:rFonts w:cs="Times New Roman"/>
          <w:sz w:val="22"/>
          <w:szCs w:val="22"/>
        </w:rPr>
        <w:t xml:space="preserve">The </w:t>
      </w:r>
      <w:r w:rsidR="001F79BE" w:rsidRPr="0082067F">
        <w:rPr>
          <w:rFonts w:cs="Arial"/>
          <w:sz w:val="22"/>
          <w:szCs w:val="22"/>
        </w:rPr>
        <w:t xml:space="preserve">risk analytics and index developed for the product should be designed to also inform the City’s ongoing Flood </w:t>
      </w:r>
      <w:r w:rsidR="00C35D69">
        <w:rPr>
          <w:rFonts w:cs="Arial"/>
          <w:sz w:val="22"/>
          <w:szCs w:val="22"/>
        </w:rPr>
        <w:t xml:space="preserve">Adaptation and Management </w:t>
      </w:r>
      <w:r w:rsidR="001F79BE" w:rsidRPr="0082067F">
        <w:rPr>
          <w:rFonts w:cs="Arial"/>
          <w:sz w:val="22"/>
          <w:szCs w:val="22"/>
        </w:rPr>
        <w:t>Plan</w:t>
      </w:r>
      <w:r w:rsidR="0082067F">
        <w:rPr>
          <w:rFonts w:cs="Arial"/>
          <w:sz w:val="22"/>
          <w:szCs w:val="22"/>
        </w:rPr>
        <w:t xml:space="preserve">, with explanation provided on how </w:t>
      </w:r>
      <w:r w:rsidR="00890D62">
        <w:rPr>
          <w:rFonts w:cs="Arial"/>
          <w:sz w:val="22"/>
          <w:szCs w:val="22"/>
        </w:rPr>
        <w:t xml:space="preserve">they are </w:t>
      </w:r>
      <w:r w:rsidR="0082067F">
        <w:rPr>
          <w:rFonts w:cs="Arial"/>
          <w:sz w:val="22"/>
          <w:szCs w:val="22"/>
        </w:rPr>
        <w:t>to be interpreted</w:t>
      </w:r>
      <w:r w:rsidR="001F79BE" w:rsidRPr="0082067F">
        <w:rPr>
          <w:rFonts w:cs="Arial"/>
          <w:sz w:val="22"/>
          <w:szCs w:val="22"/>
        </w:rPr>
        <w:t xml:space="preserve">. </w:t>
      </w:r>
    </w:p>
    <w:p w14:paraId="5F49B45D" w14:textId="6C8F8DDA" w:rsidR="00F91A14" w:rsidRDefault="00F91A14" w:rsidP="00F91A14">
      <w:pPr>
        <w:pStyle w:val="Paragraphedeliste"/>
        <w:numPr>
          <w:ilvl w:val="0"/>
          <w:numId w:val="1"/>
        </w:numPr>
        <w:spacing w:before="100" w:beforeAutospacing="1" w:after="100" w:afterAutospacing="1" w:line="240" w:lineRule="auto"/>
        <w:rPr>
          <w:rFonts w:cs="Arial"/>
          <w:sz w:val="22"/>
          <w:szCs w:val="22"/>
        </w:rPr>
      </w:pPr>
      <w:r>
        <w:rPr>
          <w:rFonts w:cs="Arial"/>
          <w:sz w:val="22"/>
          <w:szCs w:val="22"/>
        </w:rPr>
        <w:t>Calculation Agent</w:t>
      </w:r>
      <w:r w:rsidR="00A676D4">
        <w:rPr>
          <w:rFonts w:cs="Arial"/>
          <w:sz w:val="22"/>
          <w:szCs w:val="22"/>
        </w:rPr>
        <w:t xml:space="preserve"> </w:t>
      </w:r>
      <w:r w:rsidR="00A676D4">
        <w:rPr>
          <w:rFonts w:cs="Times New Roman"/>
          <w:sz w:val="22"/>
          <w:szCs w:val="22"/>
        </w:rPr>
        <w:t>–</w:t>
      </w:r>
      <w:r>
        <w:rPr>
          <w:rFonts w:cs="Arial"/>
          <w:sz w:val="22"/>
          <w:szCs w:val="22"/>
        </w:rPr>
        <w:t xml:space="preserve"> Identify entit</w:t>
      </w:r>
      <w:r w:rsidR="00E16393">
        <w:rPr>
          <w:rFonts w:cs="Arial"/>
          <w:sz w:val="22"/>
          <w:szCs w:val="22"/>
        </w:rPr>
        <w:t>ies</w:t>
      </w:r>
      <w:r>
        <w:rPr>
          <w:rFonts w:cs="Arial"/>
          <w:sz w:val="22"/>
          <w:szCs w:val="22"/>
        </w:rPr>
        <w:t xml:space="preserve"> that could be in charge of the data download, control and validation</w:t>
      </w:r>
      <w:r w:rsidR="00470DEB">
        <w:rPr>
          <w:rFonts w:cs="Arial"/>
          <w:sz w:val="22"/>
          <w:szCs w:val="22"/>
        </w:rPr>
        <w:t xml:space="preserve"> of calculating index values </w:t>
      </w:r>
      <w:r w:rsidR="002A14A1">
        <w:rPr>
          <w:rFonts w:cs="Arial"/>
          <w:sz w:val="22"/>
          <w:szCs w:val="22"/>
        </w:rPr>
        <w:t>during and following flood events and determining when trigger thresholds have been exceeded</w:t>
      </w:r>
      <w:r w:rsidR="00BD6738">
        <w:rPr>
          <w:rFonts w:cs="Arial"/>
          <w:sz w:val="22"/>
          <w:szCs w:val="22"/>
        </w:rPr>
        <w:t xml:space="preserve">. </w:t>
      </w:r>
      <w:r w:rsidR="00BD6738" w:rsidRPr="00BD6738">
        <w:rPr>
          <w:rFonts w:cs="Arial"/>
          <w:sz w:val="22"/>
          <w:szCs w:val="22"/>
        </w:rPr>
        <w:t>This Agent must be selected based on criteria of reliability, independence, and transparency. Procedures must also be defined to address situations where the underlying index data are unavailable, as well as the potential cases and procedures for dispute and challenge.</w:t>
      </w:r>
    </w:p>
    <w:p w14:paraId="5E45787B" w14:textId="16A18855" w:rsidR="00A676D4" w:rsidRDefault="00A676D4" w:rsidP="00F91A14">
      <w:pPr>
        <w:pStyle w:val="Paragraphedeliste"/>
        <w:numPr>
          <w:ilvl w:val="0"/>
          <w:numId w:val="1"/>
        </w:numPr>
        <w:spacing w:before="100" w:beforeAutospacing="1" w:after="100" w:afterAutospacing="1" w:line="240" w:lineRule="auto"/>
        <w:rPr>
          <w:rFonts w:cs="Arial"/>
          <w:sz w:val="22"/>
          <w:szCs w:val="22"/>
        </w:rPr>
      </w:pPr>
      <w:r>
        <w:rPr>
          <w:rFonts w:cs="Arial"/>
          <w:sz w:val="22"/>
          <w:szCs w:val="22"/>
        </w:rPr>
        <w:t>Long-term vision and link to risk reduce investments</w:t>
      </w:r>
      <w:r>
        <w:rPr>
          <w:rFonts w:cs="Times New Roman"/>
          <w:sz w:val="22"/>
          <w:szCs w:val="22"/>
        </w:rPr>
        <w:t xml:space="preserve"> – The Consultant </w:t>
      </w:r>
      <w:r w:rsidR="00AE6FC3">
        <w:rPr>
          <w:rFonts w:cs="Times New Roman"/>
          <w:sz w:val="22"/>
          <w:szCs w:val="22"/>
        </w:rPr>
        <w:t>will</w:t>
      </w:r>
      <w:r>
        <w:rPr>
          <w:rFonts w:cs="Times New Roman"/>
          <w:sz w:val="22"/>
          <w:szCs w:val="22"/>
        </w:rPr>
        <w:t xml:space="preserve"> </w:t>
      </w:r>
      <w:r w:rsidR="00263991">
        <w:rPr>
          <w:rFonts w:cs="Times New Roman"/>
          <w:sz w:val="22"/>
          <w:szCs w:val="22"/>
        </w:rPr>
        <w:t xml:space="preserve">design a </w:t>
      </w:r>
      <w:r w:rsidR="006125EE">
        <w:rPr>
          <w:rFonts w:cs="Times New Roman"/>
          <w:sz w:val="22"/>
          <w:szCs w:val="22"/>
        </w:rPr>
        <w:t xml:space="preserve">staged </w:t>
      </w:r>
      <w:r w:rsidR="00263991">
        <w:rPr>
          <w:rFonts w:cs="Times New Roman"/>
          <w:sz w:val="22"/>
          <w:szCs w:val="22"/>
        </w:rPr>
        <w:t xml:space="preserve">plan </w:t>
      </w:r>
      <w:r w:rsidR="006125EE">
        <w:rPr>
          <w:rFonts w:cs="Times New Roman"/>
          <w:sz w:val="22"/>
          <w:szCs w:val="22"/>
        </w:rPr>
        <w:t>highlighting the</w:t>
      </w:r>
      <w:r w:rsidR="00263991">
        <w:rPr>
          <w:rFonts w:cs="Times New Roman"/>
          <w:sz w:val="22"/>
          <w:szCs w:val="22"/>
        </w:rPr>
        <w:t xml:space="preserve"> </w:t>
      </w:r>
      <w:r w:rsidR="006125EE">
        <w:rPr>
          <w:rFonts w:cs="Times New Roman"/>
          <w:sz w:val="22"/>
          <w:szCs w:val="22"/>
        </w:rPr>
        <w:t>connection</w:t>
      </w:r>
      <w:r w:rsidR="00263991">
        <w:rPr>
          <w:rFonts w:cs="Times New Roman"/>
          <w:sz w:val="22"/>
          <w:szCs w:val="22"/>
        </w:rPr>
        <w:t xml:space="preserve"> between i</w:t>
      </w:r>
      <w:r>
        <w:rPr>
          <w:rFonts w:cs="Times New Roman"/>
          <w:sz w:val="22"/>
          <w:szCs w:val="22"/>
        </w:rPr>
        <w:t xml:space="preserve">nvestments in risk reduction </w:t>
      </w:r>
      <w:r w:rsidR="00263991">
        <w:rPr>
          <w:rFonts w:cs="Times New Roman"/>
          <w:sz w:val="22"/>
          <w:szCs w:val="22"/>
        </w:rPr>
        <w:t>and level of insurance coverage required</w:t>
      </w:r>
      <w:r w:rsidR="006125EE">
        <w:rPr>
          <w:rFonts w:cs="Times New Roman"/>
          <w:sz w:val="22"/>
          <w:szCs w:val="22"/>
        </w:rPr>
        <w:t xml:space="preserve"> and how this can be adjusted over time (i.e., as </w:t>
      </w:r>
      <w:r w:rsidR="0017054F">
        <w:rPr>
          <w:rFonts w:cs="Times New Roman"/>
          <w:sz w:val="22"/>
          <w:szCs w:val="22"/>
        </w:rPr>
        <w:t xml:space="preserve">risk is reduced, coverage can be adjusted to higher return periods). </w:t>
      </w:r>
    </w:p>
    <w:p w14:paraId="25E69956" w14:textId="30FE384D" w:rsidR="00402239" w:rsidRPr="0086589A" w:rsidRDefault="00D0170C" w:rsidP="0086589A">
      <w:pPr>
        <w:spacing w:before="100" w:beforeAutospacing="1" w:after="100" w:afterAutospacing="1" w:line="240" w:lineRule="auto"/>
        <w:rPr>
          <w:rFonts w:cs="Arial"/>
          <w:sz w:val="22"/>
          <w:szCs w:val="22"/>
        </w:rPr>
      </w:pPr>
      <w:r>
        <w:rPr>
          <w:rFonts w:cs="Arial"/>
          <w:sz w:val="22"/>
          <w:szCs w:val="22"/>
        </w:rPr>
        <w:t xml:space="preserve">Deliverable Phase I: </w:t>
      </w:r>
      <w:r w:rsidR="00402239" w:rsidRPr="00402239">
        <w:rPr>
          <w:rFonts w:cs="Arial"/>
          <w:sz w:val="22"/>
          <w:szCs w:val="22"/>
        </w:rPr>
        <w:t>Excel workbook presenting the selected index</w:t>
      </w:r>
      <w:r w:rsidR="000E7BCD">
        <w:rPr>
          <w:rFonts w:cs="Arial"/>
          <w:sz w:val="22"/>
          <w:szCs w:val="22"/>
        </w:rPr>
        <w:t xml:space="preserve"> (i.e., rainfall parameters)</w:t>
      </w:r>
      <w:r w:rsidR="00402239" w:rsidRPr="00402239">
        <w:rPr>
          <w:rFonts w:cs="Arial"/>
          <w:sz w:val="22"/>
          <w:szCs w:val="22"/>
        </w:rPr>
        <w:t xml:space="preserve">, historical data, and risk valuation, accompanied by a </w:t>
      </w:r>
      <w:r w:rsidR="00CD2069">
        <w:rPr>
          <w:rFonts w:cs="Arial"/>
          <w:sz w:val="22"/>
          <w:szCs w:val="22"/>
        </w:rPr>
        <w:t xml:space="preserve">user-friendly </w:t>
      </w:r>
      <w:r w:rsidR="00402239" w:rsidRPr="00402239">
        <w:rPr>
          <w:rFonts w:cs="Arial"/>
          <w:sz w:val="22"/>
          <w:szCs w:val="22"/>
        </w:rPr>
        <w:t xml:space="preserve">presentation </w:t>
      </w:r>
      <w:r>
        <w:rPr>
          <w:rFonts w:cs="Arial"/>
          <w:sz w:val="22"/>
          <w:szCs w:val="22"/>
        </w:rPr>
        <w:t>of</w:t>
      </w:r>
      <w:r w:rsidR="00402239" w:rsidRPr="00402239">
        <w:rPr>
          <w:rFonts w:cs="Arial"/>
          <w:sz w:val="22"/>
          <w:szCs w:val="22"/>
        </w:rPr>
        <w:t xml:space="preserve"> the</w:t>
      </w:r>
      <w:r w:rsidR="00341AD2">
        <w:rPr>
          <w:rFonts w:cs="Arial"/>
          <w:sz w:val="22"/>
          <w:szCs w:val="22"/>
        </w:rPr>
        <w:t xml:space="preserve"> main contract</w:t>
      </w:r>
      <w:r w:rsidR="00402239" w:rsidRPr="00402239">
        <w:rPr>
          <w:rFonts w:cs="Arial"/>
          <w:sz w:val="22"/>
          <w:szCs w:val="22"/>
        </w:rPr>
        <w:t xml:space="preserve"> findings for </w:t>
      </w:r>
      <w:r w:rsidR="00402239" w:rsidRPr="00BD6738">
        <w:rPr>
          <w:rFonts w:cs="Arial"/>
          <w:sz w:val="22"/>
          <w:szCs w:val="22"/>
        </w:rPr>
        <w:t>the City’s technical</w:t>
      </w:r>
      <w:r w:rsidR="00402239" w:rsidRPr="00402239">
        <w:rPr>
          <w:rFonts w:cs="Arial"/>
          <w:sz w:val="22"/>
          <w:szCs w:val="22"/>
        </w:rPr>
        <w:t xml:space="preserve"> team.</w:t>
      </w:r>
      <w:r>
        <w:rPr>
          <w:rFonts w:cs="Arial"/>
          <w:sz w:val="22"/>
          <w:szCs w:val="22"/>
        </w:rPr>
        <w:t xml:space="preserve"> It is expected that this will be delivered to the City and National Treasury during an in-person workshop tentatively scheduled at the </w:t>
      </w:r>
      <w:r w:rsidRPr="00BD6738">
        <w:rPr>
          <w:rFonts w:cs="Arial"/>
          <w:sz w:val="22"/>
          <w:szCs w:val="22"/>
        </w:rPr>
        <w:t xml:space="preserve">end of March </w:t>
      </w:r>
      <w:r w:rsidR="007C58EF">
        <w:rPr>
          <w:rFonts w:cs="Arial"/>
          <w:sz w:val="22"/>
          <w:szCs w:val="22"/>
        </w:rPr>
        <w:t xml:space="preserve">/ </w:t>
      </w:r>
      <w:r w:rsidR="00940C0D">
        <w:rPr>
          <w:rFonts w:cs="Arial"/>
          <w:sz w:val="22"/>
          <w:szCs w:val="22"/>
        </w:rPr>
        <w:t>April</w:t>
      </w:r>
      <w:r w:rsidR="007C58EF">
        <w:rPr>
          <w:rFonts w:cs="Arial"/>
          <w:sz w:val="22"/>
          <w:szCs w:val="22"/>
        </w:rPr>
        <w:t xml:space="preserve"> 2026</w:t>
      </w:r>
      <w:r>
        <w:rPr>
          <w:rFonts w:cs="Arial"/>
          <w:sz w:val="22"/>
          <w:szCs w:val="22"/>
        </w:rPr>
        <w:t xml:space="preserve">. </w:t>
      </w:r>
    </w:p>
    <w:p w14:paraId="239D2B39" w14:textId="77777777" w:rsidR="00F91A14" w:rsidRPr="00F91A14" w:rsidRDefault="00F91A14" w:rsidP="00F91A14">
      <w:pPr>
        <w:spacing w:before="100" w:beforeAutospacing="1" w:after="100" w:afterAutospacing="1" w:line="240" w:lineRule="auto"/>
        <w:rPr>
          <w:rFonts w:cs="Arial"/>
          <w:b/>
          <w:bCs/>
          <w:i/>
          <w:iCs/>
          <w:sz w:val="22"/>
          <w:szCs w:val="22"/>
        </w:rPr>
      </w:pPr>
      <w:r w:rsidRPr="00F91A14">
        <w:rPr>
          <w:rFonts w:cs="Arial"/>
          <w:b/>
          <w:bCs/>
          <w:i/>
          <w:iCs/>
          <w:sz w:val="22"/>
          <w:szCs w:val="22"/>
        </w:rPr>
        <w:t>Phase II: Product update and finalization</w:t>
      </w:r>
    </w:p>
    <w:p w14:paraId="44BCE652" w14:textId="77777777" w:rsidR="00F91A14" w:rsidRDefault="00F91A14" w:rsidP="00F91A14">
      <w:pPr>
        <w:pStyle w:val="Paragraphedeliste"/>
        <w:numPr>
          <w:ilvl w:val="0"/>
          <w:numId w:val="10"/>
        </w:numPr>
        <w:spacing w:before="100" w:beforeAutospacing="1" w:after="100" w:afterAutospacing="1" w:line="240" w:lineRule="auto"/>
        <w:rPr>
          <w:rFonts w:cs="Arial"/>
          <w:sz w:val="22"/>
          <w:szCs w:val="22"/>
        </w:rPr>
      </w:pPr>
      <w:r>
        <w:rPr>
          <w:rFonts w:cs="Arial"/>
          <w:sz w:val="22"/>
          <w:szCs w:val="22"/>
        </w:rPr>
        <w:t xml:space="preserve">Validation -  the </w:t>
      </w:r>
      <w:r w:rsidRPr="00B37F60">
        <w:rPr>
          <w:rFonts w:cs="Arial"/>
          <w:sz w:val="22"/>
          <w:szCs w:val="22"/>
        </w:rPr>
        <w:t xml:space="preserve">index </w:t>
      </w:r>
      <w:r>
        <w:rPr>
          <w:rFonts w:cs="Arial"/>
          <w:sz w:val="22"/>
          <w:szCs w:val="22"/>
        </w:rPr>
        <w:t xml:space="preserve">should be validated </w:t>
      </w:r>
      <w:r w:rsidRPr="00B37F60">
        <w:rPr>
          <w:rFonts w:cs="Arial"/>
          <w:sz w:val="22"/>
          <w:szCs w:val="22"/>
        </w:rPr>
        <w:t xml:space="preserve">by </w:t>
      </w:r>
      <w:r>
        <w:rPr>
          <w:rFonts w:cs="Arial"/>
          <w:sz w:val="22"/>
          <w:szCs w:val="22"/>
        </w:rPr>
        <w:t>comparing the index to</w:t>
      </w:r>
      <w:r w:rsidRPr="00B37F60">
        <w:rPr>
          <w:rFonts w:cs="Arial"/>
          <w:sz w:val="22"/>
          <w:szCs w:val="22"/>
        </w:rPr>
        <w:t xml:space="preserve"> other flood related data, </w:t>
      </w:r>
      <w:r>
        <w:rPr>
          <w:rFonts w:cs="Arial"/>
          <w:sz w:val="22"/>
          <w:szCs w:val="22"/>
        </w:rPr>
        <w:t xml:space="preserve">such as </w:t>
      </w:r>
      <w:r w:rsidRPr="00B37F60">
        <w:rPr>
          <w:rFonts w:cs="Arial"/>
          <w:sz w:val="22"/>
          <w:szCs w:val="22"/>
        </w:rPr>
        <w:t xml:space="preserve">satellite imagery of flood footprints, but not necessarily use this to design the trigger as the desire is for initial simplicity. </w:t>
      </w:r>
    </w:p>
    <w:p w14:paraId="59264E8A" w14:textId="58CC28DE" w:rsidR="00134D6F" w:rsidRDefault="00B37F60" w:rsidP="00F91A14">
      <w:pPr>
        <w:pStyle w:val="Paragraphedeliste"/>
        <w:numPr>
          <w:ilvl w:val="0"/>
          <w:numId w:val="10"/>
        </w:numPr>
        <w:spacing w:before="100" w:beforeAutospacing="1" w:after="100" w:afterAutospacing="1" w:line="240" w:lineRule="auto"/>
        <w:rPr>
          <w:rFonts w:cs="Times New Roman"/>
          <w:sz w:val="22"/>
          <w:szCs w:val="22"/>
        </w:rPr>
      </w:pPr>
      <w:r>
        <w:rPr>
          <w:rFonts w:cs="Times New Roman"/>
          <w:sz w:val="22"/>
          <w:szCs w:val="22"/>
        </w:rPr>
        <w:t>Options for structure – p</w:t>
      </w:r>
      <w:r w:rsidR="00877322" w:rsidRPr="00B37F60">
        <w:rPr>
          <w:rFonts w:cs="Times New Roman"/>
          <w:sz w:val="22"/>
          <w:szCs w:val="22"/>
        </w:rPr>
        <w:t>rovide</w:t>
      </w:r>
      <w:r>
        <w:rPr>
          <w:rFonts w:cs="Times New Roman"/>
          <w:sz w:val="22"/>
          <w:szCs w:val="22"/>
        </w:rPr>
        <w:t xml:space="preserve"> the City </w:t>
      </w:r>
      <w:r w:rsidR="002A14A1">
        <w:rPr>
          <w:rFonts w:cs="Times New Roman"/>
          <w:sz w:val="22"/>
          <w:szCs w:val="22"/>
        </w:rPr>
        <w:t>of Cape Town</w:t>
      </w:r>
      <w:r>
        <w:rPr>
          <w:rFonts w:cs="Times New Roman"/>
          <w:sz w:val="22"/>
          <w:szCs w:val="22"/>
        </w:rPr>
        <w:t xml:space="preserve"> with</w:t>
      </w:r>
      <w:r w:rsidR="00877322" w:rsidRPr="00B37F60">
        <w:rPr>
          <w:rFonts w:cs="Times New Roman"/>
          <w:sz w:val="22"/>
          <w:szCs w:val="22"/>
        </w:rPr>
        <w:t xml:space="preserve"> a simple tool (</w:t>
      </w:r>
      <w:r w:rsidR="00CD2069">
        <w:rPr>
          <w:rFonts w:cs="Times New Roman"/>
          <w:sz w:val="22"/>
          <w:szCs w:val="22"/>
        </w:rPr>
        <w:t xml:space="preserve">both a narrative and </w:t>
      </w:r>
      <w:r w:rsidR="00877322" w:rsidRPr="00B37F60">
        <w:rPr>
          <w:rFonts w:cs="Times New Roman"/>
          <w:sz w:val="22"/>
          <w:szCs w:val="22"/>
        </w:rPr>
        <w:t xml:space="preserve">in excel or otherwise) to show the insurance parameter choices and the impact of changing these on potential pricing and payouts. </w:t>
      </w:r>
      <w:r>
        <w:rPr>
          <w:rFonts w:cs="Times New Roman"/>
          <w:sz w:val="22"/>
          <w:szCs w:val="22"/>
        </w:rPr>
        <w:t>These options wi</w:t>
      </w:r>
      <w:r w:rsidR="009B2141">
        <w:rPr>
          <w:rFonts w:cs="Times New Roman"/>
          <w:sz w:val="22"/>
          <w:szCs w:val="22"/>
        </w:rPr>
        <w:t>ll</w:t>
      </w:r>
      <w:r>
        <w:rPr>
          <w:rFonts w:cs="Times New Roman"/>
          <w:sz w:val="22"/>
          <w:szCs w:val="22"/>
        </w:rPr>
        <w:t xml:space="preserve"> be presented to the </w:t>
      </w:r>
      <w:r w:rsidRPr="00B37F60">
        <w:rPr>
          <w:rFonts w:cs="Times New Roman"/>
          <w:sz w:val="22"/>
          <w:szCs w:val="22"/>
        </w:rPr>
        <w:t>City and wider stakeholders for feedback before finalizing</w:t>
      </w:r>
      <w:r>
        <w:rPr>
          <w:rFonts w:cs="Times New Roman"/>
          <w:sz w:val="22"/>
          <w:szCs w:val="22"/>
        </w:rPr>
        <w:t xml:space="preserve">. </w:t>
      </w:r>
      <w:r w:rsidR="00CD2069">
        <w:rPr>
          <w:rFonts w:cs="Times New Roman"/>
          <w:sz w:val="22"/>
          <w:szCs w:val="22"/>
        </w:rPr>
        <w:t xml:space="preserve">The presentation shall incorporate </w:t>
      </w:r>
      <w:r w:rsidR="006E473F">
        <w:rPr>
          <w:rFonts w:cs="Times New Roman"/>
          <w:sz w:val="22"/>
          <w:szCs w:val="22"/>
        </w:rPr>
        <w:t xml:space="preserve">a </w:t>
      </w:r>
      <w:r w:rsidR="00CD2069">
        <w:rPr>
          <w:rFonts w:cs="Times New Roman"/>
          <w:sz w:val="22"/>
          <w:szCs w:val="22"/>
        </w:rPr>
        <w:t xml:space="preserve">section for high level (non-technical) </w:t>
      </w:r>
      <w:r w:rsidR="006E473F">
        <w:rPr>
          <w:rFonts w:cs="Times New Roman"/>
          <w:sz w:val="22"/>
          <w:szCs w:val="22"/>
        </w:rPr>
        <w:t>C</w:t>
      </w:r>
      <w:r w:rsidR="00CD2069">
        <w:rPr>
          <w:rFonts w:cs="Times New Roman"/>
          <w:sz w:val="22"/>
          <w:szCs w:val="22"/>
        </w:rPr>
        <w:t xml:space="preserve">ity officials highlighting the policy implications of each option based on a cost benefit/analysis to inform their prioritization of the product they want to pursue. </w:t>
      </w:r>
      <w:r w:rsidR="005A23E9">
        <w:rPr>
          <w:rFonts w:cs="Times New Roman"/>
          <w:sz w:val="22"/>
          <w:szCs w:val="22"/>
        </w:rPr>
        <w:t xml:space="preserve">The options and final choices on the structuring </w:t>
      </w:r>
      <w:r>
        <w:rPr>
          <w:rFonts w:cs="Times New Roman"/>
          <w:sz w:val="22"/>
          <w:szCs w:val="22"/>
        </w:rPr>
        <w:t>will be</w:t>
      </w:r>
      <w:r w:rsidR="005A23E9">
        <w:rPr>
          <w:rFonts w:cs="Times New Roman"/>
          <w:sz w:val="22"/>
          <w:szCs w:val="22"/>
        </w:rPr>
        <w:t xml:space="preserve"> discussed in </w:t>
      </w:r>
      <w:r>
        <w:rPr>
          <w:rFonts w:cs="Times New Roman"/>
          <w:sz w:val="22"/>
          <w:szCs w:val="22"/>
        </w:rPr>
        <w:t>a workshop</w:t>
      </w:r>
      <w:r w:rsidR="00134D6F" w:rsidRPr="00B37F60">
        <w:rPr>
          <w:rFonts w:cs="Times New Roman"/>
          <w:sz w:val="22"/>
          <w:szCs w:val="22"/>
        </w:rPr>
        <w:t xml:space="preserve"> (virtual or in person </w:t>
      </w:r>
      <w:r>
        <w:rPr>
          <w:rFonts w:cs="Times New Roman"/>
          <w:sz w:val="22"/>
          <w:szCs w:val="22"/>
        </w:rPr>
        <w:t>tbd</w:t>
      </w:r>
      <w:r w:rsidR="00134D6F" w:rsidRPr="00B37F60">
        <w:rPr>
          <w:rFonts w:cs="Times New Roman"/>
          <w:sz w:val="22"/>
          <w:szCs w:val="22"/>
        </w:rPr>
        <w:t>)</w:t>
      </w:r>
      <w:r>
        <w:rPr>
          <w:rFonts w:cs="Times New Roman"/>
          <w:sz w:val="22"/>
          <w:szCs w:val="22"/>
        </w:rPr>
        <w:t>.</w:t>
      </w:r>
      <w:r w:rsidR="00134D6F" w:rsidRPr="00B37F60">
        <w:rPr>
          <w:rFonts w:cs="Times New Roman"/>
          <w:sz w:val="22"/>
          <w:szCs w:val="22"/>
        </w:rPr>
        <w:t xml:space="preserve">  </w:t>
      </w:r>
      <w:r w:rsidR="006E473F">
        <w:rPr>
          <w:rFonts w:cs="Times New Roman"/>
          <w:sz w:val="22"/>
          <w:szCs w:val="22"/>
        </w:rPr>
        <w:t>The structuring should also allow for a phased change in the product over time as more resources are invested in flood prevention and mitigation.</w:t>
      </w:r>
    </w:p>
    <w:p w14:paraId="77EA27A2" w14:textId="0A3D3E99" w:rsidR="00F91A14" w:rsidRPr="009C69FC" w:rsidRDefault="00F91A14" w:rsidP="00F91A14">
      <w:pPr>
        <w:spacing w:before="100" w:beforeAutospacing="1" w:after="100" w:afterAutospacing="1" w:line="240" w:lineRule="auto"/>
        <w:rPr>
          <w:rFonts w:cs="Arial"/>
          <w:sz w:val="22"/>
          <w:szCs w:val="22"/>
        </w:rPr>
      </w:pPr>
      <w:r w:rsidRPr="00F91A14">
        <w:rPr>
          <w:rFonts w:cs="Arial"/>
          <w:sz w:val="22"/>
          <w:szCs w:val="22"/>
        </w:rPr>
        <w:t>Deliverable Phase II: Excel document with final structure selected by the City</w:t>
      </w:r>
      <w:r w:rsidR="00585DE2">
        <w:rPr>
          <w:rFonts w:cs="Arial"/>
          <w:sz w:val="22"/>
          <w:szCs w:val="22"/>
        </w:rPr>
        <w:t xml:space="preserve"> alongside updated presentation of the work completed. </w:t>
      </w:r>
    </w:p>
    <w:p w14:paraId="738FA1B0" w14:textId="49624E66" w:rsidR="000D6FEA" w:rsidRPr="009C69FC" w:rsidRDefault="000D6FEA" w:rsidP="00F91A14">
      <w:pPr>
        <w:spacing w:before="100" w:beforeAutospacing="1" w:after="100" w:afterAutospacing="1" w:line="240" w:lineRule="auto"/>
        <w:rPr>
          <w:rFonts w:cs="Arial"/>
          <w:i/>
          <w:iCs/>
          <w:sz w:val="22"/>
          <w:szCs w:val="22"/>
        </w:rPr>
      </w:pPr>
      <w:r w:rsidRPr="009C69FC">
        <w:rPr>
          <w:rFonts w:cs="Arial"/>
          <w:i/>
          <w:iCs/>
          <w:sz w:val="22"/>
          <w:szCs w:val="22"/>
        </w:rPr>
        <w:t xml:space="preserve">After Phase II, the City </w:t>
      </w:r>
      <w:r w:rsidR="009C69FC" w:rsidRPr="009C69FC">
        <w:rPr>
          <w:rFonts w:cs="Arial"/>
          <w:i/>
          <w:iCs/>
          <w:sz w:val="22"/>
          <w:szCs w:val="22"/>
        </w:rPr>
        <w:t>will decide whether to move forward with the placement</w:t>
      </w:r>
      <w:r w:rsidR="009C69FC">
        <w:rPr>
          <w:rFonts w:cs="Arial"/>
          <w:i/>
          <w:iCs/>
          <w:sz w:val="22"/>
          <w:szCs w:val="22"/>
        </w:rPr>
        <w:t>, and Phase III is contingent on this.</w:t>
      </w:r>
    </w:p>
    <w:p w14:paraId="3BDA93F9" w14:textId="78F89596" w:rsidR="00F91A14" w:rsidRPr="00F91A14" w:rsidRDefault="00F91A14" w:rsidP="00F91A14">
      <w:pPr>
        <w:spacing w:before="100" w:beforeAutospacing="1" w:after="100" w:afterAutospacing="1" w:line="240" w:lineRule="auto"/>
        <w:rPr>
          <w:rFonts w:cs="Arial"/>
          <w:b/>
          <w:bCs/>
          <w:i/>
          <w:iCs/>
          <w:sz w:val="22"/>
          <w:szCs w:val="22"/>
        </w:rPr>
      </w:pPr>
      <w:r w:rsidRPr="00F91A14">
        <w:rPr>
          <w:rFonts w:cs="Arial"/>
          <w:b/>
          <w:bCs/>
          <w:i/>
          <w:iCs/>
          <w:sz w:val="22"/>
          <w:szCs w:val="22"/>
        </w:rPr>
        <w:t>Phase III: Implementation phase</w:t>
      </w:r>
    </w:p>
    <w:p w14:paraId="051A1C6F" w14:textId="4B5E7C4B" w:rsidR="00F91A14" w:rsidRDefault="00F91A14" w:rsidP="00F91A14">
      <w:pPr>
        <w:pStyle w:val="Paragraphedeliste"/>
        <w:numPr>
          <w:ilvl w:val="0"/>
          <w:numId w:val="10"/>
        </w:numPr>
        <w:spacing w:before="100" w:beforeAutospacing="1" w:after="100" w:afterAutospacing="1" w:line="240" w:lineRule="auto"/>
        <w:rPr>
          <w:rFonts w:cs="Times New Roman"/>
          <w:sz w:val="22"/>
          <w:szCs w:val="22"/>
        </w:rPr>
      </w:pPr>
      <w:r>
        <w:rPr>
          <w:rFonts w:cs="Times New Roman"/>
          <w:sz w:val="22"/>
          <w:szCs w:val="22"/>
        </w:rPr>
        <w:t>Legal documentation</w:t>
      </w:r>
      <w:r w:rsidR="007C2DE7">
        <w:rPr>
          <w:rFonts w:cs="Times New Roman"/>
          <w:sz w:val="22"/>
          <w:szCs w:val="22"/>
        </w:rPr>
        <w:t xml:space="preserve"> </w:t>
      </w:r>
      <w:r>
        <w:rPr>
          <w:rFonts w:cs="Times New Roman"/>
          <w:sz w:val="22"/>
          <w:szCs w:val="22"/>
        </w:rPr>
        <w:t xml:space="preserve"> – Prepare legal documents clarifying the insurance and reinsurance set up and wordings.</w:t>
      </w:r>
    </w:p>
    <w:p w14:paraId="5D87D41E" w14:textId="1AF8D946" w:rsidR="00877322" w:rsidRDefault="00B37F60" w:rsidP="00F91A14">
      <w:pPr>
        <w:pStyle w:val="Paragraphedeliste"/>
        <w:numPr>
          <w:ilvl w:val="0"/>
          <w:numId w:val="10"/>
        </w:numPr>
        <w:spacing w:before="100" w:beforeAutospacing="1" w:after="100" w:afterAutospacing="1" w:line="240" w:lineRule="auto"/>
        <w:rPr>
          <w:rFonts w:cs="Times New Roman"/>
          <w:sz w:val="22"/>
          <w:szCs w:val="22"/>
        </w:rPr>
      </w:pPr>
      <w:r>
        <w:rPr>
          <w:rFonts w:cs="Times New Roman"/>
          <w:sz w:val="22"/>
          <w:szCs w:val="22"/>
        </w:rPr>
        <w:t>Placement – prepare an i</w:t>
      </w:r>
      <w:r w:rsidR="00877322" w:rsidRPr="00B37F60">
        <w:rPr>
          <w:rFonts w:cs="Times New Roman"/>
          <w:sz w:val="22"/>
          <w:szCs w:val="22"/>
        </w:rPr>
        <w:t xml:space="preserve">nsurance marketing pack for the City to use to approach the market for placement (through a broker or otherwise). </w:t>
      </w:r>
    </w:p>
    <w:p w14:paraId="29DBF572" w14:textId="52E2E1FB" w:rsidR="00F91A14" w:rsidRPr="00F91A14" w:rsidRDefault="00F91A14" w:rsidP="00F91A14">
      <w:pPr>
        <w:spacing w:before="100" w:beforeAutospacing="1" w:after="100" w:afterAutospacing="1" w:line="240" w:lineRule="auto"/>
        <w:rPr>
          <w:rFonts w:cs="Times New Roman"/>
          <w:sz w:val="22"/>
          <w:szCs w:val="22"/>
        </w:rPr>
      </w:pPr>
      <w:r w:rsidRPr="00F91A14">
        <w:rPr>
          <w:rFonts w:cs="Times New Roman"/>
          <w:sz w:val="22"/>
          <w:szCs w:val="22"/>
        </w:rPr>
        <w:t xml:space="preserve">Deliverable Phase III: </w:t>
      </w:r>
      <w:r w:rsidR="00CB11E5">
        <w:rPr>
          <w:rFonts w:cs="Times New Roman"/>
          <w:sz w:val="22"/>
          <w:szCs w:val="22"/>
        </w:rPr>
        <w:t>Insurance package, with</w:t>
      </w:r>
      <w:r w:rsidRPr="00F91A14">
        <w:rPr>
          <w:rFonts w:cs="Times New Roman"/>
          <w:sz w:val="22"/>
          <w:szCs w:val="22"/>
        </w:rPr>
        <w:t xml:space="preserve"> legal wording and necessary documents for submission to the regulator of the product approval package.</w:t>
      </w:r>
    </w:p>
    <w:p w14:paraId="31B85545" w14:textId="6015782D" w:rsidR="006609E6" w:rsidRPr="004E4F47" w:rsidRDefault="006609E6" w:rsidP="0086589A">
      <w:pPr>
        <w:pStyle w:val="Titre4"/>
      </w:pPr>
      <w:r w:rsidRPr="004E4F47">
        <w:t xml:space="preserve">Out of scope </w:t>
      </w:r>
    </w:p>
    <w:p w14:paraId="0CD4A824" w14:textId="498333C2" w:rsidR="006609E6" w:rsidRPr="00B37F60" w:rsidRDefault="006609E6" w:rsidP="00B37F60">
      <w:pPr>
        <w:spacing w:before="100" w:beforeAutospacing="1" w:after="100" w:afterAutospacing="1" w:line="240" w:lineRule="auto"/>
        <w:jc w:val="both"/>
        <w:rPr>
          <w:rFonts w:cs="Arial"/>
          <w:sz w:val="22"/>
          <w:szCs w:val="22"/>
        </w:rPr>
      </w:pPr>
      <w:r w:rsidRPr="00B37F60">
        <w:rPr>
          <w:rFonts w:cs="Arial"/>
          <w:sz w:val="22"/>
          <w:szCs w:val="22"/>
        </w:rPr>
        <w:t>Whilst the</w:t>
      </w:r>
      <w:r w:rsidR="0008301D">
        <w:rPr>
          <w:rFonts w:cs="Arial"/>
          <w:sz w:val="22"/>
          <w:szCs w:val="22"/>
        </w:rPr>
        <w:t>re</w:t>
      </w:r>
      <w:r w:rsidRPr="00B37F60">
        <w:rPr>
          <w:rFonts w:cs="Arial"/>
          <w:sz w:val="22"/>
          <w:szCs w:val="22"/>
        </w:rPr>
        <w:t xml:space="preserve"> is potential to base a flood monitoring system off earth observation (EO) data</w:t>
      </w:r>
      <w:r w:rsidR="00A204D5" w:rsidRPr="00B37F60">
        <w:rPr>
          <w:rFonts w:cs="Arial"/>
          <w:sz w:val="22"/>
          <w:szCs w:val="22"/>
        </w:rPr>
        <w:t xml:space="preserve"> (for flood maps)</w:t>
      </w:r>
      <w:r w:rsidR="00134962">
        <w:rPr>
          <w:rFonts w:cs="Arial"/>
          <w:sz w:val="22"/>
          <w:szCs w:val="22"/>
        </w:rPr>
        <w:t>, i</w:t>
      </w:r>
      <w:r w:rsidRPr="00B37F60">
        <w:rPr>
          <w:rFonts w:cs="Arial"/>
          <w:sz w:val="22"/>
          <w:szCs w:val="22"/>
        </w:rPr>
        <w:t xml:space="preserve">nitial feedback from the </w:t>
      </w:r>
      <w:r w:rsidR="00C00C4D" w:rsidRPr="00B37F60">
        <w:rPr>
          <w:rFonts w:cs="Arial"/>
          <w:sz w:val="22"/>
          <w:szCs w:val="22"/>
        </w:rPr>
        <w:t>market suggests this is not priority, and the model based on excess rainfall should suffice</w:t>
      </w:r>
      <w:r w:rsidR="006E2623" w:rsidRPr="00B37F60">
        <w:rPr>
          <w:rFonts w:cs="Arial"/>
          <w:sz w:val="22"/>
          <w:szCs w:val="22"/>
        </w:rPr>
        <w:t xml:space="preserve">. If the consultant thinks this would be a </w:t>
      </w:r>
      <w:r w:rsidR="00505E86">
        <w:rPr>
          <w:rFonts w:cs="Arial"/>
          <w:sz w:val="22"/>
          <w:szCs w:val="22"/>
        </w:rPr>
        <w:t>s</w:t>
      </w:r>
      <w:r w:rsidR="006E2623" w:rsidRPr="00B37F60">
        <w:rPr>
          <w:rFonts w:cs="Arial"/>
          <w:sz w:val="22"/>
          <w:szCs w:val="22"/>
        </w:rPr>
        <w:t>igni</w:t>
      </w:r>
      <w:r w:rsidR="001C2955">
        <w:rPr>
          <w:rFonts w:cs="Arial"/>
          <w:sz w:val="22"/>
          <w:szCs w:val="22"/>
        </w:rPr>
        <w:t>fic</w:t>
      </w:r>
      <w:r w:rsidR="006E2623" w:rsidRPr="00B37F60">
        <w:rPr>
          <w:rFonts w:cs="Arial"/>
          <w:sz w:val="22"/>
          <w:szCs w:val="22"/>
        </w:rPr>
        <w:t>ant value add, they should alert the team fo</w:t>
      </w:r>
      <w:r w:rsidR="00F00CF0">
        <w:rPr>
          <w:rFonts w:cs="Arial"/>
          <w:sz w:val="22"/>
          <w:szCs w:val="22"/>
        </w:rPr>
        <w:t>r</w:t>
      </w:r>
      <w:r w:rsidR="00F91A14">
        <w:rPr>
          <w:rFonts w:cs="Arial"/>
          <w:sz w:val="22"/>
          <w:szCs w:val="22"/>
        </w:rPr>
        <w:t xml:space="preserve"> </w:t>
      </w:r>
      <w:r w:rsidR="006E2623" w:rsidRPr="00B37F60">
        <w:rPr>
          <w:rFonts w:cs="Arial"/>
          <w:sz w:val="22"/>
          <w:szCs w:val="22"/>
        </w:rPr>
        <w:t xml:space="preserve">discussion. </w:t>
      </w:r>
    </w:p>
    <w:p w14:paraId="3C8C5A5B" w14:textId="0D472E73" w:rsidR="006609E6" w:rsidRPr="00B37F60" w:rsidRDefault="006E7599" w:rsidP="00B37F60">
      <w:pPr>
        <w:spacing w:before="100" w:beforeAutospacing="1" w:after="100" w:afterAutospacing="1" w:line="240" w:lineRule="auto"/>
        <w:rPr>
          <w:rFonts w:cs="Arial"/>
          <w:sz w:val="22"/>
          <w:szCs w:val="22"/>
        </w:rPr>
      </w:pPr>
      <w:r w:rsidRPr="00B37F60">
        <w:rPr>
          <w:rFonts w:cs="Arial"/>
          <w:sz w:val="22"/>
          <w:szCs w:val="22"/>
        </w:rPr>
        <w:t>In the l</w:t>
      </w:r>
      <w:r w:rsidR="00A262CE" w:rsidRPr="00B37F60">
        <w:rPr>
          <w:rFonts w:cs="Arial"/>
          <w:sz w:val="22"/>
          <w:szCs w:val="22"/>
        </w:rPr>
        <w:t xml:space="preserve">onger-term, the development of </w:t>
      </w:r>
      <w:r w:rsidR="00A6525A" w:rsidRPr="00B37F60">
        <w:rPr>
          <w:rFonts w:cs="Arial"/>
          <w:sz w:val="22"/>
          <w:szCs w:val="22"/>
        </w:rPr>
        <w:t xml:space="preserve">a </w:t>
      </w:r>
      <w:r w:rsidR="00A262CE" w:rsidRPr="00B37F60">
        <w:rPr>
          <w:rFonts w:cs="Arial"/>
          <w:sz w:val="22"/>
          <w:szCs w:val="22"/>
        </w:rPr>
        <w:t xml:space="preserve">more sophisticated </w:t>
      </w:r>
      <w:r w:rsidR="0090311B" w:rsidRPr="00B37F60">
        <w:rPr>
          <w:rFonts w:cs="Arial"/>
          <w:sz w:val="22"/>
          <w:szCs w:val="22"/>
        </w:rPr>
        <w:t xml:space="preserve">catastrophe risk model for the municipality </w:t>
      </w:r>
      <w:r w:rsidR="00B651D4" w:rsidRPr="00B37F60">
        <w:rPr>
          <w:rFonts w:cs="Arial"/>
          <w:sz w:val="22"/>
          <w:szCs w:val="22"/>
        </w:rPr>
        <w:t>could be supported,</w:t>
      </w:r>
      <w:r w:rsidR="0090311B" w:rsidRPr="00B37F60">
        <w:rPr>
          <w:rFonts w:cs="Arial"/>
          <w:sz w:val="22"/>
          <w:szCs w:val="22"/>
        </w:rPr>
        <w:t xml:space="preserve"> </w:t>
      </w:r>
      <w:r w:rsidR="001C2955">
        <w:rPr>
          <w:rFonts w:cs="Arial"/>
          <w:sz w:val="22"/>
          <w:szCs w:val="22"/>
        </w:rPr>
        <w:t xml:space="preserve">for example </w:t>
      </w:r>
      <w:r w:rsidR="0090311B" w:rsidRPr="00B37F60">
        <w:rPr>
          <w:rFonts w:cs="Arial"/>
          <w:sz w:val="22"/>
          <w:szCs w:val="22"/>
        </w:rPr>
        <w:t xml:space="preserve">based on hydrological and hydraulic modeling, </w:t>
      </w:r>
      <w:r w:rsidR="001C2955">
        <w:rPr>
          <w:rFonts w:cs="Arial"/>
          <w:sz w:val="22"/>
          <w:szCs w:val="22"/>
        </w:rPr>
        <w:t>remote sensing data,</w:t>
      </w:r>
      <w:r w:rsidR="0090311B" w:rsidRPr="00B37F60">
        <w:rPr>
          <w:rFonts w:cs="Arial"/>
          <w:sz w:val="22"/>
          <w:szCs w:val="22"/>
        </w:rPr>
        <w:t xml:space="preserve"> and integrating exposure and vulnerability of different sectors. Such a model would enable </w:t>
      </w:r>
      <w:r w:rsidR="00B651D4" w:rsidRPr="00B37F60">
        <w:rPr>
          <w:rFonts w:cs="Arial"/>
          <w:sz w:val="22"/>
          <w:szCs w:val="22"/>
        </w:rPr>
        <w:t>detailed understanding of areas prone to riverine</w:t>
      </w:r>
      <w:r w:rsidR="000B53F3" w:rsidRPr="00B37F60">
        <w:rPr>
          <w:rFonts w:cs="Arial"/>
          <w:sz w:val="22"/>
          <w:szCs w:val="22"/>
        </w:rPr>
        <w:t xml:space="preserve">, </w:t>
      </w:r>
      <w:r w:rsidR="00B651D4" w:rsidRPr="00B37F60">
        <w:rPr>
          <w:rFonts w:cs="Arial"/>
          <w:sz w:val="22"/>
          <w:szCs w:val="22"/>
        </w:rPr>
        <w:t xml:space="preserve">surface water </w:t>
      </w:r>
      <w:r w:rsidR="000B53F3" w:rsidRPr="00B37F60">
        <w:rPr>
          <w:rFonts w:cs="Arial"/>
          <w:sz w:val="22"/>
          <w:szCs w:val="22"/>
        </w:rPr>
        <w:t xml:space="preserve">and coastal </w:t>
      </w:r>
      <w:r w:rsidR="00B651D4" w:rsidRPr="00B37F60">
        <w:rPr>
          <w:rFonts w:cs="Arial"/>
          <w:sz w:val="22"/>
          <w:szCs w:val="22"/>
        </w:rPr>
        <w:t xml:space="preserve">flooding, </w:t>
      </w:r>
      <w:r w:rsidR="0090311B" w:rsidRPr="00B37F60">
        <w:rPr>
          <w:rFonts w:cs="Arial"/>
          <w:sz w:val="22"/>
          <w:szCs w:val="22"/>
        </w:rPr>
        <w:t>and their</w:t>
      </w:r>
      <w:r w:rsidR="00B651D4" w:rsidRPr="00B37F60">
        <w:rPr>
          <w:rFonts w:cs="Arial"/>
          <w:sz w:val="22"/>
          <w:szCs w:val="22"/>
        </w:rPr>
        <w:t xml:space="preserve"> impacts on different sectors</w:t>
      </w:r>
      <w:r w:rsidR="0090311B" w:rsidRPr="00B37F60">
        <w:rPr>
          <w:rFonts w:cs="Arial"/>
          <w:sz w:val="22"/>
          <w:szCs w:val="22"/>
        </w:rPr>
        <w:t xml:space="preserve">. </w:t>
      </w:r>
      <w:r w:rsidR="009E75C9" w:rsidRPr="00B37F60">
        <w:rPr>
          <w:rFonts w:cs="Arial"/>
          <w:sz w:val="22"/>
          <w:szCs w:val="22"/>
        </w:rPr>
        <w:t>Whilst this</w:t>
      </w:r>
      <w:r w:rsidRPr="00B37F60">
        <w:rPr>
          <w:rFonts w:cs="Arial"/>
          <w:sz w:val="22"/>
          <w:szCs w:val="22"/>
        </w:rPr>
        <w:t xml:space="preserve"> is currently not within the scope of this activity</w:t>
      </w:r>
      <w:r w:rsidR="009E75C9" w:rsidRPr="00B37F60">
        <w:rPr>
          <w:rFonts w:cs="Arial"/>
          <w:sz w:val="22"/>
          <w:szCs w:val="22"/>
        </w:rPr>
        <w:t>, it</w:t>
      </w:r>
      <w:r w:rsidR="0090311B" w:rsidRPr="00B37F60">
        <w:rPr>
          <w:rFonts w:cs="Arial"/>
          <w:sz w:val="22"/>
          <w:szCs w:val="22"/>
        </w:rPr>
        <w:t xml:space="preserve"> </w:t>
      </w:r>
      <w:r w:rsidR="009E75C9" w:rsidRPr="00B37F60">
        <w:rPr>
          <w:rFonts w:cs="Arial"/>
          <w:sz w:val="22"/>
          <w:szCs w:val="22"/>
        </w:rPr>
        <w:t xml:space="preserve">could in the future </w:t>
      </w:r>
      <w:r w:rsidR="00C857D7" w:rsidRPr="00B37F60">
        <w:rPr>
          <w:rFonts w:cs="Arial"/>
          <w:sz w:val="22"/>
          <w:szCs w:val="22"/>
        </w:rPr>
        <w:t xml:space="preserve">support </w:t>
      </w:r>
      <w:r w:rsidR="0090311B" w:rsidRPr="00B37F60">
        <w:rPr>
          <w:rFonts w:cs="Arial"/>
          <w:sz w:val="22"/>
          <w:szCs w:val="22"/>
        </w:rPr>
        <w:t xml:space="preserve">risk management and climate change adaptation decisions, </w:t>
      </w:r>
      <w:r w:rsidR="00C857D7" w:rsidRPr="00B37F60">
        <w:rPr>
          <w:rFonts w:cs="Arial"/>
          <w:sz w:val="22"/>
          <w:szCs w:val="22"/>
        </w:rPr>
        <w:t>which could have additional benefits in improving insurance affordability (reducing premiums)</w:t>
      </w:r>
      <w:r w:rsidR="00B651D4" w:rsidRPr="00B37F60">
        <w:rPr>
          <w:rFonts w:cs="Arial"/>
          <w:sz w:val="22"/>
          <w:szCs w:val="22"/>
        </w:rPr>
        <w:t>, as well as</w:t>
      </w:r>
      <w:r w:rsidR="0090311B" w:rsidRPr="00B37F60">
        <w:rPr>
          <w:rFonts w:cs="Arial"/>
          <w:sz w:val="22"/>
          <w:szCs w:val="22"/>
        </w:rPr>
        <w:t xml:space="preserve"> </w:t>
      </w:r>
      <w:r w:rsidR="009E75C9" w:rsidRPr="00B37F60">
        <w:rPr>
          <w:rFonts w:cs="Arial"/>
          <w:sz w:val="22"/>
          <w:szCs w:val="22"/>
        </w:rPr>
        <w:t>analyzing</w:t>
      </w:r>
      <w:r w:rsidR="00B651D4" w:rsidRPr="00B37F60">
        <w:rPr>
          <w:rFonts w:cs="Arial"/>
          <w:sz w:val="22"/>
          <w:szCs w:val="22"/>
        </w:rPr>
        <w:t xml:space="preserve"> insurance requirements</w:t>
      </w:r>
      <w:r w:rsidR="000B53F3" w:rsidRPr="00B37F60">
        <w:rPr>
          <w:rFonts w:cs="Arial"/>
          <w:sz w:val="22"/>
          <w:szCs w:val="22"/>
        </w:rPr>
        <w:t xml:space="preserve"> for residual risks, including design</w:t>
      </w:r>
      <w:r w:rsidR="00B651D4" w:rsidRPr="00B37F60">
        <w:rPr>
          <w:rFonts w:cs="Arial"/>
          <w:sz w:val="22"/>
          <w:szCs w:val="22"/>
        </w:rPr>
        <w:t xml:space="preserve"> and placement</w:t>
      </w:r>
      <w:r w:rsidR="000B53F3" w:rsidRPr="00B37F60">
        <w:rPr>
          <w:rFonts w:cs="Arial"/>
          <w:sz w:val="22"/>
          <w:szCs w:val="22"/>
        </w:rPr>
        <w:t xml:space="preserve"> of both parametric and indemnity products</w:t>
      </w:r>
      <w:r w:rsidR="00B651D4" w:rsidRPr="00B37F60">
        <w:rPr>
          <w:rFonts w:cs="Arial"/>
          <w:sz w:val="22"/>
          <w:szCs w:val="22"/>
        </w:rPr>
        <w:t xml:space="preserve">. </w:t>
      </w:r>
    </w:p>
    <w:p w14:paraId="67C650F8" w14:textId="243A5F8B" w:rsidR="006E7599" w:rsidRPr="00B37F60" w:rsidRDefault="006E7599" w:rsidP="0086589A">
      <w:pPr>
        <w:pStyle w:val="Titre4"/>
      </w:pPr>
      <w:r w:rsidRPr="00B37F60">
        <w:t>Data</w:t>
      </w:r>
    </w:p>
    <w:p w14:paraId="66752556" w14:textId="32C875E5" w:rsidR="003807FF" w:rsidRPr="0086589A" w:rsidRDefault="00FB0F83" w:rsidP="0086589A">
      <w:pPr>
        <w:pStyle w:val="Paragraphedeliste"/>
        <w:numPr>
          <w:ilvl w:val="0"/>
          <w:numId w:val="22"/>
        </w:numPr>
        <w:spacing w:before="100" w:beforeAutospacing="1" w:after="100" w:afterAutospacing="1" w:line="240" w:lineRule="auto"/>
        <w:rPr>
          <w:rFonts w:cs="Arial"/>
          <w:sz w:val="22"/>
          <w:szCs w:val="22"/>
        </w:rPr>
      </w:pPr>
      <w:bookmarkStart w:id="0" w:name="_Hlk219368229"/>
      <w:r>
        <w:rPr>
          <w:rFonts w:cs="Arial"/>
          <w:sz w:val="22"/>
          <w:szCs w:val="22"/>
        </w:rPr>
        <w:t>O</w:t>
      </w:r>
      <w:r w:rsidR="006E7599" w:rsidRPr="0086589A">
        <w:rPr>
          <w:rFonts w:cs="Arial"/>
          <w:sz w:val="22"/>
          <w:szCs w:val="22"/>
        </w:rPr>
        <w:t xml:space="preserve">utput from the initial World Bank </w:t>
      </w:r>
      <w:r w:rsidR="00B6094D">
        <w:rPr>
          <w:rFonts w:cs="Arial"/>
          <w:sz w:val="22"/>
          <w:szCs w:val="22"/>
        </w:rPr>
        <w:t>program</w:t>
      </w:r>
      <w:r>
        <w:rPr>
          <w:rFonts w:cs="Arial"/>
          <w:sz w:val="22"/>
          <w:szCs w:val="22"/>
        </w:rPr>
        <w:t>, including engagements with National Treasury</w:t>
      </w:r>
      <w:r w:rsidR="006E7599" w:rsidRPr="0086589A">
        <w:rPr>
          <w:rFonts w:cs="Arial"/>
          <w:sz w:val="22"/>
          <w:szCs w:val="22"/>
        </w:rPr>
        <w:t xml:space="preserve"> will be made available to the consultants.</w:t>
      </w:r>
    </w:p>
    <w:bookmarkEnd w:id="0"/>
    <w:p w14:paraId="2D36022C" w14:textId="05FBCC08" w:rsidR="0061142B" w:rsidRPr="0061142B" w:rsidRDefault="0061142B" w:rsidP="0061142B">
      <w:pPr>
        <w:pStyle w:val="Paragraphedeliste"/>
        <w:numPr>
          <w:ilvl w:val="0"/>
          <w:numId w:val="22"/>
        </w:numPr>
        <w:spacing w:before="100" w:beforeAutospacing="1" w:after="100" w:afterAutospacing="1" w:line="240" w:lineRule="auto"/>
        <w:rPr>
          <w:rFonts w:cs="Arial"/>
          <w:sz w:val="22"/>
          <w:szCs w:val="22"/>
        </w:rPr>
      </w:pPr>
      <w:r>
        <w:rPr>
          <w:rFonts w:cs="Arial"/>
          <w:sz w:val="22"/>
          <w:szCs w:val="22"/>
        </w:rPr>
        <w:t>The City will s</w:t>
      </w:r>
      <w:r w:rsidRPr="0061142B">
        <w:rPr>
          <w:rFonts w:cs="Arial"/>
          <w:sz w:val="22"/>
          <w:szCs w:val="22"/>
        </w:rPr>
        <w:t xml:space="preserve">hare a list of the </w:t>
      </w:r>
      <w:r w:rsidR="00534E10">
        <w:rPr>
          <w:rFonts w:cs="Arial"/>
          <w:sz w:val="22"/>
          <w:szCs w:val="22"/>
        </w:rPr>
        <w:t>data they have available</w:t>
      </w:r>
      <w:r w:rsidR="00E663A5">
        <w:rPr>
          <w:rFonts w:cs="Arial"/>
          <w:sz w:val="22"/>
          <w:szCs w:val="22"/>
        </w:rPr>
        <w:t xml:space="preserve">. </w:t>
      </w:r>
    </w:p>
    <w:p w14:paraId="32EFA2FC" w14:textId="77777777" w:rsidR="00E663A5" w:rsidRDefault="00B37F60" w:rsidP="0086589A">
      <w:pPr>
        <w:pStyle w:val="Paragraphedeliste"/>
        <w:numPr>
          <w:ilvl w:val="0"/>
          <w:numId w:val="22"/>
        </w:numPr>
        <w:spacing w:before="100" w:beforeAutospacing="1" w:after="100" w:afterAutospacing="1" w:line="240" w:lineRule="auto"/>
        <w:rPr>
          <w:rFonts w:cs="Arial"/>
          <w:sz w:val="22"/>
          <w:szCs w:val="22"/>
        </w:rPr>
      </w:pPr>
      <w:r w:rsidRPr="0086589A">
        <w:rPr>
          <w:rFonts w:eastAsia="Calibri" w:cstheme="minorHAnsi"/>
          <w:sz w:val="22"/>
          <w:szCs w:val="22"/>
        </w:rPr>
        <w:t>In the Data Scoping stage, local engagement with stakeholders (e.g. national hydromet agencies)</w:t>
      </w:r>
      <w:r w:rsidR="00671CA1" w:rsidRPr="0086589A">
        <w:rPr>
          <w:rFonts w:cs="Arial"/>
          <w:sz w:val="22"/>
          <w:szCs w:val="22"/>
        </w:rPr>
        <w:t xml:space="preserve">with facilitation provided </w:t>
      </w:r>
      <w:r w:rsidRPr="0086589A">
        <w:rPr>
          <w:rFonts w:cs="Arial"/>
          <w:sz w:val="22"/>
          <w:szCs w:val="22"/>
        </w:rPr>
        <w:t xml:space="preserve">to the consultancy </w:t>
      </w:r>
      <w:r w:rsidR="00671CA1" w:rsidRPr="0086589A">
        <w:rPr>
          <w:rFonts w:cs="Arial"/>
          <w:sz w:val="22"/>
          <w:szCs w:val="22"/>
        </w:rPr>
        <w:t>by the City</w:t>
      </w:r>
      <w:r w:rsidR="00CD2069">
        <w:rPr>
          <w:rFonts w:cs="Arial"/>
          <w:sz w:val="22"/>
          <w:szCs w:val="22"/>
        </w:rPr>
        <w:t>, the AFD Group</w:t>
      </w:r>
      <w:r w:rsidR="00671CA1" w:rsidRPr="0086589A">
        <w:rPr>
          <w:rFonts w:cs="Arial"/>
          <w:sz w:val="22"/>
          <w:szCs w:val="22"/>
        </w:rPr>
        <w:t xml:space="preserve"> and the World Bank</w:t>
      </w:r>
      <w:r w:rsidR="006E7599" w:rsidRPr="0086589A">
        <w:rPr>
          <w:rFonts w:cs="Arial"/>
          <w:sz w:val="22"/>
          <w:szCs w:val="22"/>
        </w:rPr>
        <w:t>.</w:t>
      </w:r>
      <w:r w:rsidR="003807FF" w:rsidRPr="0086589A">
        <w:rPr>
          <w:rFonts w:cs="Arial"/>
          <w:sz w:val="22"/>
          <w:szCs w:val="22"/>
        </w:rPr>
        <w:t xml:space="preserve"> </w:t>
      </w:r>
    </w:p>
    <w:p w14:paraId="6AC870B1" w14:textId="11CB54A5" w:rsidR="003807FF" w:rsidRPr="0086589A" w:rsidRDefault="00E663A5" w:rsidP="0086589A">
      <w:pPr>
        <w:pStyle w:val="Paragraphedeliste"/>
        <w:numPr>
          <w:ilvl w:val="0"/>
          <w:numId w:val="22"/>
        </w:numPr>
        <w:spacing w:before="100" w:beforeAutospacing="1" w:after="100" w:afterAutospacing="1" w:line="240" w:lineRule="auto"/>
        <w:rPr>
          <w:rFonts w:cs="Arial"/>
          <w:sz w:val="22"/>
          <w:szCs w:val="22"/>
        </w:rPr>
      </w:pPr>
      <w:r>
        <w:rPr>
          <w:rFonts w:cs="Arial"/>
          <w:sz w:val="22"/>
          <w:szCs w:val="22"/>
        </w:rPr>
        <w:t xml:space="preserve">The consultant is expected to clarify any specific </w:t>
      </w:r>
      <w:r w:rsidR="00557AF9">
        <w:rPr>
          <w:rFonts w:cs="Arial"/>
          <w:sz w:val="22"/>
          <w:szCs w:val="22"/>
        </w:rPr>
        <w:t xml:space="preserve">challenges around data availability, and ways in which data gaps can be closed. </w:t>
      </w:r>
      <w:r w:rsidR="003807FF" w:rsidRPr="0086589A">
        <w:rPr>
          <w:rFonts w:cs="Arial"/>
          <w:sz w:val="22"/>
          <w:szCs w:val="22"/>
        </w:rPr>
        <w:t>Depending on data availability the scope may need to be adjusted.</w:t>
      </w:r>
    </w:p>
    <w:p w14:paraId="0B49C7AD" w14:textId="48CD965F" w:rsidR="00716628" w:rsidRPr="0086589A" w:rsidRDefault="00716628" w:rsidP="0086589A">
      <w:pPr>
        <w:pStyle w:val="Paragraphedeliste"/>
        <w:numPr>
          <w:ilvl w:val="0"/>
          <w:numId w:val="22"/>
        </w:numPr>
        <w:spacing w:before="100" w:beforeAutospacing="1" w:after="100" w:afterAutospacing="1" w:line="240" w:lineRule="auto"/>
        <w:rPr>
          <w:rFonts w:cs="Arial"/>
          <w:sz w:val="22"/>
          <w:szCs w:val="22"/>
        </w:rPr>
      </w:pPr>
      <w:r w:rsidRPr="0086589A">
        <w:rPr>
          <w:rFonts w:cs="Arial"/>
          <w:sz w:val="22"/>
          <w:szCs w:val="22"/>
        </w:rPr>
        <w:t xml:space="preserve">All the </w:t>
      </w:r>
      <w:r w:rsidRPr="00CD2069">
        <w:rPr>
          <w:rFonts w:cs="Arial"/>
          <w:sz w:val="22"/>
          <w:szCs w:val="22"/>
        </w:rPr>
        <w:t>data produced by the project and all outputs are to be shared with</w:t>
      </w:r>
      <w:r w:rsidR="00CD2069" w:rsidRPr="00CD2069">
        <w:rPr>
          <w:rFonts w:cs="Arial"/>
          <w:sz w:val="22"/>
          <w:szCs w:val="22"/>
        </w:rPr>
        <w:t xml:space="preserve"> the cli</w:t>
      </w:r>
      <w:r w:rsidR="00CD2069">
        <w:rPr>
          <w:rFonts w:cs="Arial"/>
          <w:sz w:val="22"/>
          <w:szCs w:val="22"/>
        </w:rPr>
        <w:t>ent (AFD Group) as well as</w:t>
      </w:r>
      <w:r w:rsidRPr="00CD2069">
        <w:rPr>
          <w:rFonts w:cs="Arial"/>
          <w:sz w:val="22"/>
          <w:szCs w:val="22"/>
        </w:rPr>
        <w:t xml:space="preserve"> WB/City and other identified stakeholders</w:t>
      </w:r>
      <w:r w:rsidR="00AA0D27">
        <w:rPr>
          <w:rFonts w:cs="Arial"/>
          <w:sz w:val="22"/>
          <w:szCs w:val="22"/>
        </w:rPr>
        <w:t xml:space="preserve"> (for internal use, not for public </w:t>
      </w:r>
      <w:r w:rsidR="006E473F">
        <w:rPr>
          <w:rFonts w:cs="Arial"/>
          <w:sz w:val="22"/>
          <w:szCs w:val="22"/>
        </w:rPr>
        <w:t>consumption</w:t>
      </w:r>
      <w:r w:rsidR="00AA0D27">
        <w:rPr>
          <w:rFonts w:cs="Arial"/>
          <w:sz w:val="22"/>
          <w:szCs w:val="22"/>
        </w:rPr>
        <w:t>)</w:t>
      </w:r>
      <w:r w:rsidRPr="0086589A">
        <w:rPr>
          <w:rFonts w:cs="Arial"/>
          <w:sz w:val="22"/>
          <w:szCs w:val="22"/>
        </w:rPr>
        <w:t>.</w:t>
      </w:r>
    </w:p>
    <w:p w14:paraId="28DC285B" w14:textId="6433B149" w:rsidR="009C720A" w:rsidRDefault="00E92A5D" w:rsidP="0086589A">
      <w:pPr>
        <w:pStyle w:val="Titre2"/>
      </w:pPr>
      <w:r>
        <w:t>Workstream 2</w:t>
      </w:r>
      <w:r w:rsidR="009C720A">
        <w:t xml:space="preserve"> </w:t>
      </w:r>
    </w:p>
    <w:p w14:paraId="5428F582" w14:textId="7E2750B1" w:rsidR="00065AF5" w:rsidRDefault="00065AF5" w:rsidP="0086589A">
      <w:pPr>
        <w:pStyle w:val="Titre4"/>
      </w:pPr>
      <w:r>
        <w:t>Background</w:t>
      </w:r>
    </w:p>
    <w:p w14:paraId="574398DC" w14:textId="3AA24CD4" w:rsidR="006507E6" w:rsidRPr="005707A8" w:rsidRDefault="00665C35" w:rsidP="006507E6">
      <w:pPr>
        <w:spacing w:before="100" w:beforeAutospacing="1" w:after="100" w:afterAutospacing="1" w:line="240" w:lineRule="auto"/>
        <w:jc w:val="both"/>
        <w:rPr>
          <w:rFonts w:cs="Arial"/>
          <w:sz w:val="22"/>
          <w:szCs w:val="22"/>
        </w:rPr>
      </w:pPr>
      <w:r w:rsidRPr="0086589A">
        <w:rPr>
          <w:rFonts w:cs="Arial"/>
          <w:sz w:val="22"/>
          <w:szCs w:val="22"/>
        </w:rPr>
        <w:t xml:space="preserve">This </w:t>
      </w:r>
      <w:r>
        <w:rPr>
          <w:rFonts w:cs="Arial"/>
          <w:sz w:val="22"/>
          <w:szCs w:val="22"/>
        </w:rPr>
        <w:t>workstream</w:t>
      </w:r>
      <w:r w:rsidRPr="0086589A">
        <w:rPr>
          <w:rFonts w:cs="Arial"/>
          <w:sz w:val="22"/>
          <w:szCs w:val="22"/>
        </w:rPr>
        <w:t xml:space="preserve"> </w:t>
      </w:r>
      <w:r w:rsidR="00CD2069">
        <w:rPr>
          <w:rFonts w:cs="Arial"/>
          <w:sz w:val="22"/>
          <w:szCs w:val="22"/>
        </w:rPr>
        <w:t xml:space="preserve">(conditional tranche) </w:t>
      </w:r>
      <w:r w:rsidRPr="0086589A">
        <w:rPr>
          <w:rFonts w:cs="Arial"/>
          <w:sz w:val="22"/>
          <w:szCs w:val="22"/>
        </w:rPr>
        <w:t xml:space="preserve">will commence upon the completion, or near completion, of the first </w:t>
      </w:r>
      <w:r w:rsidR="009210DA">
        <w:rPr>
          <w:rFonts w:cs="Arial"/>
          <w:sz w:val="22"/>
          <w:szCs w:val="22"/>
        </w:rPr>
        <w:t>workstream</w:t>
      </w:r>
      <w:r w:rsidRPr="0086589A">
        <w:rPr>
          <w:rFonts w:cs="Arial"/>
          <w:sz w:val="22"/>
          <w:szCs w:val="22"/>
        </w:rPr>
        <w:t xml:space="preserve"> and will focus on assessing the replicability of the process conducted </w:t>
      </w:r>
      <w:r w:rsidR="00B6094D">
        <w:rPr>
          <w:rFonts w:cs="Arial"/>
          <w:sz w:val="22"/>
          <w:szCs w:val="22"/>
        </w:rPr>
        <w:t>for the City of</w:t>
      </w:r>
      <w:r w:rsidRPr="0086589A">
        <w:rPr>
          <w:rFonts w:cs="Arial"/>
          <w:sz w:val="22"/>
          <w:szCs w:val="22"/>
        </w:rPr>
        <w:t xml:space="preserve"> Cape Town across </w:t>
      </w:r>
      <w:r w:rsidR="00B6094D">
        <w:rPr>
          <w:rFonts w:cs="Arial"/>
          <w:sz w:val="22"/>
          <w:szCs w:val="22"/>
        </w:rPr>
        <w:t>two other</w:t>
      </w:r>
      <w:r w:rsidRPr="0086589A">
        <w:rPr>
          <w:rFonts w:cs="Arial"/>
          <w:sz w:val="22"/>
          <w:szCs w:val="22"/>
        </w:rPr>
        <w:t xml:space="preserve"> metropolitan </w:t>
      </w:r>
      <w:r w:rsidR="00944068">
        <w:rPr>
          <w:rFonts w:cs="Arial"/>
          <w:sz w:val="22"/>
          <w:szCs w:val="22"/>
        </w:rPr>
        <w:t>municipalities</w:t>
      </w:r>
      <w:r w:rsidR="005074B7">
        <w:rPr>
          <w:rFonts w:cs="Arial"/>
          <w:sz w:val="22"/>
          <w:szCs w:val="22"/>
        </w:rPr>
        <w:t xml:space="preserve">. </w:t>
      </w:r>
      <w:r w:rsidRPr="0086589A">
        <w:rPr>
          <w:rFonts w:cs="Arial"/>
          <w:sz w:val="22"/>
          <w:szCs w:val="22"/>
        </w:rPr>
        <w:t xml:space="preserve">While all metropolitan cities will be considered for the analysis, the Consultant, supported by the Steering Committee, will, at an early stage, shortlist up to two metropolitan cities for deep analysis. This selection will be based on prior analysis conducted by the </w:t>
      </w:r>
      <w:r w:rsidR="002C48D5">
        <w:rPr>
          <w:rFonts w:cs="Arial"/>
          <w:sz w:val="22"/>
          <w:szCs w:val="22"/>
        </w:rPr>
        <w:t>government</w:t>
      </w:r>
      <w:r w:rsidRPr="0086589A">
        <w:rPr>
          <w:rFonts w:cs="Arial"/>
          <w:sz w:val="22"/>
          <w:szCs w:val="22"/>
        </w:rPr>
        <w:t xml:space="preserve"> and partners, supplemented by targeted desktop research.</w:t>
      </w:r>
      <w:r w:rsidR="006507E6">
        <w:rPr>
          <w:rFonts w:cs="Arial"/>
          <w:sz w:val="22"/>
          <w:szCs w:val="22"/>
        </w:rPr>
        <w:t xml:space="preserve"> The type of insurance product and peril</w:t>
      </w:r>
      <w:r w:rsidR="006507E6" w:rsidRPr="005707A8">
        <w:rPr>
          <w:rFonts w:cs="Arial"/>
          <w:sz w:val="22"/>
          <w:szCs w:val="22"/>
        </w:rPr>
        <w:t xml:space="preserve"> is not assumed </w:t>
      </w:r>
      <w:r w:rsidR="006507E6">
        <w:rPr>
          <w:rFonts w:cs="Arial"/>
          <w:sz w:val="22"/>
          <w:szCs w:val="22"/>
        </w:rPr>
        <w:t xml:space="preserve">ex-ante and should be explored in more detail under the first phase of activities of this workstream. </w:t>
      </w:r>
    </w:p>
    <w:p w14:paraId="1022BF38" w14:textId="73EBEA62" w:rsidR="00665C35" w:rsidRDefault="00665C35" w:rsidP="00665C35">
      <w:pPr>
        <w:spacing w:before="100" w:beforeAutospacing="1" w:after="100" w:afterAutospacing="1" w:line="240" w:lineRule="auto"/>
        <w:jc w:val="both"/>
        <w:rPr>
          <w:rFonts w:cs="Arial"/>
          <w:sz w:val="22"/>
          <w:szCs w:val="22"/>
        </w:rPr>
      </w:pPr>
      <w:r w:rsidRPr="0086589A">
        <w:rPr>
          <w:rFonts w:cs="Arial"/>
          <w:sz w:val="22"/>
          <w:szCs w:val="22"/>
        </w:rPr>
        <w:t xml:space="preserve">As the replicability assessment will depend in part on the outcomes of </w:t>
      </w:r>
      <w:r w:rsidR="004A541C">
        <w:rPr>
          <w:rFonts w:cs="Arial"/>
          <w:sz w:val="22"/>
          <w:szCs w:val="22"/>
        </w:rPr>
        <w:t>Workstream</w:t>
      </w:r>
      <w:r w:rsidRPr="0086589A">
        <w:rPr>
          <w:rFonts w:cs="Arial"/>
          <w:sz w:val="22"/>
          <w:szCs w:val="22"/>
        </w:rPr>
        <w:t xml:space="preserve"> 1, the Project Steering Committee </w:t>
      </w:r>
      <w:r w:rsidR="006507E6">
        <w:rPr>
          <w:rFonts w:cs="Arial"/>
          <w:sz w:val="22"/>
          <w:szCs w:val="22"/>
        </w:rPr>
        <w:t>in collaboration with the Consultant will</w:t>
      </w:r>
      <w:r w:rsidRPr="0086589A">
        <w:rPr>
          <w:rFonts w:cs="Arial"/>
          <w:sz w:val="22"/>
          <w:szCs w:val="22"/>
        </w:rPr>
        <w:t xml:space="preserve"> refine the </w:t>
      </w:r>
      <w:r w:rsidR="006507E6">
        <w:rPr>
          <w:rFonts w:cs="Arial"/>
          <w:sz w:val="22"/>
          <w:szCs w:val="22"/>
        </w:rPr>
        <w:t xml:space="preserve">precise </w:t>
      </w:r>
      <w:r w:rsidR="00B80441">
        <w:rPr>
          <w:rFonts w:cs="Arial"/>
          <w:sz w:val="22"/>
          <w:szCs w:val="22"/>
        </w:rPr>
        <w:t>activities</w:t>
      </w:r>
      <w:r w:rsidRPr="0086589A">
        <w:rPr>
          <w:rFonts w:cs="Arial"/>
          <w:sz w:val="22"/>
          <w:szCs w:val="22"/>
        </w:rPr>
        <w:t xml:space="preserve"> outlined below </w:t>
      </w:r>
      <w:r w:rsidR="006507E6">
        <w:rPr>
          <w:rFonts w:cs="Arial"/>
          <w:sz w:val="22"/>
          <w:szCs w:val="22"/>
        </w:rPr>
        <w:t xml:space="preserve">at inception of this workstream. </w:t>
      </w:r>
    </w:p>
    <w:p w14:paraId="75F37C73" w14:textId="77777777" w:rsidR="00065AF5" w:rsidRDefault="00065AF5" w:rsidP="0086589A">
      <w:pPr>
        <w:pStyle w:val="Titre4"/>
      </w:pPr>
      <w:r w:rsidRPr="00B37F60">
        <w:t xml:space="preserve">Activities </w:t>
      </w:r>
    </w:p>
    <w:p w14:paraId="41EE0BDB" w14:textId="047FD626" w:rsidR="00D96F7D" w:rsidRPr="00D24467" w:rsidRDefault="00D24467" w:rsidP="00D96F7D">
      <w:pPr>
        <w:rPr>
          <w:rFonts w:cs="Arial"/>
          <w:i/>
          <w:iCs/>
          <w:sz w:val="22"/>
          <w:szCs w:val="22"/>
        </w:rPr>
      </w:pPr>
      <w:r w:rsidRPr="00D24467">
        <w:rPr>
          <w:rFonts w:cs="Arial"/>
          <w:i/>
          <w:iCs/>
          <w:sz w:val="22"/>
          <w:szCs w:val="22"/>
        </w:rPr>
        <w:t xml:space="preserve">For all metropolitan municipalities (excluding Cape Town) complete the following: </w:t>
      </w:r>
    </w:p>
    <w:p w14:paraId="7F6A8322" w14:textId="45623CD9" w:rsidR="00AD2C12" w:rsidRDefault="00AD2C12" w:rsidP="00821953">
      <w:pPr>
        <w:pStyle w:val="Paragraphedeliste"/>
        <w:numPr>
          <w:ilvl w:val="0"/>
          <w:numId w:val="20"/>
        </w:numPr>
        <w:spacing w:before="100" w:beforeAutospacing="1" w:after="100" w:afterAutospacing="1" w:line="240" w:lineRule="auto"/>
        <w:jc w:val="both"/>
        <w:rPr>
          <w:rFonts w:cs="Arial"/>
          <w:sz w:val="22"/>
          <w:szCs w:val="22"/>
        </w:rPr>
      </w:pPr>
      <w:r w:rsidRPr="0086589A">
        <w:rPr>
          <w:rFonts w:cs="Arial"/>
          <w:sz w:val="22"/>
          <w:szCs w:val="22"/>
        </w:rPr>
        <w:t>Analysis of key disaster risk drivers through a literature review and interviews with key stakeholders and provide a ranking to help each</w:t>
      </w:r>
      <w:r w:rsidR="00D96F7D">
        <w:rPr>
          <w:rFonts w:cs="Arial"/>
          <w:sz w:val="22"/>
          <w:szCs w:val="22"/>
        </w:rPr>
        <w:t xml:space="preserve"> metropolitan</w:t>
      </w:r>
      <w:r w:rsidRPr="0086589A">
        <w:rPr>
          <w:rFonts w:cs="Arial"/>
          <w:sz w:val="22"/>
          <w:szCs w:val="22"/>
        </w:rPr>
        <w:t xml:space="preserve"> municipality identify their priority risks for a</w:t>
      </w:r>
      <w:r w:rsidR="00A97455">
        <w:rPr>
          <w:rFonts w:cs="Arial"/>
          <w:sz w:val="22"/>
          <w:szCs w:val="22"/>
        </w:rPr>
        <w:t>n</w:t>
      </w:r>
      <w:r w:rsidRPr="0086589A">
        <w:rPr>
          <w:rFonts w:cs="Arial"/>
          <w:sz w:val="22"/>
          <w:szCs w:val="22"/>
        </w:rPr>
        <w:t xml:space="preserve"> insurance product</w:t>
      </w:r>
      <w:r w:rsidR="00903E05">
        <w:rPr>
          <w:rFonts w:cs="Arial"/>
          <w:sz w:val="22"/>
          <w:szCs w:val="22"/>
        </w:rPr>
        <w:t xml:space="preserve"> (highlighting where parametric products could be suitable)</w:t>
      </w:r>
      <w:r w:rsidRPr="0086589A">
        <w:rPr>
          <w:rFonts w:cs="Arial"/>
          <w:sz w:val="22"/>
          <w:szCs w:val="22"/>
        </w:rPr>
        <w:t>. The ranking should be based on the financial impacts of historical events across multiple hazards.</w:t>
      </w:r>
    </w:p>
    <w:p w14:paraId="37C4A8DF" w14:textId="77777777" w:rsidR="006507E6" w:rsidRPr="0086589A" w:rsidRDefault="006507E6" w:rsidP="0086589A">
      <w:pPr>
        <w:pStyle w:val="Paragraphedeliste"/>
        <w:spacing w:before="100" w:beforeAutospacing="1" w:after="100" w:afterAutospacing="1" w:line="240" w:lineRule="auto"/>
        <w:jc w:val="both"/>
        <w:rPr>
          <w:rFonts w:cs="Arial"/>
          <w:sz w:val="22"/>
          <w:szCs w:val="22"/>
        </w:rPr>
      </w:pPr>
    </w:p>
    <w:p w14:paraId="26F23DDA" w14:textId="52C65379" w:rsidR="006507E6" w:rsidRPr="0086589A" w:rsidRDefault="00C97361" w:rsidP="0086589A">
      <w:pPr>
        <w:pStyle w:val="Paragraphedeliste"/>
        <w:numPr>
          <w:ilvl w:val="0"/>
          <w:numId w:val="20"/>
        </w:numPr>
        <w:spacing w:before="100" w:beforeAutospacing="1" w:after="100" w:afterAutospacing="1" w:line="240" w:lineRule="auto"/>
        <w:jc w:val="both"/>
        <w:rPr>
          <w:rFonts w:cs="Arial"/>
          <w:sz w:val="22"/>
          <w:szCs w:val="22"/>
        </w:rPr>
      </w:pPr>
      <w:r w:rsidRPr="0086589A">
        <w:rPr>
          <w:rFonts w:cs="Arial"/>
          <w:sz w:val="22"/>
          <w:szCs w:val="22"/>
        </w:rPr>
        <w:t>Identify data readily available for the design and operationalization of a</w:t>
      </w:r>
      <w:r w:rsidR="000A39F5">
        <w:rPr>
          <w:rFonts w:cs="Arial"/>
          <w:sz w:val="22"/>
          <w:szCs w:val="22"/>
        </w:rPr>
        <w:t xml:space="preserve">n </w:t>
      </w:r>
      <w:r w:rsidRPr="0086589A">
        <w:rPr>
          <w:rFonts w:cs="Arial"/>
          <w:sz w:val="22"/>
          <w:szCs w:val="22"/>
        </w:rPr>
        <w:t>insurance product for the most critical risks identified in 1</w:t>
      </w:r>
    </w:p>
    <w:p w14:paraId="3F3306F6" w14:textId="4DED78B4" w:rsidR="006507E6" w:rsidRPr="0086589A" w:rsidRDefault="00665C35" w:rsidP="0086589A">
      <w:pPr>
        <w:pStyle w:val="Paragraphedeliste"/>
        <w:numPr>
          <w:ilvl w:val="1"/>
          <w:numId w:val="20"/>
        </w:numPr>
        <w:spacing w:before="100" w:beforeAutospacing="1" w:after="100" w:afterAutospacing="1" w:line="240" w:lineRule="auto"/>
        <w:jc w:val="both"/>
        <w:rPr>
          <w:rFonts w:cs="Arial"/>
          <w:sz w:val="22"/>
          <w:szCs w:val="22"/>
        </w:rPr>
      </w:pPr>
      <w:r w:rsidRPr="0086589A">
        <w:rPr>
          <w:rFonts w:cs="Arial"/>
          <w:sz w:val="22"/>
          <w:szCs w:val="22"/>
        </w:rPr>
        <w:t>Inventory and clean impact/cost datasets.</w:t>
      </w:r>
    </w:p>
    <w:p w14:paraId="668555E8" w14:textId="1FC91371" w:rsidR="00665C35" w:rsidRPr="0086589A" w:rsidRDefault="00665C35" w:rsidP="0086589A">
      <w:pPr>
        <w:pStyle w:val="Paragraphedeliste"/>
        <w:numPr>
          <w:ilvl w:val="1"/>
          <w:numId w:val="20"/>
        </w:numPr>
        <w:spacing w:before="100" w:beforeAutospacing="1" w:after="100" w:afterAutospacing="1" w:line="240" w:lineRule="auto"/>
        <w:jc w:val="both"/>
        <w:rPr>
          <w:rFonts w:cs="Arial"/>
          <w:sz w:val="22"/>
          <w:szCs w:val="22"/>
        </w:rPr>
      </w:pPr>
      <w:r w:rsidRPr="0086589A">
        <w:rPr>
          <w:rFonts w:cs="Arial"/>
          <w:sz w:val="22"/>
          <w:szCs w:val="22"/>
        </w:rPr>
        <w:t>Define loss/cost taxonomy for analysis.</w:t>
      </w:r>
    </w:p>
    <w:p w14:paraId="46070481" w14:textId="352BB128" w:rsidR="00FE257A" w:rsidRPr="0086589A" w:rsidRDefault="00FE257A" w:rsidP="00665C35">
      <w:pPr>
        <w:spacing w:before="100" w:beforeAutospacing="1" w:after="100" w:afterAutospacing="1" w:line="240" w:lineRule="auto"/>
        <w:jc w:val="both"/>
        <w:rPr>
          <w:rFonts w:cs="Arial"/>
          <w:i/>
          <w:iCs/>
          <w:sz w:val="22"/>
          <w:szCs w:val="22"/>
        </w:rPr>
      </w:pPr>
      <w:r w:rsidRPr="0086589A">
        <w:rPr>
          <w:rFonts w:cs="Arial"/>
          <w:i/>
          <w:iCs/>
          <w:sz w:val="22"/>
          <w:szCs w:val="22"/>
        </w:rPr>
        <w:t xml:space="preserve">Following completion of Activity 1 </w:t>
      </w:r>
      <w:r w:rsidR="00CD0139">
        <w:rPr>
          <w:rFonts w:cs="Arial"/>
          <w:i/>
          <w:iCs/>
          <w:sz w:val="22"/>
          <w:szCs w:val="22"/>
        </w:rPr>
        <w:t>and</w:t>
      </w:r>
      <w:r w:rsidRPr="0086589A">
        <w:rPr>
          <w:rFonts w:cs="Arial"/>
          <w:i/>
          <w:iCs/>
          <w:sz w:val="22"/>
          <w:szCs w:val="22"/>
        </w:rPr>
        <w:t xml:space="preserve"> 2, up to two </w:t>
      </w:r>
      <w:r w:rsidR="0080378E" w:rsidRPr="0080378E">
        <w:rPr>
          <w:rFonts w:cs="Arial"/>
          <w:i/>
          <w:iCs/>
          <w:sz w:val="22"/>
          <w:szCs w:val="22"/>
        </w:rPr>
        <w:t xml:space="preserve">metropolitan municipalities </w:t>
      </w:r>
      <w:r w:rsidRPr="0080378E">
        <w:rPr>
          <w:rFonts w:cs="Arial"/>
          <w:i/>
          <w:iCs/>
          <w:sz w:val="22"/>
          <w:szCs w:val="22"/>
        </w:rPr>
        <w:t>will</w:t>
      </w:r>
      <w:r w:rsidRPr="0086589A">
        <w:rPr>
          <w:rFonts w:cs="Arial"/>
          <w:i/>
          <w:iCs/>
          <w:sz w:val="22"/>
          <w:szCs w:val="22"/>
        </w:rPr>
        <w:t xml:space="preserve"> be selected for in-depth analysis.</w:t>
      </w:r>
    </w:p>
    <w:p w14:paraId="723B308B" w14:textId="0747845A" w:rsidR="00665C35" w:rsidRPr="0086589A" w:rsidRDefault="0044012B" w:rsidP="0086589A">
      <w:pPr>
        <w:pStyle w:val="Paragraphedeliste"/>
        <w:numPr>
          <w:ilvl w:val="0"/>
          <w:numId w:val="20"/>
        </w:numPr>
        <w:spacing w:before="100" w:beforeAutospacing="1" w:after="100" w:afterAutospacing="1" w:line="240" w:lineRule="auto"/>
        <w:jc w:val="both"/>
        <w:rPr>
          <w:rFonts w:cs="Arial"/>
          <w:sz w:val="22"/>
          <w:szCs w:val="22"/>
        </w:rPr>
      </w:pPr>
      <w:r w:rsidRPr="0086589A">
        <w:rPr>
          <w:rFonts w:cs="Arial"/>
          <w:sz w:val="22"/>
          <w:szCs w:val="22"/>
        </w:rPr>
        <w:t>Conduct r</w:t>
      </w:r>
      <w:r w:rsidR="00FE257A" w:rsidRPr="0086589A">
        <w:rPr>
          <w:rFonts w:cs="Arial"/>
          <w:sz w:val="22"/>
          <w:szCs w:val="22"/>
        </w:rPr>
        <w:t>isk</w:t>
      </w:r>
      <w:r w:rsidR="00665C35" w:rsidRPr="0086589A">
        <w:rPr>
          <w:rFonts w:cs="Arial"/>
          <w:sz w:val="22"/>
          <w:szCs w:val="22"/>
        </w:rPr>
        <w:t xml:space="preserve"> analytics and loss modelling</w:t>
      </w:r>
      <w:r w:rsidRPr="0086589A">
        <w:rPr>
          <w:rFonts w:cs="Arial"/>
          <w:sz w:val="22"/>
          <w:szCs w:val="22"/>
        </w:rPr>
        <w:t xml:space="preserve"> to d</w:t>
      </w:r>
      <w:r w:rsidR="00665C35" w:rsidRPr="0086589A">
        <w:rPr>
          <w:rFonts w:cs="Arial"/>
          <w:sz w:val="22"/>
          <w:szCs w:val="22"/>
        </w:rPr>
        <w:t xml:space="preserve">evelop loss frequency/severity distributions and </w:t>
      </w:r>
      <w:r w:rsidR="0052100F">
        <w:rPr>
          <w:rFonts w:cs="Arial"/>
          <w:sz w:val="22"/>
          <w:szCs w:val="22"/>
        </w:rPr>
        <w:t>Exceedance Probability (</w:t>
      </w:r>
      <w:r w:rsidR="00665C35" w:rsidRPr="0086589A">
        <w:rPr>
          <w:rFonts w:cs="Arial"/>
          <w:sz w:val="22"/>
          <w:szCs w:val="22"/>
        </w:rPr>
        <w:t>EP</w:t>
      </w:r>
      <w:r w:rsidR="0052100F">
        <w:rPr>
          <w:rFonts w:cs="Arial"/>
          <w:sz w:val="22"/>
          <w:szCs w:val="22"/>
        </w:rPr>
        <w:t>)</w:t>
      </w:r>
      <w:r w:rsidR="00665C35" w:rsidRPr="0086589A">
        <w:rPr>
          <w:rFonts w:cs="Arial"/>
          <w:sz w:val="22"/>
          <w:szCs w:val="22"/>
        </w:rPr>
        <w:t xml:space="preserve"> curves.</w:t>
      </w:r>
      <w:r w:rsidRPr="0086589A">
        <w:rPr>
          <w:rFonts w:cs="Arial"/>
          <w:sz w:val="22"/>
          <w:szCs w:val="22"/>
        </w:rPr>
        <w:t xml:space="preserve"> </w:t>
      </w:r>
      <w:r w:rsidR="00665C35" w:rsidRPr="0086589A">
        <w:rPr>
          <w:rFonts w:cs="Arial"/>
          <w:sz w:val="22"/>
          <w:szCs w:val="22"/>
        </w:rPr>
        <w:t>Document assumptions and uncertainty.</w:t>
      </w:r>
    </w:p>
    <w:p w14:paraId="51C753AC" w14:textId="6996246F" w:rsidR="00665C35" w:rsidRDefault="001C57DB" w:rsidP="00C6154C">
      <w:pPr>
        <w:pStyle w:val="Paragraphedeliste"/>
        <w:numPr>
          <w:ilvl w:val="0"/>
          <w:numId w:val="20"/>
        </w:numPr>
        <w:spacing w:before="100" w:beforeAutospacing="1" w:after="100" w:afterAutospacing="1" w:line="240" w:lineRule="auto"/>
        <w:jc w:val="both"/>
        <w:rPr>
          <w:rFonts w:cs="Arial"/>
          <w:sz w:val="22"/>
          <w:szCs w:val="22"/>
        </w:rPr>
      </w:pPr>
      <w:r w:rsidRPr="0086589A">
        <w:rPr>
          <w:rFonts w:cs="Arial"/>
          <w:sz w:val="22"/>
          <w:szCs w:val="22"/>
        </w:rPr>
        <w:t xml:space="preserve">Using the data from 2, design a selection (between 2 and 5) of possible </w:t>
      </w:r>
      <w:r w:rsidR="00BE0BE6">
        <w:rPr>
          <w:rFonts w:cs="Arial"/>
          <w:sz w:val="22"/>
          <w:szCs w:val="22"/>
        </w:rPr>
        <w:t>structures</w:t>
      </w:r>
      <w:r w:rsidRPr="0086589A">
        <w:rPr>
          <w:rFonts w:cs="Arial"/>
          <w:sz w:val="22"/>
          <w:szCs w:val="22"/>
        </w:rPr>
        <w:t xml:space="preserve"> that link to the top risk drivers identified in 1 and test against available historical data</w:t>
      </w:r>
      <w:r w:rsidR="00C6154C" w:rsidRPr="0086589A">
        <w:rPr>
          <w:rFonts w:cs="Arial"/>
          <w:sz w:val="22"/>
          <w:szCs w:val="22"/>
        </w:rPr>
        <w:t>,</w:t>
      </w:r>
      <w:r w:rsidR="008101AF">
        <w:rPr>
          <w:rFonts w:cs="Arial"/>
          <w:sz w:val="22"/>
          <w:szCs w:val="22"/>
        </w:rPr>
        <w:t xml:space="preserve"> </w:t>
      </w:r>
      <w:r w:rsidR="00665C35" w:rsidRPr="0086589A">
        <w:rPr>
          <w:rFonts w:cs="Arial"/>
          <w:sz w:val="22"/>
          <w:szCs w:val="22"/>
        </w:rPr>
        <w:t>calibrate triggers and thresholds</w:t>
      </w:r>
      <w:r w:rsidR="00C6154C" w:rsidRPr="0086589A">
        <w:rPr>
          <w:rFonts w:cs="Arial"/>
          <w:sz w:val="22"/>
          <w:szCs w:val="22"/>
        </w:rPr>
        <w:t>, q</w:t>
      </w:r>
      <w:r w:rsidR="00665C35" w:rsidRPr="0086589A">
        <w:rPr>
          <w:rFonts w:cs="Arial"/>
          <w:sz w:val="22"/>
          <w:szCs w:val="22"/>
        </w:rPr>
        <w:t>uantify basis risk and operational risks.</w:t>
      </w:r>
    </w:p>
    <w:p w14:paraId="1BC8DCEC" w14:textId="6FC36A9E" w:rsidR="008101AF" w:rsidRDefault="008101AF" w:rsidP="00C6154C">
      <w:pPr>
        <w:pStyle w:val="Paragraphedeliste"/>
        <w:numPr>
          <w:ilvl w:val="0"/>
          <w:numId w:val="20"/>
        </w:numPr>
        <w:spacing w:before="100" w:beforeAutospacing="1" w:after="100" w:afterAutospacing="1" w:line="240" w:lineRule="auto"/>
        <w:jc w:val="both"/>
        <w:rPr>
          <w:rFonts w:cs="Arial"/>
          <w:sz w:val="22"/>
          <w:szCs w:val="22"/>
        </w:rPr>
      </w:pPr>
      <w:r w:rsidRPr="008101AF">
        <w:rPr>
          <w:rFonts w:cs="Arial"/>
          <w:sz w:val="22"/>
          <w:szCs w:val="22"/>
        </w:rPr>
        <w:t xml:space="preserve">Provide a recommendation of the most appropriate </w:t>
      </w:r>
      <w:r w:rsidR="00BE0BE6">
        <w:rPr>
          <w:rFonts w:cs="Arial"/>
          <w:sz w:val="22"/>
          <w:szCs w:val="22"/>
        </w:rPr>
        <w:t>structures</w:t>
      </w:r>
      <w:r w:rsidRPr="008101AF">
        <w:rPr>
          <w:rFonts w:cs="Arial"/>
          <w:sz w:val="22"/>
          <w:szCs w:val="22"/>
        </w:rPr>
        <w:t xml:space="preserve"> </w:t>
      </w:r>
      <w:r w:rsidR="00F13929" w:rsidRPr="008101AF">
        <w:rPr>
          <w:rFonts w:cs="Arial"/>
          <w:sz w:val="22"/>
          <w:szCs w:val="22"/>
        </w:rPr>
        <w:t>considering</w:t>
      </w:r>
      <w:r w:rsidRPr="008101AF">
        <w:rPr>
          <w:rFonts w:cs="Arial"/>
          <w:sz w:val="22"/>
          <w:szCs w:val="22"/>
        </w:rPr>
        <w:t xml:space="preserve"> data availability, results of testing and basis-risk, acceptability to international insurance markets, and other relevant factors</w:t>
      </w:r>
      <w:r w:rsidR="00BE0BE6">
        <w:rPr>
          <w:rFonts w:cs="Arial"/>
          <w:sz w:val="22"/>
          <w:szCs w:val="22"/>
        </w:rPr>
        <w:t xml:space="preserve">. </w:t>
      </w:r>
    </w:p>
    <w:p w14:paraId="3E767B66" w14:textId="473F4614" w:rsidR="00702499" w:rsidRDefault="00396EB7" w:rsidP="00702499">
      <w:pPr>
        <w:pStyle w:val="Paragraphedeliste"/>
        <w:numPr>
          <w:ilvl w:val="0"/>
          <w:numId w:val="20"/>
        </w:numPr>
        <w:spacing w:before="100" w:beforeAutospacing="1" w:after="100" w:afterAutospacing="1" w:line="240" w:lineRule="auto"/>
        <w:jc w:val="both"/>
        <w:rPr>
          <w:rFonts w:cs="Arial"/>
          <w:sz w:val="22"/>
          <w:szCs w:val="22"/>
        </w:rPr>
      </w:pPr>
      <w:r w:rsidRPr="00396EB7">
        <w:rPr>
          <w:rFonts w:cs="Arial"/>
          <w:sz w:val="22"/>
          <w:szCs w:val="22"/>
        </w:rPr>
        <w:t>Develop indicative pricing for consideration by the relevant municipal authorities</w:t>
      </w:r>
      <w:r w:rsidR="00A26EE5">
        <w:rPr>
          <w:rFonts w:cs="Arial"/>
          <w:sz w:val="22"/>
          <w:szCs w:val="22"/>
        </w:rPr>
        <w:t xml:space="preserve">. </w:t>
      </w:r>
    </w:p>
    <w:p w14:paraId="7FDC3397" w14:textId="61703A37" w:rsidR="009C720A" w:rsidRDefault="00365D94" w:rsidP="00702499">
      <w:pPr>
        <w:pStyle w:val="Paragraphedeliste"/>
        <w:numPr>
          <w:ilvl w:val="0"/>
          <w:numId w:val="20"/>
        </w:numPr>
        <w:spacing w:before="100" w:beforeAutospacing="1" w:after="100" w:afterAutospacing="1" w:line="240" w:lineRule="auto"/>
        <w:jc w:val="both"/>
        <w:rPr>
          <w:rFonts w:cs="Arial"/>
          <w:sz w:val="22"/>
          <w:szCs w:val="22"/>
        </w:rPr>
      </w:pPr>
      <w:r w:rsidRPr="0086589A">
        <w:rPr>
          <w:rFonts w:cs="Arial"/>
          <w:sz w:val="22"/>
          <w:szCs w:val="22"/>
        </w:rPr>
        <w:t>Conduct value for money analysis on each option to inform prioritization by the relevant municipal authorities of the product structure they want to pursue</w:t>
      </w:r>
      <w:r w:rsidR="00702499" w:rsidRPr="0086589A">
        <w:rPr>
          <w:rFonts w:cs="Arial"/>
          <w:sz w:val="22"/>
          <w:szCs w:val="22"/>
        </w:rPr>
        <w:t xml:space="preserve">. </w:t>
      </w:r>
      <w:r w:rsidR="00665C35" w:rsidRPr="0086589A">
        <w:rPr>
          <w:rFonts w:cs="Arial"/>
          <w:sz w:val="22"/>
          <w:szCs w:val="22"/>
        </w:rPr>
        <w:t>Compare baseline instruments vs strategies including any proposed cover and/or a data-triggered facility.</w:t>
      </w:r>
    </w:p>
    <w:p w14:paraId="21AEDB0A" w14:textId="5828BA64" w:rsidR="00F415C8" w:rsidRPr="0086589A" w:rsidRDefault="00590F0C" w:rsidP="0086589A">
      <w:pPr>
        <w:pStyle w:val="Paragraphedeliste"/>
        <w:numPr>
          <w:ilvl w:val="0"/>
          <w:numId w:val="20"/>
        </w:numPr>
        <w:spacing w:before="100" w:beforeAutospacing="1" w:after="100" w:afterAutospacing="1" w:line="240" w:lineRule="auto"/>
        <w:jc w:val="both"/>
        <w:rPr>
          <w:rFonts w:cs="Arial"/>
          <w:sz w:val="22"/>
          <w:szCs w:val="22"/>
        </w:rPr>
      </w:pPr>
      <w:r w:rsidRPr="00590F0C">
        <w:rPr>
          <w:rFonts w:cs="Arial"/>
          <w:sz w:val="22"/>
          <w:szCs w:val="22"/>
        </w:rPr>
        <w:t>Provide an assessment of further work that would be needed in order to bring a product to market, including data and risk modelling, with indicative costs and timelines.</w:t>
      </w:r>
    </w:p>
    <w:p w14:paraId="41ED71C3" w14:textId="11E511E5" w:rsidR="00F415C8" w:rsidRPr="00B64B3C" w:rsidRDefault="00B64B3C" w:rsidP="0086589A">
      <w:pPr>
        <w:pStyle w:val="Titre4"/>
      </w:pPr>
      <w:r>
        <w:t xml:space="preserve">Indicative </w:t>
      </w:r>
      <w:r w:rsidR="00F415C8" w:rsidRPr="00B64B3C">
        <w:t>Deliverables (for each municipality) under Workstream 2</w:t>
      </w:r>
    </w:p>
    <w:p w14:paraId="5F15E3F4" w14:textId="3D9E55D4" w:rsidR="00F415C8" w:rsidRPr="00F415C8" w:rsidRDefault="00F415C8" w:rsidP="00F415C8">
      <w:pPr>
        <w:numPr>
          <w:ilvl w:val="0"/>
          <w:numId w:val="19"/>
        </w:numPr>
        <w:spacing w:before="100" w:beforeAutospacing="1" w:after="100" w:afterAutospacing="1" w:line="240" w:lineRule="auto"/>
        <w:jc w:val="both"/>
        <w:rPr>
          <w:rFonts w:cs="Arial"/>
          <w:sz w:val="22"/>
          <w:szCs w:val="22"/>
        </w:rPr>
      </w:pPr>
      <w:r w:rsidRPr="00F415C8">
        <w:rPr>
          <w:rFonts w:cs="Arial"/>
          <w:sz w:val="22"/>
          <w:szCs w:val="22"/>
        </w:rPr>
        <w:t>Database of historical disaster events and their financial impacts, with rankings</w:t>
      </w:r>
      <w:r w:rsidR="006243AD">
        <w:rPr>
          <w:rFonts w:cs="Arial"/>
          <w:sz w:val="22"/>
          <w:szCs w:val="22"/>
        </w:rPr>
        <w:t>.</w:t>
      </w:r>
    </w:p>
    <w:p w14:paraId="65D6EC31" w14:textId="0471C5F0" w:rsidR="00F415C8" w:rsidRPr="00F415C8" w:rsidRDefault="00F415C8" w:rsidP="00F415C8">
      <w:pPr>
        <w:numPr>
          <w:ilvl w:val="0"/>
          <w:numId w:val="19"/>
        </w:numPr>
        <w:spacing w:before="100" w:beforeAutospacing="1" w:after="100" w:afterAutospacing="1" w:line="240" w:lineRule="auto"/>
        <w:jc w:val="both"/>
        <w:rPr>
          <w:rFonts w:cs="Arial"/>
          <w:sz w:val="22"/>
          <w:szCs w:val="22"/>
        </w:rPr>
      </w:pPr>
      <w:r w:rsidRPr="00F415C8">
        <w:rPr>
          <w:rFonts w:cs="Arial"/>
          <w:sz w:val="22"/>
          <w:szCs w:val="22"/>
        </w:rPr>
        <w:t xml:space="preserve">Documentation of all data sources used, and provision of any public data used in the development of the potential </w:t>
      </w:r>
      <w:r w:rsidR="00903E05">
        <w:rPr>
          <w:rFonts w:cs="Arial"/>
          <w:sz w:val="22"/>
          <w:szCs w:val="22"/>
        </w:rPr>
        <w:t>solutions</w:t>
      </w:r>
      <w:r w:rsidR="006243AD">
        <w:rPr>
          <w:rFonts w:cs="Arial"/>
          <w:sz w:val="22"/>
          <w:szCs w:val="22"/>
        </w:rPr>
        <w:t>.</w:t>
      </w:r>
    </w:p>
    <w:p w14:paraId="01300ADE" w14:textId="06D15F84" w:rsidR="00F415C8" w:rsidRPr="00F415C8" w:rsidRDefault="00F415C8" w:rsidP="00F415C8">
      <w:pPr>
        <w:numPr>
          <w:ilvl w:val="0"/>
          <w:numId w:val="19"/>
        </w:numPr>
        <w:spacing w:before="100" w:beforeAutospacing="1" w:after="100" w:afterAutospacing="1" w:line="240" w:lineRule="auto"/>
        <w:jc w:val="both"/>
        <w:rPr>
          <w:rFonts w:cs="Arial"/>
          <w:sz w:val="22"/>
          <w:szCs w:val="22"/>
        </w:rPr>
      </w:pPr>
      <w:r w:rsidRPr="00F415C8">
        <w:rPr>
          <w:rFonts w:cs="Arial"/>
          <w:sz w:val="22"/>
          <w:szCs w:val="22"/>
        </w:rPr>
        <w:t xml:space="preserve">Excel spreadsheets </w:t>
      </w:r>
      <w:r w:rsidR="00AE190E" w:rsidRPr="00F415C8">
        <w:rPr>
          <w:rFonts w:cs="Arial"/>
          <w:sz w:val="22"/>
          <w:szCs w:val="22"/>
        </w:rPr>
        <w:t>e.g.</w:t>
      </w:r>
    </w:p>
    <w:p w14:paraId="2B1D8BD1" w14:textId="1BC33EBD" w:rsidR="00F415C8" w:rsidRPr="00F415C8" w:rsidRDefault="00903E05" w:rsidP="00F415C8">
      <w:pPr>
        <w:numPr>
          <w:ilvl w:val="1"/>
          <w:numId w:val="19"/>
        </w:numPr>
        <w:spacing w:before="100" w:beforeAutospacing="1" w:after="100" w:afterAutospacing="1" w:line="240" w:lineRule="auto"/>
        <w:jc w:val="both"/>
        <w:rPr>
          <w:rFonts w:cs="Arial"/>
          <w:sz w:val="22"/>
          <w:szCs w:val="22"/>
        </w:rPr>
      </w:pPr>
      <w:r>
        <w:rPr>
          <w:rFonts w:cs="Arial"/>
          <w:sz w:val="22"/>
          <w:szCs w:val="22"/>
        </w:rPr>
        <w:t>any</w:t>
      </w:r>
      <w:r w:rsidR="00F415C8" w:rsidRPr="00F415C8">
        <w:rPr>
          <w:rFonts w:cs="Arial"/>
          <w:sz w:val="22"/>
          <w:szCs w:val="22"/>
        </w:rPr>
        <w:t xml:space="preserve"> potential parametric indices, risk profiles, and results of testing against historical events  </w:t>
      </w:r>
    </w:p>
    <w:p w14:paraId="27898800" w14:textId="77777777" w:rsidR="00F415C8" w:rsidRPr="00F415C8" w:rsidRDefault="00F415C8" w:rsidP="00F415C8">
      <w:pPr>
        <w:numPr>
          <w:ilvl w:val="1"/>
          <w:numId w:val="19"/>
        </w:numPr>
        <w:spacing w:before="100" w:beforeAutospacing="1" w:after="100" w:afterAutospacing="1" w:line="240" w:lineRule="auto"/>
        <w:jc w:val="both"/>
        <w:rPr>
          <w:rFonts w:cs="Arial"/>
          <w:sz w:val="22"/>
          <w:szCs w:val="22"/>
        </w:rPr>
      </w:pPr>
      <w:r w:rsidRPr="00F415C8">
        <w:rPr>
          <w:rFonts w:cs="Arial"/>
          <w:sz w:val="22"/>
          <w:szCs w:val="22"/>
        </w:rPr>
        <w:t> the developed potential product options</w:t>
      </w:r>
    </w:p>
    <w:p w14:paraId="62333A62" w14:textId="77777777" w:rsidR="00F415C8" w:rsidRPr="00F415C8" w:rsidRDefault="00F415C8" w:rsidP="00F415C8">
      <w:pPr>
        <w:numPr>
          <w:ilvl w:val="1"/>
          <w:numId w:val="19"/>
        </w:numPr>
        <w:spacing w:before="100" w:beforeAutospacing="1" w:after="100" w:afterAutospacing="1" w:line="240" w:lineRule="auto"/>
        <w:jc w:val="both"/>
        <w:rPr>
          <w:rFonts w:cs="Arial"/>
          <w:sz w:val="22"/>
          <w:szCs w:val="22"/>
        </w:rPr>
      </w:pPr>
      <w:r w:rsidRPr="00F415C8">
        <w:rPr>
          <w:rFonts w:cs="Arial"/>
          <w:sz w:val="22"/>
          <w:szCs w:val="22"/>
        </w:rPr>
        <w:t> the VfM analysis, and documentation of key assumptions</w:t>
      </w:r>
    </w:p>
    <w:p w14:paraId="0F855CAC" w14:textId="2C4A9521" w:rsidR="00F415C8" w:rsidRDefault="00F415C8" w:rsidP="0086589A">
      <w:pPr>
        <w:numPr>
          <w:ilvl w:val="0"/>
          <w:numId w:val="19"/>
        </w:numPr>
        <w:spacing w:before="100" w:beforeAutospacing="1" w:after="100" w:afterAutospacing="1" w:line="240" w:lineRule="auto"/>
        <w:jc w:val="both"/>
        <w:rPr>
          <w:rFonts w:cs="Arial"/>
          <w:sz w:val="22"/>
          <w:szCs w:val="22"/>
        </w:rPr>
      </w:pPr>
      <w:r w:rsidRPr="00F415C8">
        <w:rPr>
          <w:rFonts w:cs="Arial"/>
          <w:sz w:val="22"/>
          <w:szCs w:val="22"/>
        </w:rPr>
        <w:t xml:space="preserve">Presentation slides of the </w:t>
      </w:r>
      <w:r w:rsidR="00E1507B" w:rsidRPr="00F415C8">
        <w:rPr>
          <w:rFonts w:cs="Arial"/>
          <w:sz w:val="22"/>
          <w:szCs w:val="22"/>
        </w:rPr>
        <w:t>high-level</w:t>
      </w:r>
      <w:r w:rsidRPr="00F415C8">
        <w:rPr>
          <w:rFonts w:cs="Arial"/>
          <w:sz w:val="22"/>
          <w:szCs w:val="22"/>
        </w:rPr>
        <w:t xml:space="preserve"> methodology and key findings from each of the listed activities, and recommendations</w:t>
      </w:r>
      <w:r w:rsidR="00E1507B">
        <w:rPr>
          <w:rFonts w:cs="Arial"/>
          <w:sz w:val="22"/>
          <w:szCs w:val="22"/>
        </w:rPr>
        <w:t xml:space="preserve">. </w:t>
      </w:r>
    </w:p>
    <w:p w14:paraId="32623E19" w14:textId="77777777" w:rsidR="00407845" w:rsidRPr="00B37F60" w:rsidRDefault="00407845" w:rsidP="00407845">
      <w:pPr>
        <w:pStyle w:val="Titre4"/>
      </w:pPr>
      <w:r w:rsidRPr="00B37F60">
        <w:t>Data</w:t>
      </w:r>
    </w:p>
    <w:p w14:paraId="2F3FAB3F" w14:textId="541F9685" w:rsidR="00CB11E5" w:rsidRPr="0086589A" w:rsidRDefault="00407845" w:rsidP="004B0AF9">
      <w:pPr>
        <w:spacing w:before="100" w:beforeAutospacing="1" w:after="100" w:afterAutospacing="1" w:line="240" w:lineRule="auto"/>
        <w:jc w:val="both"/>
        <w:rPr>
          <w:rFonts w:cs="Arial"/>
          <w:sz w:val="22"/>
          <w:szCs w:val="22"/>
        </w:rPr>
      </w:pPr>
      <w:r>
        <w:rPr>
          <w:rFonts w:cs="Arial"/>
          <w:sz w:val="22"/>
          <w:szCs w:val="22"/>
        </w:rPr>
        <w:t>All available and existing dat</w:t>
      </w:r>
      <w:r w:rsidR="004B0AF9">
        <w:rPr>
          <w:rFonts w:cs="Arial"/>
          <w:sz w:val="22"/>
          <w:szCs w:val="22"/>
        </w:rPr>
        <w:t xml:space="preserve">a </w:t>
      </w:r>
      <w:r>
        <w:rPr>
          <w:rFonts w:cs="Arial"/>
          <w:sz w:val="22"/>
          <w:szCs w:val="22"/>
        </w:rPr>
        <w:t>analysis for other municipalities will be shared with the</w:t>
      </w:r>
      <w:r w:rsidR="004B0AF9">
        <w:rPr>
          <w:rFonts w:cs="Arial"/>
          <w:sz w:val="22"/>
          <w:szCs w:val="22"/>
        </w:rPr>
        <w:t xml:space="preserve"> C</w:t>
      </w:r>
      <w:r>
        <w:rPr>
          <w:rFonts w:cs="Arial"/>
          <w:sz w:val="22"/>
          <w:szCs w:val="22"/>
        </w:rPr>
        <w:t>onsultan</w:t>
      </w:r>
      <w:r w:rsidR="004B0AF9">
        <w:rPr>
          <w:rFonts w:cs="Arial"/>
          <w:sz w:val="22"/>
          <w:szCs w:val="22"/>
        </w:rPr>
        <w:t>t</w:t>
      </w:r>
      <w:r w:rsidR="00850FF3">
        <w:rPr>
          <w:rFonts w:cs="Arial"/>
          <w:sz w:val="22"/>
          <w:szCs w:val="22"/>
        </w:rPr>
        <w:t xml:space="preserve"> via the Client</w:t>
      </w:r>
      <w:r w:rsidR="004B0AF9">
        <w:rPr>
          <w:rFonts w:cs="Arial"/>
          <w:sz w:val="22"/>
          <w:szCs w:val="22"/>
        </w:rPr>
        <w:t xml:space="preserve">. The consultant will be expected to engage the steering committee and other technical leads to access further data. </w:t>
      </w:r>
    </w:p>
    <w:p w14:paraId="0DC89E3E" w14:textId="3E88478A" w:rsidR="004967A1" w:rsidRDefault="008B1725" w:rsidP="00821953">
      <w:pPr>
        <w:pStyle w:val="Titre2"/>
      </w:pPr>
      <w:r>
        <w:t>Proposed Timeline</w:t>
      </w:r>
    </w:p>
    <w:p w14:paraId="41828CA8" w14:textId="528AAFAD" w:rsidR="008B1725" w:rsidRPr="008B1725" w:rsidRDefault="008B1725" w:rsidP="0086589A">
      <w:r>
        <w:t>Workstream 1 is expected to start immediately</w:t>
      </w:r>
      <w:r w:rsidR="00242D73">
        <w:t xml:space="preserve">. Workstream 2 will begin at the completion of Workstream 1,  with the specific timelines for activities confirmed at inception. </w:t>
      </w:r>
    </w:p>
    <w:tbl>
      <w:tblPr>
        <w:tblStyle w:val="Grilledutableau"/>
        <w:tblW w:w="10626" w:type="dxa"/>
        <w:tblLayout w:type="fixed"/>
        <w:tblLook w:val="04A0" w:firstRow="1" w:lastRow="0" w:firstColumn="1" w:lastColumn="0" w:noHBand="0" w:noVBand="1"/>
      </w:tblPr>
      <w:tblGrid>
        <w:gridCol w:w="1687"/>
        <w:gridCol w:w="1277"/>
        <w:gridCol w:w="1277"/>
        <w:gridCol w:w="1277"/>
        <w:gridCol w:w="1277"/>
        <w:gridCol w:w="1277"/>
        <w:gridCol w:w="1277"/>
        <w:gridCol w:w="1277"/>
      </w:tblGrid>
      <w:tr w:rsidR="0010670B" w:rsidRPr="00F91A14" w14:paraId="0367B5A2" w14:textId="70CA9770" w:rsidTr="00821953">
        <w:trPr>
          <w:trHeight w:val="365"/>
          <w:tblHeader/>
        </w:trPr>
        <w:tc>
          <w:tcPr>
            <w:tcW w:w="1687" w:type="dxa"/>
            <w:noWrap/>
            <w:hideMark/>
          </w:tcPr>
          <w:p w14:paraId="646B5610" w14:textId="627D1523" w:rsidR="0087425D" w:rsidRPr="00F91A14" w:rsidRDefault="0087425D">
            <w:pPr>
              <w:spacing w:before="100" w:beforeAutospacing="1" w:after="100" w:afterAutospacing="1"/>
              <w:rPr>
                <w:rFonts w:cs="Arial"/>
                <w:b/>
                <w:bCs/>
                <w:sz w:val="22"/>
                <w:szCs w:val="22"/>
              </w:rPr>
            </w:pPr>
            <w:r>
              <w:rPr>
                <w:rFonts w:cs="Arial"/>
                <w:b/>
                <w:bCs/>
                <w:sz w:val="22"/>
                <w:szCs w:val="22"/>
              </w:rPr>
              <w:t>2026</w:t>
            </w:r>
          </w:p>
        </w:tc>
        <w:tc>
          <w:tcPr>
            <w:tcW w:w="1277" w:type="dxa"/>
            <w:noWrap/>
            <w:hideMark/>
          </w:tcPr>
          <w:p w14:paraId="04D194BC" w14:textId="17BFA3F8" w:rsidR="0087425D" w:rsidRPr="00F91A14" w:rsidRDefault="0087425D">
            <w:pPr>
              <w:spacing w:before="100" w:beforeAutospacing="1" w:after="100" w:afterAutospacing="1"/>
              <w:rPr>
                <w:rFonts w:cs="Arial"/>
                <w:b/>
                <w:bCs/>
                <w:sz w:val="22"/>
                <w:szCs w:val="22"/>
              </w:rPr>
            </w:pPr>
            <w:r>
              <w:rPr>
                <w:rFonts w:cs="Arial"/>
                <w:b/>
                <w:bCs/>
                <w:sz w:val="22"/>
                <w:szCs w:val="22"/>
              </w:rPr>
              <w:t>February</w:t>
            </w:r>
          </w:p>
        </w:tc>
        <w:tc>
          <w:tcPr>
            <w:tcW w:w="1277" w:type="dxa"/>
            <w:noWrap/>
            <w:hideMark/>
          </w:tcPr>
          <w:p w14:paraId="77439981" w14:textId="1BAD95E5" w:rsidR="0087425D" w:rsidRPr="00F91A14" w:rsidRDefault="0087425D">
            <w:pPr>
              <w:spacing w:before="100" w:beforeAutospacing="1" w:after="100" w:afterAutospacing="1"/>
              <w:rPr>
                <w:rFonts w:cs="Arial"/>
                <w:b/>
                <w:bCs/>
                <w:sz w:val="22"/>
                <w:szCs w:val="22"/>
              </w:rPr>
            </w:pPr>
            <w:r>
              <w:rPr>
                <w:rFonts w:cs="Arial"/>
                <w:b/>
                <w:bCs/>
                <w:sz w:val="22"/>
                <w:szCs w:val="22"/>
              </w:rPr>
              <w:t>March</w:t>
            </w:r>
          </w:p>
        </w:tc>
        <w:tc>
          <w:tcPr>
            <w:tcW w:w="1277" w:type="dxa"/>
            <w:noWrap/>
            <w:hideMark/>
          </w:tcPr>
          <w:p w14:paraId="7764E651" w14:textId="01382570" w:rsidR="0087425D" w:rsidRPr="00F91A14" w:rsidRDefault="0087425D">
            <w:pPr>
              <w:spacing w:before="100" w:beforeAutospacing="1" w:after="100" w:afterAutospacing="1"/>
              <w:rPr>
                <w:rFonts w:cs="Arial"/>
                <w:b/>
                <w:bCs/>
                <w:sz w:val="22"/>
                <w:szCs w:val="22"/>
              </w:rPr>
            </w:pPr>
            <w:r>
              <w:rPr>
                <w:rFonts w:cs="Arial"/>
                <w:b/>
                <w:bCs/>
                <w:sz w:val="22"/>
                <w:szCs w:val="22"/>
              </w:rPr>
              <w:t>April</w:t>
            </w:r>
          </w:p>
        </w:tc>
        <w:tc>
          <w:tcPr>
            <w:tcW w:w="1277" w:type="dxa"/>
            <w:noWrap/>
            <w:hideMark/>
          </w:tcPr>
          <w:p w14:paraId="74E4A663" w14:textId="054D8139" w:rsidR="0087425D" w:rsidRPr="00F91A14" w:rsidRDefault="0087425D">
            <w:pPr>
              <w:spacing w:before="100" w:beforeAutospacing="1" w:after="100" w:afterAutospacing="1"/>
              <w:rPr>
                <w:rFonts w:cs="Arial"/>
                <w:b/>
                <w:bCs/>
                <w:sz w:val="22"/>
                <w:szCs w:val="22"/>
              </w:rPr>
            </w:pPr>
            <w:r>
              <w:rPr>
                <w:rFonts w:cs="Arial"/>
                <w:b/>
                <w:bCs/>
                <w:sz w:val="22"/>
                <w:szCs w:val="22"/>
              </w:rPr>
              <w:t>May</w:t>
            </w:r>
          </w:p>
        </w:tc>
        <w:tc>
          <w:tcPr>
            <w:tcW w:w="1277" w:type="dxa"/>
            <w:noWrap/>
            <w:hideMark/>
          </w:tcPr>
          <w:p w14:paraId="02D012A3" w14:textId="1041D5B2" w:rsidR="0087425D" w:rsidRPr="00F91A14" w:rsidRDefault="0087425D">
            <w:pPr>
              <w:spacing w:before="100" w:beforeAutospacing="1" w:after="100" w:afterAutospacing="1"/>
              <w:rPr>
                <w:rFonts w:cs="Arial"/>
                <w:b/>
                <w:bCs/>
                <w:sz w:val="22"/>
                <w:szCs w:val="22"/>
              </w:rPr>
            </w:pPr>
            <w:r w:rsidRPr="00F91A14">
              <w:rPr>
                <w:rFonts w:cs="Arial"/>
                <w:b/>
                <w:bCs/>
                <w:sz w:val="22"/>
                <w:szCs w:val="22"/>
              </w:rPr>
              <w:t>J</w:t>
            </w:r>
            <w:r>
              <w:rPr>
                <w:rFonts w:cs="Arial"/>
                <w:b/>
                <w:bCs/>
                <w:sz w:val="22"/>
                <w:szCs w:val="22"/>
              </w:rPr>
              <w:t xml:space="preserve">une </w:t>
            </w:r>
          </w:p>
        </w:tc>
        <w:tc>
          <w:tcPr>
            <w:tcW w:w="1277" w:type="dxa"/>
          </w:tcPr>
          <w:p w14:paraId="2720A89D" w14:textId="2395491D" w:rsidR="0087425D" w:rsidRPr="00F91A14" w:rsidRDefault="0087425D">
            <w:pPr>
              <w:spacing w:before="100" w:beforeAutospacing="1" w:after="100" w:afterAutospacing="1"/>
              <w:rPr>
                <w:rFonts w:cs="Arial"/>
                <w:b/>
                <w:bCs/>
                <w:sz w:val="22"/>
                <w:szCs w:val="22"/>
              </w:rPr>
            </w:pPr>
            <w:r>
              <w:rPr>
                <w:rFonts w:cs="Arial"/>
                <w:b/>
                <w:bCs/>
                <w:sz w:val="22"/>
                <w:szCs w:val="22"/>
              </w:rPr>
              <w:t>July</w:t>
            </w:r>
          </w:p>
        </w:tc>
        <w:tc>
          <w:tcPr>
            <w:tcW w:w="1277" w:type="dxa"/>
          </w:tcPr>
          <w:p w14:paraId="2AF14B81" w14:textId="3127D5A9" w:rsidR="0087425D" w:rsidRPr="00F91A14" w:rsidRDefault="0087425D">
            <w:pPr>
              <w:spacing w:before="100" w:beforeAutospacing="1" w:after="100" w:afterAutospacing="1"/>
              <w:rPr>
                <w:rFonts w:cs="Arial"/>
                <w:b/>
                <w:bCs/>
                <w:sz w:val="22"/>
                <w:szCs w:val="22"/>
              </w:rPr>
            </w:pPr>
            <w:r>
              <w:rPr>
                <w:rFonts w:cs="Arial"/>
                <w:b/>
                <w:bCs/>
                <w:sz w:val="22"/>
                <w:szCs w:val="22"/>
              </w:rPr>
              <w:t>August to December</w:t>
            </w:r>
          </w:p>
        </w:tc>
      </w:tr>
      <w:tr w:rsidR="0010670B" w:rsidRPr="00F91A14" w14:paraId="26A78EDA" w14:textId="07360994" w:rsidTr="00821953">
        <w:trPr>
          <w:trHeight w:val="365"/>
        </w:trPr>
        <w:tc>
          <w:tcPr>
            <w:tcW w:w="1687" w:type="dxa"/>
            <w:noWrap/>
          </w:tcPr>
          <w:p w14:paraId="3CAFC718" w14:textId="77777777" w:rsidR="0087425D" w:rsidRPr="00F91A14" w:rsidRDefault="0087425D">
            <w:pPr>
              <w:spacing w:before="100" w:beforeAutospacing="1" w:after="100" w:afterAutospacing="1"/>
              <w:rPr>
                <w:rFonts w:cs="Arial"/>
                <w:b/>
                <w:bCs/>
                <w:sz w:val="22"/>
                <w:szCs w:val="22"/>
              </w:rPr>
            </w:pPr>
            <w:r>
              <w:rPr>
                <w:rFonts w:cs="Arial"/>
                <w:b/>
                <w:bCs/>
                <w:sz w:val="22"/>
                <w:szCs w:val="22"/>
              </w:rPr>
              <w:t>Workstream 1</w:t>
            </w:r>
          </w:p>
        </w:tc>
        <w:tc>
          <w:tcPr>
            <w:tcW w:w="1277" w:type="dxa"/>
            <w:noWrap/>
          </w:tcPr>
          <w:p w14:paraId="3E75B9E1" w14:textId="77777777" w:rsidR="0087425D" w:rsidRPr="0010670B" w:rsidRDefault="0087425D">
            <w:pPr>
              <w:spacing w:before="100" w:beforeAutospacing="1" w:after="100" w:afterAutospacing="1"/>
              <w:rPr>
                <w:rFonts w:cs="Arial"/>
                <w:b/>
                <w:bCs/>
                <w:sz w:val="22"/>
                <w:szCs w:val="22"/>
              </w:rPr>
            </w:pPr>
          </w:p>
        </w:tc>
        <w:tc>
          <w:tcPr>
            <w:tcW w:w="1277" w:type="dxa"/>
            <w:noWrap/>
          </w:tcPr>
          <w:p w14:paraId="4568B2F2" w14:textId="77777777" w:rsidR="0087425D" w:rsidRPr="0010670B" w:rsidDel="00134962" w:rsidRDefault="0087425D">
            <w:pPr>
              <w:spacing w:before="100" w:beforeAutospacing="1" w:after="100" w:afterAutospacing="1"/>
              <w:rPr>
                <w:rFonts w:cs="Arial"/>
                <w:b/>
                <w:bCs/>
                <w:sz w:val="22"/>
                <w:szCs w:val="22"/>
              </w:rPr>
            </w:pPr>
          </w:p>
        </w:tc>
        <w:tc>
          <w:tcPr>
            <w:tcW w:w="1277" w:type="dxa"/>
            <w:noWrap/>
          </w:tcPr>
          <w:p w14:paraId="5CA5CF52" w14:textId="77777777" w:rsidR="0087425D" w:rsidRPr="0010670B" w:rsidRDefault="0087425D">
            <w:pPr>
              <w:spacing w:before="100" w:beforeAutospacing="1" w:after="100" w:afterAutospacing="1"/>
              <w:rPr>
                <w:rFonts w:cs="Arial"/>
                <w:b/>
                <w:bCs/>
                <w:sz w:val="22"/>
                <w:szCs w:val="22"/>
              </w:rPr>
            </w:pPr>
          </w:p>
        </w:tc>
        <w:tc>
          <w:tcPr>
            <w:tcW w:w="1277" w:type="dxa"/>
            <w:noWrap/>
          </w:tcPr>
          <w:p w14:paraId="600F5BB9" w14:textId="77777777" w:rsidR="0087425D" w:rsidRPr="0010670B" w:rsidRDefault="0087425D">
            <w:pPr>
              <w:spacing w:before="100" w:beforeAutospacing="1" w:after="100" w:afterAutospacing="1"/>
              <w:rPr>
                <w:rFonts w:cs="Arial"/>
                <w:b/>
                <w:bCs/>
                <w:sz w:val="22"/>
                <w:szCs w:val="22"/>
              </w:rPr>
            </w:pPr>
          </w:p>
        </w:tc>
        <w:tc>
          <w:tcPr>
            <w:tcW w:w="1277" w:type="dxa"/>
            <w:noWrap/>
          </w:tcPr>
          <w:p w14:paraId="483EA75E" w14:textId="77777777" w:rsidR="0087425D" w:rsidRPr="0010670B" w:rsidRDefault="0087425D">
            <w:pPr>
              <w:spacing w:before="100" w:beforeAutospacing="1" w:after="100" w:afterAutospacing="1"/>
              <w:rPr>
                <w:rFonts w:cs="Arial"/>
                <w:b/>
                <w:bCs/>
                <w:sz w:val="22"/>
                <w:szCs w:val="22"/>
              </w:rPr>
            </w:pPr>
          </w:p>
        </w:tc>
        <w:tc>
          <w:tcPr>
            <w:tcW w:w="1277" w:type="dxa"/>
          </w:tcPr>
          <w:p w14:paraId="3F1A1DED" w14:textId="77777777" w:rsidR="0087425D" w:rsidRPr="0010670B" w:rsidRDefault="0087425D">
            <w:pPr>
              <w:spacing w:before="100" w:beforeAutospacing="1" w:after="100" w:afterAutospacing="1"/>
              <w:rPr>
                <w:rFonts w:cs="Arial"/>
                <w:b/>
                <w:bCs/>
                <w:sz w:val="22"/>
                <w:szCs w:val="22"/>
              </w:rPr>
            </w:pPr>
          </w:p>
        </w:tc>
        <w:tc>
          <w:tcPr>
            <w:tcW w:w="1277" w:type="dxa"/>
          </w:tcPr>
          <w:p w14:paraId="67FAD88C" w14:textId="77777777" w:rsidR="0087425D" w:rsidRPr="0010670B" w:rsidRDefault="0087425D">
            <w:pPr>
              <w:spacing w:before="100" w:beforeAutospacing="1" w:after="100" w:afterAutospacing="1"/>
              <w:rPr>
                <w:rFonts w:cs="Arial"/>
                <w:b/>
                <w:bCs/>
                <w:sz w:val="22"/>
                <w:szCs w:val="22"/>
              </w:rPr>
            </w:pPr>
          </w:p>
        </w:tc>
      </w:tr>
      <w:tr w:rsidR="0010670B" w:rsidRPr="00F91A14" w14:paraId="4218A09D" w14:textId="1A16837E" w:rsidTr="00821953">
        <w:trPr>
          <w:trHeight w:val="365"/>
        </w:trPr>
        <w:tc>
          <w:tcPr>
            <w:tcW w:w="1687" w:type="dxa"/>
            <w:noWrap/>
            <w:hideMark/>
          </w:tcPr>
          <w:p w14:paraId="05200289" w14:textId="25E35124" w:rsidR="0087425D" w:rsidRPr="00F91A14" w:rsidRDefault="0087425D">
            <w:pPr>
              <w:spacing w:before="100" w:beforeAutospacing="1" w:after="100" w:afterAutospacing="1"/>
              <w:rPr>
                <w:rFonts w:cs="Arial"/>
                <w:b/>
                <w:bCs/>
                <w:sz w:val="22"/>
                <w:szCs w:val="22"/>
              </w:rPr>
            </w:pPr>
            <w:r w:rsidRPr="00F91A14">
              <w:rPr>
                <w:rFonts w:cs="Arial"/>
                <w:b/>
                <w:bCs/>
                <w:sz w:val="22"/>
                <w:szCs w:val="22"/>
              </w:rPr>
              <w:t>Phase I</w:t>
            </w:r>
          </w:p>
        </w:tc>
        <w:tc>
          <w:tcPr>
            <w:tcW w:w="1277" w:type="dxa"/>
            <w:noWrap/>
            <w:hideMark/>
          </w:tcPr>
          <w:p w14:paraId="380E043B" w14:textId="77777777" w:rsidR="0087425D" w:rsidRPr="0010670B" w:rsidRDefault="0087425D">
            <w:pPr>
              <w:spacing w:before="100" w:beforeAutospacing="1" w:after="100" w:afterAutospacing="1"/>
              <w:rPr>
                <w:rFonts w:cs="Arial"/>
                <w:b/>
                <w:bCs/>
                <w:sz w:val="22"/>
                <w:szCs w:val="22"/>
              </w:rPr>
            </w:pPr>
            <w:r w:rsidRPr="0010670B">
              <w:rPr>
                <w:rFonts w:cs="Arial"/>
                <w:b/>
                <w:bCs/>
                <w:sz w:val="22"/>
                <w:szCs w:val="22"/>
              </w:rPr>
              <w:t>X</w:t>
            </w:r>
          </w:p>
        </w:tc>
        <w:tc>
          <w:tcPr>
            <w:tcW w:w="1277" w:type="dxa"/>
            <w:noWrap/>
            <w:hideMark/>
          </w:tcPr>
          <w:p w14:paraId="0CC529B2" w14:textId="2B756CDA" w:rsidR="0087425D" w:rsidRPr="0010670B" w:rsidRDefault="0087425D">
            <w:pPr>
              <w:spacing w:before="100" w:beforeAutospacing="1" w:after="100" w:afterAutospacing="1"/>
              <w:rPr>
                <w:rFonts w:cs="Arial"/>
                <w:b/>
                <w:bCs/>
                <w:sz w:val="22"/>
                <w:szCs w:val="22"/>
              </w:rPr>
            </w:pPr>
            <w:r w:rsidRPr="0010670B">
              <w:rPr>
                <w:rFonts w:cs="Arial"/>
                <w:b/>
                <w:bCs/>
                <w:sz w:val="22"/>
                <w:szCs w:val="22"/>
              </w:rPr>
              <w:t>X</w:t>
            </w:r>
            <w:r w:rsidRPr="0010670B">
              <w:rPr>
                <w:rStyle w:val="Appelnotedebasdep"/>
                <w:rFonts w:cs="Arial"/>
                <w:b/>
                <w:bCs/>
                <w:sz w:val="22"/>
                <w:szCs w:val="22"/>
              </w:rPr>
              <w:footnoteReference w:id="3"/>
            </w:r>
          </w:p>
        </w:tc>
        <w:tc>
          <w:tcPr>
            <w:tcW w:w="1277" w:type="dxa"/>
            <w:noWrap/>
            <w:hideMark/>
          </w:tcPr>
          <w:p w14:paraId="02DD587A" w14:textId="77777777" w:rsidR="0087425D" w:rsidRPr="0010670B" w:rsidRDefault="0087425D">
            <w:pPr>
              <w:spacing w:before="100" w:beforeAutospacing="1" w:after="100" w:afterAutospacing="1"/>
              <w:rPr>
                <w:rFonts w:cs="Arial"/>
                <w:b/>
                <w:bCs/>
                <w:sz w:val="22"/>
                <w:szCs w:val="22"/>
              </w:rPr>
            </w:pPr>
          </w:p>
        </w:tc>
        <w:tc>
          <w:tcPr>
            <w:tcW w:w="1277" w:type="dxa"/>
            <w:noWrap/>
            <w:hideMark/>
          </w:tcPr>
          <w:p w14:paraId="0097E663" w14:textId="77777777" w:rsidR="0087425D" w:rsidRPr="0010670B" w:rsidRDefault="0087425D">
            <w:pPr>
              <w:spacing w:before="100" w:beforeAutospacing="1" w:after="100" w:afterAutospacing="1"/>
              <w:rPr>
                <w:rFonts w:cs="Arial"/>
                <w:b/>
                <w:bCs/>
                <w:sz w:val="22"/>
                <w:szCs w:val="22"/>
              </w:rPr>
            </w:pPr>
          </w:p>
        </w:tc>
        <w:tc>
          <w:tcPr>
            <w:tcW w:w="1277" w:type="dxa"/>
            <w:noWrap/>
            <w:hideMark/>
          </w:tcPr>
          <w:p w14:paraId="5E6E21EE" w14:textId="77777777" w:rsidR="0087425D" w:rsidRPr="0010670B" w:rsidRDefault="0087425D">
            <w:pPr>
              <w:spacing w:before="100" w:beforeAutospacing="1" w:after="100" w:afterAutospacing="1"/>
              <w:rPr>
                <w:rFonts w:cs="Arial"/>
                <w:b/>
                <w:bCs/>
                <w:sz w:val="22"/>
                <w:szCs w:val="22"/>
              </w:rPr>
            </w:pPr>
          </w:p>
        </w:tc>
        <w:tc>
          <w:tcPr>
            <w:tcW w:w="1277" w:type="dxa"/>
          </w:tcPr>
          <w:p w14:paraId="6CBF4A38" w14:textId="77777777" w:rsidR="0087425D" w:rsidRPr="0010670B" w:rsidRDefault="0087425D">
            <w:pPr>
              <w:spacing w:before="100" w:beforeAutospacing="1" w:after="100" w:afterAutospacing="1"/>
              <w:rPr>
                <w:rFonts w:cs="Arial"/>
                <w:b/>
                <w:bCs/>
                <w:sz w:val="22"/>
                <w:szCs w:val="22"/>
              </w:rPr>
            </w:pPr>
          </w:p>
        </w:tc>
        <w:tc>
          <w:tcPr>
            <w:tcW w:w="1277" w:type="dxa"/>
          </w:tcPr>
          <w:p w14:paraId="018F3132" w14:textId="77777777" w:rsidR="0087425D" w:rsidRPr="0010670B" w:rsidRDefault="0087425D">
            <w:pPr>
              <w:spacing w:before="100" w:beforeAutospacing="1" w:after="100" w:afterAutospacing="1"/>
              <w:rPr>
                <w:rFonts w:cs="Arial"/>
                <w:b/>
                <w:bCs/>
                <w:sz w:val="22"/>
                <w:szCs w:val="22"/>
              </w:rPr>
            </w:pPr>
          </w:p>
        </w:tc>
      </w:tr>
      <w:tr w:rsidR="0010670B" w:rsidRPr="00F91A14" w14:paraId="7A55E2C2" w14:textId="67BFEED3" w:rsidTr="00821953">
        <w:trPr>
          <w:trHeight w:val="365"/>
        </w:trPr>
        <w:tc>
          <w:tcPr>
            <w:tcW w:w="1687" w:type="dxa"/>
            <w:noWrap/>
            <w:hideMark/>
          </w:tcPr>
          <w:p w14:paraId="45D6891E" w14:textId="5B31C4C8" w:rsidR="0087425D" w:rsidRPr="00F91A14" w:rsidRDefault="0087425D">
            <w:pPr>
              <w:spacing w:before="100" w:beforeAutospacing="1" w:after="100" w:afterAutospacing="1"/>
              <w:rPr>
                <w:rFonts w:cs="Arial"/>
                <w:b/>
                <w:bCs/>
                <w:sz w:val="22"/>
                <w:szCs w:val="22"/>
              </w:rPr>
            </w:pPr>
            <w:r w:rsidRPr="00F91A14">
              <w:rPr>
                <w:rFonts w:cs="Arial"/>
                <w:b/>
                <w:bCs/>
                <w:sz w:val="22"/>
                <w:szCs w:val="22"/>
              </w:rPr>
              <w:t>Phase I</w:t>
            </w:r>
            <w:r>
              <w:rPr>
                <w:rFonts w:cs="Arial"/>
                <w:b/>
                <w:bCs/>
                <w:sz w:val="22"/>
                <w:szCs w:val="22"/>
              </w:rPr>
              <w:t>I</w:t>
            </w:r>
          </w:p>
        </w:tc>
        <w:tc>
          <w:tcPr>
            <w:tcW w:w="1277" w:type="dxa"/>
            <w:noWrap/>
            <w:hideMark/>
          </w:tcPr>
          <w:p w14:paraId="525714D2" w14:textId="77777777" w:rsidR="0087425D" w:rsidRPr="0010670B" w:rsidRDefault="0087425D">
            <w:pPr>
              <w:spacing w:before="100" w:beforeAutospacing="1" w:after="100" w:afterAutospacing="1"/>
              <w:rPr>
                <w:rFonts w:cs="Arial"/>
                <w:b/>
                <w:bCs/>
                <w:sz w:val="22"/>
                <w:szCs w:val="22"/>
              </w:rPr>
            </w:pPr>
          </w:p>
        </w:tc>
        <w:tc>
          <w:tcPr>
            <w:tcW w:w="1277" w:type="dxa"/>
            <w:noWrap/>
            <w:hideMark/>
          </w:tcPr>
          <w:p w14:paraId="71C69CB8" w14:textId="77777777" w:rsidR="0087425D" w:rsidRPr="0010670B" w:rsidRDefault="0087425D">
            <w:pPr>
              <w:spacing w:before="100" w:beforeAutospacing="1" w:after="100" w:afterAutospacing="1"/>
              <w:rPr>
                <w:rFonts w:cs="Arial"/>
                <w:b/>
                <w:bCs/>
                <w:sz w:val="22"/>
                <w:szCs w:val="22"/>
              </w:rPr>
            </w:pPr>
          </w:p>
        </w:tc>
        <w:tc>
          <w:tcPr>
            <w:tcW w:w="1277" w:type="dxa"/>
            <w:noWrap/>
            <w:hideMark/>
          </w:tcPr>
          <w:p w14:paraId="6B773647" w14:textId="77777777" w:rsidR="0087425D" w:rsidRPr="0010670B" w:rsidRDefault="0087425D">
            <w:pPr>
              <w:spacing w:before="100" w:beforeAutospacing="1" w:after="100" w:afterAutospacing="1"/>
              <w:rPr>
                <w:rFonts w:cs="Arial"/>
                <w:b/>
                <w:bCs/>
                <w:sz w:val="22"/>
                <w:szCs w:val="22"/>
              </w:rPr>
            </w:pPr>
            <w:r w:rsidRPr="0010670B">
              <w:rPr>
                <w:rFonts w:cs="Arial"/>
                <w:b/>
                <w:bCs/>
                <w:sz w:val="22"/>
                <w:szCs w:val="22"/>
              </w:rPr>
              <w:t>X</w:t>
            </w:r>
          </w:p>
        </w:tc>
        <w:tc>
          <w:tcPr>
            <w:tcW w:w="1277" w:type="dxa"/>
            <w:noWrap/>
            <w:hideMark/>
          </w:tcPr>
          <w:p w14:paraId="576A3050" w14:textId="4AA4BE5B" w:rsidR="0087425D" w:rsidRPr="0010670B" w:rsidRDefault="0010670B">
            <w:pPr>
              <w:spacing w:before="100" w:beforeAutospacing="1" w:after="100" w:afterAutospacing="1"/>
              <w:rPr>
                <w:rFonts w:cs="Arial"/>
                <w:b/>
                <w:bCs/>
                <w:sz w:val="22"/>
                <w:szCs w:val="22"/>
              </w:rPr>
            </w:pPr>
            <w:r w:rsidRPr="0010670B">
              <w:rPr>
                <w:rFonts w:cs="Arial"/>
                <w:b/>
                <w:bCs/>
                <w:sz w:val="22"/>
                <w:szCs w:val="22"/>
              </w:rPr>
              <w:t>X</w:t>
            </w:r>
          </w:p>
        </w:tc>
        <w:tc>
          <w:tcPr>
            <w:tcW w:w="1277" w:type="dxa"/>
            <w:noWrap/>
            <w:hideMark/>
          </w:tcPr>
          <w:p w14:paraId="1FCC43E8" w14:textId="77777777" w:rsidR="0087425D" w:rsidRPr="0010670B" w:rsidRDefault="0087425D">
            <w:pPr>
              <w:spacing w:before="100" w:beforeAutospacing="1" w:after="100" w:afterAutospacing="1"/>
              <w:rPr>
                <w:rFonts w:cs="Arial"/>
                <w:b/>
                <w:bCs/>
                <w:sz w:val="22"/>
                <w:szCs w:val="22"/>
              </w:rPr>
            </w:pPr>
          </w:p>
        </w:tc>
        <w:tc>
          <w:tcPr>
            <w:tcW w:w="1277" w:type="dxa"/>
          </w:tcPr>
          <w:p w14:paraId="493A0724" w14:textId="77777777" w:rsidR="0087425D" w:rsidRPr="0010670B" w:rsidRDefault="0087425D">
            <w:pPr>
              <w:spacing w:before="100" w:beforeAutospacing="1" w:after="100" w:afterAutospacing="1"/>
              <w:rPr>
                <w:rFonts w:cs="Arial"/>
                <w:b/>
                <w:bCs/>
                <w:sz w:val="22"/>
                <w:szCs w:val="22"/>
              </w:rPr>
            </w:pPr>
          </w:p>
        </w:tc>
        <w:tc>
          <w:tcPr>
            <w:tcW w:w="1277" w:type="dxa"/>
          </w:tcPr>
          <w:p w14:paraId="5230DEE5" w14:textId="77777777" w:rsidR="0087425D" w:rsidRPr="0010670B" w:rsidRDefault="0087425D">
            <w:pPr>
              <w:spacing w:before="100" w:beforeAutospacing="1" w:after="100" w:afterAutospacing="1"/>
              <w:rPr>
                <w:rFonts w:cs="Arial"/>
                <w:b/>
                <w:bCs/>
                <w:sz w:val="22"/>
                <w:szCs w:val="22"/>
              </w:rPr>
            </w:pPr>
          </w:p>
        </w:tc>
      </w:tr>
      <w:tr w:rsidR="0010670B" w:rsidRPr="00F91A14" w14:paraId="62879EC5" w14:textId="206EDB72" w:rsidTr="00821953">
        <w:trPr>
          <w:trHeight w:val="365"/>
        </w:trPr>
        <w:tc>
          <w:tcPr>
            <w:tcW w:w="1687" w:type="dxa"/>
            <w:noWrap/>
            <w:hideMark/>
          </w:tcPr>
          <w:p w14:paraId="4BE9379E" w14:textId="4C10DA51" w:rsidR="0087425D" w:rsidRPr="00F91A14" w:rsidRDefault="0087425D">
            <w:pPr>
              <w:spacing w:before="100" w:beforeAutospacing="1" w:after="100" w:afterAutospacing="1"/>
              <w:rPr>
                <w:rFonts w:cs="Arial"/>
                <w:b/>
                <w:bCs/>
                <w:sz w:val="22"/>
                <w:szCs w:val="22"/>
              </w:rPr>
            </w:pPr>
            <w:r w:rsidRPr="00F91A14">
              <w:rPr>
                <w:rFonts w:cs="Arial"/>
                <w:b/>
                <w:bCs/>
                <w:sz w:val="22"/>
                <w:szCs w:val="22"/>
              </w:rPr>
              <w:t>Phase I</w:t>
            </w:r>
            <w:r>
              <w:rPr>
                <w:rFonts w:cs="Arial"/>
                <w:b/>
                <w:bCs/>
                <w:sz w:val="22"/>
                <w:szCs w:val="22"/>
              </w:rPr>
              <w:t>II</w:t>
            </w:r>
          </w:p>
        </w:tc>
        <w:tc>
          <w:tcPr>
            <w:tcW w:w="1277" w:type="dxa"/>
            <w:noWrap/>
            <w:hideMark/>
          </w:tcPr>
          <w:p w14:paraId="4D078E13" w14:textId="77777777" w:rsidR="0087425D" w:rsidRPr="0010670B" w:rsidRDefault="0087425D">
            <w:pPr>
              <w:spacing w:before="100" w:beforeAutospacing="1" w:after="100" w:afterAutospacing="1"/>
              <w:rPr>
                <w:rFonts w:cs="Arial"/>
                <w:b/>
                <w:bCs/>
                <w:sz w:val="22"/>
                <w:szCs w:val="22"/>
              </w:rPr>
            </w:pPr>
          </w:p>
        </w:tc>
        <w:tc>
          <w:tcPr>
            <w:tcW w:w="1277" w:type="dxa"/>
            <w:noWrap/>
            <w:hideMark/>
          </w:tcPr>
          <w:p w14:paraId="35E25B66" w14:textId="77777777" w:rsidR="0087425D" w:rsidRPr="0010670B" w:rsidRDefault="0087425D">
            <w:pPr>
              <w:spacing w:before="100" w:beforeAutospacing="1" w:after="100" w:afterAutospacing="1"/>
              <w:rPr>
                <w:rFonts w:cs="Arial"/>
                <w:b/>
                <w:bCs/>
                <w:sz w:val="22"/>
                <w:szCs w:val="22"/>
              </w:rPr>
            </w:pPr>
          </w:p>
        </w:tc>
        <w:tc>
          <w:tcPr>
            <w:tcW w:w="1277" w:type="dxa"/>
            <w:noWrap/>
            <w:hideMark/>
          </w:tcPr>
          <w:p w14:paraId="47D9327E" w14:textId="77777777" w:rsidR="0087425D" w:rsidRPr="0010670B" w:rsidRDefault="0087425D">
            <w:pPr>
              <w:spacing w:before="100" w:beforeAutospacing="1" w:after="100" w:afterAutospacing="1"/>
              <w:rPr>
                <w:rFonts w:cs="Arial"/>
                <w:b/>
                <w:bCs/>
                <w:sz w:val="22"/>
                <w:szCs w:val="22"/>
              </w:rPr>
            </w:pPr>
          </w:p>
        </w:tc>
        <w:tc>
          <w:tcPr>
            <w:tcW w:w="1277" w:type="dxa"/>
            <w:noWrap/>
            <w:hideMark/>
          </w:tcPr>
          <w:p w14:paraId="7272EED3" w14:textId="48AFD226" w:rsidR="0087425D" w:rsidRPr="0010670B" w:rsidRDefault="0087425D">
            <w:pPr>
              <w:spacing w:before="100" w:beforeAutospacing="1" w:after="100" w:afterAutospacing="1"/>
              <w:rPr>
                <w:rFonts w:cs="Arial"/>
                <w:b/>
                <w:bCs/>
                <w:sz w:val="22"/>
                <w:szCs w:val="22"/>
              </w:rPr>
            </w:pPr>
          </w:p>
        </w:tc>
        <w:tc>
          <w:tcPr>
            <w:tcW w:w="1277" w:type="dxa"/>
            <w:noWrap/>
            <w:hideMark/>
          </w:tcPr>
          <w:p w14:paraId="3E4119CD" w14:textId="6E1AD63B" w:rsidR="0087425D" w:rsidRPr="0010670B" w:rsidRDefault="00311662">
            <w:pPr>
              <w:spacing w:before="100" w:beforeAutospacing="1" w:after="100" w:afterAutospacing="1"/>
              <w:rPr>
                <w:rFonts w:cs="Arial"/>
                <w:b/>
                <w:bCs/>
                <w:sz w:val="22"/>
                <w:szCs w:val="22"/>
              </w:rPr>
            </w:pPr>
            <w:r>
              <w:rPr>
                <w:rFonts w:cs="Arial"/>
                <w:b/>
                <w:bCs/>
                <w:sz w:val="22"/>
                <w:szCs w:val="22"/>
              </w:rPr>
              <w:t>X</w:t>
            </w:r>
          </w:p>
        </w:tc>
        <w:tc>
          <w:tcPr>
            <w:tcW w:w="1277" w:type="dxa"/>
          </w:tcPr>
          <w:p w14:paraId="57E56527" w14:textId="4E37C0DD" w:rsidR="0087425D" w:rsidRPr="0010670B" w:rsidRDefault="0010670B">
            <w:pPr>
              <w:spacing w:before="100" w:beforeAutospacing="1" w:after="100" w:afterAutospacing="1"/>
              <w:rPr>
                <w:rFonts w:cs="Arial"/>
                <w:b/>
                <w:bCs/>
                <w:sz w:val="22"/>
                <w:szCs w:val="22"/>
              </w:rPr>
            </w:pPr>
            <w:r w:rsidRPr="0010670B">
              <w:rPr>
                <w:rFonts w:cs="Arial"/>
                <w:b/>
                <w:bCs/>
                <w:sz w:val="22"/>
                <w:szCs w:val="22"/>
              </w:rPr>
              <w:t>X</w:t>
            </w:r>
          </w:p>
        </w:tc>
        <w:tc>
          <w:tcPr>
            <w:tcW w:w="1277" w:type="dxa"/>
          </w:tcPr>
          <w:p w14:paraId="1666609D" w14:textId="77777777" w:rsidR="0087425D" w:rsidRPr="0010670B" w:rsidRDefault="0087425D">
            <w:pPr>
              <w:spacing w:before="100" w:beforeAutospacing="1" w:after="100" w:afterAutospacing="1"/>
              <w:rPr>
                <w:rFonts w:cs="Arial"/>
                <w:b/>
                <w:bCs/>
                <w:sz w:val="22"/>
                <w:szCs w:val="22"/>
              </w:rPr>
            </w:pPr>
          </w:p>
        </w:tc>
      </w:tr>
      <w:tr w:rsidR="0010670B" w:rsidRPr="00F91A14" w14:paraId="44FDFFA0" w14:textId="35029EB4" w:rsidTr="00821953">
        <w:trPr>
          <w:trHeight w:val="365"/>
        </w:trPr>
        <w:tc>
          <w:tcPr>
            <w:tcW w:w="1687" w:type="dxa"/>
            <w:noWrap/>
          </w:tcPr>
          <w:p w14:paraId="07E2C87B" w14:textId="77777777" w:rsidR="0087425D" w:rsidRPr="00F91A14" w:rsidRDefault="0087425D">
            <w:pPr>
              <w:spacing w:before="100" w:beforeAutospacing="1" w:after="100" w:afterAutospacing="1"/>
              <w:rPr>
                <w:rFonts w:cs="Arial"/>
                <w:b/>
                <w:bCs/>
                <w:sz w:val="22"/>
                <w:szCs w:val="22"/>
              </w:rPr>
            </w:pPr>
            <w:r>
              <w:rPr>
                <w:rFonts w:cs="Arial"/>
                <w:b/>
                <w:bCs/>
                <w:sz w:val="22"/>
                <w:szCs w:val="22"/>
              </w:rPr>
              <w:t>Workstream 2</w:t>
            </w:r>
          </w:p>
        </w:tc>
        <w:tc>
          <w:tcPr>
            <w:tcW w:w="1277" w:type="dxa"/>
            <w:noWrap/>
          </w:tcPr>
          <w:p w14:paraId="2231D327" w14:textId="77777777" w:rsidR="0087425D" w:rsidRPr="0010670B" w:rsidRDefault="0087425D">
            <w:pPr>
              <w:spacing w:before="100" w:beforeAutospacing="1" w:after="100" w:afterAutospacing="1"/>
              <w:rPr>
                <w:rFonts w:cs="Arial"/>
                <w:b/>
                <w:bCs/>
                <w:sz w:val="22"/>
                <w:szCs w:val="22"/>
              </w:rPr>
            </w:pPr>
          </w:p>
        </w:tc>
        <w:tc>
          <w:tcPr>
            <w:tcW w:w="1277" w:type="dxa"/>
            <w:noWrap/>
          </w:tcPr>
          <w:p w14:paraId="6C7E490B" w14:textId="77777777" w:rsidR="0087425D" w:rsidRPr="0010670B" w:rsidRDefault="0087425D">
            <w:pPr>
              <w:spacing w:before="100" w:beforeAutospacing="1" w:after="100" w:afterAutospacing="1"/>
              <w:rPr>
                <w:rFonts w:cs="Arial"/>
                <w:b/>
                <w:bCs/>
                <w:sz w:val="22"/>
                <w:szCs w:val="22"/>
              </w:rPr>
            </w:pPr>
          </w:p>
        </w:tc>
        <w:tc>
          <w:tcPr>
            <w:tcW w:w="1277" w:type="dxa"/>
            <w:noWrap/>
          </w:tcPr>
          <w:p w14:paraId="43C52EF2" w14:textId="77777777" w:rsidR="0087425D" w:rsidRPr="0010670B" w:rsidRDefault="0087425D">
            <w:pPr>
              <w:spacing w:before="100" w:beforeAutospacing="1" w:after="100" w:afterAutospacing="1"/>
              <w:rPr>
                <w:rFonts w:cs="Arial"/>
                <w:b/>
                <w:bCs/>
                <w:sz w:val="22"/>
                <w:szCs w:val="22"/>
              </w:rPr>
            </w:pPr>
          </w:p>
        </w:tc>
        <w:tc>
          <w:tcPr>
            <w:tcW w:w="1277" w:type="dxa"/>
            <w:noWrap/>
          </w:tcPr>
          <w:p w14:paraId="7EA6CECE" w14:textId="77777777" w:rsidR="0087425D" w:rsidRPr="0010670B" w:rsidRDefault="0087425D">
            <w:pPr>
              <w:spacing w:before="100" w:beforeAutospacing="1" w:after="100" w:afterAutospacing="1"/>
              <w:rPr>
                <w:rFonts w:cs="Arial"/>
                <w:b/>
                <w:bCs/>
                <w:sz w:val="22"/>
                <w:szCs w:val="22"/>
              </w:rPr>
            </w:pPr>
          </w:p>
        </w:tc>
        <w:tc>
          <w:tcPr>
            <w:tcW w:w="1277" w:type="dxa"/>
            <w:noWrap/>
          </w:tcPr>
          <w:p w14:paraId="6058AD52" w14:textId="21CF50D5" w:rsidR="0087425D" w:rsidRPr="0010670B" w:rsidRDefault="0087425D">
            <w:pPr>
              <w:spacing w:before="100" w:beforeAutospacing="1" w:after="100" w:afterAutospacing="1"/>
              <w:rPr>
                <w:rFonts w:cs="Arial"/>
                <w:b/>
                <w:bCs/>
                <w:sz w:val="22"/>
                <w:szCs w:val="22"/>
              </w:rPr>
            </w:pPr>
          </w:p>
        </w:tc>
        <w:tc>
          <w:tcPr>
            <w:tcW w:w="1277" w:type="dxa"/>
          </w:tcPr>
          <w:p w14:paraId="408F248D" w14:textId="63CB3980" w:rsidR="0087425D" w:rsidRPr="0010670B" w:rsidRDefault="0087425D">
            <w:pPr>
              <w:spacing w:before="100" w:beforeAutospacing="1" w:after="100" w:afterAutospacing="1"/>
              <w:rPr>
                <w:rFonts w:cs="Arial"/>
                <w:b/>
                <w:bCs/>
                <w:sz w:val="22"/>
                <w:szCs w:val="22"/>
              </w:rPr>
            </w:pPr>
            <w:r w:rsidRPr="0010670B">
              <w:rPr>
                <w:rFonts w:cs="Arial"/>
                <w:b/>
                <w:bCs/>
                <w:sz w:val="22"/>
                <w:szCs w:val="22"/>
              </w:rPr>
              <w:t>X</w:t>
            </w:r>
          </w:p>
        </w:tc>
        <w:tc>
          <w:tcPr>
            <w:tcW w:w="1277" w:type="dxa"/>
          </w:tcPr>
          <w:p w14:paraId="4E7A01CC" w14:textId="14CBBD45" w:rsidR="0087425D" w:rsidRPr="0010670B" w:rsidRDefault="0087425D">
            <w:pPr>
              <w:spacing w:before="100" w:beforeAutospacing="1" w:after="100" w:afterAutospacing="1"/>
              <w:rPr>
                <w:rFonts w:cs="Arial"/>
                <w:b/>
                <w:bCs/>
                <w:sz w:val="22"/>
                <w:szCs w:val="22"/>
              </w:rPr>
            </w:pPr>
            <w:r w:rsidRPr="0010670B">
              <w:rPr>
                <w:rFonts w:cs="Arial"/>
                <w:b/>
                <w:bCs/>
                <w:sz w:val="22"/>
                <w:szCs w:val="22"/>
              </w:rPr>
              <w:t>X</w:t>
            </w:r>
          </w:p>
        </w:tc>
      </w:tr>
    </w:tbl>
    <w:p w14:paraId="72568310" w14:textId="09DA819F" w:rsidR="004967A1" w:rsidRPr="00B37F60" w:rsidRDefault="008B1725" w:rsidP="004967A1">
      <w:pPr>
        <w:pStyle w:val="Titre2"/>
      </w:pPr>
      <w:r>
        <w:t xml:space="preserve">Ways of working </w:t>
      </w:r>
    </w:p>
    <w:p w14:paraId="344DD0D1" w14:textId="429CE399" w:rsidR="00FA17E7" w:rsidRDefault="00F66693" w:rsidP="00821953">
      <w:r>
        <w:rPr>
          <w:rFonts w:cs="Arial"/>
          <w:sz w:val="22"/>
          <w:szCs w:val="22"/>
        </w:rPr>
        <w:t xml:space="preserve">The </w:t>
      </w:r>
      <w:r w:rsidR="005D406A">
        <w:rPr>
          <w:rFonts w:cs="Arial"/>
          <w:sz w:val="22"/>
          <w:szCs w:val="22"/>
        </w:rPr>
        <w:t>deliver</w:t>
      </w:r>
      <w:r w:rsidR="0052100F">
        <w:rPr>
          <w:rFonts w:cs="Arial"/>
          <w:sz w:val="22"/>
          <w:szCs w:val="22"/>
        </w:rPr>
        <w:t>ables</w:t>
      </w:r>
      <w:r>
        <w:rPr>
          <w:rFonts w:cs="Arial"/>
          <w:sz w:val="22"/>
          <w:szCs w:val="22"/>
        </w:rPr>
        <w:t xml:space="preserve"> under this contract </w:t>
      </w:r>
      <w:r w:rsidRPr="005D406A">
        <w:rPr>
          <w:rFonts w:cs="Arial"/>
          <w:sz w:val="22"/>
          <w:szCs w:val="22"/>
        </w:rPr>
        <w:t xml:space="preserve">will be reviewed by </w:t>
      </w:r>
      <w:r w:rsidR="00CD4DA7">
        <w:rPr>
          <w:rFonts w:cs="Arial"/>
          <w:sz w:val="22"/>
          <w:szCs w:val="22"/>
        </w:rPr>
        <w:t xml:space="preserve">a </w:t>
      </w:r>
      <w:r w:rsidRPr="0086589A">
        <w:rPr>
          <w:rFonts w:cs="Arial"/>
          <w:sz w:val="22"/>
          <w:szCs w:val="22"/>
        </w:rPr>
        <w:t>steering committee</w:t>
      </w:r>
      <w:r w:rsidR="00624B7D">
        <w:rPr>
          <w:rFonts w:cs="Arial"/>
          <w:sz w:val="22"/>
          <w:szCs w:val="22"/>
        </w:rPr>
        <w:t xml:space="preserve"> and accepted by AFD Group/Expertise France. The steering committee will</w:t>
      </w:r>
      <w:r w:rsidRPr="0086589A">
        <w:rPr>
          <w:rFonts w:cs="Arial"/>
          <w:sz w:val="22"/>
          <w:szCs w:val="22"/>
        </w:rPr>
        <w:t xml:space="preserve"> </w:t>
      </w:r>
      <w:r w:rsidR="00624B7D" w:rsidRPr="0086589A">
        <w:rPr>
          <w:rFonts w:cs="Arial"/>
          <w:sz w:val="22"/>
          <w:szCs w:val="22"/>
        </w:rPr>
        <w:t>consist</w:t>
      </w:r>
      <w:r w:rsidR="00624B7D">
        <w:rPr>
          <w:rFonts w:cs="Arial"/>
          <w:sz w:val="22"/>
          <w:szCs w:val="22"/>
        </w:rPr>
        <w:t xml:space="preserve"> </w:t>
      </w:r>
      <w:r w:rsidRPr="0086589A">
        <w:rPr>
          <w:rFonts w:cs="Arial"/>
          <w:sz w:val="22"/>
          <w:szCs w:val="22"/>
        </w:rPr>
        <w:t>of</w:t>
      </w:r>
      <w:r w:rsidR="00CD4DA7">
        <w:rPr>
          <w:rFonts w:cs="Arial"/>
          <w:sz w:val="22"/>
          <w:szCs w:val="22"/>
        </w:rPr>
        <w:t xml:space="preserve"> the</w:t>
      </w:r>
      <w:r w:rsidRPr="0086589A">
        <w:rPr>
          <w:rFonts w:cs="Arial"/>
          <w:sz w:val="22"/>
          <w:szCs w:val="22"/>
        </w:rPr>
        <w:t xml:space="preserve"> </w:t>
      </w:r>
      <w:r w:rsidR="005D406A">
        <w:rPr>
          <w:rFonts w:cs="Arial"/>
          <w:sz w:val="22"/>
          <w:szCs w:val="22"/>
        </w:rPr>
        <w:t xml:space="preserve">relevant </w:t>
      </w:r>
      <w:r w:rsidRPr="0086589A">
        <w:rPr>
          <w:rFonts w:cs="Arial"/>
          <w:sz w:val="22"/>
          <w:szCs w:val="22"/>
        </w:rPr>
        <w:t>government staff (national and municipal), the A</w:t>
      </w:r>
      <w:r w:rsidR="00C762CC">
        <w:rPr>
          <w:rFonts w:cs="Arial"/>
          <w:sz w:val="22"/>
          <w:szCs w:val="22"/>
        </w:rPr>
        <w:t>F</w:t>
      </w:r>
      <w:r w:rsidRPr="0086589A">
        <w:rPr>
          <w:rFonts w:cs="Arial"/>
          <w:sz w:val="22"/>
          <w:szCs w:val="22"/>
        </w:rPr>
        <w:t>D</w:t>
      </w:r>
      <w:r w:rsidR="00624B7D">
        <w:rPr>
          <w:rFonts w:cs="Arial"/>
          <w:sz w:val="22"/>
          <w:szCs w:val="22"/>
        </w:rPr>
        <w:t xml:space="preserve"> Group</w:t>
      </w:r>
      <w:r w:rsidRPr="0086589A">
        <w:rPr>
          <w:rFonts w:cs="Arial"/>
          <w:sz w:val="22"/>
          <w:szCs w:val="22"/>
        </w:rPr>
        <w:t xml:space="preserve"> contracting </w:t>
      </w:r>
      <w:r w:rsidR="00850FF3">
        <w:rPr>
          <w:rFonts w:cs="Arial"/>
          <w:sz w:val="22"/>
          <w:szCs w:val="22"/>
        </w:rPr>
        <w:t xml:space="preserve">&amp; technical </w:t>
      </w:r>
      <w:r w:rsidRPr="0086589A">
        <w:rPr>
          <w:rFonts w:cs="Arial"/>
          <w:sz w:val="22"/>
          <w:szCs w:val="22"/>
        </w:rPr>
        <w:t>team</w:t>
      </w:r>
      <w:r w:rsidR="00850FF3">
        <w:rPr>
          <w:rFonts w:cs="Arial"/>
          <w:sz w:val="22"/>
          <w:szCs w:val="22"/>
        </w:rPr>
        <w:t>s</w:t>
      </w:r>
      <w:r w:rsidRPr="0086589A">
        <w:rPr>
          <w:rFonts w:cs="Arial"/>
          <w:sz w:val="22"/>
          <w:szCs w:val="22"/>
        </w:rPr>
        <w:t xml:space="preserve">, </w:t>
      </w:r>
      <w:r w:rsidR="005D406A">
        <w:rPr>
          <w:rFonts w:cs="Arial"/>
          <w:sz w:val="22"/>
          <w:szCs w:val="22"/>
        </w:rPr>
        <w:t xml:space="preserve">and the World Bank technical team (a key partner for this engagement). </w:t>
      </w:r>
      <w:r w:rsidR="00CD4DA7">
        <w:rPr>
          <w:rFonts w:cs="Arial"/>
          <w:sz w:val="22"/>
          <w:szCs w:val="22"/>
        </w:rPr>
        <w:t xml:space="preserve">The committee membership may evolve over the contract. </w:t>
      </w:r>
    </w:p>
    <w:p w14:paraId="20DE458C" w14:textId="3A25C07E" w:rsidR="008B1725" w:rsidRPr="0086589A" w:rsidRDefault="008B1725" w:rsidP="0086589A">
      <w:r w:rsidRPr="005707A8">
        <w:rPr>
          <w:rFonts w:cs="Arial"/>
          <w:sz w:val="22"/>
          <w:szCs w:val="22"/>
        </w:rPr>
        <w:t xml:space="preserve">The Consultant will be expected to </w:t>
      </w:r>
      <w:r w:rsidR="004D6835">
        <w:rPr>
          <w:rFonts w:cs="Arial"/>
          <w:sz w:val="22"/>
          <w:szCs w:val="22"/>
        </w:rPr>
        <w:t xml:space="preserve">travel for key </w:t>
      </w:r>
      <w:r w:rsidRPr="002D4CB7">
        <w:rPr>
          <w:rFonts w:cs="Arial"/>
          <w:sz w:val="22"/>
          <w:szCs w:val="22"/>
        </w:rPr>
        <w:t>in</w:t>
      </w:r>
      <w:r w:rsidRPr="005707A8">
        <w:rPr>
          <w:rFonts w:cs="Arial"/>
          <w:sz w:val="22"/>
          <w:szCs w:val="22"/>
        </w:rPr>
        <w:t xml:space="preserve">-person </w:t>
      </w:r>
      <w:r w:rsidR="00E61536">
        <w:rPr>
          <w:rFonts w:cs="Arial"/>
          <w:sz w:val="22"/>
          <w:szCs w:val="22"/>
        </w:rPr>
        <w:t>validation workshops with national and municipal government</w:t>
      </w:r>
      <w:r w:rsidRPr="005707A8">
        <w:rPr>
          <w:rFonts w:cs="Arial"/>
          <w:sz w:val="22"/>
          <w:szCs w:val="22"/>
        </w:rPr>
        <w:t xml:space="preserve"> staff </w:t>
      </w:r>
      <w:r w:rsidR="00E61536">
        <w:rPr>
          <w:rFonts w:cs="Arial"/>
          <w:sz w:val="22"/>
          <w:szCs w:val="22"/>
        </w:rPr>
        <w:t>and partners</w:t>
      </w:r>
      <w:r w:rsidRPr="005707A8">
        <w:rPr>
          <w:rFonts w:cs="Arial"/>
          <w:sz w:val="22"/>
          <w:szCs w:val="22"/>
        </w:rPr>
        <w:t>.</w:t>
      </w:r>
      <w:r w:rsidR="00F66693">
        <w:rPr>
          <w:rFonts w:cs="Arial"/>
          <w:sz w:val="22"/>
          <w:szCs w:val="22"/>
        </w:rPr>
        <w:t xml:space="preserve"> There will be a minimum of two such workshops over the contract. Where possible virtual meetings will be conducted to limit unnecessary travel. </w:t>
      </w:r>
    </w:p>
    <w:p w14:paraId="197A54CA" w14:textId="1E8E508B" w:rsidR="006E7599" w:rsidRPr="00B37F60" w:rsidRDefault="006E7599" w:rsidP="0086589A">
      <w:pPr>
        <w:pStyle w:val="Titre2"/>
      </w:pPr>
      <w:r w:rsidRPr="00B37F60">
        <w:t>Selection criteria</w:t>
      </w:r>
    </w:p>
    <w:p w14:paraId="08056D5E" w14:textId="1F89FB54" w:rsidR="002979DE" w:rsidRPr="00F415C8" w:rsidRDefault="002979DE" w:rsidP="0086589A">
      <w:pPr>
        <w:numPr>
          <w:ilvl w:val="0"/>
          <w:numId w:val="19"/>
        </w:numPr>
        <w:spacing w:before="100" w:beforeAutospacing="1" w:after="100" w:afterAutospacing="1" w:line="240" w:lineRule="auto"/>
        <w:jc w:val="both"/>
        <w:rPr>
          <w:rFonts w:cs="Arial"/>
          <w:sz w:val="22"/>
          <w:szCs w:val="22"/>
        </w:rPr>
      </w:pPr>
      <w:r w:rsidRPr="00F415C8">
        <w:rPr>
          <w:rFonts w:cs="Arial"/>
          <w:sz w:val="22"/>
          <w:szCs w:val="22"/>
        </w:rPr>
        <w:t xml:space="preserve">Experience in the assessment and modelling of floods </w:t>
      </w:r>
      <w:r w:rsidR="00332AC4" w:rsidRPr="00F415C8">
        <w:rPr>
          <w:rFonts w:cs="Arial"/>
          <w:sz w:val="22"/>
          <w:szCs w:val="22"/>
        </w:rPr>
        <w:t>and their impacts</w:t>
      </w:r>
      <w:r w:rsidR="00201DD6">
        <w:rPr>
          <w:rFonts w:cs="Arial"/>
          <w:sz w:val="22"/>
          <w:szCs w:val="22"/>
        </w:rPr>
        <w:t>.</w:t>
      </w:r>
      <w:r w:rsidR="00332AC4" w:rsidRPr="00F415C8">
        <w:rPr>
          <w:rFonts w:cs="Arial"/>
          <w:sz w:val="22"/>
          <w:szCs w:val="22"/>
        </w:rPr>
        <w:t xml:space="preserve"> </w:t>
      </w:r>
    </w:p>
    <w:p w14:paraId="5341543D" w14:textId="146C5029" w:rsidR="002979DE" w:rsidRPr="00F415C8" w:rsidRDefault="002979DE" w:rsidP="0086589A">
      <w:pPr>
        <w:numPr>
          <w:ilvl w:val="0"/>
          <w:numId w:val="19"/>
        </w:numPr>
        <w:spacing w:before="100" w:beforeAutospacing="1" w:after="100" w:afterAutospacing="1" w:line="240" w:lineRule="auto"/>
        <w:jc w:val="both"/>
        <w:rPr>
          <w:rFonts w:cs="Arial"/>
          <w:sz w:val="22"/>
          <w:szCs w:val="22"/>
        </w:rPr>
      </w:pPr>
      <w:r w:rsidRPr="00F415C8">
        <w:rPr>
          <w:rFonts w:cs="Arial"/>
          <w:sz w:val="22"/>
          <w:szCs w:val="22"/>
        </w:rPr>
        <w:t xml:space="preserve">Existing flood risk </w:t>
      </w:r>
      <w:r w:rsidR="00332AC4" w:rsidRPr="00F415C8">
        <w:rPr>
          <w:rFonts w:cs="Arial"/>
          <w:sz w:val="22"/>
          <w:szCs w:val="22"/>
        </w:rPr>
        <w:t>models</w:t>
      </w:r>
      <w:r w:rsidRPr="00F415C8">
        <w:rPr>
          <w:rFonts w:cs="Arial"/>
          <w:sz w:val="22"/>
          <w:szCs w:val="22"/>
        </w:rPr>
        <w:t xml:space="preserve"> in other countries that have been used for the design of parametric</w:t>
      </w:r>
      <w:r w:rsidR="00201DD6">
        <w:rPr>
          <w:rFonts w:cs="Arial"/>
          <w:sz w:val="22"/>
          <w:szCs w:val="22"/>
        </w:rPr>
        <w:t xml:space="preserve"> </w:t>
      </w:r>
      <w:r w:rsidR="00903E05">
        <w:rPr>
          <w:rFonts w:cs="Arial"/>
          <w:sz w:val="22"/>
          <w:szCs w:val="22"/>
        </w:rPr>
        <w:t xml:space="preserve">and other </w:t>
      </w:r>
      <w:r w:rsidRPr="00F415C8">
        <w:rPr>
          <w:rFonts w:cs="Arial"/>
          <w:sz w:val="22"/>
          <w:szCs w:val="22"/>
        </w:rPr>
        <w:t>risk transfer structures for a variety of trigger options</w:t>
      </w:r>
      <w:r w:rsidR="00201DD6">
        <w:rPr>
          <w:rFonts w:cs="Arial"/>
          <w:sz w:val="22"/>
          <w:szCs w:val="22"/>
        </w:rPr>
        <w:t>.</w:t>
      </w:r>
      <w:r w:rsidRPr="00F415C8">
        <w:rPr>
          <w:rFonts w:cs="Arial"/>
          <w:sz w:val="22"/>
          <w:szCs w:val="22"/>
        </w:rPr>
        <w:t xml:space="preserve">  </w:t>
      </w:r>
    </w:p>
    <w:p w14:paraId="0C497EA2" w14:textId="66919C4E" w:rsidR="002979DE" w:rsidRPr="00F415C8" w:rsidRDefault="002979DE" w:rsidP="0086589A">
      <w:pPr>
        <w:numPr>
          <w:ilvl w:val="0"/>
          <w:numId w:val="19"/>
        </w:numPr>
        <w:spacing w:before="100" w:beforeAutospacing="1" w:after="100" w:afterAutospacing="1" w:line="240" w:lineRule="auto"/>
        <w:jc w:val="both"/>
        <w:rPr>
          <w:rFonts w:cs="Arial"/>
          <w:sz w:val="22"/>
          <w:szCs w:val="22"/>
        </w:rPr>
      </w:pPr>
      <w:r w:rsidRPr="00F415C8">
        <w:rPr>
          <w:rFonts w:cs="Arial"/>
          <w:sz w:val="22"/>
          <w:szCs w:val="22"/>
        </w:rPr>
        <w:t xml:space="preserve">Preferably </w:t>
      </w:r>
      <w:r w:rsidR="00CA6429" w:rsidRPr="00F415C8">
        <w:rPr>
          <w:rFonts w:cs="Arial"/>
          <w:sz w:val="22"/>
          <w:szCs w:val="22"/>
        </w:rPr>
        <w:t xml:space="preserve">experience with </w:t>
      </w:r>
      <w:r w:rsidRPr="00F415C8">
        <w:rPr>
          <w:rFonts w:cs="Arial"/>
          <w:sz w:val="22"/>
          <w:szCs w:val="22"/>
        </w:rPr>
        <w:t>existing model</w:t>
      </w:r>
      <w:r w:rsidR="00CA6429" w:rsidRPr="00F415C8">
        <w:rPr>
          <w:rFonts w:cs="Arial"/>
          <w:sz w:val="22"/>
          <w:szCs w:val="22"/>
        </w:rPr>
        <w:t>s and analytics</w:t>
      </w:r>
      <w:r w:rsidRPr="00F415C8">
        <w:rPr>
          <w:rFonts w:cs="Arial"/>
          <w:sz w:val="22"/>
          <w:szCs w:val="22"/>
        </w:rPr>
        <w:t xml:space="preserve"> for the target country </w:t>
      </w:r>
      <w:r w:rsidR="00134962" w:rsidRPr="00F415C8">
        <w:rPr>
          <w:rFonts w:cs="Arial"/>
          <w:sz w:val="22"/>
          <w:szCs w:val="22"/>
        </w:rPr>
        <w:t>and cities</w:t>
      </w:r>
      <w:r w:rsidR="00201DD6">
        <w:rPr>
          <w:rFonts w:cs="Arial"/>
          <w:sz w:val="22"/>
          <w:szCs w:val="22"/>
        </w:rPr>
        <w:t>.</w:t>
      </w:r>
    </w:p>
    <w:p w14:paraId="7A8BB17D" w14:textId="7286A7DA" w:rsidR="002979DE" w:rsidRPr="00F415C8" w:rsidRDefault="002979DE" w:rsidP="0086589A">
      <w:pPr>
        <w:numPr>
          <w:ilvl w:val="0"/>
          <w:numId w:val="19"/>
        </w:numPr>
        <w:spacing w:before="100" w:beforeAutospacing="1" w:after="100" w:afterAutospacing="1" w:line="240" w:lineRule="auto"/>
        <w:jc w:val="both"/>
        <w:rPr>
          <w:rFonts w:cs="Arial"/>
          <w:sz w:val="22"/>
          <w:szCs w:val="22"/>
        </w:rPr>
      </w:pPr>
      <w:r w:rsidRPr="00F415C8">
        <w:rPr>
          <w:rFonts w:cs="Arial"/>
          <w:sz w:val="22"/>
          <w:szCs w:val="22"/>
        </w:rPr>
        <w:t>Demonstrated track record and knowledge of developing risk models for the insurance industry in the region</w:t>
      </w:r>
      <w:r w:rsidR="00201DD6">
        <w:rPr>
          <w:rFonts w:cs="Arial"/>
          <w:sz w:val="22"/>
          <w:szCs w:val="22"/>
        </w:rPr>
        <w:t>.</w:t>
      </w:r>
    </w:p>
    <w:p w14:paraId="15254F8A" w14:textId="5C9CC742" w:rsidR="006E7599" w:rsidRDefault="002979DE" w:rsidP="00201DD6">
      <w:pPr>
        <w:keepNext/>
        <w:keepLines/>
        <w:numPr>
          <w:ilvl w:val="0"/>
          <w:numId w:val="19"/>
        </w:numPr>
        <w:spacing w:before="100" w:beforeAutospacing="1" w:after="100" w:afterAutospacing="1" w:line="240" w:lineRule="auto"/>
        <w:jc w:val="both"/>
        <w:outlineLvl w:val="0"/>
        <w:rPr>
          <w:rFonts w:cs="Arial"/>
          <w:sz w:val="22"/>
          <w:szCs w:val="22"/>
        </w:rPr>
      </w:pPr>
      <w:r w:rsidRPr="00201DD6">
        <w:rPr>
          <w:rFonts w:cs="Arial"/>
          <w:sz w:val="22"/>
          <w:szCs w:val="22"/>
        </w:rPr>
        <w:t xml:space="preserve">Demonstrated track record and knowledge of designing </w:t>
      </w:r>
      <w:r w:rsidR="00903E05" w:rsidRPr="00201DD6">
        <w:rPr>
          <w:rFonts w:cs="Arial"/>
          <w:sz w:val="22"/>
          <w:szCs w:val="22"/>
        </w:rPr>
        <w:t xml:space="preserve">insurance </w:t>
      </w:r>
      <w:r w:rsidRPr="00201DD6">
        <w:rPr>
          <w:rFonts w:cs="Arial"/>
          <w:sz w:val="22"/>
          <w:szCs w:val="22"/>
        </w:rPr>
        <w:t>structures that have been accepted by the insurance industry to underwrite business</w:t>
      </w:r>
      <w:r w:rsidR="00201DD6" w:rsidRPr="00201DD6">
        <w:rPr>
          <w:rFonts w:cs="Arial"/>
          <w:sz w:val="22"/>
          <w:szCs w:val="22"/>
        </w:rPr>
        <w:t>.</w:t>
      </w:r>
      <w:r w:rsidRPr="00201DD6">
        <w:rPr>
          <w:rFonts w:cs="Arial"/>
          <w:sz w:val="22"/>
          <w:szCs w:val="22"/>
        </w:rPr>
        <w:t xml:space="preserve"> </w:t>
      </w:r>
    </w:p>
    <w:p w14:paraId="62656903" w14:textId="773A59B9" w:rsidR="00850FF3" w:rsidRPr="00850FF3" w:rsidRDefault="00850FF3" w:rsidP="00850FF3">
      <w:pPr>
        <w:keepNext/>
        <w:keepLines/>
        <w:numPr>
          <w:ilvl w:val="0"/>
          <w:numId w:val="19"/>
        </w:numPr>
        <w:spacing w:before="100" w:beforeAutospacing="1" w:after="100" w:afterAutospacing="1" w:line="240" w:lineRule="auto"/>
        <w:jc w:val="both"/>
        <w:outlineLvl w:val="0"/>
        <w:rPr>
          <w:rFonts w:cs="Arial"/>
          <w:sz w:val="22"/>
          <w:szCs w:val="22"/>
        </w:rPr>
      </w:pPr>
      <w:r>
        <w:rPr>
          <w:rFonts w:cs="Arial"/>
          <w:sz w:val="22"/>
          <w:szCs w:val="22"/>
        </w:rPr>
        <w:t xml:space="preserve">Demonstrate track record and skills in advising and supporting cities/local authorities in decision making in terms of risk insurance. </w:t>
      </w:r>
    </w:p>
    <w:p w14:paraId="1C83F5B6" w14:textId="0550E878" w:rsidR="00624B7D" w:rsidRPr="00624B7D" w:rsidRDefault="00624B7D" w:rsidP="005D5D7B">
      <w:pPr>
        <w:pStyle w:val="Paragraphedeliste"/>
        <w:numPr>
          <w:ilvl w:val="0"/>
          <w:numId w:val="19"/>
        </w:numPr>
      </w:pPr>
      <w:r w:rsidRPr="00624B7D">
        <w:rPr>
          <w:rFonts w:cs="Arial"/>
          <w:sz w:val="22"/>
          <w:szCs w:val="22"/>
        </w:rPr>
        <w:t xml:space="preserve">A local presence / partner to work closely with the </w:t>
      </w:r>
      <w:r w:rsidR="0052100F">
        <w:rPr>
          <w:rFonts w:cs="Arial"/>
          <w:sz w:val="22"/>
          <w:szCs w:val="22"/>
        </w:rPr>
        <w:t>m</w:t>
      </w:r>
      <w:r w:rsidRPr="00624B7D">
        <w:rPr>
          <w:rFonts w:cs="Arial"/>
          <w:sz w:val="22"/>
          <w:szCs w:val="22"/>
        </w:rPr>
        <w:t>unicipal</w:t>
      </w:r>
      <w:r w:rsidR="0080378E">
        <w:rPr>
          <w:rFonts w:cs="Arial"/>
          <w:sz w:val="22"/>
          <w:szCs w:val="22"/>
        </w:rPr>
        <w:t>ity’s</w:t>
      </w:r>
      <w:r w:rsidRPr="00624B7D">
        <w:rPr>
          <w:rFonts w:cs="Arial"/>
          <w:sz w:val="22"/>
          <w:szCs w:val="22"/>
        </w:rPr>
        <w:t xml:space="preserve"> team would be a plus.</w:t>
      </w:r>
    </w:p>
    <w:p w14:paraId="6BA78850" w14:textId="77777777" w:rsidR="006E7599" w:rsidRPr="00B37F60" w:rsidRDefault="006E7599" w:rsidP="00201DD6">
      <w:pPr>
        <w:spacing w:before="100" w:beforeAutospacing="1" w:after="100" w:afterAutospacing="1" w:line="240" w:lineRule="auto"/>
        <w:rPr>
          <w:rFonts w:cs="Arial"/>
          <w:b/>
          <w:bCs/>
          <w:sz w:val="22"/>
          <w:szCs w:val="22"/>
        </w:rPr>
      </w:pPr>
    </w:p>
    <w:sectPr w:rsidR="006E7599" w:rsidRPr="00B37F60">
      <w:headerReference w:type="default" r:id="rId17"/>
      <w:footerReference w:type="even" r:id="rId18"/>
      <w:footerReference w:type="default" r:id="rId19"/>
      <w:footerReference w:type="firs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E1E53" w14:textId="77777777" w:rsidR="009737E9" w:rsidRDefault="009737E9" w:rsidP="00587B30">
      <w:pPr>
        <w:spacing w:after="0" w:line="240" w:lineRule="auto"/>
      </w:pPr>
      <w:r>
        <w:separator/>
      </w:r>
    </w:p>
  </w:endnote>
  <w:endnote w:type="continuationSeparator" w:id="0">
    <w:p w14:paraId="4C134EF5" w14:textId="77777777" w:rsidR="009737E9" w:rsidRDefault="009737E9" w:rsidP="00587B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868B9" w14:textId="7727DCCC" w:rsidR="00B67C3B" w:rsidRDefault="00B67C3B">
    <w:pPr>
      <w:pStyle w:val="Pieddepage"/>
    </w:pPr>
    <w:r>
      <w:rPr>
        <w:noProof/>
      </w:rPr>
      <mc:AlternateContent>
        <mc:Choice Requires="wps">
          <w:drawing>
            <wp:anchor distT="0" distB="0" distL="0" distR="0" simplePos="0" relativeHeight="251659264" behindDoc="0" locked="0" layoutInCell="1" allowOverlap="1" wp14:anchorId="4F4E65E2" wp14:editId="595BFCF5">
              <wp:simplePos x="635" y="635"/>
              <wp:positionH relativeFrom="page">
                <wp:align>right</wp:align>
              </wp:positionH>
              <wp:positionV relativeFrom="page">
                <wp:align>bottom</wp:align>
              </wp:positionV>
              <wp:extent cx="1170305" cy="370205"/>
              <wp:effectExtent l="0" t="0" r="0" b="0"/>
              <wp:wrapNone/>
              <wp:docPr id="1078109653" name="Text Box 2" descr="Offici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70305" cy="370205"/>
                      </a:xfrm>
                      <a:prstGeom prst="rect">
                        <a:avLst/>
                      </a:prstGeom>
                      <a:noFill/>
                      <a:ln>
                        <a:noFill/>
                      </a:ln>
                    </wps:spPr>
                    <wps:txbx>
                      <w:txbxContent>
                        <w:p w14:paraId="4C6C7AF3" w14:textId="78B5ABFE" w:rsidR="00B67C3B" w:rsidRPr="00B67C3B" w:rsidRDefault="00B67C3B" w:rsidP="00B67C3B">
                          <w:pPr>
                            <w:spacing w:after="0"/>
                            <w:rPr>
                              <w:rFonts w:ascii="Aptos" w:eastAsia="Aptos" w:hAnsi="Aptos" w:cs="Aptos"/>
                              <w:noProof/>
                              <w:color w:val="000000"/>
                              <w:sz w:val="20"/>
                              <w:szCs w:val="20"/>
                            </w:rPr>
                          </w:pPr>
                          <w:r w:rsidRPr="00B67C3B">
                            <w:rPr>
                              <w:rFonts w:ascii="Aptos" w:eastAsia="Aptos" w:hAnsi="Aptos" w:cs="Aptos"/>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4F4E65E2" id="_x0000_t202" coordsize="21600,21600" o:spt="202" path="m,l,21600r21600,l21600,xe">
              <v:stroke joinstyle="miter"/>
              <v:path gradientshapeok="t" o:connecttype="rect"/>
            </v:shapetype>
            <v:shape id="Text Box 2" o:spid="_x0000_s1026" type="#_x0000_t202" alt="Official Use Only" style="position:absolute;margin-left:40.95pt;margin-top:0;width:92.15pt;height:29.15pt;z-index:25165926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" filled="f" stroked="f">
              <v:textbox style="mso-fit-shape-to-text:t" inset="0,0,20pt,15pt">
                <w:txbxContent>
                  <w:p w14:paraId="4C6C7AF3" w14:textId="78B5ABFE" w:rsidR="00B67C3B" w:rsidRPr="00B67C3B" w:rsidRDefault="00B67C3B" w:rsidP="00B67C3B">
                    <w:pPr>
                      <w:spacing w:after="0"/>
                      <w:rPr>
                        <w:rFonts w:ascii="Aptos" w:eastAsia="Aptos" w:hAnsi="Aptos" w:cs="Aptos"/>
                        <w:noProof/>
                        <w:color w:val="000000"/>
                        <w:sz w:val="20"/>
                        <w:szCs w:val="20"/>
                      </w:rPr>
                    </w:pPr>
                    <w:r w:rsidRPr="00B67C3B">
                      <w:rPr>
                        <w:rFonts w:ascii="Aptos" w:eastAsia="Aptos" w:hAnsi="Aptos" w:cs="Aptos"/>
                        <w:noProof/>
                        <w:color w:val="000000"/>
                        <w:sz w:val="20"/>
                        <w:szCs w:val="20"/>
                      </w:rPr>
                      <w:t>Official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9A6D3" w14:textId="7073FDE0" w:rsidR="00B67C3B" w:rsidRDefault="00B67C3B">
    <w:pPr>
      <w:pStyle w:val="Pieddepage"/>
    </w:pPr>
    <w:r>
      <w:rPr>
        <w:noProof/>
      </w:rPr>
      <mc:AlternateContent>
        <mc:Choice Requires="wps">
          <w:drawing>
            <wp:anchor distT="0" distB="0" distL="0" distR="0" simplePos="0" relativeHeight="251660288" behindDoc="0" locked="0" layoutInCell="1" allowOverlap="1" wp14:anchorId="2CDF74E2" wp14:editId="6F0377D8">
              <wp:simplePos x="914400" y="9412605"/>
              <wp:positionH relativeFrom="page">
                <wp:align>right</wp:align>
              </wp:positionH>
              <wp:positionV relativeFrom="page">
                <wp:align>bottom</wp:align>
              </wp:positionV>
              <wp:extent cx="1170305" cy="370205"/>
              <wp:effectExtent l="0" t="0" r="0" b="0"/>
              <wp:wrapNone/>
              <wp:docPr id="599045510" name="Text Box 3" descr="Offici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70305" cy="370205"/>
                      </a:xfrm>
                      <a:prstGeom prst="rect">
                        <a:avLst/>
                      </a:prstGeom>
                      <a:noFill/>
                      <a:ln>
                        <a:noFill/>
                      </a:ln>
                    </wps:spPr>
                    <wps:txbx>
                      <w:txbxContent>
                        <w:p w14:paraId="39E8DAF9" w14:textId="35254DB0" w:rsidR="00B67C3B" w:rsidRPr="00B67C3B" w:rsidRDefault="00B67C3B" w:rsidP="00B67C3B">
                          <w:pPr>
                            <w:spacing w:after="0"/>
                            <w:rPr>
                              <w:rFonts w:ascii="Aptos" w:eastAsia="Aptos" w:hAnsi="Aptos" w:cs="Aptos"/>
                              <w:noProof/>
                              <w:color w:val="000000"/>
                              <w:sz w:val="20"/>
                              <w:szCs w:val="20"/>
                            </w:rPr>
                          </w:pPr>
                          <w:r w:rsidRPr="00B67C3B">
                            <w:rPr>
                              <w:rFonts w:ascii="Aptos" w:eastAsia="Aptos" w:hAnsi="Aptos" w:cs="Aptos"/>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2CDF74E2" id="_x0000_t202" coordsize="21600,21600" o:spt="202" path="m,l,21600r21600,l21600,xe">
              <v:stroke joinstyle="miter"/>
              <v:path gradientshapeok="t" o:connecttype="rect"/>
            </v:shapetype>
            <v:shape id="Text Box 3" o:spid="_x0000_s1027" type="#_x0000_t202" alt="Official Use Only" style="position:absolute;margin-left:40.95pt;margin-top:0;width:92.15pt;height:29.15pt;z-index:25166028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" filled="f" stroked="f">
              <v:textbox style="mso-fit-shape-to-text:t" inset="0,0,20pt,15pt">
                <w:txbxContent>
                  <w:p w14:paraId="39E8DAF9" w14:textId="35254DB0" w:rsidR="00B67C3B" w:rsidRPr="00B67C3B" w:rsidRDefault="00B67C3B" w:rsidP="00B67C3B">
                    <w:pPr>
                      <w:spacing w:after="0"/>
                      <w:rPr>
                        <w:rFonts w:ascii="Aptos" w:eastAsia="Aptos" w:hAnsi="Aptos" w:cs="Aptos"/>
                        <w:noProof/>
                        <w:color w:val="000000"/>
                        <w:sz w:val="20"/>
                        <w:szCs w:val="20"/>
                      </w:rPr>
                    </w:pPr>
                    <w:r w:rsidRPr="00B67C3B">
                      <w:rPr>
                        <w:rFonts w:ascii="Aptos" w:eastAsia="Aptos" w:hAnsi="Aptos" w:cs="Aptos"/>
                        <w:noProof/>
                        <w:color w:val="000000"/>
                        <w:sz w:val="20"/>
                        <w:szCs w:val="20"/>
                      </w:rPr>
                      <w:t>Official Use 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A2253" w14:textId="19CED936" w:rsidR="00B67C3B" w:rsidRDefault="00B67C3B">
    <w:pPr>
      <w:pStyle w:val="Pieddepage"/>
    </w:pPr>
    <w:r>
      <w:rPr>
        <w:noProof/>
      </w:rPr>
      <mc:AlternateContent>
        <mc:Choice Requires="wps">
          <w:drawing>
            <wp:anchor distT="0" distB="0" distL="0" distR="0" simplePos="0" relativeHeight="251658240" behindDoc="0" locked="0" layoutInCell="1" allowOverlap="1" wp14:anchorId="2F6FB1A1" wp14:editId="1CA1C50B">
              <wp:simplePos x="635" y="635"/>
              <wp:positionH relativeFrom="page">
                <wp:align>right</wp:align>
              </wp:positionH>
              <wp:positionV relativeFrom="page">
                <wp:align>bottom</wp:align>
              </wp:positionV>
              <wp:extent cx="1170305" cy="370205"/>
              <wp:effectExtent l="0" t="0" r="0" b="0"/>
              <wp:wrapNone/>
              <wp:docPr id="873536208" name="Text Box 1" descr="Offici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70305" cy="370205"/>
                      </a:xfrm>
                      <a:prstGeom prst="rect">
                        <a:avLst/>
                      </a:prstGeom>
                      <a:noFill/>
                      <a:ln>
                        <a:noFill/>
                      </a:ln>
                    </wps:spPr>
                    <wps:txbx>
                      <w:txbxContent>
                        <w:p w14:paraId="0FF76B98" w14:textId="21E76682" w:rsidR="00B67C3B" w:rsidRPr="00B67C3B" w:rsidRDefault="00B67C3B" w:rsidP="00B67C3B">
                          <w:pPr>
                            <w:spacing w:after="0"/>
                            <w:rPr>
                              <w:rFonts w:ascii="Aptos" w:eastAsia="Aptos" w:hAnsi="Aptos" w:cs="Aptos"/>
                              <w:noProof/>
                              <w:color w:val="000000"/>
                              <w:sz w:val="20"/>
                              <w:szCs w:val="20"/>
                            </w:rPr>
                          </w:pPr>
                          <w:r w:rsidRPr="00B67C3B">
                            <w:rPr>
                              <w:rFonts w:ascii="Aptos" w:eastAsia="Aptos" w:hAnsi="Aptos" w:cs="Aptos"/>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2F6FB1A1" id="_x0000_t202" coordsize="21600,21600" o:spt="202" path="m,l,21600r21600,l21600,xe">
              <v:stroke joinstyle="miter"/>
              <v:path gradientshapeok="t" o:connecttype="rect"/>
            </v:shapetype>
            <v:shape id="Text Box 1" o:spid="_x0000_s1028" type="#_x0000_t202" alt="Official Use Only" style="position:absolute;margin-left:40.95pt;margin-top:0;width:92.15pt;height:29.15pt;z-index:251658240;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" filled="f" stroked="f">
              <v:textbox style="mso-fit-shape-to-text:t" inset="0,0,20pt,15pt">
                <w:txbxContent>
                  <w:p w14:paraId="0FF76B98" w14:textId="21E76682" w:rsidR="00B67C3B" w:rsidRPr="00B67C3B" w:rsidRDefault="00B67C3B" w:rsidP="00B67C3B">
                    <w:pPr>
                      <w:spacing w:after="0"/>
                      <w:rPr>
                        <w:rFonts w:ascii="Aptos" w:eastAsia="Aptos" w:hAnsi="Aptos" w:cs="Aptos"/>
                        <w:noProof/>
                        <w:color w:val="000000"/>
                        <w:sz w:val="20"/>
                        <w:szCs w:val="20"/>
                      </w:rPr>
                    </w:pPr>
                    <w:r w:rsidRPr="00B67C3B">
                      <w:rPr>
                        <w:rFonts w:ascii="Aptos" w:eastAsia="Aptos" w:hAnsi="Aptos" w:cs="Aptos"/>
                        <w:noProof/>
                        <w:color w:val="000000"/>
                        <w:sz w:val="20"/>
                        <w:szCs w:val="20"/>
                      </w:rPr>
                      <w:t>Official Use 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F8E18" w14:textId="77777777" w:rsidR="009737E9" w:rsidRDefault="009737E9" w:rsidP="00587B30">
      <w:pPr>
        <w:spacing w:after="0" w:line="240" w:lineRule="auto"/>
      </w:pPr>
      <w:r>
        <w:separator/>
      </w:r>
    </w:p>
  </w:footnote>
  <w:footnote w:type="continuationSeparator" w:id="0">
    <w:p w14:paraId="1307D07E" w14:textId="77777777" w:rsidR="009737E9" w:rsidRDefault="009737E9" w:rsidP="00587B30">
      <w:pPr>
        <w:spacing w:after="0" w:line="240" w:lineRule="auto"/>
      </w:pPr>
      <w:r>
        <w:continuationSeparator/>
      </w:r>
    </w:p>
  </w:footnote>
  <w:footnote w:id="1">
    <w:p w14:paraId="531AAE50" w14:textId="77777777" w:rsidR="00272C85" w:rsidRDefault="00272C85" w:rsidP="00272C85">
      <w:pPr>
        <w:pStyle w:val="Notedebasdepage"/>
      </w:pPr>
      <w:r>
        <w:rPr>
          <w:rStyle w:val="Appelnotedebasdep"/>
        </w:rPr>
        <w:footnoteRef/>
      </w:r>
      <w:r>
        <w:t xml:space="preserve"> </w:t>
      </w:r>
      <w:r w:rsidRPr="0086589A">
        <w:rPr>
          <w:rFonts w:ascii="Arial" w:hAnsi="Arial" w:cs="Arial"/>
          <w:sz w:val="16"/>
          <w:szCs w:val="16"/>
        </w:rPr>
        <w:t>The South African Disaster Response Financing Strategy</w:t>
      </w:r>
      <w:r w:rsidRPr="0086589A">
        <w:rPr>
          <w:rStyle w:val="Appelnotedebasdep"/>
          <w:rFonts w:ascii="Arial" w:hAnsi="Arial" w:cs="Arial"/>
          <w:sz w:val="16"/>
          <w:szCs w:val="16"/>
        </w:rPr>
        <w:t xml:space="preserve"> </w:t>
      </w:r>
      <w:r w:rsidRPr="0086589A">
        <w:rPr>
          <w:rFonts w:ascii="Arial" w:hAnsi="Arial" w:cs="Arial"/>
          <w:sz w:val="16"/>
          <w:szCs w:val="16"/>
        </w:rPr>
        <w:t>puts insurance at the core of South Africa’s approach to resilience, placing special focus on the use of insurance at the municipal level to reduce reliance on the national government</w:t>
      </w:r>
      <w:r>
        <w:rPr>
          <w:rFonts w:ascii="Arial" w:hAnsi="Arial" w:cs="Arial"/>
          <w:sz w:val="16"/>
          <w:szCs w:val="16"/>
        </w:rPr>
        <w:t xml:space="preserve">. </w:t>
      </w:r>
      <w:r w:rsidRPr="0086589A">
        <w:rPr>
          <w:rFonts w:ascii="Arial" w:hAnsi="Arial" w:cs="Arial"/>
          <w:sz w:val="16"/>
          <w:szCs w:val="16"/>
        </w:rPr>
        <w:t xml:space="preserve"> </w:t>
      </w:r>
      <w:hyperlink r:id="rId1" w:history="1">
        <w:r w:rsidRPr="0097532C">
          <w:rPr>
            <w:rStyle w:val="Lienhypertexte"/>
            <w:rFonts w:ascii="Arial" w:hAnsi="Arial" w:cs="Arial"/>
            <w:sz w:val="16"/>
            <w:szCs w:val="16"/>
          </w:rPr>
          <w:t>https://www.treasury.gov.za/comm_media/press/2025/Annexure%20A%20Disaster%20Response%20Financing%20Strategy%20v8.pdf</w:t>
        </w:r>
      </w:hyperlink>
    </w:p>
  </w:footnote>
  <w:footnote w:id="2">
    <w:p w14:paraId="6AE08B5A" w14:textId="3D682F1B" w:rsidR="00072A5B" w:rsidRDefault="00072A5B">
      <w:pPr>
        <w:pStyle w:val="Notedebasdepage"/>
      </w:pPr>
      <w:r>
        <w:rPr>
          <w:rStyle w:val="Appelnotedebasdep"/>
        </w:rPr>
        <w:footnoteRef/>
      </w:r>
      <w:r>
        <w:t xml:space="preserve"> </w:t>
      </w:r>
      <w:r w:rsidRPr="0086589A">
        <w:rPr>
          <w:rFonts w:cs="Arial"/>
          <w:sz w:val="16"/>
          <w:szCs w:val="16"/>
        </w:rPr>
        <w:t>Referred to as the City or Cape Town herein.</w:t>
      </w:r>
    </w:p>
  </w:footnote>
  <w:footnote w:id="3">
    <w:p w14:paraId="52DDBF76" w14:textId="35AA883F" w:rsidR="0087425D" w:rsidRDefault="0087425D">
      <w:pPr>
        <w:pStyle w:val="Notedebasdepage"/>
      </w:pPr>
      <w:r>
        <w:rPr>
          <w:rStyle w:val="Appelnotedebasdep"/>
        </w:rPr>
        <w:footnoteRef/>
      </w:r>
      <w:r>
        <w:t xml:space="preserve"> </w:t>
      </w:r>
      <w:r w:rsidRPr="003A6EB1">
        <w:rPr>
          <w:sz w:val="16"/>
          <w:szCs w:val="16"/>
        </w:rPr>
        <w:t>Tentative in</w:t>
      </w:r>
      <w:r w:rsidR="000A19A5">
        <w:rPr>
          <w:sz w:val="16"/>
          <w:szCs w:val="16"/>
        </w:rPr>
        <w:t xml:space="preserve"> </w:t>
      </w:r>
      <w:r w:rsidRPr="003A6EB1">
        <w:rPr>
          <w:sz w:val="16"/>
          <w:szCs w:val="16"/>
        </w:rPr>
        <w:t>person workshop planned end of March</w:t>
      </w:r>
      <w:r>
        <w:rPr>
          <w:sz w:val="16"/>
          <w:szCs w:val="16"/>
        </w:rPr>
        <w:t xml:space="preserve"> 2026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97124" w14:textId="112699F4" w:rsidR="00B535A0" w:rsidRPr="0086589A" w:rsidRDefault="00B535A0" w:rsidP="0086589A">
    <w:pPr>
      <w:spacing w:before="100" w:beforeAutospacing="1" w:after="100" w:afterAutospacing="1" w:line="240" w:lineRule="auto"/>
      <w:jc w:val="center"/>
      <w:rPr>
        <w:b/>
        <w:bCs/>
        <w:sz w:val="22"/>
        <w:szCs w:val="22"/>
      </w:rPr>
    </w:pPr>
    <w:r w:rsidRPr="00B37F60">
      <w:rPr>
        <w:b/>
        <w:bCs/>
        <w:sz w:val="22"/>
        <w:szCs w:val="22"/>
      </w:rPr>
      <w:t>T</w:t>
    </w:r>
    <w:r>
      <w:rPr>
        <w:b/>
        <w:bCs/>
        <w:sz w:val="22"/>
        <w:szCs w:val="22"/>
      </w:rPr>
      <w:t>ERMS OF REFERENCE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22BD"/>
    <w:multiLevelType w:val="multilevel"/>
    <w:tmpl w:val="B45848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A6D1E27"/>
    <w:multiLevelType w:val="hybridMultilevel"/>
    <w:tmpl w:val="E9E82B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4B0A00"/>
    <w:multiLevelType w:val="hybridMultilevel"/>
    <w:tmpl w:val="A5B2227E"/>
    <w:lvl w:ilvl="0" w:tplc="F348B1F0">
      <w:numFmt w:val="bullet"/>
      <w:lvlText w:val="•"/>
      <w:lvlJc w:val="left"/>
      <w:pPr>
        <w:ind w:left="1080" w:hanging="720"/>
      </w:pPr>
      <w:rPr>
        <w:rFonts w:ascii="Aptos" w:eastAsiaTheme="minorHAnsi" w:hAnsi="Apto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A50DB2"/>
    <w:multiLevelType w:val="hybridMultilevel"/>
    <w:tmpl w:val="0F08E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57640D"/>
    <w:multiLevelType w:val="hybridMultilevel"/>
    <w:tmpl w:val="2D4ABB9E"/>
    <w:lvl w:ilvl="0" w:tplc="04090001">
      <w:start w:val="1"/>
      <w:numFmt w:val="bullet"/>
      <w:lvlText w:val=""/>
      <w:lvlJc w:val="left"/>
      <w:pPr>
        <w:ind w:left="720" w:hanging="360"/>
      </w:pPr>
      <w:rPr>
        <w:rFonts w:ascii="Symbol" w:hAnsi="Symbol"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AD6599"/>
    <w:multiLevelType w:val="hybridMultilevel"/>
    <w:tmpl w:val="B7DCE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177DEC"/>
    <w:multiLevelType w:val="hybridMultilevel"/>
    <w:tmpl w:val="C850591E"/>
    <w:lvl w:ilvl="0" w:tplc="F348B1F0">
      <w:numFmt w:val="bullet"/>
      <w:lvlText w:val="•"/>
      <w:lvlJc w:val="left"/>
      <w:pPr>
        <w:ind w:left="1440" w:hanging="720"/>
      </w:pPr>
      <w:rPr>
        <w:rFonts w:ascii="Aptos" w:eastAsiaTheme="minorHAnsi" w:hAnsi="Apto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15C0F92"/>
    <w:multiLevelType w:val="hybridMultilevel"/>
    <w:tmpl w:val="2EC0DE50"/>
    <w:lvl w:ilvl="0" w:tplc="F348B1F0">
      <w:numFmt w:val="bullet"/>
      <w:lvlText w:val="•"/>
      <w:lvlJc w:val="left"/>
      <w:pPr>
        <w:ind w:left="1080" w:hanging="720"/>
      </w:pPr>
      <w:rPr>
        <w:rFonts w:ascii="Aptos" w:eastAsiaTheme="minorHAnsi" w:hAnsi="Apto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357BEC"/>
    <w:multiLevelType w:val="hybridMultilevel"/>
    <w:tmpl w:val="E9E82B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364FF8"/>
    <w:multiLevelType w:val="hybridMultilevel"/>
    <w:tmpl w:val="510CCD26"/>
    <w:lvl w:ilvl="0" w:tplc="F348B1F0">
      <w:numFmt w:val="bullet"/>
      <w:lvlText w:val="•"/>
      <w:lvlJc w:val="left"/>
      <w:pPr>
        <w:ind w:left="1080" w:hanging="720"/>
      </w:pPr>
      <w:rPr>
        <w:rFonts w:ascii="Aptos" w:eastAsiaTheme="minorHAnsi" w:hAnsi="Apto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BE0DB1"/>
    <w:multiLevelType w:val="hybridMultilevel"/>
    <w:tmpl w:val="22D4A978"/>
    <w:lvl w:ilvl="0" w:tplc="2908A512">
      <w:numFmt w:val="bullet"/>
      <w:lvlText w:val="-"/>
      <w:lvlJc w:val="left"/>
      <w:pPr>
        <w:ind w:left="720" w:hanging="360"/>
      </w:pPr>
      <w:rPr>
        <w:rFonts w:ascii="Aptos" w:eastAsia="Aptos" w:hAnsi="Apto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B3A2C7E"/>
    <w:multiLevelType w:val="multilevel"/>
    <w:tmpl w:val="5240D1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F2A467B"/>
    <w:multiLevelType w:val="hybridMultilevel"/>
    <w:tmpl w:val="252A21EE"/>
    <w:lvl w:ilvl="0" w:tplc="F348B1F0">
      <w:numFmt w:val="bullet"/>
      <w:lvlText w:val="•"/>
      <w:lvlJc w:val="left"/>
      <w:pPr>
        <w:ind w:left="1080" w:hanging="720"/>
      </w:pPr>
      <w:rPr>
        <w:rFonts w:ascii="Aptos" w:eastAsiaTheme="minorHAnsi" w:hAnsi="Apto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765F9D"/>
    <w:multiLevelType w:val="hybridMultilevel"/>
    <w:tmpl w:val="E9E82B6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4CD77FF"/>
    <w:multiLevelType w:val="hybridMultilevel"/>
    <w:tmpl w:val="6A6AE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5C37B3"/>
    <w:multiLevelType w:val="hybridMultilevel"/>
    <w:tmpl w:val="1846AD42"/>
    <w:lvl w:ilvl="0" w:tplc="FFFFFFFF">
      <w:start w:val="1"/>
      <w:numFmt w:val="decimal"/>
      <w:lvlText w:val="%1."/>
      <w:lvlJc w:val="left"/>
      <w:pPr>
        <w:ind w:left="720" w:hanging="360"/>
      </w:pPr>
      <w:rPr>
        <w:rFonts w:hint="default"/>
        <w:sz w:val="20"/>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E89058C"/>
    <w:multiLevelType w:val="hybridMultilevel"/>
    <w:tmpl w:val="EA426AB4"/>
    <w:lvl w:ilvl="0" w:tplc="F348B1F0">
      <w:numFmt w:val="bullet"/>
      <w:lvlText w:val="•"/>
      <w:lvlJc w:val="left"/>
      <w:pPr>
        <w:ind w:left="1080" w:hanging="720"/>
      </w:pPr>
      <w:rPr>
        <w:rFonts w:ascii="Aptos" w:eastAsiaTheme="minorHAnsi" w:hAnsi="Apto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1A7941"/>
    <w:multiLevelType w:val="hybridMultilevel"/>
    <w:tmpl w:val="F4BC93F8"/>
    <w:lvl w:ilvl="0" w:tplc="F348B1F0">
      <w:numFmt w:val="bullet"/>
      <w:lvlText w:val="•"/>
      <w:lvlJc w:val="left"/>
      <w:pPr>
        <w:ind w:left="1080" w:hanging="720"/>
      </w:pPr>
      <w:rPr>
        <w:rFonts w:ascii="Aptos" w:eastAsiaTheme="minorHAnsi" w:hAnsi="Apto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40694E"/>
    <w:multiLevelType w:val="hybridMultilevel"/>
    <w:tmpl w:val="AD7874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A50C9A"/>
    <w:multiLevelType w:val="hybridMultilevel"/>
    <w:tmpl w:val="31B8B86E"/>
    <w:lvl w:ilvl="0" w:tplc="F348B1F0">
      <w:numFmt w:val="bullet"/>
      <w:lvlText w:val="•"/>
      <w:lvlJc w:val="left"/>
      <w:pPr>
        <w:ind w:left="1080" w:hanging="720"/>
      </w:pPr>
      <w:rPr>
        <w:rFonts w:ascii="Aptos" w:eastAsiaTheme="minorHAnsi" w:hAnsi="Apto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0A3981"/>
    <w:multiLevelType w:val="hybridMultilevel"/>
    <w:tmpl w:val="AD5634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4E222C"/>
    <w:multiLevelType w:val="hybridMultilevel"/>
    <w:tmpl w:val="5086A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1905870">
    <w:abstractNumId w:val="8"/>
  </w:num>
  <w:num w:numId="2" w16cid:durableId="2051300255">
    <w:abstractNumId w:val="15"/>
  </w:num>
  <w:num w:numId="3" w16cid:durableId="1771388125">
    <w:abstractNumId w:val="21"/>
  </w:num>
  <w:num w:numId="4" w16cid:durableId="1623002318">
    <w:abstractNumId w:val="4"/>
  </w:num>
  <w:num w:numId="5" w16cid:durableId="1247111567">
    <w:abstractNumId w:val="14"/>
  </w:num>
  <w:num w:numId="6" w16cid:durableId="1819958175">
    <w:abstractNumId w:val="3"/>
  </w:num>
  <w:num w:numId="7" w16cid:durableId="1983848116">
    <w:abstractNumId w:val="1"/>
  </w:num>
  <w:num w:numId="8" w16cid:durableId="18242790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478784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34046981">
    <w:abstractNumId w:val="13"/>
  </w:num>
  <w:num w:numId="11" w16cid:durableId="300497760">
    <w:abstractNumId w:val="5"/>
  </w:num>
  <w:num w:numId="12" w16cid:durableId="2116515216">
    <w:abstractNumId w:val="6"/>
  </w:num>
  <w:num w:numId="13" w16cid:durableId="439225436">
    <w:abstractNumId w:val="16"/>
  </w:num>
  <w:num w:numId="14" w16cid:durableId="578708379">
    <w:abstractNumId w:val="19"/>
  </w:num>
  <w:num w:numId="15" w16cid:durableId="1940604690">
    <w:abstractNumId w:val="12"/>
  </w:num>
  <w:num w:numId="16" w16cid:durableId="1421021177">
    <w:abstractNumId w:val="17"/>
  </w:num>
  <w:num w:numId="17" w16cid:durableId="1279724765">
    <w:abstractNumId w:val="7"/>
  </w:num>
  <w:num w:numId="18" w16cid:durableId="153297926">
    <w:abstractNumId w:val="9"/>
  </w:num>
  <w:num w:numId="19" w16cid:durableId="1192567181">
    <w:abstractNumId w:val="11"/>
  </w:num>
  <w:num w:numId="20" w16cid:durableId="1227766837">
    <w:abstractNumId w:val="18"/>
  </w:num>
  <w:num w:numId="21" w16cid:durableId="311831994">
    <w:abstractNumId w:val="20"/>
  </w:num>
  <w:num w:numId="22" w16cid:durableId="419448606">
    <w:abstractNumId w:val="2"/>
  </w:num>
  <w:num w:numId="23" w16cid:durableId="6458143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71B"/>
    <w:rsid w:val="00000CDC"/>
    <w:rsid w:val="00005F8C"/>
    <w:rsid w:val="00037028"/>
    <w:rsid w:val="00042E12"/>
    <w:rsid w:val="0006517B"/>
    <w:rsid w:val="00065AF5"/>
    <w:rsid w:val="00072A5B"/>
    <w:rsid w:val="00074B01"/>
    <w:rsid w:val="000826C3"/>
    <w:rsid w:val="0008301D"/>
    <w:rsid w:val="000839C3"/>
    <w:rsid w:val="0008408B"/>
    <w:rsid w:val="00085111"/>
    <w:rsid w:val="00092746"/>
    <w:rsid w:val="00097A9D"/>
    <w:rsid w:val="000A19A5"/>
    <w:rsid w:val="000A2930"/>
    <w:rsid w:val="000A39F5"/>
    <w:rsid w:val="000A5FDC"/>
    <w:rsid w:val="000B2D27"/>
    <w:rsid w:val="000B2EE1"/>
    <w:rsid w:val="000B53F3"/>
    <w:rsid w:val="000C465E"/>
    <w:rsid w:val="000C6537"/>
    <w:rsid w:val="000D15A6"/>
    <w:rsid w:val="000D657F"/>
    <w:rsid w:val="000D6E68"/>
    <w:rsid w:val="000D6FEA"/>
    <w:rsid w:val="000E0892"/>
    <w:rsid w:val="000E30B0"/>
    <w:rsid w:val="000E5F6B"/>
    <w:rsid w:val="000E7BCD"/>
    <w:rsid w:val="000F02F3"/>
    <w:rsid w:val="000F214B"/>
    <w:rsid w:val="000F5A84"/>
    <w:rsid w:val="0010670B"/>
    <w:rsid w:val="0011161F"/>
    <w:rsid w:val="001219F1"/>
    <w:rsid w:val="00123E08"/>
    <w:rsid w:val="00132DEC"/>
    <w:rsid w:val="00133828"/>
    <w:rsid w:val="00133AAD"/>
    <w:rsid w:val="00134962"/>
    <w:rsid w:val="00134D6F"/>
    <w:rsid w:val="00136061"/>
    <w:rsid w:val="00137B1C"/>
    <w:rsid w:val="00153DC1"/>
    <w:rsid w:val="00156D8F"/>
    <w:rsid w:val="0017054F"/>
    <w:rsid w:val="00173907"/>
    <w:rsid w:val="0018056C"/>
    <w:rsid w:val="00180B48"/>
    <w:rsid w:val="0018397D"/>
    <w:rsid w:val="00192199"/>
    <w:rsid w:val="00195431"/>
    <w:rsid w:val="001A2C2A"/>
    <w:rsid w:val="001A3AA0"/>
    <w:rsid w:val="001A71DD"/>
    <w:rsid w:val="001B0905"/>
    <w:rsid w:val="001B3AC4"/>
    <w:rsid w:val="001B54B2"/>
    <w:rsid w:val="001B788B"/>
    <w:rsid w:val="001C0478"/>
    <w:rsid w:val="001C2955"/>
    <w:rsid w:val="001C49D0"/>
    <w:rsid w:val="001C4C85"/>
    <w:rsid w:val="001C57DB"/>
    <w:rsid w:val="001D50D3"/>
    <w:rsid w:val="001D5A18"/>
    <w:rsid w:val="001E7385"/>
    <w:rsid w:val="001F023D"/>
    <w:rsid w:val="001F79BE"/>
    <w:rsid w:val="002008CC"/>
    <w:rsid w:val="00201425"/>
    <w:rsid w:val="00201DD6"/>
    <w:rsid w:val="002116D2"/>
    <w:rsid w:val="0021529A"/>
    <w:rsid w:val="00223193"/>
    <w:rsid w:val="002308BD"/>
    <w:rsid w:val="00235532"/>
    <w:rsid w:val="00242D73"/>
    <w:rsid w:val="00246C56"/>
    <w:rsid w:val="0025157D"/>
    <w:rsid w:val="0025290E"/>
    <w:rsid w:val="00260412"/>
    <w:rsid w:val="0026074D"/>
    <w:rsid w:val="00263991"/>
    <w:rsid w:val="00264E59"/>
    <w:rsid w:val="002666B2"/>
    <w:rsid w:val="002670F5"/>
    <w:rsid w:val="00270861"/>
    <w:rsid w:val="00272C85"/>
    <w:rsid w:val="0027787B"/>
    <w:rsid w:val="00285108"/>
    <w:rsid w:val="00286479"/>
    <w:rsid w:val="002922A8"/>
    <w:rsid w:val="0029528A"/>
    <w:rsid w:val="00295E7C"/>
    <w:rsid w:val="002979DE"/>
    <w:rsid w:val="002A14A1"/>
    <w:rsid w:val="002A5116"/>
    <w:rsid w:val="002B3936"/>
    <w:rsid w:val="002B3BE9"/>
    <w:rsid w:val="002C48D5"/>
    <w:rsid w:val="002C5D8F"/>
    <w:rsid w:val="002C74C5"/>
    <w:rsid w:val="002D4CB7"/>
    <w:rsid w:val="002D76AB"/>
    <w:rsid w:val="002E0DD1"/>
    <w:rsid w:val="002E69ED"/>
    <w:rsid w:val="002F13A4"/>
    <w:rsid w:val="002F3753"/>
    <w:rsid w:val="002F3CC8"/>
    <w:rsid w:val="002F6F05"/>
    <w:rsid w:val="00300A7C"/>
    <w:rsid w:val="0030233A"/>
    <w:rsid w:val="00311662"/>
    <w:rsid w:val="00313F90"/>
    <w:rsid w:val="00320133"/>
    <w:rsid w:val="00321147"/>
    <w:rsid w:val="00332AC4"/>
    <w:rsid w:val="00336422"/>
    <w:rsid w:val="0034194A"/>
    <w:rsid w:val="00341AD2"/>
    <w:rsid w:val="00347A69"/>
    <w:rsid w:val="00352489"/>
    <w:rsid w:val="0036076D"/>
    <w:rsid w:val="00365644"/>
    <w:rsid w:val="00365850"/>
    <w:rsid w:val="00365D94"/>
    <w:rsid w:val="003807FF"/>
    <w:rsid w:val="0038273D"/>
    <w:rsid w:val="003931BD"/>
    <w:rsid w:val="00394026"/>
    <w:rsid w:val="0039592E"/>
    <w:rsid w:val="00396EB7"/>
    <w:rsid w:val="003A45FF"/>
    <w:rsid w:val="003A6EB1"/>
    <w:rsid w:val="003B49C4"/>
    <w:rsid w:val="003C1A6A"/>
    <w:rsid w:val="003C2D19"/>
    <w:rsid w:val="003D693F"/>
    <w:rsid w:val="003E11B7"/>
    <w:rsid w:val="003E1AB6"/>
    <w:rsid w:val="003E51A0"/>
    <w:rsid w:val="003E5ADD"/>
    <w:rsid w:val="003E6832"/>
    <w:rsid w:val="003F1646"/>
    <w:rsid w:val="003F2D96"/>
    <w:rsid w:val="003F5C6F"/>
    <w:rsid w:val="003F7013"/>
    <w:rsid w:val="00402239"/>
    <w:rsid w:val="00404649"/>
    <w:rsid w:val="004051E4"/>
    <w:rsid w:val="00407845"/>
    <w:rsid w:val="00414E68"/>
    <w:rsid w:val="00420D6E"/>
    <w:rsid w:val="0042557D"/>
    <w:rsid w:val="004273C7"/>
    <w:rsid w:val="0043288F"/>
    <w:rsid w:val="004354C1"/>
    <w:rsid w:val="00437C88"/>
    <w:rsid w:val="0044012B"/>
    <w:rsid w:val="00443BB2"/>
    <w:rsid w:val="0045348E"/>
    <w:rsid w:val="004674B2"/>
    <w:rsid w:val="00467CB7"/>
    <w:rsid w:val="00470685"/>
    <w:rsid w:val="00470DEB"/>
    <w:rsid w:val="004729B9"/>
    <w:rsid w:val="00475B57"/>
    <w:rsid w:val="0048501E"/>
    <w:rsid w:val="004909AC"/>
    <w:rsid w:val="00491DE6"/>
    <w:rsid w:val="00496198"/>
    <w:rsid w:val="004967A1"/>
    <w:rsid w:val="004A37A2"/>
    <w:rsid w:val="004A541C"/>
    <w:rsid w:val="004A6D16"/>
    <w:rsid w:val="004A7902"/>
    <w:rsid w:val="004B0AF9"/>
    <w:rsid w:val="004B0FE4"/>
    <w:rsid w:val="004B267E"/>
    <w:rsid w:val="004B417C"/>
    <w:rsid w:val="004C0D4A"/>
    <w:rsid w:val="004C2B67"/>
    <w:rsid w:val="004D03B2"/>
    <w:rsid w:val="004D650B"/>
    <w:rsid w:val="004D6835"/>
    <w:rsid w:val="004D7BB8"/>
    <w:rsid w:val="004E0FFE"/>
    <w:rsid w:val="004E4F47"/>
    <w:rsid w:val="004E78E9"/>
    <w:rsid w:val="004E7AB9"/>
    <w:rsid w:val="004F13A3"/>
    <w:rsid w:val="004F47BF"/>
    <w:rsid w:val="00502114"/>
    <w:rsid w:val="00504062"/>
    <w:rsid w:val="00504345"/>
    <w:rsid w:val="00505E86"/>
    <w:rsid w:val="005074B7"/>
    <w:rsid w:val="005164AF"/>
    <w:rsid w:val="005201DC"/>
    <w:rsid w:val="0052100F"/>
    <w:rsid w:val="00521555"/>
    <w:rsid w:val="00524A59"/>
    <w:rsid w:val="00526CE6"/>
    <w:rsid w:val="00534E10"/>
    <w:rsid w:val="0054016D"/>
    <w:rsid w:val="0054071B"/>
    <w:rsid w:val="00543211"/>
    <w:rsid w:val="00544E08"/>
    <w:rsid w:val="00546A10"/>
    <w:rsid w:val="00557AF9"/>
    <w:rsid w:val="005635D5"/>
    <w:rsid w:val="005665C3"/>
    <w:rsid w:val="00577B7C"/>
    <w:rsid w:val="00580F7A"/>
    <w:rsid w:val="00585DE2"/>
    <w:rsid w:val="00587B30"/>
    <w:rsid w:val="00587F5A"/>
    <w:rsid w:val="00590F0C"/>
    <w:rsid w:val="0059316D"/>
    <w:rsid w:val="005A0749"/>
    <w:rsid w:val="005A23E9"/>
    <w:rsid w:val="005A41CB"/>
    <w:rsid w:val="005A695F"/>
    <w:rsid w:val="005B2511"/>
    <w:rsid w:val="005B7712"/>
    <w:rsid w:val="005C3D8B"/>
    <w:rsid w:val="005D406A"/>
    <w:rsid w:val="005D5D7B"/>
    <w:rsid w:val="005D5DF6"/>
    <w:rsid w:val="005E3267"/>
    <w:rsid w:val="005F18D5"/>
    <w:rsid w:val="006011A5"/>
    <w:rsid w:val="00604193"/>
    <w:rsid w:val="0061142B"/>
    <w:rsid w:val="006125EE"/>
    <w:rsid w:val="00617983"/>
    <w:rsid w:val="006243AD"/>
    <w:rsid w:val="00624B7D"/>
    <w:rsid w:val="00624DE1"/>
    <w:rsid w:val="006255A6"/>
    <w:rsid w:val="0062624B"/>
    <w:rsid w:val="00626496"/>
    <w:rsid w:val="006378AA"/>
    <w:rsid w:val="006507E6"/>
    <w:rsid w:val="00650FE4"/>
    <w:rsid w:val="00656F24"/>
    <w:rsid w:val="00660597"/>
    <w:rsid w:val="006609E6"/>
    <w:rsid w:val="00663457"/>
    <w:rsid w:val="00665C35"/>
    <w:rsid w:val="006664DE"/>
    <w:rsid w:val="00671CA1"/>
    <w:rsid w:val="00675018"/>
    <w:rsid w:val="00675DB4"/>
    <w:rsid w:val="0068606A"/>
    <w:rsid w:val="006936FB"/>
    <w:rsid w:val="00694BA1"/>
    <w:rsid w:val="006A1140"/>
    <w:rsid w:val="006A1C86"/>
    <w:rsid w:val="006C28DA"/>
    <w:rsid w:val="006C58B7"/>
    <w:rsid w:val="006D1530"/>
    <w:rsid w:val="006D1713"/>
    <w:rsid w:val="006D1C71"/>
    <w:rsid w:val="006E2623"/>
    <w:rsid w:val="006E473F"/>
    <w:rsid w:val="006E7599"/>
    <w:rsid w:val="007006DF"/>
    <w:rsid w:val="00702499"/>
    <w:rsid w:val="007035B6"/>
    <w:rsid w:val="00703F0C"/>
    <w:rsid w:val="00706726"/>
    <w:rsid w:val="00706EE5"/>
    <w:rsid w:val="00710854"/>
    <w:rsid w:val="00712AE0"/>
    <w:rsid w:val="00713A72"/>
    <w:rsid w:val="0071475C"/>
    <w:rsid w:val="007161B2"/>
    <w:rsid w:val="00716628"/>
    <w:rsid w:val="00717A47"/>
    <w:rsid w:val="00724C93"/>
    <w:rsid w:val="00725BE3"/>
    <w:rsid w:val="007337A1"/>
    <w:rsid w:val="0073593E"/>
    <w:rsid w:val="0073695E"/>
    <w:rsid w:val="00737EAB"/>
    <w:rsid w:val="00741914"/>
    <w:rsid w:val="0074311D"/>
    <w:rsid w:val="007509B2"/>
    <w:rsid w:val="00751AE5"/>
    <w:rsid w:val="007574FF"/>
    <w:rsid w:val="00760D7C"/>
    <w:rsid w:val="00762EB9"/>
    <w:rsid w:val="00771A8F"/>
    <w:rsid w:val="0077508A"/>
    <w:rsid w:val="0078242D"/>
    <w:rsid w:val="00782F0A"/>
    <w:rsid w:val="00783461"/>
    <w:rsid w:val="007902A5"/>
    <w:rsid w:val="0079235C"/>
    <w:rsid w:val="0079618C"/>
    <w:rsid w:val="00796D4E"/>
    <w:rsid w:val="007A100D"/>
    <w:rsid w:val="007A586D"/>
    <w:rsid w:val="007B1ABB"/>
    <w:rsid w:val="007C01C3"/>
    <w:rsid w:val="007C2DE7"/>
    <w:rsid w:val="007C58EF"/>
    <w:rsid w:val="007C6C41"/>
    <w:rsid w:val="007D02A1"/>
    <w:rsid w:val="007D2A93"/>
    <w:rsid w:val="007D7997"/>
    <w:rsid w:val="007E3917"/>
    <w:rsid w:val="007E72D4"/>
    <w:rsid w:val="007F0AD4"/>
    <w:rsid w:val="007F581D"/>
    <w:rsid w:val="007F715D"/>
    <w:rsid w:val="00801D5B"/>
    <w:rsid w:val="0080378E"/>
    <w:rsid w:val="008101AF"/>
    <w:rsid w:val="0082067F"/>
    <w:rsid w:val="00821953"/>
    <w:rsid w:val="008221DF"/>
    <w:rsid w:val="008221ED"/>
    <w:rsid w:val="0083458C"/>
    <w:rsid w:val="00841712"/>
    <w:rsid w:val="00841D5C"/>
    <w:rsid w:val="0084243B"/>
    <w:rsid w:val="008426FC"/>
    <w:rsid w:val="008444CA"/>
    <w:rsid w:val="00845317"/>
    <w:rsid w:val="00847298"/>
    <w:rsid w:val="00847732"/>
    <w:rsid w:val="00850FF3"/>
    <w:rsid w:val="00851470"/>
    <w:rsid w:val="00854D81"/>
    <w:rsid w:val="0086589A"/>
    <w:rsid w:val="00865BE1"/>
    <w:rsid w:val="00865CB7"/>
    <w:rsid w:val="00872B26"/>
    <w:rsid w:val="0087425D"/>
    <w:rsid w:val="0087701B"/>
    <w:rsid w:val="00877322"/>
    <w:rsid w:val="00890D62"/>
    <w:rsid w:val="008948BB"/>
    <w:rsid w:val="008A054D"/>
    <w:rsid w:val="008A6F16"/>
    <w:rsid w:val="008B0F6B"/>
    <w:rsid w:val="008B1725"/>
    <w:rsid w:val="008C535B"/>
    <w:rsid w:val="008C598D"/>
    <w:rsid w:val="008C66FC"/>
    <w:rsid w:val="008D27AD"/>
    <w:rsid w:val="008D3748"/>
    <w:rsid w:val="008D7D95"/>
    <w:rsid w:val="008E3211"/>
    <w:rsid w:val="008E5D55"/>
    <w:rsid w:val="008E694F"/>
    <w:rsid w:val="008E6D5D"/>
    <w:rsid w:val="008F2412"/>
    <w:rsid w:val="008F76ED"/>
    <w:rsid w:val="0090311B"/>
    <w:rsid w:val="00903888"/>
    <w:rsid w:val="00903C20"/>
    <w:rsid w:val="00903E05"/>
    <w:rsid w:val="009105F0"/>
    <w:rsid w:val="00910695"/>
    <w:rsid w:val="0091553B"/>
    <w:rsid w:val="009161C9"/>
    <w:rsid w:val="009210DA"/>
    <w:rsid w:val="009218E4"/>
    <w:rsid w:val="00925BC6"/>
    <w:rsid w:val="00930FFC"/>
    <w:rsid w:val="00936AF2"/>
    <w:rsid w:val="00940C0D"/>
    <w:rsid w:val="00944068"/>
    <w:rsid w:val="00944169"/>
    <w:rsid w:val="00951A05"/>
    <w:rsid w:val="00951F9F"/>
    <w:rsid w:val="00960968"/>
    <w:rsid w:val="009737E9"/>
    <w:rsid w:val="0097532C"/>
    <w:rsid w:val="00982CC3"/>
    <w:rsid w:val="009906EA"/>
    <w:rsid w:val="009907FF"/>
    <w:rsid w:val="00990FBE"/>
    <w:rsid w:val="009A00DF"/>
    <w:rsid w:val="009A21BF"/>
    <w:rsid w:val="009A3F60"/>
    <w:rsid w:val="009A55FD"/>
    <w:rsid w:val="009A6B80"/>
    <w:rsid w:val="009A6B8D"/>
    <w:rsid w:val="009B2141"/>
    <w:rsid w:val="009B5CF9"/>
    <w:rsid w:val="009C4D06"/>
    <w:rsid w:val="009C510F"/>
    <w:rsid w:val="009C59B5"/>
    <w:rsid w:val="009C5FA0"/>
    <w:rsid w:val="009C69FC"/>
    <w:rsid w:val="009C720A"/>
    <w:rsid w:val="009D0221"/>
    <w:rsid w:val="009D660D"/>
    <w:rsid w:val="009E0492"/>
    <w:rsid w:val="009E75C9"/>
    <w:rsid w:val="009F0945"/>
    <w:rsid w:val="00A0049F"/>
    <w:rsid w:val="00A059E2"/>
    <w:rsid w:val="00A12D41"/>
    <w:rsid w:val="00A157D8"/>
    <w:rsid w:val="00A15B02"/>
    <w:rsid w:val="00A204D5"/>
    <w:rsid w:val="00A24C0F"/>
    <w:rsid w:val="00A262CE"/>
    <w:rsid w:val="00A26EE5"/>
    <w:rsid w:val="00A27318"/>
    <w:rsid w:val="00A350B1"/>
    <w:rsid w:val="00A5117D"/>
    <w:rsid w:val="00A517D3"/>
    <w:rsid w:val="00A614AB"/>
    <w:rsid w:val="00A6525A"/>
    <w:rsid w:val="00A676D4"/>
    <w:rsid w:val="00A76A3B"/>
    <w:rsid w:val="00A97455"/>
    <w:rsid w:val="00AA0D27"/>
    <w:rsid w:val="00AA3258"/>
    <w:rsid w:val="00AA485D"/>
    <w:rsid w:val="00AB2A06"/>
    <w:rsid w:val="00AB42FD"/>
    <w:rsid w:val="00AB6CEF"/>
    <w:rsid w:val="00AB7434"/>
    <w:rsid w:val="00AB7B8A"/>
    <w:rsid w:val="00AC1BFF"/>
    <w:rsid w:val="00AC28F4"/>
    <w:rsid w:val="00AD0CBC"/>
    <w:rsid w:val="00AD2C12"/>
    <w:rsid w:val="00AD33AA"/>
    <w:rsid w:val="00AD3D43"/>
    <w:rsid w:val="00AE190E"/>
    <w:rsid w:val="00AE6FC3"/>
    <w:rsid w:val="00B01106"/>
    <w:rsid w:val="00B12835"/>
    <w:rsid w:val="00B14434"/>
    <w:rsid w:val="00B21545"/>
    <w:rsid w:val="00B30028"/>
    <w:rsid w:val="00B30123"/>
    <w:rsid w:val="00B37F60"/>
    <w:rsid w:val="00B41027"/>
    <w:rsid w:val="00B41A17"/>
    <w:rsid w:val="00B423DC"/>
    <w:rsid w:val="00B45A16"/>
    <w:rsid w:val="00B469AE"/>
    <w:rsid w:val="00B50481"/>
    <w:rsid w:val="00B51879"/>
    <w:rsid w:val="00B535A0"/>
    <w:rsid w:val="00B5637B"/>
    <w:rsid w:val="00B57B46"/>
    <w:rsid w:val="00B6094D"/>
    <w:rsid w:val="00B646A5"/>
    <w:rsid w:val="00B64B3C"/>
    <w:rsid w:val="00B651D4"/>
    <w:rsid w:val="00B67361"/>
    <w:rsid w:val="00B67C3B"/>
    <w:rsid w:val="00B72EC2"/>
    <w:rsid w:val="00B742E6"/>
    <w:rsid w:val="00B80441"/>
    <w:rsid w:val="00B80C02"/>
    <w:rsid w:val="00B85C73"/>
    <w:rsid w:val="00B91DA0"/>
    <w:rsid w:val="00BA1F55"/>
    <w:rsid w:val="00BA2C57"/>
    <w:rsid w:val="00BB0C49"/>
    <w:rsid w:val="00BB0F5B"/>
    <w:rsid w:val="00BB1301"/>
    <w:rsid w:val="00BB1C65"/>
    <w:rsid w:val="00BB28E7"/>
    <w:rsid w:val="00BB4D1E"/>
    <w:rsid w:val="00BC20AE"/>
    <w:rsid w:val="00BC3593"/>
    <w:rsid w:val="00BD1DE5"/>
    <w:rsid w:val="00BD3314"/>
    <w:rsid w:val="00BD5F60"/>
    <w:rsid w:val="00BD6738"/>
    <w:rsid w:val="00BE0BE6"/>
    <w:rsid w:val="00BE2181"/>
    <w:rsid w:val="00BF10F1"/>
    <w:rsid w:val="00C00C4D"/>
    <w:rsid w:val="00C0464B"/>
    <w:rsid w:val="00C05BB3"/>
    <w:rsid w:val="00C11729"/>
    <w:rsid w:val="00C12996"/>
    <w:rsid w:val="00C35D69"/>
    <w:rsid w:val="00C36EDA"/>
    <w:rsid w:val="00C40CFE"/>
    <w:rsid w:val="00C510EF"/>
    <w:rsid w:val="00C6008A"/>
    <w:rsid w:val="00C6037B"/>
    <w:rsid w:val="00C6154C"/>
    <w:rsid w:val="00C632C2"/>
    <w:rsid w:val="00C64730"/>
    <w:rsid w:val="00C668D5"/>
    <w:rsid w:val="00C66D8C"/>
    <w:rsid w:val="00C70C1E"/>
    <w:rsid w:val="00C75C6A"/>
    <w:rsid w:val="00C762CC"/>
    <w:rsid w:val="00C80571"/>
    <w:rsid w:val="00C8372B"/>
    <w:rsid w:val="00C84C0C"/>
    <w:rsid w:val="00C85701"/>
    <w:rsid w:val="00C857D7"/>
    <w:rsid w:val="00C964BD"/>
    <w:rsid w:val="00C97361"/>
    <w:rsid w:val="00C9777C"/>
    <w:rsid w:val="00C97CC0"/>
    <w:rsid w:val="00C97E7E"/>
    <w:rsid w:val="00CA3A9E"/>
    <w:rsid w:val="00CA54F9"/>
    <w:rsid w:val="00CA6429"/>
    <w:rsid w:val="00CB11E5"/>
    <w:rsid w:val="00CB5609"/>
    <w:rsid w:val="00CB59ED"/>
    <w:rsid w:val="00CB7937"/>
    <w:rsid w:val="00CC53F1"/>
    <w:rsid w:val="00CC6AE1"/>
    <w:rsid w:val="00CD0139"/>
    <w:rsid w:val="00CD2069"/>
    <w:rsid w:val="00CD3B0A"/>
    <w:rsid w:val="00CD4DA7"/>
    <w:rsid w:val="00CD4E4A"/>
    <w:rsid w:val="00CE0CD1"/>
    <w:rsid w:val="00CE140D"/>
    <w:rsid w:val="00CE5CC7"/>
    <w:rsid w:val="00CF6086"/>
    <w:rsid w:val="00CF7F1A"/>
    <w:rsid w:val="00D0170C"/>
    <w:rsid w:val="00D06805"/>
    <w:rsid w:val="00D207DE"/>
    <w:rsid w:val="00D24467"/>
    <w:rsid w:val="00D2510B"/>
    <w:rsid w:val="00D27066"/>
    <w:rsid w:val="00D33822"/>
    <w:rsid w:val="00D355A3"/>
    <w:rsid w:val="00D4177B"/>
    <w:rsid w:val="00D421B6"/>
    <w:rsid w:val="00D43797"/>
    <w:rsid w:val="00D45A1C"/>
    <w:rsid w:val="00D45B89"/>
    <w:rsid w:val="00D467C4"/>
    <w:rsid w:val="00D5347F"/>
    <w:rsid w:val="00D54EF2"/>
    <w:rsid w:val="00D56240"/>
    <w:rsid w:val="00D63159"/>
    <w:rsid w:val="00D669D3"/>
    <w:rsid w:val="00D76C5E"/>
    <w:rsid w:val="00D955F0"/>
    <w:rsid w:val="00D96F7D"/>
    <w:rsid w:val="00DB2164"/>
    <w:rsid w:val="00DC054C"/>
    <w:rsid w:val="00DC43F2"/>
    <w:rsid w:val="00DC6ABE"/>
    <w:rsid w:val="00DC71CE"/>
    <w:rsid w:val="00DC7EE2"/>
    <w:rsid w:val="00DD19D5"/>
    <w:rsid w:val="00DD1F04"/>
    <w:rsid w:val="00DD2675"/>
    <w:rsid w:val="00DD283C"/>
    <w:rsid w:val="00DD5574"/>
    <w:rsid w:val="00E03F89"/>
    <w:rsid w:val="00E1507B"/>
    <w:rsid w:val="00E16393"/>
    <w:rsid w:val="00E16A91"/>
    <w:rsid w:val="00E21A8C"/>
    <w:rsid w:val="00E26519"/>
    <w:rsid w:val="00E34FDE"/>
    <w:rsid w:val="00E35AB2"/>
    <w:rsid w:val="00E61536"/>
    <w:rsid w:val="00E62E28"/>
    <w:rsid w:val="00E656A5"/>
    <w:rsid w:val="00E663A5"/>
    <w:rsid w:val="00E82565"/>
    <w:rsid w:val="00E84B3E"/>
    <w:rsid w:val="00E914D2"/>
    <w:rsid w:val="00E92A5D"/>
    <w:rsid w:val="00E92F45"/>
    <w:rsid w:val="00E95675"/>
    <w:rsid w:val="00E96D64"/>
    <w:rsid w:val="00E9795E"/>
    <w:rsid w:val="00EA0B4D"/>
    <w:rsid w:val="00EA163B"/>
    <w:rsid w:val="00EB057B"/>
    <w:rsid w:val="00EB506B"/>
    <w:rsid w:val="00EC3146"/>
    <w:rsid w:val="00EC55E4"/>
    <w:rsid w:val="00ED017E"/>
    <w:rsid w:val="00EE0E70"/>
    <w:rsid w:val="00EE78DD"/>
    <w:rsid w:val="00EF0E08"/>
    <w:rsid w:val="00F00B4E"/>
    <w:rsid w:val="00F00CF0"/>
    <w:rsid w:val="00F06DD3"/>
    <w:rsid w:val="00F13929"/>
    <w:rsid w:val="00F17343"/>
    <w:rsid w:val="00F26AF7"/>
    <w:rsid w:val="00F305CF"/>
    <w:rsid w:val="00F30A0B"/>
    <w:rsid w:val="00F368EE"/>
    <w:rsid w:val="00F415C8"/>
    <w:rsid w:val="00F4183A"/>
    <w:rsid w:val="00F52AF8"/>
    <w:rsid w:val="00F5337B"/>
    <w:rsid w:val="00F54284"/>
    <w:rsid w:val="00F66693"/>
    <w:rsid w:val="00F81BE5"/>
    <w:rsid w:val="00F843EF"/>
    <w:rsid w:val="00F91A14"/>
    <w:rsid w:val="00F91C8D"/>
    <w:rsid w:val="00F9337F"/>
    <w:rsid w:val="00FA0206"/>
    <w:rsid w:val="00FA0789"/>
    <w:rsid w:val="00FA17E7"/>
    <w:rsid w:val="00FA32A5"/>
    <w:rsid w:val="00FA609E"/>
    <w:rsid w:val="00FB0C45"/>
    <w:rsid w:val="00FB0F5E"/>
    <w:rsid w:val="00FB0F83"/>
    <w:rsid w:val="00FB5C97"/>
    <w:rsid w:val="00FC125A"/>
    <w:rsid w:val="00FC3FDA"/>
    <w:rsid w:val="00FC70BC"/>
    <w:rsid w:val="00FD15F3"/>
    <w:rsid w:val="00FE257A"/>
    <w:rsid w:val="00FE4F12"/>
    <w:rsid w:val="00FE6996"/>
    <w:rsid w:val="00FE6F1B"/>
    <w:rsid w:val="00FF05A4"/>
    <w:rsid w:val="00FF3041"/>
    <w:rsid w:val="00FF651E"/>
    <w:rsid w:val="00FF6ADF"/>
    <w:rsid w:val="57E1A3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D12B4A"/>
  <w15:chartTrackingRefBased/>
  <w15:docId w15:val="{E56D2E3B-4CA8-4EA1-A9F0-22395A1A7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5407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5407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unhideWhenUsed/>
    <w:qFormat/>
    <w:rsid w:val="0054071B"/>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unhideWhenUsed/>
    <w:qFormat/>
    <w:rsid w:val="0054071B"/>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54071B"/>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54071B"/>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4071B"/>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4071B"/>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4071B"/>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4071B"/>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54071B"/>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rsid w:val="0054071B"/>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rsid w:val="0054071B"/>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54071B"/>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54071B"/>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4071B"/>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4071B"/>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54071B"/>
    <w:rPr>
      <w:rFonts w:eastAsiaTheme="majorEastAsia" w:cstheme="majorBidi"/>
      <w:color w:val="272727" w:themeColor="text1" w:themeTint="D8"/>
    </w:rPr>
  </w:style>
  <w:style w:type="paragraph" w:styleId="Titre">
    <w:name w:val="Title"/>
    <w:basedOn w:val="Normal"/>
    <w:next w:val="Normal"/>
    <w:link w:val="TitreCar"/>
    <w:uiPriority w:val="10"/>
    <w:qFormat/>
    <w:rsid w:val="005407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4071B"/>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4071B"/>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4071B"/>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4071B"/>
    <w:pPr>
      <w:spacing w:before="160"/>
      <w:jc w:val="center"/>
    </w:pPr>
    <w:rPr>
      <w:i/>
      <w:iCs/>
      <w:color w:val="404040" w:themeColor="text1" w:themeTint="BF"/>
    </w:rPr>
  </w:style>
  <w:style w:type="character" w:customStyle="1" w:styleId="CitationCar">
    <w:name w:val="Citation Car"/>
    <w:basedOn w:val="Policepardfaut"/>
    <w:link w:val="Citation"/>
    <w:uiPriority w:val="29"/>
    <w:rsid w:val="0054071B"/>
    <w:rPr>
      <w:i/>
      <w:iCs/>
      <w:color w:val="404040" w:themeColor="text1" w:themeTint="BF"/>
    </w:rPr>
  </w:style>
  <w:style w:type="paragraph" w:styleId="Paragraphedeliste">
    <w:name w:val="List Paragraph"/>
    <w:aliases w:val="Normal 2,List Paragraph (numbered (a)),Main numbered paragraph,Table of contents numbered,List_Paragraph,Multilevel para_II,List Paragraph1,List Paragraph 1 Char,List Paragraph 1,List Paragraph-ExecSummary,Akapit z listą BS,Bullets"/>
    <w:basedOn w:val="Normal"/>
    <w:link w:val="ParagraphedelisteCar"/>
    <w:uiPriority w:val="34"/>
    <w:qFormat/>
    <w:rsid w:val="0054071B"/>
    <w:pPr>
      <w:ind w:left="720"/>
      <w:contextualSpacing/>
    </w:pPr>
  </w:style>
  <w:style w:type="character" w:styleId="Accentuationintense">
    <w:name w:val="Intense Emphasis"/>
    <w:basedOn w:val="Policepardfaut"/>
    <w:uiPriority w:val="21"/>
    <w:qFormat/>
    <w:rsid w:val="0054071B"/>
    <w:rPr>
      <w:i/>
      <w:iCs/>
      <w:color w:val="0F4761" w:themeColor="accent1" w:themeShade="BF"/>
    </w:rPr>
  </w:style>
  <w:style w:type="paragraph" w:styleId="Citationintense">
    <w:name w:val="Intense Quote"/>
    <w:basedOn w:val="Normal"/>
    <w:next w:val="Normal"/>
    <w:link w:val="CitationintenseCar"/>
    <w:uiPriority w:val="30"/>
    <w:qFormat/>
    <w:rsid w:val="005407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54071B"/>
    <w:rPr>
      <w:i/>
      <w:iCs/>
      <w:color w:val="0F4761" w:themeColor="accent1" w:themeShade="BF"/>
    </w:rPr>
  </w:style>
  <w:style w:type="character" w:styleId="Rfrenceintense">
    <w:name w:val="Intense Reference"/>
    <w:basedOn w:val="Policepardfaut"/>
    <w:uiPriority w:val="32"/>
    <w:qFormat/>
    <w:rsid w:val="0054071B"/>
    <w:rPr>
      <w:b/>
      <w:bCs/>
      <w:smallCaps/>
      <w:color w:val="0F4761" w:themeColor="accent1" w:themeShade="BF"/>
      <w:spacing w:val="5"/>
    </w:rPr>
  </w:style>
  <w:style w:type="paragraph" w:styleId="Pieddepage">
    <w:name w:val="footer"/>
    <w:basedOn w:val="Normal"/>
    <w:link w:val="PieddepageCar"/>
    <w:uiPriority w:val="99"/>
    <w:unhideWhenUsed/>
    <w:rsid w:val="00587B30"/>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587B30"/>
  </w:style>
  <w:style w:type="character" w:styleId="Marquedecommentaire">
    <w:name w:val="annotation reference"/>
    <w:basedOn w:val="Policepardfaut"/>
    <w:uiPriority w:val="99"/>
    <w:semiHidden/>
    <w:unhideWhenUsed/>
    <w:rsid w:val="006E7599"/>
    <w:rPr>
      <w:sz w:val="16"/>
      <w:szCs w:val="16"/>
    </w:rPr>
  </w:style>
  <w:style w:type="paragraph" w:styleId="Commentaire">
    <w:name w:val="annotation text"/>
    <w:basedOn w:val="Normal"/>
    <w:link w:val="CommentaireCar"/>
    <w:uiPriority w:val="99"/>
    <w:unhideWhenUsed/>
    <w:rsid w:val="006E7599"/>
    <w:pPr>
      <w:spacing w:line="240" w:lineRule="auto"/>
    </w:pPr>
    <w:rPr>
      <w:sz w:val="20"/>
      <w:szCs w:val="20"/>
    </w:rPr>
  </w:style>
  <w:style w:type="character" w:customStyle="1" w:styleId="CommentaireCar">
    <w:name w:val="Commentaire Car"/>
    <w:basedOn w:val="Policepardfaut"/>
    <w:link w:val="Commentaire"/>
    <w:uiPriority w:val="99"/>
    <w:rsid w:val="006E7599"/>
    <w:rPr>
      <w:sz w:val="20"/>
      <w:szCs w:val="20"/>
    </w:rPr>
  </w:style>
  <w:style w:type="paragraph" w:styleId="Objetducommentaire">
    <w:name w:val="annotation subject"/>
    <w:basedOn w:val="Commentaire"/>
    <w:next w:val="Commentaire"/>
    <w:link w:val="ObjetducommentaireCar"/>
    <w:uiPriority w:val="99"/>
    <w:semiHidden/>
    <w:unhideWhenUsed/>
    <w:rsid w:val="006E7599"/>
    <w:rPr>
      <w:b/>
      <w:bCs/>
    </w:rPr>
  </w:style>
  <w:style w:type="character" w:customStyle="1" w:styleId="ObjetducommentaireCar">
    <w:name w:val="Objet du commentaire Car"/>
    <w:basedOn w:val="CommentaireCar"/>
    <w:link w:val="Objetducommentaire"/>
    <w:uiPriority w:val="99"/>
    <w:semiHidden/>
    <w:rsid w:val="006E7599"/>
    <w:rPr>
      <w:b/>
      <w:bCs/>
      <w:sz w:val="20"/>
      <w:szCs w:val="20"/>
    </w:rPr>
  </w:style>
  <w:style w:type="character" w:customStyle="1" w:styleId="ParagraphedelisteCar">
    <w:name w:val="Paragraphe de liste Car"/>
    <w:aliases w:val="Normal 2 Car,List Paragraph (numbered (a)) Car,Main numbered paragraph Car,Table of contents numbered Car,List_Paragraph Car,Multilevel para_II Car,List Paragraph1 Car,List Paragraph 1 Char Car,List Paragraph 1 Car,Bullets Car"/>
    <w:basedOn w:val="Policepardfaut"/>
    <w:link w:val="Paragraphedeliste"/>
    <w:uiPriority w:val="34"/>
    <w:qFormat/>
    <w:rsid w:val="002979DE"/>
  </w:style>
  <w:style w:type="paragraph" w:styleId="En-tte">
    <w:name w:val="header"/>
    <w:basedOn w:val="Normal"/>
    <w:link w:val="En-tteCar"/>
    <w:uiPriority w:val="99"/>
    <w:unhideWhenUsed/>
    <w:rsid w:val="00ED017E"/>
    <w:pPr>
      <w:tabs>
        <w:tab w:val="center" w:pos="4680"/>
        <w:tab w:val="right" w:pos="9360"/>
      </w:tabs>
      <w:spacing w:after="0" w:line="240" w:lineRule="auto"/>
    </w:pPr>
  </w:style>
  <w:style w:type="character" w:customStyle="1" w:styleId="En-tteCar">
    <w:name w:val="En-tête Car"/>
    <w:basedOn w:val="Policepardfaut"/>
    <w:link w:val="En-tte"/>
    <w:uiPriority w:val="99"/>
    <w:rsid w:val="00ED017E"/>
  </w:style>
  <w:style w:type="paragraph" w:styleId="Rvision">
    <w:name w:val="Revision"/>
    <w:hidden/>
    <w:uiPriority w:val="99"/>
    <w:semiHidden/>
    <w:rsid w:val="0025290E"/>
    <w:pPr>
      <w:spacing w:after="0" w:line="240" w:lineRule="auto"/>
    </w:pPr>
  </w:style>
  <w:style w:type="paragraph" w:styleId="Notedebasdepage">
    <w:name w:val="footnote text"/>
    <w:basedOn w:val="Normal"/>
    <w:link w:val="NotedebasdepageCar"/>
    <w:uiPriority w:val="99"/>
    <w:semiHidden/>
    <w:unhideWhenUsed/>
    <w:rsid w:val="00AB42F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B42FD"/>
    <w:rPr>
      <w:sz w:val="20"/>
      <w:szCs w:val="20"/>
    </w:rPr>
  </w:style>
  <w:style w:type="character" w:styleId="Appelnotedebasdep">
    <w:name w:val="footnote reference"/>
    <w:basedOn w:val="Policepardfaut"/>
    <w:uiPriority w:val="99"/>
    <w:semiHidden/>
    <w:unhideWhenUsed/>
    <w:rsid w:val="00AB42FD"/>
    <w:rPr>
      <w:vertAlign w:val="superscript"/>
    </w:rPr>
  </w:style>
  <w:style w:type="character" w:styleId="Lienhypertexte">
    <w:name w:val="Hyperlink"/>
    <w:basedOn w:val="Policepardfaut"/>
    <w:uiPriority w:val="99"/>
    <w:unhideWhenUsed/>
    <w:rsid w:val="00AB42FD"/>
    <w:rPr>
      <w:color w:val="467886" w:themeColor="hyperlink"/>
      <w:u w:val="single"/>
    </w:rPr>
  </w:style>
  <w:style w:type="character" w:styleId="Mentionnonrsolue">
    <w:name w:val="Unresolved Mention"/>
    <w:basedOn w:val="Policepardfaut"/>
    <w:uiPriority w:val="99"/>
    <w:semiHidden/>
    <w:unhideWhenUsed/>
    <w:rsid w:val="0097532C"/>
    <w:rPr>
      <w:color w:val="605E5C"/>
      <w:shd w:val="clear" w:color="auto" w:fill="E1DFDD"/>
    </w:rPr>
  </w:style>
  <w:style w:type="table" w:styleId="Grilledutableau">
    <w:name w:val="Table Grid"/>
    <w:basedOn w:val="TableauNormal"/>
    <w:uiPriority w:val="39"/>
    <w:rsid w:val="008B1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27066"/>
    <w:pPr>
      <w:spacing w:before="100" w:beforeAutospacing="1" w:after="100" w:afterAutospacing="1" w:line="240" w:lineRule="auto"/>
    </w:pPr>
    <w:rPr>
      <w:rFonts w:ascii="Times New Roman" w:eastAsia="Times New Roman" w:hAnsi="Times New Roman" w:cs="Times New Roman"/>
      <w:kern w:val="0"/>
      <w:lang w:val="en-GB" w:eastAsia="fr-FR"/>
      <w14:ligatures w14:val="none"/>
    </w:rPr>
  </w:style>
  <w:style w:type="character" w:customStyle="1" w:styleId="texttaille12">
    <w:name w:val="text_taille_12"/>
    <w:basedOn w:val="Policepardfaut"/>
    <w:rsid w:val="00D27066"/>
  </w:style>
  <w:style w:type="character" w:styleId="lev">
    <w:name w:val="Strong"/>
    <w:basedOn w:val="Policepardfaut"/>
    <w:uiPriority w:val="22"/>
    <w:qFormat/>
    <w:rsid w:val="00D27066"/>
    <w:rPr>
      <w:b/>
      <w:bCs/>
    </w:rPr>
  </w:style>
  <w:style w:type="character" w:customStyle="1" w:styleId="mainsitecolor">
    <w:name w:val="main_site_color"/>
    <w:basedOn w:val="Policepardfaut"/>
    <w:rsid w:val="00D270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d.fr/subventions" TargetMode="External"/><Relationship Id="rId13" Type="http://schemas.openxmlformats.org/officeDocument/2006/relationships/hyperlink" Target="http://www.proparco.f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roparco.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afd.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fd.fr/home/C2D" TargetMode="External"/><Relationship Id="rId5" Type="http://schemas.openxmlformats.org/officeDocument/2006/relationships/webSettings" Target="webSettings.xml"/><Relationship Id="rId15" Type="http://schemas.openxmlformats.org/officeDocument/2006/relationships/hyperlink" Target="http://www.ffem.fr" TargetMode="External"/><Relationship Id="rId10" Type="http://schemas.openxmlformats.org/officeDocument/2006/relationships/hyperlink" Target="http://www.afd.fr/home/garantiesAFD"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afd.fr/home/AFD/op/edit/home/prets" TargetMode="External"/><Relationship Id="rId14" Type="http://schemas.openxmlformats.org/officeDocument/2006/relationships/hyperlink" Target="http://www.expertisefrance.fr"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treasury.gov.za/comm_media/press/2025/Annexure%20A%20Disaster%20Response%20Financing%20Strategy%20v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BCC187-D3BB-4180-8BCE-462CB7DF7B2F}">
  <ds:schemaRefs>
    <ds:schemaRef ds:uri="http://schemas.openxmlformats.org/officeDocument/2006/bibliography"/>
  </ds:schemaRefs>
</ds:datastoreItem>
</file>

<file path=docMetadata/LabelInfo.xml><?xml version="1.0" encoding="utf-8"?>
<clbl:labelList xmlns:clbl="http://schemas.microsoft.com/office/2020/mipLabelMetadata">
  <clbl:label id="{31a2fec0-266b-4c67-b56e-2796d8f59c36}" enabled="0" method="" siteId="{31a2fec0-266b-4c67-b56e-2796d8f59c36}"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8</Pages>
  <Words>3600</Words>
  <Characters>19804</Characters>
  <Application>Microsoft Office Word</Application>
  <DocSecurity>0</DocSecurity>
  <Lines>165</Lines>
  <Paragraphs>46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WBG</Company>
  <LinksUpToDate>false</LinksUpToDate>
  <CharactersWithSpaces>23358</CharactersWithSpaces>
  <SharedDoc>false</SharedDoc>
  <HLinks>
    <vt:vector size="6" baseType="variant">
      <vt:variant>
        <vt:i4>65569</vt:i4>
      </vt:variant>
      <vt:variant>
        <vt:i4>0</vt:i4>
      </vt:variant>
      <vt:variant>
        <vt:i4>0</vt:i4>
      </vt:variant>
      <vt:variant>
        <vt:i4>5</vt:i4>
      </vt:variant>
      <vt:variant>
        <vt:lpwstr>https://www.treasury.gov.za/comm_media/press/2025/Annexure A Disaster Response Financing Strategy v8.pdf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Ann Souch</dc:creator>
  <cp:keywords/>
  <dc:description/>
  <cp:lastModifiedBy>BOULAY Céline</cp:lastModifiedBy>
  <cp:revision>3</cp:revision>
  <cp:lastPrinted>2026-01-13T15:12:00Z</cp:lastPrinted>
  <dcterms:created xsi:type="dcterms:W3CDTF">2026-01-23T10:40:00Z</dcterms:created>
  <dcterms:modified xsi:type="dcterms:W3CDTF">2026-01-23T10:42:00Z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34111ad0,4042a5d5,23b4b586</vt:lpwstr>
  </property>
  <property fmtid="{D5CDD505-2E9C-101B-9397-08002B2CF9AE}" pid="3" name="ClassificationContentMarkingFooterFontProps">
    <vt:lpwstr>#000000,10,Aptos</vt:lpwstr>
  </property>
  <property fmtid="{D5CDD505-2E9C-101B-9397-08002B2CF9AE}" pid="4" name="ClassificationContentMarkingFooterText">
    <vt:lpwstr>Official Use Only</vt:lpwstr>
  </property>
  <property fmtid="{D5CDD505-2E9C-101B-9397-08002B2CF9AE}" pid="5" name="MSIP_Label_f1bf45b6-5649-4236-82a3-f45024cd282e_Enabled">
    <vt:lpwstr>true</vt:lpwstr>
  </property>
  <property fmtid="{D5CDD505-2E9C-101B-9397-08002B2CF9AE}" pid="6" name="MSIP_Label_f1bf45b6-5649-4236-82a3-f45024cd282e_SetDate">
    <vt:lpwstr>2026-01-22T12:35:24Z</vt:lpwstr>
  </property>
  <property fmtid="{D5CDD505-2E9C-101B-9397-08002B2CF9AE}" pid="7" name="MSIP_Label_f1bf45b6-5649-4236-82a3-f45024cd282e_Method">
    <vt:lpwstr>Privileged</vt:lpwstr>
  </property>
  <property fmtid="{D5CDD505-2E9C-101B-9397-08002B2CF9AE}" pid="8" name="MSIP_Label_f1bf45b6-5649-4236-82a3-f45024cd282e_Name">
    <vt:lpwstr>Official Use Only</vt:lpwstr>
  </property>
  <property fmtid="{D5CDD505-2E9C-101B-9397-08002B2CF9AE}" pid="9" name="MSIP_Label_f1bf45b6-5649-4236-82a3-f45024cd282e_SiteId">
    <vt:lpwstr>31a2fec0-266b-4c67-b56e-2796d8f59c36</vt:lpwstr>
  </property>
  <property fmtid="{D5CDD505-2E9C-101B-9397-08002B2CF9AE}" pid="10" name="MSIP_Label_f1bf45b6-5649-4236-82a3-f45024cd282e_ActionId">
    <vt:lpwstr>33dd0079-c227-499a-aa55-834fa6d9e508</vt:lpwstr>
  </property>
  <property fmtid="{D5CDD505-2E9C-101B-9397-08002B2CF9AE}" pid="11" name="MSIP_Label_f1bf45b6-5649-4236-82a3-f45024cd282e_ContentBits">
    <vt:lpwstr>2</vt:lpwstr>
  </property>
  <property fmtid="{D5CDD505-2E9C-101B-9397-08002B2CF9AE}" pid="12" name="MSIP_Label_f1bf45b6-5649-4236-82a3-f45024cd282e_Tag">
    <vt:lpwstr>10, 2, 1, 1</vt:lpwstr>
  </property>
</Properties>
</file>