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C57A1" w14:textId="2A8A2BA9" w:rsidR="00D62C6E" w:rsidRDefault="003B10C3" w:rsidP="00D62C6E">
      <w:pPr>
        <w:jc w:val="center"/>
        <w:rPr>
          <w:b/>
          <w:sz w:val="40"/>
          <w:szCs w:val="40"/>
        </w:rPr>
      </w:pPr>
      <w:r>
        <w:rPr>
          <w:noProof/>
        </w:rPr>
        <w:drawing>
          <wp:anchor distT="0" distB="0" distL="114300" distR="114300" simplePos="0" relativeHeight="251657728" behindDoc="1" locked="0" layoutInCell="1" allowOverlap="1" wp14:anchorId="49D8AD5D" wp14:editId="5C2C4CC6">
            <wp:simplePos x="0" y="0"/>
            <wp:positionH relativeFrom="column">
              <wp:posOffset>1361440</wp:posOffset>
            </wp:positionH>
            <wp:positionV relativeFrom="paragraph">
              <wp:posOffset>23495</wp:posOffset>
            </wp:positionV>
            <wp:extent cx="3338195" cy="1166495"/>
            <wp:effectExtent l="0" t="0" r="0" b="0"/>
            <wp:wrapNone/>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8195" cy="1166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DAAC1B" w14:textId="77777777" w:rsidR="00D62C6E" w:rsidRDefault="00D62C6E" w:rsidP="00D62C6E">
      <w:pPr>
        <w:jc w:val="center"/>
        <w:rPr>
          <w:b/>
          <w:sz w:val="40"/>
          <w:szCs w:val="40"/>
        </w:rPr>
      </w:pPr>
    </w:p>
    <w:p w14:paraId="5C0961F2" w14:textId="77777777" w:rsidR="00D62C6E" w:rsidRDefault="00D62C6E" w:rsidP="00D62C6E">
      <w:pPr>
        <w:jc w:val="center"/>
        <w:rPr>
          <w:b/>
          <w:sz w:val="40"/>
          <w:szCs w:val="40"/>
        </w:rPr>
      </w:pPr>
    </w:p>
    <w:p w14:paraId="6EFF6E75" w14:textId="77777777" w:rsidR="00D62C6E" w:rsidRDefault="00D62C6E" w:rsidP="00D62C6E">
      <w:pPr>
        <w:jc w:val="center"/>
        <w:rPr>
          <w:b/>
          <w:sz w:val="40"/>
          <w:szCs w:val="40"/>
        </w:rPr>
      </w:pPr>
    </w:p>
    <w:p w14:paraId="583D6DC5" w14:textId="77777777" w:rsidR="00D62C6E" w:rsidRPr="00F5269A" w:rsidRDefault="00D62C6E" w:rsidP="00D62C6E">
      <w:pPr>
        <w:jc w:val="center"/>
        <w:rPr>
          <w:b/>
          <w:sz w:val="40"/>
          <w:szCs w:val="40"/>
        </w:rPr>
      </w:pPr>
    </w:p>
    <w:p w14:paraId="47A914BA" w14:textId="77777777" w:rsidR="00D62C6E" w:rsidRPr="00F5269A" w:rsidRDefault="00D62C6E" w:rsidP="00D62C6E">
      <w:pPr>
        <w:jc w:val="center"/>
        <w:rPr>
          <w:b/>
          <w:sz w:val="40"/>
          <w:szCs w:val="40"/>
        </w:rPr>
      </w:pPr>
    </w:p>
    <w:p w14:paraId="3C8D0E92" w14:textId="77777777" w:rsidR="00D62C6E" w:rsidRPr="00FB0837" w:rsidRDefault="00D62C6E" w:rsidP="00D62C6E">
      <w:pPr>
        <w:jc w:val="center"/>
        <w:rPr>
          <w:rFonts w:cs="Arial"/>
          <w:b/>
          <w:sz w:val="32"/>
          <w:szCs w:val="32"/>
        </w:rPr>
      </w:pPr>
      <w:r w:rsidRPr="007A2201">
        <w:rPr>
          <w:rFonts w:cs="Arial"/>
          <w:b/>
          <w:sz w:val="32"/>
          <w:szCs w:val="32"/>
        </w:rPr>
        <w:t>Groupe Hospitalier Rance Emeraude</w:t>
      </w:r>
    </w:p>
    <w:p w14:paraId="0A74B934" w14:textId="77777777" w:rsidR="00D62C6E" w:rsidRPr="007A2201" w:rsidRDefault="00D62C6E" w:rsidP="00D62C6E">
      <w:pPr>
        <w:jc w:val="center"/>
        <w:rPr>
          <w:rFonts w:cs="Arial"/>
          <w:bCs/>
          <w:sz w:val="28"/>
          <w:szCs w:val="28"/>
        </w:rPr>
      </w:pPr>
      <w:r w:rsidRPr="007A2201">
        <w:rPr>
          <w:rFonts w:cs="Arial"/>
          <w:bCs/>
          <w:sz w:val="28"/>
          <w:szCs w:val="28"/>
        </w:rPr>
        <w:t xml:space="preserve">1 rue de la Marne </w:t>
      </w:r>
    </w:p>
    <w:p w14:paraId="3AF1C247" w14:textId="77777777" w:rsidR="00D62C6E" w:rsidRPr="00FB0837" w:rsidRDefault="00D62C6E" w:rsidP="00D62C6E">
      <w:pPr>
        <w:jc w:val="center"/>
        <w:rPr>
          <w:rFonts w:cs="Arial"/>
          <w:bCs/>
          <w:sz w:val="28"/>
          <w:szCs w:val="28"/>
        </w:rPr>
      </w:pPr>
      <w:r w:rsidRPr="00FB0837">
        <w:rPr>
          <w:rFonts w:cs="Arial"/>
          <w:bCs/>
          <w:sz w:val="28"/>
          <w:szCs w:val="28"/>
        </w:rPr>
        <w:t>35400 - SAINT-MALO</w:t>
      </w:r>
    </w:p>
    <w:p w14:paraId="67B6F515" w14:textId="77777777" w:rsidR="00D62C6E" w:rsidRPr="00F00722" w:rsidRDefault="00D62C6E" w:rsidP="00D62C6E">
      <w:pPr>
        <w:jc w:val="center"/>
        <w:rPr>
          <w:rFonts w:cs="Arial"/>
          <w:b/>
          <w:sz w:val="28"/>
          <w:szCs w:val="28"/>
        </w:rPr>
      </w:pPr>
    </w:p>
    <w:p w14:paraId="70E517EB" w14:textId="77777777" w:rsidR="00D62C6E" w:rsidRDefault="00D62C6E" w:rsidP="00D62C6E">
      <w:pPr>
        <w:jc w:val="center"/>
        <w:rPr>
          <w:rFonts w:cs="Arial"/>
          <w:b/>
          <w:sz w:val="28"/>
          <w:szCs w:val="28"/>
        </w:rPr>
      </w:pPr>
    </w:p>
    <w:p w14:paraId="1FD384CA" w14:textId="77777777" w:rsidR="00D62C6E" w:rsidRPr="00617EC6" w:rsidRDefault="00D62C6E" w:rsidP="00D62C6E">
      <w:pPr>
        <w:jc w:val="center"/>
        <w:rPr>
          <w:rFonts w:cs="Arial"/>
          <w:b/>
          <w:sz w:val="28"/>
          <w:szCs w:val="28"/>
        </w:rPr>
      </w:pPr>
    </w:p>
    <w:p w14:paraId="1099FAF3" w14:textId="77777777" w:rsidR="00D62C6E" w:rsidRPr="00F00722" w:rsidRDefault="00D62C6E" w:rsidP="00D62C6E">
      <w:pPr>
        <w:jc w:val="center"/>
        <w:rPr>
          <w:sz w:val="32"/>
          <w:szCs w:val="32"/>
        </w:rPr>
      </w:pPr>
      <w:bookmarkStart w:id="0" w:name="_Hlk108615633"/>
      <w:r w:rsidRPr="00F00722">
        <w:rPr>
          <w:sz w:val="32"/>
          <w:szCs w:val="32"/>
        </w:rPr>
        <w:t>Accord-cadre</w:t>
      </w:r>
      <w:bookmarkEnd w:id="0"/>
      <w:r w:rsidRPr="00F00722">
        <w:rPr>
          <w:sz w:val="32"/>
          <w:szCs w:val="32"/>
        </w:rPr>
        <w:t xml:space="preserve"> à bons de commandes mono-attributaire de fournitures</w:t>
      </w:r>
    </w:p>
    <w:p w14:paraId="7E3CED47" w14:textId="77777777" w:rsidR="00D62C6E" w:rsidRPr="00F00722" w:rsidRDefault="00D62C6E" w:rsidP="00D62C6E">
      <w:pPr>
        <w:spacing w:after="160" w:line="259" w:lineRule="auto"/>
        <w:jc w:val="center"/>
        <w:rPr>
          <w:b/>
          <w:bCs/>
          <w:sz w:val="32"/>
          <w:szCs w:val="32"/>
        </w:rPr>
      </w:pPr>
    </w:p>
    <w:p w14:paraId="0267B50F" w14:textId="77777777" w:rsidR="00D62C6E" w:rsidRPr="00F00722" w:rsidRDefault="00D62C6E" w:rsidP="00D62C6E">
      <w:pPr>
        <w:spacing w:after="160" w:line="259" w:lineRule="auto"/>
        <w:jc w:val="center"/>
        <w:rPr>
          <w:b/>
          <w:bCs/>
          <w:sz w:val="32"/>
          <w:szCs w:val="32"/>
        </w:rPr>
      </w:pPr>
    </w:p>
    <w:p w14:paraId="5F99A217" w14:textId="77777777" w:rsidR="00D62C6E" w:rsidRPr="00F00722" w:rsidRDefault="00D62C6E" w:rsidP="00D62C6E">
      <w:pPr>
        <w:spacing w:after="160" w:line="259" w:lineRule="auto"/>
        <w:jc w:val="center"/>
        <w:rPr>
          <w:b/>
          <w:bCs/>
          <w:sz w:val="32"/>
          <w:szCs w:val="32"/>
        </w:rPr>
      </w:pPr>
    </w:p>
    <w:p w14:paraId="23EC3B8E" w14:textId="77777777" w:rsidR="00D62C6E" w:rsidRPr="00B21A27" w:rsidRDefault="00D62C6E" w:rsidP="00D62C6E">
      <w:pPr>
        <w:pBdr>
          <w:top w:val="single" w:sz="24" w:space="1" w:color="04A49C"/>
          <w:left w:val="single" w:sz="24" w:space="4" w:color="04A49C"/>
          <w:bottom w:val="single" w:sz="24" w:space="1" w:color="04A49C"/>
          <w:right w:val="single" w:sz="24" w:space="4" w:color="04A49C"/>
        </w:pBdr>
        <w:spacing w:after="160" w:line="259" w:lineRule="auto"/>
        <w:jc w:val="center"/>
        <w:rPr>
          <w:rFonts w:ascii="Aptos" w:hAnsi="Aptos" w:cs="Aptos"/>
          <w:b/>
          <w:color w:val="04A49C"/>
          <w:sz w:val="40"/>
          <w:szCs w:val="40"/>
          <w:lang w:eastAsia="fr-FR"/>
        </w:rPr>
      </w:pPr>
      <w:r w:rsidRPr="00B21A27">
        <w:rPr>
          <w:rFonts w:ascii="Aptos" w:hAnsi="Aptos" w:cs="Aptos"/>
          <w:b/>
          <w:color w:val="04A49C"/>
          <w:sz w:val="40"/>
          <w:szCs w:val="40"/>
          <w:lang w:eastAsia="fr-FR"/>
        </w:rPr>
        <w:t>Appel d'offres ouvert</w:t>
      </w:r>
    </w:p>
    <w:p w14:paraId="38B56FFB" w14:textId="77777777" w:rsidR="00D62C6E" w:rsidRPr="00B21A27" w:rsidRDefault="00D62C6E" w:rsidP="00D62C6E">
      <w:pPr>
        <w:pBdr>
          <w:top w:val="single" w:sz="24" w:space="1" w:color="04A49C"/>
          <w:left w:val="single" w:sz="24" w:space="4" w:color="04A49C"/>
          <w:bottom w:val="single" w:sz="24" w:space="1" w:color="04A49C"/>
          <w:right w:val="single" w:sz="24" w:space="4" w:color="04A49C"/>
        </w:pBdr>
        <w:spacing w:after="160" w:line="259" w:lineRule="auto"/>
        <w:jc w:val="center"/>
        <w:rPr>
          <w:rFonts w:ascii="Aptos" w:hAnsi="Aptos" w:cs="Aptos"/>
          <w:b/>
          <w:color w:val="04A49C"/>
          <w:sz w:val="40"/>
          <w:szCs w:val="40"/>
          <w:lang w:eastAsia="fr-FR"/>
        </w:rPr>
      </w:pPr>
    </w:p>
    <w:p w14:paraId="2395CF45" w14:textId="77777777" w:rsidR="00D62C6E" w:rsidRPr="00B21A27" w:rsidRDefault="00D62C6E" w:rsidP="00D62C6E">
      <w:pPr>
        <w:pBdr>
          <w:top w:val="single" w:sz="24" w:space="1" w:color="04A49C"/>
          <w:left w:val="single" w:sz="24" w:space="4" w:color="04A49C"/>
          <w:bottom w:val="single" w:sz="24" w:space="1" w:color="04A49C"/>
          <w:right w:val="single" w:sz="24" w:space="4" w:color="04A49C"/>
        </w:pBdr>
        <w:suppressAutoHyphens/>
        <w:spacing w:after="160" w:line="259" w:lineRule="auto"/>
        <w:jc w:val="center"/>
        <w:rPr>
          <w:rFonts w:ascii="Aptos" w:hAnsi="Aptos" w:cs="Aptos"/>
          <w:b/>
          <w:color w:val="04A49C"/>
          <w:sz w:val="40"/>
          <w:szCs w:val="40"/>
          <w:lang w:eastAsia="fr-FR"/>
        </w:rPr>
      </w:pPr>
      <w:r w:rsidRPr="00B21A27">
        <w:rPr>
          <w:rFonts w:ascii="Aptos" w:hAnsi="Aptos" w:cs="Aptos"/>
          <w:b/>
          <w:color w:val="04A49C"/>
          <w:sz w:val="40"/>
          <w:szCs w:val="40"/>
          <w:lang w:eastAsia="fr-FR"/>
        </w:rPr>
        <w:t>Location, maintenance et gestion des moyens d'impression du Groupe Hospitalier Rance Emeraude</w:t>
      </w:r>
    </w:p>
    <w:p w14:paraId="453D50CC" w14:textId="77777777" w:rsidR="00D62C6E" w:rsidRPr="003C43E3" w:rsidRDefault="00D62C6E" w:rsidP="00D62C6E">
      <w:pPr>
        <w:spacing w:after="160" w:line="259" w:lineRule="auto"/>
        <w:jc w:val="center"/>
        <w:rPr>
          <w:sz w:val="32"/>
          <w:szCs w:val="32"/>
        </w:rPr>
      </w:pPr>
    </w:p>
    <w:p w14:paraId="5C518DEE" w14:textId="77777777" w:rsidR="00D62C6E" w:rsidRPr="003C43E3" w:rsidRDefault="00D62C6E" w:rsidP="00D62C6E">
      <w:pPr>
        <w:spacing w:after="160" w:line="259" w:lineRule="auto"/>
        <w:jc w:val="center"/>
        <w:rPr>
          <w:sz w:val="32"/>
          <w:szCs w:val="32"/>
        </w:rPr>
      </w:pPr>
    </w:p>
    <w:p w14:paraId="3FBECBE9" w14:textId="77777777" w:rsidR="00D62C6E" w:rsidRDefault="007A2201" w:rsidP="00D62C6E">
      <w:pPr>
        <w:spacing w:after="160" w:line="259" w:lineRule="auto"/>
        <w:jc w:val="center"/>
        <w:rPr>
          <w:b/>
          <w:bCs/>
          <w:sz w:val="32"/>
          <w:szCs w:val="32"/>
        </w:rPr>
      </w:pPr>
      <w:r w:rsidRPr="00B21A27">
        <w:rPr>
          <w:b/>
          <w:sz w:val="40"/>
          <w:szCs w:val="40"/>
          <w:u w:val="single"/>
        </w:rPr>
        <w:t>RÈGLEMENT</w:t>
      </w:r>
      <w:r w:rsidR="00D62C6E" w:rsidRPr="00B21A27">
        <w:rPr>
          <w:b/>
          <w:sz w:val="40"/>
          <w:szCs w:val="40"/>
          <w:u w:val="single"/>
        </w:rPr>
        <w:t xml:space="preserve"> DE CONSULTATION</w:t>
      </w:r>
      <w:r w:rsidR="00D62C6E" w:rsidRPr="00B21A27">
        <w:rPr>
          <w:b/>
          <w:bCs/>
          <w:sz w:val="32"/>
          <w:szCs w:val="32"/>
        </w:rPr>
        <w:t xml:space="preserve"> </w:t>
      </w:r>
    </w:p>
    <w:p w14:paraId="15A18B6E" w14:textId="77777777" w:rsidR="00D62C6E" w:rsidRPr="00820AD7" w:rsidRDefault="00D62C6E" w:rsidP="00D62C6E">
      <w:pPr>
        <w:spacing w:after="160" w:line="259" w:lineRule="auto"/>
        <w:jc w:val="center"/>
        <w:rPr>
          <w:sz w:val="32"/>
          <w:szCs w:val="32"/>
        </w:rPr>
      </w:pPr>
    </w:p>
    <w:p w14:paraId="716EB002" w14:textId="77777777" w:rsidR="00D62C6E" w:rsidRDefault="00D62C6E" w:rsidP="00D62C6E">
      <w:pPr>
        <w:spacing w:after="160" w:line="259" w:lineRule="auto"/>
        <w:jc w:val="center"/>
        <w:rPr>
          <w:b/>
          <w:bCs/>
          <w:sz w:val="32"/>
          <w:szCs w:val="32"/>
        </w:rPr>
      </w:pPr>
    </w:p>
    <w:p w14:paraId="3E632DA5" w14:textId="77777777" w:rsidR="00D62C6E" w:rsidRPr="00B21A27" w:rsidRDefault="00D62C6E" w:rsidP="00D62C6E">
      <w:pPr>
        <w:spacing w:after="160" w:line="259" w:lineRule="auto"/>
        <w:jc w:val="center"/>
        <w:rPr>
          <w:b/>
          <w:bCs/>
          <w:color w:val="04A49C"/>
          <w:sz w:val="32"/>
          <w:szCs w:val="32"/>
          <w:u w:val="single"/>
        </w:rPr>
      </w:pPr>
      <w:r w:rsidRPr="00B21A27">
        <w:rPr>
          <w:b/>
          <w:bCs/>
          <w:color w:val="04A49C"/>
          <w:sz w:val="32"/>
          <w:szCs w:val="32"/>
          <w:u w:val="single"/>
        </w:rPr>
        <w:t>Date limite de remise des offres :</w:t>
      </w:r>
    </w:p>
    <w:p w14:paraId="7DDAE296" w14:textId="77777777" w:rsidR="00D62C6E" w:rsidRPr="00B21A27" w:rsidRDefault="0096522D" w:rsidP="00D62C6E">
      <w:pPr>
        <w:spacing w:after="160" w:line="254" w:lineRule="auto"/>
        <w:jc w:val="center"/>
        <w:rPr>
          <w:b/>
          <w:color w:val="04A49C"/>
          <w:sz w:val="32"/>
          <w:szCs w:val="32"/>
          <w:lang w:val="en-US"/>
        </w:rPr>
      </w:pPr>
      <w:r>
        <w:rPr>
          <w:b/>
          <w:color w:val="04A49C"/>
          <w:sz w:val="32"/>
          <w:szCs w:val="32"/>
          <w:u w:val="single"/>
          <w:lang w:val="en-US"/>
        </w:rPr>
        <w:t xml:space="preserve">Mardi </w:t>
      </w:r>
      <w:r w:rsidR="00D62C6E" w:rsidRPr="00B21A27">
        <w:rPr>
          <w:b/>
          <w:color w:val="04A49C"/>
          <w:sz w:val="32"/>
          <w:szCs w:val="32"/>
          <w:u w:val="single"/>
          <w:lang w:val="en-US"/>
        </w:rPr>
        <w:t>2</w:t>
      </w:r>
      <w:r>
        <w:rPr>
          <w:b/>
          <w:color w:val="04A49C"/>
          <w:sz w:val="32"/>
          <w:szCs w:val="32"/>
          <w:u w:val="single"/>
          <w:lang w:val="en-US"/>
        </w:rPr>
        <w:t>4</w:t>
      </w:r>
      <w:r w:rsidR="00D62C6E" w:rsidRPr="00B21A27">
        <w:rPr>
          <w:b/>
          <w:color w:val="04A49C"/>
          <w:sz w:val="32"/>
          <w:szCs w:val="32"/>
          <w:u w:val="single"/>
          <w:lang w:val="en-US"/>
        </w:rPr>
        <w:t> </w:t>
      </w:r>
      <w:r w:rsidR="00D62C6E" w:rsidRPr="0096522D">
        <w:rPr>
          <w:b/>
          <w:color w:val="04A49C"/>
          <w:sz w:val="32"/>
          <w:szCs w:val="32"/>
          <w:u w:val="single"/>
        </w:rPr>
        <w:t>février</w:t>
      </w:r>
      <w:r w:rsidR="00D62C6E" w:rsidRPr="00B21A27">
        <w:rPr>
          <w:b/>
          <w:color w:val="04A49C"/>
          <w:sz w:val="32"/>
          <w:szCs w:val="32"/>
          <w:u w:val="single"/>
          <w:lang w:val="en-US"/>
        </w:rPr>
        <w:t> 2026 à 17h00</w:t>
      </w:r>
    </w:p>
    <w:p w14:paraId="513397EA" w14:textId="77777777" w:rsidR="00D62C6E" w:rsidRPr="00F67884" w:rsidRDefault="00D62C6E" w:rsidP="00D62C6E">
      <w:pPr>
        <w:spacing w:after="160" w:line="259" w:lineRule="auto"/>
      </w:pPr>
      <w:r>
        <w:rPr>
          <w:b/>
          <w:bCs/>
          <w:sz w:val="32"/>
          <w:szCs w:val="32"/>
        </w:rPr>
        <w:br w:type="page"/>
      </w:r>
    </w:p>
    <w:tbl>
      <w:tblPr>
        <w:tblW w:w="1006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blLayout w:type="fixed"/>
        <w:tblLook w:val="04A0" w:firstRow="1" w:lastRow="0" w:firstColumn="1" w:lastColumn="0" w:noHBand="0" w:noVBand="1"/>
      </w:tblPr>
      <w:tblGrid>
        <w:gridCol w:w="1161"/>
        <w:gridCol w:w="8904"/>
      </w:tblGrid>
      <w:tr w:rsidR="00D62C6E" w:rsidRPr="00141405" w14:paraId="1CC33FAD" w14:textId="77777777" w:rsidTr="00D62C6E">
        <w:trPr>
          <w:trHeight w:val="57"/>
        </w:trPr>
        <w:tc>
          <w:tcPr>
            <w:tcW w:w="10065" w:type="dxa"/>
            <w:gridSpan w:val="2"/>
            <w:shd w:val="clear" w:color="auto" w:fill="04A49C"/>
          </w:tcPr>
          <w:p w14:paraId="4357DCED" w14:textId="77777777" w:rsidR="00D62C6E" w:rsidRPr="00141405" w:rsidRDefault="00D62C6E" w:rsidP="00D62C6E">
            <w:pPr>
              <w:spacing w:before="120" w:after="60"/>
              <w:jc w:val="center"/>
              <w:rPr>
                <w:rFonts w:cs="Times New Roman"/>
                <w:b/>
                <w:bCs/>
                <w:color w:val="FFFFFF"/>
                <w:sz w:val="28"/>
                <w:szCs w:val="28"/>
              </w:rPr>
            </w:pPr>
            <w:r w:rsidRPr="00141405">
              <w:rPr>
                <w:rFonts w:cs="Times New Roman"/>
                <w:b/>
                <w:bCs/>
                <w:color w:val="FFFFFF"/>
                <w:sz w:val="28"/>
                <w:szCs w:val="28"/>
              </w:rPr>
              <w:t>POINTS CLÉS DE LA PROCÉDURE</w:t>
            </w:r>
          </w:p>
        </w:tc>
      </w:tr>
      <w:tr w:rsidR="00D62C6E" w14:paraId="5ADCB9E1" w14:textId="77777777" w:rsidTr="00D62C6E">
        <w:trPr>
          <w:trHeight w:val="57"/>
        </w:trPr>
        <w:tc>
          <w:tcPr>
            <w:tcW w:w="1161" w:type="dxa"/>
            <w:shd w:val="clear" w:color="auto" w:fill="FFFFFF"/>
            <w:vAlign w:val="center"/>
          </w:tcPr>
          <w:p w14:paraId="096E7F95" w14:textId="34153268" w:rsidR="00D62C6E" w:rsidRDefault="003B10C3" w:rsidP="00D62C6E">
            <w:pPr>
              <w:shd w:val="clear" w:color="auto" w:fill="FFFFFF"/>
              <w:spacing w:after="60"/>
              <w:jc w:val="center"/>
              <w:rPr>
                <w:rFonts w:cs="Times New Roman"/>
              </w:rPr>
            </w:pPr>
            <w:r>
              <w:rPr>
                <w:noProof/>
              </w:rPr>
              <w:drawing>
                <wp:inline distT="0" distB="0" distL="0" distR="0" wp14:anchorId="187FA7A6" wp14:editId="1D49D24A">
                  <wp:extent cx="466725" cy="466725"/>
                  <wp:effectExtent l="0" t="0" r="0" b="0"/>
                  <wp:docPr id="1" name="Graphique 28" descr="Porte-bloc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8" descr="Porte-bloc avec un remplissage uni"/>
                          <pic:cNvPicPr>
                            <a:picLocks noChangeAspect="1" noChangeArrowheads="1"/>
                          </pic:cNvPicPr>
                        </pic:nvPicPr>
                        <pic:blipFill>
                          <a:blip r:embed="rId9">
                            <a:grayscl/>
                            <a:extLst>
                              <a:ext uri="{28A0092B-C50C-407E-A947-70E740481C1C}">
                                <a14:useLocalDpi xmlns:a14="http://schemas.microsoft.com/office/drawing/2010/main" val="0"/>
                              </a:ext>
                            </a:extLst>
                          </a:blip>
                          <a:srcRect l="-1511" t="-4259" r="-9819" b="-3966"/>
                          <a:stretch>
                            <a:fillRect/>
                          </a:stretch>
                        </pic:blipFill>
                        <pic:spPr bwMode="auto">
                          <a:xfrm>
                            <a:off x="0" y="0"/>
                            <a:ext cx="466725" cy="466725"/>
                          </a:xfrm>
                          <a:prstGeom prst="rect">
                            <a:avLst/>
                          </a:prstGeom>
                          <a:noFill/>
                          <a:ln>
                            <a:noFill/>
                          </a:ln>
                        </pic:spPr>
                      </pic:pic>
                    </a:graphicData>
                  </a:graphic>
                </wp:inline>
              </w:drawing>
            </w:r>
          </w:p>
        </w:tc>
        <w:tc>
          <w:tcPr>
            <w:tcW w:w="8904" w:type="dxa"/>
            <w:shd w:val="clear" w:color="auto" w:fill="FFFFFF"/>
          </w:tcPr>
          <w:p w14:paraId="6F211F4A" w14:textId="77777777" w:rsidR="00D62C6E" w:rsidRDefault="00D62C6E" w:rsidP="00D62C6E">
            <w:pPr>
              <w:shd w:val="clear" w:color="auto" w:fill="FFFFFF"/>
              <w:spacing w:after="60"/>
              <w:rPr>
                <w:rFonts w:cs="Times New Roman"/>
              </w:rPr>
            </w:pPr>
            <w:r>
              <w:rPr>
                <w:rFonts w:cs="Times New Roman"/>
              </w:rPr>
              <w:t>Accord-cadre à bons de commandes mono-attributaire de Fournitures</w:t>
            </w:r>
          </w:p>
          <w:p w14:paraId="64BA4182" w14:textId="77777777" w:rsidR="00D62C6E" w:rsidRDefault="00D62C6E" w:rsidP="00D62C6E">
            <w:pPr>
              <w:shd w:val="clear" w:color="auto" w:fill="FFFFFF"/>
              <w:spacing w:after="60"/>
              <w:rPr>
                <w:rFonts w:cs="Times New Roman"/>
              </w:rPr>
            </w:pPr>
          </w:p>
          <w:p w14:paraId="586FFA28" w14:textId="77777777" w:rsidR="00D62C6E" w:rsidRDefault="00D62C6E" w:rsidP="00D62C6E">
            <w:pPr>
              <w:shd w:val="clear" w:color="auto" w:fill="FFFFFF"/>
              <w:spacing w:after="60"/>
              <w:rPr>
                <w:rFonts w:cs="Times New Roman"/>
              </w:rPr>
            </w:pPr>
            <w:r>
              <w:rPr>
                <w:rFonts w:cs="Times New Roman"/>
                <w:u w:val="single"/>
              </w:rPr>
              <w:t>Objet </w:t>
            </w:r>
            <w:r>
              <w:rPr>
                <w:rFonts w:cs="Times New Roman"/>
              </w:rPr>
              <w:t>: Location, maintenance et gestion des moyens d'impression du Groupe Hospitalier Rance Emeraude</w:t>
            </w:r>
          </w:p>
        </w:tc>
      </w:tr>
      <w:tr w:rsidR="00D62C6E" w14:paraId="12EF3B80" w14:textId="77777777" w:rsidTr="00D62C6E">
        <w:trPr>
          <w:trHeight w:val="57"/>
        </w:trPr>
        <w:tc>
          <w:tcPr>
            <w:tcW w:w="1161" w:type="dxa"/>
            <w:shd w:val="clear" w:color="auto" w:fill="FFFFFF"/>
            <w:vAlign w:val="center"/>
          </w:tcPr>
          <w:p w14:paraId="60D3D569" w14:textId="756180B3" w:rsidR="00D62C6E" w:rsidRDefault="003B10C3" w:rsidP="00D62C6E">
            <w:pPr>
              <w:shd w:val="clear" w:color="auto" w:fill="FFFFFF"/>
              <w:spacing w:after="60"/>
              <w:jc w:val="center"/>
              <w:rPr>
                <w:rFonts w:cs="Times New Roman"/>
              </w:rPr>
            </w:pPr>
            <w:r>
              <w:rPr>
                <w:noProof/>
              </w:rPr>
              <w:drawing>
                <wp:inline distT="0" distB="0" distL="0" distR="0" wp14:anchorId="744F3D21" wp14:editId="7AD26B0B">
                  <wp:extent cx="466725" cy="466725"/>
                  <wp:effectExtent l="0" t="0" r="0" b="0"/>
                  <wp:docPr id="2" name="Graphique 26" descr="Badge d'employé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6" descr="Badge d'employé avec un remplissage uni"/>
                          <pic:cNvPicPr>
                            <a:picLocks noChangeAspect="1" noChangeArrowheads="1"/>
                          </pic:cNvPicPr>
                        </pic:nvPicPr>
                        <pic:blipFill>
                          <a:blip r:embed="rId10">
                            <a:grayscl/>
                            <a:extLst>
                              <a:ext uri="{28A0092B-C50C-407E-A947-70E740481C1C}">
                                <a14:useLocalDpi xmlns:a14="http://schemas.microsoft.com/office/drawing/2010/main" val="0"/>
                              </a:ext>
                            </a:extLst>
                          </a:blip>
                          <a:srcRect l="-4137" t="-13162" r="-999" b="-12820"/>
                          <a:stretch>
                            <a:fillRect/>
                          </a:stretch>
                        </pic:blipFill>
                        <pic:spPr bwMode="auto">
                          <a:xfrm>
                            <a:off x="0" y="0"/>
                            <a:ext cx="466725" cy="466725"/>
                          </a:xfrm>
                          <a:prstGeom prst="rect">
                            <a:avLst/>
                          </a:prstGeom>
                          <a:noFill/>
                          <a:ln>
                            <a:noFill/>
                          </a:ln>
                        </pic:spPr>
                      </pic:pic>
                    </a:graphicData>
                  </a:graphic>
                </wp:inline>
              </w:drawing>
            </w:r>
          </w:p>
        </w:tc>
        <w:tc>
          <w:tcPr>
            <w:tcW w:w="8904" w:type="dxa"/>
            <w:shd w:val="clear" w:color="auto" w:fill="FFFFFF"/>
          </w:tcPr>
          <w:p w14:paraId="39AF13D5" w14:textId="77777777" w:rsidR="00D62C6E" w:rsidRDefault="00D62C6E" w:rsidP="00D62C6E">
            <w:pPr>
              <w:shd w:val="clear" w:color="auto" w:fill="FFFFFF"/>
              <w:spacing w:after="60"/>
              <w:rPr>
                <w:rFonts w:cs="Times New Roman"/>
                <w:u w:val="single"/>
              </w:rPr>
            </w:pPr>
            <w:r>
              <w:rPr>
                <w:rFonts w:cs="Times New Roman"/>
                <w:u w:val="single"/>
              </w:rPr>
              <w:t>Acheteur :</w:t>
            </w:r>
          </w:p>
          <w:p w14:paraId="0C98A16F" w14:textId="77777777" w:rsidR="00D62C6E" w:rsidRDefault="00D62C6E" w:rsidP="00D62C6E">
            <w:pPr>
              <w:shd w:val="clear" w:color="auto" w:fill="FFFFFF"/>
              <w:spacing w:after="60"/>
              <w:rPr>
                <w:rFonts w:cs="Times New Roman"/>
              </w:rPr>
            </w:pPr>
            <w:r>
              <w:rPr>
                <w:rFonts w:cs="Times New Roman"/>
              </w:rPr>
              <w:t>Groupe Hospitalier Rance Emeraude</w:t>
            </w:r>
          </w:p>
          <w:p w14:paraId="5675C4A3" w14:textId="77777777" w:rsidR="00D62C6E" w:rsidRDefault="00D62C6E" w:rsidP="00D62C6E">
            <w:pPr>
              <w:shd w:val="clear" w:color="auto" w:fill="FFFFFF"/>
              <w:spacing w:after="60"/>
              <w:rPr>
                <w:rFonts w:cs="Times New Roman"/>
              </w:rPr>
            </w:pPr>
            <w:r>
              <w:rPr>
                <w:rFonts w:cs="Times New Roman"/>
              </w:rPr>
              <w:t>1 rue de la Marne</w:t>
            </w:r>
          </w:p>
          <w:p w14:paraId="7F058C95" w14:textId="77777777" w:rsidR="00D62C6E" w:rsidRDefault="00D62C6E" w:rsidP="00D62C6E">
            <w:pPr>
              <w:shd w:val="clear" w:color="auto" w:fill="FFFFFF"/>
              <w:spacing w:after="60"/>
              <w:rPr>
                <w:rFonts w:cs="Times New Roman"/>
              </w:rPr>
            </w:pPr>
            <w:r>
              <w:rPr>
                <w:rFonts w:cs="Times New Roman"/>
              </w:rPr>
              <w:t>35400 - SAINT-MALO</w:t>
            </w:r>
          </w:p>
        </w:tc>
      </w:tr>
      <w:tr w:rsidR="00D62C6E" w14:paraId="5AD010D0" w14:textId="77777777" w:rsidTr="00D62C6E">
        <w:trPr>
          <w:trHeight w:val="57"/>
        </w:trPr>
        <w:tc>
          <w:tcPr>
            <w:tcW w:w="1161" w:type="dxa"/>
            <w:shd w:val="clear" w:color="auto" w:fill="FFFFFF"/>
            <w:vAlign w:val="center"/>
          </w:tcPr>
          <w:p w14:paraId="7ECA4B47" w14:textId="61E5E55B" w:rsidR="00D62C6E" w:rsidRDefault="003B10C3" w:rsidP="00D62C6E">
            <w:pPr>
              <w:shd w:val="clear" w:color="auto" w:fill="FFFFFF"/>
              <w:spacing w:after="60"/>
              <w:jc w:val="center"/>
              <w:rPr>
                <w:rFonts w:cs="Times New Roman"/>
                <w:noProof/>
              </w:rPr>
            </w:pPr>
            <w:r>
              <w:rPr>
                <w:noProof/>
              </w:rPr>
              <w:drawing>
                <wp:inline distT="0" distB="0" distL="0" distR="0" wp14:anchorId="1EE9132D" wp14:editId="7A3517FB">
                  <wp:extent cx="466725" cy="466725"/>
                  <wp:effectExtent l="0" t="0" r="0" b="0"/>
                  <wp:docPr id="3" name="Graphique 25" descr="Balance de la justic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5" descr="Balance de la justice avec un remplissage uni"/>
                          <pic:cNvPicPr>
                            <a:picLocks noChangeAspect="1" noChangeArrowheads="1"/>
                          </pic:cNvPicPr>
                        </pic:nvPicPr>
                        <pic:blipFill>
                          <a:blip r:embed="rId11">
                            <a:grayscl/>
                            <a:extLst>
                              <a:ext uri="{28A0092B-C50C-407E-A947-70E740481C1C}">
                                <a14:useLocalDpi xmlns:a14="http://schemas.microsoft.com/office/drawing/2010/main" val="0"/>
                              </a:ext>
                            </a:extLst>
                          </a:blip>
                          <a:srcRect l="-5655" t="-4259" r="-4018" b="-3966"/>
                          <a:stretch>
                            <a:fillRect/>
                          </a:stretch>
                        </pic:blipFill>
                        <pic:spPr bwMode="auto">
                          <a:xfrm>
                            <a:off x="0" y="0"/>
                            <a:ext cx="466725" cy="466725"/>
                          </a:xfrm>
                          <a:prstGeom prst="rect">
                            <a:avLst/>
                          </a:prstGeom>
                          <a:noFill/>
                          <a:ln>
                            <a:noFill/>
                          </a:ln>
                        </pic:spPr>
                      </pic:pic>
                    </a:graphicData>
                  </a:graphic>
                </wp:inline>
              </w:drawing>
            </w:r>
          </w:p>
        </w:tc>
        <w:tc>
          <w:tcPr>
            <w:tcW w:w="8904" w:type="dxa"/>
            <w:shd w:val="clear" w:color="auto" w:fill="FFFFFF"/>
            <w:vAlign w:val="center"/>
          </w:tcPr>
          <w:p w14:paraId="31B6E252" w14:textId="77777777" w:rsidR="00D62C6E" w:rsidRDefault="00D62C6E" w:rsidP="00D62C6E">
            <w:pPr>
              <w:shd w:val="clear" w:color="auto" w:fill="FFFFFF"/>
              <w:spacing w:after="160" w:line="259" w:lineRule="auto"/>
            </w:pPr>
            <w:r>
              <w:t>Accord-cadre passé en appel d'offres ouvert, en application des articles R2124-1, R2124-2 et R2161-2 à R2161-5 du code de la commande publique.</w:t>
            </w:r>
          </w:p>
          <w:p w14:paraId="5015439F" w14:textId="77777777" w:rsidR="00D62C6E" w:rsidRDefault="00D62C6E" w:rsidP="00D62C6E">
            <w:pPr>
              <w:shd w:val="clear" w:color="auto" w:fill="FFFFFF"/>
              <w:spacing w:after="60"/>
              <w:rPr>
                <w:rFonts w:eastAsia="Times New Roman" w:cs="Times New Roman"/>
              </w:rPr>
            </w:pPr>
            <w:r>
              <w:t>CCAG applicable à l'accord-cadre : CCAG Fournitures Courantes et Services.</w:t>
            </w:r>
          </w:p>
        </w:tc>
      </w:tr>
      <w:tr w:rsidR="00D62C6E" w14:paraId="3C5AB3A9" w14:textId="77777777" w:rsidTr="00D62C6E">
        <w:trPr>
          <w:trHeight w:val="57"/>
        </w:trPr>
        <w:tc>
          <w:tcPr>
            <w:tcW w:w="1161" w:type="dxa"/>
            <w:shd w:val="clear" w:color="auto" w:fill="FFFFFF"/>
            <w:vAlign w:val="center"/>
          </w:tcPr>
          <w:p w14:paraId="7B21E489" w14:textId="39EEAD88" w:rsidR="00D62C6E" w:rsidRDefault="003B10C3" w:rsidP="00D62C6E">
            <w:pPr>
              <w:shd w:val="clear" w:color="auto" w:fill="FFFFFF"/>
              <w:spacing w:after="60"/>
              <w:jc w:val="center"/>
              <w:rPr>
                <w:rFonts w:cs="Times New Roman"/>
              </w:rPr>
            </w:pPr>
            <w:r>
              <w:rPr>
                <w:noProof/>
              </w:rPr>
              <w:drawing>
                <wp:inline distT="0" distB="0" distL="0" distR="0" wp14:anchorId="6E91664F" wp14:editId="2BC183EC">
                  <wp:extent cx="466725" cy="466725"/>
                  <wp:effectExtent l="0" t="0" r="0" b="0"/>
                  <wp:docPr id="4" name="Graphique 24" descr="Réseau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4" descr="Réseau avec un remplissage uni"/>
                          <pic:cNvPicPr>
                            <a:picLocks noChangeAspect="1" noChangeArrowheads="1"/>
                          </pic:cNvPicPr>
                        </pic:nvPicPr>
                        <pic:blipFill>
                          <a:blip r:embed="rId12">
                            <a:grayscl/>
                            <a:extLst>
                              <a:ext uri="{28A0092B-C50C-407E-A947-70E740481C1C}">
                                <a14:useLocalDpi xmlns:a14="http://schemas.microsoft.com/office/drawing/2010/main" val="0"/>
                              </a:ext>
                            </a:extLst>
                          </a:blip>
                          <a:srcRect l="-9163" t="-11073" r="-7268" b="-10744"/>
                          <a:stretch>
                            <a:fillRect/>
                          </a:stretch>
                        </pic:blipFill>
                        <pic:spPr bwMode="auto">
                          <a:xfrm>
                            <a:off x="0" y="0"/>
                            <a:ext cx="466725" cy="466725"/>
                          </a:xfrm>
                          <a:prstGeom prst="rect">
                            <a:avLst/>
                          </a:prstGeom>
                          <a:noFill/>
                          <a:ln>
                            <a:noFill/>
                          </a:ln>
                        </pic:spPr>
                      </pic:pic>
                    </a:graphicData>
                  </a:graphic>
                </wp:inline>
              </w:drawing>
            </w:r>
          </w:p>
        </w:tc>
        <w:tc>
          <w:tcPr>
            <w:tcW w:w="8904" w:type="dxa"/>
            <w:shd w:val="clear" w:color="auto" w:fill="FFFFFF"/>
            <w:vAlign w:val="center"/>
          </w:tcPr>
          <w:p w14:paraId="5E4947F7" w14:textId="77777777" w:rsidR="00D62C6E" w:rsidRDefault="00D62C6E" w:rsidP="00D62C6E">
            <w:pPr>
              <w:shd w:val="clear" w:color="auto" w:fill="FFFFFF"/>
            </w:pPr>
            <w:r>
              <w:t>L'accord-cadre n’est pas alloti.</w:t>
            </w:r>
          </w:p>
        </w:tc>
      </w:tr>
      <w:tr w:rsidR="00D62C6E" w14:paraId="406A0E60" w14:textId="77777777" w:rsidTr="00D62C6E">
        <w:trPr>
          <w:trHeight w:val="57"/>
        </w:trPr>
        <w:tc>
          <w:tcPr>
            <w:tcW w:w="1161" w:type="dxa"/>
            <w:shd w:val="clear" w:color="auto" w:fill="FFFFFF"/>
            <w:vAlign w:val="center"/>
          </w:tcPr>
          <w:p w14:paraId="7EAB2791" w14:textId="76E15D9C" w:rsidR="00D62C6E" w:rsidRDefault="003B10C3" w:rsidP="00D62C6E">
            <w:pPr>
              <w:shd w:val="clear" w:color="auto" w:fill="FFFFFF"/>
              <w:spacing w:after="60"/>
              <w:jc w:val="center"/>
              <w:rPr>
                <w:rFonts w:cs="Times New Roman"/>
              </w:rPr>
            </w:pPr>
            <w:r>
              <w:rPr>
                <w:noProof/>
              </w:rPr>
              <w:drawing>
                <wp:inline distT="0" distB="0" distL="0" distR="0" wp14:anchorId="5B0ED10B" wp14:editId="36BC7500">
                  <wp:extent cx="476250" cy="466725"/>
                  <wp:effectExtent l="0" t="0" r="0" b="0"/>
                  <wp:docPr id="5" name="Graphique 23" descr="Interne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3" descr="Internet avec un remplissage uni"/>
                          <pic:cNvPicPr>
                            <a:picLocks noChangeAspect="1" noChangeArrowheads="1"/>
                          </pic:cNvPicPr>
                        </pic:nvPicPr>
                        <pic:blipFill>
                          <a:blip r:embed="rId13">
                            <a:grayscl/>
                            <a:extLst>
                              <a:ext uri="{28A0092B-C50C-407E-A947-70E740481C1C}">
                                <a14:useLocalDpi xmlns:a14="http://schemas.microsoft.com/office/drawing/2010/main" val="0"/>
                              </a:ext>
                            </a:extLst>
                          </a:blip>
                          <a:srcRect t="-25562" b="-25153"/>
                          <a:stretch>
                            <a:fillRect/>
                          </a:stretch>
                        </pic:blipFill>
                        <pic:spPr bwMode="auto">
                          <a:xfrm>
                            <a:off x="0" y="0"/>
                            <a:ext cx="476250" cy="466725"/>
                          </a:xfrm>
                          <a:prstGeom prst="rect">
                            <a:avLst/>
                          </a:prstGeom>
                          <a:noFill/>
                          <a:ln>
                            <a:noFill/>
                          </a:ln>
                        </pic:spPr>
                      </pic:pic>
                    </a:graphicData>
                  </a:graphic>
                </wp:inline>
              </w:drawing>
            </w:r>
          </w:p>
        </w:tc>
        <w:tc>
          <w:tcPr>
            <w:tcW w:w="8904" w:type="dxa"/>
            <w:shd w:val="clear" w:color="auto" w:fill="FFFFFF"/>
            <w:vAlign w:val="center"/>
          </w:tcPr>
          <w:p w14:paraId="0719E954" w14:textId="77777777" w:rsidR="00D62C6E" w:rsidRDefault="00D62C6E" w:rsidP="00D62C6E">
            <w:pPr>
              <w:shd w:val="clear" w:color="auto" w:fill="FFFFFF"/>
              <w:spacing w:after="60"/>
              <w:jc w:val="left"/>
              <w:rPr>
                <w:rFonts w:eastAsia="Times New Roman" w:cs="Times New Roman"/>
              </w:rPr>
            </w:pPr>
            <w:r>
              <w:rPr>
                <w:rFonts w:eastAsia="Times New Roman" w:cs="Times New Roman"/>
              </w:rPr>
              <w:t>Profil acheteur :</w:t>
            </w:r>
          </w:p>
          <w:p w14:paraId="0818F48A" w14:textId="77777777" w:rsidR="00D62C6E" w:rsidRDefault="00D62C6E" w:rsidP="00D62C6E">
            <w:pPr>
              <w:shd w:val="clear" w:color="auto" w:fill="FFFFFF"/>
              <w:spacing w:after="60"/>
              <w:rPr>
                <w:rFonts w:eastAsia="Times New Roman" w:cs="Times New Roman"/>
              </w:rPr>
            </w:pPr>
            <w:r>
              <w:t>https://www.marches-publics.gouv.fr/entreprise</w:t>
            </w:r>
          </w:p>
        </w:tc>
      </w:tr>
      <w:tr w:rsidR="00D62C6E" w14:paraId="5E15DF5F" w14:textId="77777777" w:rsidTr="00D62C6E">
        <w:trPr>
          <w:trHeight w:val="57"/>
        </w:trPr>
        <w:tc>
          <w:tcPr>
            <w:tcW w:w="1161" w:type="dxa"/>
            <w:shd w:val="clear" w:color="auto" w:fill="FFFFFF"/>
            <w:vAlign w:val="center"/>
          </w:tcPr>
          <w:p w14:paraId="3FB65437" w14:textId="156521F2" w:rsidR="00D62C6E" w:rsidRDefault="003B10C3" w:rsidP="00D62C6E">
            <w:pPr>
              <w:shd w:val="clear" w:color="auto" w:fill="FFFFFF"/>
              <w:spacing w:after="60"/>
              <w:jc w:val="center"/>
              <w:rPr>
                <w:rFonts w:cs="Times New Roman"/>
              </w:rPr>
            </w:pPr>
            <w:r>
              <w:rPr>
                <w:noProof/>
              </w:rPr>
              <w:drawing>
                <wp:inline distT="0" distB="0" distL="0" distR="0" wp14:anchorId="62768602" wp14:editId="683A0881">
                  <wp:extent cx="466725" cy="466725"/>
                  <wp:effectExtent l="0" t="0" r="0" b="0"/>
                  <wp:docPr id="6" name="Graphique 22" descr="Question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2" descr="Questions avec un remplissage uni"/>
                          <pic:cNvPicPr>
                            <a:picLocks noChangeAspect="1" noChangeArrowheads="1"/>
                          </pic:cNvPicPr>
                        </pic:nvPicPr>
                        <pic:blipFill>
                          <a:blip r:embed="rId14">
                            <a:grayscl/>
                            <a:extLst>
                              <a:ext uri="{28A0092B-C50C-407E-A947-70E740481C1C}">
                                <a14:useLocalDpi xmlns:a14="http://schemas.microsoft.com/office/drawing/2010/main" val="0"/>
                              </a:ext>
                            </a:extLst>
                          </a:blip>
                          <a:srcRect l="-10893" t="-4259" r="-8943" b="-3966"/>
                          <a:stretch>
                            <a:fillRect/>
                          </a:stretch>
                        </pic:blipFill>
                        <pic:spPr bwMode="auto">
                          <a:xfrm>
                            <a:off x="0" y="0"/>
                            <a:ext cx="466725" cy="466725"/>
                          </a:xfrm>
                          <a:prstGeom prst="rect">
                            <a:avLst/>
                          </a:prstGeom>
                          <a:noFill/>
                          <a:ln>
                            <a:noFill/>
                          </a:ln>
                        </pic:spPr>
                      </pic:pic>
                    </a:graphicData>
                  </a:graphic>
                </wp:inline>
              </w:drawing>
            </w:r>
          </w:p>
        </w:tc>
        <w:tc>
          <w:tcPr>
            <w:tcW w:w="8904" w:type="dxa"/>
            <w:shd w:val="clear" w:color="auto" w:fill="FFFFFF"/>
            <w:vAlign w:val="center"/>
          </w:tcPr>
          <w:p w14:paraId="50C98591" w14:textId="77777777" w:rsidR="00D62C6E" w:rsidRDefault="00D62C6E" w:rsidP="00D62C6E">
            <w:pPr>
              <w:shd w:val="clear" w:color="auto" w:fill="FFFFFF"/>
              <w:rPr>
                <w:shd w:val="clear" w:color="auto" w:fill="F0F0F0"/>
              </w:rPr>
            </w:pPr>
            <w:r>
              <w:rPr>
                <w:rFonts w:eastAsia="Times New Roman" w:cs="Times New Roman"/>
              </w:rPr>
              <w:t xml:space="preserve">Les renseignements complémentaires doivent être demandés au plus tard </w:t>
            </w:r>
            <w:r>
              <w:t>7 jours calendaires avant la date limite fixée pour la réception des offres.</w:t>
            </w:r>
          </w:p>
        </w:tc>
      </w:tr>
      <w:tr w:rsidR="00D62C6E" w14:paraId="1544268E" w14:textId="77777777" w:rsidTr="00D62C6E">
        <w:trPr>
          <w:trHeight w:val="57"/>
        </w:trPr>
        <w:tc>
          <w:tcPr>
            <w:tcW w:w="1161" w:type="dxa"/>
            <w:shd w:val="clear" w:color="auto" w:fill="FFFFFF"/>
            <w:vAlign w:val="center"/>
          </w:tcPr>
          <w:p w14:paraId="0827153C" w14:textId="51F2DC97" w:rsidR="00D62C6E" w:rsidRDefault="003B10C3" w:rsidP="00D62C6E">
            <w:pPr>
              <w:shd w:val="clear" w:color="auto" w:fill="FFFFFF"/>
              <w:spacing w:after="60"/>
              <w:jc w:val="center"/>
              <w:rPr>
                <w:rFonts w:eastAsia="Times New Roman" w:cs="Times New Roman"/>
                <w:noProof/>
                <w:szCs w:val="24"/>
              </w:rPr>
            </w:pPr>
            <w:r>
              <w:rPr>
                <w:noProof/>
              </w:rPr>
              <w:drawing>
                <wp:inline distT="0" distB="0" distL="0" distR="0" wp14:anchorId="77FFF3F5" wp14:editId="12729CB7">
                  <wp:extent cx="476250" cy="466725"/>
                  <wp:effectExtent l="0" t="0" r="0" b="0"/>
                  <wp:docPr id="7" name="Graphique 21" descr="Sonnerie d’alar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1" descr="Sonnerie d’alarme avec un remplissage uni"/>
                          <pic:cNvPicPr>
                            <a:picLocks noChangeAspect="1" noChangeArrowheads="1"/>
                          </pic:cNvPicPr>
                        </pic:nvPicPr>
                        <pic:blipFill>
                          <a:blip r:embed="rId15">
                            <a:grayscl/>
                            <a:extLst>
                              <a:ext uri="{28A0092B-C50C-407E-A947-70E740481C1C}">
                                <a14:useLocalDpi xmlns:a14="http://schemas.microsoft.com/office/drawing/2010/main" val="0"/>
                              </a:ext>
                            </a:extLst>
                          </a:blip>
                          <a:srcRect t="-14931" b="-13020"/>
                          <a:stretch>
                            <a:fillRect/>
                          </a:stretch>
                        </pic:blipFill>
                        <pic:spPr bwMode="auto">
                          <a:xfrm>
                            <a:off x="0" y="0"/>
                            <a:ext cx="476250" cy="466725"/>
                          </a:xfrm>
                          <a:prstGeom prst="rect">
                            <a:avLst/>
                          </a:prstGeom>
                          <a:noFill/>
                          <a:ln>
                            <a:noFill/>
                          </a:ln>
                        </pic:spPr>
                      </pic:pic>
                    </a:graphicData>
                  </a:graphic>
                </wp:inline>
              </w:drawing>
            </w:r>
          </w:p>
        </w:tc>
        <w:tc>
          <w:tcPr>
            <w:tcW w:w="8904" w:type="dxa"/>
            <w:shd w:val="clear" w:color="auto" w:fill="FFFFFF"/>
            <w:vAlign w:val="center"/>
          </w:tcPr>
          <w:p w14:paraId="5E664A7B" w14:textId="77777777" w:rsidR="00D62C6E" w:rsidRDefault="00D62C6E" w:rsidP="00D62C6E">
            <w:pPr>
              <w:shd w:val="clear" w:color="auto" w:fill="FFFFFF"/>
              <w:spacing w:after="60"/>
              <w:rPr>
                <w:rFonts w:eastAsia="Times New Roman" w:cs="Times New Roman"/>
              </w:rPr>
            </w:pPr>
            <w:r>
              <w:rPr>
                <w:rFonts w:eastAsia="Times New Roman" w:cs="Times New Roman"/>
              </w:rPr>
              <w:t xml:space="preserve">L’offre est valable </w:t>
            </w:r>
            <w:r>
              <w:t>90 jours à compter de la date limite de réception des offres.</w:t>
            </w:r>
          </w:p>
        </w:tc>
      </w:tr>
      <w:tr w:rsidR="00D62C6E" w14:paraId="27602579" w14:textId="77777777" w:rsidTr="00D62C6E">
        <w:trPr>
          <w:trHeight w:val="57"/>
        </w:trPr>
        <w:tc>
          <w:tcPr>
            <w:tcW w:w="1161" w:type="dxa"/>
            <w:shd w:val="clear" w:color="auto" w:fill="FFFFFF"/>
            <w:vAlign w:val="center"/>
          </w:tcPr>
          <w:p w14:paraId="7287CF34" w14:textId="5BD3049D" w:rsidR="00D62C6E" w:rsidRDefault="003B10C3" w:rsidP="00D62C6E">
            <w:pPr>
              <w:shd w:val="clear" w:color="auto" w:fill="FFFFFF"/>
              <w:spacing w:after="60"/>
              <w:jc w:val="center"/>
              <w:rPr>
                <w:rFonts w:eastAsia="Times New Roman" w:cs="Times New Roman"/>
                <w:noProof/>
                <w:szCs w:val="24"/>
              </w:rPr>
            </w:pPr>
            <w:r>
              <w:rPr>
                <w:noProof/>
              </w:rPr>
              <w:drawing>
                <wp:inline distT="0" distB="0" distL="0" distR="0" wp14:anchorId="313EFA29" wp14:editId="72485432">
                  <wp:extent cx="466725" cy="466725"/>
                  <wp:effectExtent l="0" t="0" r="0" b="0"/>
                  <wp:docPr id="8" name="Graphique 27" descr="Avis des client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7" descr="Avis des clients avec un remplissage uni"/>
                          <pic:cNvPicPr>
                            <a:picLocks noChangeAspect="1" noChangeArrowheads="1"/>
                          </pic:cNvPicPr>
                        </pic:nvPicPr>
                        <pic:blipFill>
                          <a:blip r:embed="rId16">
                            <a:grayscl/>
                            <a:extLst>
                              <a:ext uri="{28A0092B-C50C-407E-A947-70E740481C1C}">
                                <a14:useLocalDpi xmlns:a14="http://schemas.microsoft.com/office/drawing/2010/main" val="0"/>
                              </a:ext>
                            </a:extLst>
                          </a:blip>
                          <a:srcRect l="-10738" t="-4259" r="-7372" b="-3966"/>
                          <a:stretch>
                            <a:fillRect/>
                          </a:stretch>
                        </pic:blipFill>
                        <pic:spPr bwMode="auto">
                          <a:xfrm>
                            <a:off x="0" y="0"/>
                            <a:ext cx="466725" cy="466725"/>
                          </a:xfrm>
                          <a:prstGeom prst="rect">
                            <a:avLst/>
                          </a:prstGeom>
                          <a:noFill/>
                          <a:ln>
                            <a:noFill/>
                          </a:ln>
                        </pic:spPr>
                      </pic:pic>
                    </a:graphicData>
                  </a:graphic>
                </wp:inline>
              </w:drawing>
            </w:r>
          </w:p>
        </w:tc>
        <w:tc>
          <w:tcPr>
            <w:tcW w:w="8904" w:type="dxa"/>
            <w:shd w:val="clear" w:color="auto" w:fill="FFFFFF"/>
            <w:vAlign w:val="center"/>
          </w:tcPr>
          <w:p w14:paraId="5F24F1E1" w14:textId="77777777" w:rsidR="00D62C6E" w:rsidRDefault="00D62C6E" w:rsidP="00D62C6E">
            <w:pPr>
              <w:shd w:val="clear" w:color="auto" w:fill="FFFFFF"/>
              <w:spacing w:after="60"/>
              <w:rPr>
                <w:lang w:val="en-US"/>
              </w:rPr>
            </w:pPr>
            <w:r>
              <w:rPr>
                <w:lang w:val="en-US"/>
              </w:rPr>
              <w:t>Aucune négociation n’est prévue.</w:t>
            </w:r>
          </w:p>
        </w:tc>
      </w:tr>
      <w:tr w:rsidR="00D62C6E" w14:paraId="4924FF6A" w14:textId="77777777" w:rsidTr="00D62C6E">
        <w:trPr>
          <w:trHeight w:val="57"/>
        </w:trPr>
        <w:tc>
          <w:tcPr>
            <w:tcW w:w="1161" w:type="dxa"/>
            <w:shd w:val="clear" w:color="auto" w:fill="FFFFFF"/>
            <w:vAlign w:val="center"/>
          </w:tcPr>
          <w:p w14:paraId="2E8A598A" w14:textId="15DF7219" w:rsidR="00D62C6E" w:rsidRDefault="003B10C3" w:rsidP="00D62C6E">
            <w:pPr>
              <w:shd w:val="clear" w:color="auto" w:fill="FFFFFF"/>
              <w:spacing w:after="60"/>
              <w:jc w:val="center"/>
              <w:rPr>
                <w:rFonts w:eastAsia="Times New Roman" w:cs="Times New Roman"/>
                <w:noProof/>
                <w:szCs w:val="24"/>
              </w:rPr>
            </w:pPr>
            <w:r>
              <w:rPr>
                <w:noProof/>
              </w:rPr>
              <w:drawing>
                <wp:inline distT="0" distB="0" distL="0" distR="0" wp14:anchorId="580FCFFC" wp14:editId="755696AD">
                  <wp:extent cx="466725" cy="466725"/>
                  <wp:effectExtent l="0" t="0" r="0" b="0"/>
                  <wp:docPr id="9" name="Graphique 36" descr="Aléatoir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36" descr="Aléatoire avec un remplissage uni"/>
                          <pic:cNvPicPr>
                            <a:picLocks noChangeAspect="1" noChangeArrowheads="1"/>
                          </pic:cNvPicPr>
                        </pic:nvPicPr>
                        <pic:blipFill>
                          <a:blip r:embed="rId17">
                            <a:grayscl/>
                            <a:extLst>
                              <a:ext uri="{28A0092B-C50C-407E-A947-70E740481C1C}">
                                <a14:useLocalDpi xmlns:a14="http://schemas.microsoft.com/office/drawing/2010/main" val="0"/>
                              </a:ext>
                            </a:extLst>
                          </a:blip>
                          <a:srcRect l="-4198" t="-13162" r="-2460" b="-12820"/>
                          <a:stretch>
                            <a:fillRect/>
                          </a:stretch>
                        </pic:blipFill>
                        <pic:spPr bwMode="auto">
                          <a:xfrm>
                            <a:off x="0" y="0"/>
                            <a:ext cx="466725" cy="466725"/>
                          </a:xfrm>
                          <a:prstGeom prst="rect">
                            <a:avLst/>
                          </a:prstGeom>
                          <a:noFill/>
                          <a:ln>
                            <a:noFill/>
                          </a:ln>
                        </pic:spPr>
                      </pic:pic>
                    </a:graphicData>
                  </a:graphic>
                </wp:inline>
              </w:drawing>
            </w:r>
          </w:p>
        </w:tc>
        <w:tc>
          <w:tcPr>
            <w:tcW w:w="8904" w:type="dxa"/>
            <w:shd w:val="clear" w:color="auto" w:fill="FFFFFF"/>
            <w:vAlign w:val="center"/>
          </w:tcPr>
          <w:p w14:paraId="0C99E105" w14:textId="77777777" w:rsidR="00D62C6E" w:rsidRDefault="00D62C6E" w:rsidP="00D62C6E">
            <w:pPr>
              <w:shd w:val="clear" w:color="auto" w:fill="FFFFFF"/>
              <w:spacing w:after="60"/>
              <w:rPr>
                <w:rFonts w:eastAsia="Times New Roman" w:cs="Times New Roman"/>
                <w:szCs w:val="24"/>
              </w:rPr>
            </w:pPr>
            <w:r>
              <w:rPr>
                <w:rFonts w:eastAsia="Times New Roman" w:cs="Times New Roman"/>
                <w:szCs w:val="24"/>
              </w:rPr>
              <w:t>La consultation comporte une ou plusieurs variantes exigées.</w:t>
            </w:r>
          </w:p>
          <w:p w14:paraId="065A4726" w14:textId="77777777" w:rsidR="00D62C6E" w:rsidRDefault="00D62C6E" w:rsidP="00D62C6E">
            <w:pPr>
              <w:shd w:val="clear" w:color="auto" w:fill="FFFFFF"/>
              <w:spacing w:after="60"/>
              <w:rPr>
                <w:rFonts w:eastAsia="Times New Roman" w:cs="Times New Roman"/>
                <w:szCs w:val="24"/>
              </w:rPr>
            </w:pPr>
            <w:r>
              <w:rPr>
                <w:rFonts w:eastAsia="Times New Roman" w:cs="Times New Roman"/>
                <w:szCs w:val="24"/>
              </w:rPr>
              <w:t>Aucune variante autorisée n’est prévue.</w:t>
            </w:r>
          </w:p>
          <w:p w14:paraId="50683779" w14:textId="77777777" w:rsidR="00D62C6E" w:rsidRDefault="00D62C6E" w:rsidP="00D62C6E">
            <w:pPr>
              <w:shd w:val="clear" w:color="auto" w:fill="FFFFFF"/>
              <w:spacing w:after="60"/>
              <w:rPr>
                <w:rFonts w:eastAsia="Times New Roman" w:cs="Times New Roman"/>
                <w:szCs w:val="24"/>
              </w:rPr>
            </w:pPr>
            <w:r>
              <w:rPr>
                <w:rFonts w:eastAsia="Times New Roman" w:cs="Times New Roman"/>
                <w:szCs w:val="24"/>
              </w:rPr>
              <w:t>Aucune variante facultative n’est prévue.</w:t>
            </w:r>
          </w:p>
        </w:tc>
      </w:tr>
      <w:tr w:rsidR="00D62C6E" w14:paraId="108E9EAF" w14:textId="77777777" w:rsidTr="00D62C6E">
        <w:trPr>
          <w:trHeight w:val="57"/>
        </w:trPr>
        <w:tc>
          <w:tcPr>
            <w:tcW w:w="1161" w:type="dxa"/>
            <w:shd w:val="clear" w:color="auto" w:fill="FFFFFF"/>
            <w:vAlign w:val="center"/>
          </w:tcPr>
          <w:p w14:paraId="2B6752E9" w14:textId="24B3FF21" w:rsidR="00D62C6E" w:rsidRDefault="003B10C3" w:rsidP="00D62C6E">
            <w:pPr>
              <w:shd w:val="clear" w:color="auto" w:fill="FFFFFF"/>
              <w:spacing w:after="60"/>
              <w:jc w:val="center"/>
              <w:rPr>
                <w:rFonts w:eastAsia="Times New Roman" w:cs="Times New Roman"/>
                <w:noProof/>
                <w:szCs w:val="24"/>
              </w:rPr>
            </w:pPr>
            <w:r>
              <w:rPr>
                <w:noProof/>
              </w:rPr>
              <w:drawing>
                <wp:inline distT="0" distB="0" distL="0" distR="0" wp14:anchorId="71AACF42" wp14:editId="0D197541">
                  <wp:extent cx="466725" cy="466725"/>
                  <wp:effectExtent l="0" t="0" r="0" b="0"/>
                  <wp:docPr id="10" name="Graphique 35" descr="Paramètr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35" descr="Paramètres avec un remplissage uni"/>
                          <pic:cNvPicPr>
                            <a:picLocks noChangeAspect="1" noChangeArrowheads="1"/>
                          </pic:cNvPicPr>
                        </pic:nvPicPr>
                        <pic:blipFill>
                          <a:blip r:embed="rId18">
                            <a:grayscl/>
                            <a:extLst>
                              <a:ext uri="{28A0092B-C50C-407E-A947-70E740481C1C}">
                                <a14:useLocalDpi xmlns:a14="http://schemas.microsoft.com/office/drawing/2010/main" val="0"/>
                              </a:ext>
                            </a:extLst>
                          </a:blip>
                          <a:srcRect l="-12727" t="-13162" r="-9091" b="-12820"/>
                          <a:stretch>
                            <a:fillRect/>
                          </a:stretch>
                        </pic:blipFill>
                        <pic:spPr bwMode="auto">
                          <a:xfrm>
                            <a:off x="0" y="0"/>
                            <a:ext cx="466725" cy="466725"/>
                          </a:xfrm>
                          <a:prstGeom prst="rect">
                            <a:avLst/>
                          </a:prstGeom>
                          <a:noFill/>
                          <a:ln>
                            <a:noFill/>
                          </a:ln>
                        </pic:spPr>
                      </pic:pic>
                    </a:graphicData>
                  </a:graphic>
                </wp:inline>
              </w:drawing>
            </w:r>
          </w:p>
        </w:tc>
        <w:tc>
          <w:tcPr>
            <w:tcW w:w="8904" w:type="dxa"/>
            <w:shd w:val="clear" w:color="auto" w:fill="FFFFFF"/>
            <w:vAlign w:val="center"/>
          </w:tcPr>
          <w:p w14:paraId="35E48079" w14:textId="77777777" w:rsidR="00D62C6E" w:rsidRDefault="00D62C6E" w:rsidP="00D62C6E">
            <w:pPr>
              <w:shd w:val="clear" w:color="auto" w:fill="FFFFFF"/>
              <w:spacing w:after="60"/>
              <w:rPr>
                <w:rFonts w:eastAsia="Times New Roman" w:cs="Times New Roman"/>
                <w:szCs w:val="24"/>
              </w:rPr>
            </w:pPr>
            <w:r>
              <w:rPr>
                <w:rFonts w:eastAsia="Times New Roman" w:cs="Times New Roman"/>
                <w:szCs w:val="24"/>
              </w:rPr>
              <w:t>La consultation ne comporte pas de prestation supplémentaire éventuelle facultative.</w:t>
            </w:r>
          </w:p>
          <w:p w14:paraId="1A2174E8" w14:textId="77777777" w:rsidR="00D62C6E" w:rsidRDefault="00D62C6E" w:rsidP="00D62C6E">
            <w:pPr>
              <w:shd w:val="clear" w:color="auto" w:fill="FFFFFF"/>
              <w:spacing w:after="60"/>
              <w:rPr>
                <w:rFonts w:eastAsia="Times New Roman" w:cs="Times New Roman"/>
                <w:szCs w:val="24"/>
              </w:rPr>
            </w:pPr>
            <w:r>
              <w:rPr>
                <w:rFonts w:eastAsia="Times New Roman" w:cs="Times New Roman"/>
                <w:szCs w:val="24"/>
              </w:rPr>
              <w:t>La consultation ne comporte pas de prestation supplémentaire éventuelle obligatoire.</w:t>
            </w:r>
          </w:p>
        </w:tc>
      </w:tr>
      <w:tr w:rsidR="00D62C6E" w14:paraId="0C2C0E4D" w14:textId="77777777" w:rsidTr="00D62C6E">
        <w:trPr>
          <w:trHeight w:val="57"/>
        </w:trPr>
        <w:tc>
          <w:tcPr>
            <w:tcW w:w="1161" w:type="dxa"/>
            <w:shd w:val="clear" w:color="auto" w:fill="FFFFFF"/>
            <w:vAlign w:val="center"/>
          </w:tcPr>
          <w:p w14:paraId="4A6A4E1B" w14:textId="5CAC9AE9" w:rsidR="00D62C6E" w:rsidRDefault="003B10C3" w:rsidP="00D62C6E">
            <w:pPr>
              <w:shd w:val="clear" w:color="auto" w:fill="FFFFFF"/>
              <w:spacing w:after="60"/>
              <w:jc w:val="center"/>
              <w:rPr>
                <w:rFonts w:eastAsia="Times New Roman" w:cs="Times New Roman"/>
                <w:noProof/>
                <w:szCs w:val="24"/>
              </w:rPr>
            </w:pPr>
            <w:r>
              <w:rPr>
                <w:noProof/>
              </w:rPr>
              <w:drawing>
                <wp:inline distT="0" distB="0" distL="0" distR="0" wp14:anchorId="40DE1994" wp14:editId="53436CAA">
                  <wp:extent cx="466725" cy="466725"/>
                  <wp:effectExtent l="0" t="0" r="0" b="0"/>
                  <wp:docPr id="11" name="Graphique 33" descr="Etherne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33" descr="Ethernet avec un remplissage uni"/>
                          <pic:cNvPicPr>
                            <a:picLocks noChangeAspect="1" noChangeArrowheads="1"/>
                          </pic:cNvPicPr>
                        </pic:nvPicPr>
                        <pic:blipFill>
                          <a:blip r:embed="rId19">
                            <a:grayscl/>
                            <a:extLst>
                              <a:ext uri="{28A0092B-C50C-407E-A947-70E740481C1C}">
                                <a14:useLocalDpi xmlns:a14="http://schemas.microsoft.com/office/drawing/2010/main" val="0"/>
                              </a:ext>
                            </a:extLst>
                          </a:blip>
                          <a:srcRect l="-5733" t="-39467" r="-5431" b="-38983"/>
                          <a:stretch>
                            <a:fillRect/>
                          </a:stretch>
                        </pic:blipFill>
                        <pic:spPr bwMode="auto">
                          <a:xfrm>
                            <a:off x="0" y="0"/>
                            <a:ext cx="466725" cy="466725"/>
                          </a:xfrm>
                          <a:prstGeom prst="rect">
                            <a:avLst/>
                          </a:prstGeom>
                          <a:noFill/>
                          <a:ln>
                            <a:noFill/>
                          </a:ln>
                        </pic:spPr>
                      </pic:pic>
                    </a:graphicData>
                  </a:graphic>
                </wp:inline>
              </w:drawing>
            </w:r>
          </w:p>
        </w:tc>
        <w:tc>
          <w:tcPr>
            <w:tcW w:w="8904" w:type="dxa"/>
            <w:shd w:val="clear" w:color="auto" w:fill="FFFFFF"/>
            <w:vAlign w:val="center"/>
          </w:tcPr>
          <w:p w14:paraId="6B4333ED" w14:textId="77777777" w:rsidR="00D62C6E" w:rsidRDefault="00D62C6E" w:rsidP="00D62C6E">
            <w:pPr>
              <w:shd w:val="clear" w:color="auto" w:fill="FFFFFF"/>
              <w:spacing w:after="60"/>
              <w:rPr>
                <w:rFonts w:eastAsia="Times New Roman" w:cs="Times New Roman"/>
                <w:szCs w:val="24"/>
              </w:rPr>
            </w:pPr>
            <w:r>
              <w:rPr>
                <w:rFonts w:eastAsia="Times New Roman" w:cs="Times New Roman"/>
                <w:szCs w:val="24"/>
              </w:rPr>
              <w:t xml:space="preserve">Code CPV principal de la consultation : 30121100-4 : Photocopieurs  </w:t>
            </w:r>
          </w:p>
        </w:tc>
      </w:tr>
    </w:tbl>
    <w:p w14:paraId="112D558D" w14:textId="77777777" w:rsidR="00D62C6E" w:rsidRDefault="00D62C6E" w:rsidP="00D62C6E"/>
    <w:p w14:paraId="1337B0D5" w14:textId="77777777" w:rsidR="00D62C6E" w:rsidRPr="00B21A27" w:rsidRDefault="00D62C6E" w:rsidP="00D62C6E">
      <w:r>
        <w:br w:type="page"/>
      </w:r>
      <w:r w:rsidRPr="00332450">
        <w:rPr>
          <w:color w:val="04A49C"/>
          <w:sz w:val="56"/>
          <w:szCs w:val="56"/>
        </w:rPr>
        <w:lastRenderedPageBreak/>
        <w:t>Sommaire</w:t>
      </w:r>
    </w:p>
    <w:p w14:paraId="5A878E1B" w14:textId="77777777" w:rsidR="00D62C6E" w:rsidRPr="00743EB7" w:rsidRDefault="00D62C6E" w:rsidP="00D62C6E"/>
    <w:p w14:paraId="1D637A87" w14:textId="77777777" w:rsidR="00500606" w:rsidRPr="005C04B4" w:rsidRDefault="00D62C6E">
      <w:pPr>
        <w:pStyle w:val="TM2"/>
        <w:rPr>
          <w:rFonts w:eastAsia="Times New Roman" w:cs="Times New Roman"/>
          <w:smallCaps w:val="0"/>
          <w:noProof/>
          <w:color w:val="auto"/>
          <w:szCs w:val="22"/>
          <w:lang w:val="fr-FR" w:eastAsia="fr-FR"/>
        </w:rPr>
      </w:pPr>
      <w:r w:rsidRPr="00743EB7">
        <w:rPr>
          <w:b/>
          <w:szCs w:val="22"/>
          <w:lang w:val="fr-FR"/>
        </w:rPr>
        <w:fldChar w:fldCharType="begin"/>
      </w:r>
      <w:r w:rsidRPr="00743EB7">
        <w:rPr>
          <w:b/>
          <w:szCs w:val="22"/>
          <w:lang w:val="fr-FR"/>
        </w:rPr>
        <w:instrText xml:space="preserve"> TOC \o "1-3" \h \z \t "Addendum;1" </w:instrText>
      </w:r>
      <w:r w:rsidRPr="00743EB7">
        <w:rPr>
          <w:b/>
          <w:szCs w:val="22"/>
          <w:lang w:val="fr-FR"/>
        </w:rPr>
        <w:fldChar w:fldCharType="separate"/>
      </w:r>
      <w:hyperlink w:anchor="_Toc219977849" w:history="1">
        <w:r w:rsidR="00500606" w:rsidRPr="005A5D3A">
          <w:rPr>
            <w:rStyle w:val="Lienhypertexte"/>
            <w:noProof/>
          </w:rPr>
          <w:t>Article 1.</w:t>
        </w:r>
        <w:r w:rsidR="00500606" w:rsidRPr="005C04B4">
          <w:rPr>
            <w:rFonts w:eastAsia="Times New Roman" w:cs="Times New Roman"/>
            <w:smallCaps w:val="0"/>
            <w:noProof/>
            <w:color w:val="auto"/>
            <w:szCs w:val="22"/>
            <w:lang w:val="fr-FR" w:eastAsia="fr-FR"/>
          </w:rPr>
          <w:tab/>
        </w:r>
        <w:r w:rsidR="00500606" w:rsidRPr="005A5D3A">
          <w:rPr>
            <w:rStyle w:val="Lienhypertexte"/>
            <w:noProof/>
          </w:rPr>
          <w:t>Dispositions générales</w:t>
        </w:r>
        <w:r w:rsidR="00500606">
          <w:rPr>
            <w:noProof/>
            <w:webHidden/>
          </w:rPr>
          <w:tab/>
        </w:r>
        <w:r w:rsidR="00500606">
          <w:rPr>
            <w:noProof/>
            <w:webHidden/>
          </w:rPr>
          <w:fldChar w:fldCharType="begin"/>
        </w:r>
        <w:r w:rsidR="00500606">
          <w:rPr>
            <w:noProof/>
            <w:webHidden/>
          </w:rPr>
          <w:instrText xml:space="preserve"> PAGEREF _Toc219977849 \h </w:instrText>
        </w:r>
        <w:r w:rsidR="00500606">
          <w:rPr>
            <w:noProof/>
            <w:webHidden/>
          </w:rPr>
        </w:r>
        <w:r w:rsidR="00500606">
          <w:rPr>
            <w:noProof/>
            <w:webHidden/>
          </w:rPr>
          <w:fldChar w:fldCharType="separate"/>
        </w:r>
        <w:r w:rsidR="00500606">
          <w:rPr>
            <w:noProof/>
            <w:webHidden/>
          </w:rPr>
          <w:t>4</w:t>
        </w:r>
        <w:r w:rsidR="00500606">
          <w:rPr>
            <w:noProof/>
            <w:webHidden/>
          </w:rPr>
          <w:fldChar w:fldCharType="end"/>
        </w:r>
      </w:hyperlink>
    </w:p>
    <w:p w14:paraId="0C6042EB" w14:textId="77777777" w:rsidR="00500606" w:rsidRPr="005C04B4" w:rsidRDefault="00500606">
      <w:pPr>
        <w:pStyle w:val="TM3"/>
        <w:tabs>
          <w:tab w:val="left" w:pos="1100"/>
          <w:tab w:val="right" w:leader="dot" w:pos="9560"/>
        </w:tabs>
        <w:rPr>
          <w:rFonts w:eastAsia="Times New Roman" w:cs="Times New Roman"/>
          <w:noProof/>
          <w:color w:val="auto"/>
          <w:lang w:eastAsia="fr-FR"/>
        </w:rPr>
      </w:pPr>
      <w:hyperlink w:anchor="_Toc219977850" w:history="1">
        <w:r w:rsidRPr="005A5D3A">
          <w:rPr>
            <w:rStyle w:val="Lienhypertexte"/>
            <w:noProof/>
          </w:rPr>
          <w:t>1.1.</w:t>
        </w:r>
        <w:r w:rsidRPr="005C04B4">
          <w:rPr>
            <w:rFonts w:eastAsia="Times New Roman" w:cs="Times New Roman"/>
            <w:noProof/>
            <w:color w:val="auto"/>
            <w:lang w:eastAsia="fr-FR"/>
          </w:rPr>
          <w:tab/>
        </w:r>
        <w:r w:rsidRPr="005A5D3A">
          <w:rPr>
            <w:rStyle w:val="Lienhypertexte"/>
            <w:noProof/>
          </w:rPr>
          <w:t>Objet de la consultation</w:t>
        </w:r>
        <w:r>
          <w:rPr>
            <w:noProof/>
            <w:webHidden/>
          </w:rPr>
          <w:tab/>
        </w:r>
        <w:r>
          <w:rPr>
            <w:noProof/>
            <w:webHidden/>
          </w:rPr>
          <w:fldChar w:fldCharType="begin"/>
        </w:r>
        <w:r>
          <w:rPr>
            <w:noProof/>
            <w:webHidden/>
          </w:rPr>
          <w:instrText xml:space="preserve"> PAGEREF _Toc219977850 \h </w:instrText>
        </w:r>
        <w:r>
          <w:rPr>
            <w:noProof/>
            <w:webHidden/>
          </w:rPr>
        </w:r>
        <w:r>
          <w:rPr>
            <w:noProof/>
            <w:webHidden/>
          </w:rPr>
          <w:fldChar w:fldCharType="separate"/>
        </w:r>
        <w:r>
          <w:rPr>
            <w:noProof/>
            <w:webHidden/>
          </w:rPr>
          <w:t>4</w:t>
        </w:r>
        <w:r>
          <w:rPr>
            <w:noProof/>
            <w:webHidden/>
          </w:rPr>
          <w:fldChar w:fldCharType="end"/>
        </w:r>
      </w:hyperlink>
    </w:p>
    <w:p w14:paraId="63F3FBD9" w14:textId="77777777" w:rsidR="00500606" w:rsidRPr="005C04B4" w:rsidRDefault="00500606">
      <w:pPr>
        <w:pStyle w:val="TM3"/>
        <w:tabs>
          <w:tab w:val="left" w:pos="1100"/>
          <w:tab w:val="right" w:leader="dot" w:pos="9560"/>
        </w:tabs>
        <w:rPr>
          <w:rFonts w:eastAsia="Times New Roman" w:cs="Times New Roman"/>
          <w:noProof/>
          <w:color w:val="auto"/>
          <w:lang w:eastAsia="fr-FR"/>
        </w:rPr>
      </w:pPr>
      <w:hyperlink w:anchor="_Toc219977851" w:history="1">
        <w:r w:rsidRPr="005A5D3A">
          <w:rPr>
            <w:rStyle w:val="Lienhypertexte"/>
            <w:noProof/>
          </w:rPr>
          <w:t>1.2.</w:t>
        </w:r>
        <w:r w:rsidRPr="005C04B4">
          <w:rPr>
            <w:rFonts w:eastAsia="Times New Roman" w:cs="Times New Roman"/>
            <w:noProof/>
            <w:color w:val="auto"/>
            <w:lang w:eastAsia="fr-FR"/>
          </w:rPr>
          <w:tab/>
        </w:r>
        <w:r w:rsidRPr="005A5D3A">
          <w:rPr>
            <w:rStyle w:val="Lienhypertexte"/>
            <w:noProof/>
          </w:rPr>
          <w:t>Code CPV</w:t>
        </w:r>
        <w:r>
          <w:rPr>
            <w:noProof/>
            <w:webHidden/>
          </w:rPr>
          <w:tab/>
        </w:r>
        <w:r>
          <w:rPr>
            <w:noProof/>
            <w:webHidden/>
          </w:rPr>
          <w:fldChar w:fldCharType="begin"/>
        </w:r>
        <w:r>
          <w:rPr>
            <w:noProof/>
            <w:webHidden/>
          </w:rPr>
          <w:instrText xml:space="preserve"> PAGEREF _Toc219977851 \h </w:instrText>
        </w:r>
        <w:r>
          <w:rPr>
            <w:noProof/>
            <w:webHidden/>
          </w:rPr>
        </w:r>
        <w:r>
          <w:rPr>
            <w:noProof/>
            <w:webHidden/>
          </w:rPr>
          <w:fldChar w:fldCharType="separate"/>
        </w:r>
        <w:r>
          <w:rPr>
            <w:noProof/>
            <w:webHidden/>
          </w:rPr>
          <w:t>4</w:t>
        </w:r>
        <w:r>
          <w:rPr>
            <w:noProof/>
            <w:webHidden/>
          </w:rPr>
          <w:fldChar w:fldCharType="end"/>
        </w:r>
      </w:hyperlink>
    </w:p>
    <w:p w14:paraId="2211A2CE" w14:textId="77777777" w:rsidR="00500606" w:rsidRPr="005C04B4" w:rsidRDefault="00500606">
      <w:pPr>
        <w:pStyle w:val="TM3"/>
        <w:tabs>
          <w:tab w:val="left" w:pos="1100"/>
          <w:tab w:val="right" w:leader="dot" w:pos="9560"/>
        </w:tabs>
        <w:rPr>
          <w:rFonts w:eastAsia="Times New Roman" w:cs="Times New Roman"/>
          <w:noProof/>
          <w:color w:val="auto"/>
          <w:lang w:eastAsia="fr-FR"/>
        </w:rPr>
      </w:pPr>
      <w:hyperlink w:anchor="_Toc219977852" w:history="1">
        <w:r w:rsidRPr="005A5D3A">
          <w:rPr>
            <w:rStyle w:val="Lienhypertexte"/>
            <w:noProof/>
          </w:rPr>
          <w:t>1.3.</w:t>
        </w:r>
        <w:r w:rsidRPr="005C04B4">
          <w:rPr>
            <w:rFonts w:eastAsia="Times New Roman" w:cs="Times New Roman"/>
            <w:noProof/>
            <w:color w:val="auto"/>
            <w:lang w:eastAsia="fr-FR"/>
          </w:rPr>
          <w:tab/>
        </w:r>
        <w:r w:rsidRPr="005A5D3A">
          <w:rPr>
            <w:rStyle w:val="Lienhypertexte"/>
            <w:noProof/>
          </w:rPr>
          <w:t>Calendrier prévisionnel de la procédure</w:t>
        </w:r>
        <w:r>
          <w:rPr>
            <w:noProof/>
            <w:webHidden/>
          </w:rPr>
          <w:tab/>
        </w:r>
        <w:r>
          <w:rPr>
            <w:noProof/>
            <w:webHidden/>
          </w:rPr>
          <w:fldChar w:fldCharType="begin"/>
        </w:r>
        <w:r>
          <w:rPr>
            <w:noProof/>
            <w:webHidden/>
          </w:rPr>
          <w:instrText xml:space="preserve"> PAGEREF _Toc219977852 \h </w:instrText>
        </w:r>
        <w:r>
          <w:rPr>
            <w:noProof/>
            <w:webHidden/>
          </w:rPr>
        </w:r>
        <w:r>
          <w:rPr>
            <w:noProof/>
            <w:webHidden/>
          </w:rPr>
          <w:fldChar w:fldCharType="separate"/>
        </w:r>
        <w:r>
          <w:rPr>
            <w:noProof/>
            <w:webHidden/>
          </w:rPr>
          <w:t>4</w:t>
        </w:r>
        <w:r>
          <w:rPr>
            <w:noProof/>
            <w:webHidden/>
          </w:rPr>
          <w:fldChar w:fldCharType="end"/>
        </w:r>
      </w:hyperlink>
    </w:p>
    <w:p w14:paraId="199F6CB0" w14:textId="77777777" w:rsidR="00500606" w:rsidRPr="005C04B4" w:rsidRDefault="00500606">
      <w:pPr>
        <w:pStyle w:val="TM3"/>
        <w:tabs>
          <w:tab w:val="left" w:pos="1100"/>
          <w:tab w:val="right" w:leader="dot" w:pos="9560"/>
        </w:tabs>
        <w:rPr>
          <w:rFonts w:eastAsia="Times New Roman" w:cs="Times New Roman"/>
          <w:noProof/>
          <w:color w:val="auto"/>
          <w:lang w:eastAsia="fr-FR"/>
        </w:rPr>
      </w:pPr>
      <w:hyperlink w:anchor="_Toc219977853" w:history="1">
        <w:r w:rsidRPr="005A5D3A">
          <w:rPr>
            <w:rStyle w:val="Lienhypertexte"/>
            <w:noProof/>
          </w:rPr>
          <w:t>1.4.</w:t>
        </w:r>
        <w:r w:rsidRPr="005C04B4">
          <w:rPr>
            <w:rFonts w:eastAsia="Times New Roman" w:cs="Times New Roman"/>
            <w:noProof/>
            <w:color w:val="auto"/>
            <w:lang w:eastAsia="fr-FR"/>
          </w:rPr>
          <w:tab/>
        </w:r>
        <w:r w:rsidRPr="005A5D3A">
          <w:rPr>
            <w:rStyle w:val="Lienhypertexte"/>
            <w:noProof/>
          </w:rPr>
          <w:t>Durée</w:t>
        </w:r>
        <w:r>
          <w:rPr>
            <w:noProof/>
            <w:webHidden/>
          </w:rPr>
          <w:tab/>
        </w:r>
        <w:r>
          <w:rPr>
            <w:noProof/>
            <w:webHidden/>
          </w:rPr>
          <w:fldChar w:fldCharType="begin"/>
        </w:r>
        <w:r>
          <w:rPr>
            <w:noProof/>
            <w:webHidden/>
          </w:rPr>
          <w:instrText xml:space="preserve"> PAGEREF _Toc219977853 \h </w:instrText>
        </w:r>
        <w:r>
          <w:rPr>
            <w:noProof/>
            <w:webHidden/>
          </w:rPr>
        </w:r>
        <w:r>
          <w:rPr>
            <w:noProof/>
            <w:webHidden/>
          </w:rPr>
          <w:fldChar w:fldCharType="separate"/>
        </w:r>
        <w:r>
          <w:rPr>
            <w:noProof/>
            <w:webHidden/>
          </w:rPr>
          <w:t>4</w:t>
        </w:r>
        <w:r>
          <w:rPr>
            <w:noProof/>
            <w:webHidden/>
          </w:rPr>
          <w:fldChar w:fldCharType="end"/>
        </w:r>
      </w:hyperlink>
    </w:p>
    <w:p w14:paraId="14196A17" w14:textId="77777777" w:rsidR="00500606" w:rsidRPr="005C04B4" w:rsidRDefault="00500606">
      <w:pPr>
        <w:pStyle w:val="TM3"/>
        <w:tabs>
          <w:tab w:val="left" w:pos="1100"/>
          <w:tab w:val="right" w:leader="dot" w:pos="9560"/>
        </w:tabs>
        <w:rPr>
          <w:rFonts w:eastAsia="Times New Roman" w:cs="Times New Roman"/>
          <w:noProof/>
          <w:color w:val="auto"/>
          <w:lang w:eastAsia="fr-FR"/>
        </w:rPr>
      </w:pPr>
      <w:hyperlink w:anchor="_Toc219977854" w:history="1">
        <w:r w:rsidRPr="005A5D3A">
          <w:rPr>
            <w:rStyle w:val="Lienhypertexte"/>
            <w:noProof/>
          </w:rPr>
          <w:t>1.5.</w:t>
        </w:r>
        <w:r w:rsidRPr="005C04B4">
          <w:rPr>
            <w:rFonts w:eastAsia="Times New Roman" w:cs="Times New Roman"/>
            <w:noProof/>
            <w:color w:val="auto"/>
            <w:lang w:eastAsia="fr-FR"/>
          </w:rPr>
          <w:tab/>
        </w:r>
        <w:r w:rsidRPr="005A5D3A">
          <w:rPr>
            <w:rStyle w:val="Lienhypertexte"/>
            <w:noProof/>
          </w:rPr>
          <w:t>Réversibilité des prestations</w:t>
        </w:r>
        <w:r>
          <w:rPr>
            <w:noProof/>
            <w:webHidden/>
          </w:rPr>
          <w:tab/>
        </w:r>
        <w:r>
          <w:rPr>
            <w:noProof/>
            <w:webHidden/>
          </w:rPr>
          <w:fldChar w:fldCharType="begin"/>
        </w:r>
        <w:r>
          <w:rPr>
            <w:noProof/>
            <w:webHidden/>
          </w:rPr>
          <w:instrText xml:space="preserve"> PAGEREF _Toc219977854 \h </w:instrText>
        </w:r>
        <w:r>
          <w:rPr>
            <w:noProof/>
            <w:webHidden/>
          </w:rPr>
        </w:r>
        <w:r>
          <w:rPr>
            <w:noProof/>
            <w:webHidden/>
          </w:rPr>
          <w:fldChar w:fldCharType="separate"/>
        </w:r>
        <w:r>
          <w:rPr>
            <w:noProof/>
            <w:webHidden/>
          </w:rPr>
          <w:t>5</w:t>
        </w:r>
        <w:r>
          <w:rPr>
            <w:noProof/>
            <w:webHidden/>
          </w:rPr>
          <w:fldChar w:fldCharType="end"/>
        </w:r>
      </w:hyperlink>
    </w:p>
    <w:p w14:paraId="2E07B924" w14:textId="77777777" w:rsidR="00500606" w:rsidRPr="005C04B4" w:rsidRDefault="00500606">
      <w:pPr>
        <w:pStyle w:val="TM2"/>
        <w:rPr>
          <w:rFonts w:eastAsia="Times New Roman" w:cs="Times New Roman"/>
          <w:smallCaps w:val="0"/>
          <w:noProof/>
          <w:color w:val="auto"/>
          <w:szCs w:val="22"/>
          <w:lang w:val="fr-FR" w:eastAsia="fr-FR"/>
        </w:rPr>
      </w:pPr>
      <w:hyperlink w:anchor="_Toc219977855" w:history="1">
        <w:r w:rsidRPr="005A5D3A">
          <w:rPr>
            <w:rStyle w:val="Lienhypertexte"/>
            <w:noProof/>
          </w:rPr>
          <w:t>Article 2.</w:t>
        </w:r>
        <w:r w:rsidRPr="005C04B4">
          <w:rPr>
            <w:rFonts w:eastAsia="Times New Roman" w:cs="Times New Roman"/>
            <w:smallCaps w:val="0"/>
            <w:noProof/>
            <w:color w:val="auto"/>
            <w:szCs w:val="22"/>
            <w:lang w:val="fr-FR" w:eastAsia="fr-FR"/>
          </w:rPr>
          <w:tab/>
        </w:r>
        <w:r w:rsidRPr="005A5D3A">
          <w:rPr>
            <w:rStyle w:val="Lienhypertexte"/>
            <w:noProof/>
          </w:rPr>
          <w:t>Dossier de consultation</w:t>
        </w:r>
        <w:r>
          <w:rPr>
            <w:noProof/>
            <w:webHidden/>
          </w:rPr>
          <w:tab/>
        </w:r>
        <w:r>
          <w:rPr>
            <w:noProof/>
            <w:webHidden/>
          </w:rPr>
          <w:fldChar w:fldCharType="begin"/>
        </w:r>
        <w:r>
          <w:rPr>
            <w:noProof/>
            <w:webHidden/>
          </w:rPr>
          <w:instrText xml:space="preserve"> PAGEREF _Toc219977855 \h </w:instrText>
        </w:r>
        <w:r>
          <w:rPr>
            <w:noProof/>
            <w:webHidden/>
          </w:rPr>
        </w:r>
        <w:r>
          <w:rPr>
            <w:noProof/>
            <w:webHidden/>
          </w:rPr>
          <w:fldChar w:fldCharType="separate"/>
        </w:r>
        <w:r>
          <w:rPr>
            <w:noProof/>
            <w:webHidden/>
          </w:rPr>
          <w:t>5</w:t>
        </w:r>
        <w:r>
          <w:rPr>
            <w:noProof/>
            <w:webHidden/>
          </w:rPr>
          <w:fldChar w:fldCharType="end"/>
        </w:r>
      </w:hyperlink>
    </w:p>
    <w:p w14:paraId="79566A2C" w14:textId="77777777" w:rsidR="00500606" w:rsidRPr="005C04B4" w:rsidRDefault="00500606">
      <w:pPr>
        <w:pStyle w:val="TM2"/>
        <w:rPr>
          <w:rFonts w:eastAsia="Times New Roman" w:cs="Times New Roman"/>
          <w:smallCaps w:val="0"/>
          <w:noProof/>
          <w:color w:val="auto"/>
          <w:szCs w:val="22"/>
          <w:lang w:val="fr-FR" w:eastAsia="fr-FR"/>
        </w:rPr>
      </w:pPr>
      <w:hyperlink w:anchor="_Toc219977856" w:history="1">
        <w:r w:rsidRPr="005A5D3A">
          <w:rPr>
            <w:rStyle w:val="Lienhypertexte"/>
            <w:noProof/>
          </w:rPr>
          <w:t>Article 3.</w:t>
        </w:r>
        <w:r w:rsidRPr="005C04B4">
          <w:rPr>
            <w:rFonts w:eastAsia="Times New Roman" w:cs="Times New Roman"/>
            <w:smallCaps w:val="0"/>
            <w:noProof/>
            <w:color w:val="auto"/>
            <w:szCs w:val="22"/>
            <w:lang w:val="fr-FR" w:eastAsia="fr-FR"/>
          </w:rPr>
          <w:tab/>
        </w:r>
        <w:r w:rsidRPr="005A5D3A">
          <w:rPr>
            <w:rStyle w:val="Lienhypertexte"/>
            <w:noProof/>
          </w:rPr>
          <w:t>Conditions de la consultation</w:t>
        </w:r>
        <w:r>
          <w:rPr>
            <w:noProof/>
            <w:webHidden/>
          </w:rPr>
          <w:tab/>
        </w:r>
        <w:r>
          <w:rPr>
            <w:noProof/>
            <w:webHidden/>
          </w:rPr>
          <w:fldChar w:fldCharType="begin"/>
        </w:r>
        <w:r>
          <w:rPr>
            <w:noProof/>
            <w:webHidden/>
          </w:rPr>
          <w:instrText xml:space="preserve"> PAGEREF _Toc219977856 \h </w:instrText>
        </w:r>
        <w:r>
          <w:rPr>
            <w:noProof/>
            <w:webHidden/>
          </w:rPr>
        </w:r>
        <w:r>
          <w:rPr>
            <w:noProof/>
            <w:webHidden/>
          </w:rPr>
          <w:fldChar w:fldCharType="separate"/>
        </w:r>
        <w:r>
          <w:rPr>
            <w:noProof/>
            <w:webHidden/>
          </w:rPr>
          <w:t>6</w:t>
        </w:r>
        <w:r>
          <w:rPr>
            <w:noProof/>
            <w:webHidden/>
          </w:rPr>
          <w:fldChar w:fldCharType="end"/>
        </w:r>
      </w:hyperlink>
    </w:p>
    <w:p w14:paraId="033420DC" w14:textId="77777777" w:rsidR="00500606" w:rsidRPr="005C04B4" w:rsidRDefault="00500606">
      <w:pPr>
        <w:pStyle w:val="TM3"/>
        <w:tabs>
          <w:tab w:val="left" w:pos="1100"/>
          <w:tab w:val="right" w:leader="dot" w:pos="9560"/>
        </w:tabs>
        <w:rPr>
          <w:rFonts w:eastAsia="Times New Roman" w:cs="Times New Roman"/>
          <w:noProof/>
          <w:color w:val="auto"/>
          <w:lang w:eastAsia="fr-FR"/>
        </w:rPr>
      </w:pPr>
      <w:hyperlink w:anchor="_Toc219977857" w:history="1">
        <w:r w:rsidRPr="005A5D3A">
          <w:rPr>
            <w:rStyle w:val="Lienhypertexte"/>
            <w:noProof/>
          </w:rPr>
          <w:t>3.1.</w:t>
        </w:r>
        <w:r w:rsidRPr="005C04B4">
          <w:rPr>
            <w:rFonts w:eastAsia="Times New Roman" w:cs="Times New Roman"/>
            <w:noProof/>
            <w:color w:val="auto"/>
            <w:lang w:eastAsia="fr-FR"/>
          </w:rPr>
          <w:tab/>
        </w:r>
        <w:r w:rsidRPr="005A5D3A">
          <w:rPr>
            <w:rStyle w:val="Lienhypertexte"/>
            <w:noProof/>
          </w:rPr>
          <w:t>Procédure de passation</w:t>
        </w:r>
        <w:r>
          <w:rPr>
            <w:noProof/>
            <w:webHidden/>
          </w:rPr>
          <w:tab/>
        </w:r>
        <w:r>
          <w:rPr>
            <w:noProof/>
            <w:webHidden/>
          </w:rPr>
          <w:fldChar w:fldCharType="begin"/>
        </w:r>
        <w:r>
          <w:rPr>
            <w:noProof/>
            <w:webHidden/>
          </w:rPr>
          <w:instrText xml:space="preserve"> PAGEREF _Toc219977857 \h </w:instrText>
        </w:r>
        <w:r>
          <w:rPr>
            <w:noProof/>
            <w:webHidden/>
          </w:rPr>
        </w:r>
        <w:r>
          <w:rPr>
            <w:noProof/>
            <w:webHidden/>
          </w:rPr>
          <w:fldChar w:fldCharType="separate"/>
        </w:r>
        <w:r>
          <w:rPr>
            <w:noProof/>
            <w:webHidden/>
          </w:rPr>
          <w:t>6</w:t>
        </w:r>
        <w:r>
          <w:rPr>
            <w:noProof/>
            <w:webHidden/>
          </w:rPr>
          <w:fldChar w:fldCharType="end"/>
        </w:r>
      </w:hyperlink>
    </w:p>
    <w:p w14:paraId="01DD499A" w14:textId="77777777" w:rsidR="00500606" w:rsidRPr="005C04B4" w:rsidRDefault="00500606">
      <w:pPr>
        <w:pStyle w:val="TM3"/>
        <w:tabs>
          <w:tab w:val="left" w:pos="1100"/>
          <w:tab w:val="right" w:leader="dot" w:pos="9560"/>
        </w:tabs>
        <w:rPr>
          <w:rFonts w:eastAsia="Times New Roman" w:cs="Times New Roman"/>
          <w:noProof/>
          <w:color w:val="auto"/>
          <w:lang w:eastAsia="fr-FR"/>
        </w:rPr>
      </w:pPr>
      <w:hyperlink w:anchor="_Toc219977858" w:history="1">
        <w:r w:rsidRPr="005A5D3A">
          <w:rPr>
            <w:rStyle w:val="Lienhypertexte"/>
            <w:noProof/>
          </w:rPr>
          <w:t>3.2.</w:t>
        </w:r>
        <w:r w:rsidRPr="005C04B4">
          <w:rPr>
            <w:rFonts w:eastAsia="Times New Roman" w:cs="Times New Roman"/>
            <w:noProof/>
            <w:color w:val="auto"/>
            <w:lang w:eastAsia="fr-FR"/>
          </w:rPr>
          <w:tab/>
        </w:r>
        <w:r w:rsidRPr="005A5D3A">
          <w:rPr>
            <w:rStyle w:val="Lienhypertexte"/>
            <w:noProof/>
          </w:rPr>
          <w:t>Allotissement</w:t>
        </w:r>
        <w:r>
          <w:rPr>
            <w:noProof/>
            <w:webHidden/>
          </w:rPr>
          <w:tab/>
        </w:r>
        <w:r>
          <w:rPr>
            <w:noProof/>
            <w:webHidden/>
          </w:rPr>
          <w:fldChar w:fldCharType="begin"/>
        </w:r>
        <w:r>
          <w:rPr>
            <w:noProof/>
            <w:webHidden/>
          </w:rPr>
          <w:instrText xml:space="preserve"> PAGEREF _Toc219977858 \h </w:instrText>
        </w:r>
        <w:r>
          <w:rPr>
            <w:noProof/>
            <w:webHidden/>
          </w:rPr>
        </w:r>
        <w:r>
          <w:rPr>
            <w:noProof/>
            <w:webHidden/>
          </w:rPr>
          <w:fldChar w:fldCharType="separate"/>
        </w:r>
        <w:r>
          <w:rPr>
            <w:noProof/>
            <w:webHidden/>
          </w:rPr>
          <w:t>6</w:t>
        </w:r>
        <w:r>
          <w:rPr>
            <w:noProof/>
            <w:webHidden/>
          </w:rPr>
          <w:fldChar w:fldCharType="end"/>
        </w:r>
      </w:hyperlink>
    </w:p>
    <w:p w14:paraId="215D5CD6" w14:textId="77777777" w:rsidR="00500606" w:rsidRPr="005C04B4" w:rsidRDefault="00500606">
      <w:pPr>
        <w:pStyle w:val="TM3"/>
        <w:tabs>
          <w:tab w:val="left" w:pos="1100"/>
          <w:tab w:val="right" w:leader="dot" w:pos="9560"/>
        </w:tabs>
        <w:rPr>
          <w:rFonts w:eastAsia="Times New Roman" w:cs="Times New Roman"/>
          <w:noProof/>
          <w:color w:val="auto"/>
          <w:lang w:eastAsia="fr-FR"/>
        </w:rPr>
      </w:pPr>
      <w:hyperlink w:anchor="_Toc219977859" w:history="1">
        <w:r w:rsidRPr="005A5D3A">
          <w:rPr>
            <w:rStyle w:val="Lienhypertexte"/>
            <w:noProof/>
          </w:rPr>
          <w:t>3.3.</w:t>
        </w:r>
        <w:r w:rsidRPr="005C04B4">
          <w:rPr>
            <w:rFonts w:eastAsia="Times New Roman" w:cs="Times New Roman"/>
            <w:noProof/>
            <w:color w:val="auto"/>
            <w:lang w:eastAsia="fr-FR"/>
          </w:rPr>
          <w:tab/>
        </w:r>
        <w:r w:rsidRPr="005A5D3A">
          <w:rPr>
            <w:rStyle w:val="Lienhypertexte"/>
            <w:noProof/>
          </w:rPr>
          <w:t>Renseignements complémentaires</w:t>
        </w:r>
        <w:r>
          <w:rPr>
            <w:noProof/>
            <w:webHidden/>
          </w:rPr>
          <w:tab/>
        </w:r>
        <w:r>
          <w:rPr>
            <w:noProof/>
            <w:webHidden/>
          </w:rPr>
          <w:fldChar w:fldCharType="begin"/>
        </w:r>
        <w:r>
          <w:rPr>
            <w:noProof/>
            <w:webHidden/>
          </w:rPr>
          <w:instrText xml:space="preserve"> PAGEREF _Toc219977859 \h </w:instrText>
        </w:r>
        <w:r>
          <w:rPr>
            <w:noProof/>
            <w:webHidden/>
          </w:rPr>
        </w:r>
        <w:r>
          <w:rPr>
            <w:noProof/>
            <w:webHidden/>
          </w:rPr>
          <w:fldChar w:fldCharType="separate"/>
        </w:r>
        <w:r>
          <w:rPr>
            <w:noProof/>
            <w:webHidden/>
          </w:rPr>
          <w:t>7</w:t>
        </w:r>
        <w:r>
          <w:rPr>
            <w:noProof/>
            <w:webHidden/>
          </w:rPr>
          <w:fldChar w:fldCharType="end"/>
        </w:r>
      </w:hyperlink>
    </w:p>
    <w:p w14:paraId="15BF3796" w14:textId="77777777" w:rsidR="00500606" w:rsidRPr="005C04B4" w:rsidRDefault="00500606">
      <w:pPr>
        <w:pStyle w:val="TM2"/>
        <w:rPr>
          <w:rFonts w:eastAsia="Times New Roman" w:cs="Times New Roman"/>
          <w:smallCaps w:val="0"/>
          <w:noProof/>
          <w:color w:val="auto"/>
          <w:szCs w:val="22"/>
          <w:lang w:val="fr-FR" w:eastAsia="fr-FR"/>
        </w:rPr>
      </w:pPr>
      <w:hyperlink w:anchor="_Toc219977860" w:history="1">
        <w:r w:rsidRPr="005A5D3A">
          <w:rPr>
            <w:rStyle w:val="Lienhypertexte"/>
            <w:noProof/>
          </w:rPr>
          <w:t>Article 4.</w:t>
        </w:r>
        <w:r w:rsidRPr="005C04B4">
          <w:rPr>
            <w:rFonts w:eastAsia="Times New Roman" w:cs="Times New Roman"/>
            <w:smallCaps w:val="0"/>
            <w:noProof/>
            <w:color w:val="auto"/>
            <w:szCs w:val="22"/>
            <w:lang w:val="fr-FR" w:eastAsia="fr-FR"/>
          </w:rPr>
          <w:tab/>
        </w:r>
        <w:r w:rsidRPr="005A5D3A">
          <w:rPr>
            <w:rStyle w:val="Lienhypertexte"/>
            <w:noProof/>
          </w:rPr>
          <w:t>Présentation de la candidature</w:t>
        </w:r>
        <w:r>
          <w:rPr>
            <w:noProof/>
            <w:webHidden/>
          </w:rPr>
          <w:tab/>
        </w:r>
        <w:r>
          <w:rPr>
            <w:noProof/>
            <w:webHidden/>
          </w:rPr>
          <w:fldChar w:fldCharType="begin"/>
        </w:r>
        <w:r>
          <w:rPr>
            <w:noProof/>
            <w:webHidden/>
          </w:rPr>
          <w:instrText xml:space="preserve"> PAGEREF _Toc219977860 \h </w:instrText>
        </w:r>
        <w:r>
          <w:rPr>
            <w:noProof/>
            <w:webHidden/>
          </w:rPr>
        </w:r>
        <w:r>
          <w:rPr>
            <w:noProof/>
            <w:webHidden/>
          </w:rPr>
          <w:fldChar w:fldCharType="separate"/>
        </w:r>
        <w:r>
          <w:rPr>
            <w:noProof/>
            <w:webHidden/>
          </w:rPr>
          <w:t>7</w:t>
        </w:r>
        <w:r>
          <w:rPr>
            <w:noProof/>
            <w:webHidden/>
          </w:rPr>
          <w:fldChar w:fldCharType="end"/>
        </w:r>
      </w:hyperlink>
    </w:p>
    <w:p w14:paraId="63C42A04" w14:textId="77777777" w:rsidR="00500606" w:rsidRPr="005C04B4" w:rsidRDefault="00500606">
      <w:pPr>
        <w:pStyle w:val="TM3"/>
        <w:tabs>
          <w:tab w:val="left" w:pos="1100"/>
          <w:tab w:val="right" w:leader="dot" w:pos="9560"/>
        </w:tabs>
        <w:rPr>
          <w:rFonts w:eastAsia="Times New Roman" w:cs="Times New Roman"/>
          <w:noProof/>
          <w:color w:val="auto"/>
          <w:lang w:eastAsia="fr-FR"/>
        </w:rPr>
      </w:pPr>
      <w:hyperlink w:anchor="_Toc219977861" w:history="1">
        <w:r w:rsidRPr="005A5D3A">
          <w:rPr>
            <w:rStyle w:val="Lienhypertexte"/>
            <w:noProof/>
          </w:rPr>
          <w:t>4.1.</w:t>
        </w:r>
        <w:r w:rsidRPr="005C04B4">
          <w:rPr>
            <w:rFonts w:eastAsia="Times New Roman" w:cs="Times New Roman"/>
            <w:noProof/>
            <w:color w:val="auto"/>
            <w:lang w:eastAsia="fr-FR"/>
          </w:rPr>
          <w:tab/>
        </w:r>
        <w:r w:rsidRPr="005A5D3A">
          <w:rPr>
            <w:rStyle w:val="Lienhypertexte"/>
            <w:noProof/>
          </w:rPr>
          <w:t>Dossier de candidature</w:t>
        </w:r>
        <w:r>
          <w:rPr>
            <w:noProof/>
            <w:webHidden/>
          </w:rPr>
          <w:tab/>
        </w:r>
        <w:r>
          <w:rPr>
            <w:noProof/>
            <w:webHidden/>
          </w:rPr>
          <w:fldChar w:fldCharType="begin"/>
        </w:r>
        <w:r>
          <w:rPr>
            <w:noProof/>
            <w:webHidden/>
          </w:rPr>
          <w:instrText xml:space="preserve"> PAGEREF _Toc219977861 \h </w:instrText>
        </w:r>
        <w:r>
          <w:rPr>
            <w:noProof/>
            <w:webHidden/>
          </w:rPr>
        </w:r>
        <w:r>
          <w:rPr>
            <w:noProof/>
            <w:webHidden/>
          </w:rPr>
          <w:fldChar w:fldCharType="separate"/>
        </w:r>
        <w:r>
          <w:rPr>
            <w:noProof/>
            <w:webHidden/>
          </w:rPr>
          <w:t>7</w:t>
        </w:r>
        <w:r>
          <w:rPr>
            <w:noProof/>
            <w:webHidden/>
          </w:rPr>
          <w:fldChar w:fldCharType="end"/>
        </w:r>
      </w:hyperlink>
    </w:p>
    <w:p w14:paraId="778CC1F4" w14:textId="77777777" w:rsidR="00500606" w:rsidRPr="005C04B4" w:rsidRDefault="00500606">
      <w:pPr>
        <w:pStyle w:val="TM3"/>
        <w:tabs>
          <w:tab w:val="left" w:pos="1100"/>
          <w:tab w:val="right" w:leader="dot" w:pos="9560"/>
        </w:tabs>
        <w:rPr>
          <w:rFonts w:eastAsia="Times New Roman" w:cs="Times New Roman"/>
          <w:noProof/>
          <w:color w:val="auto"/>
          <w:lang w:eastAsia="fr-FR"/>
        </w:rPr>
      </w:pPr>
      <w:hyperlink w:anchor="_Toc219977862" w:history="1">
        <w:r w:rsidRPr="005A5D3A">
          <w:rPr>
            <w:rStyle w:val="Lienhypertexte"/>
            <w:noProof/>
          </w:rPr>
          <w:t>4.2.</w:t>
        </w:r>
        <w:r w:rsidRPr="005C04B4">
          <w:rPr>
            <w:rFonts w:eastAsia="Times New Roman" w:cs="Times New Roman"/>
            <w:noProof/>
            <w:color w:val="auto"/>
            <w:lang w:eastAsia="fr-FR"/>
          </w:rPr>
          <w:tab/>
        </w:r>
        <w:r w:rsidRPr="005A5D3A">
          <w:rPr>
            <w:rStyle w:val="Lienhypertexte"/>
            <w:noProof/>
          </w:rPr>
          <w:t>Sous-traitance</w:t>
        </w:r>
        <w:r>
          <w:rPr>
            <w:noProof/>
            <w:webHidden/>
          </w:rPr>
          <w:tab/>
        </w:r>
        <w:r>
          <w:rPr>
            <w:noProof/>
            <w:webHidden/>
          </w:rPr>
          <w:fldChar w:fldCharType="begin"/>
        </w:r>
        <w:r>
          <w:rPr>
            <w:noProof/>
            <w:webHidden/>
          </w:rPr>
          <w:instrText xml:space="preserve"> PAGEREF _Toc219977862 \h </w:instrText>
        </w:r>
        <w:r>
          <w:rPr>
            <w:noProof/>
            <w:webHidden/>
          </w:rPr>
        </w:r>
        <w:r>
          <w:rPr>
            <w:noProof/>
            <w:webHidden/>
          </w:rPr>
          <w:fldChar w:fldCharType="separate"/>
        </w:r>
        <w:r>
          <w:rPr>
            <w:noProof/>
            <w:webHidden/>
          </w:rPr>
          <w:t>8</w:t>
        </w:r>
        <w:r>
          <w:rPr>
            <w:noProof/>
            <w:webHidden/>
          </w:rPr>
          <w:fldChar w:fldCharType="end"/>
        </w:r>
      </w:hyperlink>
    </w:p>
    <w:p w14:paraId="6DF99A0F" w14:textId="77777777" w:rsidR="00500606" w:rsidRPr="005C04B4" w:rsidRDefault="00500606">
      <w:pPr>
        <w:pStyle w:val="TM3"/>
        <w:tabs>
          <w:tab w:val="left" w:pos="1100"/>
          <w:tab w:val="right" w:leader="dot" w:pos="9560"/>
        </w:tabs>
        <w:rPr>
          <w:rFonts w:eastAsia="Times New Roman" w:cs="Times New Roman"/>
          <w:noProof/>
          <w:color w:val="auto"/>
          <w:lang w:eastAsia="fr-FR"/>
        </w:rPr>
      </w:pPr>
      <w:hyperlink w:anchor="_Toc219977863" w:history="1">
        <w:r w:rsidRPr="005A5D3A">
          <w:rPr>
            <w:rStyle w:val="Lienhypertexte"/>
            <w:noProof/>
          </w:rPr>
          <w:t>4.3.</w:t>
        </w:r>
        <w:r w:rsidRPr="005C04B4">
          <w:rPr>
            <w:rFonts w:eastAsia="Times New Roman" w:cs="Times New Roman"/>
            <w:noProof/>
            <w:color w:val="auto"/>
            <w:lang w:eastAsia="fr-FR"/>
          </w:rPr>
          <w:tab/>
        </w:r>
        <w:r w:rsidRPr="005A5D3A">
          <w:rPr>
            <w:rStyle w:val="Lienhypertexte"/>
            <w:noProof/>
          </w:rPr>
          <w:t>Groupements d’opérateurs économiques</w:t>
        </w:r>
        <w:r>
          <w:rPr>
            <w:noProof/>
            <w:webHidden/>
          </w:rPr>
          <w:tab/>
        </w:r>
        <w:r>
          <w:rPr>
            <w:noProof/>
            <w:webHidden/>
          </w:rPr>
          <w:fldChar w:fldCharType="begin"/>
        </w:r>
        <w:r>
          <w:rPr>
            <w:noProof/>
            <w:webHidden/>
          </w:rPr>
          <w:instrText xml:space="preserve"> PAGEREF _Toc219977863 \h </w:instrText>
        </w:r>
        <w:r>
          <w:rPr>
            <w:noProof/>
            <w:webHidden/>
          </w:rPr>
        </w:r>
        <w:r>
          <w:rPr>
            <w:noProof/>
            <w:webHidden/>
          </w:rPr>
          <w:fldChar w:fldCharType="separate"/>
        </w:r>
        <w:r>
          <w:rPr>
            <w:noProof/>
            <w:webHidden/>
          </w:rPr>
          <w:t>8</w:t>
        </w:r>
        <w:r>
          <w:rPr>
            <w:noProof/>
            <w:webHidden/>
          </w:rPr>
          <w:fldChar w:fldCharType="end"/>
        </w:r>
      </w:hyperlink>
    </w:p>
    <w:p w14:paraId="1B982B5C" w14:textId="77777777" w:rsidR="00500606" w:rsidRPr="005C04B4" w:rsidRDefault="00500606">
      <w:pPr>
        <w:pStyle w:val="TM2"/>
        <w:rPr>
          <w:rFonts w:eastAsia="Times New Roman" w:cs="Times New Roman"/>
          <w:smallCaps w:val="0"/>
          <w:noProof/>
          <w:color w:val="auto"/>
          <w:szCs w:val="22"/>
          <w:lang w:val="fr-FR" w:eastAsia="fr-FR"/>
        </w:rPr>
      </w:pPr>
      <w:hyperlink w:anchor="_Toc219977864" w:history="1">
        <w:r w:rsidRPr="005A5D3A">
          <w:rPr>
            <w:rStyle w:val="Lienhypertexte"/>
            <w:noProof/>
          </w:rPr>
          <w:t>Article 5.</w:t>
        </w:r>
        <w:r w:rsidRPr="005C04B4">
          <w:rPr>
            <w:rFonts w:eastAsia="Times New Roman" w:cs="Times New Roman"/>
            <w:smallCaps w:val="0"/>
            <w:noProof/>
            <w:color w:val="auto"/>
            <w:szCs w:val="22"/>
            <w:lang w:val="fr-FR" w:eastAsia="fr-FR"/>
          </w:rPr>
          <w:tab/>
        </w:r>
        <w:r w:rsidRPr="005A5D3A">
          <w:rPr>
            <w:rStyle w:val="Lienhypertexte"/>
            <w:noProof/>
          </w:rPr>
          <w:t>Présentation de l’offre</w:t>
        </w:r>
        <w:r>
          <w:rPr>
            <w:noProof/>
            <w:webHidden/>
          </w:rPr>
          <w:tab/>
        </w:r>
        <w:r>
          <w:rPr>
            <w:noProof/>
            <w:webHidden/>
          </w:rPr>
          <w:fldChar w:fldCharType="begin"/>
        </w:r>
        <w:r>
          <w:rPr>
            <w:noProof/>
            <w:webHidden/>
          </w:rPr>
          <w:instrText xml:space="preserve"> PAGEREF _Toc219977864 \h </w:instrText>
        </w:r>
        <w:r>
          <w:rPr>
            <w:noProof/>
            <w:webHidden/>
          </w:rPr>
        </w:r>
        <w:r>
          <w:rPr>
            <w:noProof/>
            <w:webHidden/>
          </w:rPr>
          <w:fldChar w:fldCharType="separate"/>
        </w:r>
        <w:r>
          <w:rPr>
            <w:noProof/>
            <w:webHidden/>
          </w:rPr>
          <w:t>9</w:t>
        </w:r>
        <w:r>
          <w:rPr>
            <w:noProof/>
            <w:webHidden/>
          </w:rPr>
          <w:fldChar w:fldCharType="end"/>
        </w:r>
      </w:hyperlink>
    </w:p>
    <w:p w14:paraId="37C43047" w14:textId="77777777" w:rsidR="00500606" w:rsidRPr="005C04B4" w:rsidRDefault="00500606">
      <w:pPr>
        <w:pStyle w:val="TM3"/>
        <w:tabs>
          <w:tab w:val="left" w:pos="1100"/>
          <w:tab w:val="right" w:leader="dot" w:pos="9560"/>
        </w:tabs>
        <w:rPr>
          <w:rFonts w:eastAsia="Times New Roman" w:cs="Times New Roman"/>
          <w:noProof/>
          <w:color w:val="auto"/>
          <w:lang w:eastAsia="fr-FR"/>
        </w:rPr>
      </w:pPr>
      <w:hyperlink w:anchor="_Toc219977865" w:history="1">
        <w:r w:rsidRPr="005A5D3A">
          <w:rPr>
            <w:rStyle w:val="Lienhypertexte"/>
            <w:noProof/>
          </w:rPr>
          <w:t>5.1.</w:t>
        </w:r>
        <w:r w:rsidRPr="005C04B4">
          <w:rPr>
            <w:rFonts w:eastAsia="Times New Roman" w:cs="Times New Roman"/>
            <w:noProof/>
            <w:color w:val="auto"/>
            <w:lang w:eastAsia="fr-FR"/>
          </w:rPr>
          <w:tab/>
        </w:r>
        <w:r w:rsidRPr="005A5D3A">
          <w:rPr>
            <w:rStyle w:val="Lienhypertexte"/>
            <w:noProof/>
          </w:rPr>
          <w:t>Présentation du dossier d’offre</w:t>
        </w:r>
        <w:r>
          <w:rPr>
            <w:noProof/>
            <w:webHidden/>
          </w:rPr>
          <w:tab/>
        </w:r>
        <w:r>
          <w:rPr>
            <w:noProof/>
            <w:webHidden/>
          </w:rPr>
          <w:fldChar w:fldCharType="begin"/>
        </w:r>
        <w:r>
          <w:rPr>
            <w:noProof/>
            <w:webHidden/>
          </w:rPr>
          <w:instrText xml:space="preserve"> PAGEREF _Toc219977865 \h </w:instrText>
        </w:r>
        <w:r>
          <w:rPr>
            <w:noProof/>
            <w:webHidden/>
          </w:rPr>
        </w:r>
        <w:r>
          <w:rPr>
            <w:noProof/>
            <w:webHidden/>
          </w:rPr>
          <w:fldChar w:fldCharType="separate"/>
        </w:r>
        <w:r>
          <w:rPr>
            <w:noProof/>
            <w:webHidden/>
          </w:rPr>
          <w:t>9</w:t>
        </w:r>
        <w:r>
          <w:rPr>
            <w:noProof/>
            <w:webHidden/>
          </w:rPr>
          <w:fldChar w:fldCharType="end"/>
        </w:r>
      </w:hyperlink>
    </w:p>
    <w:p w14:paraId="7C7CF50C" w14:textId="77777777" w:rsidR="00500606" w:rsidRPr="005C04B4" w:rsidRDefault="00500606">
      <w:pPr>
        <w:pStyle w:val="TM3"/>
        <w:tabs>
          <w:tab w:val="left" w:pos="1100"/>
          <w:tab w:val="right" w:leader="dot" w:pos="9560"/>
        </w:tabs>
        <w:rPr>
          <w:rFonts w:eastAsia="Times New Roman" w:cs="Times New Roman"/>
          <w:noProof/>
          <w:color w:val="auto"/>
          <w:lang w:eastAsia="fr-FR"/>
        </w:rPr>
      </w:pPr>
      <w:hyperlink w:anchor="_Toc219977866" w:history="1">
        <w:r w:rsidRPr="005A5D3A">
          <w:rPr>
            <w:rStyle w:val="Lienhypertexte"/>
            <w:noProof/>
          </w:rPr>
          <w:t>5.2.</w:t>
        </w:r>
        <w:r w:rsidRPr="005C04B4">
          <w:rPr>
            <w:rFonts w:eastAsia="Times New Roman" w:cs="Times New Roman"/>
            <w:noProof/>
            <w:color w:val="auto"/>
            <w:lang w:eastAsia="fr-FR"/>
          </w:rPr>
          <w:tab/>
        </w:r>
        <w:r w:rsidRPr="005A5D3A">
          <w:rPr>
            <w:rStyle w:val="Lienhypertexte"/>
            <w:noProof/>
          </w:rPr>
          <w:t>Variantes</w:t>
        </w:r>
        <w:r>
          <w:rPr>
            <w:noProof/>
            <w:webHidden/>
          </w:rPr>
          <w:tab/>
        </w:r>
        <w:r>
          <w:rPr>
            <w:noProof/>
            <w:webHidden/>
          </w:rPr>
          <w:fldChar w:fldCharType="begin"/>
        </w:r>
        <w:r>
          <w:rPr>
            <w:noProof/>
            <w:webHidden/>
          </w:rPr>
          <w:instrText xml:space="preserve"> PAGEREF _Toc219977866 \h </w:instrText>
        </w:r>
        <w:r>
          <w:rPr>
            <w:noProof/>
            <w:webHidden/>
          </w:rPr>
        </w:r>
        <w:r>
          <w:rPr>
            <w:noProof/>
            <w:webHidden/>
          </w:rPr>
          <w:fldChar w:fldCharType="separate"/>
        </w:r>
        <w:r>
          <w:rPr>
            <w:noProof/>
            <w:webHidden/>
          </w:rPr>
          <w:t>9</w:t>
        </w:r>
        <w:r>
          <w:rPr>
            <w:noProof/>
            <w:webHidden/>
          </w:rPr>
          <w:fldChar w:fldCharType="end"/>
        </w:r>
      </w:hyperlink>
    </w:p>
    <w:p w14:paraId="60D1C4B8" w14:textId="77777777" w:rsidR="00500606" w:rsidRPr="005C04B4" w:rsidRDefault="00500606">
      <w:pPr>
        <w:pStyle w:val="TM3"/>
        <w:tabs>
          <w:tab w:val="left" w:pos="1100"/>
          <w:tab w:val="right" w:leader="dot" w:pos="9560"/>
        </w:tabs>
        <w:rPr>
          <w:rFonts w:eastAsia="Times New Roman" w:cs="Times New Roman"/>
          <w:noProof/>
          <w:color w:val="auto"/>
          <w:lang w:eastAsia="fr-FR"/>
        </w:rPr>
      </w:pPr>
      <w:hyperlink w:anchor="_Toc219977867" w:history="1">
        <w:r w:rsidRPr="005A5D3A">
          <w:rPr>
            <w:rStyle w:val="Lienhypertexte"/>
            <w:noProof/>
          </w:rPr>
          <w:t>5.3.</w:t>
        </w:r>
        <w:r w:rsidRPr="005C04B4">
          <w:rPr>
            <w:rFonts w:eastAsia="Times New Roman" w:cs="Times New Roman"/>
            <w:noProof/>
            <w:color w:val="auto"/>
            <w:lang w:eastAsia="fr-FR"/>
          </w:rPr>
          <w:tab/>
        </w:r>
        <w:r w:rsidRPr="005A5D3A">
          <w:rPr>
            <w:rStyle w:val="Lienhypertexte"/>
            <w:noProof/>
          </w:rPr>
          <w:t>Prestations supplémentaires éventuelles</w:t>
        </w:r>
        <w:r>
          <w:rPr>
            <w:noProof/>
            <w:webHidden/>
          </w:rPr>
          <w:tab/>
        </w:r>
        <w:r>
          <w:rPr>
            <w:noProof/>
            <w:webHidden/>
          </w:rPr>
          <w:fldChar w:fldCharType="begin"/>
        </w:r>
        <w:r>
          <w:rPr>
            <w:noProof/>
            <w:webHidden/>
          </w:rPr>
          <w:instrText xml:space="preserve"> PAGEREF _Toc219977867 \h </w:instrText>
        </w:r>
        <w:r>
          <w:rPr>
            <w:noProof/>
            <w:webHidden/>
          </w:rPr>
        </w:r>
        <w:r>
          <w:rPr>
            <w:noProof/>
            <w:webHidden/>
          </w:rPr>
          <w:fldChar w:fldCharType="separate"/>
        </w:r>
        <w:r>
          <w:rPr>
            <w:noProof/>
            <w:webHidden/>
          </w:rPr>
          <w:t>10</w:t>
        </w:r>
        <w:r>
          <w:rPr>
            <w:noProof/>
            <w:webHidden/>
          </w:rPr>
          <w:fldChar w:fldCharType="end"/>
        </w:r>
      </w:hyperlink>
    </w:p>
    <w:p w14:paraId="6A74AE51" w14:textId="77777777" w:rsidR="00500606" w:rsidRPr="005C04B4" w:rsidRDefault="00500606">
      <w:pPr>
        <w:pStyle w:val="TM3"/>
        <w:tabs>
          <w:tab w:val="left" w:pos="1100"/>
          <w:tab w:val="right" w:leader="dot" w:pos="9560"/>
        </w:tabs>
        <w:rPr>
          <w:rFonts w:eastAsia="Times New Roman" w:cs="Times New Roman"/>
          <w:noProof/>
          <w:color w:val="auto"/>
          <w:lang w:eastAsia="fr-FR"/>
        </w:rPr>
      </w:pPr>
      <w:hyperlink w:anchor="_Toc219977868" w:history="1">
        <w:r w:rsidRPr="005A5D3A">
          <w:rPr>
            <w:rStyle w:val="Lienhypertexte"/>
            <w:noProof/>
          </w:rPr>
          <w:t>5.4.</w:t>
        </w:r>
        <w:r w:rsidRPr="005C04B4">
          <w:rPr>
            <w:rFonts w:eastAsia="Times New Roman" w:cs="Times New Roman"/>
            <w:noProof/>
            <w:color w:val="auto"/>
            <w:lang w:eastAsia="fr-FR"/>
          </w:rPr>
          <w:tab/>
        </w:r>
        <w:r w:rsidRPr="005A5D3A">
          <w:rPr>
            <w:rStyle w:val="Lienhypertexte"/>
            <w:noProof/>
          </w:rPr>
          <w:t>Délai de validité</w:t>
        </w:r>
        <w:r>
          <w:rPr>
            <w:noProof/>
            <w:webHidden/>
          </w:rPr>
          <w:tab/>
        </w:r>
        <w:r>
          <w:rPr>
            <w:noProof/>
            <w:webHidden/>
          </w:rPr>
          <w:fldChar w:fldCharType="begin"/>
        </w:r>
        <w:r>
          <w:rPr>
            <w:noProof/>
            <w:webHidden/>
          </w:rPr>
          <w:instrText xml:space="preserve"> PAGEREF _Toc219977868 \h </w:instrText>
        </w:r>
        <w:r>
          <w:rPr>
            <w:noProof/>
            <w:webHidden/>
          </w:rPr>
        </w:r>
        <w:r>
          <w:rPr>
            <w:noProof/>
            <w:webHidden/>
          </w:rPr>
          <w:fldChar w:fldCharType="separate"/>
        </w:r>
        <w:r>
          <w:rPr>
            <w:noProof/>
            <w:webHidden/>
          </w:rPr>
          <w:t>10</w:t>
        </w:r>
        <w:r>
          <w:rPr>
            <w:noProof/>
            <w:webHidden/>
          </w:rPr>
          <w:fldChar w:fldCharType="end"/>
        </w:r>
      </w:hyperlink>
    </w:p>
    <w:p w14:paraId="195053B6" w14:textId="77777777" w:rsidR="00500606" w:rsidRPr="005C04B4" w:rsidRDefault="00500606">
      <w:pPr>
        <w:pStyle w:val="TM2"/>
        <w:rPr>
          <w:rFonts w:eastAsia="Times New Roman" w:cs="Times New Roman"/>
          <w:smallCaps w:val="0"/>
          <w:noProof/>
          <w:color w:val="auto"/>
          <w:szCs w:val="22"/>
          <w:lang w:val="fr-FR" w:eastAsia="fr-FR"/>
        </w:rPr>
      </w:pPr>
      <w:hyperlink w:anchor="_Toc219977869" w:history="1">
        <w:r w:rsidRPr="005A5D3A">
          <w:rPr>
            <w:rStyle w:val="Lienhypertexte"/>
            <w:noProof/>
          </w:rPr>
          <w:t>Article 6.</w:t>
        </w:r>
        <w:r w:rsidRPr="005C04B4">
          <w:rPr>
            <w:rFonts w:eastAsia="Times New Roman" w:cs="Times New Roman"/>
            <w:smallCaps w:val="0"/>
            <w:noProof/>
            <w:color w:val="auto"/>
            <w:szCs w:val="22"/>
            <w:lang w:val="fr-FR" w:eastAsia="fr-FR"/>
          </w:rPr>
          <w:tab/>
        </w:r>
        <w:r w:rsidRPr="005A5D3A">
          <w:rPr>
            <w:rStyle w:val="Lienhypertexte"/>
            <w:noProof/>
          </w:rPr>
          <w:t>Critères d’attribution et choix de l’offre</w:t>
        </w:r>
        <w:r>
          <w:rPr>
            <w:noProof/>
            <w:webHidden/>
          </w:rPr>
          <w:tab/>
        </w:r>
        <w:r>
          <w:rPr>
            <w:noProof/>
            <w:webHidden/>
          </w:rPr>
          <w:fldChar w:fldCharType="begin"/>
        </w:r>
        <w:r>
          <w:rPr>
            <w:noProof/>
            <w:webHidden/>
          </w:rPr>
          <w:instrText xml:space="preserve"> PAGEREF _Toc219977869 \h </w:instrText>
        </w:r>
        <w:r>
          <w:rPr>
            <w:noProof/>
            <w:webHidden/>
          </w:rPr>
        </w:r>
        <w:r>
          <w:rPr>
            <w:noProof/>
            <w:webHidden/>
          </w:rPr>
          <w:fldChar w:fldCharType="separate"/>
        </w:r>
        <w:r>
          <w:rPr>
            <w:noProof/>
            <w:webHidden/>
          </w:rPr>
          <w:t>10</w:t>
        </w:r>
        <w:r>
          <w:rPr>
            <w:noProof/>
            <w:webHidden/>
          </w:rPr>
          <w:fldChar w:fldCharType="end"/>
        </w:r>
      </w:hyperlink>
    </w:p>
    <w:p w14:paraId="39A83161" w14:textId="77777777" w:rsidR="00500606" w:rsidRPr="005C04B4" w:rsidRDefault="00500606">
      <w:pPr>
        <w:pStyle w:val="TM3"/>
        <w:tabs>
          <w:tab w:val="left" w:pos="1100"/>
          <w:tab w:val="right" w:leader="dot" w:pos="9560"/>
        </w:tabs>
        <w:rPr>
          <w:rFonts w:eastAsia="Times New Roman" w:cs="Times New Roman"/>
          <w:noProof/>
          <w:color w:val="auto"/>
          <w:lang w:eastAsia="fr-FR"/>
        </w:rPr>
      </w:pPr>
      <w:hyperlink w:anchor="_Toc219977870" w:history="1">
        <w:r w:rsidRPr="005A5D3A">
          <w:rPr>
            <w:rStyle w:val="Lienhypertexte"/>
            <w:noProof/>
          </w:rPr>
          <w:t>6.1.</w:t>
        </w:r>
        <w:r w:rsidRPr="005C04B4">
          <w:rPr>
            <w:rFonts w:eastAsia="Times New Roman" w:cs="Times New Roman"/>
            <w:noProof/>
            <w:color w:val="auto"/>
            <w:lang w:eastAsia="fr-FR"/>
          </w:rPr>
          <w:tab/>
        </w:r>
        <w:r w:rsidRPr="005A5D3A">
          <w:rPr>
            <w:rStyle w:val="Lienhypertexte"/>
            <w:noProof/>
          </w:rPr>
          <w:t>Critères d’attribution</w:t>
        </w:r>
        <w:r>
          <w:rPr>
            <w:noProof/>
            <w:webHidden/>
          </w:rPr>
          <w:tab/>
        </w:r>
        <w:r>
          <w:rPr>
            <w:noProof/>
            <w:webHidden/>
          </w:rPr>
          <w:fldChar w:fldCharType="begin"/>
        </w:r>
        <w:r>
          <w:rPr>
            <w:noProof/>
            <w:webHidden/>
          </w:rPr>
          <w:instrText xml:space="preserve"> PAGEREF _Toc219977870 \h </w:instrText>
        </w:r>
        <w:r>
          <w:rPr>
            <w:noProof/>
            <w:webHidden/>
          </w:rPr>
        </w:r>
        <w:r>
          <w:rPr>
            <w:noProof/>
            <w:webHidden/>
          </w:rPr>
          <w:fldChar w:fldCharType="separate"/>
        </w:r>
        <w:r>
          <w:rPr>
            <w:noProof/>
            <w:webHidden/>
          </w:rPr>
          <w:t>10</w:t>
        </w:r>
        <w:r>
          <w:rPr>
            <w:noProof/>
            <w:webHidden/>
          </w:rPr>
          <w:fldChar w:fldCharType="end"/>
        </w:r>
      </w:hyperlink>
    </w:p>
    <w:p w14:paraId="047B1BED" w14:textId="77777777" w:rsidR="00500606" w:rsidRPr="005C04B4" w:rsidRDefault="00500606">
      <w:pPr>
        <w:pStyle w:val="TM3"/>
        <w:tabs>
          <w:tab w:val="left" w:pos="1100"/>
          <w:tab w:val="right" w:leader="dot" w:pos="9560"/>
        </w:tabs>
        <w:rPr>
          <w:rFonts w:eastAsia="Times New Roman" w:cs="Times New Roman"/>
          <w:noProof/>
          <w:color w:val="auto"/>
          <w:lang w:eastAsia="fr-FR"/>
        </w:rPr>
      </w:pPr>
      <w:hyperlink w:anchor="_Toc219977871" w:history="1">
        <w:r w:rsidRPr="005A5D3A">
          <w:rPr>
            <w:rStyle w:val="Lienhypertexte"/>
            <w:noProof/>
          </w:rPr>
          <w:t>6.2.</w:t>
        </w:r>
        <w:r w:rsidRPr="005C04B4">
          <w:rPr>
            <w:rFonts w:eastAsia="Times New Roman" w:cs="Times New Roman"/>
            <w:noProof/>
            <w:color w:val="auto"/>
            <w:lang w:eastAsia="fr-FR"/>
          </w:rPr>
          <w:tab/>
        </w:r>
        <w:r w:rsidRPr="005A5D3A">
          <w:rPr>
            <w:rStyle w:val="Lienhypertexte"/>
            <w:noProof/>
          </w:rPr>
          <w:t>Offres anormalement basses</w:t>
        </w:r>
        <w:r>
          <w:rPr>
            <w:noProof/>
            <w:webHidden/>
          </w:rPr>
          <w:tab/>
        </w:r>
        <w:r>
          <w:rPr>
            <w:noProof/>
            <w:webHidden/>
          </w:rPr>
          <w:fldChar w:fldCharType="begin"/>
        </w:r>
        <w:r>
          <w:rPr>
            <w:noProof/>
            <w:webHidden/>
          </w:rPr>
          <w:instrText xml:space="preserve"> PAGEREF _Toc219977871 \h </w:instrText>
        </w:r>
        <w:r>
          <w:rPr>
            <w:noProof/>
            <w:webHidden/>
          </w:rPr>
        </w:r>
        <w:r>
          <w:rPr>
            <w:noProof/>
            <w:webHidden/>
          </w:rPr>
          <w:fldChar w:fldCharType="separate"/>
        </w:r>
        <w:r>
          <w:rPr>
            <w:noProof/>
            <w:webHidden/>
          </w:rPr>
          <w:t>11</w:t>
        </w:r>
        <w:r>
          <w:rPr>
            <w:noProof/>
            <w:webHidden/>
          </w:rPr>
          <w:fldChar w:fldCharType="end"/>
        </w:r>
      </w:hyperlink>
    </w:p>
    <w:p w14:paraId="01EB03BB" w14:textId="77777777" w:rsidR="00500606" w:rsidRPr="005C04B4" w:rsidRDefault="00500606">
      <w:pPr>
        <w:pStyle w:val="TM3"/>
        <w:tabs>
          <w:tab w:val="left" w:pos="1100"/>
          <w:tab w:val="right" w:leader="dot" w:pos="9560"/>
        </w:tabs>
        <w:rPr>
          <w:rFonts w:eastAsia="Times New Roman" w:cs="Times New Roman"/>
          <w:noProof/>
          <w:color w:val="auto"/>
          <w:lang w:eastAsia="fr-FR"/>
        </w:rPr>
      </w:pPr>
      <w:hyperlink w:anchor="_Toc219977872" w:history="1">
        <w:r w:rsidRPr="005A5D3A">
          <w:rPr>
            <w:rStyle w:val="Lienhypertexte"/>
            <w:noProof/>
          </w:rPr>
          <w:t>6.3.</w:t>
        </w:r>
        <w:r w:rsidRPr="005C04B4">
          <w:rPr>
            <w:rFonts w:eastAsia="Times New Roman" w:cs="Times New Roman"/>
            <w:noProof/>
            <w:color w:val="auto"/>
            <w:lang w:eastAsia="fr-FR"/>
          </w:rPr>
          <w:tab/>
        </w:r>
        <w:r w:rsidRPr="005A5D3A">
          <w:rPr>
            <w:rStyle w:val="Lienhypertexte"/>
            <w:noProof/>
          </w:rPr>
          <w:t>Entretiens et visites de présentation des solutions</w:t>
        </w:r>
        <w:r>
          <w:rPr>
            <w:noProof/>
            <w:webHidden/>
          </w:rPr>
          <w:tab/>
        </w:r>
        <w:r>
          <w:rPr>
            <w:noProof/>
            <w:webHidden/>
          </w:rPr>
          <w:fldChar w:fldCharType="begin"/>
        </w:r>
        <w:r>
          <w:rPr>
            <w:noProof/>
            <w:webHidden/>
          </w:rPr>
          <w:instrText xml:space="preserve"> PAGEREF _Toc219977872 \h </w:instrText>
        </w:r>
        <w:r>
          <w:rPr>
            <w:noProof/>
            <w:webHidden/>
          </w:rPr>
        </w:r>
        <w:r>
          <w:rPr>
            <w:noProof/>
            <w:webHidden/>
          </w:rPr>
          <w:fldChar w:fldCharType="separate"/>
        </w:r>
        <w:r>
          <w:rPr>
            <w:noProof/>
            <w:webHidden/>
          </w:rPr>
          <w:t>11</w:t>
        </w:r>
        <w:r>
          <w:rPr>
            <w:noProof/>
            <w:webHidden/>
          </w:rPr>
          <w:fldChar w:fldCharType="end"/>
        </w:r>
      </w:hyperlink>
    </w:p>
    <w:p w14:paraId="2FFACBFD" w14:textId="77777777" w:rsidR="00500606" w:rsidRPr="005C04B4" w:rsidRDefault="00500606">
      <w:pPr>
        <w:pStyle w:val="TM2"/>
        <w:rPr>
          <w:rFonts w:eastAsia="Times New Roman" w:cs="Times New Roman"/>
          <w:smallCaps w:val="0"/>
          <w:noProof/>
          <w:color w:val="auto"/>
          <w:szCs w:val="22"/>
          <w:lang w:val="fr-FR" w:eastAsia="fr-FR"/>
        </w:rPr>
      </w:pPr>
      <w:hyperlink w:anchor="_Toc219977873" w:history="1">
        <w:r w:rsidRPr="005A5D3A">
          <w:rPr>
            <w:rStyle w:val="Lienhypertexte"/>
            <w:noProof/>
          </w:rPr>
          <w:t>Article 7.</w:t>
        </w:r>
        <w:r w:rsidRPr="005C04B4">
          <w:rPr>
            <w:rFonts w:eastAsia="Times New Roman" w:cs="Times New Roman"/>
            <w:smallCaps w:val="0"/>
            <w:noProof/>
            <w:color w:val="auto"/>
            <w:szCs w:val="22"/>
            <w:lang w:val="fr-FR" w:eastAsia="fr-FR"/>
          </w:rPr>
          <w:tab/>
        </w:r>
        <w:r w:rsidRPr="005A5D3A">
          <w:rPr>
            <w:rStyle w:val="Lienhypertexte"/>
            <w:noProof/>
          </w:rPr>
          <w:t>Modalités de remise des plis</w:t>
        </w:r>
        <w:r>
          <w:rPr>
            <w:noProof/>
            <w:webHidden/>
          </w:rPr>
          <w:tab/>
        </w:r>
        <w:r>
          <w:rPr>
            <w:noProof/>
            <w:webHidden/>
          </w:rPr>
          <w:fldChar w:fldCharType="begin"/>
        </w:r>
        <w:r>
          <w:rPr>
            <w:noProof/>
            <w:webHidden/>
          </w:rPr>
          <w:instrText xml:space="preserve"> PAGEREF _Toc219977873 \h </w:instrText>
        </w:r>
        <w:r>
          <w:rPr>
            <w:noProof/>
            <w:webHidden/>
          </w:rPr>
        </w:r>
        <w:r>
          <w:rPr>
            <w:noProof/>
            <w:webHidden/>
          </w:rPr>
          <w:fldChar w:fldCharType="separate"/>
        </w:r>
        <w:r>
          <w:rPr>
            <w:noProof/>
            <w:webHidden/>
          </w:rPr>
          <w:t>12</w:t>
        </w:r>
        <w:r>
          <w:rPr>
            <w:noProof/>
            <w:webHidden/>
          </w:rPr>
          <w:fldChar w:fldCharType="end"/>
        </w:r>
      </w:hyperlink>
    </w:p>
    <w:p w14:paraId="43708573" w14:textId="77777777" w:rsidR="00500606" w:rsidRPr="005C04B4" w:rsidRDefault="00500606">
      <w:pPr>
        <w:pStyle w:val="TM2"/>
        <w:rPr>
          <w:rFonts w:eastAsia="Times New Roman" w:cs="Times New Roman"/>
          <w:smallCaps w:val="0"/>
          <w:noProof/>
          <w:color w:val="auto"/>
          <w:szCs w:val="22"/>
          <w:lang w:val="fr-FR" w:eastAsia="fr-FR"/>
        </w:rPr>
      </w:pPr>
      <w:hyperlink w:anchor="_Toc219977874" w:history="1">
        <w:r w:rsidRPr="005A5D3A">
          <w:rPr>
            <w:rStyle w:val="Lienhypertexte"/>
            <w:noProof/>
          </w:rPr>
          <w:t>Article 8.</w:t>
        </w:r>
        <w:r w:rsidRPr="005C04B4">
          <w:rPr>
            <w:rFonts w:eastAsia="Times New Roman" w:cs="Times New Roman"/>
            <w:smallCaps w:val="0"/>
            <w:noProof/>
            <w:color w:val="auto"/>
            <w:szCs w:val="22"/>
            <w:lang w:val="fr-FR" w:eastAsia="fr-FR"/>
          </w:rPr>
          <w:tab/>
        </w:r>
        <w:r w:rsidRPr="005A5D3A">
          <w:rPr>
            <w:rStyle w:val="Lienhypertexte"/>
            <w:noProof/>
          </w:rPr>
          <w:t>Attribution de l'accord-cadre</w:t>
        </w:r>
        <w:r>
          <w:rPr>
            <w:noProof/>
            <w:webHidden/>
          </w:rPr>
          <w:tab/>
        </w:r>
        <w:r>
          <w:rPr>
            <w:noProof/>
            <w:webHidden/>
          </w:rPr>
          <w:fldChar w:fldCharType="begin"/>
        </w:r>
        <w:r>
          <w:rPr>
            <w:noProof/>
            <w:webHidden/>
          </w:rPr>
          <w:instrText xml:space="preserve"> PAGEREF _Toc219977874 \h </w:instrText>
        </w:r>
        <w:r>
          <w:rPr>
            <w:noProof/>
            <w:webHidden/>
          </w:rPr>
        </w:r>
        <w:r>
          <w:rPr>
            <w:noProof/>
            <w:webHidden/>
          </w:rPr>
          <w:fldChar w:fldCharType="separate"/>
        </w:r>
        <w:r>
          <w:rPr>
            <w:noProof/>
            <w:webHidden/>
          </w:rPr>
          <w:t>13</w:t>
        </w:r>
        <w:r>
          <w:rPr>
            <w:noProof/>
            <w:webHidden/>
          </w:rPr>
          <w:fldChar w:fldCharType="end"/>
        </w:r>
      </w:hyperlink>
    </w:p>
    <w:p w14:paraId="4EBC63C5" w14:textId="77777777" w:rsidR="00500606" w:rsidRPr="005C04B4" w:rsidRDefault="00500606">
      <w:pPr>
        <w:pStyle w:val="TM2"/>
        <w:rPr>
          <w:rFonts w:eastAsia="Times New Roman" w:cs="Times New Roman"/>
          <w:smallCaps w:val="0"/>
          <w:noProof/>
          <w:color w:val="auto"/>
          <w:szCs w:val="22"/>
          <w:lang w:val="fr-FR" w:eastAsia="fr-FR"/>
        </w:rPr>
      </w:pPr>
      <w:hyperlink w:anchor="_Toc219977875" w:history="1">
        <w:r w:rsidRPr="005A5D3A">
          <w:rPr>
            <w:rStyle w:val="Lienhypertexte"/>
            <w:noProof/>
          </w:rPr>
          <w:t>Article 9.</w:t>
        </w:r>
        <w:r w:rsidRPr="005C04B4">
          <w:rPr>
            <w:rFonts w:eastAsia="Times New Roman" w:cs="Times New Roman"/>
            <w:smallCaps w:val="0"/>
            <w:noProof/>
            <w:color w:val="auto"/>
            <w:szCs w:val="22"/>
            <w:lang w:val="fr-FR" w:eastAsia="fr-FR"/>
          </w:rPr>
          <w:tab/>
        </w:r>
        <w:r w:rsidRPr="005A5D3A">
          <w:rPr>
            <w:rStyle w:val="Lienhypertexte"/>
            <w:noProof/>
          </w:rPr>
          <w:t>Litiges et différends</w:t>
        </w:r>
        <w:r>
          <w:rPr>
            <w:noProof/>
            <w:webHidden/>
          </w:rPr>
          <w:tab/>
        </w:r>
        <w:r>
          <w:rPr>
            <w:noProof/>
            <w:webHidden/>
          </w:rPr>
          <w:fldChar w:fldCharType="begin"/>
        </w:r>
        <w:r>
          <w:rPr>
            <w:noProof/>
            <w:webHidden/>
          </w:rPr>
          <w:instrText xml:space="preserve"> PAGEREF _Toc219977875 \h </w:instrText>
        </w:r>
        <w:r>
          <w:rPr>
            <w:noProof/>
            <w:webHidden/>
          </w:rPr>
        </w:r>
        <w:r>
          <w:rPr>
            <w:noProof/>
            <w:webHidden/>
          </w:rPr>
          <w:fldChar w:fldCharType="separate"/>
        </w:r>
        <w:r>
          <w:rPr>
            <w:noProof/>
            <w:webHidden/>
          </w:rPr>
          <w:t>13</w:t>
        </w:r>
        <w:r>
          <w:rPr>
            <w:noProof/>
            <w:webHidden/>
          </w:rPr>
          <w:fldChar w:fldCharType="end"/>
        </w:r>
      </w:hyperlink>
    </w:p>
    <w:p w14:paraId="2C4C51FC" w14:textId="77777777" w:rsidR="00D62C6E" w:rsidRPr="00743EB7" w:rsidRDefault="00D62C6E" w:rsidP="00D62C6E">
      <w:pPr>
        <w:pStyle w:val="TM1"/>
        <w:tabs>
          <w:tab w:val="right" w:leader="dot" w:pos="9060"/>
        </w:tabs>
        <w:rPr>
          <w:b w:val="0"/>
          <w:szCs w:val="22"/>
          <w:lang w:val="fr-FR"/>
        </w:rPr>
      </w:pPr>
      <w:r w:rsidRPr="00743EB7">
        <w:rPr>
          <w:b w:val="0"/>
          <w:szCs w:val="22"/>
          <w:lang w:val="fr-FR"/>
        </w:rPr>
        <w:fldChar w:fldCharType="end"/>
      </w:r>
    </w:p>
    <w:p w14:paraId="06F20D16" w14:textId="77777777" w:rsidR="00D62C6E" w:rsidRDefault="00D62C6E" w:rsidP="00D62C6E">
      <w:pPr>
        <w:pStyle w:val="TM1"/>
        <w:tabs>
          <w:tab w:val="right" w:leader="dot" w:pos="9060"/>
        </w:tabs>
        <w:rPr>
          <w:b w:val="0"/>
          <w:szCs w:val="22"/>
          <w:lang w:val="fr-FR"/>
        </w:rPr>
      </w:pPr>
      <w:r>
        <w:rPr>
          <w:b w:val="0"/>
          <w:szCs w:val="22"/>
          <w:lang w:val="fr-FR"/>
        </w:rPr>
        <w:br w:type="page"/>
      </w:r>
    </w:p>
    <w:p w14:paraId="0EECC4FC" w14:textId="77777777" w:rsidR="00D62C6E" w:rsidRPr="00B21A27" w:rsidRDefault="00D62C6E" w:rsidP="00D62C6E">
      <w:pPr>
        <w:pStyle w:val="Titre2"/>
        <w:ind w:left="1134" w:hanging="1134"/>
      </w:pPr>
      <w:bookmarkStart w:id="1" w:name="_Toc129356552"/>
      <w:bookmarkStart w:id="2" w:name="_Toc219977849"/>
      <w:r w:rsidRPr="00B21A27">
        <w:t>Dispositions générales</w:t>
      </w:r>
      <w:bookmarkEnd w:id="1"/>
      <w:bookmarkEnd w:id="2"/>
    </w:p>
    <w:p w14:paraId="2C4DAFAB" w14:textId="77777777" w:rsidR="00D62C6E" w:rsidRPr="00B21A27" w:rsidRDefault="00D62C6E" w:rsidP="00D62C6E">
      <w:pPr>
        <w:pStyle w:val="Titre3"/>
      </w:pPr>
      <w:bookmarkStart w:id="3" w:name="_Toc219977850"/>
      <w:r w:rsidRPr="00B21A27">
        <w:t>Objet de la consultation</w:t>
      </w:r>
      <w:bookmarkEnd w:id="3"/>
      <w:r w:rsidRPr="00B21A27">
        <w:t xml:space="preserve"> </w:t>
      </w:r>
    </w:p>
    <w:p w14:paraId="3B590ED5" w14:textId="77777777" w:rsidR="00D62C6E" w:rsidRPr="007A2201" w:rsidRDefault="00D62C6E" w:rsidP="00D62C6E">
      <w:r w:rsidRPr="007A2201">
        <w:rPr>
          <w:b/>
        </w:rPr>
        <w:t>Objet des fournitures :</w:t>
      </w:r>
      <w:r w:rsidRPr="007A2201">
        <w:t xml:space="preserve"> Location, maintenance et gestion des moyens d'impression du Groupe Hospitalier Rance Emeraude.</w:t>
      </w:r>
    </w:p>
    <w:p w14:paraId="629AE7CE" w14:textId="77777777" w:rsidR="00D62C6E" w:rsidRDefault="00D62C6E" w:rsidP="00D62C6E"/>
    <w:p w14:paraId="6BBBAF49" w14:textId="77777777" w:rsidR="007A2201" w:rsidRPr="00E67898" w:rsidRDefault="007A2201" w:rsidP="007A2201">
      <w:pPr>
        <w:rPr>
          <w:color w:val="auto"/>
        </w:rPr>
      </w:pPr>
      <w:r w:rsidRPr="00E67898">
        <w:rPr>
          <w:color w:val="auto"/>
        </w:rPr>
        <w:t>La consultation englobe notamment les prestations suivantes pour l’ensemble du GHT</w:t>
      </w:r>
      <w:r w:rsidR="0096522D">
        <w:rPr>
          <w:color w:val="auto"/>
        </w:rPr>
        <w:t xml:space="preserve"> </w:t>
      </w:r>
      <w:r w:rsidRPr="00E67898">
        <w:rPr>
          <w:color w:val="auto"/>
        </w:rPr>
        <w:t xml:space="preserve">: </w:t>
      </w:r>
    </w:p>
    <w:p w14:paraId="1A40817A" w14:textId="77777777" w:rsidR="007A2201" w:rsidRPr="00E67898" w:rsidRDefault="007A2201" w:rsidP="007A2201">
      <w:pPr>
        <w:pStyle w:val="Paragraphedeliste"/>
        <w:numPr>
          <w:ilvl w:val="0"/>
          <w:numId w:val="31"/>
        </w:numPr>
        <w:spacing w:after="5" w:line="249" w:lineRule="auto"/>
        <w:ind w:left="284" w:hanging="10"/>
        <w:rPr>
          <w:color w:val="auto"/>
        </w:rPr>
      </w:pPr>
      <w:r w:rsidRPr="00E67898">
        <w:rPr>
          <w:color w:val="auto"/>
        </w:rPr>
        <w:t>livraison, installation, mouvements, paramétrage des matériels</w:t>
      </w:r>
    </w:p>
    <w:p w14:paraId="37B3E5D6" w14:textId="77777777" w:rsidR="007A2201" w:rsidRPr="00E67898" w:rsidRDefault="007A2201" w:rsidP="007A2201">
      <w:pPr>
        <w:pStyle w:val="Paragraphedeliste"/>
        <w:numPr>
          <w:ilvl w:val="0"/>
          <w:numId w:val="31"/>
        </w:numPr>
        <w:spacing w:after="5" w:line="249" w:lineRule="auto"/>
        <w:ind w:left="284" w:hanging="10"/>
        <w:rPr>
          <w:color w:val="auto"/>
        </w:rPr>
      </w:pPr>
      <w:r w:rsidRPr="00E67898">
        <w:rPr>
          <w:color w:val="auto"/>
        </w:rPr>
        <w:t>installation et maintien en condition opérationnelle des solutions logicielles associées</w:t>
      </w:r>
    </w:p>
    <w:p w14:paraId="0B850548" w14:textId="77777777" w:rsidR="007A2201" w:rsidRPr="00E67898" w:rsidRDefault="007A2201" w:rsidP="007A2201">
      <w:pPr>
        <w:pStyle w:val="Paragraphedeliste"/>
        <w:numPr>
          <w:ilvl w:val="0"/>
          <w:numId w:val="31"/>
        </w:numPr>
        <w:spacing w:after="5" w:line="249" w:lineRule="auto"/>
        <w:ind w:left="284" w:hanging="10"/>
        <w:rPr>
          <w:color w:val="auto"/>
        </w:rPr>
      </w:pPr>
      <w:r w:rsidRPr="00E67898">
        <w:rPr>
          <w:color w:val="auto"/>
        </w:rPr>
        <w:t>accompagnement en mode projet lors du déploiement initial</w:t>
      </w:r>
    </w:p>
    <w:p w14:paraId="09285A06" w14:textId="77777777" w:rsidR="007A2201" w:rsidRPr="00E67898" w:rsidRDefault="007A2201" w:rsidP="007A2201">
      <w:pPr>
        <w:pStyle w:val="Paragraphedeliste"/>
        <w:numPr>
          <w:ilvl w:val="0"/>
          <w:numId w:val="31"/>
        </w:numPr>
        <w:spacing w:after="5" w:line="249" w:lineRule="auto"/>
        <w:ind w:left="284" w:hanging="10"/>
        <w:rPr>
          <w:color w:val="auto"/>
        </w:rPr>
      </w:pPr>
      <w:r w:rsidRPr="00E67898">
        <w:rPr>
          <w:color w:val="auto"/>
        </w:rPr>
        <w:t>suivi des incidents, des demandes et des problèmes en lien avec l’outil de tickets du service informatique du GHT</w:t>
      </w:r>
    </w:p>
    <w:p w14:paraId="6C125ADD" w14:textId="77777777" w:rsidR="007A2201" w:rsidRPr="00E67898" w:rsidRDefault="007A2201" w:rsidP="007A2201">
      <w:pPr>
        <w:pStyle w:val="Paragraphedeliste"/>
        <w:numPr>
          <w:ilvl w:val="0"/>
          <w:numId w:val="31"/>
        </w:numPr>
        <w:spacing w:after="5" w:line="249" w:lineRule="auto"/>
        <w:ind w:left="284" w:hanging="10"/>
        <w:rPr>
          <w:color w:val="auto"/>
        </w:rPr>
      </w:pPr>
      <w:r w:rsidRPr="00E67898">
        <w:rPr>
          <w:color w:val="auto"/>
        </w:rPr>
        <w:t>gestion automatisée des consommables</w:t>
      </w:r>
    </w:p>
    <w:p w14:paraId="1734C374" w14:textId="77777777" w:rsidR="007A2201" w:rsidRPr="00E67898" w:rsidRDefault="007A2201" w:rsidP="007A2201">
      <w:pPr>
        <w:pStyle w:val="Paragraphedeliste"/>
        <w:numPr>
          <w:ilvl w:val="0"/>
          <w:numId w:val="31"/>
        </w:numPr>
        <w:spacing w:after="5" w:line="249" w:lineRule="auto"/>
        <w:ind w:left="284" w:hanging="10"/>
        <w:rPr>
          <w:color w:val="auto"/>
        </w:rPr>
      </w:pPr>
      <w:r w:rsidRPr="00E67898">
        <w:rPr>
          <w:color w:val="auto"/>
        </w:rPr>
        <w:t xml:space="preserve">dépannage et maintenance des matériels et logiciels </w:t>
      </w:r>
    </w:p>
    <w:p w14:paraId="5E3AF3A8" w14:textId="77777777" w:rsidR="007A2201" w:rsidRPr="00E67898" w:rsidRDefault="007A2201" w:rsidP="007A2201">
      <w:pPr>
        <w:pStyle w:val="Paragraphedeliste"/>
        <w:numPr>
          <w:ilvl w:val="0"/>
          <w:numId w:val="31"/>
        </w:numPr>
        <w:spacing w:after="5" w:line="249" w:lineRule="auto"/>
        <w:ind w:left="284" w:hanging="10"/>
        <w:rPr>
          <w:color w:val="auto"/>
        </w:rPr>
      </w:pPr>
      <w:r w:rsidRPr="00E67898">
        <w:rPr>
          <w:color w:val="auto"/>
        </w:rPr>
        <w:t>gestion du parc et suivi du service (analyses, engagements, améliorations…)</w:t>
      </w:r>
    </w:p>
    <w:p w14:paraId="16A26EEB" w14:textId="77777777" w:rsidR="007A2201" w:rsidRPr="007A2201" w:rsidRDefault="007A2201" w:rsidP="007A2201">
      <w:pPr>
        <w:tabs>
          <w:tab w:val="left" w:pos="180"/>
        </w:tabs>
        <w:ind w:left="284" w:right="-1"/>
        <w:rPr>
          <w:b/>
        </w:rPr>
      </w:pPr>
    </w:p>
    <w:p w14:paraId="7085DCA6" w14:textId="77777777" w:rsidR="007A2201" w:rsidRPr="007A2201" w:rsidRDefault="007A2201" w:rsidP="007A2201">
      <w:pPr>
        <w:tabs>
          <w:tab w:val="left" w:pos="180"/>
        </w:tabs>
        <w:ind w:right="-1"/>
      </w:pPr>
      <w:r w:rsidRPr="007A2201">
        <w:t>Le descriptif détaillé des prestations figure dans le CCTP.</w:t>
      </w:r>
    </w:p>
    <w:p w14:paraId="5A6EBDBF" w14:textId="77777777" w:rsidR="007A2201" w:rsidRPr="007A2201" w:rsidRDefault="007A2201" w:rsidP="00D62C6E"/>
    <w:p w14:paraId="65722286" w14:textId="77777777" w:rsidR="00E67898" w:rsidRDefault="00D62C6E" w:rsidP="00E67898">
      <w:r w:rsidRPr="007A2201">
        <w:rPr>
          <w:b/>
        </w:rPr>
        <w:t>Lieu de livraison</w:t>
      </w:r>
      <w:r w:rsidRPr="007A2201">
        <w:t xml:space="preserve"> : Groupe Hospitalier Rance Emeraude</w:t>
      </w:r>
      <w:bookmarkStart w:id="4" w:name="_Toc129356554"/>
    </w:p>
    <w:p w14:paraId="66A35C39" w14:textId="77777777" w:rsidR="00E67898" w:rsidRDefault="00E67898" w:rsidP="00E67898">
      <w:r>
        <w:t>Le détail des lieux de livraison est indiqué dans l’annexe 4 (</w:t>
      </w:r>
      <w:r w:rsidRPr="00E67898">
        <w:t>Liste des sites concernés</w:t>
      </w:r>
      <w:r>
        <w:t>)</w:t>
      </w:r>
    </w:p>
    <w:p w14:paraId="2415E5FA" w14:textId="77777777" w:rsidR="00E67898" w:rsidRDefault="00E67898" w:rsidP="00E67898"/>
    <w:p w14:paraId="7724778A" w14:textId="77777777" w:rsidR="009E5D35" w:rsidRDefault="009E5D35" w:rsidP="009E5D35">
      <w:pPr>
        <w:pStyle w:val="Titre3"/>
      </w:pPr>
      <w:bookmarkStart w:id="5" w:name="_Toc219977851"/>
      <w:r>
        <w:t>Code CPV</w:t>
      </w:r>
      <w:bookmarkEnd w:id="5"/>
    </w:p>
    <w:bookmarkEnd w:id="4"/>
    <w:p w14:paraId="4D0AF386" w14:textId="77777777" w:rsidR="00D62C6E" w:rsidRPr="007A2201" w:rsidRDefault="00D62C6E" w:rsidP="00E67898"/>
    <w:p w14:paraId="382D4867" w14:textId="77777777" w:rsidR="00D62C6E" w:rsidRPr="007A2201" w:rsidRDefault="00D62C6E" w:rsidP="00D62C6E">
      <w:r w:rsidRPr="007A2201">
        <w:rPr>
          <w:bCs/>
        </w:rPr>
        <w:t xml:space="preserve">Le code CPV principal de l'accord-cadre est le suivant : </w:t>
      </w:r>
      <w:r w:rsidRPr="007A2201">
        <w:t>30121100-4 - Photocopieurs </w:t>
      </w:r>
      <w:r w:rsidRPr="007A2201">
        <w:rPr>
          <w:color w:val="333333"/>
        </w:rPr>
        <w:t xml:space="preserve"> </w:t>
      </w:r>
    </w:p>
    <w:p w14:paraId="3C3F6066" w14:textId="77777777" w:rsidR="00D62C6E" w:rsidRPr="007A2201" w:rsidRDefault="00D62C6E" w:rsidP="00D62C6E">
      <w:pPr>
        <w:rPr>
          <w:bCs/>
          <w:szCs w:val="24"/>
          <w:u w:val="single"/>
        </w:rPr>
      </w:pPr>
    </w:p>
    <w:p w14:paraId="6661FFBF" w14:textId="77777777" w:rsidR="00D62C6E" w:rsidRPr="007A2201" w:rsidRDefault="00D62C6E" w:rsidP="00D62C6E">
      <w:r w:rsidRPr="007A2201">
        <w:rPr>
          <w:bCs/>
          <w:szCs w:val="24"/>
          <w:u w:val="single"/>
        </w:rPr>
        <w:t>Code(s) CPV secondaire(s) :</w:t>
      </w:r>
    </w:p>
    <w:p w14:paraId="589D224B" w14:textId="77777777" w:rsidR="00D62C6E" w:rsidRDefault="00D62C6E" w:rsidP="00D62C6E"/>
    <w:p w14:paraId="1F398445" w14:textId="77777777" w:rsidR="007A2201" w:rsidRDefault="007A2201" w:rsidP="007A2201">
      <w:pPr>
        <w:pStyle w:val="Titre3"/>
      </w:pPr>
      <w:bookmarkStart w:id="6" w:name="_Toc219977852"/>
      <w:r>
        <w:t xml:space="preserve">Calendrier </w:t>
      </w:r>
      <w:r w:rsidR="00E67898">
        <w:t xml:space="preserve">prévisionnel </w:t>
      </w:r>
      <w:r>
        <w:t>de la procédure</w:t>
      </w:r>
      <w:bookmarkEnd w:id="6"/>
    </w:p>
    <w:p w14:paraId="7C94098E" w14:textId="77777777" w:rsidR="007A2201" w:rsidRPr="007A2201" w:rsidRDefault="007A2201" w:rsidP="007A2201">
      <w:pPr>
        <w:pStyle w:val="Paragraphedeliste"/>
        <w:numPr>
          <w:ilvl w:val="0"/>
          <w:numId w:val="30"/>
        </w:numPr>
        <w:ind w:left="284" w:hanging="284"/>
      </w:pPr>
      <w:r w:rsidRPr="007A2201">
        <w:t xml:space="preserve">Date limite de réception des offres : </w:t>
      </w:r>
      <w:r w:rsidR="0096522D">
        <w:t>Mar</w:t>
      </w:r>
      <w:r w:rsidRPr="007A2201">
        <w:t>di 2</w:t>
      </w:r>
      <w:r w:rsidR="0096522D">
        <w:t>4</w:t>
      </w:r>
      <w:r w:rsidRPr="007A2201">
        <w:t xml:space="preserve"> février 202</w:t>
      </w:r>
      <w:r>
        <w:t>6</w:t>
      </w:r>
      <w:r w:rsidRPr="007A2201">
        <w:t xml:space="preserve"> à 17h</w:t>
      </w:r>
    </w:p>
    <w:p w14:paraId="563F7928" w14:textId="77777777" w:rsidR="007A2201" w:rsidRPr="007A2201" w:rsidRDefault="007A2201" w:rsidP="007A2201">
      <w:pPr>
        <w:pStyle w:val="Paragraphedeliste"/>
        <w:numPr>
          <w:ilvl w:val="0"/>
          <w:numId w:val="30"/>
        </w:numPr>
        <w:ind w:left="284" w:hanging="284"/>
      </w:pPr>
      <w:r w:rsidRPr="007A2201">
        <w:t>Semaines 1</w:t>
      </w:r>
      <w:r>
        <w:t>3</w:t>
      </w:r>
      <w:r w:rsidRPr="007A2201">
        <w:t xml:space="preserve"> </w:t>
      </w:r>
      <w:r>
        <w:t>et</w:t>
      </w:r>
      <w:r w:rsidRPr="007A2201">
        <w:t xml:space="preserve"> 14 : </w:t>
      </w:r>
      <w:r w:rsidRPr="00EC566F">
        <w:rPr>
          <w:color w:val="auto"/>
        </w:rPr>
        <w:t>Présentation des offres et visites de sites</w:t>
      </w:r>
      <w:r w:rsidRPr="00785153">
        <w:rPr>
          <w:color w:val="auto"/>
        </w:rPr>
        <w:t xml:space="preserve"> (cf. article </w:t>
      </w:r>
      <w:r w:rsidR="00785153" w:rsidRPr="00785153">
        <w:rPr>
          <w:color w:val="auto"/>
        </w:rPr>
        <w:t>6.3</w:t>
      </w:r>
      <w:r w:rsidRPr="00785153">
        <w:rPr>
          <w:color w:val="auto"/>
        </w:rPr>
        <w:t>)</w:t>
      </w:r>
    </w:p>
    <w:p w14:paraId="5C17D503" w14:textId="77777777" w:rsidR="007A2201" w:rsidRPr="007A2201" w:rsidRDefault="007A2201" w:rsidP="007A2201">
      <w:pPr>
        <w:pStyle w:val="Paragraphedeliste"/>
        <w:numPr>
          <w:ilvl w:val="0"/>
          <w:numId w:val="30"/>
        </w:numPr>
        <w:ind w:left="284" w:hanging="284"/>
      </w:pPr>
      <w:r w:rsidRPr="007A2201">
        <w:t>Notification au titulaire : Semaine 1</w:t>
      </w:r>
      <w:r>
        <w:t>6</w:t>
      </w:r>
    </w:p>
    <w:p w14:paraId="1953B9FF" w14:textId="77777777" w:rsidR="007A2201" w:rsidRPr="00C16260" w:rsidRDefault="007A2201" w:rsidP="007A2201">
      <w:pPr>
        <w:pStyle w:val="Paragraphedeliste"/>
        <w:numPr>
          <w:ilvl w:val="0"/>
          <w:numId w:val="30"/>
        </w:numPr>
        <w:ind w:left="284" w:hanging="284"/>
        <w:rPr>
          <w:color w:val="auto"/>
        </w:rPr>
      </w:pPr>
      <w:r w:rsidRPr="00C16260">
        <w:rPr>
          <w:color w:val="auto"/>
        </w:rPr>
        <w:t xml:space="preserve">Début du déploiement : </w:t>
      </w:r>
      <w:r w:rsidR="00C16260">
        <w:rPr>
          <w:color w:val="auto"/>
        </w:rPr>
        <w:t>29 juin</w:t>
      </w:r>
      <w:r w:rsidRPr="00C16260">
        <w:rPr>
          <w:color w:val="auto"/>
        </w:rPr>
        <w:t xml:space="preserve"> 2026</w:t>
      </w:r>
      <w:r w:rsidR="00C16260">
        <w:rPr>
          <w:color w:val="auto"/>
        </w:rPr>
        <w:t xml:space="preserve"> (10 semaines après notification)</w:t>
      </w:r>
    </w:p>
    <w:p w14:paraId="3C132050" w14:textId="77777777" w:rsidR="007A2201" w:rsidRPr="00C16260" w:rsidRDefault="007A2201" w:rsidP="007A2201">
      <w:pPr>
        <w:pStyle w:val="Paragraphedeliste"/>
        <w:numPr>
          <w:ilvl w:val="0"/>
          <w:numId w:val="30"/>
        </w:numPr>
        <w:ind w:left="284" w:hanging="284"/>
        <w:rPr>
          <w:color w:val="auto"/>
        </w:rPr>
      </w:pPr>
      <w:r w:rsidRPr="00C16260">
        <w:rPr>
          <w:color w:val="auto"/>
        </w:rPr>
        <w:t>Début des prestations : 1</w:t>
      </w:r>
      <w:r w:rsidRPr="00C16260">
        <w:rPr>
          <w:color w:val="auto"/>
          <w:vertAlign w:val="superscript"/>
        </w:rPr>
        <w:t>er</w:t>
      </w:r>
      <w:r w:rsidRPr="00C16260">
        <w:rPr>
          <w:color w:val="auto"/>
        </w:rPr>
        <w:t xml:space="preserve"> </w:t>
      </w:r>
      <w:r w:rsidR="00C16260" w:rsidRPr="00C16260">
        <w:rPr>
          <w:color w:val="auto"/>
        </w:rPr>
        <w:t>octobre</w:t>
      </w:r>
      <w:r w:rsidRPr="00C16260">
        <w:rPr>
          <w:color w:val="auto"/>
        </w:rPr>
        <w:t xml:space="preserve"> 2026</w:t>
      </w:r>
      <w:r w:rsidR="00C16260">
        <w:rPr>
          <w:color w:val="auto"/>
        </w:rPr>
        <w:t xml:space="preserve"> (3 mois après début déploiement)</w:t>
      </w:r>
    </w:p>
    <w:p w14:paraId="44CB6B23" w14:textId="77777777" w:rsidR="007A2201" w:rsidRDefault="007A2201" w:rsidP="007A2201"/>
    <w:p w14:paraId="4ADA01E5" w14:textId="77777777" w:rsidR="00C16260" w:rsidRDefault="00C84E81" w:rsidP="007A2201">
      <w:r>
        <w:t>En fonction des délais d’approvisionnement du candidat retenu, le d</w:t>
      </w:r>
      <w:r w:rsidR="00C16260">
        <w:t xml:space="preserve">éploiement </w:t>
      </w:r>
      <w:r>
        <w:t xml:space="preserve">pourra être anticipé à sa demande. </w:t>
      </w:r>
    </w:p>
    <w:p w14:paraId="2887826A" w14:textId="77777777" w:rsidR="00C16260" w:rsidRPr="007A2201" w:rsidRDefault="00C84E81" w:rsidP="007A2201">
      <w:r>
        <w:t xml:space="preserve">Les délais indiqués ci-dessus sont prévisionnels. </w:t>
      </w:r>
      <w:r w:rsidRPr="00C84E81">
        <w:rPr>
          <w:b/>
          <w:bCs/>
        </w:rPr>
        <w:t>Le déploiement débutera 10 semaines</w:t>
      </w:r>
      <w:r>
        <w:rPr>
          <w:b/>
          <w:bCs/>
        </w:rPr>
        <w:t xml:space="preserve"> au plus tard</w:t>
      </w:r>
      <w:r w:rsidRPr="00C84E81">
        <w:rPr>
          <w:b/>
          <w:bCs/>
        </w:rPr>
        <w:t xml:space="preserve"> après la notification</w:t>
      </w:r>
      <w:r>
        <w:t>.</w:t>
      </w:r>
    </w:p>
    <w:p w14:paraId="71A2D646" w14:textId="77777777" w:rsidR="00D62C6E" w:rsidRDefault="00D62C6E" w:rsidP="00D62C6E">
      <w:pPr>
        <w:pStyle w:val="Titre3"/>
      </w:pPr>
      <w:bookmarkStart w:id="7" w:name="_Toc141007580"/>
      <w:bookmarkStart w:id="8" w:name="_Toc150251569"/>
      <w:bookmarkStart w:id="9" w:name="_Toc219977853"/>
      <w:r w:rsidRPr="007A2201">
        <w:t>Durée</w:t>
      </w:r>
      <w:bookmarkEnd w:id="7"/>
      <w:bookmarkEnd w:id="8"/>
      <w:bookmarkEnd w:id="9"/>
      <w:r w:rsidRPr="007A2201">
        <w:t xml:space="preserve"> </w:t>
      </w:r>
    </w:p>
    <w:p w14:paraId="0F033D5C" w14:textId="77777777" w:rsidR="00D62C6E" w:rsidRPr="007A2201" w:rsidRDefault="00D62C6E" w:rsidP="00D62C6E">
      <w:r w:rsidRPr="007A2201">
        <w:rPr>
          <w:u w:val="single"/>
        </w:rPr>
        <w:t>Durée :</w:t>
      </w:r>
    </w:p>
    <w:p w14:paraId="0A55A4B4" w14:textId="77777777" w:rsidR="00D62C6E" w:rsidRPr="007A2201" w:rsidRDefault="00D62C6E" w:rsidP="00D62C6E">
      <w:r w:rsidRPr="007A2201">
        <w:t xml:space="preserve">L’accord-cadre est conclu pour une période initiale de </w:t>
      </w:r>
      <w:r w:rsidRPr="00EC566F">
        <w:rPr>
          <w:color w:val="auto"/>
        </w:rPr>
        <w:t>36 mois</w:t>
      </w:r>
    </w:p>
    <w:p w14:paraId="129C3C4D" w14:textId="77777777" w:rsidR="00D62C6E" w:rsidRPr="007A2201" w:rsidRDefault="00D62C6E" w:rsidP="00D62C6E"/>
    <w:p w14:paraId="0EC1FE36" w14:textId="77777777" w:rsidR="00D62C6E" w:rsidRPr="007A2201" w:rsidRDefault="00D62C6E" w:rsidP="00D62C6E">
      <w:r w:rsidRPr="007A2201">
        <w:t xml:space="preserve">La date de début </w:t>
      </w:r>
      <w:r w:rsidR="007A2201">
        <w:t xml:space="preserve">opérationnel </w:t>
      </w:r>
      <w:r w:rsidR="00EC566F">
        <w:t xml:space="preserve">(mise en service de l’ensemble des copieurs) </w:t>
      </w:r>
      <w:r w:rsidRPr="007A2201">
        <w:t>de l'accord-cadre est prévue le 1</w:t>
      </w:r>
      <w:r w:rsidR="007A2201" w:rsidRPr="009E5D35">
        <w:rPr>
          <w:vertAlign w:val="superscript"/>
        </w:rPr>
        <w:t>er</w:t>
      </w:r>
      <w:r w:rsidR="009E5D35">
        <w:t xml:space="preserve"> octobre</w:t>
      </w:r>
      <w:r w:rsidRPr="007A2201">
        <w:t> 2026</w:t>
      </w:r>
    </w:p>
    <w:p w14:paraId="434225D9" w14:textId="77777777" w:rsidR="00D62C6E" w:rsidRPr="007A2201" w:rsidRDefault="00D62C6E" w:rsidP="00D62C6E">
      <w:r w:rsidRPr="007A2201">
        <w:t>La date de fin prévisionnelle de l'accord-cadre est prévue le 3</w:t>
      </w:r>
      <w:r w:rsidR="009E5D35">
        <w:t>0</w:t>
      </w:r>
      <w:r w:rsidRPr="007A2201">
        <w:t> </w:t>
      </w:r>
      <w:r w:rsidR="009E5D35">
        <w:t>septembre</w:t>
      </w:r>
      <w:r w:rsidRPr="007A2201">
        <w:t> 2029.</w:t>
      </w:r>
    </w:p>
    <w:p w14:paraId="5BB2D391" w14:textId="77777777" w:rsidR="00D62C6E" w:rsidRPr="007A2201" w:rsidRDefault="00D62C6E" w:rsidP="00D62C6E"/>
    <w:p w14:paraId="766B446E" w14:textId="77777777" w:rsidR="00D62C6E" w:rsidRPr="007A2201" w:rsidRDefault="00D62C6E" w:rsidP="00D62C6E">
      <w:r w:rsidRPr="007A2201">
        <w:rPr>
          <w:u w:val="single"/>
        </w:rPr>
        <w:lastRenderedPageBreak/>
        <w:t>Délai de livraison :</w:t>
      </w:r>
    </w:p>
    <w:p w14:paraId="0C2D193D" w14:textId="77777777" w:rsidR="00D62C6E" w:rsidRPr="007A2201" w:rsidRDefault="00D62C6E" w:rsidP="00D62C6E"/>
    <w:p w14:paraId="392DF494" w14:textId="77777777" w:rsidR="00D62C6E" w:rsidRPr="007A2201" w:rsidRDefault="00D62C6E" w:rsidP="00D62C6E">
      <w:r w:rsidRPr="007A2201">
        <w:rPr>
          <w:u w:val="single"/>
        </w:rPr>
        <w:t>Caractéristiques du délai de livraison :</w:t>
      </w:r>
    </w:p>
    <w:p w14:paraId="330CAD2E" w14:textId="77777777" w:rsidR="00D62C6E" w:rsidRPr="007A2201" w:rsidRDefault="00D62C6E" w:rsidP="00D62C6E">
      <w:r w:rsidRPr="007A2201">
        <w:t>Par dérogation à l'article 13 du CCAG fournitures courantes et services, la durée du marché ne commence pas à sa notification</w:t>
      </w:r>
      <w:r w:rsidR="007A2201">
        <w:t xml:space="preserve"> mais au début opérationnel des prestations de location.</w:t>
      </w:r>
    </w:p>
    <w:p w14:paraId="085C8845" w14:textId="77777777" w:rsidR="00D62C6E" w:rsidRDefault="00D62C6E" w:rsidP="00D62C6E"/>
    <w:p w14:paraId="60E46846" w14:textId="77777777" w:rsidR="001A0900" w:rsidRPr="007A2201" w:rsidRDefault="001A0900" w:rsidP="00D62C6E"/>
    <w:p w14:paraId="358141E3" w14:textId="77777777" w:rsidR="00D62C6E" w:rsidRPr="007A2201" w:rsidRDefault="00D62C6E" w:rsidP="00D62C6E">
      <w:r w:rsidRPr="007A2201">
        <w:rPr>
          <w:u w:val="single"/>
        </w:rPr>
        <w:t>Reconduction :</w:t>
      </w:r>
    </w:p>
    <w:p w14:paraId="3AC96FFE" w14:textId="77777777" w:rsidR="00D62C6E" w:rsidRPr="00EC566F" w:rsidRDefault="00D62C6E" w:rsidP="00D62C6E">
      <w:pPr>
        <w:rPr>
          <w:color w:val="auto"/>
        </w:rPr>
      </w:pPr>
      <w:r w:rsidRPr="00EC566F">
        <w:rPr>
          <w:color w:val="auto"/>
        </w:rPr>
        <w:t>L'accord-cadre est reconductible</w:t>
      </w:r>
      <w:r w:rsidR="007A2201" w:rsidRPr="00EC566F">
        <w:rPr>
          <w:color w:val="auto"/>
        </w:rPr>
        <w:t xml:space="preserve"> </w:t>
      </w:r>
      <w:r w:rsidRPr="00EC566F">
        <w:rPr>
          <w:color w:val="auto"/>
        </w:rPr>
        <w:t>tacitement, il comprend une reconduction. La durée de</w:t>
      </w:r>
      <w:r w:rsidR="007A2201" w:rsidRPr="00EC566F">
        <w:rPr>
          <w:color w:val="auto"/>
        </w:rPr>
        <w:t xml:space="preserve"> la</w:t>
      </w:r>
      <w:r w:rsidRPr="00EC566F">
        <w:rPr>
          <w:color w:val="auto"/>
        </w:rPr>
        <w:t xml:space="preserve"> reconduction est de </w:t>
      </w:r>
      <w:r w:rsidR="007A2201" w:rsidRPr="00EC566F">
        <w:rPr>
          <w:color w:val="auto"/>
        </w:rPr>
        <w:t>12 mois.</w:t>
      </w:r>
    </w:p>
    <w:p w14:paraId="5CDA2489" w14:textId="77777777" w:rsidR="007A2201" w:rsidRDefault="007A2201" w:rsidP="00D62C6E"/>
    <w:p w14:paraId="37B87DA0" w14:textId="77777777" w:rsidR="00D62C6E" w:rsidRPr="007A2201" w:rsidRDefault="007A2201" w:rsidP="00D62C6E">
      <w:r w:rsidRPr="007A2201">
        <w:t>À</w:t>
      </w:r>
      <w:r w:rsidR="00D62C6E" w:rsidRPr="007A2201">
        <w:t xml:space="preserve"> l'issue de la reconduction, plus aucune nouvelle commande ne pourra être réalisée en exécution de cet accord-cadre.</w:t>
      </w:r>
    </w:p>
    <w:p w14:paraId="3BB84582" w14:textId="77777777" w:rsidR="00D62C6E" w:rsidRPr="007A2201" w:rsidRDefault="00D62C6E" w:rsidP="00D62C6E"/>
    <w:p w14:paraId="274F52A9" w14:textId="77777777" w:rsidR="00D62C6E" w:rsidRPr="007A2201" w:rsidRDefault="00D62C6E" w:rsidP="00D62C6E">
      <w:r w:rsidRPr="007A2201">
        <w:t>Si l’acheteur ne souhaite pas reconduire l'accord-cadre, il doit prendre une décision expresse de non-reconduction, qu’il notifie au titulaire au plus tard 90 jours calendaires avant la date d’échéance de l'accord-cadre initial ou d'une reconduction ultérieure.</w:t>
      </w:r>
    </w:p>
    <w:p w14:paraId="2922ED58" w14:textId="77777777" w:rsidR="00D62C6E" w:rsidRDefault="00D62C6E" w:rsidP="00D62C6E">
      <w:r w:rsidRPr="007A2201">
        <w:t>Le titulaire ne peut s'opposer à la non-reconduction de l'accord-cadre.</w:t>
      </w:r>
    </w:p>
    <w:p w14:paraId="3BF81B8A" w14:textId="77777777" w:rsidR="007A2201" w:rsidRDefault="007A2201" w:rsidP="00D62C6E"/>
    <w:p w14:paraId="38455D6B" w14:textId="77777777" w:rsidR="007A2201" w:rsidRDefault="007A2201" w:rsidP="007A2201">
      <w:pPr>
        <w:pStyle w:val="Titre3"/>
      </w:pPr>
      <w:bookmarkStart w:id="10" w:name="_Toc219977854"/>
      <w:r>
        <w:t>Réversibilité des prestations</w:t>
      </w:r>
      <w:bookmarkEnd w:id="10"/>
    </w:p>
    <w:p w14:paraId="581D9501" w14:textId="77777777" w:rsidR="007A2201" w:rsidRPr="007A2201" w:rsidRDefault="007A2201" w:rsidP="007A2201">
      <w:pPr>
        <w:pStyle w:val="NormalWeb0"/>
        <w:rPr>
          <w:rFonts w:ascii="Calibri" w:eastAsia="Calibri" w:hAnsi="Calibri" w:cs="Calibri"/>
          <w:color w:val="000000"/>
          <w:sz w:val="22"/>
          <w:szCs w:val="22"/>
          <w:lang w:eastAsia="en-US"/>
        </w:rPr>
      </w:pPr>
      <w:r w:rsidRPr="007A2201">
        <w:rPr>
          <w:rFonts w:ascii="Calibri" w:eastAsia="Calibri" w:hAnsi="Calibri" w:cs="Calibri"/>
          <w:color w:val="000000"/>
          <w:sz w:val="22"/>
          <w:szCs w:val="22"/>
          <w:lang w:eastAsia="en-US"/>
        </w:rPr>
        <w:t>Le présent marché comprend une obligation de réversibilité, destinée à garantir la continuité du service et la reprise des prestations en fin de marché ou en cas de résiliation anticipée.</w:t>
      </w:r>
    </w:p>
    <w:p w14:paraId="01EA3DFB" w14:textId="77777777" w:rsidR="007A2201" w:rsidRPr="007A2201" w:rsidRDefault="007A2201" w:rsidP="007A2201">
      <w:pPr>
        <w:pStyle w:val="NormalWeb0"/>
        <w:rPr>
          <w:rFonts w:ascii="Calibri" w:eastAsia="Calibri" w:hAnsi="Calibri" w:cs="Calibri"/>
          <w:color w:val="000000"/>
          <w:sz w:val="22"/>
          <w:szCs w:val="22"/>
          <w:lang w:eastAsia="en-US"/>
        </w:rPr>
      </w:pPr>
      <w:r w:rsidRPr="007A2201">
        <w:rPr>
          <w:rFonts w:ascii="Calibri" w:eastAsia="Calibri" w:hAnsi="Calibri" w:cs="Calibri"/>
          <w:color w:val="000000"/>
          <w:sz w:val="22"/>
          <w:szCs w:val="22"/>
          <w:lang w:eastAsia="en-US"/>
        </w:rPr>
        <w:t xml:space="preserve">Les modalités et conditions de mise en œuvre de la réversibilité sont définies au cahier des clauses techniques particulières (CCTP) </w:t>
      </w:r>
    </w:p>
    <w:p w14:paraId="125867E8" w14:textId="77777777" w:rsidR="00D62C6E" w:rsidRPr="007A2201" w:rsidRDefault="00D62C6E" w:rsidP="00D62C6E"/>
    <w:p w14:paraId="6496D8B8" w14:textId="77777777" w:rsidR="00D62C6E" w:rsidRPr="007A2201" w:rsidRDefault="00D62C6E" w:rsidP="00D62C6E">
      <w:pPr>
        <w:pStyle w:val="Titre2"/>
        <w:ind w:left="1134" w:hanging="1134"/>
      </w:pPr>
      <w:bookmarkStart w:id="11" w:name="_Toc129356556"/>
      <w:bookmarkStart w:id="12" w:name="_Toc219977855"/>
      <w:r w:rsidRPr="007A2201">
        <w:t>Dossier de consultation</w:t>
      </w:r>
      <w:bookmarkEnd w:id="11"/>
      <w:bookmarkEnd w:id="12"/>
    </w:p>
    <w:p w14:paraId="0A04E67C" w14:textId="77777777" w:rsidR="00D62C6E" w:rsidRPr="007A2201" w:rsidRDefault="00D62C6E" w:rsidP="00D62C6E"/>
    <w:p w14:paraId="790ADC24" w14:textId="77777777" w:rsidR="00D62C6E" w:rsidRPr="007A2201" w:rsidRDefault="00D62C6E" w:rsidP="007A2201">
      <w:pPr>
        <w:jc w:val="left"/>
      </w:pPr>
      <w:r w:rsidRPr="007A2201">
        <w:t xml:space="preserve">Vous pouvez consulter les documents en ligne à l’adresse suivante : </w:t>
      </w:r>
      <w:hyperlink r:id="rId20" w:history="1">
        <w:r w:rsidRPr="007A2201">
          <w:rPr>
            <w:rStyle w:val="Lienhypertexte"/>
          </w:rPr>
          <w:t>https://www.marches-publics.gouv.fr/entreprise</w:t>
        </w:r>
      </w:hyperlink>
    </w:p>
    <w:p w14:paraId="30AC3AA7" w14:textId="77777777" w:rsidR="00D62C6E" w:rsidRPr="007A2201" w:rsidRDefault="00D62C6E" w:rsidP="007A2201">
      <w:pPr>
        <w:jc w:val="left"/>
        <w:rPr>
          <w:shd w:val="clear" w:color="auto" w:fill="F0F0F0"/>
        </w:rPr>
      </w:pPr>
    </w:p>
    <w:p w14:paraId="5A52EFF5" w14:textId="77777777" w:rsidR="00D62C6E" w:rsidRPr="007A2201" w:rsidRDefault="00D62C6E" w:rsidP="007A2201">
      <w:pPr>
        <w:jc w:val="left"/>
        <w:rPr>
          <w:shd w:val="clear" w:color="auto" w:fill="F0F0F0"/>
        </w:rPr>
      </w:pPr>
      <w:r w:rsidRPr="007A2201">
        <w:t xml:space="preserve">Le dossier de consultation comprend les éléments suivants : </w:t>
      </w:r>
    </w:p>
    <w:p w14:paraId="3ACC7B4C" w14:textId="77777777" w:rsidR="00B46956" w:rsidRPr="007A2201" w:rsidRDefault="00B46956" w:rsidP="00B46956">
      <w:pPr>
        <w:jc w:val="left"/>
        <w:rPr>
          <w:shd w:val="clear" w:color="auto" w:fill="F0F0F0"/>
        </w:rPr>
      </w:pPr>
      <w:r w:rsidRPr="007A2201">
        <w:t>- DC1 – Lettre de candidature</w:t>
      </w:r>
    </w:p>
    <w:p w14:paraId="51A2DEA9" w14:textId="77777777" w:rsidR="00B46956" w:rsidRPr="007A2201" w:rsidRDefault="00B46956" w:rsidP="00B46956">
      <w:pPr>
        <w:jc w:val="left"/>
        <w:rPr>
          <w:shd w:val="clear" w:color="auto" w:fill="F0F0F0"/>
        </w:rPr>
      </w:pPr>
      <w:r w:rsidRPr="007A2201">
        <w:t>- DC2 – Déclaration du candidat individuel</w:t>
      </w:r>
    </w:p>
    <w:p w14:paraId="7044E13E" w14:textId="77777777" w:rsidR="00B46956" w:rsidRPr="007A2201" w:rsidRDefault="00B46956" w:rsidP="00B46956">
      <w:pPr>
        <w:jc w:val="left"/>
        <w:rPr>
          <w:shd w:val="clear" w:color="auto" w:fill="F0F0F0"/>
        </w:rPr>
      </w:pPr>
      <w:r w:rsidRPr="007A2201">
        <w:t>- DC4 – Déclaration de sous-traitance</w:t>
      </w:r>
    </w:p>
    <w:p w14:paraId="1D81FE4A" w14:textId="77777777" w:rsidR="00D62C6E" w:rsidRDefault="00D62C6E" w:rsidP="007A2201">
      <w:pPr>
        <w:jc w:val="left"/>
      </w:pPr>
      <w:r w:rsidRPr="007A2201">
        <w:t>- L'acte d'engagement (AE)</w:t>
      </w:r>
      <w:r w:rsidR="00B46956">
        <w:t xml:space="preserve"> </w:t>
      </w:r>
      <w:r w:rsidR="00B46956" w:rsidRPr="00B46956">
        <w:rPr>
          <w:b/>
          <w:bCs/>
        </w:rPr>
        <w:t>à compléter par le candidat</w:t>
      </w:r>
    </w:p>
    <w:p w14:paraId="1F050C9D" w14:textId="77777777" w:rsidR="00C84E81" w:rsidRDefault="00C84E81" w:rsidP="007A2201">
      <w:pPr>
        <w:jc w:val="left"/>
      </w:pPr>
      <w:r>
        <w:t xml:space="preserve">- Le Bordereau des Prix Unitaires (BPU) – </w:t>
      </w:r>
      <w:r w:rsidRPr="00B46956">
        <w:rPr>
          <w:b/>
          <w:bCs/>
        </w:rPr>
        <w:t>Annexe 1</w:t>
      </w:r>
      <w:r w:rsidR="00B46956" w:rsidRPr="00B46956">
        <w:rPr>
          <w:b/>
          <w:bCs/>
        </w:rPr>
        <w:t xml:space="preserve"> à compléter par le candidat</w:t>
      </w:r>
    </w:p>
    <w:p w14:paraId="1FC1B190" w14:textId="77777777" w:rsidR="00C84E81" w:rsidRDefault="00C84E81" w:rsidP="007A2201">
      <w:pPr>
        <w:jc w:val="left"/>
      </w:pPr>
      <w:r>
        <w:t xml:space="preserve">- Le devis quantitatif estimatif (DQE) – </w:t>
      </w:r>
      <w:r w:rsidRPr="00B46956">
        <w:rPr>
          <w:b/>
          <w:bCs/>
        </w:rPr>
        <w:t>Annexe 2</w:t>
      </w:r>
      <w:r w:rsidR="00B46956" w:rsidRPr="00B46956">
        <w:rPr>
          <w:b/>
          <w:bCs/>
        </w:rPr>
        <w:t xml:space="preserve"> à compléter par le candidat</w:t>
      </w:r>
    </w:p>
    <w:p w14:paraId="64C5A293" w14:textId="77777777" w:rsidR="00C84E81" w:rsidRDefault="00B46956" w:rsidP="007A2201">
      <w:pPr>
        <w:jc w:val="left"/>
      </w:pPr>
      <w:r>
        <w:t xml:space="preserve">- Les caractéristiques des matériels – </w:t>
      </w:r>
      <w:r w:rsidRPr="00B46956">
        <w:rPr>
          <w:b/>
          <w:bCs/>
        </w:rPr>
        <w:t>Annexe 3</w:t>
      </w:r>
      <w:r w:rsidR="00C84E81" w:rsidRPr="00B46956">
        <w:rPr>
          <w:b/>
          <w:bCs/>
        </w:rPr>
        <w:t xml:space="preserve"> </w:t>
      </w:r>
      <w:r w:rsidRPr="00B46956">
        <w:rPr>
          <w:b/>
          <w:bCs/>
        </w:rPr>
        <w:t>à compléter par le candidat</w:t>
      </w:r>
    </w:p>
    <w:p w14:paraId="0CFAC343" w14:textId="77777777" w:rsidR="00B46956" w:rsidRDefault="00B46956" w:rsidP="007A2201">
      <w:pPr>
        <w:jc w:val="left"/>
      </w:pPr>
      <w:r>
        <w:t xml:space="preserve">- Le cadre de réponse développement durable (DD) – </w:t>
      </w:r>
      <w:r w:rsidRPr="00B46956">
        <w:rPr>
          <w:b/>
          <w:bCs/>
        </w:rPr>
        <w:t>Annexe 4 à compléter par le candidat</w:t>
      </w:r>
    </w:p>
    <w:p w14:paraId="0B219D5C" w14:textId="77777777" w:rsidR="00B46956" w:rsidRPr="00B46956" w:rsidRDefault="00B46956" w:rsidP="007A2201">
      <w:pPr>
        <w:jc w:val="left"/>
        <w:rPr>
          <w:b/>
          <w:bCs/>
          <w:shd w:val="clear" w:color="auto" w:fill="F0F0F0"/>
        </w:rPr>
      </w:pPr>
      <w:r>
        <w:t xml:space="preserve">- Le Contrat de protection des données personnelles – </w:t>
      </w:r>
      <w:r w:rsidRPr="00B46956">
        <w:rPr>
          <w:b/>
          <w:bCs/>
        </w:rPr>
        <w:t>Annexe 5 à compléter par le candidat</w:t>
      </w:r>
    </w:p>
    <w:p w14:paraId="239E98DB" w14:textId="77777777" w:rsidR="00D62C6E" w:rsidRPr="007A2201" w:rsidRDefault="00D62C6E" w:rsidP="007A2201">
      <w:pPr>
        <w:jc w:val="left"/>
        <w:rPr>
          <w:shd w:val="clear" w:color="auto" w:fill="F0F0F0"/>
        </w:rPr>
      </w:pPr>
      <w:r w:rsidRPr="007A2201">
        <w:t>- Règlement Consultation (RC)</w:t>
      </w:r>
    </w:p>
    <w:p w14:paraId="165AD983" w14:textId="77777777" w:rsidR="00D62C6E" w:rsidRPr="007A2201" w:rsidRDefault="00D62C6E" w:rsidP="007A2201">
      <w:pPr>
        <w:jc w:val="left"/>
        <w:rPr>
          <w:shd w:val="clear" w:color="auto" w:fill="F0F0F0"/>
        </w:rPr>
      </w:pPr>
      <w:r w:rsidRPr="007A2201">
        <w:t>- Le cahier des clauses administratives particulières (CCAP) ou tout autre document qui en tient lieu et ses éventuelles annexes</w:t>
      </w:r>
    </w:p>
    <w:p w14:paraId="365722CC" w14:textId="77777777" w:rsidR="00D62C6E" w:rsidRDefault="00D62C6E" w:rsidP="007A2201">
      <w:pPr>
        <w:jc w:val="left"/>
      </w:pPr>
      <w:r w:rsidRPr="007A2201">
        <w:t>- Le cahier des clauses techniques particulières (CCTP) ou tout autre document qui en tient lieu et ses éventuelles annexes</w:t>
      </w:r>
    </w:p>
    <w:p w14:paraId="47DECC64" w14:textId="77777777" w:rsidR="00B46956" w:rsidRDefault="00B46956" w:rsidP="007A2201">
      <w:pPr>
        <w:jc w:val="left"/>
      </w:pPr>
      <w:r>
        <w:t>- Le clausier conformité numérique – Annexe 6</w:t>
      </w:r>
    </w:p>
    <w:p w14:paraId="495401D4" w14:textId="77777777" w:rsidR="00B46956" w:rsidRPr="007A2201" w:rsidRDefault="00B46956" w:rsidP="007A2201">
      <w:pPr>
        <w:jc w:val="left"/>
        <w:rPr>
          <w:shd w:val="clear" w:color="auto" w:fill="F0F0F0"/>
        </w:rPr>
      </w:pPr>
      <w:r>
        <w:t>- La liste des sites concernés (Lieux d’exécution) – Annexe 7</w:t>
      </w:r>
    </w:p>
    <w:p w14:paraId="36D6F244" w14:textId="77777777" w:rsidR="00D62C6E" w:rsidRPr="007A2201" w:rsidRDefault="00B46956" w:rsidP="007A2201">
      <w:pPr>
        <w:jc w:val="left"/>
        <w:rPr>
          <w:shd w:val="clear" w:color="auto" w:fill="F0F0F0"/>
        </w:rPr>
      </w:pPr>
      <w:r w:rsidRPr="00B46956">
        <w:rPr>
          <w:shd w:val="clear" w:color="auto" w:fill="F0F0F0"/>
        </w:rPr>
        <w:lastRenderedPageBreak/>
        <w:t>Les annexes</w:t>
      </w:r>
      <w:r>
        <w:rPr>
          <w:shd w:val="clear" w:color="auto" w:fill="F0F0F0"/>
        </w:rPr>
        <w:t xml:space="preserve"> 1 à 5 doivent être signées par le candidat.</w:t>
      </w:r>
    </w:p>
    <w:p w14:paraId="6F18E2C8" w14:textId="77777777" w:rsidR="00D62C6E" w:rsidRPr="007A2201" w:rsidRDefault="00D62C6E" w:rsidP="007A2201">
      <w:pPr>
        <w:jc w:val="left"/>
        <w:rPr>
          <w:shd w:val="clear" w:color="auto" w:fill="F0F0F0"/>
        </w:rPr>
      </w:pPr>
    </w:p>
    <w:p w14:paraId="28C108D2" w14:textId="77777777" w:rsidR="00D62C6E" w:rsidRPr="007A2201" w:rsidRDefault="00D62C6E" w:rsidP="007A2201">
      <w:pPr>
        <w:jc w:val="left"/>
        <w:rPr>
          <w:shd w:val="clear" w:color="auto" w:fill="F0F0F0"/>
        </w:rPr>
      </w:pPr>
      <w:r w:rsidRPr="007A2201">
        <w:t>L’acheteur se réserve le droit d’apporter des modifications de détail au dossier de consultation. Ces modifications devront être reçues par les candidats au plus tard 6 jours calendaires avant la date limite de réception des offres. Les candidats devront alors répondre sur la base du dossier modifié sans pouvoir élever aucune réclamation à ce sujet.</w:t>
      </w:r>
    </w:p>
    <w:p w14:paraId="107C2500" w14:textId="77777777" w:rsidR="00D62C6E" w:rsidRPr="007A2201" w:rsidRDefault="00D62C6E" w:rsidP="007A2201">
      <w:pPr>
        <w:jc w:val="left"/>
        <w:rPr>
          <w:shd w:val="clear" w:color="auto" w:fill="F0F0F0"/>
        </w:rPr>
      </w:pPr>
    </w:p>
    <w:p w14:paraId="05A43A22" w14:textId="77777777" w:rsidR="00D62C6E" w:rsidRPr="007A2201" w:rsidRDefault="00D62C6E" w:rsidP="007A2201">
      <w:pPr>
        <w:jc w:val="left"/>
        <w:rPr>
          <w:shd w:val="clear" w:color="auto" w:fill="F0F0F0"/>
        </w:rPr>
      </w:pPr>
      <w:r w:rsidRPr="007A2201">
        <w:t>Les renseignements complémentaires sur les documents de la consultation seront envoyés aux opérateurs économiques 6 jours calendaires au plus tard avant la date limite fixée pour la réception des offres, pour autant qu'ils en aient fait la demande 7 jours calendaires avant la date limite fixée pour la réception des offres.</w:t>
      </w:r>
    </w:p>
    <w:p w14:paraId="0856E89F" w14:textId="77777777" w:rsidR="00D62C6E" w:rsidRPr="007A2201" w:rsidRDefault="00D62C6E" w:rsidP="007A2201">
      <w:pPr>
        <w:jc w:val="left"/>
        <w:rPr>
          <w:shd w:val="clear" w:color="auto" w:fill="F0F0F0"/>
        </w:rPr>
      </w:pPr>
    </w:p>
    <w:p w14:paraId="0926CD11" w14:textId="77777777" w:rsidR="00D62C6E" w:rsidRPr="007A2201" w:rsidRDefault="00D62C6E" w:rsidP="007A2201">
      <w:pPr>
        <w:jc w:val="left"/>
        <w:rPr>
          <w:shd w:val="clear" w:color="auto" w:fill="F0F0F0"/>
        </w:rPr>
      </w:pPr>
      <w:r w:rsidRPr="007A2201">
        <w:t>Si un complément d'informations, nécessaire à l'élaboration de l'offre n'est pas fourni dans les délais prévus ci-dessus, ou si des modifications importantes sont apportées aux documents de l'accord-cadre, le délai de réception des offres sera prolongé de manière proportionnée à l'importance des informations demandées ou des modifications apportées.</w:t>
      </w:r>
    </w:p>
    <w:p w14:paraId="3095CC95" w14:textId="77777777" w:rsidR="00D62C6E" w:rsidRPr="007A2201" w:rsidRDefault="00D62C6E" w:rsidP="00D62C6E">
      <w:pPr>
        <w:rPr>
          <w:shd w:val="clear" w:color="auto" w:fill="F0F0F0"/>
        </w:rPr>
      </w:pPr>
    </w:p>
    <w:p w14:paraId="7DD64DF0" w14:textId="77777777" w:rsidR="00D62C6E" w:rsidRPr="007A2201" w:rsidRDefault="00D62C6E" w:rsidP="00D62C6E">
      <w:pPr>
        <w:pStyle w:val="Titre2"/>
      </w:pPr>
      <w:bookmarkStart w:id="13" w:name="_Toc129356557"/>
      <w:bookmarkStart w:id="14" w:name="_Toc219977856"/>
      <w:r w:rsidRPr="007A2201">
        <w:t>Conditions de la consultation</w:t>
      </w:r>
      <w:bookmarkEnd w:id="13"/>
      <w:bookmarkEnd w:id="14"/>
      <w:r w:rsidRPr="007A2201">
        <w:t xml:space="preserve"> </w:t>
      </w:r>
    </w:p>
    <w:p w14:paraId="2178D9EA" w14:textId="77777777" w:rsidR="00D62C6E" w:rsidRPr="007A2201" w:rsidRDefault="00D62C6E" w:rsidP="00D62C6E">
      <w:pPr>
        <w:pStyle w:val="Titre3"/>
      </w:pPr>
      <w:bookmarkStart w:id="15" w:name="_Toc129356558"/>
      <w:bookmarkStart w:id="16" w:name="_Toc219977857"/>
      <w:r w:rsidRPr="007A2201">
        <w:t>Procédure de passation</w:t>
      </w:r>
      <w:bookmarkEnd w:id="15"/>
      <w:bookmarkEnd w:id="16"/>
    </w:p>
    <w:p w14:paraId="344CA4E0" w14:textId="77777777" w:rsidR="00D62C6E" w:rsidRPr="007A2201" w:rsidRDefault="00D62C6E" w:rsidP="00D62C6E">
      <w:r w:rsidRPr="007A2201">
        <w:t>Conformément aux articles R. 2124-2 et R. 2161-2 à R. 2161-5 du code de la commande publique, le marché est passé par appel d'offres ouvert.</w:t>
      </w:r>
    </w:p>
    <w:p w14:paraId="7B5DE80F" w14:textId="77777777" w:rsidR="00D62C6E" w:rsidRPr="007A2201" w:rsidRDefault="00D62C6E" w:rsidP="00D62C6E">
      <w:r w:rsidRPr="007A2201">
        <w:t>Conformément à l’article R. 2162-2 du code de la commande publique, l'accord-cadre mono-attributaire sera exécuté par l'émission de bons de commande dans les conditions fixées aux articles R. 2162-13 et R. 2162-14 du même code.</w:t>
      </w:r>
    </w:p>
    <w:p w14:paraId="5C9C7A9D" w14:textId="77777777" w:rsidR="00D62C6E" w:rsidRPr="007A2201" w:rsidRDefault="00D62C6E" w:rsidP="00D62C6E">
      <w:pPr>
        <w:pStyle w:val="Titre3"/>
      </w:pPr>
      <w:bookmarkStart w:id="17" w:name="_Toc129356559"/>
      <w:bookmarkStart w:id="18" w:name="_Toc219977858"/>
      <w:r w:rsidRPr="007A2201">
        <w:t>Allotissement</w:t>
      </w:r>
      <w:bookmarkEnd w:id="17"/>
      <w:bookmarkEnd w:id="18"/>
    </w:p>
    <w:p w14:paraId="7A18B9EA" w14:textId="77777777" w:rsidR="00D62C6E" w:rsidRPr="007A2201" w:rsidRDefault="00D62C6E" w:rsidP="00D62C6E">
      <w:r w:rsidRPr="007A2201">
        <w:t xml:space="preserve">L’acheteur décide de ne pas allotir l'accord-cadre initial pour les raisons suivantes : </w:t>
      </w:r>
    </w:p>
    <w:p w14:paraId="21A140E4" w14:textId="77777777" w:rsidR="00D62C6E" w:rsidRPr="007A2201" w:rsidRDefault="00D62C6E" w:rsidP="00D62C6E">
      <w:r w:rsidRPr="007A2201">
        <w:t>Conformément à l’article L.2113-10 du Code de la commande publique, le présent marché n’est pas alloti.</w:t>
      </w:r>
    </w:p>
    <w:p w14:paraId="42434079" w14:textId="77777777" w:rsidR="00D62C6E" w:rsidRPr="007A2201" w:rsidRDefault="00D62C6E" w:rsidP="00D62C6E"/>
    <w:p w14:paraId="290D2D09" w14:textId="77777777" w:rsidR="00D62C6E" w:rsidRPr="007A2201" w:rsidRDefault="00D62C6E" w:rsidP="00D62C6E">
      <w:r w:rsidRPr="007A2201">
        <w:t>Les prestations objet du marché constituent un ensemble homogène, techniquement et fonctionnellement indissociable, portant sur la location, la maintenance et la gestion des moyens d’impression pour l’ensemble des sites du Groupe Hospitalier Rance Émeraude, lesquels relèvent d’une même entité juridique.</w:t>
      </w:r>
    </w:p>
    <w:p w14:paraId="79858C41" w14:textId="77777777" w:rsidR="00D62C6E" w:rsidRPr="007A2201" w:rsidRDefault="00D62C6E" w:rsidP="00D62C6E"/>
    <w:p w14:paraId="13629F97" w14:textId="77777777" w:rsidR="00D62C6E" w:rsidRPr="007A2201" w:rsidRDefault="00D62C6E" w:rsidP="00D62C6E">
      <w:r w:rsidRPr="007A2201">
        <w:t>L’exécution du marché sur plusieurs sites hospitaliers ne justifie pas, à elle seule, un allotissement, dès lors que les prestations attendues relèvent d’une organisation unifiée, d’outils communs de supervision, d’une gestion centralisée du parc et de conditions contractuelles identiques, garantissant la cohérence technique, économique et opérationnelle du dispositif.</w:t>
      </w:r>
    </w:p>
    <w:p w14:paraId="49910EA4" w14:textId="77777777" w:rsidR="00D62C6E" w:rsidRPr="007A2201" w:rsidRDefault="00D62C6E" w:rsidP="00D62C6E"/>
    <w:p w14:paraId="5CEB788D" w14:textId="77777777" w:rsidR="00D62C6E" w:rsidRPr="007A2201" w:rsidRDefault="00D62C6E" w:rsidP="00D62C6E">
      <w:r w:rsidRPr="007A2201">
        <w:t>Un allotissement serait de nature à complexifier l’exécution du marché, à nuire à la continuité du service et à affaiblir la maîtrise globale des coûts et des performances, sans avantage économique ou technique identifié.</w:t>
      </w:r>
    </w:p>
    <w:p w14:paraId="507CA44B" w14:textId="77777777" w:rsidR="00D62C6E" w:rsidRPr="007A2201" w:rsidRDefault="00D62C6E" w:rsidP="00D62C6E">
      <w:pPr>
        <w:pStyle w:val="Titre3"/>
      </w:pPr>
      <w:bookmarkStart w:id="19" w:name="_Toc129356564"/>
      <w:bookmarkStart w:id="20" w:name="_Toc219977859"/>
      <w:r w:rsidRPr="007A2201">
        <w:lastRenderedPageBreak/>
        <w:t>Renseignements complémentaires</w:t>
      </w:r>
      <w:bookmarkEnd w:id="19"/>
      <w:bookmarkEnd w:id="20"/>
    </w:p>
    <w:p w14:paraId="58B7C0BD" w14:textId="77777777" w:rsidR="00D62C6E" w:rsidRPr="007A2201" w:rsidRDefault="00D62C6E" w:rsidP="00D62C6E">
      <w:pPr>
        <w:keepNext/>
      </w:pPr>
      <w:r w:rsidRPr="007A2201">
        <w:t>Pour tous renseignements complémentaires concernant cette consultation les candidats transmettent impérativement leur demande par l’intermédiaire du profil acheteur dont l'adresse URL est la suivante :</w:t>
      </w:r>
    </w:p>
    <w:p w14:paraId="1C69F74B" w14:textId="77777777" w:rsidR="00D62C6E" w:rsidRDefault="00EC566F" w:rsidP="00D62C6E">
      <w:pPr>
        <w:keepNext/>
      </w:pPr>
      <w:hyperlink r:id="rId21" w:history="1">
        <w:r w:rsidRPr="00E41B31">
          <w:rPr>
            <w:rStyle w:val="Lienhypertexte"/>
          </w:rPr>
          <w:t>https://www.marches-publics.gouv.fr/entreprise</w:t>
        </w:r>
      </w:hyperlink>
    </w:p>
    <w:p w14:paraId="2840A98D" w14:textId="77777777" w:rsidR="00EC566F" w:rsidRDefault="00EC566F" w:rsidP="00D62C6E">
      <w:pPr>
        <w:keepNext/>
      </w:pPr>
    </w:p>
    <w:p w14:paraId="53B54DA1" w14:textId="77777777" w:rsidR="00EC566F" w:rsidRDefault="00EC566F" w:rsidP="00D62C6E">
      <w:pPr>
        <w:keepNext/>
      </w:pPr>
    </w:p>
    <w:p w14:paraId="6D6FF74C" w14:textId="77777777" w:rsidR="00D62C6E" w:rsidRPr="007A2201" w:rsidRDefault="00D62C6E" w:rsidP="00D62C6E">
      <w:pPr>
        <w:pStyle w:val="Titre2"/>
      </w:pPr>
      <w:bookmarkStart w:id="21" w:name="_Toc129356566"/>
      <w:bookmarkStart w:id="22" w:name="_Toc219977860"/>
      <w:r w:rsidRPr="007A2201">
        <w:t>Présentation de la candidature</w:t>
      </w:r>
      <w:bookmarkEnd w:id="21"/>
      <w:bookmarkEnd w:id="22"/>
      <w:r w:rsidRPr="007A2201">
        <w:t xml:space="preserve"> </w:t>
      </w:r>
    </w:p>
    <w:p w14:paraId="7B6F0854" w14:textId="77777777" w:rsidR="00D62C6E" w:rsidRPr="007A2201" w:rsidRDefault="00D62C6E" w:rsidP="00D62C6E">
      <w:pPr>
        <w:pStyle w:val="Titre3"/>
      </w:pPr>
      <w:bookmarkStart w:id="23" w:name="_Toc129356567"/>
      <w:bookmarkStart w:id="24" w:name="_Toc219977861"/>
      <w:r w:rsidRPr="007A2201">
        <w:t>Dossier de candidature</w:t>
      </w:r>
      <w:bookmarkEnd w:id="23"/>
      <w:bookmarkEnd w:id="24"/>
    </w:p>
    <w:p w14:paraId="6D9F8A1B" w14:textId="77777777" w:rsidR="00D62C6E" w:rsidRPr="007A2201" w:rsidRDefault="00D62C6E" w:rsidP="00D62C6E">
      <w:pPr>
        <w:rPr>
          <w:rFonts w:cs="Tahoma"/>
          <w:highlight w:val="yellow"/>
        </w:rPr>
      </w:pPr>
    </w:p>
    <w:p w14:paraId="1C8216EF" w14:textId="77777777" w:rsidR="00D62C6E" w:rsidRPr="007A2201" w:rsidRDefault="00D62C6E" w:rsidP="00D62C6E">
      <w:r w:rsidRPr="007A2201">
        <w:t>Dans le cadre de sa candidature, le candidat devra produire les documents suivants.</w:t>
      </w:r>
    </w:p>
    <w:p w14:paraId="45B6A2AB" w14:textId="77777777" w:rsidR="00D62C6E" w:rsidRPr="007A2201" w:rsidRDefault="00D62C6E" w:rsidP="00D62C6E">
      <w:pPr>
        <w:keepNext/>
      </w:pPr>
      <w:r w:rsidRPr="007A2201">
        <w:t>Si ceux-ci ne sont pas remis en français, une traduction des documents devra être jointe au dossier de candidature.</w:t>
      </w:r>
    </w:p>
    <w:p w14:paraId="0A8B5DC8" w14:textId="77777777" w:rsidR="00785153" w:rsidRDefault="00785153" w:rsidP="00D62C6E"/>
    <w:p w14:paraId="1F99651A" w14:textId="77777777" w:rsidR="00785153" w:rsidRPr="007A2201" w:rsidRDefault="00785153" w:rsidP="00D62C6E"/>
    <w:p w14:paraId="5AC846B3" w14:textId="77777777" w:rsidR="00D62C6E" w:rsidRPr="007A2201" w:rsidRDefault="00D62C6E" w:rsidP="00D62C6E">
      <w:r w:rsidRPr="007A2201">
        <w:t>* Le candidat peut présenter sa candidature sous forme d’un document unique de marché européen (DUME), en lieu et place des formulaires DC1 et DC2. En cas de groupement d’opérateurs économiques, chacun des membres du groupement fournira un formulaire DUME complété.</w:t>
      </w:r>
    </w:p>
    <w:p w14:paraId="504D19F7" w14:textId="77777777" w:rsidR="00D62C6E" w:rsidRPr="007A2201" w:rsidRDefault="00D62C6E" w:rsidP="00D62C6E"/>
    <w:p w14:paraId="38EA09DF" w14:textId="77777777" w:rsidR="00D62C6E" w:rsidRPr="007A2201" w:rsidRDefault="00D62C6E" w:rsidP="00D62C6E">
      <w:r w:rsidRPr="007A2201">
        <w:t xml:space="preserve">Pour justifier qu’ils n’entrent dans aucun des cas mentionnés aux articles L.2141-1 à L.2141-5 et L.2141-7 à L.2141-10 du Code de la Commande Publique les candidats produiront à l’appui de leur offre : </w:t>
      </w:r>
    </w:p>
    <w:p w14:paraId="0589947F" w14:textId="77777777" w:rsidR="00D62C6E" w:rsidRPr="007A2201" w:rsidRDefault="00D62C6E" w:rsidP="00D62C6E"/>
    <w:p w14:paraId="0A126F82" w14:textId="77777777" w:rsidR="00D62C6E" w:rsidRPr="007A2201" w:rsidRDefault="00D62C6E" w:rsidP="00D62C6E">
      <w:r w:rsidRPr="007A2201">
        <w:t>• Une lettre de candidature dans laquelle ils attestent sur l’honneur qu’ils n’entrent dans aucun des cas mentionnés ci-dessus, s’il se présente seul ou en groupement. Dans ce dernier cas, ils fournissent également une lettre d’habilitation du mandataire.</w:t>
      </w:r>
    </w:p>
    <w:p w14:paraId="004C7784" w14:textId="77777777" w:rsidR="00D62C6E" w:rsidRPr="007A2201" w:rsidRDefault="00D62C6E" w:rsidP="00D62C6E">
      <w:r w:rsidRPr="007A2201">
        <w:t>Le formulaire DC1 peut être utilisé à cet effet.</w:t>
      </w:r>
    </w:p>
    <w:p w14:paraId="1091B9A7" w14:textId="77777777" w:rsidR="00D62C6E" w:rsidRPr="007A2201" w:rsidRDefault="00D62C6E" w:rsidP="00D62C6E"/>
    <w:p w14:paraId="418C0613" w14:textId="77777777" w:rsidR="00D62C6E" w:rsidRPr="007A2201" w:rsidRDefault="00D62C6E" w:rsidP="00D62C6E">
      <w:r w:rsidRPr="007A2201">
        <w:t>• Une déclaration sur l’honneur attestant que le candidat ne fait l’objet d’aucune interdiction de soumissionner et que les renseignements fournis sont exacts.</w:t>
      </w:r>
    </w:p>
    <w:p w14:paraId="33D1D6E8" w14:textId="77777777" w:rsidR="00D62C6E" w:rsidRPr="007A2201" w:rsidRDefault="00D62C6E" w:rsidP="00D62C6E">
      <w:r w:rsidRPr="007A2201">
        <w:t>Le formulaire DC2 peut être utilisé à cet effet.</w:t>
      </w:r>
    </w:p>
    <w:p w14:paraId="142E63B1" w14:textId="77777777" w:rsidR="00D62C6E" w:rsidRPr="007A2201" w:rsidRDefault="00D62C6E" w:rsidP="00D62C6E"/>
    <w:p w14:paraId="52B335DF" w14:textId="77777777" w:rsidR="00D62C6E" w:rsidRPr="007A2201" w:rsidRDefault="00D62C6E" w:rsidP="00D62C6E">
      <w:r w:rsidRPr="007A2201">
        <w:t>• Son numéro unique d’identification (SIRET ou SIREN) permettant à l’acheteur d’accéder aux informations pertinentes par le biais d’un système électronique, ou, s’il est étranger, un document délivré par l’autorité judiciaire ou administrative compétente de son pays d’origine, attestant de l’absence de cas d’exclusion.</w:t>
      </w:r>
    </w:p>
    <w:p w14:paraId="40268B2C" w14:textId="77777777" w:rsidR="00D62C6E" w:rsidRPr="007A2201" w:rsidRDefault="00D62C6E" w:rsidP="00D62C6E">
      <w:r w:rsidRPr="007A2201">
        <w:t>L’extrait Kbis peut être utilisé à cet effet.</w:t>
      </w:r>
    </w:p>
    <w:p w14:paraId="21B5E4B0" w14:textId="77777777" w:rsidR="007A2201" w:rsidRPr="007A2201" w:rsidRDefault="007A2201" w:rsidP="00D62C6E"/>
    <w:p w14:paraId="5A12F546" w14:textId="77777777" w:rsidR="007A2201" w:rsidRPr="007A2201" w:rsidRDefault="007A2201" w:rsidP="00D62C6E">
      <w:r w:rsidRPr="007A2201">
        <w:t>• Une liste des principales références des trois dernières années pour des prestations similaires à celles objet de la présente mise en concurrence, et les coordonnées de personnes référentes à contacter dans ces établissements.</w:t>
      </w:r>
    </w:p>
    <w:p w14:paraId="24586742" w14:textId="77777777" w:rsidR="007A2201" w:rsidRPr="007A2201" w:rsidRDefault="007A2201" w:rsidP="00D62C6E"/>
    <w:p w14:paraId="6E7E06DF" w14:textId="77777777" w:rsidR="007A2201" w:rsidRPr="007A2201" w:rsidRDefault="007A2201" w:rsidP="00D62C6E">
      <w:r w:rsidRPr="007A2201">
        <w:t xml:space="preserve">• Le chiffre d’affaires global et le chiffre d’affaires des activités similaires à l’objet du marché pour les trois derniers exercices, ainsi que les moyens techniques et humains dont le candidat dispose. </w:t>
      </w:r>
    </w:p>
    <w:p w14:paraId="73DA862E" w14:textId="77777777" w:rsidR="007A2201" w:rsidRPr="007A2201" w:rsidRDefault="007A2201" w:rsidP="007A2201">
      <w:r w:rsidRPr="007A2201">
        <w:t>Le formulaire DC2 peut être utilisé à cet effet.</w:t>
      </w:r>
    </w:p>
    <w:p w14:paraId="215A8594" w14:textId="77777777" w:rsidR="007A2201" w:rsidRPr="007A2201" w:rsidRDefault="007A2201" w:rsidP="00D62C6E"/>
    <w:p w14:paraId="28C343C7" w14:textId="77777777" w:rsidR="00D62C6E" w:rsidRPr="007A2201" w:rsidRDefault="00D62C6E" w:rsidP="00D62C6E">
      <w:r w:rsidRPr="007A2201">
        <w:t>Dans le cas où un candidat entrerait dans l’un des cas d’exclusion indiqués dans les articles susmentionnés, le pouvoir adjudicateur s’appuiera sur les articles L.2141-6 et L.2141-11 pour les suites à donner.</w:t>
      </w:r>
    </w:p>
    <w:p w14:paraId="660BE7EE" w14:textId="77777777" w:rsidR="00D62C6E" w:rsidRPr="007A2201" w:rsidRDefault="00D62C6E" w:rsidP="00D62C6E"/>
    <w:p w14:paraId="71CD8FF7" w14:textId="77777777" w:rsidR="00D62C6E" w:rsidRPr="007A2201" w:rsidRDefault="00D62C6E" w:rsidP="00D62C6E">
      <w:r w:rsidRPr="007A2201">
        <w:t>Liste des pièces justificatives que les entreprises ne sont pas tenues de produire dans leur candidature aux marchés publics</w:t>
      </w:r>
      <w:r w:rsidR="00B46956">
        <w:t xml:space="preserve"> </w:t>
      </w:r>
      <w:r w:rsidRPr="007A2201">
        <w:t>:</w:t>
      </w:r>
    </w:p>
    <w:p w14:paraId="7618F641" w14:textId="77777777" w:rsidR="00D62C6E" w:rsidRPr="007A2201" w:rsidRDefault="00D62C6E" w:rsidP="00D62C6E">
      <w:r w:rsidRPr="007A2201">
        <w:t>En application du code des relations entre le public et l'administration, le candidat n'est pas dans l'obligation de transmettre les justificatifs suivants :</w:t>
      </w:r>
    </w:p>
    <w:p w14:paraId="36AC21D0" w14:textId="77777777" w:rsidR="00D62C6E" w:rsidRPr="007A2201" w:rsidRDefault="00D62C6E" w:rsidP="00D62C6E">
      <w:r w:rsidRPr="007A2201">
        <w:lastRenderedPageBreak/>
        <w:t>-</w:t>
      </w:r>
      <w:r w:rsidRPr="007A2201">
        <w:tab/>
        <w:t>l'attestation de régularité fiscale ;</w:t>
      </w:r>
    </w:p>
    <w:p w14:paraId="0499E855" w14:textId="77777777" w:rsidR="00D62C6E" w:rsidRPr="007A2201" w:rsidRDefault="00D62C6E" w:rsidP="00D62C6E">
      <w:r w:rsidRPr="007A2201">
        <w:t>-</w:t>
      </w:r>
      <w:r w:rsidRPr="007A2201">
        <w:tab/>
        <w:t>les déclarations de résultats soumis aux bénéfices industriels et commerciaux ;</w:t>
      </w:r>
    </w:p>
    <w:p w14:paraId="1F72A819" w14:textId="77777777" w:rsidR="00D62C6E" w:rsidRPr="007A2201" w:rsidRDefault="00D62C6E" w:rsidP="00D62C6E">
      <w:r w:rsidRPr="007A2201">
        <w:t>-</w:t>
      </w:r>
      <w:r w:rsidRPr="007A2201">
        <w:tab/>
        <w:t>les déclarations de bénéfices non commerciaux ;</w:t>
      </w:r>
    </w:p>
    <w:p w14:paraId="0CA788CC" w14:textId="77777777" w:rsidR="00D62C6E" w:rsidRPr="007A2201" w:rsidRDefault="00D62C6E" w:rsidP="00D62C6E">
      <w:r w:rsidRPr="007A2201">
        <w:t>-</w:t>
      </w:r>
      <w:r w:rsidRPr="007A2201">
        <w:tab/>
        <w:t>les déclarations de résultats soumis aux bénéfices agricoles ;</w:t>
      </w:r>
    </w:p>
    <w:p w14:paraId="1237B90D" w14:textId="77777777" w:rsidR="00D62C6E" w:rsidRPr="007A2201" w:rsidRDefault="00D62C6E" w:rsidP="00D62C6E">
      <w:r w:rsidRPr="007A2201">
        <w:t>-</w:t>
      </w:r>
      <w:r w:rsidRPr="007A2201">
        <w:tab/>
        <w:t>les déclarations de résultats soumis à l'impôt sur les sociétés ;</w:t>
      </w:r>
    </w:p>
    <w:p w14:paraId="7EC2F160" w14:textId="77777777" w:rsidR="00D62C6E" w:rsidRPr="007A2201" w:rsidRDefault="00D62C6E" w:rsidP="00D62C6E">
      <w:r w:rsidRPr="007A2201">
        <w:t>-</w:t>
      </w:r>
      <w:r w:rsidRPr="007A2201">
        <w:tab/>
        <w:t>les déclarations pour les sociétés mères et les filiales de groupe ;</w:t>
      </w:r>
    </w:p>
    <w:p w14:paraId="17B2DEEC" w14:textId="77777777" w:rsidR="00D62C6E" w:rsidRPr="007A2201" w:rsidRDefault="00D62C6E" w:rsidP="00D62C6E">
      <w:r w:rsidRPr="007A2201">
        <w:t>-</w:t>
      </w:r>
      <w:r w:rsidRPr="007A2201">
        <w:tab/>
        <w:t>l'extrait d'immatriculation au registre du commerce et des sociétés (extrait KBis) et les statuts ;</w:t>
      </w:r>
    </w:p>
    <w:p w14:paraId="441EBEB4" w14:textId="77777777" w:rsidR="00D62C6E" w:rsidRPr="007A2201" w:rsidRDefault="00D62C6E" w:rsidP="00D62C6E">
      <w:r w:rsidRPr="007A2201">
        <w:t>-</w:t>
      </w:r>
      <w:r w:rsidRPr="007A2201">
        <w:tab/>
        <w:t>les attestations de régularité sociale et de vigilance ;</w:t>
      </w:r>
    </w:p>
    <w:p w14:paraId="6A86D75B" w14:textId="77777777" w:rsidR="00D62C6E" w:rsidRPr="007A2201" w:rsidRDefault="00D62C6E" w:rsidP="00D62C6E">
      <w:r w:rsidRPr="007A2201">
        <w:t>-</w:t>
      </w:r>
      <w:r w:rsidRPr="007A2201">
        <w:tab/>
        <w:t>la carte professionnelle d'entrepreneur de travaux publics.</w:t>
      </w:r>
    </w:p>
    <w:p w14:paraId="5200A156" w14:textId="77777777" w:rsidR="00D62C6E" w:rsidRPr="007A2201" w:rsidRDefault="00D62C6E" w:rsidP="00D62C6E">
      <w:r w:rsidRPr="007A2201">
        <w:t xml:space="preserve"> </w:t>
      </w:r>
    </w:p>
    <w:p w14:paraId="7D3A53EE" w14:textId="77777777" w:rsidR="00D62C6E" w:rsidRPr="007A2201" w:rsidRDefault="00D62C6E" w:rsidP="00D62C6E">
      <w:r w:rsidRPr="007A2201">
        <w:t>Si le candidat est une personne physique :</w:t>
      </w:r>
    </w:p>
    <w:p w14:paraId="41B2BCAF" w14:textId="77777777" w:rsidR="00D62C6E" w:rsidRPr="007A2201" w:rsidRDefault="00D62C6E" w:rsidP="00D62C6E">
      <w:r w:rsidRPr="007A2201">
        <w:t>-</w:t>
      </w:r>
      <w:r w:rsidRPr="007A2201">
        <w:tab/>
        <w:t>l’avis d'imposition à l'impôt sur le revenu ou l'avis de situation déclarative à l'impôt sur le revenu émanant de la direction générale des finances publiques ;</w:t>
      </w:r>
    </w:p>
    <w:p w14:paraId="00FD5CB8" w14:textId="77777777" w:rsidR="00D62C6E" w:rsidRPr="007A2201" w:rsidRDefault="00D62C6E" w:rsidP="00D62C6E">
      <w:r w:rsidRPr="007A2201">
        <w:t>-</w:t>
      </w:r>
      <w:r w:rsidRPr="007A2201">
        <w:tab/>
        <w:t>l'attestation de droit aux prestations délivrées aux bénéficiaires par les organismes de sécurité sociale ;</w:t>
      </w:r>
    </w:p>
    <w:p w14:paraId="12DABBD7" w14:textId="77777777" w:rsidR="00D62C6E" w:rsidRPr="007A2201" w:rsidRDefault="00D62C6E" w:rsidP="00D62C6E">
      <w:r w:rsidRPr="007A2201">
        <w:t>-</w:t>
      </w:r>
      <w:r w:rsidRPr="007A2201">
        <w:tab/>
        <w:t>Le justificatif d'identité, lorsque le téléservice de l'administration propose le dispositif «FranceConnect» mis en œuvre par l'administration chargée du numérique et du système d'information et de communication de l'</w:t>
      </w:r>
      <w:r w:rsidR="004F65F9" w:rsidRPr="007A2201">
        <w:t>État</w:t>
      </w:r>
      <w:r w:rsidRPr="007A2201">
        <w:t xml:space="preserve"> sous réserve des dispositions de l'article R. 113-9 du code des relations entre le public et l'administration.</w:t>
      </w:r>
    </w:p>
    <w:p w14:paraId="6C64D509" w14:textId="77777777" w:rsidR="00D62C6E" w:rsidRPr="007A2201" w:rsidRDefault="00D62C6E" w:rsidP="00D62C6E">
      <w:r w:rsidRPr="007A2201">
        <w:tab/>
      </w:r>
    </w:p>
    <w:p w14:paraId="734DACDF" w14:textId="77777777" w:rsidR="00D62C6E" w:rsidRPr="007A2201" w:rsidRDefault="007A2201" w:rsidP="007A2201">
      <w:r>
        <w:t>E</w:t>
      </w:r>
      <w:r w:rsidR="00D62C6E" w:rsidRPr="007A2201">
        <w:t>n application de l’article R2143-13 du code de la commande publique, les candidats ne sont pas tenus de fournir les documents justificatifs et moyens de preuve que l’acheteur peut obtenir directement par le biais :</w:t>
      </w:r>
    </w:p>
    <w:p w14:paraId="05EDCD25" w14:textId="77777777" w:rsidR="00D62C6E" w:rsidRPr="007A2201" w:rsidRDefault="00D62C6E" w:rsidP="00D62C6E"/>
    <w:p w14:paraId="0EE3A7BC" w14:textId="77777777" w:rsidR="00D62C6E" w:rsidRPr="007A2201" w:rsidRDefault="00D62C6E" w:rsidP="00D62C6E">
      <w:r w:rsidRPr="007A2201">
        <w:t>1° D'un système électronique de mise à disposition d'informations administré par un organisme officiel à condition que l'accès à celui-ci soit gratuit et, le cas échéant, que figurent dans le dossier de candidature toutes les informations nécessaires à sa consultation ;</w:t>
      </w:r>
    </w:p>
    <w:p w14:paraId="4EA69FFA" w14:textId="77777777" w:rsidR="00D62C6E" w:rsidRPr="007A2201" w:rsidRDefault="00D62C6E" w:rsidP="00D62C6E"/>
    <w:p w14:paraId="69541B00" w14:textId="77777777" w:rsidR="00D62C6E" w:rsidRPr="007A2201" w:rsidRDefault="00D62C6E" w:rsidP="00D62C6E">
      <w:r w:rsidRPr="007A2201">
        <w:t>2° D'un espace de stockage numérique, à condition que figurent dans le dossier de candidature toutes les informations nécessaires à sa consultation et que l'accès à ceux-ci soit gratuit.</w:t>
      </w:r>
    </w:p>
    <w:p w14:paraId="5A9CBF64" w14:textId="77777777" w:rsidR="00D62C6E" w:rsidRPr="007A2201" w:rsidRDefault="00D62C6E" w:rsidP="00D62C6E">
      <w:pPr>
        <w:pStyle w:val="Titre3"/>
      </w:pPr>
      <w:bookmarkStart w:id="25" w:name="_Toc129356568"/>
      <w:bookmarkStart w:id="26" w:name="_Toc219977862"/>
      <w:r w:rsidRPr="007A2201">
        <w:t>Sous-traitance</w:t>
      </w:r>
      <w:bookmarkEnd w:id="25"/>
      <w:bookmarkEnd w:id="26"/>
    </w:p>
    <w:p w14:paraId="4A674ADA" w14:textId="77777777" w:rsidR="00D62C6E" w:rsidRPr="007A2201" w:rsidRDefault="00D62C6E" w:rsidP="00D62C6E">
      <w:pPr>
        <w:rPr>
          <w:shd w:val="clear" w:color="auto" w:fill="FFFFFF"/>
        </w:rPr>
      </w:pPr>
      <w:r w:rsidRPr="007A2201">
        <w:t>Le soumissionnaire présente dans son offre les sous-traitants dont l'intervention est envisagée, s'ils sont connus.</w:t>
      </w:r>
    </w:p>
    <w:p w14:paraId="77AF59C5" w14:textId="77777777" w:rsidR="00D62C6E" w:rsidRPr="007A2201" w:rsidRDefault="00D62C6E" w:rsidP="00D62C6E">
      <w:pPr>
        <w:rPr>
          <w:shd w:val="clear" w:color="auto" w:fill="FFFFFF"/>
        </w:rPr>
      </w:pPr>
    </w:p>
    <w:p w14:paraId="1D13CCD6" w14:textId="77777777" w:rsidR="00D62C6E" w:rsidRPr="007A2201" w:rsidRDefault="00D62C6E" w:rsidP="00D62C6E">
      <w:pPr>
        <w:rPr>
          <w:shd w:val="clear" w:color="auto" w:fill="FFFFFF"/>
        </w:rPr>
      </w:pPr>
      <w:r w:rsidRPr="007A2201">
        <w:t>Pour chaque sous-traitant présenté dans l'offre, le soumissionnaire joindra :</w:t>
      </w:r>
    </w:p>
    <w:p w14:paraId="1BA5E15F" w14:textId="77777777" w:rsidR="00D62C6E" w:rsidRPr="007A2201" w:rsidRDefault="00D62C6E" w:rsidP="00D62C6E">
      <w:pPr>
        <w:rPr>
          <w:shd w:val="clear" w:color="auto" w:fill="FFFFFF"/>
        </w:rPr>
      </w:pPr>
    </w:p>
    <w:p w14:paraId="45C3B2C2" w14:textId="77777777" w:rsidR="00D62C6E" w:rsidRPr="007A2201" w:rsidRDefault="00D62C6E" w:rsidP="00D62C6E">
      <w:pPr>
        <w:rPr>
          <w:shd w:val="clear" w:color="auto" w:fill="FFFFFF"/>
        </w:rPr>
      </w:pPr>
      <w:r w:rsidRPr="007A2201">
        <w:t xml:space="preserve">- les pièces permettant de justifier des capacités techniques, professionnelles et financières du sous-traitant lorsque le candidat ou l'un des membres du groupement candidat s'appuie sur la ou les capacités du sous-traitant proposé. Le candidat joindra à cet égard la preuve qu'il disposera des capacités de l'opérateur économique pour l'exécution du </w:t>
      </w:r>
      <w:r w:rsidR="00EC566F" w:rsidRPr="007A2201">
        <w:t>marché ;</w:t>
      </w:r>
    </w:p>
    <w:p w14:paraId="7FAD8D9F" w14:textId="77777777" w:rsidR="00D62C6E" w:rsidRPr="007A2201" w:rsidRDefault="00D62C6E" w:rsidP="00D62C6E">
      <w:pPr>
        <w:rPr>
          <w:shd w:val="clear" w:color="auto" w:fill="FFFFFF"/>
        </w:rPr>
      </w:pPr>
      <w:r w:rsidRPr="007A2201">
        <w:t xml:space="preserve">- une déclaration indiquant que le sous-traitant ne tombe pas sous le coup d'une interdiction de soumissionner aux marchés </w:t>
      </w:r>
      <w:r w:rsidR="00EC566F" w:rsidRPr="007A2201">
        <w:t>publics ;</w:t>
      </w:r>
    </w:p>
    <w:p w14:paraId="401F021A" w14:textId="77777777" w:rsidR="00D62C6E" w:rsidRPr="007A2201" w:rsidRDefault="00D62C6E" w:rsidP="00D62C6E">
      <w:pPr>
        <w:rPr>
          <w:shd w:val="clear" w:color="auto" w:fill="FFFFFF"/>
        </w:rPr>
      </w:pPr>
      <w:r w:rsidRPr="007A2201">
        <w:t>- le formulaire DC4 (déclaration de sous-traitance) dans sa dernière mise à jour dûment complété et signé.</w:t>
      </w:r>
    </w:p>
    <w:p w14:paraId="00A0644F" w14:textId="77777777" w:rsidR="00D62C6E" w:rsidRPr="007A2201" w:rsidRDefault="00D62C6E" w:rsidP="00D62C6E">
      <w:pPr>
        <w:pStyle w:val="Titre3"/>
      </w:pPr>
      <w:bookmarkStart w:id="27" w:name="_Toc129356569"/>
      <w:bookmarkStart w:id="28" w:name="_Toc219977863"/>
      <w:r w:rsidRPr="007A2201">
        <w:t>Groupements d’opérateurs économiques</w:t>
      </w:r>
      <w:bookmarkEnd w:id="27"/>
      <w:bookmarkEnd w:id="28"/>
    </w:p>
    <w:p w14:paraId="2434DB68" w14:textId="77777777" w:rsidR="00D62C6E" w:rsidRPr="007A2201" w:rsidRDefault="00D62C6E" w:rsidP="00D62C6E">
      <w:r w:rsidRPr="007A2201">
        <w:t xml:space="preserve">Conformément à l’article R. 2142-19 du code de la commande publique, les groupements d’opérateurs économiques peuvent participer à la présente consultation. </w:t>
      </w:r>
    </w:p>
    <w:p w14:paraId="1AD1DACF" w14:textId="77777777" w:rsidR="00D62C6E" w:rsidRPr="007A2201" w:rsidRDefault="00D62C6E" w:rsidP="00D62C6E"/>
    <w:p w14:paraId="7FC3F4C0" w14:textId="77777777" w:rsidR="00D62C6E" w:rsidRPr="007A2201" w:rsidRDefault="00D62C6E" w:rsidP="00D62C6E">
      <w:r w:rsidRPr="007A2201">
        <w:t xml:space="preserve">Lors de la remise de la candidature et de l’offre, la forme juridique du groupement est laissée à la libre appréciation des candidats. </w:t>
      </w:r>
    </w:p>
    <w:p w14:paraId="1B915F21" w14:textId="77777777" w:rsidR="00D62C6E" w:rsidRPr="007A2201" w:rsidRDefault="00D62C6E" w:rsidP="00D62C6E"/>
    <w:p w14:paraId="32FB2A1D" w14:textId="77777777" w:rsidR="00D62C6E" w:rsidRPr="007A2201" w:rsidRDefault="00D62C6E" w:rsidP="00D62C6E">
      <w:r w:rsidRPr="007A2201">
        <w:t xml:space="preserve">Le groupement pourra prendre la forme soit d’un groupement conjoint, soit d’un groupement solidaire. </w:t>
      </w:r>
    </w:p>
    <w:p w14:paraId="688B6C0E" w14:textId="77777777" w:rsidR="00D62C6E" w:rsidRPr="007A2201" w:rsidRDefault="00D62C6E" w:rsidP="00D62C6E"/>
    <w:p w14:paraId="47BD46E7" w14:textId="77777777" w:rsidR="00D62C6E" w:rsidRPr="007A2201" w:rsidRDefault="00D62C6E" w:rsidP="00D62C6E">
      <w:r w:rsidRPr="007A2201">
        <w:t xml:space="preserve">Quelle que soit la forme juridique du groupement retenue par les candidats, la composition du groupement devra être détaillée et l’un des opérateurs économiques membre du groupement sera désigné comme mandataire. Ce mandataire représentera l’ensemble des membres du groupement vis-à-vis de l’acheteur et coordonnera les prestations des membres du groupement. </w:t>
      </w:r>
    </w:p>
    <w:p w14:paraId="4355E263" w14:textId="77777777" w:rsidR="00D62C6E" w:rsidRPr="007A2201" w:rsidRDefault="00D62C6E" w:rsidP="00D62C6E"/>
    <w:p w14:paraId="50DABAF8" w14:textId="77777777" w:rsidR="00D62C6E" w:rsidRPr="007A2201" w:rsidRDefault="00D62C6E" w:rsidP="00D62C6E">
      <w:r w:rsidRPr="007A2201">
        <w:t xml:space="preserve">Un même opérateur économique ne peut pas être mandataire de plus d’un groupement pour un même marché public. </w:t>
      </w:r>
    </w:p>
    <w:p w14:paraId="72438F1D" w14:textId="77777777" w:rsidR="00D62C6E" w:rsidRPr="007A2201" w:rsidRDefault="00D62C6E" w:rsidP="00D62C6E"/>
    <w:p w14:paraId="24D62F44" w14:textId="77777777" w:rsidR="00D62C6E" w:rsidRPr="007A2201" w:rsidRDefault="00D62C6E" w:rsidP="00D62C6E">
      <w:r w:rsidRPr="007A2201">
        <w:t xml:space="preserve">Conformément aux dispositions de l’article R. 2142-26 du code de la commande publique, la composition du groupement ne pourra pas être modifiée entre la date de remise des candidatures et la date de signature du marché. </w:t>
      </w:r>
    </w:p>
    <w:p w14:paraId="47E0148D" w14:textId="77777777" w:rsidR="00D62C6E" w:rsidRPr="007A2201" w:rsidRDefault="00D62C6E" w:rsidP="00D62C6E"/>
    <w:p w14:paraId="7A813EAF" w14:textId="77777777" w:rsidR="00D62C6E" w:rsidRPr="007A2201" w:rsidRDefault="00D62C6E" w:rsidP="00D62C6E">
      <w:r w:rsidRPr="007A2201">
        <w:t>Il pourra cependant être dérogé à ce principe en cas d’opération de restructuration de société, notamment de rachat, de fusion ou d’acquisition touchant l’un des membres du groupement ou, si le groupement apporte la preuve qu’un de ses membres se trouve dans l’impossibilité d’accomplir sa tâche pour des raisons qui ne sont pas de son fait. Le groupement pourra alors demander à l’acheteur l’autorisation de continuer à participer à la procédure de passation en proposant, le cas échéant, à l’acceptation de l’acheteur, un ou plusieurs nouveaux membres du groupement, sous-traitants ou entreprises liées.</w:t>
      </w:r>
      <w:r w:rsidR="00785153">
        <w:t xml:space="preserve"> </w:t>
      </w:r>
      <w:r w:rsidRPr="007A2201">
        <w:t>L’acheteur se prononcera sur la recevabilité de cette demande après examen de la capacité de l’ensemble des membres du groupement ainsi transformé et, le cas échéant, des sous-traitants et entreprises liées présentées à son acceptation, au regard des conditions de participation qu’il a définies.</w:t>
      </w:r>
    </w:p>
    <w:p w14:paraId="4B4EBB21" w14:textId="77777777" w:rsidR="00D62C6E" w:rsidRPr="007A2201" w:rsidRDefault="00D62C6E" w:rsidP="00D62C6E"/>
    <w:p w14:paraId="266DCF0F" w14:textId="77777777" w:rsidR="00D62C6E" w:rsidRPr="007A2201" w:rsidRDefault="00D62C6E" w:rsidP="00D62C6E">
      <w:r w:rsidRPr="007A2201">
        <w:t>Les opérateurs économiques ne sont pas autorisés à candidater en agissant à la fois en qualité de candidat individuel et de membre d'un groupement. Les opérateurs économiques ne sont pas autorisés à candidater en qualité de membres de plusieurs groupements.</w:t>
      </w:r>
    </w:p>
    <w:p w14:paraId="5DAD45C5" w14:textId="77777777" w:rsidR="00D62C6E" w:rsidRPr="007A2201" w:rsidRDefault="00D62C6E" w:rsidP="00D62C6E">
      <w:pPr>
        <w:pStyle w:val="Titre2"/>
      </w:pPr>
      <w:bookmarkStart w:id="29" w:name="_Toc129356570"/>
      <w:bookmarkStart w:id="30" w:name="_Toc219977864"/>
      <w:r w:rsidRPr="007A2201">
        <w:t>Présentation de l’offre</w:t>
      </w:r>
      <w:bookmarkEnd w:id="29"/>
      <w:bookmarkEnd w:id="30"/>
    </w:p>
    <w:p w14:paraId="5B5A6FCE" w14:textId="77777777" w:rsidR="00D62C6E" w:rsidRPr="007A2201" w:rsidRDefault="00D62C6E" w:rsidP="00D62C6E">
      <w:pPr>
        <w:pStyle w:val="Titre3"/>
      </w:pPr>
      <w:bookmarkStart w:id="31" w:name="_Toc129356571"/>
      <w:bookmarkStart w:id="32" w:name="_Toc219977865"/>
      <w:r w:rsidRPr="007A2201">
        <w:t>Présentation du dossier d’offre</w:t>
      </w:r>
      <w:bookmarkEnd w:id="31"/>
      <w:bookmarkEnd w:id="32"/>
    </w:p>
    <w:p w14:paraId="3780187D" w14:textId="77777777" w:rsidR="00D62C6E" w:rsidRPr="007A2201" w:rsidRDefault="00D62C6E" w:rsidP="00D62C6E">
      <w:r w:rsidRPr="007A2201">
        <w:t>Dans le cadre de son offre, le candidat devra produire les documents suivants.</w:t>
      </w:r>
    </w:p>
    <w:p w14:paraId="48384768" w14:textId="77777777" w:rsidR="00D62C6E" w:rsidRPr="007A2201" w:rsidRDefault="00D62C6E" w:rsidP="00D62C6E">
      <w:pPr>
        <w:keepNext/>
      </w:pPr>
      <w:r w:rsidRPr="007A2201">
        <w:t>Si ceux-ci ne sont pas remis en français, une traduction des documents devra être jointe au dossier d’offre.</w:t>
      </w:r>
    </w:p>
    <w:p w14:paraId="32182C03" w14:textId="77777777" w:rsidR="00D62C6E" w:rsidRPr="007A2201" w:rsidRDefault="00D62C6E" w:rsidP="00D62C6E">
      <w:pPr>
        <w:keepNext/>
      </w:pP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8610"/>
      </w:tblGrid>
      <w:tr w:rsidR="00D62C6E" w:rsidRPr="007A2201" w14:paraId="005E812C" w14:textId="77777777">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645D30A6" w14:textId="77777777" w:rsidR="00D62C6E" w:rsidRPr="007A2201" w:rsidRDefault="00D62C6E">
            <w:pPr>
              <w:shd w:val="clear" w:color="auto" w:fill="D3D3D3"/>
              <w:jc w:val="center"/>
              <w:rPr>
                <w:lang w:eastAsia="fr-FR" w:bidi="ar-SA"/>
              </w:rPr>
            </w:pPr>
            <w:r w:rsidRPr="007A2201">
              <w:rPr>
                <w:lang w:eastAsia="fr-FR" w:bidi="ar-SA"/>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66204E08" w14:textId="77777777" w:rsidR="00D62C6E" w:rsidRPr="007A2201" w:rsidRDefault="00D62C6E">
            <w:pPr>
              <w:shd w:val="clear" w:color="auto" w:fill="D3D3D3"/>
              <w:jc w:val="left"/>
              <w:rPr>
                <w:lang w:eastAsia="fr-FR" w:bidi="ar-SA"/>
              </w:rPr>
            </w:pPr>
            <w:r w:rsidRPr="007A2201">
              <w:rPr>
                <w:lang w:eastAsia="fr-FR" w:bidi="ar-SA"/>
              </w:rPr>
              <w:t>Description</w:t>
            </w:r>
          </w:p>
        </w:tc>
      </w:tr>
      <w:tr w:rsidR="00D62C6E" w:rsidRPr="007A2201" w14:paraId="279EA20B" w14:textId="77777777">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48E168D" w14:textId="77777777" w:rsidR="00D62C6E" w:rsidRPr="007A2201" w:rsidRDefault="00D62C6E">
            <w:pPr>
              <w:jc w:val="center"/>
              <w:rPr>
                <w:lang w:eastAsia="fr-FR" w:bidi="ar-SA"/>
              </w:rPr>
            </w:pPr>
            <w:r w:rsidRPr="007A2201">
              <w:rPr>
                <w:lang w:eastAsia="fr-FR" w:bidi="ar-SA"/>
              </w:rPr>
              <w:t>1</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1A040774" w14:textId="77777777" w:rsidR="00D62C6E" w:rsidRPr="007A2201" w:rsidRDefault="00D62C6E">
            <w:pPr>
              <w:jc w:val="left"/>
              <w:rPr>
                <w:lang w:eastAsia="fr-FR" w:bidi="ar-SA"/>
              </w:rPr>
            </w:pPr>
            <w:r w:rsidRPr="007A2201">
              <w:rPr>
                <w:lang w:eastAsia="fr-FR" w:bidi="ar-SA"/>
              </w:rPr>
              <w:t>L’acte d’engagement</w:t>
            </w:r>
            <w:r w:rsidR="00E56D36">
              <w:rPr>
                <w:lang w:eastAsia="fr-FR" w:bidi="ar-SA"/>
              </w:rPr>
              <w:t xml:space="preserve"> et les annexes financières</w:t>
            </w:r>
            <w:r w:rsidR="004F65F9">
              <w:rPr>
                <w:lang w:eastAsia="fr-FR" w:bidi="ar-SA"/>
              </w:rPr>
              <w:t xml:space="preserve"> (Annexes 1 &amp; 2)</w:t>
            </w:r>
            <w:r w:rsidRPr="007A2201">
              <w:rPr>
                <w:lang w:eastAsia="fr-FR" w:bidi="ar-SA"/>
              </w:rPr>
              <w:br/>
              <w:t>Le document doit être dûment rempli, daté par la personne habilitée à engager la société. Le candidat auquel il est envisagé d’attribuer le marché public sera tenu de signer l’acte d’engagement. Toutefois, le candidat peut choisir de le signer dès le dépôt de sa candidature ou de son offre.</w:t>
            </w:r>
          </w:p>
        </w:tc>
      </w:tr>
      <w:tr w:rsidR="00D62C6E" w:rsidRPr="007A2201" w14:paraId="12A5C28B" w14:textId="77777777">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0BBB3C9E" w14:textId="77777777" w:rsidR="00D62C6E" w:rsidRPr="007A2201" w:rsidRDefault="00D62C6E">
            <w:pPr>
              <w:jc w:val="center"/>
              <w:rPr>
                <w:lang w:eastAsia="fr-FR" w:bidi="ar-SA"/>
              </w:rPr>
            </w:pPr>
            <w:r w:rsidRPr="007A2201">
              <w:rPr>
                <w:lang w:eastAsia="fr-FR" w:bidi="ar-SA"/>
              </w:rPr>
              <w:t>2</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29112ADA" w14:textId="77777777" w:rsidR="00D62C6E" w:rsidRPr="007A2201" w:rsidRDefault="00D62C6E">
            <w:pPr>
              <w:jc w:val="left"/>
              <w:rPr>
                <w:lang w:eastAsia="fr-FR" w:bidi="ar-SA"/>
              </w:rPr>
            </w:pPr>
            <w:r w:rsidRPr="007A2201">
              <w:rPr>
                <w:lang w:eastAsia="fr-FR" w:bidi="ar-SA"/>
              </w:rPr>
              <w:t>Le relevé d’identité bancaire</w:t>
            </w:r>
          </w:p>
        </w:tc>
      </w:tr>
      <w:tr w:rsidR="00D62C6E" w:rsidRPr="007A2201" w14:paraId="69715AAF" w14:textId="77777777">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7C24FDB3" w14:textId="77777777" w:rsidR="00D62C6E" w:rsidRPr="007A2201" w:rsidRDefault="00D62C6E">
            <w:pPr>
              <w:jc w:val="center"/>
              <w:rPr>
                <w:lang w:eastAsia="fr-FR" w:bidi="ar-SA"/>
              </w:rPr>
            </w:pPr>
            <w:r w:rsidRPr="007A2201">
              <w:rPr>
                <w:lang w:eastAsia="fr-FR" w:bidi="ar-SA"/>
              </w:rPr>
              <w:t>3</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3225A680" w14:textId="77777777" w:rsidR="00D62C6E" w:rsidRPr="007A2201" w:rsidRDefault="00D62C6E">
            <w:pPr>
              <w:jc w:val="left"/>
              <w:rPr>
                <w:lang w:eastAsia="fr-FR" w:bidi="ar-SA"/>
              </w:rPr>
            </w:pPr>
            <w:r w:rsidRPr="007A2201">
              <w:rPr>
                <w:lang w:eastAsia="fr-FR" w:bidi="ar-SA"/>
              </w:rPr>
              <w:t>Le mémoire technique</w:t>
            </w:r>
            <w:r w:rsidR="00E56D36">
              <w:rPr>
                <w:lang w:eastAsia="fr-FR" w:bidi="ar-SA"/>
              </w:rPr>
              <w:t xml:space="preserve"> accompagné </w:t>
            </w:r>
            <w:r w:rsidR="004F65F9">
              <w:rPr>
                <w:lang w:eastAsia="fr-FR" w:bidi="ar-SA"/>
              </w:rPr>
              <w:t>des annexes 3 &amp; 4</w:t>
            </w:r>
          </w:p>
        </w:tc>
      </w:tr>
      <w:tr w:rsidR="004F65F9" w:rsidRPr="007A2201" w14:paraId="6DD70F0F" w14:textId="77777777">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3CB0D1C7" w14:textId="77777777" w:rsidR="004F65F9" w:rsidRPr="007A2201" w:rsidRDefault="004F65F9">
            <w:pPr>
              <w:jc w:val="center"/>
              <w:rPr>
                <w:lang w:eastAsia="fr-FR" w:bidi="ar-SA"/>
              </w:rPr>
            </w:pPr>
            <w:r>
              <w:rPr>
                <w:lang w:eastAsia="fr-FR" w:bidi="ar-SA"/>
              </w:rPr>
              <w:t>4</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666C8FD7" w14:textId="77777777" w:rsidR="004F65F9" w:rsidRPr="007A2201" w:rsidRDefault="004F65F9">
            <w:pPr>
              <w:jc w:val="left"/>
              <w:rPr>
                <w:lang w:eastAsia="fr-FR" w:bidi="ar-SA"/>
              </w:rPr>
            </w:pPr>
            <w:r>
              <w:rPr>
                <w:lang w:eastAsia="fr-FR" w:bidi="ar-SA"/>
              </w:rPr>
              <w:t>Le contrat de protection des données personnelles (Annexe 5)</w:t>
            </w:r>
          </w:p>
        </w:tc>
      </w:tr>
      <w:tr w:rsidR="00D62C6E" w:rsidRPr="007A2201" w14:paraId="1FF48FA6" w14:textId="77777777">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6E699820" w14:textId="77777777" w:rsidR="00D62C6E" w:rsidRPr="007A2201" w:rsidRDefault="00D62C6E">
            <w:pPr>
              <w:jc w:val="center"/>
              <w:rPr>
                <w:lang w:eastAsia="fr-FR" w:bidi="ar-SA"/>
              </w:rPr>
            </w:pPr>
            <w:r w:rsidRPr="007A2201">
              <w:rPr>
                <w:lang w:eastAsia="fr-FR" w:bidi="ar-SA"/>
              </w:rPr>
              <w:t>4</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63FDF032" w14:textId="77777777" w:rsidR="00D62C6E" w:rsidRPr="007A2201" w:rsidRDefault="00D62C6E">
            <w:pPr>
              <w:jc w:val="left"/>
              <w:rPr>
                <w:lang w:eastAsia="fr-FR" w:bidi="ar-SA"/>
              </w:rPr>
            </w:pPr>
            <w:r w:rsidRPr="007A2201">
              <w:rPr>
                <w:lang w:eastAsia="fr-FR" w:bidi="ar-SA"/>
              </w:rPr>
              <w:t>Les déclarations de sous-traitances nécessaires le cas échéant</w:t>
            </w:r>
          </w:p>
        </w:tc>
      </w:tr>
    </w:tbl>
    <w:p w14:paraId="043792D9" w14:textId="77777777" w:rsidR="00D62C6E" w:rsidRPr="007A2201" w:rsidRDefault="00D62C6E" w:rsidP="00D62C6E">
      <w:pPr>
        <w:pStyle w:val="Titre3"/>
      </w:pPr>
      <w:bookmarkStart w:id="33" w:name="_Toc129356572"/>
      <w:bookmarkStart w:id="34" w:name="_Toc219977866"/>
      <w:r w:rsidRPr="007A2201">
        <w:t>Variantes</w:t>
      </w:r>
      <w:bookmarkEnd w:id="33"/>
      <w:bookmarkEnd w:id="34"/>
    </w:p>
    <w:p w14:paraId="63094381" w14:textId="77777777" w:rsidR="00785153" w:rsidRPr="00785153" w:rsidRDefault="00785153" w:rsidP="00D62C6E">
      <w:pPr>
        <w:rPr>
          <w:b/>
          <w:bCs/>
        </w:rPr>
      </w:pPr>
      <w:r w:rsidRPr="00785153">
        <w:rPr>
          <w:b/>
          <w:bCs/>
        </w:rPr>
        <w:t>Les variantes sont exclusivement celles exigées par l’acheteur et décrites dans le CCTP ou ses annexes.</w:t>
      </w:r>
    </w:p>
    <w:p w14:paraId="756FA04D" w14:textId="77777777" w:rsidR="00785153" w:rsidRDefault="00785153" w:rsidP="00D62C6E"/>
    <w:p w14:paraId="56658E27" w14:textId="77777777" w:rsidR="00D62C6E" w:rsidRPr="007A2201" w:rsidRDefault="00D62C6E" w:rsidP="00D62C6E">
      <w:r w:rsidRPr="007A2201">
        <w:t>L’offre doit être strictement conforme aux pièces de l'accord-cadre.</w:t>
      </w:r>
    </w:p>
    <w:p w14:paraId="110B4277" w14:textId="77777777" w:rsidR="00D62C6E" w:rsidRPr="007A2201" w:rsidRDefault="00D62C6E" w:rsidP="00D62C6E"/>
    <w:p w14:paraId="78018FF7" w14:textId="77777777" w:rsidR="00D62C6E" w:rsidRPr="007A2201" w:rsidRDefault="00D62C6E" w:rsidP="00D62C6E">
      <w:r w:rsidRPr="007A2201">
        <w:lastRenderedPageBreak/>
        <w:t>Le fonctionnement actuel de la prestation prévoit un réapprovisionnement dans les deux magasins centraux du GHRE (Saint Malo et Dinan)</w:t>
      </w:r>
    </w:p>
    <w:p w14:paraId="6EFCF488" w14:textId="77777777" w:rsidR="00D62C6E" w:rsidRPr="007A2201" w:rsidRDefault="00D62C6E" w:rsidP="00D62C6E">
      <w:r w:rsidRPr="007A2201">
        <w:t>La variante 1 prévoit un réapprovisionnement jusqu'aux points de dépôt identifiés dans les services.</w:t>
      </w:r>
    </w:p>
    <w:p w14:paraId="793E04B5" w14:textId="77777777" w:rsidR="00D62C6E" w:rsidRPr="007A2201" w:rsidRDefault="00D62C6E" w:rsidP="00D62C6E">
      <w:r w:rsidRPr="007A2201">
        <w:t>La variante 2 prévoit un service de Facility Management avec mise à disposition d'un technicien sur place.</w:t>
      </w:r>
    </w:p>
    <w:p w14:paraId="5B4784F8" w14:textId="77777777" w:rsidR="00D62C6E" w:rsidRPr="007A2201" w:rsidRDefault="00D62C6E" w:rsidP="00D62C6E"/>
    <w:p w14:paraId="61C5099D" w14:textId="77777777" w:rsidR="00D62C6E" w:rsidRPr="007A2201" w:rsidRDefault="00D62C6E" w:rsidP="00D62C6E">
      <w:r w:rsidRPr="007A2201">
        <w:t>Ces variantes sont détaillées dans le CCTP.</w:t>
      </w:r>
    </w:p>
    <w:p w14:paraId="5F0EBEF9" w14:textId="77777777" w:rsidR="00D62C6E" w:rsidRPr="007A2201" w:rsidRDefault="00D62C6E" w:rsidP="00D62C6E"/>
    <w:p w14:paraId="53C148B9" w14:textId="77777777" w:rsidR="00D62C6E" w:rsidRPr="007A2201" w:rsidRDefault="00D62C6E" w:rsidP="00D62C6E">
      <w:r w:rsidRPr="007A2201">
        <w:t>Les candidats sont tenus de présenter une offre pour</w:t>
      </w:r>
      <w:r w:rsidR="004F65F9">
        <w:t xml:space="preserve"> la solution de base, et pour</w:t>
      </w:r>
      <w:r w:rsidRPr="007A2201">
        <w:t xml:space="preserve"> chaque variante exigée.</w:t>
      </w:r>
    </w:p>
    <w:p w14:paraId="390FBB1F" w14:textId="77777777" w:rsidR="00D62C6E" w:rsidRPr="007A2201" w:rsidRDefault="00D62C6E" w:rsidP="00D62C6E"/>
    <w:p w14:paraId="2B8A6CE7" w14:textId="77777777" w:rsidR="007A2201" w:rsidRPr="007A2201" w:rsidRDefault="00D62C6E" w:rsidP="007A2201">
      <w:r w:rsidRPr="007A2201">
        <w:t>Aucune variante facultative n'est prévue.</w:t>
      </w:r>
      <w:r w:rsidR="007A2201">
        <w:t xml:space="preserve"> </w:t>
      </w:r>
      <w:r w:rsidR="007A2201" w:rsidRPr="007A2201">
        <w:t>Le candidat n’est donc pas autorisé à présenter d’autres variantes que celles exigées par le pouvoir adjudicateur.</w:t>
      </w:r>
    </w:p>
    <w:p w14:paraId="7880AF2F" w14:textId="77777777" w:rsidR="00D62C6E" w:rsidRPr="007A2201" w:rsidRDefault="00D62C6E" w:rsidP="00D62C6E">
      <w:pPr>
        <w:pStyle w:val="Titre3"/>
      </w:pPr>
      <w:bookmarkStart w:id="35" w:name="_Toc129356573"/>
      <w:bookmarkStart w:id="36" w:name="_Toc219977867"/>
      <w:r w:rsidRPr="007A2201">
        <w:t>Prestations supplémentaires éventuelles</w:t>
      </w:r>
      <w:bookmarkEnd w:id="35"/>
      <w:bookmarkEnd w:id="36"/>
      <w:r w:rsidRPr="007A2201">
        <w:t xml:space="preserve"> </w:t>
      </w:r>
    </w:p>
    <w:p w14:paraId="7BCD9309" w14:textId="77777777" w:rsidR="00D62C6E" w:rsidRPr="007A2201" w:rsidRDefault="00D62C6E" w:rsidP="00D62C6E">
      <w:r w:rsidRPr="007A2201">
        <w:t>L'accord-cadre ne comporte aucune prestation supplémentaire éventuelle facultative ou obligatoire.</w:t>
      </w:r>
    </w:p>
    <w:p w14:paraId="188EAEF1" w14:textId="77777777" w:rsidR="00D62C6E" w:rsidRPr="007A2201" w:rsidRDefault="00D62C6E" w:rsidP="00D62C6E">
      <w:pPr>
        <w:pStyle w:val="Titre3"/>
      </w:pPr>
      <w:bookmarkStart w:id="37" w:name="_Toc129356574"/>
      <w:bookmarkStart w:id="38" w:name="_Toc219977868"/>
      <w:r w:rsidRPr="007A2201">
        <w:t>Délai de validité</w:t>
      </w:r>
      <w:bookmarkEnd w:id="37"/>
      <w:bookmarkEnd w:id="38"/>
    </w:p>
    <w:p w14:paraId="34DA11F8" w14:textId="77777777" w:rsidR="00D62C6E" w:rsidRDefault="00D62C6E" w:rsidP="004F65F9">
      <w:pPr>
        <w:contextualSpacing/>
      </w:pPr>
      <w:r w:rsidRPr="007A2201">
        <w:t>Le candidat reste lié par son offre pendant un délai de 90 jours calendaires, à compter de la date limite de présentation des offres</w:t>
      </w:r>
      <w:r w:rsidR="004F65F9">
        <w:t xml:space="preserve"> et jusqu’à la notification du marché</w:t>
      </w:r>
      <w:r w:rsidRPr="007A2201">
        <w:t>.</w:t>
      </w:r>
    </w:p>
    <w:p w14:paraId="2CF01656" w14:textId="77777777" w:rsidR="004F65F9" w:rsidRPr="007A2201" w:rsidRDefault="004F65F9" w:rsidP="004F65F9">
      <w:pPr>
        <w:contextualSpacing/>
      </w:pPr>
    </w:p>
    <w:p w14:paraId="1195A069" w14:textId="77777777" w:rsidR="00D62C6E" w:rsidRPr="007A2201" w:rsidRDefault="00D62C6E" w:rsidP="004F65F9">
      <w:pPr>
        <w:pStyle w:val="Titre2"/>
        <w:contextualSpacing/>
      </w:pPr>
      <w:bookmarkStart w:id="39" w:name="_Toc219977869"/>
      <w:r w:rsidRPr="007A2201">
        <w:t>Critères d’attribution et choix de l’offre</w:t>
      </w:r>
      <w:bookmarkEnd w:id="39"/>
    </w:p>
    <w:p w14:paraId="34379458" w14:textId="77777777" w:rsidR="004F65F9" w:rsidRDefault="004F65F9" w:rsidP="004F65F9">
      <w:pPr>
        <w:contextualSpacing/>
      </w:pPr>
    </w:p>
    <w:p w14:paraId="5342B049" w14:textId="77777777" w:rsidR="00D62C6E" w:rsidRDefault="00D62C6E" w:rsidP="004F65F9">
      <w:pPr>
        <w:contextualSpacing/>
      </w:pPr>
      <w:r w:rsidRPr="007A2201">
        <w:t>L’acheteur attribue l'accord-cadre au soumissionnaire ayant présenté l'offre économiquement la plus avantageuse en se fondant sur une pluralité de critères.</w:t>
      </w:r>
    </w:p>
    <w:p w14:paraId="4071C2D3" w14:textId="77777777" w:rsidR="00EC566F" w:rsidRDefault="007A2201" w:rsidP="00E56D36">
      <w:pPr>
        <w:contextualSpacing/>
      </w:pPr>
      <w:r>
        <w:t xml:space="preserve">Il pourra s’appuyer, pour l’analyse de la valeur technique des offres, sur les éléments remis dans l’offre, ainsi que sur </w:t>
      </w:r>
      <w:r w:rsidRPr="00EC566F">
        <w:rPr>
          <w:color w:val="auto"/>
        </w:rPr>
        <w:t>des entretiens</w:t>
      </w:r>
      <w:r>
        <w:t xml:space="preserve"> et visites de présentation réalisés</w:t>
      </w:r>
      <w:r w:rsidR="00EC566F">
        <w:t xml:space="preserve"> </w:t>
      </w:r>
      <w:r w:rsidR="00EC566F" w:rsidRPr="004F65F9">
        <w:rPr>
          <w:b/>
          <w:bCs/>
          <w:u w:val="single"/>
        </w:rPr>
        <w:t>si nécessaire</w:t>
      </w:r>
      <w:r>
        <w:t xml:space="preserve"> dans les conditions précisées ci-après.</w:t>
      </w:r>
    </w:p>
    <w:p w14:paraId="674BFE7A" w14:textId="77777777" w:rsidR="007A2201" w:rsidRDefault="007A2201" w:rsidP="00E56D36">
      <w:pPr>
        <w:pStyle w:val="Titre3"/>
        <w:contextualSpacing/>
      </w:pPr>
      <w:bookmarkStart w:id="40" w:name="_Toc219977870"/>
      <w:r>
        <w:t>Critères d’attribution</w:t>
      </w:r>
      <w:bookmarkEnd w:id="40"/>
    </w:p>
    <w:p w14:paraId="696E88C0" w14:textId="77777777" w:rsidR="00D62C6E" w:rsidRPr="007A2201" w:rsidRDefault="00D62C6E" w:rsidP="00D62C6E">
      <w:r w:rsidRPr="007A2201">
        <w:t>Les critères listés ci-dessous s'appliquent pour l'attribution de l'accord-cadre.</w:t>
      </w:r>
    </w:p>
    <w:p w14:paraId="5081264F" w14:textId="77777777" w:rsidR="00D62C6E" w:rsidRPr="007A2201" w:rsidRDefault="00D62C6E"/>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749"/>
        <w:gridCol w:w="6529"/>
        <w:gridCol w:w="1707"/>
      </w:tblGrid>
      <w:tr w:rsidR="00D62C6E" w:rsidRPr="007A2201" w14:paraId="47B22F43" w14:textId="77777777" w:rsidTr="00EC566F">
        <w:tc>
          <w:tcPr>
            <w:tcW w:w="749"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05A78882" w14:textId="77777777" w:rsidR="00D62C6E" w:rsidRPr="007A2201" w:rsidRDefault="00D62C6E">
            <w:pPr>
              <w:shd w:val="clear" w:color="auto" w:fill="D3D3D3"/>
              <w:jc w:val="center"/>
              <w:rPr>
                <w:b/>
                <w:bCs/>
                <w:lang w:eastAsia="fr-FR" w:bidi="ar-SA"/>
              </w:rPr>
            </w:pPr>
            <w:r w:rsidRPr="007A2201">
              <w:rPr>
                <w:b/>
                <w:bCs/>
                <w:lang w:eastAsia="fr-FR" w:bidi="ar-SA"/>
              </w:rPr>
              <w:t>N°</w:t>
            </w:r>
          </w:p>
        </w:tc>
        <w:tc>
          <w:tcPr>
            <w:tcW w:w="6529"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072C949C" w14:textId="77777777" w:rsidR="00D62C6E" w:rsidRPr="007A2201" w:rsidRDefault="00D62C6E">
            <w:pPr>
              <w:shd w:val="clear" w:color="auto" w:fill="D3D3D3"/>
              <w:jc w:val="left"/>
              <w:rPr>
                <w:b/>
                <w:bCs/>
                <w:lang w:eastAsia="fr-FR" w:bidi="ar-SA"/>
              </w:rPr>
            </w:pPr>
            <w:r w:rsidRPr="007A2201">
              <w:rPr>
                <w:b/>
                <w:bCs/>
                <w:lang w:eastAsia="fr-FR" w:bidi="ar-SA"/>
              </w:rPr>
              <w:t>Description</w:t>
            </w:r>
          </w:p>
        </w:tc>
        <w:tc>
          <w:tcPr>
            <w:tcW w:w="1707"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544DCCAF" w14:textId="77777777" w:rsidR="00D62C6E" w:rsidRPr="007A2201" w:rsidRDefault="00D62C6E">
            <w:pPr>
              <w:shd w:val="clear" w:color="auto" w:fill="D3D3D3"/>
              <w:jc w:val="center"/>
              <w:rPr>
                <w:b/>
                <w:bCs/>
                <w:lang w:eastAsia="fr-FR" w:bidi="ar-SA"/>
              </w:rPr>
            </w:pPr>
            <w:r w:rsidRPr="007A2201">
              <w:rPr>
                <w:b/>
                <w:bCs/>
                <w:lang w:eastAsia="fr-FR" w:bidi="ar-SA"/>
              </w:rPr>
              <w:t>Pondération</w:t>
            </w:r>
          </w:p>
        </w:tc>
      </w:tr>
      <w:tr w:rsidR="00D62C6E" w:rsidRPr="007A2201" w14:paraId="5EDEFB7F" w14:textId="77777777" w:rsidTr="005C04B4">
        <w:tc>
          <w:tcPr>
            <w:tcW w:w="749" w:type="dxa"/>
            <w:tcBorders>
              <w:top w:val="inset" w:sz="6" w:space="0" w:color="808080"/>
              <w:left w:val="inset" w:sz="6" w:space="0" w:color="808080"/>
              <w:bottom w:val="inset" w:sz="6" w:space="0" w:color="808080"/>
              <w:right w:val="inset" w:sz="6" w:space="0" w:color="808080"/>
            </w:tcBorders>
            <w:shd w:val="clear" w:color="auto" w:fill="A8D08D"/>
            <w:tcMar>
              <w:top w:w="30" w:type="dxa"/>
              <w:left w:w="30" w:type="dxa"/>
              <w:bottom w:w="30" w:type="dxa"/>
              <w:right w:w="30" w:type="dxa"/>
            </w:tcMar>
          </w:tcPr>
          <w:p w14:paraId="19CC0771" w14:textId="77777777" w:rsidR="00D62C6E" w:rsidRPr="007A2201" w:rsidRDefault="00D62C6E">
            <w:pPr>
              <w:rPr>
                <w:lang w:eastAsia="fr-FR" w:bidi="ar-SA"/>
              </w:rPr>
            </w:pPr>
          </w:p>
        </w:tc>
        <w:tc>
          <w:tcPr>
            <w:tcW w:w="6529" w:type="dxa"/>
            <w:tcBorders>
              <w:top w:val="inset" w:sz="6" w:space="0" w:color="808080"/>
              <w:left w:val="inset" w:sz="6" w:space="0" w:color="808080"/>
              <w:bottom w:val="inset" w:sz="6" w:space="0" w:color="808080"/>
              <w:right w:val="inset" w:sz="6" w:space="0" w:color="808080"/>
            </w:tcBorders>
            <w:shd w:val="clear" w:color="auto" w:fill="A8D08D"/>
            <w:tcMar>
              <w:top w:w="30" w:type="dxa"/>
              <w:left w:w="30" w:type="dxa"/>
              <w:bottom w:w="30" w:type="dxa"/>
              <w:right w:w="30" w:type="dxa"/>
            </w:tcMar>
          </w:tcPr>
          <w:p w14:paraId="43463552" w14:textId="77777777" w:rsidR="00D62C6E" w:rsidRPr="007A2201" w:rsidRDefault="00D62C6E">
            <w:pPr>
              <w:jc w:val="left"/>
              <w:rPr>
                <w:b/>
                <w:bCs/>
                <w:lang w:eastAsia="fr-FR" w:bidi="ar-SA"/>
              </w:rPr>
            </w:pPr>
            <w:r w:rsidRPr="007A2201">
              <w:rPr>
                <w:b/>
                <w:bCs/>
                <w:lang w:eastAsia="fr-FR" w:bidi="ar-SA"/>
              </w:rPr>
              <w:t>Valeur technique</w:t>
            </w:r>
          </w:p>
        </w:tc>
        <w:tc>
          <w:tcPr>
            <w:tcW w:w="1707" w:type="dxa"/>
            <w:tcBorders>
              <w:top w:val="inset" w:sz="6" w:space="0" w:color="808080"/>
              <w:left w:val="inset" w:sz="6" w:space="0" w:color="808080"/>
              <w:bottom w:val="inset" w:sz="6" w:space="0" w:color="808080"/>
              <w:right w:val="inset" w:sz="6" w:space="0" w:color="808080"/>
            </w:tcBorders>
            <w:shd w:val="clear" w:color="auto" w:fill="A8D08D"/>
            <w:tcMar>
              <w:top w:w="30" w:type="dxa"/>
              <w:left w:w="30" w:type="dxa"/>
              <w:bottom w:w="30" w:type="dxa"/>
              <w:right w:w="30" w:type="dxa"/>
            </w:tcMar>
          </w:tcPr>
          <w:p w14:paraId="77785843" w14:textId="77777777" w:rsidR="00D62C6E" w:rsidRPr="007A2201" w:rsidRDefault="004B5ACF">
            <w:pPr>
              <w:jc w:val="center"/>
              <w:rPr>
                <w:b/>
                <w:bCs/>
                <w:lang w:eastAsia="fr-FR" w:bidi="ar-SA"/>
              </w:rPr>
            </w:pPr>
            <w:r>
              <w:rPr>
                <w:b/>
                <w:bCs/>
                <w:lang w:eastAsia="fr-FR" w:bidi="ar-SA"/>
              </w:rPr>
              <w:t>60</w:t>
            </w:r>
          </w:p>
        </w:tc>
      </w:tr>
      <w:tr w:rsidR="00D62C6E" w:rsidRPr="007A2201" w14:paraId="01888AB3" w14:textId="77777777" w:rsidTr="00EC566F">
        <w:tc>
          <w:tcPr>
            <w:tcW w:w="749"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B632C67" w14:textId="77777777" w:rsidR="00D62C6E" w:rsidRPr="007A2201" w:rsidRDefault="00D62C6E">
            <w:pPr>
              <w:jc w:val="center"/>
              <w:rPr>
                <w:lang w:eastAsia="fr-FR" w:bidi="ar-SA"/>
              </w:rPr>
            </w:pPr>
            <w:r w:rsidRPr="007A2201">
              <w:rPr>
                <w:lang w:eastAsia="fr-FR" w:bidi="ar-SA"/>
              </w:rPr>
              <w:t>1</w:t>
            </w:r>
          </w:p>
        </w:tc>
        <w:tc>
          <w:tcPr>
            <w:tcW w:w="6529"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6AB2929" w14:textId="77777777" w:rsidR="00D62C6E" w:rsidRPr="007A2201" w:rsidRDefault="00D62C6E">
            <w:pPr>
              <w:jc w:val="left"/>
              <w:rPr>
                <w:lang w:eastAsia="fr-FR" w:bidi="ar-SA"/>
              </w:rPr>
            </w:pPr>
            <w:r w:rsidRPr="007A2201">
              <w:rPr>
                <w:lang w:eastAsia="fr-FR" w:bidi="ar-SA"/>
              </w:rPr>
              <w:t>Caractéristiques, performances et fonctionnalités des matériels</w:t>
            </w:r>
          </w:p>
        </w:tc>
        <w:tc>
          <w:tcPr>
            <w:tcW w:w="1707"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F56D725" w14:textId="77777777" w:rsidR="00D62C6E" w:rsidRPr="007A2201" w:rsidRDefault="00D62C6E">
            <w:pPr>
              <w:jc w:val="center"/>
              <w:rPr>
                <w:lang w:eastAsia="fr-FR" w:bidi="ar-SA"/>
              </w:rPr>
            </w:pPr>
            <w:r w:rsidRPr="007A2201">
              <w:rPr>
                <w:lang w:eastAsia="fr-FR" w:bidi="ar-SA"/>
              </w:rPr>
              <w:t>25</w:t>
            </w:r>
          </w:p>
        </w:tc>
      </w:tr>
      <w:tr w:rsidR="00D62C6E" w:rsidRPr="007A2201" w14:paraId="67D794BA" w14:textId="77777777" w:rsidTr="00EC566F">
        <w:tc>
          <w:tcPr>
            <w:tcW w:w="749"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E3DA9D9" w14:textId="77777777" w:rsidR="00D62C6E" w:rsidRPr="007A2201" w:rsidRDefault="00D62C6E">
            <w:pPr>
              <w:rPr>
                <w:lang w:eastAsia="fr-FR" w:bidi="ar-SA"/>
              </w:rPr>
            </w:pPr>
          </w:p>
        </w:tc>
        <w:tc>
          <w:tcPr>
            <w:tcW w:w="8236"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EA9EC35" w14:textId="77777777" w:rsidR="00D62C6E" w:rsidRPr="007A2201" w:rsidRDefault="00D62C6E">
            <w:pPr>
              <w:jc w:val="left"/>
              <w:rPr>
                <w:lang w:eastAsia="fr-FR" w:bidi="ar-SA"/>
              </w:rPr>
            </w:pPr>
            <w:r w:rsidRPr="007A2201">
              <w:rPr>
                <w:i/>
                <w:iCs/>
                <w:lang w:eastAsia="fr-FR" w:bidi="ar-SA"/>
              </w:rPr>
              <w:t>Critère jugé sur la base du dossier technique et des tests sur site</w:t>
            </w:r>
          </w:p>
        </w:tc>
      </w:tr>
      <w:tr w:rsidR="00D62C6E" w:rsidRPr="007A2201" w14:paraId="03FD5E74" w14:textId="77777777" w:rsidTr="00EC566F">
        <w:tc>
          <w:tcPr>
            <w:tcW w:w="749"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4719DDA" w14:textId="77777777" w:rsidR="00D62C6E" w:rsidRPr="007A2201" w:rsidRDefault="00D62C6E">
            <w:pPr>
              <w:jc w:val="center"/>
              <w:rPr>
                <w:lang w:eastAsia="fr-FR" w:bidi="ar-SA"/>
              </w:rPr>
            </w:pPr>
            <w:bookmarkStart w:id="41" w:name="_Hlk219976112"/>
            <w:r w:rsidRPr="007A2201">
              <w:rPr>
                <w:lang w:eastAsia="fr-FR" w:bidi="ar-SA"/>
              </w:rPr>
              <w:t>2</w:t>
            </w:r>
          </w:p>
        </w:tc>
        <w:tc>
          <w:tcPr>
            <w:tcW w:w="6529"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5C19ED2" w14:textId="77777777" w:rsidR="00D62C6E" w:rsidRPr="007A2201" w:rsidRDefault="00D62C6E">
            <w:pPr>
              <w:jc w:val="left"/>
              <w:rPr>
                <w:lang w:eastAsia="fr-FR" w:bidi="ar-SA"/>
              </w:rPr>
            </w:pPr>
            <w:r w:rsidRPr="007A2201">
              <w:rPr>
                <w:lang w:eastAsia="fr-FR" w:bidi="ar-SA"/>
              </w:rPr>
              <w:t>Services associés (Assistance, maintenance, réapprovisionnement, outil de monitoring et alertes</w:t>
            </w:r>
            <w:r w:rsidR="00EC566F">
              <w:rPr>
                <w:lang w:eastAsia="fr-FR" w:bidi="ar-SA"/>
              </w:rPr>
              <w:t>, engagements et pilotage du marché</w:t>
            </w:r>
            <w:r w:rsidRPr="007A2201">
              <w:rPr>
                <w:lang w:eastAsia="fr-FR" w:bidi="ar-SA"/>
              </w:rPr>
              <w:t>...)</w:t>
            </w:r>
          </w:p>
        </w:tc>
        <w:tc>
          <w:tcPr>
            <w:tcW w:w="1707"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FF6A3FA" w14:textId="77777777" w:rsidR="00D62C6E" w:rsidRPr="007A2201" w:rsidRDefault="00EC566F">
            <w:pPr>
              <w:jc w:val="center"/>
              <w:rPr>
                <w:lang w:eastAsia="fr-FR" w:bidi="ar-SA"/>
              </w:rPr>
            </w:pPr>
            <w:r>
              <w:rPr>
                <w:lang w:eastAsia="fr-FR" w:bidi="ar-SA"/>
              </w:rPr>
              <w:t>30</w:t>
            </w:r>
          </w:p>
        </w:tc>
      </w:tr>
      <w:tr w:rsidR="004B5ACF" w:rsidRPr="007A2201" w14:paraId="47F659B9" w14:textId="77777777" w:rsidTr="005C04B4">
        <w:tc>
          <w:tcPr>
            <w:tcW w:w="749"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A1D3732" w14:textId="77777777" w:rsidR="004B5ACF" w:rsidRPr="007A2201" w:rsidRDefault="004B5ACF" w:rsidP="005C04B4">
            <w:pPr>
              <w:jc w:val="center"/>
              <w:rPr>
                <w:lang w:eastAsia="fr-FR" w:bidi="ar-SA"/>
              </w:rPr>
            </w:pPr>
            <w:r>
              <w:rPr>
                <w:lang w:eastAsia="fr-FR" w:bidi="ar-SA"/>
              </w:rPr>
              <w:t>3</w:t>
            </w:r>
          </w:p>
        </w:tc>
        <w:tc>
          <w:tcPr>
            <w:tcW w:w="6529"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3DDB55B3" w14:textId="77777777" w:rsidR="004B5ACF" w:rsidRPr="007A2201" w:rsidRDefault="004B5ACF" w:rsidP="005C04B4">
            <w:pPr>
              <w:jc w:val="left"/>
              <w:rPr>
                <w:lang w:eastAsia="fr-FR" w:bidi="ar-SA"/>
              </w:rPr>
            </w:pPr>
            <w:r>
              <w:rPr>
                <w:lang w:eastAsia="fr-FR" w:bidi="ar-SA"/>
              </w:rPr>
              <w:t>Développement durable (cf. détail ci-dessous)</w:t>
            </w:r>
          </w:p>
        </w:tc>
        <w:tc>
          <w:tcPr>
            <w:tcW w:w="1707"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2739A62" w14:textId="77777777" w:rsidR="004B5ACF" w:rsidRPr="004F65F9" w:rsidRDefault="004B5ACF" w:rsidP="005C04B4">
            <w:pPr>
              <w:jc w:val="center"/>
              <w:rPr>
                <w:color w:val="auto"/>
                <w:lang w:eastAsia="fr-FR" w:bidi="ar-SA"/>
              </w:rPr>
            </w:pPr>
            <w:r w:rsidRPr="004F65F9">
              <w:rPr>
                <w:color w:val="auto"/>
                <w:lang w:eastAsia="fr-FR" w:bidi="ar-SA"/>
              </w:rPr>
              <w:t>5</w:t>
            </w:r>
          </w:p>
        </w:tc>
      </w:tr>
      <w:bookmarkEnd w:id="41"/>
      <w:tr w:rsidR="00D62C6E" w:rsidRPr="007A2201" w14:paraId="0C6BF191" w14:textId="77777777" w:rsidTr="00EC566F">
        <w:tc>
          <w:tcPr>
            <w:tcW w:w="749"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0DCE9EB" w14:textId="77777777" w:rsidR="00D62C6E" w:rsidRPr="007A2201" w:rsidRDefault="00D62C6E">
            <w:pPr>
              <w:rPr>
                <w:lang w:eastAsia="fr-FR" w:bidi="ar-SA"/>
              </w:rPr>
            </w:pPr>
          </w:p>
        </w:tc>
        <w:tc>
          <w:tcPr>
            <w:tcW w:w="8236"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606C2CC" w14:textId="77777777" w:rsidR="00D62C6E" w:rsidRPr="007A2201" w:rsidRDefault="00D62C6E">
            <w:pPr>
              <w:jc w:val="left"/>
              <w:rPr>
                <w:lang w:eastAsia="fr-FR" w:bidi="ar-SA"/>
              </w:rPr>
            </w:pPr>
            <w:r w:rsidRPr="007A2201">
              <w:rPr>
                <w:i/>
                <w:iCs/>
                <w:lang w:eastAsia="fr-FR" w:bidi="ar-SA"/>
              </w:rPr>
              <w:t>Critère jugé sur la base de l'offre technique</w:t>
            </w:r>
          </w:p>
        </w:tc>
      </w:tr>
      <w:tr w:rsidR="00D62C6E" w:rsidRPr="007A2201" w14:paraId="31323548" w14:textId="77777777" w:rsidTr="005C04B4">
        <w:tc>
          <w:tcPr>
            <w:tcW w:w="749" w:type="dxa"/>
            <w:tcBorders>
              <w:top w:val="inset" w:sz="6" w:space="0" w:color="808080"/>
              <w:left w:val="inset" w:sz="6" w:space="0" w:color="808080"/>
              <w:bottom w:val="inset" w:sz="6" w:space="0" w:color="808080"/>
              <w:right w:val="inset" w:sz="6" w:space="0" w:color="808080"/>
            </w:tcBorders>
            <w:shd w:val="clear" w:color="auto" w:fill="A8D08D"/>
            <w:tcMar>
              <w:top w:w="30" w:type="dxa"/>
              <w:left w:w="30" w:type="dxa"/>
              <w:bottom w:w="30" w:type="dxa"/>
              <w:right w:w="30" w:type="dxa"/>
            </w:tcMar>
          </w:tcPr>
          <w:p w14:paraId="241EF8E8" w14:textId="77777777" w:rsidR="00D62C6E" w:rsidRPr="007A2201" w:rsidRDefault="00D62C6E">
            <w:pPr>
              <w:rPr>
                <w:lang w:eastAsia="fr-FR" w:bidi="ar-SA"/>
              </w:rPr>
            </w:pPr>
            <w:bookmarkStart w:id="42" w:name="_Hlk219973446"/>
          </w:p>
        </w:tc>
        <w:tc>
          <w:tcPr>
            <w:tcW w:w="6529" w:type="dxa"/>
            <w:tcBorders>
              <w:top w:val="inset" w:sz="6" w:space="0" w:color="808080"/>
              <w:left w:val="inset" w:sz="6" w:space="0" w:color="808080"/>
              <w:bottom w:val="inset" w:sz="6" w:space="0" w:color="808080"/>
              <w:right w:val="inset" w:sz="6" w:space="0" w:color="808080"/>
            </w:tcBorders>
            <w:shd w:val="clear" w:color="auto" w:fill="A8D08D"/>
            <w:tcMar>
              <w:top w:w="30" w:type="dxa"/>
              <w:left w:w="30" w:type="dxa"/>
              <w:bottom w:w="30" w:type="dxa"/>
              <w:right w:w="30" w:type="dxa"/>
            </w:tcMar>
          </w:tcPr>
          <w:p w14:paraId="533F9CB8" w14:textId="77777777" w:rsidR="00D62C6E" w:rsidRPr="007A2201" w:rsidRDefault="00D62C6E">
            <w:pPr>
              <w:jc w:val="left"/>
              <w:rPr>
                <w:b/>
                <w:bCs/>
                <w:lang w:eastAsia="fr-FR" w:bidi="ar-SA"/>
              </w:rPr>
            </w:pPr>
            <w:r w:rsidRPr="007A2201">
              <w:rPr>
                <w:b/>
                <w:bCs/>
                <w:lang w:eastAsia="fr-FR" w:bidi="ar-SA"/>
              </w:rPr>
              <w:t>Valeur économique</w:t>
            </w:r>
          </w:p>
        </w:tc>
        <w:tc>
          <w:tcPr>
            <w:tcW w:w="1707" w:type="dxa"/>
            <w:tcBorders>
              <w:top w:val="inset" w:sz="6" w:space="0" w:color="808080"/>
              <w:left w:val="inset" w:sz="6" w:space="0" w:color="808080"/>
              <w:bottom w:val="inset" w:sz="6" w:space="0" w:color="808080"/>
              <w:right w:val="inset" w:sz="6" w:space="0" w:color="808080"/>
            </w:tcBorders>
            <w:shd w:val="clear" w:color="auto" w:fill="A8D08D"/>
            <w:tcMar>
              <w:top w:w="30" w:type="dxa"/>
              <w:left w:w="30" w:type="dxa"/>
              <w:bottom w:w="30" w:type="dxa"/>
              <w:right w:w="30" w:type="dxa"/>
            </w:tcMar>
          </w:tcPr>
          <w:p w14:paraId="4A6C20C6" w14:textId="77777777" w:rsidR="00D62C6E" w:rsidRPr="007A2201" w:rsidRDefault="00D62C6E">
            <w:pPr>
              <w:jc w:val="center"/>
              <w:rPr>
                <w:b/>
                <w:bCs/>
                <w:lang w:eastAsia="fr-FR" w:bidi="ar-SA"/>
              </w:rPr>
            </w:pPr>
            <w:r w:rsidRPr="007A2201">
              <w:rPr>
                <w:b/>
                <w:bCs/>
                <w:lang w:eastAsia="fr-FR" w:bidi="ar-SA"/>
              </w:rPr>
              <w:t>40</w:t>
            </w:r>
          </w:p>
        </w:tc>
      </w:tr>
      <w:bookmarkEnd w:id="42"/>
      <w:tr w:rsidR="00D62C6E" w:rsidRPr="007A2201" w14:paraId="66A58CE9" w14:textId="77777777" w:rsidTr="00EC566F">
        <w:tc>
          <w:tcPr>
            <w:tcW w:w="749"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E32CD77" w14:textId="77777777" w:rsidR="00D62C6E" w:rsidRPr="007A2201" w:rsidRDefault="00EC566F">
            <w:pPr>
              <w:jc w:val="center"/>
              <w:rPr>
                <w:lang w:eastAsia="fr-FR" w:bidi="ar-SA"/>
              </w:rPr>
            </w:pPr>
            <w:r>
              <w:rPr>
                <w:lang w:eastAsia="fr-FR" w:bidi="ar-SA"/>
              </w:rPr>
              <w:t>1</w:t>
            </w:r>
          </w:p>
        </w:tc>
        <w:tc>
          <w:tcPr>
            <w:tcW w:w="6529"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E0144EB" w14:textId="77777777" w:rsidR="00D62C6E" w:rsidRPr="007A2201" w:rsidRDefault="00D62C6E">
            <w:pPr>
              <w:jc w:val="left"/>
              <w:rPr>
                <w:lang w:eastAsia="fr-FR" w:bidi="ar-SA"/>
              </w:rPr>
            </w:pPr>
            <w:r w:rsidRPr="007A2201">
              <w:rPr>
                <w:lang w:eastAsia="fr-FR" w:bidi="ar-SA"/>
              </w:rPr>
              <w:t>Prix global de la prestation</w:t>
            </w:r>
          </w:p>
        </w:tc>
        <w:tc>
          <w:tcPr>
            <w:tcW w:w="1707"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1BDBA6D" w14:textId="77777777" w:rsidR="00D62C6E" w:rsidRPr="007A2201" w:rsidRDefault="00D62C6E">
            <w:pPr>
              <w:jc w:val="center"/>
              <w:rPr>
                <w:lang w:eastAsia="fr-FR" w:bidi="ar-SA"/>
              </w:rPr>
            </w:pPr>
            <w:r w:rsidRPr="007A2201">
              <w:rPr>
                <w:lang w:eastAsia="fr-FR" w:bidi="ar-SA"/>
              </w:rPr>
              <w:t>40</w:t>
            </w:r>
          </w:p>
        </w:tc>
      </w:tr>
      <w:tr w:rsidR="00D62C6E" w:rsidRPr="007A2201" w14:paraId="01545D06" w14:textId="77777777" w:rsidTr="00EC566F">
        <w:tc>
          <w:tcPr>
            <w:tcW w:w="749"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81BB204" w14:textId="77777777" w:rsidR="00D62C6E" w:rsidRPr="007A2201" w:rsidRDefault="00D62C6E">
            <w:pPr>
              <w:rPr>
                <w:lang w:eastAsia="fr-FR" w:bidi="ar-SA"/>
              </w:rPr>
            </w:pPr>
            <w:bookmarkStart w:id="43" w:name="_Hlk219975613"/>
          </w:p>
        </w:tc>
        <w:tc>
          <w:tcPr>
            <w:tcW w:w="8236"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9893F75" w14:textId="77777777" w:rsidR="00D62C6E" w:rsidRPr="007A2201" w:rsidRDefault="00D62C6E">
            <w:pPr>
              <w:jc w:val="left"/>
              <w:rPr>
                <w:lang w:eastAsia="fr-FR" w:bidi="ar-SA"/>
              </w:rPr>
            </w:pPr>
            <w:r w:rsidRPr="007A2201">
              <w:rPr>
                <w:i/>
                <w:iCs/>
                <w:lang w:eastAsia="fr-FR" w:bidi="ar-SA"/>
              </w:rPr>
              <w:t>Le critère « Valeur économique » sera calculé de la manière suivante, sur la base du BPU (Annexe 1) et du devis quantitatif (Annexe 2), étant entendu que l’offre la moins disante obtient la note maximum (40 points) :</w:t>
            </w:r>
            <w:r w:rsidRPr="007A2201">
              <w:rPr>
                <w:i/>
                <w:iCs/>
                <w:lang w:eastAsia="fr-FR" w:bidi="ar-SA"/>
              </w:rPr>
              <w:br/>
            </w:r>
            <w:r w:rsidRPr="007A2201">
              <w:rPr>
                <w:i/>
                <w:iCs/>
                <w:lang w:eastAsia="fr-FR" w:bidi="ar-SA"/>
              </w:rPr>
              <w:br/>
              <w:t>(Prix de l’offre la moins disante / Prix de l’offre du candidat analysé) x 40 points = note du candidat</w:t>
            </w:r>
          </w:p>
        </w:tc>
      </w:tr>
      <w:bookmarkEnd w:id="43"/>
      <w:tr w:rsidR="00D62C6E" w:rsidRPr="007A2201" w14:paraId="0CBA61E6" w14:textId="77777777" w:rsidTr="00EC566F">
        <w:tc>
          <w:tcPr>
            <w:tcW w:w="7278" w:type="dxa"/>
            <w:gridSpan w:val="2"/>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1C8169C7" w14:textId="77777777" w:rsidR="00D62C6E" w:rsidRPr="007A2201" w:rsidRDefault="00D62C6E">
            <w:pPr>
              <w:shd w:val="clear" w:color="auto" w:fill="D3D3D3"/>
              <w:jc w:val="left"/>
              <w:rPr>
                <w:lang w:eastAsia="fr-FR" w:bidi="ar-SA"/>
              </w:rPr>
            </w:pPr>
            <w:r w:rsidRPr="007A2201">
              <w:rPr>
                <w:lang w:eastAsia="fr-FR" w:bidi="ar-SA"/>
              </w:rPr>
              <w:t>Pondération totale des critères d'attribution :</w:t>
            </w:r>
          </w:p>
        </w:tc>
        <w:tc>
          <w:tcPr>
            <w:tcW w:w="1707"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2BC3AC6B" w14:textId="77777777" w:rsidR="00D62C6E" w:rsidRPr="007A2201" w:rsidRDefault="00D62C6E">
            <w:pPr>
              <w:shd w:val="clear" w:color="auto" w:fill="D3D3D3"/>
              <w:jc w:val="center"/>
              <w:rPr>
                <w:lang w:eastAsia="fr-FR" w:bidi="ar-SA"/>
              </w:rPr>
            </w:pPr>
            <w:r w:rsidRPr="007A2201">
              <w:rPr>
                <w:lang w:eastAsia="fr-FR" w:bidi="ar-SA"/>
              </w:rPr>
              <w:t>100</w:t>
            </w:r>
          </w:p>
        </w:tc>
      </w:tr>
    </w:tbl>
    <w:p w14:paraId="654A684A" w14:textId="77777777" w:rsidR="00D62C6E" w:rsidRPr="007A2201" w:rsidRDefault="00D62C6E" w:rsidP="00D62C6E"/>
    <w:p w14:paraId="728FDC1F" w14:textId="77777777" w:rsidR="00D62C6E" w:rsidRDefault="00D62C6E" w:rsidP="00D62C6E">
      <w:r w:rsidRPr="007A2201">
        <w:t>Une certaine valeur a été attribuée à chaque critère. Sur la base de l'évaluation de tous ces critères, tenant compte de la valeur attribuée à chacun, l'accord-cadre sera attribué au candidat présentant l'offre régulière économiquement la plus avantageuse du point de vue de l’acheteur.</w:t>
      </w:r>
    </w:p>
    <w:p w14:paraId="13FC95BD" w14:textId="77777777" w:rsidR="00E56D36" w:rsidRDefault="00E56D36" w:rsidP="00D62C6E"/>
    <w:p w14:paraId="5C092C88" w14:textId="77777777" w:rsidR="00E56D36" w:rsidRPr="00E56D36" w:rsidRDefault="00E56D36" w:rsidP="00D62C6E">
      <w:pPr>
        <w:rPr>
          <w:b/>
          <w:bCs/>
          <w:u w:val="single"/>
        </w:rPr>
      </w:pPr>
      <w:r w:rsidRPr="00E56D36">
        <w:rPr>
          <w:b/>
          <w:bCs/>
          <w:u w:val="single"/>
        </w:rPr>
        <w:t xml:space="preserve">Critère Développement durable : </w:t>
      </w:r>
    </w:p>
    <w:p w14:paraId="66FE3213" w14:textId="77777777" w:rsidR="00E56D36" w:rsidRPr="00E56D36" w:rsidRDefault="00E56D36" w:rsidP="00E56D36">
      <w:pPr>
        <w:pStyle w:val="NormalWeb0"/>
        <w:rPr>
          <w:rFonts w:ascii="Calibri" w:eastAsia="Calibri" w:hAnsi="Calibri" w:cs="Calibri"/>
          <w:color w:val="000000"/>
          <w:sz w:val="22"/>
          <w:szCs w:val="22"/>
          <w:lang w:eastAsia="en-US"/>
        </w:rPr>
      </w:pPr>
      <w:r w:rsidRPr="00E56D36">
        <w:rPr>
          <w:rFonts w:ascii="Calibri" w:eastAsia="Calibri" w:hAnsi="Calibri" w:cs="Calibri"/>
          <w:color w:val="000000"/>
          <w:sz w:val="22"/>
          <w:szCs w:val="22"/>
          <w:lang w:eastAsia="en-US"/>
        </w:rPr>
        <w:t>Dans le cadre de la présente consultation, l’acheteur attache une importance particulière à la prise en compte des enjeux de développement durable, au sens de l’article L.3-1 du Code de la commande publique, et notamment à la réduction de l’impact environnemental des prestations objet du marché.</w:t>
      </w:r>
    </w:p>
    <w:p w14:paraId="40D3E67B" w14:textId="77777777" w:rsidR="00E56D36" w:rsidRPr="00E56D36" w:rsidRDefault="00E56D36" w:rsidP="00E56D36">
      <w:pPr>
        <w:pStyle w:val="NormalWeb0"/>
        <w:rPr>
          <w:rFonts w:ascii="Calibri" w:eastAsia="Calibri" w:hAnsi="Calibri" w:cs="Calibri"/>
          <w:color w:val="000000"/>
          <w:sz w:val="22"/>
          <w:szCs w:val="22"/>
          <w:lang w:eastAsia="en-US"/>
        </w:rPr>
      </w:pPr>
      <w:r w:rsidRPr="00E56D36">
        <w:rPr>
          <w:rFonts w:ascii="Calibri" w:eastAsia="Calibri" w:hAnsi="Calibri" w:cs="Calibri"/>
          <w:color w:val="000000"/>
          <w:sz w:val="22"/>
          <w:szCs w:val="22"/>
          <w:lang w:eastAsia="en-US"/>
        </w:rPr>
        <w:t>À ce titre, les offres seront analysées au regard d’un sous-critère “Développement durable”, intégré à la valeur technique de l’offre.</w:t>
      </w:r>
    </w:p>
    <w:p w14:paraId="1C3DE5E3" w14:textId="77777777" w:rsidR="00E56D36" w:rsidRPr="00E56D36" w:rsidRDefault="00E56D36" w:rsidP="00E56D36">
      <w:pPr>
        <w:pStyle w:val="NormalWeb0"/>
        <w:rPr>
          <w:rFonts w:ascii="Calibri" w:eastAsia="Calibri" w:hAnsi="Calibri" w:cs="Calibri"/>
          <w:color w:val="000000"/>
          <w:sz w:val="22"/>
          <w:szCs w:val="22"/>
          <w:lang w:eastAsia="en-US"/>
        </w:rPr>
      </w:pPr>
      <w:r w:rsidRPr="00E56D36">
        <w:rPr>
          <w:rFonts w:ascii="Calibri" w:eastAsia="Calibri" w:hAnsi="Calibri" w:cs="Calibri"/>
          <w:color w:val="000000"/>
          <w:sz w:val="22"/>
          <w:szCs w:val="22"/>
          <w:lang w:eastAsia="en-US"/>
        </w:rPr>
        <w:t xml:space="preserve">Ce sous-critère porte sur la qualité, la pertinence et le caractère opérationnel des mesures proposées par le candidat pour limiter l’empreinte environnementale globale du marché, sur l’ensemble de son cycle de vie </w:t>
      </w:r>
    </w:p>
    <w:p w14:paraId="0DA8E9D8" w14:textId="77777777" w:rsidR="00E56D36" w:rsidRDefault="00E56D36" w:rsidP="00E56D36">
      <w:pPr>
        <w:pStyle w:val="NormalWeb0"/>
        <w:rPr>
          <w:rFonts w:ascii="Calibri" w:eastAsia="Calibri" w:hAnsi="Calibri" w:cs="Calibri"/>
          <w:color w:val="000000"/>
          <w:sz w:val="22"/>
          <w:szCs w:val="22"/>
          <w:lang w:eastAsia="en-US"/>
        </w:rPr>
      </w:pPr>
      <w:r w:rsidRPr="00E56D36">
        <w:rPr>
          <w:rFonts w:ascii="Calibri" w:eastAsia="Calibri" w:hAnsi="Calibri" w:cs="Calibri"/>
          <w:color w:val="000000"/>
          <w:sz w:val="22"/>
          <w:szCs w:val="22"/>
          <w:lang w:eastAsia="en-US"/>
        </w:rPr>
        <w:t>L’évaluation sera réalisée sur la base des éléments fournis par le candidat dans son mémoire technique, et plus particulièrement au regard du cadre de réponse</w:t>
      </w:r>
      <w:r>
        <w:rPr>
          <w:rFonts w:ascii="Calibri" w:eastAsia="Calibri" w:hAnsi="Calibri" w:cs="Calibri"/>
          <w:color w:val="000000"/>
          <w:sz w:val="22"/>
          <w:szCs w:val="22"/>
          <w:lang w:eastAsia="en-US"/>
        </w:rPr>
        <w:t xml:space="preserve"> </w:t>
      </w:r>
      <w:r w:rsidRPr="00E56D36">
        <w:rPr>
          <w:rFonts w:ascii="Calibri" w:eastAsia="Calibri" w:hAnsi="Calibri" w:cs="Calibri"/>
          <w:b/>
          <w:bCs/>
          <w:color w:val="000000"/>
          <w:sz w:val="22"/>
          <w:szCs w:val="22"/>
          <w:lang w:eastAsia="en-US"/>
        </w:rPr>
        <w:t>obligatoire</w:t>
      </w:r>
      <w:r w:rsidRPr="00E56D36">
        <w:rPr>
          <w:rFonts w:ascii="Calibri" w:eastAsia="Calibri" w:hAnsi="Calibri" w:cs="Calibri"/>
          <w:color w:val="000000"/>
          <w:sz w:val="22"/>
          <w:szCs w:val="22"/>
          <w:lang w:eastAsia="en-US"/>
        </w:rPr>
        <w:t xml:space="preserve"> “Développement durable” joint en annexe </w:t>
      </w:r>
      <w:r w:rsidR="00E0761A">
        <w:rPr>
          <w:rFonts w:ascii="Calibri" w:eastAsia="Calibri" w:hAnsi="Calibri" w:cs="Calibri"/>
          <w:color w:val="000000"/>
          <w:sz w:val="22"/>
          <w:szCs w:val="22"/>
          <w:lang w:eastAsia="en-US"/>
        </w:rPr>
        <w:t xml:space="preserve">4 </w:t>
      </w:r>
      <w:r w:rsidRPr="00E56D36">
        <w:rPr>
          <w:rFonts w:ascii="Calibri" w:eastAsia="Calibri" w:hAnsi="Calibri" w:cs="Calibri"/>
          <w:color w:val="000000"/>
          <w:sz w:val="22"/>
          <w:szCs w:val="22"/>
          <w:lang w:eastAsia="en-US"/>
        </w:rPr>
        <w:t>au présent règlement de consultation.</w:t>
      </w:r>
    </w:p>
    <w:p w14:paraId="241FB5AC" w14:textId="77777777" w:rsidR="00E56D36" w:rsidRDefault="00E56D36" w:rsidP="00E56D36">
      <w:pPr>
        <w:pStyle w:val="NormalWeb0"/>
        <w:contextualSpacing/>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 xml:space="preserve">Les candidats veilleront à limiter leur réponse à 4 pages A4 (recto) maximum, sur la base d’une police de caractère type « Calibri » de taille 11. </w:t>
      </w:r>
    </w:p>
    <w:p w14:paraId="6F8955C8" w14:textId="77777777" w:rsidR="00E56D36" w:rsidRDefault="00E56D36" w:rsidP="00E56D36">
      <w:pPr>
        <w:pStyle w:val="NormalWeb0"/>
        <w:contextualSpacing/>
        <w:rPr>
          <w:rFonts w:ascii="Calibri" w:eastAsia="Calibri" w:hAnsi="Calibri" w:cs="Calibri"/>
          <w:b/>
          <w:bCs/>
          <w:color w:val="000000"/>
          <w:sz w:val="22"/>
          <w:szCs w:val="22"/>
          <w:lang w:eastAsia="en-US"/>
        </w:rPr>
      </w:pPr>
      <w:r w:rsidRPr="00E56D36">
        <w:rPr>
          <w:rFonts w:ascii="Calibri" w:eastAsia="Calibri" w:hAnsi="Calibri" w:cs="Calibri"/>
          <w:b/>
          <w:bCs/>
          <w:color w:val="000000"/>
          <w:sz w:val="22"/>
          <w:szCs w:val="22"/>
          <w:u w:val="single"/>
          <w:lang w:eastAsia="en-US"/>
        </w:rPr>
        <w:t>Les réponses ne respectant pas</w:t>
      </w:r>
      <w:r w:rsidR="00C73426">
        <w:rPr>
          <w:rFonts w:ascii="Calibri" w:eastAsia="Calibri" w:hAnsi="Calibri" w:cs="Calibri"/>
          <w:b/>
          <w:bCs/>
          <w:color w:val="000000"/>
          <w:sz w:val="22"/>
          <w:szCs w:val="22"/>
          <w:u w:val="single"/>
          <w:lang w:eastAsia="en-US"/>
        </w:rPr>
        <w:t xml:space="preserve"> le cadre de réponse et</w:t>
      </w:r>
      <w:r w:rsidRPr="00E56D36">
        <w:rPr>
          <w:rFonts w:ascii="Calibri" w:eastAsia="Calibri" w:hAnsi="Calibri" w:cs="Calibri"/>
          <w:b/>
          <w:bCs/>
          <w:color w:val="000000"/>
          <w:sz w:val="22"/>
          <w:szCs w:val="22"/>
          <w:u w:val="single"/>
          <w:lang w:eastAsia="en-US"/>
        </w:rPr>
        <w:t xml:space="preserve"> cette limite ne seront pas étudiées et se verront attribuer une note de 0 sur ce critère</w:t>
      </w:r>
      <w:r w:rsidRPr="00E56D36">
        <w:rPr>
          <w:rFonts w:ascii="Calibri" w:eastAsia="Calibri" w:hAnsi="Calibri" w:cs="Calibri"/>
          <w:b/>
          <w:bCs/>
          <w:color w:val="000000"/>
          <w:sz w:val="22"/>
          <w:szCs w:val="22"/>
          <w:lang w:eastAsia="en-US"/>
        </w:rPr>
        <w:t>.</w:t>
      </w:r>
    </w:p>
    <w:p w14:paraId="02ACD2BF" w14:textId="77777777" w:rsidR="00E56D36" w:rsidRDefault="00E56D36" w:rsidP="00E56D36">
      <w:pPr>
        <w:pStyle w:val="NormalWeb0"/>
        <w:contextualSpacing/>
        <w:rPr>
          <w:rFonts w:ascii="Calibri" w:eastAsia="Calibri" w:hAnsi="Calibri" w:cs="Calibri"/>
          <w:color w:val="000000"/>
          <w:sz w:val="22"/>
          <w:szCs w:val="22"/>
          <w:lang w:eastAsia="en-US"/>
        </w:rPr>
      </w:pPr>
    </w:p>
    <w:p w14:paraId="3B1D8AE1" w14:textId="77777777" w:rsidR="00E56D36" w:rsidRPr="00E56D36" w:rsidRDefault="00E56D36" w:rsidP="00E56D36">
      <w:pPr>
        <w:pStyle w:val="NormalWeb0"/>
        <w:rPr>
          <w:rFonts w:ascii="Calibri" w:eastAsia="Calibri" w:hAnsi="Calibri" w:cs="Calibri"/>
          <w:color w:val="000000"/>
          <w:sz w:val="22"/>
          <w:szCs w:val="22"/>
          <w:lang w:eastAsia="en-US"/>
        </w:rPr>
      </w:pPr>
      <w:r w:rsidRPr="00E56D36">
        <w:rPr>
          <w:rFonts w:ascii="Calibri" w:eastAsia="Calibri" w:hAnsi="Calibri" w:cs="Calibri"/>
          <w:color w:val="000000"/>
          <w:sz w:val="22"/>
          <w:szCs w:val="22"/>
          <w:lang w:eastAsia="en-US"/>
        </w:rPr>
        <w:t>Les engagements présentés devront être :</w:t>
      </w:r>
    </w:p>
    <w:p w14:paraId="7765BAFF" w14:textId="77777777" w:rsidR="00E56D36" w:rsidRPr="00E56D36" w:rsidRDefault="00E56D36" w:rsidP="00E56D36">
      <w:pPr>
        <w:pStyle w:val="NormalWeb0"/>
        <w:numPr>
          <w:ilvl w:val="0"/>
          <w:numId w:val="38"/>
        </w:numPr>
        <w:rPr>
          <w:rFonts w:ascii="Calibri" w:eastAsia="Calibri" w:hAnsi="Calibri" w:cs="Calibri"/>
          <w:color w:val="000000"/>
          <w:sz w:val="22"/>
          <w:szCs w:val="22"/>
          <w:lang w:eastAsia="en-US"/>
        </w:rPr>
      </w:pPr>
      <w:r w:rsidRPr="00E56D36">
        <w:rPr>
          <w:rFonts w:ascii="Calibri" w:eastAsia="Calibri" w:hAnsi="Calibri" w:cs="Calibri"/>
          <w:color w:val="000000"/>
          <w:sz w:val="22"/>
          <w:szCs w:val="22"/>
          <w:lang w:eastAsia="en-US"/>
        </w:rPr>
        <w:t>en lien direct avec l’objet du marché ;</w:t>
      </w:r>
    </w:p>
    <w:p w14:paraId="14C3B0A4" w14:textId="77777777" w:rsidR="00E56D36" w:rsidRPr="00E56D36" w:rsidRDefault="00E56D36" w:rsidP="00E56D36">
      <w:pPr>
        <w:pStyle w:val="NormalWeb0"/>
        <w:numPr>
          <w:ilvl w:val="0"/>
          <w:numId w:val="38"/>
        </w:numPr>
        <w:rPr>
          <w:rFonts w:ascii="Calibri" w:eastAsia="Calibri" w:hAnsi="Calibri" w:cs="Calibri"/>
          <w:color w:val="000000"/>
          <w:sz w:val="22"/>
          <w:szCs w:val="22"/>
          <w:lang w:eastAsia="en-US"/>
        </w:rPr>
      </w:pPr>
      <w:r w:rsidRPr="00E56D36">
        <w:rPr>
          <w:rFonts w:ascii="Calibri" w:eastAsia="Calibri" w:hAnsi="Calibri" w:cs="Calibri"/>
          <w:color w:val="000000"/>
          <w:sz w:val="22"/>
          <w:szCs w:val="22"/>
          <w:lang w:eastAsia="en-US"/>
        </w:rPr>
        <w:t>spécifiques aux prestations proposées pour le Groupe Hospitalier Rance Émeraude ;</w:t>
      </w:r>
    </w:p>
    <w:p w14:paraId="325C3B8D" w14:textId="77777777" w:rsidR="00E56D36" w:rsidRPr="00E56D36" w:rsidRDefault="00E56D36" w:rsidP="00E56D36">
      <w:pPr>
        <w:pStyle w:val="NormalWeb0"/>
        <w:numPr>
          <w:ilvl w:val="0"/>
          <w:numId w:val="38"/>
        </w:numPr>
        <w:rPr>
          <w:rFonts w:ascii="Calibri" w:eastAsia="Calibri" w:hAnsi="Calibri" w:cs="Calibri"/>
          <w:color w:val="000000"/>
          <w:sz w:val="22"/>
          <w:szCs w:val="22"/>
          <w:lang w:eastAsia="en-US"/>
        </w:rPr>
      </w:pPr>
      <w:r w:rsidRPr="00E56D36">
        <w:rPr>
          <w:rFonts w:ascii="Calibri" w:eastAsia="Calibri" w:hAnsi="Calibri" w:cs="Calibri"/>
          <w:color w:val="000000"/>
          <w:sz w:val="22"/>
          <w:szCs w:val="22"/>
          <w:lang w:eastAsia="en-US"/>
        </w:rPr>
        <w:t>assortis d’éléments concrets, mesurables et vérifiables.</w:t>
      </w:r>
    </w:p>
    <w:p w14:paraId="17655E00" w14:textId="77777777" w:rsidR="00E56D36" w:rsidRDefault="00E56D36" w:rsidP="00E56D36">
      <w:pPr>
        <w:pStyle w:val="NormalWeb0"/>
        <w:rPr>
          <w:rFonts w:ascii="Calibri" w:eastAsia="Calibri" w:hAnsi="Calibri" w:cs="Calibri"/>
          <w:color w:val="000000"/>
          <w:sz w:val="22"/>
          <w:szCs w:val="22"/>
          <w:lang w:eastAsia="en-US"/>
        </w:rPr>
      </w:pPr>
      <w:r w:rsidRPr="00E56D36">
        <w:rPr>
          <w:rFonts w:ascii="Calibri" w:eastAsia="Calibri" w:hAnsi="Calibri" w:cs="Calibri"/>
          <w:color w:val="000000"/>
          <w:sz w:val="22"/>
          <w:szCs w:val="22"/>
          <w:lang w:eastAsia="en-US"/>
        </w:rPr>
        <w:t>Les engagements généraux non contextualisés, déclaratifs ou non étayés ne seront pas pris en compte dans l’analyse des offres.</w:t>
      </w:r>
    </w:p>
    <w:p w14:paraId="26D3EE4F" w14:textId="77777777" w:rsidR="00E0761A" w:rsidRPr="00E56D36" w:rsidRDefault="00E0761A" w:rsidP="00E56D36">
      <w:pPr>
        <w:pStyle w:val="NormalWeb0"/>
        <w:rPr>
          <w:rFonts w:ascii="Calibri" w:eastAsia="Calibri" w:hAnsi="Calibri" w:cs="Calibri"/>
          <w:color w:val="000000"/>
          <w:sz w:val="22"/>
          <w:szCs w:val="22"/>
          <w:lang w:eastAsia="en-US"/>
        </w:rPr>
      </w:pPr>
      <w:r>
        <w:rPr>
          <w:rFonts w:ascii="Calibri" w:eastAsia="Calibri" w:hAnsi="Calibri" w:cs="Calibri"/>
          <w:color w:val="000000"/>
          <w:sz w:val="22"/>
          <w:szCs w:val="22"/>
          <w:lang w:eastAsia="en-US"/>
        </w:rPr>
        <w:t>Le candidat veillera à signer et date l’annexe 4.</w:t>
      </w:r>
    </w:p>
    <w:p w14:paraId="2B6A0B0B" w14:textId="77777777" w:rsidR="007A2201" w:rsidRDefault="007A2201" w:rsidP="007A2201">
      <w:pPr>
        <w:pStyle w:val="Titre3"/>
      </w:pPr>
      <w:bookmarkStart w:id="44" w:name="_Toc219977871"/>
      <w:r>
        <w:t>Offres anormalement basses</w:t>
      </w:r>
      <w:bookmarkEnd w:id="44"/>
    </w:p>
    <w:p w14:paraId="1E365D45" w14:textId="77777777" w:rsidR="007A2201" w:rsidRDefault="007A2201" w:rsidP="00D62C6E"/>
    <w:p w14:paraId="26A4E35B" w14:textId="77777777" w:rsidR="00D62C6E" w:rsidRPr="007A2201" w:rsidRDefault="00D62C6E" w:rsidP="00D62C6E">
      <w:r w:rsidRPr="007A2201">
        <w:t>Si une offre lui paraît anormalement basse, l’acheteur demandera au soumissionnaire d'apporter les précisions et justifications permettant de démontrer que l'offre présentée n'est pas anormalement basse, en application des articles L. 2152-5 à L. 2152-6 et R. 2152-3 à R. 2152-5 du code de la commande publique.</w:t>
      </w:r>
    </w:p>
    <w:p w14:paraId="1EB2D1E2" w14:textId="77777777" w:rsidR="00D62C6E" w:rsidRPr="007A2201" w:rsidRDefault="00D62C6E" w:rsidP="00D62C6E"/>
    <w:p w14:paraId="4D2A8AF1" w14:textId="77777777" w:rsidR="00D62C6E" w:rsidRDefault="00D62C6E" w:rsidP="00D62C6E">
      <w:r w:rsidRPr="007A2201">
        <w:t>Si les éléments produits par le soumissionnaire ne permettent pas de justifier de manière satisfaisante le bas niveau des prix proposés ou si le soumissionnaire se trouve dans l'un des cas précisés aux articles R. 2152-4 ou R. 2152-5 du code de la commande publique, son offre est rejetée.</w:t>
      </w:r>
    </w:p>
    <w:p w14:paraId="74211019" w14:textId="77777777" w:rsidR="007A2201" w:rsidRDefault="007A2201" w:rsidP="00D62C6E"/>
    <w:p w14:paraId="3373730A" w14:textId="77777777" w:rsidR="00E0761A" w:rsidRDefault="00E0761A" w:rsidP="00D62C6E"/>
    <w:p w14:paraId="6F110618" w14:textId="77777777" w:rsidR="007A2201" w:rsidRDefault="007A2201" w:rsidP="007A2201">
      <w:pPr>
        <w:pStyle w:val="Titre3"/>
      </w:pPr>
      <w:bookmarkStart w:id="45" w:name="_Toc219977872"/>
      <w:r>
        <w:lastRenderedPageBreak/>
        <w:t>Entretiens et visites de présentation des solutions</w:t>
      </w:r>
      <w:bookmarkEnd w:id="45"/>
    </w:p>
    <w:p w14:paraId="7B23C126" w14:textId="77777777" w:rsidR="007A2201" w:rsidRDefault="007A2201" w:rsidP="007A2201"/>
    <w:p w14:paraId="25B5C784" w14:textId="77777777" w:rsidR="007A2201" w:rsidRDefault="007A2201" w:rsidP="007A2201">
      <w:r>
        <w:t>Après une première analyse des offres sur la base des critères définis au présent article, l’acheteur se réserve la possibilité, s’il le juge utile, d’inviter jusqu’à trois candidats classés aux meilleures places à un entretien de présentation de leur offre.</w:t>
      </w:r>
    </w:p>
    <w:p w14:paraId="49B3DE68" w14:textId="77777777" w:rsidR="007A2201" w:rsidRPr="00E67898" w:rsidRDefault="007A2201" w:rsidP="007A2201">
      <w:pPr>
        <w:pStyle w:val="NormalWeb0"/>
        <w:rPr>
          <w:rFonts w:ascii="Calibri" w:eastAsia="Calibri" w:hAnsi="Calibri" w:cs="Calibri"/>
          <w:sz w:val="22"/>
          <w:szCs w:val="22"/>
          <w:lang w:eastAsia="en-US"/>
        </w:rPr>
      </w:pPr>
      <w:r w:rsidRPr="00E67898">
        <w:rPr>
          <w:rFonts w:ascii="Calibri" w:eastAsia="Calibri" w:hAnsi="Calibri" w:cs="Calibri"/>
          <w:sz w:val="22"/>
          <w:szCs w:val="22"/>
          <w:lang w:eastAsia="en-US"/>
        </w:rPr>
        <w:t>Lorsque l’écart de notation globale entre le candidat classé en première position et le candidat classé en troisième position est supérieur ou égal à 1</w:t>
      </w:r>
      <w:r w:rsidR="00E67898" w:rsidRPr="00E67898">
        <w:rPr>
          <w:rFonts w:ascii="Calibri" w:eastAsia="Calibri" w:hAnsi="Calibri" w:cs="Calibri"/>
          <w:sz w:val="22"/>
          <w:szCs w:val="22"/>
          <w:lang w:eastAsia="en-US"/>
        </w:rPr>
        <w:t>5</w:t>
      </w:r>
      <w:r w:rsidRPr="00E67898">
        <w:rPr>
          <w:rFonts w:ascii="Calibri" w:eastAsia="Calibri" w:hAnsi="Calibri" w:cs="Calibri"/>
          <w:sz w:val="22"/>
          <w:szCs w:val="22"/>
          <w:lang w:eastAsia="en-US"/>
        </w:rPr>
        <w:t xml:space="preserve"> points sur 100, le nombre de candidats invités pourra être limité aux deux candidats les mieux classés.</w:t>
      </w:r>
    </w:p>
    <w:p w14:paraId="14681240" w14:textId="77777777" w:rsidR="007A2201" w:rsidRPr="00E67898" w:rsidRDefault="007A2201" w:rsidP="007A2201">
      <w:pPr>
        <w:pStyle w:val="NormalWeb0"/>
        <w:rPr>
          <w:rFonts w:ascii="Calibri" w:eastAsia="Calibri" w:hAnsi="Calibri" w:cs="Calibri"/>
          <w:sz w:val="22"/>
          <w:szCs w:val="22"/>
          <w:lang w:eastAsia="en-US"/>
        </w:rPr>
      </w:pPr>
      <w:r w:rsidRPr="00E67898">
        <w:rPr>
          <w:rFonts w:ascii="Calibri" w:eastAsia="Calibri" w:hAnsi="Calibri" w:cs="Calibri"/>
          <w:sz w:val="22"/>
          <w:szCs w:val="22"/>
          <w:lang w:eastAsia="en-US"/>
        </w:rPr>
        <w:t>En outre, lorsque l’écart de notation globale entre le candidat classé en première position et le candidat classé en deuxième position est supérieur ou égal à 1</w:t>
      </w:r>
      <w:r w:rsidR="00E67898" w:rsidRPr="00E67898">
        <w:rPr>
          <w:rFonts w:ascii="Calibri" w:eastAsia="Calibri" w:hAnsi="Calibri" w:cs="Calibri"/>
          <w:sz w:val="22"/>
          <w:szCs w:val="22"/>
          <w:lang w:eastAsia="en-US"/>
        </w:rPr>
        <w:t>5</w:t>
      </w:r>
      <w:r w:rsidRPr="00E67898">
        <w:rPr>
          <w:rFonts w:ascii="Calibri" w:eastAsia="Calibri" w:hAnsi="Calibri" w:cs="Calibri"/>
          <w:sz w:val="22"/>
          <w:szCs w:val="22"/>
          <w:lang w:eastAsia="en-US"/>
        </w:rPr>
        <w:t xml:space="preserve"> points sur 100, l’acheteur pourra décider de ne pas organiser d’entretien ni de visite, l’analyse des offres étant alors regardée comme suffisante pour procéder à l’attribution du marché.</w:t>
      </w:r>
    </w:p>
    <w:p w14:paraId="7790EC40" w14:textId="77777777" w:rsidR="007A2201" w:rsidRDefault="007A2201" w:rsidP="007A2201">
      <w:r>
        <w:t>Les entretiens et visites éventuels ne constituent ni une négociation, ni une phase de modification des offres. Ils ont pour seul objet de compléter l’analyse des offres au regard des critères d’attribution.</w:t>
      </w:r>
    </w:p>
    <w:p w14:paraId="0DC44CA3" w14:textId="77777777" w:rsidR="00C73426" w:rsidRDefault="00C73426" w:rsidP="007A2201"/>
    <w:p w14:paraId="3EBCC695" w14:textId="77777777" w:rsidR="00D62C6E" w:rsidRPr="007A2201" w:rsidRDefault="00D62C6E" w:rsidP="00D62C6E">
      <w:pPr>
        <w:pStyle w:val="Titre2"/>
      </w:pPr>
      <w:bookmarkStart w:id="46" w:name="_Toc129356576"/>
      <w:bookmarkStart w:id="47" w:name="_Toc219977873"/>
      <w:r w:rsidRPr="007A2201">
        <w:t>Modalités de remise des plis</w:t>
      </w:r>
      <w:bookmarkEnd w:id="46"/>
      <w:bookmarkEnd w:id="47"/>
    </w:p>
    <w:p w14:paraId="6B1B12E6" w14:textId="77777777" w:rsidR="00C73426" w:rsidRDefault="00C73426" w:rsidP="00D62C6E"/>
    <w:p w14:paraId="08B0FA6B" w14:textId="77777777" w:rsidR="00D62C6E" w:rsidRPr="007A2201" w:rsidRDefault="00D62C6E" w:rsidP="00D62C6E">
      <w:r w:rsidRPr="007A2201">
        <w:t>Les plis doivent être remis au plus tard à la date et l’heure mentionnées en page de garde du présent document. Les plis déposés postérieurement seront considérés comme étant hors délai.</w:t>
      </w:r>
    </w:p>
    <w:p w14:paraId="08838DE7" w14:textId="77777777" w:rsidR="00D62C6E" w:rsidRPr="007A2201" w:rsidRDefault="00D62C6E" w:rsidP="00D62C6E">
      <w:pPr>
        <w:rPr>
          <w:highlight w:val="magenta"/>
        </w:rPr>
      </w:pPr>
    </w:p>
    <w:p w14:paraId="39E77EC8" w14:textId="77777777" w:rsidR="00D62C6E" w:rsidRPr="007A2201" w:rsidRDefault="00D62C6E" w:rsidP="00D62C6E">
      <w:pPr>
        <w:rPr>
          <w:highlight w:val="magenta"/>
        </w:rPr>
      </w:pPr>
      <w:r w:rsidRPr="007A2201">
        <w:rPr>
          <w:shd w:val="clear" w:color="auto" w:fill="FFFFFF"/>
        </w:rPr>
        <w:t>Conformément aux articles R.2132-7 et R.2132-8 du Code de la commande publique, les candidats devront </w:t>
      </w:r>
      <w:r w:rsidRPr="007A2201">
        <w:rPr>
          <w:b/>
          <w:shd w:val="clear" w:color="auto" w:fill="FFFFFF"/>
        </w:rPr>
        <w:t>obligatoirement</w:t>
      </w:r>
      <w:r w:rsidRPr="007A2201">
        <w:rPr>
          <w:shd w:val="clear" w:color="auto" w:fill="FFFFFF"/>
        </w:rPr>
        <w:t xml:space="preserve"> transmettre leurs propositions de manière électronique.</w:t>
      </w:r>
    </w:p>
    <w:p w14:paraId="00F78A6A" w14:textId="77777777" w:rsidR="00D62C6E" w:rsidRPr="007A2201" w:rsidRDefault="00D62C6E" w:rsidP="00D62C6E"/>
    <w:p w14:paraId="3385AA1F" w14:textId="77777777" w:rsidR="00D62C6E" w:rsidRPr="007A2201" w:rsidRDefault="00D62C6E" w:rsidP="00D62C6E">
      <w:pPr>
        <w:rPr>
          <w:b/>
          <w:u w:val="single"/>
        </w:rPr>
      </w:pPr>
      <w:r w:rsidRPr="007A2201">
        <w:rPr>
          <w:b/>
          <w:u w:val="single"/>
        </w:rPr>
        <w:t>Transmission par voie électronique</w:t>
      </w:r>
    </w:p>
    <w:p w14:paraId="29DC4826" w14:textId="77777777" w:rsidR="00D62C6E" w:rsidRPr="007A2201" w:rsidRDefault="00D62C6E" w:rsidP="00D62C6E">
      <w:pPr>
        <w:rPr>
          <w:rFonts w:cs="Tahoma"/>
        </w:rPr>
      </w:pPr>
      <w:r w:rsidRPr="007A2201">
        <w:t>Les candidats devront tenir compte des indications suivantes, afin de garantir au mieux le bon déroulement de cette procédure dématérialisée.</w:t>
      </w:r>
    </w:p>
    <w:p w14:paraId="02C89377" w14:textId="77777777" w:rsidR="00D62C6E" w:rsidRPr="007A2201" w:rsidRDefault="00D62C6E" w:rsidP="00D62C6E"/>
    <w:p w14:paraId="63CDFA28" w14:textId="77777777" w:rsidR="00D62C6E" w:rsidRPr="007A2201" w:rsidRDefault="00D62C6E" w:rsidP="00D62C6E">
      <w:r w:rsidRPr="007A2201">
        <w:t>La plate-forme de dématérialisation à utiliser pour la remise des offres est la suivante : https://www.marches-publics.gouv.fr/entreprise</w:t>
      </w:r>
    </w:p>
    <w:p w14:paraId="7002C262" w14:textId="77777777" w:rsidR="00D62C6E" w:rsidRPr="007A2201" w:rsidRDefault="00D62C6E" w:rsidP="00D62C6E">
      <w:pPr>
        <w:rPr>
          <w:rFonts w:cs="Tahoma"/>
        </w:rPr>
      </w:pPr>
    </w:p>
    <w:p w14:paraId="34E82DB3" w14:textId="77777777" w:rsidR="00D62C6E" w:rsidRPr="007A2201" w:rsidRDefault="00D62C6E" w:rsidP="00D62C6E">
      <w:r w:rsidRPr="007A2201">
        <w:t>La liste des formats de fichiers acceptés est la suivante :</w:t>
      </w:r>
    </w:p>
    <w:p w14:paraId="4A2E0EDC" w14:textId="77777777" w:rsidR="00D62C6E" w:rsidRPr="007A2201" w:rsidRDefault="00D62C6E" w:rsidP="00D62C6E">
      <w:pPr>
        <w:rPr>
          <w:rFonts w:cs="Tahoma"/>
        </w:rPr>
      </w:pPr>
      <w:r w:rsidRPr="007A2201">
        <w:t>- Portable Document Format (Adobe .pdf),</w:t>
      </w:r>
    </w:p>
    <w:p w14:paraId="63FCD7CD" w14:textId="77777777" w:rsidR="00D62C6E" w:rsidRPr="007A2201" w:rsidRDefault="00D62C6E" w:rsidP="00D62C6E">
      <w:pPr>
        <w:rPr>
          <w:rFonts w:cs="Tahoma"/>
        </w:rPr>
      </w:pPr>
      <w:r w:rsidRPr="007A2201">
        <w:t>- Rich Text Format (.rtf),</w:t>
      </w:r>
    </w:p>
    <w:p w14:paraId="75EFB10E" w14:textId="77777777" w:rsidR="00D62C6E" w:rsidRPr="007A2201" w:rsidRDefault="00D62C6E" w:rsidP="00D62C6E">
      <w:pPr>
        <w:rPr>
          <w:rFonts w:cs="Tahoma"/>
        </w:rPr>
      </w:pPr>
      <w:r w:rsidRPr="007A2201">
        <w:t>- Compressés (exemples d’extensions : .zip, .rar),</w:t>
      </w:r>
    </w:p>
    <w:p w14:paraId="07686146" w14:textId="77777777" w:rsidR="00D62C6E" w:rsidRPr="007A2201" w:rsidRDefault="00D62C6E" w:rsidP="00D62C6E">
      <w:pPr>
        <w:rPr>
          <w:rFonts w:cs="Tahoma"/>
        </w:rPr>
      </w:pPr>
      <w:r w:rsidRPr="007A2201">
        <w:t>- Applications bureautiques (exemples d’extensions : .doc, .xls, .pwt, .pub, .mdb),</w:t>
      </w:r>
    </w:p>
    <w:p w14:paraId="4A685F38" w14:textId="77777777" w:rsidR="00D62C6E" w:rsidRPr="007A2201" w:rsidRDefault="00D62C6E" w:rsidP="00D62C6E">
      <w:pPr>
        <w:rPr>
          <w:rFonts w:cs="Tahoma"/>
        </w:rPr>
      </w:pPr>
      <w:r w:rsidRPr="007A2201">
        <w:t>- Multimédias (exemples d’extensions : gif, .jpg, .png).</w:t>
      </w:r>
    </w:p>
    <w:p w14:paraId="2119C84E" w14:textId="77777777" w:rsidR="00D62C6E" w:rsidRPr="007A2201" w:rsidRDefault="00D62C6E" w:rsidP="00D62C6E">
      <w:pPr>
        <w:rPr>
          <w:rFonts w:cs="Tahoma"/>
        </w:rPr>
      </w:pPr>
    </w:p>
    <w:p w14:paraId="75260D75" w14:textId="77777777" w:rsidR="00D62C6E" w:rsidRPr="007A2201" w:rsidRDefault="00D62C6E" w:rsidP="00D62C6E">
      <w:pPr>
        <w:rPr>
          <w:rFonts w:cs="Tahoma"/>
        </w:rPr>
      </w:pPr>
      <w:r w:rsidRPr="007A2201">
        <w:t>Les documents nécessitant une signature, transmis par voie dématérialisée, sont de préférence signés individuellement par le candidat au moyen d’un certificat de signature électronique conforme au format XAdES, CAdES ou PAdES. Les certificats de type RGS peuvent encore être utilisés après le 1er octobre 2018 pour le temps de leur validité.</w:t>
      </w:r>
    </w:p>
    <w:p w14:paraId="4FDF3963" w14:textId="77777777" w:rsidR="00D62C6E" w:rsidRPr="007A2201" w:rsidRDefault="00D62C6E" w:rsidP="00D62C6E">
      <w:pPr>
        <w:rPr>
          <w:rFonts w:cs="Tahoma"/>
        </w:rPr>
      </w:pPr>
    </w:p>
    <w:p w14:paraId="41A97CC8" w14:textId="77777777" w:rsidR="00D62C6E" w:rsidRPr="007A2201" w:rsidRDefault="00D62C6E" w:rsidP="00D62C6E">
      <w:pPr>
        <w:rPr>
          <w:rFonts w:cs="Tahoma"/>
        </w:rPr>
      </w:pPr>
      <w:r w:rsidRPr="007A2201">
        <w:t>Le cas échéant, les documents transmis par voie électronique pourront être rematérialisés après l’ouverture des plis pour signature. Les candidats sont informés que les pièces non signées électroniquement pourront être rematérialisées et signées manuscritement après l’attribution. Dans cette hypothèse, l’attributaire désigné s’engage à signer l’acte d’engagement et toutes autres pièces éventuelles conformément à l’offre remise ou négociée.</w:t>
      </w:r>
    </w:p>
    <w:p w14:paraId="1E24DB20" w14:textId="77777777" w:rsidR="00D62C6E" w:rsidRPr="007A2201" w:rsidRDefault="00D62C6E" w:rsidP="00D62C6E">
      <w:pPr>
        <w:rPr>
          <w:rFonts w:cs="Tahoma"/>
        </w:rPr>
      </w:pPr>
    </w:p>
    <w:p w14:paraId="06F725A2" w14:textId="77777777" w:rsidR="00D62C6E" w:rsidRPr="007A2201" w:rsidRDefault="00D62C6E" w:rsidP="00D62C6E">
      <w:pPr>
        <w:rPr>
          <w:rFonts w:cs="Tahoma"/>
        </w:rPr>
      </w:pPr>
      <w:r w:rsidRPr="007A2201">
        <w:lastRenderedPageBreak/>
        <w:t>Les frais d’accès au réseau et de recours à la signature électronique sont à la charge de chaque candidat.</w:t>
      </w:r>
    </w:p>
    <w:p w14:paraId="526B6482" w14:textId="77777777" w:rsidR="00D62C6E" w:rsidRPr="007A2201" w:rsidRDefault="00D62C6E" w:rsidP="00D62C6E">
      <w:pPr>
        <w:rPr>
          <w:highlight w:val="yellow"/>
        </w:rPr>
      </w:pPr>
    </w:p>
    <w:p w14:paraId="7CFBB2F4" w14:textId="77777777" w:rsidR="00D62C6E" w:rsidRPr="007A2201" w:rsidRDefault="00D62C6E" w:rsidP="00D62C6E">
      <w:pPr>
        <w:rPr>
          <w:b/>
          <w:bCs/>
          <w:u w:val="single"/>
        </w:rPr>
      </w:pPr>
      <w:r w:rsidRPr="007A2201">
        <w:rPr>
          <w:b/>
          <w:bCs/>
          <w:u w:val="single"/>
        </w:rPr>
        <w:t>Copie de sauvegarde</w:t>
      </w:r>
    </w:p>
    <w:p w14:paraId="5F0D31C6" w14:textId="77777777" w:rsidR="00D62C6E" w:rsidRPr="007A2201" w:rsidRDefault="00D62C6E" w:rsidP="00D62C6E">
      <w:r w:rsidRPr="007A2201">
        <w:t>Il est rappelé que le candidat peut, s’il le souhaite, faire parvenir une copie de sauvegarde dans les délais impartis pour la remise des candidatures ou des offres soit sur un support papier ou sur support physique électronique, soit par voie électronique.</w:t>
      </w:r>
    </w:p>
    <w:p w14:paraId="183B71F1" w14:textId="77777777" w:rsidR="00D62C6E" w:rsidRPr="007A2201" w:rsidRDefault="00D62C6E" w:rsidP="00D62C6E"/>
    <w:p w14:paraId="3B8EEB70" w14:textId="77777777" w:rsidR="00D62C6E" w:rsidRPr="007A2201" w:rsidRDefault="00D62C6E" w:rsidP="00D62C6E">
      <w:r w:rsidRPr="007A2201">
        <w:t>La copie de sauvegarde transmise à l'acheteur ou à l'autorité concédante sur support papier ou sur support physique électronique doit être placée dans un pli comportant la mention “ copie de sauvegarde ”.</w:t>
      </w:r>
    </w:p>
    <w:p w14:paraId="74EB0D10" w14:textId="77777777" w:rsidR="00D62C6E" w:rsidRPr="007A2201" w:rsidRDefault="00D62C6E" w:rsidP="00D62C6E"/>
    <w:p w14:paraId="786115CC" w14:textId="77777777" w:rsidR="00D62C6E" w:rsidRPr="007A2201" w:rsidRDefault="00D62C6E" w:rsidP="00D62C6E">
      <w:r w:rsidRPr="007A2201">
        <w:t>La copie de sauvegarde adressée par voie électronique est transmise au moyen d'outils et de dispositifs conformes aux exigences minimales des moyens de communication électronique prévus par les dispositions de l'arrêté du 22 mars 2019 relatif aux exigences minimales des moyens de communication électronique utilisés dans la commande publique (annexe 8 du code de la commande publique).</w:t>
      </w:r>
    </w:p>
    <w:p w14:paraId="3F8E1E08" w14:textId="77777777" w:rsidR="00D62C6E" w:rsidRPr="007A2201" w:rsidRDefault="00D62C6E" w:rsidP="00D62C6E"/>
    <w:p w14:paraId="4A22FA8A" w14:textId="77777777" w:rsidR="00D62C6E" w:rsidRPr="007A2201" w:rsidRDefault="00D62C6E" w:rsidP="00D62C6E">
      <w:r w:rsidRPr="007A2201">
        <w:t>Lorsqu'un programme informatique malveillant est détecté dans la copie de sauvegarde, celle-ci est écartée par l'acheteur ou l'autorité concédante.</w:t>
      </w:r>
    </w:p>
    <w:p w14:paraId="3AF24D9C" w14:textId="77777777" w:rsidR="00D62C6E" w:rsidRPr="007A2201" w:rsidRDefault="00D62C6E" w:rsidP="00D62C6E">
      <w:pPr>
        <w:pStyle w:val="Titre2"/>
      </w:pPr>
      <w:bookmarkStart w:id="48" w:name="_Toc145480449"/>
      <w:bookmarkStart w:id="49" w:name="_Toc219977874"/>
      <w:r w:rsidRPr="007A2201">
        <w:t>Attribution de l'accord-cadre</w:t>
      </w:r>
      <w:bookmarkEnd w:id="49"/>
    </w:p>
    <w:p w14:paraId="7C982C77" w14:textId="77777777" w:rsidR="00D62C6E" w:rsidRPr="007A2201" w:rsidRDefault="00D62C6E" w:rsidP="00D62C6E">
      <w:r w:rsidRPr="007A2201">
        <w:t>Au terme de la procédure, l’acheteur demandera à l’opérateur économique ou au mandataire du groupement d’opérateurs auquel il est envisagé d’attribuer l'accord-cadre de lui retourner :</w:t>
      </w:r>
    </w:p>
    <w:p w14:paraId="74EEC66A" w14:textId="77777777" w:rsidR="00D62C6E" w:rsidRPr="007A2201" w:rsidRDefault="00D62C6E" w:rsidP="00D62C6E"/>
    <w:p w14:paraId="073ED403" w14:textId="77777777" w:rsidR="00D62C6E" w:rsidRPr="007A2201" w:rsidRDefault="00D62C6E" w:rsidP="00D62C6E">
      <w:r w:rsidRPr="007A2201">
        <w:t>- L’acte d’engagement dûment rempli, daté et signé par la personne habilitée à engager la société.</w:t>
      </w:r>
    </w:p>
    <w:p w14:paraId="1058222D" w14:textId="77777777" w:rsidR="00D62C6E" w:rsidRPr="007A2201" w:rsidRDefault="00D62C6E" w:rsidP="00D62C6E"/>
    <w:p w14:paraId="2023DCD6" w14:textId="77777777" w:rsidR="00D62C6E" w:rsidRPr="007A2201" w:rsidRDefault="00D62C6E" w:rsidP="00D62C6E">
      <w:r w:rsidRPr="007A2201">
        <w:t>- Les attestations d’assurance reprises dans le CCAP</w:t>
      </w:r>
    </w:p>
    <w:p w14:paraId="1ADBB1F8" w14:textId="77777777" w:rsidR="00D62C6E" w:rsidRPr="007A2201" w:rsidRDefault="00D62C6E" w:rsidP="00D62C6E"/>
    <w:p w14:paraId="794741B8" w14:textId="77777777" w:rsidR="00D62C6E" w:rsidRPr="007A2201" w:rsidRDefault="00D62C6E" w:rsidP="00D62C6E">
      <w:r w:rsidRPr="007A2201">
        <w:t>- Les documents justificatifs visés aux articles R. 2143-6 à R. 2143-10 du Code de la commande publique. Le cas échéant, il sera fait application des articles R. 2143-13 et R. 2143-15 du Code de la commande publique.</w:t>
      </w:r>
    </w:p>
    <w:p w14:paraId="3DB12CC0" w14:textId="77777777" w:rsidR="00D62C6E" w:rsidRPr="007A2201" w:rsidRDefault="00D62C6E" w:rsidP="00D62C6E"/>
    <w:p w14:paraId="510E93CC" w14:textId="77777777" w:rsidR="00D62C6E" w:rsidRPr="007A2201" w:rsidRDefault="00D62C6E" w:rsidP="00D62C6E">
      <w:r w:rsidRPr="007A2201">
        <w:t>Lors de la conclusion de l'accord-cadre et tous les 6 mois jusqu'à la fin de celui-ci, il sera demandé au titulaire de l'accord-cadre de fournir une attestation de vigilance afin de prouver qu'il respecte les règles applicables en matière de lutte contre le travail dissimulé.</w:t>
      </w:r>
      <w:bookmarkEnd w:id="48"/>
      <w:r w:rsidRPr="007A2201">
        <w:t xml:space="preserve"> </w:t>
      </w:r>
    </w:p>
    <w:p w14:paraId="3748CEFA" w14:textId="77777777" w:rsidR="00D62C6E" w:rsidRPr="007A2201" w:rsidRDefault="00D62C6E" w:rsidP="00D62C6E">
      <w:pPr>
        <w:pStyle w:val="Titre2"/>
      </w:pPr>
      <w:bookmarkStart w:id="50" w:name="_Toc129356580"/>
      <w:bookmarkStart w:id="51" w:name="_Toc219977875"/>
      <w:r w:rsidRPr="007A2201">
        <w:t>Litiges et différends</w:t>
      </w:r>
      <w:bookmarkEnd w:id="50"/>
      <w:bookmarkEnd w:id="51"/>
      <w:r w:rsidRPr="007A2201">
        <w:t xml:space="preserve"> </w:t>
      </w:r>
    </w:p>
    <w:p w14:paraId="7F392CCD" w14:textId="77777777" w:rsidR="00D62C6E" w:rsidRPr="007A2201" w:rsidRDefault="00D62C6E" w:rsidP="00D62C6E">
      <w:r w:rsidRPr="007A2201">
        <w:t>En cas de litige, les coordonnées du service auprès duquel des renseignements peuvent être obtenus concernant l’introduction des recours et de l’instance chargée des procédures de recours sont les suivantes :</w:t>
      </w:r>
    </w:p>
    <w:p w14:paraId="4F78A876" w14:textId="77777777" w:rsidR="00D62C6E" w:rsidRPr="007A2201" w:rsidRDefault="00D62C6E" w:rsidP="00D62C6E">
      <w:r w:rsidRPr="007A2201">
        <w:t>Tribunal administratif de Rennes</w:t>
      </w:r>
    </w:p>
    <w:p w14:paraId="62E39799" w14:textId="77777777" w:rsidR="00D62C6E" w:rsidRPr="007A2201" w:rsidRDefault="00D62C6E" w:rsidP="00D62C6E">
      <w:r w:rsidRPr="007A2201">
        <w:t>Tél. : 0223212828</w:t>
      </w:r>
    </w:p>
    <w:p w14:paraId="503BB587" w14:textId="77777777" w:rsidR="00D62C6E" w:rsidRPr="007A2201" w:rsidRDefault="00D62C6E" w:rsidP="00D62C6E">
      <w:r w:rsidRPr="007A2201">
        <w:t>Fax : 0299635684</w:t>
      </w:r>
    </w:p>
    <w:p w14:paraId="1DAFD9EE" w14:textId="77777777" w:rsidR="00D62C6E" w:rsidRDefault="00D62C6E" w:rsidP="00D62C6E">
      <w:r w:rsidRPr="007A2201">
        <w:t xml:space="preserve">Email : </w:t>
      </w:r>
      <w:hyperlink r:id="rId22" w:history="1">
        <w:r w:rsidR="007A2201" w:rsidRPr="00736B66">
          <w:rPr>
            <w:rStyle w:val="Lienhypertexte"/>
          </w:rPr>
          <w:t>greffe.ta-rennes@juradm.fr</w:t>
        </w:r>
      </w:hyperlink>
    </w:p>
    <w:p w14:paraId="7E4849C9" w14:textId="77777777" w:rsidR="007A2201" w:rsidRPr="007A2201" w:rsidRDefault="007A2201" w:rsidP="007A2201">
      <w:pPr>
        <w:spacing w:line="276" w:lineRule="auto"/>
        <w:ind w:right="20"/>
        <w:rPr>
          <w:rFonts w:eastAsia="Trebuchet MS" w:cs="Trebuchet MS"/>
        </w:rPr>
      </w:pPr>
      <w:r w:rsidRPr="007A2201">
        <w:rPr>
          <w:rFonts w:eastAsia="Trebuchet MS" w:cs="Trebuchet MS"/>
        </w:rPr>
        <w:t xml:space="preserve">Adresse internet (U.R.L) : </w:t>
      </w:r>
      <w:hyperlink r:id="rId23" w:history="1">
        <w:r w:rsidRPr="007A2201">
          <w:rPr>
            <w:rStyle w:val="Lienhypertexte"/>
            <w:rFonts w:eastAsia="Trebuchet MS" w:cs="Trebuchet MS"/>
          </w:rPr>
          <w:t>http://www.ta-rennes.juradm.fr/</w:t>
        </w:r>
      </w:hyperlink>
    </w:p>
    <w:p w14:paraId="3643AB6A" w14:textId="77777777" w:rsidR="007A2201" w:rsidRDefault="007A2201" w:rsidP="00D62C6E"/>
    <w:p w14:paraId="5D13E409" w14:textId="77777777" w:rsidR="007A2201" w:rsidRPr="007A2201" w:rsidRDefault="007A2201" w:rsidP="007A2201">
      <w:r w:rsidRPr="007A2201">
        <w:t xml:space="preserve">Le tribunal administratif peut également être saisi par l'application Télérecours Citoyens accessible via le site internet </w:t>
      </w:r>
      <w:r w:rsidRPr="007A2201">
        <w:rPr>
          <w:b/>
          <w:bCs/>
        </w:rPr>
        <w:t>www.telerecours.fr</w:t>
      </w:r>
      <w:r w:rsidRPr="007A2201">
        <w:t>.</w:t>
      </w:r>
    </w:p>
    <w:p w14:paraId="5F202800" w14:textId="77777777" w:rsidR="00D62C6E" w:rsidRPr="007A2201" w:rsidRDefault="00D62C6E" w:rsidP="00D62C6E"/>
    <w:p w14:paraId="6FAB7611" w14:textId="77777777" w:rsidR="00D62C6E" w:rsidRPr="007A2201" w:rsidRDefault="00D62C6E" w:rsidP="00D62C6E">
      <w:r w:rsidRPr="007A2201">
        <w:t>Les coordonnées de l’instance chargée des procédures de médiation sont les suivantes</w:t>
      </w:r>
      <w:r w:rsidR="007A2201">
        <w:t xml:space="preserve"> </w:t>
      </w:r>
      <w:r w:rsidRPr="007A2201">
        <w:t>:</w:t>
      </w:r>
    </w:p>
    <w:p w14:paraId="1FDD63DD" w14:textId="77777777" w:rsidR="007A2201" w:rsidRPr="007A2201" w:rsidRDefault="007A2201" w:rsidP="007A2201">
      <w:r w:rsidRPr="007A2201">
        <w:t>Comité Consultatif Interrégional pour le règlement amiable des marchés publics</w:t>
      </w:r>
    </w:p>
    <w:p w14:paraId="0B4CC82A" w14:textId="77777777" w:rsidR="007A2201" w:rsidRPr="007A2201" w:rsidRDefault="007A2201" w:rsidP="007A2201">
      <w:r w:rsidRPr="007A2201">
        <w:t>22 Mail Pablo Picasso - 44042 NANTES</w:t>
      </w:r>
    </w:p>
    <w:p w14:paraId="1BA7B38D" w14:textId="77777777" w:rsidR="007A2201" w:rsidRPr="007A2201" w:rsidRDefault="007A2201" w:rsidP="007A2201">
      <w:r>
        <w:t>Tel</w:t>
      </w:r>
      <w:r w:rsidRPr="007A2201">
        <w:t xml:space="preserve"> : 0253467983</w:t>
      </w:r>
    </w:p>
    <w:p w14:paraId="0B9FD5DC" w14:textId="77777777" w:rsidR="007A2201" w:rsidRDefault="007A2201" w:rsidP="007A2201">
      <w:r>
        <w:lastRenderedPageBreak/>
        <w:t xml:space="preserve">Email </w:t>
      </w:r>
      <w:r w:rsidRPr="007A2201">
        <w:t xml:space="preserve">: </w:t>
      </w:r>
      <w:hyperlink r:id="rId24" w:history="1">
        <w:r w:rsidRPr="007A2201">
          <w:t>Paysdl.ccira@direccte.gouv</w:t>
        </w:r>
      </w:hyperlink>
    </w:p>
    <w:p w14:paraId="0DDBFDCA" w14:textId="77777777" w:rsidR="007A2201" w:rsidRDefault="007A2201" w:rsidP="007A2201">
      <w:pPr>
        <w:rPr>
          <w:rStyle w:val="Lienhypertexte"/>
          <w:rFonts w:eastAsia="Trebuchet MS"/>
        </w:rPr>
      </w:pPr>
    </w:p>
    <w:p w14:paraId="4BA3EFF2" w14:textId="77777777" w:rsidR="00D62C6E" w:rsidRPr="007A2201" w:rsidRDefault="00D62C6E" w:rsidP="007A2201">
      <w:r w:rsidRPr="007A2201">
        <w:t>Les candidats non retenus sont avisés via la plateforme PLACE du résultat et disposent d’un délai de suspension de 11 jours à compter de l’envoi de la lettre de rejet avant la signature du marché, pour introduire un référé précontractuel auprès du Tribunal Administratif de Rennes.</w:t>
      </w:r>
    </w:p>
    <w:p w14:paraId="6B38EE47" w14:textId="77777777" w:rsidR="00D62C6E" w:rsidRPr="007A2201" w:rsidRDefault="00D62C6E" w:rsidP="00D62C6E"/>
    <w:p w14:paraId="021A120F" w14:textId="77777777" w:rsidR="00D62C6E" w:rsidRPr="007A2201" w:rsidRDefault="00D62C6E" w:rsidP="00D62C6E">
      <w:r w:rsidRPr="007A2201">
        <w:t xml:space="preserve">Le candidat auquel il est envisagé d’attribuer un marché sera destinataire via la plateforme PLACE d’une lettre d’intention de conclure un marché et disposera d’un délai de 10 jours à compter de la réception de celle-ci pour produire les documents mentionnés à l’article </w:t>
      </w:r>
      <w:r w:rsidR="00785153">
        <w:t>4</w:t>
      </w:r>
      <w:r w:rsidRPr="007A2201">
        <w:t xml:space="preserve"> qui n’auraient pas été transmis au stade de la candidature.</w:t>
      </w:r>
    </w:p>
    <w:p w14:paraId="3D336B18" w14:textId="77777777" w:rsidR="00D62C6E" w:rsidRPr="007A2201" w:rsidRDefault="00D62C6E" w:rsidP="00D62C6E"/>
    <w:p w14:paraId="78A0408C" w14:textId="77777777" w:rsidR="00D62C6E" w:rsidRPr="007A2201" w:rsidRDefault="007A2201" w:rsidP="00D62C6E">
      <w:r>
        <w:sym w:font="Wingdings" w:char="F0F0"/>
      </w:r>
      <w:r w:rsidR="00D62C6E" w:rsidRPr="007A2201">
        <w:t xml:space="preserve"> Les candidats veilleront par conséquent à indiquer très distinctement l’adresse mail à laquelle ils souhaitent recevoir ces notifications.</w:t>
      </w:r>
    </w:p>
    <w:p w14:paraId="36D940FB" w14:textId="77777777" w:rsidR="00D62C6E" w:rsidRPr="007A2201" w:rsidRDefault="00D62C6E" w:rsidP="00D62C6E">
      <w:r w:rsidRPr="007A2201">
        <w:t>Les candidats faisant appel à des sociétés spécialisées dans la récupération de dossiers de consultation, feront le nécessaire pour être informés des résultats via la plateforme de dématérialisation. Dans le cas contraire, la responsabilité du pouvoir adjudicateur ne saurait être engagée.</w:t>
      </w:r>
    </w:p>
    <w:p w14:paraId="479EBC6B" w14:textId="77777777" w:rsidR="00D62C6E" w:rsidRPr="007A2201" w:rsidRDefault="00D62C6E" w:rsidP="00D62C6E"/>
    <w:p w14:paraId="2FAF298B" w14:textId="77777777" w:rsidR="00D62C6E" w:rsidRPr="007A2201" w:rsidRDefault="00D62C6E" w:rsidP="00D62C6E">
      <w:r w:rsidRPr="007A2201">
        <w:t>Le candidat retenu recevra via la plateforme une lettre de notification et par voie postale l’acte d’engagement et les annexes financières à retourner signés.</w:t>
      </w:r>
    </w:p>
    <w:p w14:paraId="6DD976B6" w14:textId="77777777" w:rsidR="00D62C6E" w:rsidRPr="007A2201" w:rsidRDefault="00D62C6E" w:rsidP="00D62C6E"/>
    <w:p w14:paraId="4AAC0D51" w14:textId="77777777" w:rsidR="00D62C6E" w:rsidRPr="007A2201" w:rsidRDefault="00D62C6E" w:rsidP="00D62C6E">
      <w:r w:rsidRPr="007A2201">
        <w:t>L’avis d’attribution comportant notamment le nom du candidat retenu et le montant du marché sera publié dans les journaux d’annonces légales, dans un délai de 48 jours à compter de la date de notification du marché au(x) titulaire(s).</w:t>
      </w:r>
    </w:p>
    <w:p w14:paraId="4587B72A" w14:textId="77777777" w:rsidR="00D62C6E" w:rsidRPr="007A2201" w:rsidRDefault="00D62C6E" w:rsidP="00D62C6E"/>
    <w:p w14:paraId="028A9ED4" w14:textId="77777777" w:rsidR="00D62C6E" w:rsidRPr="007A2201" w:rsidRDefault="00D62C6E" w:rsidP="00D62C6E">
      <w:r w:rsidRPr="007A2201">
        <w:t>Les candidats non retenus disposent d’un délai de 2 mois après la publication de cet avis au JOUE pour introduire un référé de pleine juridiction en contestation de la validité du contrat auprès du Tribunal Administratif de Rennes.</w:t>
      </w:r>
    </w:p>
    <w:p w14:paraId="1AFBD2F4" w14:textId="77777777" w:rsidR="00D62C6E" w:rsidRPr="007A2201" w:rsidRDefault="00D62C6E" w:rsidP="00D62C6E"/>
    <w:sectPr w:rsidR="00D62C6E" w:rsidRPr="007A2201" w:rsidSect="00E56D36">
      <w:headerReference w:type="default" r:id="rId25"/>
      <w:footerReference w:type="default" r:id="rId26"/>
      <w:pgSz w:w="11906" w:h="16838" w:code="9"/>
      <w:pgMar w:top="818" w:right="1078" w:bottom="426" w:left="1258"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66F8" w14:textId="77777777" w:rsidR="005D6CD6" w:rsidRDefault="005D6CD6">
      <w:r>
        <w:separator/>
      </w:r>
    </w:p>
  </w:endnote>
  <w:endnote w:type="continuationSeparator" w:id="0">
    <w:p w14:paraId="0759A3E0" w14:textId="77777777" w:rsidR="005D6CD6" w:rsidRDefault="005D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3A4F" w14:textId="77777777" w:rsidR="00D62C6E" w:rsidRPr="004201DB" w:rsidRDefault="00D62C6E" w:rsidP="00D62C6E">
    <w:pPr>
      <w:pStyle w:val="Pieddepage"/>
      <w:tabs>
        <w:tab w:val="clear" w:pos="4153"/>
        <w:tab w:val="clear" w:pos="8306"/>
        <w:tab w:val="right" w:pos="8505"/>
      </w:tabs>
      <w:rPr>
        <w:sz w:val="18"/>
        <w:szCs w:val="18"/>
      </w:rPr>
    </w:pPr>
  </w:p>
  <w:p w14:paraId="5FB8B9D8" w14:textId="77777777" w:rsidR="00D62C6E" w:rsidRPr="00414430" w:rsidRDefault="00D62C6E" w:rsidP="00D62C6E">
    <w:pPr>
      <w:pStyle w:val="Pieddepage"/>
      <w:tabs>
        <w:tab w:val="clear" w:pos="4153"/>
        <w:tab w:val="clear" w:pos="8306"/>
        <w:tab w:val="left" w:pos="7655"/>
      </w:tabs>
      <w:rPr>
        <w:sz w:val="18"/>
        <w:szCs w:val="18"/>
      </w:rPr>
    </w:pPr>
    <w:r>
      <w:rPr>
        <w:sz w:val="18"/>
        <w:szCs w:val="18"/>
      </w:rPr>
      <w:t>R.</w:t>
    </w:r>
    <w:r w:rsidRPr="004201DB">
      <w:rPr>
        <w:sz w:val="18"/>
        <w:szCs w:val="18"/>
      </w:rPr>
      <w:t xml:space="preserve">C. - </w:t>
    </w:r>
    <w:r w:rsidRPr="004201DB">
      <w:rPr>
        <w:bCs/>
        <w:sz w:val="18"/>
        <w:szCs w:val="18"/>
      </w:rPr>
      <w:t>2026007</w:t>
    </w:r>
    <w:r w:rsidRPr="004201DB">
      <w:rPr>
        <w:bCs/>
        <w:sz w:val="18"/>
        <w:szCs w:val="18"/>
      </w:rPr>
      <w:tab/>
    </w:r>
    <w:r w:rsidRPr="004201DB">
      <w:rPr>
        <w:bCs/>
        <w:sz w:val="18"/>
        <w:szCs w:val="18"/>
      </w:rPr>
      <w:tab/>
    </w:r>
    <w:r w:rsidRPr="004201DB">
      <w:rPr>
        <w:sz w:val="18"/>
        <w:szCs w:val="18"/>
      </w:rPr>
      <w:t xml:space="preserve">Page </w:t>
    </w:r>
    <w:r w:rsidRPr="004201DB">
      <w:rPr>
        <w:b/>
        <w:bCs/>
        <w:sz w:val="18"/>
        <w:szCs w:val="18"/>
      </w:rPr>
      <w:fldChar w:fldCharType="begin"/>
    </w:r>
    <w:r w:rsidRPr="004201DB">
      <w:rPr>
        <w:b/>
        <w:bCs/>
        <w:sz w:val="18"/>
        <w:szCs w:val="18"/>
      </w:rPr>
      <w:instrText>PAGE</w:instrText>
    </w:r>
    <w:r w:rsidRPr="004201DB">
      <w:rPr>
        <w:b/>
        <w:bCs/>
        <w:sz w:val="18"/>
        <w:szCs w:val="18"/>
      </w:rPr>
      <w:fldChar w:fldCharType="separate"/>
    </w:r>
    <w:r w:rsidRPr="004201DB">
      <w:rPr>
        <w:b/>
        <w:bCs/>
        <w:sz w:val="18"/>
        <w:szCs w:val="18"/>
      </w:rPr>
      <w:t>13</w:t>
    </w:r>
    <w:r w:rsidRPr="004201DB">
      <w:rPr>
        <w:b/>
        <w:bCs/>
        <w:sz w:val="18"/>
        <w:szCs w:val="18"/>
      </w:rPr>
      <w:fldChar w:fldCharType="end"/>
    </w:r>
    <w:r w:rsidRPr="004201DB">
      <w:rPr>
        <w:sz w:val="18"/>
        <w:szCs w:val="18"/>
      </w:rPr>
      <w:t xml:space="preserve"> sur </w:t>
    </w:r>
    <w:r w:rsidRPr="004201DB">
      <w:rPr>
        <w:b/>
        <w:bCs/>
        <w:sz w:val="18"/>
        <w:szCs w:val="18"/>
      </w:rPr>
      <w:fldChar w:fldCharType="begin"/>
    </w:r>
    <w:r w:rsidRPr="004201DB">
      <w:rPr>
        <w:b/>
        <w:bCs/>
        <w:sz w:val="18"/>
        <w:szCs w:val="18"/>
      </w:rPr>
      <w:instrText>NUMPAGES</w:instrText>
    </w:r>
    <w:r w:rsidRPr="004201DB">
      <w:rPr>
        <w:b/>
        <w:bCs/>
        <w:sz w:val="18"/>
        <w:szCs w:val="18"/>
      </w:rPr>
      <w:fldChar w:fldCharType="separate"/>
    </w:r>
    <w:r w:rsidRPr="004201DB">
      <w:rPr>
        <w:b/>
        <w:bCs/>
        <w:sz w:val="18"/>
        <w:szCs w:val="18"/>
      </w:rPr>
      <w:t>13</w:t>
    </w:r>
    <w:r w:rsidRPr="004201DB">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80D52" w14:textId="77777777" w:rsidR="005D6CD6" w:rsidRDefault="005D6CD6">
      <w:r>
        <w:separator/>
      </w:r>
    </w:p>
  </w:footnote>
  <w:footnote w:type="continuationSeparator" w:id="0">
    <w:p w14:paraId="375A0FE1" w14:textId="77777777" w:rsidR="005D6CD6" w:rsidRDefault="005D6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6B25" w14:textId="77777777" w:rsidR="00D62C6E" w:rsidRPr="003C43E3" w:rsidRDefault="00D62C6E" w:rsidP="00D62C6E">
    <w:pPr>
      <w:pStyle w:val="En-tte"/>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90BAA"/>
    <w:multiLevelType w:val="hybridMultilevel"/>
    <w:tmpl w:val="89888AC6"/>
    <w:lvl w:ilvl="0">
      <w:start w:val="1"/>
      <w:numFmt w:val="decimal"/>
      <w:pStyle w:val="sous-titre"/>
      <w:lvlText w:val="II.%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4A6145D"/>
    <w:multiLevelType w:val="multilevel"/>
    <w:tmpl w:val="F2AE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360A0"/>
    <w:multiLevelType w:val="singleLevel"/>
    <w:tmpl w:val="32925AF0"/>
    <w:lvl w:ilvl="0">
      <w:start w:val="3"/>
      <w:numFmt w:val="decimal"/>
      <w:lvlText w:val="%1."/>
      <w:lvlJc w:val="left"/>
      <w:pPr>
        <w:tabs>
          <w:tab w:val="num" w:pos="785"/>
        </w:tabs>
        <w:ind w:left="785" w:hanging="360"/>
      </w:pPr>
      <w:rPr>
        <w:rFonts w:hint="default"/>
      </w:rPr>
    </w:lvl>
  </w:abstractNum>
  <w:abstractNum w:abstractNumId="4" w15:restartNumberingAfterBreak="0">
    <w:nsid w:val="11D253EE"/>
    <w:multiLevelType w:val="hybridMultilevel"/>
    <w:tmpl w:val="3EEC6F3E"/>
    <w:lvl w:ilvl="0">
      <w:numFmt w:val="bullet"/>
      <w:lvlText w:val="-"/>
      <w:lvlJc w:val="left"/>
      <w:pPr>
        <w:ind w:left="720" w:hanging="360"/>
      </w:pPr>
      <w:rPr>
        <w:rFonts w:ascii="Tahoma" w:eastAsia="Times New Roman" w:hAnsi="Tahom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12881951"/>
    <w:multiLevelType w:val="hybridMultilevel"/>
    <w:tmpl w:val="F266F406"/>
    <w:lvl w:ilvl="0" w:tplc="1A965D46">
      <w:start w:val="1"/>
      <w:numFmt w:val="bullet"/>
      <w:lvlText w:val="-"/>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14045E">
      <w:start w:val="1"/>
      <w:numFmt w:val="bullet"/>
      <w:lvlText w:val="o"/>
      <w:lvlJc w:val="left"/>
      <w:pPr>
        <w:ind w:left="2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C8C89C">
      <w:start w:val="1"/>
      <w:numFmt w:val="bullet"/>
      <w:lvlText w:val="▪"/>
      <w:lvlJc w:val="left"/>
      <w:pPr>
        <w:ind w:left="3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00C192">
      <w:start w:val="1"/>
      <w:numFmt w:val="bullet"/>
      <w:lvlText w:val="•"/>
      <w:lvlJc w:val="left"/>
      <w:pPr>
        <w:ind w:left="3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C2925C">
      <w:start w:val="1"/>
      <w:numFmt w:val="bullet"/>
      <w:lvlText w:val="o"/>
      <w:lvlJc w:val="left"/>
      <w:pPr>
        <w:ind w:left="4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9067B4">
      <w:start w:val="1"/>
      <w:numFmt w:val="bullet"/>
      <w:lvlText w:val="▪"/>
      <w:lvlJc w:val="left"/>
      <w:pPr>
        <w:ind w:left="5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543F4A">
      <w:start w:val="1"/>
      <w:numFmt w:val="bullet"/>
      <w:lvlText w:val="•"/>
      <w:lvlJc w:val="left"/>
      <w:pPr>
        <w:ind w:left="6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C85C32">
      <w:start w:val="1"/>
      <w:numFmt w:val="bullet"/>
      <w:lvlText w:val="o"/>
      <w:lvlJc w:val="left"/>
      <w:pPr>
        <w:ind w:left="6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2C5CDA">
      <w:start w:val="1"/>
      <w:numFmt w:val="bullet"/>
      <w:lvlText w:val="▪"/>
      <w:lvlJc w:val="left"/>
      <w:pPr>
        <w:ind w:left="7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904BC6"/>
    <w:multiLevelType w:val="singleLevel"/>
    <w:tmpl w:val="420894B6"/>
    <w:lvl w:ilvl="0">
      <w:start w:val="3"/>
      <w:numFmt w:val="bullet"/>
      <w:lvlText w:val="-"/>
      <w:lvlJc w:val="left"/>
      <w:pPr>
        <w:tabs>
          <w:tab w:val="num" w:pos="786"/>
        </w:tabs>
        <w:ind w:left="786" w:hanging="360"/>
      </w:pPr>
      <w:rPr>
        <w:rFonts w:hint="default"/>
      </w:rPr>
    </w:lvl>
  </w:abstractNum>
  <w:abstractNum w:abstractNumId="7" w15:restartNumberingAfterBreak="0">
    <w:nsid w:val="1A3E5FF4"/>
    <w:multiLevelType w:val="hybridMultilevel"/>
    <w:tmpl w:val="4290F246"/>
    <w:lvl w:ilvl="0">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C830A50"/>
    <w:multiLevelType w:val="multilevel"/>
    <w:tmpl w:val="7FBC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60D49"/>
    <w:multiLevelType w:val="multilevel"/>
    <w:tmpl w:val="A342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971B9"/>
    <w:multiLevelType w:val="hybridMultilevel"/>
    <w:tmpl w:val="9A7E7B4C"/>
    <w:lvl w:ilvl="0">
      <w:start w:val="1"/>
      <w:numFmt w:val="decimal"/>
      <w:lvlText w:val="ANNEXE %1: "/>
      <w:lvlJc w:val="left"/>
      <w:pPr>
        <w:ind w:left="360" w:hanging="360"/>
      </w:pPr>
      <w:rPr>
        <w:rFonts w:ascii="Calibri" w:hAnsi="Calibri" w:hint="default"/>
        <w:b/>
        <w:i w:val="0"/>
        <w:caps/>
        <w:sz w:val="32"/>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10D3868"/>
    <w:multiLevelType w:val="hybridMultilevel"/>
    <w:tmpl w:val="545813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2403BE2"/>
    <w:multiLevelType w:val="multilevel"/>
    <w:tmpl w:val="20CEEA98"/>
    <w:lvl w:ilvl="0">
      <w:start w:val="1"/>
      <w:numFmt w:val="upperRoman"/>
      <w:suff w:val="space"/>
      <w:lvlText w:val="%1."/>
      <w:lvlJc w:val="left"/>
      <w:pPr>
        <w:ind w:left="432" w:hanging="432"/>
      </w:pPr>
      <w:rPr>
        <w:rFonts w:ascii="Calibri" w:hAnsi="Calibri" w:hint="default"/>
        <w:b/>
        <w:i w:val="0"/>
        <w:color w:val="FFFFFF"/>
        <w:sz w:val="28"/>
      </w:rPr>
    </w:lvl>
    <w:lvl w:ilvl="1">
      <w:start w:val="1"/>
      <w:numFmt w:val="decimal"/>
      <w:lvlText w:val="Article %2."/>
      <w:lvlJc w:val="left"/>
      <w:pPr>
        <w:ind w:left="0" w:firstLine="0"/>
      </w:pPr>
      <w:rPr>
        <w:rFonts w:hint="default"/>
        <w:b w:val="0"/>
        <w:i w:val="0"/>
        <w:color w:val="2E74B5"/>
        <w:sz w:val="24"/>
        <w:szCs w:val="24"/>
        <w:u w:val="none"/>
        <w:lang w:val="en-GB"/>
      </w:rPr>
    </w:lvl>
    <w:lvl w:ilvl="2">
      <w:start w:val="1"/>
      <w:numFmt w:val="decimal"/>
      <w:suff w:val="space"/>
      <w:lvlText w:val="%1.%2.%3"/>
      <w:lvlJc w:val="left"/>
      <w:pPr>
        <w:ind w:left="1588" w:hanging="1588"/>
      </w:pPr>
      <w:rPr>
        <w:rFonts w:ascii="Tahoma" w:hAnsi="Tahoma" w:hint="default"/>
        <w:b/>
        <w:i w:val="0"/>
        <w:color w:val="000080"/>
        <w:sz w:val="24"/>
        <w:szCs w:val="24"/>
      </w:rPr>
    </w:lvl>
    <w:lvl w:ilvl="3">
      <w:start w:val="1"/>
      <w:numFmt w:val="decimal"/>
      <w:pStyle w:val="Titre4"/>
      <w:suff w:val="space"/>
      <w:lvlText w:val="%1.%2.%3.%4"/>
      <w:lvlJc w:val="left"/>
      <w:pPr>
        <w:ind w:left="0" w:firstLine="0"/>
      </w:pPr>
      <w:rPr>
        <w:rFonts w:ascii="Tahoma" w:hAnsi="Tahoma" w:hint="default"/>
        <w:b/>
        <w:i w:val="0"/>
        <w:color w:val="000080"/>
        <w:sz w:val="22"/>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24E63E8B"/>
    <w:multiLevelType w:val="multilevel"/>
    <w:tmpl w:val="6F0A6ACA"/>
    <w:lvl w:ilvl="0">
      <w:start w:val="1"/>
      <w:numFmt w:val="decimal"/>
      <w:pStyle w:val="Titre2"/>
      <w:lvlText w:val="Article %1."/>
      <w:lvlJc w:val="left"/>
      <w:pPr>
        <w:ind w:left="360" w:hanging="360"/>
      </w:pPr>
      <w:rPr>
        <w:rFonts w:ascii="Calibri" w:hAnsi="Calibri" w:hint="default"/>
        <w:b/>
        <w:i w:val="0"/>
        <w:caps/>
        <w:sz w:val="24"/>
      </w:rPr>
    </w:lvl>
    <w:lvl w:ilvl="1">
      <w:start w:val="1"/>
      <w:numFmt w:val="decimal"/>
      <w:pStyle w:val="Titre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FC2A9C"/>
    <w:multiLevelType w:val="multilevel"/>
    <w:tmpl w:val="C312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8123F"/>
    <w:multiLevelType w:val="hybridMultilevel"/>
    <w:tmpl w:val="E3863E8C"/>
    <w:lvl w:ilv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4015214A"/>
    <w:multiLevelType w:val="hybridMultilevel"/>
    <w:tmpl w:val="A21489AE"/>
    <w:lvl w:ilvl="0">
      <w:numFmt w:val="bullet"/>
      <w:lvlText w:val="-"/>
      <w:lvlJc w:val="left"/>
      <w:pPr>
        <w:ind w:left="720" w:hanging="360"/>
      </w:pPr>
      <w:rPr>
        <w:rFonts w:ascii="Calibri" w:eastAsia="Calibri" w:hAnsi="Calibri" w:cs="Helvetic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4216B99"/>
    <w:multiLevelType w:val="multilevel"/>
    <w:tmpl w:val="13AA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95FF2"/>
    <w:multiLevelType w:val="multilevel"/>
    <w:tmpl w:val="061C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D71322"/>
    <w:multiLevelType w:val="hybridMultilevel"/>
    <w:tmpl w:val="BD167036"/>
    <w:lvl w:ilvl="0" w:tplc="B27E31AA">
      <w:start w:val="1"/>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EB63249"/>
    <w:multiLevelType w:val="hybridMultilevel"/>
    <w:tmpl w:val="7D42CA80"/>
    <w:lvl w:ilvl="0">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5FA93384"/>
    <w:multiLevelType w:val="multilevel"/>
    <w:tmpl w:val="A9D01AAE"/>
    <w:lvl w:ilvl="0">
      <w:start w:val="1"/>
      <w:numFmt w:val="upperRoman"/>
      <w:suff w:val="space"/>
      <w:lvlText w:val="%1."/>
      <w:lvlJc w:val="left"/>
      <w:pPr>
        <w:ind w:left="432" w:hanging="432"/>
      </w:pPr>
      <w:rPr>
        <w:rFonts w:ascii="Tahoma" w:hAnsi="Tahoma" w:hint="default"/>
        <w:b/>
        <w:i w:val="0"/>
        <w:color w:val="FFFFFF"/>
        <w:sz w:val="28"/>
      </w:rPr>
    </w:lvl>
    <w:lvl w:ilvl="1">
      <w:start w:val="1"/>
      <w:numFmt w:val="decimal"/>
      <w:lvlText w:val="%2."/>
      <w:lvlJc w:val="left"/>
      <w:pPr>
        <w:ind w:left="0" w:firstLine="0"/>
      </w:pPr>
      <w:rPr>
        <w:rFonts w:hint="default"/>
        <w:b/>
        <w:i w:val="0"/>
        <w:color w:val="2E74B5"/>
        <w:sz w:val="24"/>
        <w:szCs w:val="24"/>
        <w:lang w:val="en-GB"/>
      </w:rPr>
    </w:lvl>
    <w:lvl w:ilvl="2">
      <w:start w:val="1"/>
      <w:numFmt w:val="decimal"/>
      <w:suff w:val="space"/>
      <w:lvlText w:val="%1.%2.%3"/>
      <w:lvlJc w:val="left"/>
      <w:pPr>
        <w:ind w:left="1588" w:hanging="1588"/>
      </w:pPr>
      <w:rPr>
        <w:rFonts w:ascii="Tahoma" w:hAnsi="Tahoma" w:hint="default"/>
        <w:b/>
        <w:i w:val="0"/>
        <w:color w:val="000080"/>
        <w:sz w:val="24"/>
        <w:szCs w:val="24"/>
      </w:rPr>
    </w:lvl>
    <w:lvl w:ilvl="3">
      <w:start w:val="1"/>
      <w:numFmt w:val="decimal"/>
      <w:suff w:val="space"/>
      <w:lvlText w:val="%1.%2.%3.%4"/>
      <w:lvlJc w:val="left"/>
      <w:pPr>
        <w:ind w:left="0" w:firstLine="0"/>
      </w:pPr>
      <w:rPr>
        <w:rFonts w:ascii="Tahoma" w:hAnsi="Tahoma" w:hint="default"/>
        <w:b/>
        <w:i w:val="0"/>
        <w:color w:val="000080"/>
        <w:sz w:val="22"/>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5FB15707"/>
    <w:multiLevelType w:val="hybridMultilevel"/>
    <w:tmpl w:val="E8FCA3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E7166F"/>
    <w:multiLevelType w:val="hybridMultilevel"/>
    <w:tmpl w:val="5C6E7F4C"/>
    <w:lvl w:ilvl="0">
      <w:start w:val="30"/>
      <w:numFmt w:val="bullet"/>
      <w:lvlText w:val="-"/>
      <w:lvlJc w:val="left"/>
      <w:pPr>
        <w:ind w:left="720" w:hanging="360"/>
      </w:pPr>
      <w:rPr>
        <w:rFonts w:ascii="Tahoma" w:eastAsia="Times New Roman" w:hAnsi="Tahom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705B3564"/>
    <w:multiLevelType w:val="hybridMultilevel"/>
    <w:tmpl w:val="9B489FDA"/>
    <w:lvl w:ilvl="0">
      <w:numFmt w:val="bullet"/>
      <w:lvlText w:val="-"/>
      <w:lvlJc w:val="left"/>
      <w:pPr>
        <w:ind w:left="720" w:hanging="360"/>
      </w:pPr>
      <w:rPr>
        <w:rFonts w:ascii="Tahoma" w:eastAsia="Times New Roman" w:hAnsi="Tahom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74511084"/>
    <w:multiLevelType w:val="multilevel"/>
    <w:tmpl w:val="B28E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9C2407"/>
    <w:multiLevelType w:val="hybridMultilevel"/>
    <w:tmpl w:val="750EF4AC"/>
    <w:lvl w:ilvl="0">
      <w:numFmt w:val="bullet"/>
      <w:lvlText w:val="-"/>
      <w:lvlJc w:val="left"/>
      <w:pPr>
        <w:ind w:left="720" w:hanging="360"/>
      </w:pPr>
      <w:rPr>
        <w:rFonts w:ascii="Tahoma" w:eastAsia="Times New Roman" w:hAnsi="Tahom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7B082747"/>
    <w:multiLevelType w:val="hybridMultilevel"/>
    <w:tmpl w:val="66EE17A2"/>
    <w:lvl w:ilvl="0">
      <w:numFmt w:val="bullet"/>
      <w:lvlText w:val="-"/>
      <w:lvlJc w:val="left"/>
      <w:pPr>
        <w:ind w:left="720" w:hanging="360"/>
      </w:pPr>
      <w:rPr>
        <w:rFonts w:ascii="Tahoma" w:eastAsia="Times New Roman" w:hAnsi="Tahom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7D9217C3"/>
    <w:multiLevelType w:val="hybridMultilevel"/>
    <w:tmpl w:val="78E6A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6"/>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7"/>
  </w:num>
  <w:num w:numId="8">
    <w:abstractNumId w:val="24"/>
  </w:num>
  <w:num w:numId="9">
    <w:abstractNumId w:val="26"/>
  </w:num>
  <w:num w:numId="10">
    <w:abstractNumId w:val="11"/>
  </w:num>
  <w:num w:numId="11">
    <w:abstractNumId w:val="4"/>
  </w:num>
  <w:num w:numId="12">
    <w:abstractNumId w:val="1"/>
  </w:num>
  <w:num w:numId="13">
    <w:abstractNumId w:val="13"/>
  </w:num>
  <w:num w:numId="14">
    <w:abstractNumId w:val="13"/>
    <w:lvlOverride w:ilvl="0">
      <w:startOverride w:val="1"/>
    </w:lvlOverride>
  </w:num>
  <w:num w:numId="15">
    <w:abstractNumId w:val="13"/>
    <w:lvlOverride w:ilvl="0">
      <w:startOverride w:val="1"/>
    </w:lvlOverride>
  </w:num>
  <w:num w:numId="16">
    <w:abstractNumId w:val="21"/>
  </w:num>
  <w:num w:numId="17">
    <w:abstractNumId w:val="20"/>
  </w:num>
  <w:num w:numId="18">
    <w:abstractNumId w:val="16"/>
  </w:num>
  <w:num w:numId="19">
    <w:abstractNumId w:val="15"/>
  </w:num>
  <w:num w:numId="20">
    <w:abstractNumId w:val="7"/>
  </w:num>
  <w:num w:numId="21">
    <w:abstractNumId w:val="2"/>
  </w:num>
  <w:num w:numId="22">
    <w:abstractNumId w:val="28"/>
  </w:num>
  <w:num w:numId="23">
    <w:abstractNumId w:val="0"/>
  </w:num>
  <w:num w:numId="24">
    <w:abstractNumId w:val="13"/>
  </w:num>
  <w:num w:numId="25">
    <w:abstractNumId w:val="13"/>
  </w:num>
  <w:num w:numId="26">
    <w:abstractNumId w:val="13"/>
  </w:num>
  <w:num w:numId="27">
    <w:abstractNumId w:val="13"/>
  </w:num>
  <w:num w:numId="28">
    <w:abstractNumId w:val="13"/>
  </w:num>
  <w:num w:numId="29">
    <w:abstractNumId w:val="19"/>
  </w:num>
  <w:num w:numId="30">
    <w:abstractNumId w:val="22"/>
  </w:num>
  <w:num w:numId="31">
    <w:abstractNumId w:val="5"/>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8"/>
  </w:num>
  <w:num w:numId="35">
    <w:abstractNumId w:val="14"/>
  </w:num>
  <w:num w:numId="36">
    <w:abstractNumId w:val="17"/>
  </w:num>
  <w:num w:numId="37">
    <w:abstractNumId w:val="9"/>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FC"/>
    <w:rsid w:val="001A0900"/>
    <w:rsid w:val="00253488"/>
    <w:rsid w:val="003079B3"/>
    <w:rsid w:val="003B10C3"/>
    <w:rsid w:val="004966C5"/>
    <w:rsid w:val="004B5ACF"/>
    <w:rsid w:val="004F65F9"/>
    <w:rsid w:val="00500606"/>
    <w:rsid w:val="005B42F2"/>
    <w:rsid w:val="005C04B4"/>
    <w:rsid w:val="005D6CD6"/>
    <w:rsid w:val="00785153"/>
    <w:rsid w:val="007A2201"/>
    <w:rsid w:val="008F79FD"/>
    <w:rsid w:val="0096522D"/>
    <w:rsid w:val="009E5D35"/>
    <w:rsid w:val="00AE153A"/>
    <w:rsid w:val="00B46956"/>
    <w:rsid w:val="00C16260"/>
    <w:rsid w:val="00C73426"/>
    <w:rsid w:val="00C825C5"/>
    <w:rsid w:val="00C84E81"/>
    <w:rsid w:val="00CE021A"/>
    <w:rsid w:val="00D52857"/>
    <w:rsid w:val="00D62C6E"/>
    <w:rsid w:val="00E0761A"/>
    <w:rsid w:val="00E20C88"/>
    <w:rsid w:val="00E56D36"/>
    <w:rsid w:val="00E67898"/>
    <w:rsid w:val="00EC566F"/>
    <w:rsid w:val="00F2506E"/>
    <w:rsid w:val="00F32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21CF1090"/>
  <w15:chartTrackingRefBased/>
  <w15:docId w15:val="{E7233E02-47E6-46BA-BB9D-934D3C64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66F"/>
    <w:pPr>
      <w:jc w:val="both"/>
    </w:pPr>
    <w:rPr>
      <w:rFonts w:ascii="Calibri" w:eastAsia="Calibri" w:hAnsi="Calibri" w:cs="Calibri"/>
      <w:color w:val="000000"/>
      <w:sz w:val="22"/>
      <w:szCs w:val="22"/>
      <w:lang w:eastAsia="en-US"/>
    </w:rPr>
  </w:style>
  <w:style w:type="paragraph" w:styleId="Titre1">
    <w:name w:val="heading 1"/>
    <w:basedOn w:val="Normal"/>
    <w:next w:val="Normal"/>
    <w:link w:val="Titre1Car"/>
    <w:qFormat/>
    <w:rsid w:val="00B21A27"/>
    <w:pPr>
      <w:keepNext/>
      <w:numPr>
        <w:numId w:val="13"/>
      </w:numPr>
      <w:pBdr>
        <w:top w:val="single" w:sz="18" w:space="1" w:color="04A49C"/>
        <w:left w:val="single" w:sz="18" w:space="4" w:color="04A49C"/>
        <w:bottom w:val="single" w:sz="18" w:space="1" w:color="04A49C"/>
        <w:right w:val="single" w:sz="18" w:space="4" w:color="04A49C"/>
        <w:between w:val="single" w:sz="18" w:space="1" w:color="04A49C"/>
      </w:pBdr>
      <w:ind w:left="0" w:firstLine="0"/>
      <w:jc w:val="left"/>
      <w:outlineLvl w:val="0"/>
    </w:pPr>
    <w:rPr>
      <w:rFonts w:ascii="Aptos" w:eastAsia="Times New Roman" w:hAnsi="Aptos" w:cs="Times New Roman"/>
      <w:b/>
      <w:color w:val="04A49C"/>
      <w:sz w:val="28"/>
      <w:szCs w:val="20"/>
      <w:lang w:eastAsia="fr-FR"/>
    </w:rPr>
  </w:style>
  <w:style w:type="paragraph" w:styleId="Titre2">
    <w:name w:val="heading 2"/>
    <w:aliases w:val="2,Chapter x.x,H2,Header 2,Heading 2a,UNDERRUBRIK 1-2,h2,l2"/>
    <w:basedOn w:val="Normal"/>
    <w:next w:val="Normal"/>
    <w:link w:val="Titre2Car"/>
    <w:qFormat/>
    <w:rsid w:val="00B21A27"/>
    <w:pPr>
      <w:keepNext/>
      <w:numPr>
        <w:numId w:val="13"/>
      </w:numPr>
      <w:pBdr>
        <w:top w:val="single" w:sz="18" w:space="1" w:color="04A49C"/>
        <w:left w:val="single" w:sz="18" w:space="4" w:color="04A49C"/>
        <w:bottom w:val="single" w:sz="18" w:space="1" w:color="04A49C"/>
        <w:right w:val="single" w:sz="18" w:space="4" w:color="04A49C"/>
        <w:between w:val="single" w:sz="18" w:space="1" w:color="04A49C"/>
      </w:pBdr>
      <w:tabs>
        <w:tab w:val="left" w:pos="1134"/>
      </w:tabs>
      <w:spacing w:before="240" w:after="120"/>
      <w:outlineLvl w:val="1"/>
    </w:pPr>
    <w:rPr>
      <w:b/>
      <w:caps/>
      <w:color w:val="04A49C"/>
      <w:sz w:val="24"/>
      <w:szCs w:val="20"/>
    </w:rPr>
  </w:style>
  <w:style w:type="paragraph" w:styleId="Titre3">
    <w:name w:val="heading 3"/>
    <w:aliases w:val="Chapter x.x.x,H3,Underrubrik2,heading 3"/>
    <w:basedOn w:val="Normal"/>
    <w:next w:val="Normal"/>
    <w:link w:val="Titre3Car"/>
    <w:qFormat/>
    <w:rsid w:val="00B21A27"/>
    <w:pPr>
      <w:keepNext/>
      <w:numPr>
        <w:ilvl w:val="1"/>
        <w:numId w:val="13"/>
      </w:numPr>
      <w:spacing w:before="240" w:after="120"/>
      <w:outlineLvl w:val="2"/>
    </w:pPr>
    <w:rPr>
      <w:rFonts w:eastAsia="Times New Roman" w:cs="Times New Roman"/>
      <w:b/>
      <w:color w:val="04A29A"/>
      <w:sz w:val="24"/>
      <w:szCs w:val="20"/>
      <w:u w:val="single"/>
    </w:rPr>
  </w:style>
  <w:style w:type="paragraph" w:styleId="Titre4">
    <w:name w:val="heading 4"/>
    <w:basedOn w:val="Normal"/>
    <w:next w:val="Normal"/>
    <w:qFormat/>
    <w:rsid w:val="007461A6"/>
    <w:pPr>
      <w:keepNext/>
      <w:numPr>
        <w:ilvl w:val="3"/>
        <w:numId w:val="1"/>
      </w:numPr>
      <w:spacing w:before="240" w:after="60"/>
      <w:outlineLvl w:val="3"/>
    </w:pPr>
    <w:rPr>
      <w:b/>
      <w:color w:val="000080"/>
      <w:szCs w:val="20"/>
      <w:lang w:val="nl-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rsid w:val="00B06CFC"/>
    <w:pPr>
      <w:spacing w:before="120" w:after="120"/>
    </w:pPr>
    <w:rPr>
      <w:b/>
      <w:caps/>
      <w:szCs w:val="20"/>
      <w:lang w:val="nl-BE"/>
    </w:rPr>
  </w:style>
  <w:style w:type="paragraph" w:styleId="TM2">
    <w:name w:val="toc 2"/>
    <w:basedOn w:val="Normal"/>
    <w:next w:val="Normal"/>
    <w:autoRedefine/>
    <w:uiPriority w:val="39"/>
    <w:rsid w:val="000039B2"/>
    <w:pPr>
      <w:tabs>
        <w:tab w:val="left" w:pos="1418"/>
        <w:tab w:val="right" w:leader="dot" w:pos="9560"/>
      </w:tabs>
      <w:ind w:left="180"/>
    </w:pPr>
    <w:rPr>
      <w:smallCaps/>
      <w:szCs w:val="20"/>
      <w:lang w:val="nl-BE"/>
    </w:rPr>
  </w:style>
  <w:style w:type="paragraph" w:styleId="En-tte">
    <w:name w:val="header"/>
    <w:basedOn w:val="Normal"/>
    <w:rsid w:val="00B06CFC"/>
    <w:pPr>
      <w:tabs>
        <w:tab w:val="center" w:pos="4536"/>
        <w:tab w:val="right" w:pos="9072"/>
      </w:tabs>
      <w:ind w:left="1701"/>
    </w:pPr>
    <w:rPr>
      <w:sz w:val="18"/>
      <w:szCs w:val="20"/>
      <w:lang w:val="nl-BE"/>
    </w:rPr>
  </w:style>
  <w:style w:type="character" w:styleId="Lienhypertexte">
    <w:name w:val="Hyperlink"/>
    <w:uiPriority w:val="99"/>
    <w:rsid w:val="00B06CFC"/>
    <w:rPr>
      <w:color w:val="0000FF"/>
      <w:u w:val="single"/>
    </w:rPr>
  </w:style>
  <w:style w:type="paragraph" w:styleId="Pieddepage">
    <w:name w:val="footer"/>
    <w:basedOn w:val="Normal"/>
    <w:link w:val="PieddepageCar"/>
    <w:uiPriority w:val="99"/>
    <w:rsid w:val="00B06CFC"/>
    <w:pPr>
      <w:tabs>
        <w:tab w:val="center" w:pos="4153"/>
        <w:tab w:val="right" w:pos="8306"/>
      </w:tabs>
    </w:pPr>
  </w:style>
  <w:style w:type="character" w:styleId="Numrodepage">
    <w:name w:val="page number"/>
    <w:basedOn w:val="Policepardfaut"/>
    <w:rsid w:val="00B06CFC"/>
  </w:style>
  <w:style w:type="paragraph" w:customStyle="1" w:styleId="Label">
    <w:name w:val="Label"/>
    <w:basedOn w:val="En-tte"/>
    <w:rsid w:val="00B06CFC"/>
    <w:pPr>
      <w:tabs>
        <w:tab w:val="clear" w:pos="4536"/>
        <w:tab w:val="clear" w:pos="9072"/>
      </w:tabs>
      <w:ind w:left="0"/>
    </w:pPr>
    <w:rPr>
      <w:rFonts w:ascii="Verdana" w:hAnsi="Verdana"/>
      <w:b/>
      <w:bCs/>
      <w:color w:val="FFFFFF"/>
      <w:sz w:val="20"/>
      <w:szCs w:val="24"/>
      <w:lang w:val="en-GB"/>
    </w:rPr>
  </w:style>
  <w:style w:type="paragraph" w:customStyle="1" w:styleId="Labelvalue">
    <w:name w:val="Label value"/>
    <w:basedOn w:val="Label"/>
    <w:rsid w:val="00B06CFC"/>
    <w:rPr>
      <w:color w:val="auto"/>
    </w:rPr>
  </w:style>
  <w:style w:type="paragraph" w:customStyle="1" w:styleId="Normalweb">
    <w:name w:val="Normal(web)"/>
    <w:basedOn w:val="Normal"/>
    <w:rsid w:val="00B06CFC"/>
    <w:rPr>
      <w:rFonts w:ascii="Arial" w:hAnsi="Arial"/>
      <w:sz w:val="24"/>
      <w:lang w:val="nl-BE"/>
    </w:rPr>
  </w:style>
  <w:style w:type="table" w:styleId="Grilledutableau">
    <w:name w:val="Table Grid"/>
    <w:basedOn w:val="TableauNormal"/>
    <w:rsid w:val="003D7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9A3C56"/>
    <w:rPr>
      <w:rFonts w:cs="Tahoma"/>
      <w:sz w:val="16"/>
      <w:szCs w:val="16"/>
    </w:rPr>
  </w:style>
  <w:style w:type="paragraph" w:styleId="Titre">
    <w:name w:val="Title"/>
    <w:basedOn w:val="Normal"/>
    <w:qFormat/>
    <w:rsid w:val="009A3C56"/>
    <w:pPr>
      <w:spacing w:before="240" w:after="60"/>
      <w:jc w:val="center"/>
      <w:outlineLvl w:val="0"/>
    </w:pPr>
    <w:rPr>
      <w:rFonts w:ascii="Arial" w:hAnsi="Arial" w:cs="Arial"/>
      <w:b/>
      <w:bCs/>
      <w:kern w:val="28"/>
      <w:sz w:val="32"/>
      <w:szCs w:val="32"/>
    </w:rPr>
  </w:style>
  <w:style w:type="paragraph" w:styleId="TM3">
    <w:name w:val="toc 3"/>
    <w:basedOn w:val="Normal"/>
    <w:next w:val="Normal"/>
    <w:autoRedefine/>
    <w:uiPriority w:val="39"/>
    <w:rsid w:val="004965F4"/>
    <w:pPr>
      <w:ind w:left="400"/>
    </w:pPr>
  </w:style>
  <w:style w:type="paragraph" w:styleId="TM4">
    <w:name w:val="toc 4"/>
    <w:basedOn w:val="Normal"/>
    <w:next w:val="Normal"/>
    <w:autoRedefine/>
    <w:semiHidden/>
    <w:rsid w:val="00895CD5"/>
    <w:pPr>
      <w:ind w:left="600"/>
    </w:pPr>
  </w:style>
  <w:style w:type="paragraph" w:styleId="Notedebasdepage">
    <w:name w:val="footnote text"/>
    <w:basedOn w:val="Normal"/>
    <w:semiHidden/>
    <w:rsid w:val="00F3781C"/>
    <w:rPr>
      <w:rFonts w:ascii="Arial" w:hAnsi="Arial"/>
      <w:i/>
      <w:sz w:val="18"/>
      <w:szCs w:val="20"/>
      <w:lang w:val="nl-BE" w:eastAsia="nl-NL"/>
    </w:rPr>
  </w:style>
  <w:style w:type="character" w:styleId="Appelnotedebasdep">
    <w:name w:val="footnote reference"/>
    <w:semiHidden/>
    <w:rsid w:val="00F3781C"/>
    <w:rPr>
      <w:vertAlign w:val="superscript"/>
    </w:rPr>
  </w:style>
  <w:style w:type="paragraph" w:customStyle="1" w:styleId="Addendum">
    <w:name w:val="Addendum"/>
    <w:basedOn w:val="Normal"/>
    <w:link w:val="AddendumChar"/>
    <w:rsid w:val="00EA2516"/>
    <w:pPr>
      <w:jc w:val="center"/>
    </w:pPr>
    <w:rPr>
      <w:b/>
      <w:sz w:val="28"/>
      <w:u w:val="single"/>
    </w:rPr>
  </w:style>
  <w:style w:type="character" w:styleId="Marquedecommentaire">
    <w:name w:val="annotation reference"/>
    <w:semiHidden/>
    <w:rsid w:val="00CD7B95"/>
    <w:rPr>
      <w:sz w:val="16"/>
      <w:szCs w:val="16"/>
    </w:rPr>
  </w:style>
  <w:style w:type="paragraph" w:styleId="Commentaire">
    <w:name w:val="annotation text"/>
    <w:basedOn w:val="Normal"/>
    <w:semiHidden/>
    <w:rsid w:val="00CD7B95"/>
    <w:rPr>
      <w:szCs w:val="20"/>
    </w:rPr>
  </w:style>
  <w:style w:type="paragraph" w:styleId="Objetducommentaire">
    <w:name w:val="annotation subject"/>
    <w:basedOn w:val="Commentaire"/>
    <w:next w:val="Commentaire"/>
    <w:semiHidden/>
    <w:rsid w:val="00CD7B95"/>
    <w:rPr>
      <w:b/>
      <w:bCs/>
    </w:rPr>
  </w:style>
  <w:style w:type="paragraph" w:customStyle="1" w:styleId="NormalDarkBlue">
    <w:name w:val="Normal + Dark Blue"/>
    <w:basedOn w:val="Normal"/>
    <w:rsid w:val="00301F37"/>
  </w:style>
  <w:style w:type="paragraph" w:styleId="Retraitcorpsdetexte">
    <w:name w:val="Body Text Indent"/>
    <w:basedOn w:val="Normal"/>
    <w:link w:val="RetraitcorpsdetexteCar"/>
    <w:semiHidden/>
    <w:rsid w:val="001A0746"/>
    <w:pPr>
      <w:ind w:left="426" w:hanging="426"/>
    </w:pPr>
    <w:rPr>
      <w:rFonts w:ascii="Times New Roman" w:hAnsi="Times New Roman"/>
      <w:sz w:val="24"/>
      <w:szCs w:val="20"/>
      <w:lang w:eastAsia="x-none"/>
    </w:rPr>
  </w:style>
  <w:style w:type="character" w:customStyle="1" w:styleId="RetraitcorpsdetexteCar">
    <w:name w:val="Retrait corps de texte Car"/>
    <w:link w:val="Retraitcorpsdetexte"/>
    <w:semiHidden/>
    <w:rsid w:val="001A0746"/>
    <w:rPr>
      <w:color w:val="000000"/>
      <w:sz w:val="24"/>
      <w:lang w:val="fr-FR"/>
    </w:rPr>
  </w:style>
  <w:style w:type="paragraph" w:styleId="Retraitcorpsdetexte2">
    <w:name w:val="Body Text Indent 2"/>
    <w:basedOn w:val="Normal"/>
    <w:link w:val="Retraitcorpsdetexte2Car"/>
    <w:semiHidden/>
    <w:rsid w:val="001A0746"/>
    <w:pPr>
      <w:ind w:left="709" w:hanging="283"/>
    </w:pPr>
    <w:rPr>
      <w:rFonts w:ascii="Times New Roman" w:hAnsi="Times New Roman"/>
      <w:sz w:val="24"/>
      <w:szCs w:val="20"/>
      <w:lang w:eastAsia="x-none"/>
    </w:rPr>
  </w:style>
  <w:style w:type="character" w:customStyle="1" w:styleId="Retraitcorpsdetexte2Car">
    <w:name w:val="Retrait corps de texte 2 Car"/>
    <w:link w:val="Retraitcorpsdetexte2"/>
    <w:semiHidden/>
    <w:rsid w:val="001A0746"/>
    <w:rPr>
      <w:color w:val="000000"/>
      <w:sz w:val="24"/>
      <w:lang w:val="fr-FR"/>
    </w:rPr>
  </w:style>
  <w:style w:type="paragraph" w:customStyle="1" w:styleId="BodyText21">
    <w:name w:val="Body Text 21"/>
    <w:basedOn w:val="Normal"/>
    <w:rsid w:val="00D73AD1"/>
    <w:rPr>
      <w:rFonts w:ascii="Times New Roman" w:hAnsi="Times New Roman"/>
      <w:i/>
      <w:sz w:val="24"/>
      <w:szCs w:val="20"/>
      <w:u w:val="single"/>
      <w:lang w:eastAsia="fr-BE"/>
    </w:rPr>
  </w:style>
  <w:style w:type="paragraph" w:styleId="Explorateurdedocuments">
    <w:name w:val="Document Map"/>
    <w:basedOn w:val="Normal"/>
    <w:semiHidden/>
    <w:rsid w:val="00E01B28"/>
    <w:pPr>
      <w:shd w:val="clear" w:color="auto" w:fill="000080"/>
    </w:pPr>
    <w:rPr>
      <w:rFonts w:cs="Tahoma"/>
    </w:rPr>
  </w:style>
  <w:style w:type="character" w:customStyle="1" w:styleId="AddendumChar">
    <w:name w:val="Addendum Char"/>
    <w:link w:val="Addendum"/>
    <w:rsid w:val="008F016B"/>
    <w:rPr>
      <w:rFonts w:ascii="Tahoma" w:hAnsi="Tahoma"/>
      <w:b/>
      <w:sz w:val="28"/>
      <w:szCs w:val="24"/>
      <w:u w:val="single"/>
      <w:lang w:val="en-GB" w:eastAsia="en-US"/>
    </w:rPr>
  </w:style>
  <w:style w:type="paragraph" w:customStyle="1" w:styleId="Appendix">
    <w:name w:val="Appendix"/>
    <w:basedOn w:val="Addendum"/>
    <w:link w:val="AppendixChar"/>
    <w:qFormat/>
    <w:rsid w:val="00C85129"/>
    <w:pPr>
      <w:keepNext/>
      <w:pageBreakBefore/>
      <w:outlineLvl w:val="0"/>
    </w:pPr>
  </w:style>
  <w:style w:type="character" w:customStyle="1" w:styleId="Titre2Car">
    <w:name w:val="Titre 2 Car"/>
    <w:aliases w:val="2 Car,Chapter x.x Car,H2 Car,Header 2 Car,Heading 2a Car,UNDERRUBRIK 1-2 Car,h2 Car,l2 Car"/>
    <w:link w:val="Titre2"/>
    <w:rsid w:val="00B21A27"/>
    <w:rPr>
      <w:rFonts w:ascii="Calibri" w:eastAsia="Calibri" w:hAnsi="Calibri" w:cs="Calibri"/>
      <w:b/>
      <w:caps/>
      <w:color w:val="04A49C"/>
      <w:sz w:val="24"/>
      <w:lang w:val="fr-BE" w:eastAsia="en-US"/>
    </w:rPr>
  </w:style>
  <w:style w:type="character" w:customStyle="1" w:styleId="AppendixChar">
    <w:name w:val="Appendix Char"/>
    <w:link w:val="Appendix"/>
    <w:rsid w:val="00C85129"/>
    <w:rPr>
      <w:rFonts w:ascii="Calibri" w:eastAsia="Calibri" w:hAnsi="Calibri" w:cs="Calibri"/>
      <w:b/>
      <w:sz w:val="28"/>
      <w:szCs w:val="22"/>
      <w:u w:val="single"/>
      <w:lang w:val="fr-BE" w:eastAsia="en-US"/>
    </w:rPr>
  </w:style>
  <w:style w:type="paragraph" w:customStyle="1" w:styleId="RedTxt">
    <w:name w:val="RedTxt"/>
    <w:basedOn w:val="Normal"/>
    <w:uiPriority w:val="99"/>
    <w:rsid w:val="00CD60D4"/>
    <w:pPr>
      <w:keepLines/>
      <w:widowControl w:val="0"/>
      <w:autoSpaceDE w:val="0"/>
      <w:autoSpaceDN w:val="0"/>
      <w:adjustRightInd w:val="0"/>
    </w:pPr>
    <w:rPr>
      <w:rFonts w:ascii="Arial" w:eastAsia="Times New Roman" w:hAnsi="Arial" w:cs="Arial"/>
      <w:sz w:val="18"/>
      <w:szCs w:val="18"/>
      <w:lang w:eastAsia="fr-FR"/>
    </w:rPr>
  </w:style>
  <w:style w:type="paragraph" w:customStyle="1" w:styleId="sous-titre">
    <w:name w:val="sous-titre"/>
    <w:basedOn w:val="Titre2"/>
    <w:link w:val="sous-titreCar"/>
    <w:qFormat/>
    <w:rsid w:val="00F92FAE"/>
    <w:pPr>
      <w:numPr>
        <w:numId w:val="12"/>
      </w:numPr>
      <w:tabs>
        <w:tab w:val="clear" w:pos="1134"/>
        <w:tab w:val="left" w:pos="567"/>
        <w:tab w:val="left" w:pos="993"/>
      </w:tabs>
      <w:ind w:left="567" w:hanging="567"/>
    </w:pPr>
  </w:style>
  <w:style w:type="character" w:customStyle="1" w:styleId="PieddepageCar">
    <w:name w:val="Pied de page Car"/>
    <w:link w:val="Pieddepage"/>
    <w:uiPriority w:val="99"/>
    <w:rsid w:val="00A75AF5"/>
    <w:rPr>
      <w:rFonts w:ascii="Calibri" w:hAnsi="Calibri"/>
      <w:sz w:val="22"/>
      <w:szCs w:val="24"/>
      <w:lang w:val="en-GB" w:eastAsia="en-US"/>
    </w:rPr>
  </w:style>
  <w:style w:type="character" w:customStyle="1" w:styleId="sous-titreCar">
    <w:name w:val="sous-titre Car"/>
    <w:link w:val="sous-titre"/>
    <w:rsid w:val="00F92FAE"/>
    <w:rPr>
      <w:rFonts w:ascii="Calibri" w:eastAsia="Calibri" w:hAnsi="Calibri" w:cs="Calibri"/>
      <w:b/>
      <w:caps/>
      <w:sz w:val="24"/>
      <w:lang w:val="fr-BE" w:eastAsia="en-US"/>
    </w:rPr>
  </w:style>
  <w:style w:type="character" w:customStyle="1" w:styleId="apple-converted-space">
    <w:name w:val="apple-converted-space"/>
    <w:rsid w:val="00803597"/>
  </w:style>
  <w:style w:type="paragraph" w:customStyle="1" w:styleId="Corpsdetexte31">
    <w:name w:val="Corps de texte 31"/>
    <w:basedOn w:val="Normal"/>
    <w:rsid w:val="00463DFD"/>
    <w:pPr>
      <w:suppressAutoHyphens/>
    </w:pPr>
    <w:rPr>
      <w:rFonts w:ascii="Arial" w:hAnsi="Arial" w:cs="Arial"/>
      <w:bCs/>
      <w:i/>
      <w:iCs/>
      <w:sz w:val="16"/>
      <w:szCs w:val="20"/>
      <w:lang w:eastAsia="zh-CN"/>
    </w:rPr>
  </w:style>
  <w:style w:type="paragraph" w:styleId="Paragraphedeliste">
    <w:name w:val="List Paragraph"/>
    <w:basedOn w:val="Normal"/>
    <w:uiPriority w:val="34"/>
    <w:qFormat/>
    <w:rsid w:val="00860413"/>
    <w:pPr>
      <w:ind w:left="720"/>
      <w:contextualSpacing/>
    </w:pPr>
  </w:style>
  <w:style w:type="character" w:customStyle="1" w:styleId="Highlighted">
    <w:name w:val="Highlighted"/>
    <w:rsid w:val="00777062"/>
    <w:rPr>
      <w:b/>
    </w:rPr>
  </w:style>
  <w:style w:type="character" w:customStyle="1" w:styleId="Titre3Car">
    <w:name w:val="Titre 3 Car"/>
    <w:aliases w:val="Chapter x.x.x Car,H3 Car,Underrubrik2 Car,heading 3 Car"/>
    <w:link w:val="Titre3"/>
    <w:rsid w:val="00B21A27"/>
    <w:rPr>
      <w:rFonts w:ascii="Calibri" w:hAnsi="Calibri"/>
      <w:b/>
      <w:color w:val="04A29A"/>
      <w:sz w:val="24"/>
      <w:u w:val="single"/>
      <w:lang w:eastAsia="en-US"/>
    </w:rPr>
  </w:style>
  <w:style w:type="paragraph" w:styleId="En-ttedetabledesmatires">
    <w:name w:val="TOC Heading"/>
    <w:basedOn w:val="Titre1"/>
    <w:next w:val="Normal"/>
    <w:uiPriority w:val="39"/>
    <w:qFormat/>
    <w:rsid w:val="00B21A27"/>
    <w:pPr>
      <w:numPr>
        <w:numId w:val="0"/>
      </w:numPr>
      <w:pBdr>
        <w:bottom w:val="none" w:sz="0" w:space="0" w:color="auto"/>
      </w:pBdr>
      <w:jc w:val="both"/>
      <w:outlineLvl w:val="9"/>
    </w:pPr>
    <w:rPr>
      <w:rFonts w:ascii="Aptos Display" w:hAnsi="Aptos Display"/>
      <w:bCs/>
      <w:color w:val="auto"/>
      <w:kern w:val="32"/>
    </w:rPr>
  </w:style>
  <w:style w:type="character" w:customStyle="1" w:styleId="Titre1Car">
    <w:name w:val="Titre 1 Car"/>
    <w:link w:val="Titre1"/>
    <w:rsid w:val="00B21A27"/>
    <w:rPr>
      <w:rFonts w:ascii="Aptos" w:hAnsi="Aptos"/>
      <w:b/>
      <w:color w:val="04A49C"/>
      <w:sz w:val="28"/>
    </w:rPr>
  </w:style>
  <w:style w:type="character" w:styleId="Mentionnonrsolue">
    <w:name w:val="Unresolved Mention"/>
    <w:uiPriority w:val="99"/>
    <w:semiHidden/>
    <w:unhideWhenUsed/>
    <w:rsid w:val="007A2201"/>
    <w:rPr>
      <w:color w:val="605E5C"/>
      <w:shd w:val="clear" w:color="auto" w:fill="E1DFDD"/>
    </w:rPr>
  </w:style>
  <w:style w:type="paragraph" w:styleId="NormalWeb0">
    <w:name w:val="Normal (Web)"/>
    <w:basedOn w:val="Normal"/>
    <w:uiPriority w:val="99"/>
    <w:semiHidden/>
    <w:unhideWhenUsed/>
    <w:rsid w:val="007A2201"/>
    <w:pPr>
      <w:spacing w:before="100" w:beforeAutospacing="1" w:after="100" w:afterAutospacing="1"/>
      <w:jc w:val="left"/>
    </w:pPr>
    <w:rPr>
      <w:rFonts w:ascii="Times New Roman" w:eastAsia="Times New Roman" w:hAnsi="Times New Roman" w:cs="Times New Roman"/>
      <w:color w:val="auto"/>
      <w:sz w:val="24"/>
      <w:szCs w:val="24"/>
      <w:lang w:eastAsia="fr-FR"/>
    </w:rPr>
  </w:style>
  <w:style w:type="character" w:styleId="lev">
    <w:name w:val="Strong"/>
    <w:uiPriority w:val="22"/>
    <w:qFormat/>
    <w:rsid w:val="007A22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1388">
      <w:bodyDiv w:val="1"/>
      <w:marLeft w:val="0"/>
      <w:marRight w:val="0"/>
      <w:marTop w:val="0"/>
      <w:marBottom w:val="0"/>
      <w:divBdr>
        <w:top w:val="none" w:sz="0" w:space="0" w:color="auto"/>
        <w:left w:val="none" w:sz="0" w:space="0" w:color="auto"/>
        <w:bottom w:val="none" w:sz="0" w:space="0" w:color="auto"/>
        <w:right w:val="none" w:sz="0" w:space="0" w:color="auto"/>
      </w:divBdr>
    </w:div>
    <w:div w:id="90585303">
      <w:bodyDiv w:val="1"/>
      <w:marLeft w:val="0"/>
      <w:marRight w:val="0"/>
      <w:marTop w:val="0"/>
      <w:marBottom w:val="0"/>
      <w:divBdr>
        <w:top w:val="none" w:sz="0" w:space="0" w:color="auto"/>
        <w:left w:val="none" w:sz="0" w:space="0" w:color="auto"/>
        <w:bottom w:val="none" w:sz="0" w:space="0" w:color="auto"/>
        <w:right w:val="none" w:sz="0" w:space="0" w:color="auto"/>
      </w:divBdr>
    </w:div>
    <w:div w:id="100998538">
      <w:bodyDiv w:val="1"/>
      <w:marLeft w:val="0"/>
      <w:marRight w:val="0"/>
      <w:marTop w:val="0"/>
      <w:marBottom w:val="0"/>
      <w:divBdr>
        <w:top w:val="none" w:sz="0" w:space="0" w:color="auto"/>
        <w:left w:val="none" w:sz="0" w:space="0" w:color="auto"/>
        <w:bottom w:val="none" w:sz="0" w:space="0" w:color="auto"/>
        <w:right w:val="none" w:sz="0" w:space="0" w:color="auto"/>
      </w:divBdr>
    </w:div>
    <w:div w:id="209461214">
      <w:bodyDiv w:val="1"/>
      <w:marLeft w:val="0"/>
      <w:marRight w:val="0"/>
      <w:marTop w:val="0"/>
      <w:marBottom w:val="0"/>
      <w:divBdr>
        <w:top w:val="none" w:sz="0" w:space="0" w:color="auto"/>
        <w:left w:val="none" w:sz="0" w:space="0" w:color="auto"/>
        <w:bottom w:val="none" w:sz="0" w:space="0" w:color="auto"/>
        <w:right w:val="none" w:sz="0" w:space="0" w:color="auto"/>
      </w:divBdr>
    </w:div>
    <w:div w:id="257176102">
      <w:bodyDiv w:val="1"/>
      <w:marLeft w:val="0"/>
      <w:marRight w:val="0"/>
      <w:marTop w:val="0"/>
      <w:marBottom w:val="0"/>
      <w:divBdr>
        <w:top w:val="none" w:sz="0" w:space="0" w:color="auto"/>
        <w:left w:val="none" w:sz="0" w:space="0" w:color="auto"/>
        <w:bottom w:val="none" w:sz="0" w:space="0" w:color="auto"/>
        <w:right w:val="none" w:sz="0" w:space="0" w:color="auto"/>
      </w:divBdr>
    </w:div>
    <w:div w:id="332614088">
      <w:bodyDiv w:val="1"/>
      <w:marLeft w:val="0"/>
      <w:marRight w:val="0"/>
      <w:marTop w:val="0"/>
      <w:marBottom w:val="0"/>
      <w:divBdr>
        <w:top w:val="none" w:sz="0" w:space="0" w:color="auto"/>
        <w:left w:val="none" w:sz="0" w:space="0" w:color="auto"/>
        <w:bottom w:val="none" w:sz="0" w:space="0" w:color="auto"/>
        <w:right w:val="none" w:sz="0" w:space="0" w:color="auto"/>
      </w:divBdr>
    </w:div>
    <w:div w:id="565993106">
      <w:bodyDiv w:val="1"/>
      <w:marLeft w:val="0"/>
      <w:marRight w:val="0"/>
      <w:marTop w:val="0"/>
      <w:marBottom w:val="0"/>
      <w:divBdr>
        <w:top w:val="none" w:sz="0" w:space="0" w:color="auto"/>
        <w:left w:val="none" w:sz="0" w:space="0" w:color="auto"/>
        <w:bottom w:val="none" w:sz="0" w:space="0" w:color="auto"/>
        <w:right w:val="none" w:sz="0" w:space="0" w:color="auto"/>
      </w:divBdr>
    </w:div>
    <w:div w:id="567959326">
      <w:bodyDiv w:val="1"/>
      <w:marLeft w:val="0"/>
      <w:marRight w:val="0"/>
      <w:marTop w:val="0"/>
      <w:marBottom w:val="0"/>
      <w:divBdr>
        <w:top w:val="none" w:sz="0" w:space="0" w:color="auto"/>
        <w:left w:val="none" w:sz="0" w:space="0" w:color="auto"/>
        <w:bottom w:val="none" w:sz="0" w:space="0" w:color="auto"/>
        <w:right w:val="none" w:sz="0" w:space="0" w:color="auto"/>
      </w:divBdr>
    </w:div>
    <w:div w:id="653291183">
      <w:bodyDiv w:val="1"/>
      <w:marLeft w:val="0"/>
      <w:marRight w:val="0"/>
      <w:marTop w:val="0"/>
      <w:marBottom w:val="0"/>
      <w:divBdr>
        <w:top w:val="none" w:sz="0" w:space="0" w:color="auto"/>
        <w:left w:val="none" w:sz="0" w:space="0" w:color="auto"/>
        <w:bottom w:val="none" w:sz="0" w:space="0" w:color="auto"/>
        <w:right w:val="none" w:sz="0" w:space="0" w:color="auto"/>
      </w:divBdr>
    </w:div>
    <w:div w:id="662004845">
      <w:bodyDiv w:val="1"/>
      <w:marLeft w:val="0"/>
      <w:marRight w:val="0"/>
      <w:marTop w:val="0"/>
      <w:marBottom w:val="0"/>
      <w:divBdr>
        <w:top w:val="none" w:sz="0" w:space="0" w:color="auto"/>
        <w:left w:val="none" w:sz="0" w:space="0" w:color="auto"/>
        <w:bottom w:val="none" w:sz="0" w:space="0" w:color="auto"/>
        <w:right w:val="none" w:sz="0" w:space="0" w:color="auto"/>
      </w:divBdr>
    </w:div>
    <w:div w:id="683674684">
      <w:bodyDiv w:val="1"/>
      <w:marLeft w:val="0"/>
      <w:marRight w:val="0"/>
      <w:marTop w:val="0"/>
      <w:marBottom w:val="0"/>
      <w:divBdr>
        <w:top w:val="none" w:sz="0" w:space="0" w:color="auto"/>
        <w:left w:val="none" w:sz="0" w:space="0" w:color="auto"/>
        <w:bottom w:val="none" w:sz="0" w:space="0" w:color="auto"/>
        <w:right w:val="none" w:sz="0" w:space="0" w:color="auto"/>
      </w:divBdr>
    </w:div>
    <w:div w:id="835457291">
      <w:bodyDiv w:val="1"/>
      <w:marLeft w:val="0"/>
      <w:marRight w:val="0"/>
      <w:marTop w:val="0"/>
      <w:marBottom w:val="0"/>
      <w:divBdr>
        <w:top w:val="none" w:sz="0" w:space="0" w:color="auto"/>
        <w:left w:val="none" w:sz="0" w:space="0" w:color="auto"/>
        <w:bottom w:val="none" w:sz="0" w:space="0" w:color="auto"/>
        <w:right w:val="none" w:sz="0" w:space="0" w:color="auto"/>
      </w:divBdr>
    </w:div>
    <w:div w:id="928388694">
      <w:bodyDiv w:val="1"/>
      <w:marLeft w:val="0"/>
      <w:marRight w:val="0"/>
      <w:marTop w:val="0"/>
      <w:marBottom w:val="0"/>
      <w:divBdr>
        <w:top w:val="none" w:sz="0" w:space="0" w:color="auto"/>
        <w:left w:val="none" w:sz="0" w:space="0" w:color="auto"/>
        <w:bottom w:val="none" w:sz="0" w:space="0" w:color="auto"/>
        <w:right w:val="none" w:sz="0" w:space="0" w:color="auto"/>
      </w:divBdr>
    </w:div>
    <w:div w:id="1103457623">
      <w:bodyDiv w:val="1"/>
      <w:marLeft w:val="0"/>
      <w:marRight w:val="0"/>
      <w:marTop w:val="0"/>
      <w:marBottom w:val="0"/>
      <w:divBdr>
        <w:top w:val="none" w:sz="0" w:space="0" w:color="auto"/>
        <w:left w:val="none" w:sz="0" w:space="0" w:color="auto"/>
        <w:bottom w:val="none" w:sz="0" w:space="0" w:color="auto"/>
        <w:right w:val="none" w:sz="0" w:space="0" w:color="auto"/>
      </w:divBdr>
    </w:div>
    <w:div w:id="1170827902">
      <w:bodyDiv w:val="1"/>
      <w:marLeft w:val="0"/>
      <w:marRight w:val="0"/>
      <w:marTop w:val="0"/>
      <w:marBottom w:val="0"/>
      <w:divBdr>
        <w:top w:val="none" w:sz="0" w:space="0" w:color="auto"/>
        <w:left w:val="none" w:sz="0" w:space="0" w:color="auto"/>
        <w:bottom w:val="none" w:sz="0" w:space="0" w:color="auto"/>
        <w:right w:val="none" w:sz="0" w:space="0" w:color="auto"/>
      </w:divBdr>
    </w:div>
    <w:div w:id="1188518500">
      <w:bodyDiv w:val="1"/>
      <w:marLeft w:val="0"/>
      <w:marRight w:val="0"/>
      <w:marTop w:val="0"/>
      <w:marBottom w:val="0"/>
      <w:divBdr>
        <w:top w:val="none" w:sz="0" w:space="0" w:color="auto"/>
        <w:left w:val="none" w:sz="0" w:space="0" w:color="auto"/>
        <w:bottom w:val="none" w:sz="0" w:space="0" w:color="auto"/>
        <w:right w:val="none" w:sz="0" w:space="0" w:color="auto"/>
      </w:divBdr>
    </w:div>
    <w:div w:id="1276714456">
      <w:bodyDiv w:val="1"/>
      <w:marLeft w:val="0"/>
      <w:marRight w:val="0"/>
      <w:marTop w:val="0"/>
      <w:marBottom w:val="0"/>
      <w:divBdr>
        <w:top w:val="none" w:sz="0" w:space="0" w:color="auto"/>
        <w:left w:val="none" w:sz="0" w:space="0" w:color="auto"/>
        <w:bottom w:val="none" w:sz="0" w:space="0" w:color="auto"/>
        <w:right w:val="none" w:sz="0" w:space="0" w:color="auto"/>
      </w:divBdr>
    </w:div>
    <w:div w:id="1326468735">
      <w:bodyDiv w:val="1"/>
      <w:marLeft w:val="0"/>
      <w:marRight w:val="0"/>
      <w:marTop w:val="0"/>
      <w:marBottom w:val="0"/>
      <w:divBdr>
        <w:top w:val="none" w:sz="0" w:space="0" w:color="auto"/>
        <w:left w:val="none" w:sz="0" w:space="0" w:color="auto"/>
        <w:bottom w:val="none" w:sz="0" w:space="0" w:color="auto"/>
        <w:right w:val="none" w:sz="0" w:space="0" w:color="auto"/>
      </w:divBdr>
    </w:div>
    <w:div w:id="1445463330">
      <w:bodyDiv w:val="1"/>
      <w:marLeft w:val="0"/>
      <w:marRight w:val="0"/>
      <w:marTop w:val="0"/>
      <w:marBottom w:val="0"/>
      <w:divBdr>
        <w:top w:val="none" w:sz="0" w:space="0" w:color="auto"/>
        <w:left w:val="none" w:sz="0" w:space="0" w:color="auto"/>
        <w:bottom w:val="none" w:sz="0" w:space="0" w:color="auto"/>
        <w:right w:val="none" w:sz="0" w:space="0" w:color="auto"/>
      </w:divBdr>
    </w:div>
    <w:div w:id="1487432433">
      <w:bodyDiv w:val="1"/>
      <w:marLeft w:val="0"/>
      <w:marRight w:val="0"/>
      <w:marTop w:val="0"/>
      <w:marBottom w:val="0"/>
      <w:divBdr>
        <w:top w:val="none" w:sz="0" w:space="0" w:color="auto"/>
        <w:left w:val="none" w:sz="0" w:space="0" w:color="auto"/>
        <w:bottom w:val="none" w:sz="0" w:space="0" w:color="auto"/>
        <w:right w:val="none" w:sz="0" w:space="0" w:color="auto"/>
      </w:divBdr>
    </w:div>
    <w:div w:id="1508713345">
      <w:bodyDiv w:val="1"/>
      <w:marLeft w:val="0"/>
      <w:marRight w:val="0"/>
      <w:marTop w:val="0"/>
      <w:marBottom w:val="0"/>
      <w:divBdr>
        <w:top w:val="none" w:sz="0" w:space="0" w:color="auto"/>
        <w:left w:val="none" w:sz="0" w:space="0" w:color="auto"/>
        <w:bottom w:val="none" w:sz="0" w:space="0" w:color="auto"/>
        <w:right w:val="none" w:sz="0" w:space="0" w:color="auto"/>
      </w:divBdr>
    </w:div>
    <w:div w:id="1621034486">
      <w:bodyDiv w:val="1"/>
      <w:marLeft w:val="0"/>
      <w:marRight w:val="0"/>
      <w:marTop w:val="0"/>
      <w:marBottom w:val="0"/>
      <w:divBdr>
        <w:top w:val="none" w:sz="0" w:space="0" w:color="auto"/>
        <w:left w:val="none" w:sz="0" w:space="0" w:color="auto"/>
        <w:bottom w:val="none" w:sz="0" w:space="0" w:color="auto"/>
        <w:right w:val="none" w:sz="0" w:space="0" w:color="auto"/>
      </w:divBdr>
    </w:div>
    <w:div w:id="1649017293">
      <w:bodyDiv w:val="1"/>
      <w:marLeft w:val="0"/>
      <w:marRight w:val="0"/>
      <w:marTop w:val="0"/>
      <w:marBottom w:val="0"/>
      <w:divBdr>
        <w:top w:val="none" w:sz="0" w:space="0" w:color="auto"/>
        <w:left w:val="none" w:sz="0" w:space="0" w:color="auto"/>
        <w:bottom w:val="none" w:sz="0" w:space="0" w:color="auto"/>
        <w:right w:val="none" w:sz="0" w:space="0" w:color="auto"/>
      </w:divBdr>
    </w:div>
    <w:div w:id="1731345334">
      <w:bodyDiv w:val="1"/>
      <w:marLeft w:val="0"/>
      <w:marRight w:val="0"/>
      <w:marTop w:val="0"/>
      <w:marBottom w:val="0"/>
      <w:divBdr>
        <w:top w:val="none" w:sz="0" w:space="0" w:color="auto"/>
        <w:left w:val="none" w:sz="0" w:space="0" w:color="auto"/>
        <w:bottom w:val="none" w:sz="0" w:space="0" w:color="auto"/>
        <w:right w:val="none" w:sz="0" w:space="0" w:color="auto"/>
      </w:divBdr>
      <w:divsChild>
        <w:div w:id="13924930">
          <w:marLeft w:val="0"/>
          <w:marRight w:val="0"/>
          <w:marTop w:val="0"/>
          <w:marBottom w:val="0"/>
          <w:divBdr>
            <w:top w:val="none" w:sz="0" w:space="0" w:color="auto"/>
            <w:left w:val="none" w:sz="0" w:space="0" w:color="auto"/>
            <w:bottom w:val="none" w:sz="0" w:space="0" w:color="auto"/>
            <w:right w:val="none" w:sz="0" w:space="0" w:color="auto"/>
          </w:divBdr>
        </w:div>
        <w:div w:id="473449486">
          <w:marLeft w:val="0"/>
          <w:marRight w:val="0"/>
          <w:marTop w:val="0"/>
          <w:marBottom w:val="0"/>
          <w:divBdr>
            <w:top w:val="none" w:sz="0" w:space="0" w:color="auto"/>
            <w:left w:val="none" w:sz="0" w:space="0" w:color="auto"/>
            <w:bottom w:val="none" w:sz="0" w:space="0" w:color="auto"/>
            <w:right w:val="none" w:sz="0" w:space="0" w:color="auto"/>
          </w:divBdr>
        </w:div>
        <w:div w:id="1539123974">
          <w:marLeft w:val="0"/>
          <w:marRight w:val="0"/>
          <w:marTop w:val="0"/>
          <w:marBottom w:val="0"/>
          <w:divBdr>
            <w:top w:val="none" w:sz="0" w:space="0" w:color="auto"/>
            <w:left w:val="none" w:sz="0" w:space="0" w:color="auto"/>
            <w:bottom w:val="none" w:sz="0" w:space="0" w:color="auto"/>
            <w:right w:val="none" w:sz="0" w:space="0" w:color="auto"/>
          </w:divBdr>
        </w:div>
        <w:div w:id="2080977800">
          <w:marLeft w:val="0"/>
          <w:marRight w:val="0"/>
          <w:marTop w:val="0"/>
          <w:marBottom w:val="0"/>
          <w:divBdr>
            <w:top w:val="none" w:sz="0" w:space="0" w:color="auto"/>
            <w:left w:val="none" w:sz="0" w:space="0" w:color="auto"/>
            <w:bottom w:val="none" w:sz="0" w:space="0" w:color="auto"/>
            <w:right w:val="none" w:sz="0" w:space="0" w:color="auto"/>
          </w:divBdr>
        </w:div>
      </w:divsChild>
    </w:div>
    <w:div w:id="1760328081">
      <w:bodyDiv w:val="1"/>
      <w:marLeft w:val="0"/>
      <w:marRight w:val="0"/>
      <w:marTop w:val="0"/>
      <w:marBottom w:val="0"/>
      <w:divBdr>
        <w:top w:val="none" w:sz="0" w:space="0" w:color="auto"/>
        <w:left w:val="none" w:sz="0" w:space="0" w:color="auto"/>
        <w:bottom w:val="none" w:sz="0" w:space="0" w:color="auto"/>
        <w:right w:val="none" w:sz="0" w:space="0" w:color="auto"/>
      </w:divBdr>
    </w:div>
    <w:div w:id="1772553519">
      <w:bodyDiv w:val="1"/>
      <w:marLeft w:val="0"/>
      <w:marRight w:val="0"/>
      <w:marTop w:val="0"/>
      <w:marBottom w:val="0"/>
      <w:divBdr>
        <w:top w:val="none" w:sz="0" w:space="0" w:color="auto"/>
        <w:left w:val="none" w:sz="0" w:space="0" w:color="auto"/>
        <w:bottom w:val="none" w:sz="0" w:space="0" w:color="auto"/>
        <w:right w:val="none" w:sz="0" w:space="0" w:color="auto"/>
      </w:divBdr>
    </w:div>
    <w:div w:id="1775788687">
      <w:bodyDiv w:val="1"/>
      <w:marLeft w:val="0"/>
      <w:marRight w:val="0"/>
      <w:marTop w:val="0"/>
      <w:marBottom w:val="0"/>
      <w:divBdr>
        <w:top w:val="none" w:sz="0" w:space="0" w:color="auto"/>
        <w:left w:val="none" w:sz="0" w:space="0" w:color="auto"/>
        <w:bottom w:val="none" w:sz="0" w:space="0" w:color="auto"/>
        <w:right w:val="none" w:sz="0" w:space="0" w:color="auto"/>
      </w:divBdr>
    </w:div>
    <w:div w:id="1796438558">
      <w:bodyDiv w:val="1"/>
      <w:marLeft w:val="0"/>
      <w:marRight w:val="0"/>
      <w:marTop w:val="0"/>
      <w:marBottom w:val="0"/>
      <w:divBdr>
        <w:top w:val="none" w:sz="0" w:space="0" w:color="auto"/>
        <w:left w:val="none" w:sz="0" w:space="0" w:color="auto"/>
        <w:bottom w:val="none" w:sz="0" w:space="0" w:color="auto"/>
        <w:right w:val="none" w:sz="0" w:space="0" w:color="auto"/>
      </w:divBdr>
    </w:div>
    <w:div w:id="1945070640">
      <w:bodyDiv w:val="1"/>
      <w:marLeft w:val="0"/>
      <w:marRight w:val="0"/>
      <w:marTop w:val="0"/>
      <w:marBottom w:val="0"/>
      <w:divBdr>
        <w:top w:val="none" w:sz="0" w:space="0" w:color="auto"/>
        <w:left w:val="none" w:sz="0" w:space="0" w:color="auto"/>
        <w:bottom w:val="none" w:sz="0" w:space="0" w:color="auto"/>
        <w:right w:val="none" w:sz="0" w:space="0" w:color="auto"/>
      </w:divBdr>
    </w:div>
    <w:div w:id="1948463767">
      <w:bodyDiv w:val="1"/>
      <w:marLeft w:val="0"/>
      <w:marRight w:val="0"/>
      <w:marTop w:val="0"/>
      <w:marBottom w:val="0"/>
      <w:divBdr>
        <w:top w:val="none" w:sz="0" w:space="0" w:color="auto"/>
        <w:left w:val="none" w:sz="0" w:space="0" w:color="auto"/>
        <w:bottom w:val="none" w:sz="0" w:space="0" w:color="auto"/>
        <w:right w:val="none" w:sz="0" w:space="0" w:color="auto"/>
      </w:divBdr>
    </w:div>
    <w:div w:id="1954364539">
      <w:bodyDiv w:val="1"/>
      <w:marLeft w:val="0"/>
      <w:marRight w:val="0"/>
      <w:marTop w:val="0"/>
      <w:marBottom w:val="0"/>
      <w:divBdr>
        <w:top w:val="none" w:sz="0" w:space="0" w:color="auto"/>
        <w:left w:val="none" w:sz="0" w:space="0" w:color="auto"/>
        <w:bottom w:val="none" w:sz="0" w:space="0" w:color="auto"/>
        <w:right w:val="none" w:sz="0" w:space="0" w:color="auto"/>
      </w:divBdr>
    </w:div>
    <w:div w:id="1967159186">
      <w:bodyDiv w:val="1"/>
      <w:marLeft w:val="0"/>
      <w:marRight w:val="0"/>
      <w:marTop w:val="0"/>
      <w:marBottom w:val="0"/>
      <w:divBdr>
        <w:top w:val="none" w:sz="0" w:space="0" w:color="auto"/>
        <w:left w:val="none" w:sz="0" w:space="0" w:color="auto"/>
        <w:bottom w:val="none" w:sz="0" w:space="0" w:color="auto"/>
        <w:right w:val="none" w:sz="0" w:space="0" w:color="auto"/>
      </w:divBdr>
    </w:div>
    <w:div w:id="1971788688">
      <w:bodyDiv w:val="1"/>
      <w:marLeft w:val="0"/>
      <w:marRight w:val="0"/>
      <w:marTop w:val="0"/>
      <w:marBottom w:val="0"/>
      <w:divBdr>
        <w:top w:val="none" w:sz="0" w:space="0" w:color="auto"/>
        <w:left w:val="none" w:sz="0" w:space="0" w:color="auto"/>
        <w:bottom w:val="none" w:sz="0" w:space="0" w:color="auto"/>
        <w:right w:val="none" w:sz="0" w:space="0" w:color="auto"/>
      </w:divBdr>
    </w:div>
    <w:div w:id="2022703660">
      <w:bodyDiv w:val="1"/>
      <w:marLeft w:val="0"/>
      <w:marRight w:val="0"/>
      <w:marTop w:val="0"/>
      <w:marBottom w:val="0"/>
      <w:divBdr>
        <w:top w:val="none" w:sz="0" w:space="0" w:color="auto"/>
        <w:left w:val="none" w:sz="0" w:space="0" w:color="auto"/>
        <w:bottom w:val="none" w:sz="0" w:space="0" w:color="auto"/>
        <w:right w:val="none" w:sz="0" w:space="0" w:color="auto"/>
      </w:divBdr>
    </w:div>
    <w:div w:id="2047484884">
      <w:bodyDiv w:val="1"/>
      <w:marLeft w:val="0"/>
      <w:marRight w:val="0"/>
      <w:marTop w:val="0"/>
      <w:marBottom w:val="0"/>
      <w:divBdr>
        <w:top w:val="none" w:sz="0" w:space="0" w:color="auto"/>
        <w:left w:val="none" w:sz="0" w:space="0" w:color="auto"/>
        <w:bottom w:val="none" w:sz="0" w:space="0" w:color="auto"/>
        <w:right w:val="none" w:sz="0" w:space="0" w:color="auto"/>
      </w:divBdr>
    </w:div>
    <w:div w:id="2070573019">
      <w:bodyDiv w:val="1"/>
      <w:marLeft w:val="0"/>
      <w:marRight w:val="0"/>
      <w:marTop w:val="0"/>
      <w:marBottom w:val="0"/>
      <w:divBdr>
        <w:top w:val="none" w:sz="0" w:space="0" w:color="auto"/>
        <w:left w:val="none" w:sz="0" w:space="0" w:color="auto"/>
        <w:bottom w:val="none" w:sz="0" w:space="0" w:color="auto"/>
        <w:right w:val="none" w:sz="0" w:space="0" w:color="auto"/>
      </w:divBdr>
    </w:div>
    <w:div w:id="2098744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arches-publics.gouv.fr/entreprise"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marches-publics.gouv.fr/entrepri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Paysdl.ccira@direccte.gouv"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ta-rennes.juradm.fr/"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greffe.ta-rennes@juradm.fr"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7FE80-4D18-4CF9-8D8D-CA2E9F9D6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5058</Words>
  <Characters>27822</Characters>
  <Application>Microsoft Office Word</Application>
  <DocSecurity>0</DocSecurity>
  <Lines>231</Lines>
  <Paragraphs>65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32815</CharactersWithSpaces>
  <SharedDoc>false</SharedDoc>
  <HLinks>
    <vt:vector size="192" baseType="variant">
      <vt:variant>
        <vt:i4>6815775</vt:i4>
      </vt:variant>
      <vt:variant>
        <vt:i4>177</vt:i4>
      </vt:variant>
      <vt:variant>
        <vt:i4>0</vt:i4>
      </vt:variant>
      <vt:variant>
        <vt:i4>5</vt:i4>
      </vt:variant>
      <vt:variant>
        <vt:lpwstr>mailto:Paysdl.ccira@direccte.gouv</vt:lpwstr>
      </vt:variant>
      <vt:variant>
        <vt:lpwstr/>
      </vt:variant>
      <vt:variant>
        <vt:i4>2752633</vt:i4>
      </vt:variant>
      <vt:variant>
        <vt:i4>174</vt:i4>
      </vt:variant>
      <vt:variant>
        <vt:i4>0</vt:i4>
      </vt:variant>
      <vt:variant>
        <vt:i4>5</vt:i4>
      </vt:variant>
      <vt:variant>
        <vt:lpwstr>http://www.ta-rennes.juradm.fr/</vt:lpwstr>
      </vt:variant>
      <vt:variant>
        <vt:lpwstr/>
      </vt:variant>
      <vt:variant>
        <vt:i4>7274568</vt:i4>
      </vt:variant>
      <vt:variant>
        <vt:i4>171</vt:i4>
      </vt:variant>
      <vt:variant>
        <vt:i4>0</vt:i4>
      </vt:variant>
      <vt:variant>
        <vt:i4>5</vt:i4>
      </vt:variant>
      <vt:variant>
        <vt:lpwstr>mailto:greffe.ta-rennes@juradm.fr</vt:lpwstr>
      </vt:variant>
      <vt:variant>
        <vt:lpwstr/>
      </vt:variant>
      <vt:variant>
        <vt:i4>6684791</vt:i4>
      </vt:variant>
      <vt:variant>
        <vt:i4>168</vt:i4>
      </vt:variant>
      <vt:variant>
        <vt:i4>0</vt:i4>
      </vt:variant>
      <vt:variant>
        <vt:i4>5</vt:i4>
      </vt:variant>
      <vt:variant>
        <vt:lpwstr>https://www.marches-publics.gouv.fr/entreprise</vt:lpwstr>
      </vt:variant>
      <vt:variant>
        <vt:lpwstr/>
      </vt:variant>
      <vt:variant>
        <vt:i4>6684791</vt:i4>
      </vt:variant>
      <vt:variant>
        <vt:i4>165</vt:i4>
      </vt:variant>
      <vt:variant>
        <vt:i4>0</vt:i4>
      </vt:variant>
      <vt:variant>
        <vt:i4>5</vt:i4>
      </vt:variant>
      <vt:variant>
        <vt:lpwstr>https://www.marches-publics.gouv.fr/entreprise</vt:lpwstr>
      </vt:variant>
      <vt:variant>
        <vt:lpwstr/>
      </vt:variant>
      <vt:variant>
        <vt:i4>2031668</vt:i4>
      </vt:variant>
      <vt:variant>
        <vt:i4>158</vt:i4>
      </vt:variant>
      <vt:variant>
        <vt:i4>0</vt:i4>
      </vt:variant>
      <vt:variant>
        <vt:i4>5</vt:i4>
      </vt:variant>
      <vt:variant>
        <vt:lpwstr/>
      </vt:variant>
      <vt:variant>
        <vt:lpwstr>_Toc219977875</vt:lpwstr>
      </vt:variant>
      <vt:variant>
        <vt:i4>2031668</vt:i4>
      </vt:variant>
      <vt:variant>
        <vt:i4>152</vt:i4>
      </vt:variant>
      <vt:variant>
        <vt:i4>0</vt:i4>
      </vt:variant>
      <vt:variant>
        <vt:i4>5</vt:i4>
      </vt:variant>
      <vt:variant>
        <vt:lpwstr/>
      </vt:variant>
      <vt:variant>
        <vt:lpwstr>_Toc219977874</vt:lpwstr>
      </vt:variant>
      <vt:variant>
        <vt:i4>2031668</vt:i4>
      </vt:variant>
      <vt:variant>
        <vt:i4>146</vt:i4>
      </vt:variant>
      <vt:variant>
        <vt:i4>0</vt:i4>
      </vt:variant>
      <vt:variant>
        <vt:i4>5</vt:i4>
      </vt:variant>
      <vt:variant>
        <vt:lpwstr/>
      </vt:variant>
      <vt:variant>
        <vt:lpwstr>_Toc219977873</vt:lpwstr>
      </vt:variant>
      <vt:variant>
        <vt:i4>2031668</vt:i4>
      </vt:variant>
      <vt:variant>
        <vt:i4>140</vt:i4>
      </vt:variant>
      <vt:variant>
        <vt:i4>0</vt:i4>
      </vt:variant>
      <vt:variant>
        <vt:i4>5</vt:i4>
      </vt:variant>
      <vt:variant>
        <vt:lpwstr/>
      </vt:variant>
      <vt:variant>
        <vt:lpwstr>_Toc219977872</vt:lpwstr>
      </vt:variant>
      <vt:variant>
        <vt:i4>2031668</vt:i4>
      </vt:variant>
      <vt:variant>
        <vt:i4>134</vt:i4>
      </vt:variant>
      <vt:variant>
        <vt:i4>0</vt:i4>
      </vt:variant>
      <vt:variant>
        <vt:i4>5</vt:i4>
      </vt:variant>
      <vt:variant>
        <vt:lpwstr/>
      </vt:variant>
      <vt:variant>
        <vt:lpwstr>_Toc219977871</vt:lpwstr>
      </vt:variant>
      <vt:variant>
        <vt:i4>2031668</vt:i4>
      </vt:variant>
      <vt:variant>
        <vt:i4>128</vt:i4>
      </vt:variant>
      <vt:variant>
        <vt:i4>0</vt:i4>
      </vt:variant>
      <vt:variant>
        <vt:i4>5</vt:i4>
      </vt:variant>
      <vt:variant>
        <vt:lpwstr/>
      </vt:variant>
      <vt:variant>
        <vt:lpwstr>_Toc219977870</vt:lpwstr>
      </vt:variant>
      <vt:variant>
        <vt:i4>1966132</vt:i4>
      </vt:variant>
      <vt:variant>
        <vt:i4>122</vt:i4>
      </vt:variant>
      <vt:variant>
        <vt:i4>0</vt:i4>
      </vt:variant>
      <vt:variant>
        <vt:i4>5</vt:i4>
      </vt:variant>
      <vt:variant>
        <vt:lpwstr/>
      </vt:variant>
      <vt:variant>
        <vt:lpwstr>_Toc219977869</vt:lpwstr>
      </vt:variant>
      <vt:variant>
        <vt:i4>1966132</vt:i4>
      </vt:variant>
      <vt:variant>
        <vt:i4>116</vt:i4>
      </vt:variant>
      <vt:variant>
        <vt:i4>0</vt:i4>
      </vt:variant>
      <vt:variant>
        <vt:i4>5</vt:i4>
      </vt:variant>
      <vt:variant>
        <vt:lpwstr/>
      </vt:variant>
      <vt:variant>
        <vt:lpwstr>_Toc219977868</vt:lpwstr>
      </vt:variant>
      <vt:variant>
        <vt:i4>1966132</vt:i4>
      </vt:variant>
      <vt:variant>
        <vt:i4>110</vt:i4>
      </vt:variant>
      <vt:variant>
        <vt:i4>0</vt:i4>
      </vt:variant>
      <vt:variant>
        <vt:i4>5</vt:i4>
      </vt:variant>
      <vt:variant>
        <vt:lpwstr/>
      </vt:variant>
      <vt:variant>
        <vt:lpwstr>_Toc219977867</vt:lpwstr>
      </vt:variant>
      <vt:variant>
        <vt:i4>1966132</vt:i4>
      </vt:variant>
      <vt:variant>
        <vt:i4>104</vt:i4>
      </vt:variant>
      <vt:variant>
        <vt:i4>0</vt:i4>
      </vt:variant>
      <vt:variant>
        <vt:i4>5</vt:i4>
      </vt:variant>
      <vt:variant>
        <vt:lpwstr/>
      </vt:variant>
      <vt:variant>
        <vt:lpwstr>_Toc219977866</vt:lpwstr>
      </vt:variant>
      <vt:variant>
        <vt:i4>1966132</vt:i4>
      </vt:variant>
      <vt:variant>
        <vt:i4>98</vt:i4>
      </vt:variant>
      <vt:variant>
        <vt:i4>0</vt:i4>
      </vt:variant>
      <vt:variant>
        <vt:i4>5</vt:i4>
      </vt:variant>
      <vt:variant>
        <vt:lpwstr/>
      </vt:variant>
      <vt:variant>
        <vt:lpwstr>_Toc219977865</vt:lpwstr>
      </vt:variant>
      <vt:variant>
        <vt:i4>1966132</vt:i4>
      </vt:variant>
      <vt:variant>
        <vt:i4>92</vt:i4>
      </vt:variant>
      <vt:variant>
        <vt:i4>0</vt:i4>
      </vt:variant>
      <vt:variant>
        <vt:i4>5</vt:i4>
      </vt:variant>
      <vt:variant>
        <vt:lpwstr/>
      </vt:variant>
      <vt:variant>
        <vt:lpwstr>_Toc219977864</vt:lpwstr>
      </vt:variant>
      <vt:variant>
        <vt:i4>1966132</vt:i4>
      </vt:variant>
      <vt:variant>
        <vt:i4>86</vt:i4>
      </vt:variant>
      <vt:variant>
        <vt:i4>0</vt:i4>
      </vt:variant>
      <vt:variant>
        <vt:i4>5</vt:i4>
      </vt:variant>
      <vt:variant>
        <vt:lpwstr/>
      </vt:variant>
      <vt:variant>
        <vt:lpwstr>_Toc219977863</vt:lpwstr>
      </vt:variant>
      <vt:variant>
        <vt:i4>1966132</vt:i4>
      </vt:variant>
      <vt:variant>
        <vt:i4>80</vt:i4>
      </vt:variant>
      <vt:variant>
        <vt:i4>0</vt:i4>
      </vt:variant>
      <vt:variant>
        <vt:i4>5</vt:i4>
      </vt:variant>
      <vt:variant>
        <vt:lpwstr/>
      </vt:variant>
      <vt:variant>
        <vt:lpwstr>_Toc219977862</vt:lpwstr>
      </vt:variant>
      <vt:variant>
        <vt:i4>1966132</vt:i4>
      </vt:variant>
      <vt:variant>
        <vt:i4>74</vt:i4>
      </vt:variant>
      <vt:variant>
        <vt:i4>0</vt:i4>
      </vt:variant>
      <vt:variant>
        <vt:i4>5</vt:i4>
      </vt:variant>
      <vt:variant>
        <vt:lpwstr/>
      </vt:variant>
      <vt:variant>
        <vt:lpwstr>_Toc219977861</vt:lpwstr>
      </vt:variant>
      <vt:variant>
        <vt:i4>1966132</vt:i4>
      </vt:variant>
      <vt:variant>
        <vt:i4>68</vt:i4>
      </vt:variant>
      <vt:variant>
        <vt:i4>0</vt:i4>
      </vt:variant>
      <vt:variant>
        <vt:i4>5</vt:i4>
      </vt:variant>
      <vt:variant>
        <vt:lpwstr/>
      </vt:variant>
      <vt:variant>
        <vt:lpwstr>_Toc219977860</vt:lpwstr>
      </vt:variant>
      <vt:variant>
        <vt:i4>1900596</vt:i4>
      </vt:variant>
      <vt:variant>
        <vt:i4>62</vt:i4>
      </vt:variant>
      <vt:variant>
        <vt:i4>0</vt:i4>
      </vt:variant>
      <vt:variant>
        <vt:i4>5</vt:i4>
      </vt:variant>
      <vt:variant>
        <vt:lpwstr/>
      </vt:variant>
      <vt:variant>
        <vt:lpwstr>_Toc219977859</vt:lpwstr>
      </vt:variant>
      <vt:variant>
        <vt:i4>1900596</vt:i4>
      </vt:variant>
      <vt:variant>
        <vt:i4>56</vt:i4>
      </vt:variant>
      <vt:variant>
        <vt:i4>0</vt:i4>
      </vt:variant>
      <vt:variant>
        <vt:i4>5</vt:i4>
      </vt:variant>
      <vt:variant>
        <vt:lpwstr/>
      </vt:variant>
      <vt:variant>
        <vt:lpwstr>_Toc219977858</vt:lpwstr>
      </vt:variant>
      <vt:variant>
        <vt:i4>1900596</vt:i4>
      </vt:variant>
      <vt:variant>
        <vt:i4>50</vt:i4>
      </vt:variant>
      <vt:variant>
        <vt:i4>0</vt:i4>
      </vt:variant>
      <vt:variant>
        <vt:i4>5</vt:i4>
      </vt:variant>
      <vt:variant>
        <vt:lpwstr/>
      </vt:variant>
      <vt:variant>
        <vt:lpwstr>_Toc219977857</vt:lpwstr>
      </vt:variant>
      <vt:variant>
        <vt:i4>1900596</vt:i4>
      </vt:variant>
      <vt:variant>
        <vt:i4>44</vt:i4>
      </vt:variant>
      <vt:variant>
        <vt:i4>0</vt:i4>
      </vt:variant>
      <vt:variant>
        <vt:i4>5</vt:i4>
      </vt:variant>
      <vt:variant>
        <vt:lpwstr/>
      </vt:variant>
      <vt:variant>
        <vt:lpwstr>_Toc219977856</vt:lpwstr>
      </vt:variant>
      <vt:variant>
        <vt:i4>1900596</vt:i4>
      </vt:variant>
      <vt:variant>
        <vt:i4>38</vt:i4>
      </vt:variant>
      <vt:variant>
        <vt:i4>0</vt:i4>
      </vt:variant>
      <vt:variant>
        <vt:i4>5</vt:i4>
      </vt:variant>
      <vt:variant>
        <vt:lpwstr/>
      </vt:variant>
      <vt:variant>
        <vt:lpwstr>_Toc219977855</vt:lpwstr>
      </vt:variant>
      <vt:variant>
        <vt:i4>1900596</vt:i4>
      </vt:variant>
      <vt:variant>
        <vt:i4>32</vt:i4>
      </vt:variant>
      <vt:variant>
        <vt:i4>0</vt:i4>
      </vt:variant>
      <vt:variant>
        <vt:i4>5</vt:i4>
      </vt:variant>
      <vt:variant>
        <vt:lpwstr/>
      </vt:variant>
      <vt:variant>
        <vt:lpwstr>_Toc219977854</vt:lpwstr>
      </vt:variant>
      <vt:variant>
        <vt:i4>1900596</vt:i4>
      </vt:variant>
      <vt:variant>
        <vt:i4>26</vt:i4>
      </vt:variant>
      <vt:variant>
        <vt:i4>0</vt:i4>
      </vt:variant>
      <vt:variant>
        <vt:i4>5</vt:i4>
      </vt:variant>
      <vt:variant>
        <vt:lpwstr/>
      </vt:variant>
      <vt:variant>
        <vt:lpwstr>_Toc219977853</vt:lpwstr>
      </vt:variant>
      <vt:variant>
        <vt:i4>1900596</vt:i4>
      </vt:variant>
      <vt:variant>
        <vt:i4>20</vt:i4>
      </vt:variant>
      <vt:variant>
        <vt:i4>0</vt:i4>
      </vt:variant>
      <vt:variant>
        <vt:i4>5</vt:i4>
      </vt:variant>
      <vt:variant>
        <vt:lpwstr/>
      </vt:variant>
      <vt:variant>
        <vt:lpwstr>_Toc219977852</vt:lpwstr>
      </vt:variant>
      <vt:variant>
        <vt:i4>1900596</vt:i4>
      </vt:variant>
      <vt:variant>
        <vt:i4>14</vt:i4>
      </vt:variant>
      <vt:variant>
        <vt:i4>0</vt:i4>
      </vt:variant>
      <vt:variant>
        <vt:i4>5</vt:i4>
      </vt:variant>
      <vt:variant>
        <vt:lpwstr/>
      </vt:variant>
      <vt:variant>
        <vt:lpwstr>_Toc219977851</vt:lpwstr>
      </vt:variant>
      <vt:variant>
        <vt:i4>1900596</vt:i4>
      </vt:variant>
      <vt:variant>
        <vt:i4>8</vt:i4>
      </vt:variant>
      <vt:variant>
        <vt:i4>0</vt:i4>
      </vt:variant>
      <vt:variant>
        <vt:i4>5</vt:i4>
      </vt:variant>
      <vt:variant>
        <vt:lpwstr/>
      </vt:variant>
      <vt:variant>
        <vt:lpwstr>_Toc219977850</vt:lpwstr>
      </vt:variant>
      <vt:variant>
        <vt:i4>1835060</vt:i4>
      </vt:variant>
      <vt:variant>
        <vt:i4>2</vt:i4>
      </vt:variant>
      <vt:variant>
        <vt:i4>0</vt:i4>
      </vt:variant>
      <vt:variant>
        <vt:i4>5</vt:i4>
      </vt:variant>
      <vt:variant>
        <vt:lpwstr/>
      </vt:variant>
      <vt:variant>
        <vt:lpwstr>_Toc219977849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dc:creator>
  <cp:keywords/>
  <cp:lastModifiedBy>TRAMHEL Morgan</cp:lastModifiedBy>
  <cp:revision>2</cp:revision>
  <cp:lastPrinted>2006-01-17T11:27:00Z</cp:lastPrinted>
  <dcterms:created xsi:type="dcterms:W3CDTF">2026-01-23T09:34:00Z</dcterms:created>
  <dcterms:modified xsi:type="dcterms:W3CDTF">2026-01-23T09:34:00Z</dcterms:modified>
</cp:coreProperties>
</file>