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235ED" w14:textId="77777777" w:rsidR="006E7EF5" w:rsidRDefault="00AC41B0">
      <w:pPr>
        <w:pStyle w:val="Titre2"/>
        <w:tabs>
          <w:tab w:val="left" w:pos="9284"/>
        </w:tabs>
        <w:spacing w:before="0" w:after="120"/>
        <w:ind w:left="777"/>
        <w:rPr>
          <w:rFonts w:ascii="Calibri" w:eastAsia="Avenir Next LT Pro" w:hAnsi="Calibri" w:cs="Calibri"/>
          <w:color w:val="03A2A6"/>
          <w:sz w:val="24"/>
          <w:szCs w:val="24"/>
        </w:rPr>
      </w:pPr>
      <w:bookmarkStart w:id="0" w:name="_Toc219386250"/>
      <w:r>
        <w:rPr>
          <w:rFonts w:ascii="Calibri" w:eastAsia="Avenir Next LT Pro" w:hAnsi="Calibri" w:cs="Calibri"/>
          <w:noProof/>
          <w:color w:val="03A2A6"/>
          <w:sz w:val="24"/>
          <w:szCs w:val="24"/>
        </w:rPr>
        <mc:AlternateContent>
          <mc:Choice Requires="wps">
            <w:drawing>
              <wp:anchor distT="0" distB="0" distL="0" distR="0" simplePos="0" relativeHeight="18" behindDoc="0" locked="0" layoutInCell="0" allowOverlap="1" wp14:anchorId="6E161469" wp14:editId="7180496A">
                <wp:simplePos x="0" y="0"/>
                <wp:positionH relativeFrom="margin">
                  <wp:posOffset>-190500</wp:posOffset>
                </wp:positionH>
                <wp:positionV relativeFrom="paragraph">
                  <wp:posOffset>-285115</wp:posOffset>
                </wp:positionV>
                <wp:extent cx="2317750" cy="923925"/>
                <wp:effectExtent l="0" t="0" r="0" b="0"/>
                <wp:wrapNone/>
                <wp:docPr id="1" name="Text Box 2"/>
                <wp:cNvGraphicFramePr/>
                <a:graphic xmlns:a="http://schemas.openxmlformats.org/drawingml/2006/main">
                  <a:graphicData uri="http://schemas.microsoft.com/office/word/2010/wordprocessingShape">
                    <wps:wsp>
                      <wps:cNvSpPr/>
                      <wps:spPr>
                        <a:xfrm>
                          <a:off x="0" y="0"/>
                          <a:ext cx="2317680" cy="923760"/>
                        </a:xfrm>
                        <a:prstGeom prst="rect">
                          <a:avLst/>
                        </a:prstGeom>
                        <a:noFill/>
                        <a:ln w="9525">
                          <a:noFill/>
                        </a:ln>
                      </wps:spPr>
                      <wps:style>
                        <a:lnRef idx="0">
                          <a:scrgbClr r="0" g="0" b="0"/>
                        </a:lnRef>
                        <a:fillRef idx="0">
                          <a:scrgbClr r="0" g="0" b="0"/>
                        </a:fillRef>
                        <a:effectRef idx="0">
                          <a:scrgbClr r="0" g="0" b="0"/>
                        </a:effectRef>
                        <a:fontRef idx="minor"/>
                      </wps:style>
                      <wps:txbx>
                        <w:txbxContent>
                          <w:p w14:paraId="263DE23F" w14:textId="77777777" w:rsidR="00AC41B0" w:rsidRDefault="00AC41B0">
                            <w:pPr>
                              <w:pStyle w:val="Contenudecadre"/>
                              <w:rPr>
                                <w:lang w:val="en-US"/>
                              </w:rPr>
                            </w:pPr>
                            <w:bookmarkStart w:id="1" w:name="_Hlk210828606"/>
                            <w:bookmarkEnd w:id="1"/>
                            <w:r>
                              <w:rPr>
                                <w:noProof/>
                                <w:color w:val="000000"/>
                              </w:rPr>
                              <w:drawing>
                                <wp:inline distT="0" distB="0" distL="0" distR="0" wp14:anchorId="72C0098D" wp14:editId="4C3B5BB6">
                                  <wp:extent cx="2125980" cy="833755"/>
                                  <wp:effectExtent l="0" t="0" r="0" b="0"/>
                                  <wp:docPr id="3" name="Image 280" descr="Une image contenant dessin, s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80" descr="Une image contenant dessin, signe&#10;&#10;Description générée automatiquement"/>
                                          <pic:cNvPicPr>
                                            <a:picLocks noChangeAspect="1" noChangeArrowheads="1"/>
                                          </pic:cNvPicPr>
                                        </pic:nvPicPr>
                                        <pic:blipFill>
                                          <a:blip r:embed="rId11"/>
                                          <a:stretch>
                                            <a:fillRect/>
                                          </a:stretch>
                                        </pic:blipFill>
                                        <pic:spPr bwMode="auto">
                                          <a:xfrm>
                                            <a:off x="0" y="0"/>
                                            <a:ext cx="2125980" cy="833755"/>
                                          </a:xfrm>
                                          <a:prstGeom prst="rect">
                                            <a:avLst/>
                                          </a:prstGeom>
                                        </pic:spPr>
                                      </pic:pic>
                                    </a:graphicData>
                                  </a:graphic>
                                </wp:inline>
                              </w:drawing>
                            </w:r>
                          </w:p>
                        </w:txbxContent>
                      </wps:txbx>
                      <wps:bodyPr anchor="t">
                        <a:spAutoFit/>
                      </wps:bodyPr>
                    </wps:wsp>
                  </a:graphicData>
                </a:graphic>
                <wp14:sizeRelV relativeFrom="margin">
                  <wp14:pctHeight>20000</wp14:pctHeight>
                </wp14:sizeRelV>
              </wp:anchor>
            </w:drawing>
          </mc:Choice>
          <mc:Fallback>
            <w:pict>
              <v:rect w14:anchorId="6E161469" id="Text Box 2" o:spid="_x0000_s1026" style="position:absolute;left:0;text-align:left;margin-left:-15pt;margin-top:-22.45pt;width:182.5pt;height:72.75pt;z-index:18;visibility:visible;mso-wrap-style:square;mso-height-percent:200;mso-wrap-distance-left:0;mso-wrap-distance-top:0;mso-wrap-distance-right:0;mso-wrap-distance-bottom:0;mso-position-horizontal:absolute;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" o:allowincell="f" filled="f" stroked="f">
                <v:textbox style="mso-fit-shape-to-text:t">
                  <w:txbxContent>
                    <w:p w14:paraId="263DE23F" w14:textId="77777777" w:rsidR="00AC41B0" w:rsidRDefault="00AC41B0">
                      <w:pPr>
                        <w:pStyle w:val="Contenudecadre"/>
                        <w:rPr>
                          <w:lang w:val="en-US"/>
                        </w:rPr>
                      </w:pPr>
                      <w:bookmarkStart w:id="2" w:name="_Hlk210828606"/>
                      <w:bookmarkEnd w:id="2"/>
                      <w:r>
                        <w:rPr>
                          <w:noProof/>
                          <w:color w:val="000000"/>
                        </w:rPr>
                        <w:drawing>
                          <wp:inline distT="0" distB="0" distL="0" distR="0" wp14:anchorId="72C0098D" wp14:editId="4C3B5BB6">
                            <wp:extent cx="2125980" cy="833755"/>
                            <wp:effectExtent l="0" t="0" r="0" b="0"/>
                            <wp:docPr id="3" name="Image 280" descr="Une image contenant dessin, s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80" descr="Une image contenant dessin, signe&#10;&#10;Description générée automatiquement"/>
                                    <pic:cNvPicPr>
                                      <a:picLocks noChangeAspect="1" noChangeArrowheads="1"/>
                                    </pic:cNvPicPr>
                                  </pic:nvPicPr>
                                  <pic:blipFill>
                                    <a:blip r:embed="rId11"/>
                                    <a:stretch>
                                      <a:fillRect/>
                                    </a:stretch>
                                  </pic:blipFill>
                                  <pic:spPr bwMode="auto">
                                    <a:xfrm>
                                      <a:off x="0" y="0"/>
                                      <a:ext cx="2125980" cy="833755"/>
                                    </a:xfrm>
                                    <a:prstGeom prst="rect">
                                      <a:avLst/>
                                    </a:prstGeom>
                                  </pic:spPr>
                                </pic:pic>
                              </a:graphicData>
                            </a:graphic>
                          </wp:inline>
                        </w:drawing>
                      </w:r>
                    </w:p>
                  </w:txbxContent>
                </v:textbox>
                <w10:wrap anchorx="margin"/>
              </v:rect>
            </w:pict>
          </mc:Fallback>
        </mc:AlternateContent>
      </w:r>
      <w:bookmarkEnd w:id="0"/>
    </w:p>
    <w:p w14:paraId="2F1D46D5" w14:textId="77777777" w:rsidR="006E7EF5" w:rsidRDefault="006E7EF5">
      <w:pPr>
        <w:pStyle w:val="Titre2"/>
        <w:tabs>
          <w:tab w:val="left" w:pos="9284"/>
        </w:tabs>
        <w:spacing w:before="0" w:after="120"/>
        <w:ind w:left="777"/>
        <w:rPr>
          <w:rFonts w:ascii="Calibri" w:eastAsia="Avenir Next LT Pro" w:hAnsi="Calibri" w:cs="Calibri"/>
          <w:color w:val="03A2A6"/>
          <w:sz w:val="24"/>
          <w:szCs w:val="24"/>
        </w:rPr>
      </w:pPr>
    </w:p>
    <w:p w14:paraId="113318D9" w14:textId="77777777" w:rsidR="006E7EF5" w:rsidRDefault="006E7EF5">
      <w:pPr>
        <w:spacing w:after="120" w:line="240" w:lineRule="auto"/>
        <w:rPr>
          <w:rFonts w:ascii="Calibri" w:hAnsi="Calibri" w:cs="Calibri"/>
        </w:rPr>
      </w:pPr>
    </w:p>
    <w:p w14:paraId="704CEA89" w14:textId="77777777" w:rsidR="006E7EF5" w:rsidRDefault="006E7EF5">
      <w:pPr>
        <w:spacing w:after="120" w:line="240" w:lineRule="auto"/>
        <w:rPr>
          <w:rFonts w:ascii="Calibri" w:hAnsi="Calibri" w:cs="Calibri"/>
        </w:rPr>
      </w:pPr>
    </w:p>
    <w:p w14:paraId="51CE8254" w14:textId="77777777" w:rsidR="006E7EF5" w:rsidRDefault="006E7EF5">
      <w:pPr>
        <w:spacing w:after="120" w:line="240" w:lineRule="auto"/>
        <w:rPr>
          <w:rFonts w:ascii="Calibri" w:hAnsi="Calibri" w:cs="Calibri"/>
        </w:rPr>
      </w:pPr>
    </w:p>
    <w:p w14:paraId="7A6AB464" w14:textId="77777777" w:rsidR="006E7EF5" w:rsidRDefault="006E7EF5">
      <w:pPr>
        <w:spacing w:after="120" w:line="240" w:lineRule="auto"/>
        <w:rPr>
          <w:rFonts w:ascii="Calibri" w:hAnsi="Calibri" w:cs="Calibri"/>
        </w:rPr>
      </w:pPr>
    </w:p>
    <w:p w14:paraId="6A976566" w14:textId="77777777" w:rsidR="006E7EF5" w:rsidRDefault="006E7EF5">
      <w:pPr>
        <w:spacing w:after="120" w:line="240" w:lineRule="auto"/>
        <w:rPr>
          <w:rFonts w:ascii="Calibri" w:hAnsi="Calibri" w:cs="Calibri"/>
        </w:rPr>
      </w:pPr>
    </w:p>
    <w:p w14:paraId="4D19EAAC" w14:textId="77777777" w:rsidR="006E7EF5" w:rsidRDefault="006E7EF5">
      <w:pPr>
        <w:spacing w:after="120" w:line="240" w:lineRule="auto"/>
        <w:rPr>
          <w:rFonts w:ascii="Calibri" w:hAnsi="Calibri" w:cs="Calibri"/>
        </w:rPr>
      </w:pPr>
    </w:p>
    <w:p w14:paraId="764CA28C" w14:textId="77777777" w:rsidR="006E7EF5" w:rsidRDefault="00AC41B0">
      <w:pPr>
        <w:spacing w:after="120" w:line="240" w:lineRule="auto"/>
        <w:rPr>
          <w:rFonts w:ascii="Calibri" w:hAnsi="Calibri" w:cs="Calibri"/>
        </w:rPr>
      </w:pPr>
      <w:r>
        <w:rPr>
          <w:rFonts w:ascii="Calibri" w:hAnsi="Calibri" w:cs="Calibri"/>
          <w:noProof/>
        </w:rPr>
        <w:drawing>
          <wp:anchor distT="0" distB="0" distL="114300" distR="114300" simplePos="0" relativeHeight="26" behindDoc="0" locked="0" layoutInCell="0" allowOverlap="1" wp14:anchorId="618D6BE8" wp14:editId="09717BA0">
            <wp:simplePos x="0" y="0"/>
            <wp:positionH relativeFrom="column">
              <wp:posOffset>1297940</wp:posOffset>
            </wp:positionH>
            <wp:positionV relativeFrom="paragraph">
              <wp:posOffset>8890</wp:posOffset>
            </wp:positionV>
            <wp:extent cx="3597910" cy="946785"/>
            <wp:effectExtent l="0" t="0" r="0" b="0"/>
            <wp:wrapSquare wrapText="bothSides"/>
            <wp:docPr id="2" name="Image 3" descr="C:\Users\cpereirasan\AppData\Local\Temp\Temp1_VALISE LOGOTYPE.zip\LOGOTYPE\LOGO\CMJN [Print]\Logo-INRAE_Quadri-[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 descr="C:\Users\cpereirasan\AppData\Local\Temp\Temp1_VALISE LOGOTYPE.zip\LOGOTYPE\LOGO\CMJN [Print]\Logo-INRAE_Quadri-[HD].jpg"/>
                    <pic:cNvPicPr>
                      <a:picLocks noChangeAspect="1" noChangeArrowheads="1"/>
                    </pic:cNvPicPr>
                  </pic:nvPicPr>
                  <pic:blipFill>
                    <a:blip r:embed="rId12"/>
                    <a:stretch>
                      <a:fillRect/>
                    </a:stretch>
                  </pic:blipFill>
                  <pic:spPr bwMode="auto">
                    <a:xfrm>
                      <a:off x="0" y="0"/>
                      <a:ext cx="3597910" cy="946785"/>
                    </a:xfrm>
                    <a:prstGeom prst="rect">
                      <a:avLst/>
                    </a:prstGeom>
                  </pic:spPr>
                </pic:pic>
              </a:graphicData>
            </a:graphic>
          </wp:anchor>
        </w:drawing>
      </w:r>
    </w:p>
    <w:p w14:paraId="7504BB6F" w14:textId="77777777" w:rsidR="006E7EF5" w:rsidRDefault="006E7EF5">
      <w:pPr>
        <w:spacing w:after="120" w:line="240" w:lineRule="auto"/>
        <w:rPr>
          <w:rFonts w:ascii="Calibri" w:hAnsi="Calibri" w:cs="Calibri"/>
        </w:rPr>
      </w:pPr>
    </w:p>
    <w:p w14:paraId="519784CA" w14:textId="77777777" w:rsidR="006E7EF5" w:rsidRDefault="006E7EF5">
      <w:pPr>
        <w:spacing w:after="120" w:line="240" w:lineRule="auto"/>
        <w:rPr>
          <w:rFonts w:ascii="Calibri" w:hAnsi="Calibri" w:cs="Calibri"/>
        </w:rPr>
      </w:pPr>
    </w:p>
    <w:p w14:paraId="3CCE0FC7" w14:textId="77777777" w:rsidR="006E7EF5" w:rsidRDefault="006E7EF5">
      <w:pPr>
        <w:spacing w:after="120" w:line="240" w:lineRule="auto"/>
        <w:rPr>
          <w:rFonts w:ascii="Calibri" w:hAnsi="Calibri" w:cs="Calibri"/>
        </w:rPr>
      </w:pPr>
    </w:p>
    <w:p w14:paraId="48400954" w14:textId="77777777" w:rsidR="006E7EF5" w:rsidRDefault="006E7EF5">
      <w:pPr>
        <w:spacing w:after="120" w:line="240" w:lineRule="auto"/>
        <w:rPr>
          <w:rFonts w:ascii="Calibri" w:hAnsi="Calibri" w:cs="Calibri"/>
        </w:rPr>
      </w:pPr>
    </w:p>
    <w:p w14:paraId="5BB2B2A8" w14:textId="77777777" w:rsidR="006E7EF5" w:rsidRDefault="00AC41B0">
      <w:pPr>
        <w:spacing w:after="120" w:line="240" w:lineRule="auto"/>
        <w:rPr>
          <w:rFonts w:ascii="Calibri" w:hAnsi="Calibri" w:cs="Calibri"/>
        </w:rPr>
      </w:pPr>
      <w:r>
        <w:rPr>
          <w:rFonts w:ascii="Calibri" w:hAnsi="Calibri" w:cs="Calibri"/>
          <w:noProof/>
        </w:rPr>
        <mc:AlternateContent>
          <mc:Choice Requires="wps">
            <w:drawing>
              <wp:anchor distT="0" distB="0" distL="0" distR="0" simplePos="0" relativeHeight="16" behindDoc="0" locked="0" layoutInCell="0" allowOverlap="1" wp14:anchorId="5FE56F94" wp14:editId="61A06285">
                <wp:simplePos x="0" y="0"/>
                <wp:positionH relativeFrom="page">
                  <wp:align>center</wp:align>
                </wp:positionH>
                <wp:positionV relativeFrom="paragraph">
                  <wp:posOffset>196850</wp:posOffset>
                </wp:positionV>
                <wp:extent cx="5890260" cy="821690"/>
                <wp:effectExtent l="0" t="0" r="0" b="0"/>
                <wp:wrapNone/>
                <wp:docPr id="4" name="Text Box 2"/>
                <wp:cNvGraphicFramePr/>
                <a:graphic xmlns:a="http://schemas.openxmlformats.org/drawingml/2006/main">
                  <a:graphicData uri="http://schemas.microsoft.com/office/word/2010/wordprocessingShape">
                    <wps:wsp>
                      <wps:cNvSpPr/>
                      <wps:spPr>
                        <a:xfrm>
                          <a:off x="0" y="0"/>
                          <a:ext cx="5890320" cy="821520"/>
                        </a:xfrm>
                        <a:prstGeom prst="rect">
                          <a:avLst/>
                        </a:prstGeom>
                        <a:noFill/>
                        <a:ln w="9525">
                          <a:noFill/>
                        </a:ln>
                      </wps:spPr>
                      <wps:style>
                        <a:lnRef idx="0">
                          <a:scrgbClr r="0" g="0" b="0"/>
                        </a:lnRef>
                        <a:fillRef idx="0">
                          <a:scrgbClr r="0" g="0" b="0"/>
                        </a:fillRef>
                        <a:effectRef idx="0">
                          <a:scrgbClr r="0" g="0" b="0"/>
                        </a:effectRef>
                        <a:fontRef idx="minor"/>
                      </wps:style>
                      <wps:txbx>
                        <w:txbxContent>
                          <w:p w14:paraId="059F9728" w14:textId="77777777" w:rsidR="00AC41B0" w:rsidRDefault="00AC41B0">
                            <w:pPr>
                              <w:pStyle w:val="Sansinterligne"/>
                              <w:jc w:val="center"/>
                              <w:rPr>
                                <w:rFonts w:ascii="Avenir Next LT Pro" w:hAnsi="Avenir Next LT Pro" w:cstheme="minorHAnsi"/>
                                <w:color w:val="000000" w:themeColor="text1"/>
                                <w:sz w:val="48"/>
                                <w:lang w:val="en-US"/>
                              </w:rPr>
                            </w:pPr>
                            <w:r>
                              <w:rPr>
                                <w:rFonts w:ascii="Avenir Next LT Pro" w:hAnsi="Avenir Next LT Pro" w:cstheme="minorHAnsi"/>
                                <w:color w:val="000000" w:themeColor="text1"/>
                                <w:sz w:val="48"/>
                              </w:rPr>
                              <w:t>CAHIER DES CLAUSES TECHNIQUES PARTICULIERES (CCTP)</w:t>
                            </w:r>
                          </w:p>
                        </w:txbxContent>
                      </wps:txbx>
                      <wps:bodyPr anchor="t">
                        <a:spAutoFit/>
                      </wps:bodyPr>
                    </wps:wsp>
                  </a:graphicData>
                </a:graphic>
                <wp14:sizeRelV relativeFrom="margin">
                  <wp14:pctHeight>20000</wp14:pctHeight>
                </wp14:sizeRelV>
              </wp:anchor>
            </w:drawing>
          </mc:Choice>
          <mc:Fallback>
            <w:pict>
              <v:rect w14:anchorId="5FE56F94" id="_x0000_s1027" style="position:absolute;margin-left:0;margin-top:15.5pt;width:463.8pt;height:64.7pt;z-index:16;visibility:visible;mso-wrap-style:square;mso-height-percent:200;mso-wrap-distance-left:0;mso-wrap-distance-top:0;mso-wrap-distance-right:0;mso-wrap-distance-bottom:0;mso-position-horizontal:center;mso-position-horizontal-relative:page;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" o:allowincell="f" filled="f" stroked="f">
                <v:textbox style="mso-fit-shape-to-text:t">
                  <w:txbxContent>
                    <w:p w14:paraId="059F9728" w14:textId="77777777" w:rsidR="00AC41B0" w:rsidRDefault="00AC41B0">
                      <w:pPr>
                        <w:pStyle w:val="Sansinterligne"/>
                        <w:jc w:val="center"/>
                        <w:rPr>
                          <w:rFonts w:ascii="Avenir Next LT Pro" w:hAnsi="Avenir Next LT Pro" w:cstheme="minorHAnsi"/>
                          <w:color w:val="000000" w:themeColor="text1"/>
                          <w:sz w:val="48"/>
                          <w:lang w:val="en-US"/>
                        </w:rPr>
                      </w:pPr>
                      <w:r>
                        <w:rPr>
                          <w:rFonts w:ascii="Avenir Next LT Pro" w:hAnsi="Avenir Next LT Pro" w:cstheme="minorHAnsi"/>
                          <w:color w:val="000000" w:themeColor="text1"/>
                          <w:sz w:val="48"/>
                        </w:rPr>
                        <w:t>CAHIER DES CLAUSES TECHNIQUES PARTICULIERES (CCTP)</w:t>
                      </w:r>
                    </w:p>
                  </w:txbxContent>
                </v:textbox>
                <w10:wrap anchorx="page"/>
              </v:rect>
            </w:pict>
          </mc:Fallback>
        </mc:AlternateContent>
      </w:r>
    </w:p>
    <w:p w14:paraId="56769194" w14:textId="77777777" w:rsidR="006E7EF5" w:rsidRDefault="006E7EF5">
      <w:pPr>
        <w:spacing w:after="120" w:line="240" w:lineRule="auto"/>
        <w:rPr>
          <w:rFonts w:ascii="Calibri" w:hAnsi="Calibri" w:cs="Calibri"/>
        </w:rPr>
      </w:pPr>
    </w:p>
    <w:p w14:paraId="1DBBAF83" w14:textId="77777777" w:rsidR="006E7EF5" w:rsidRDefault="006E7EF5">
      <w:pPr>
        <w:spacing w:after="120" w:line="240" w:lineRule="auto"/>
        <w:rPr>
          <w:rFonts w:ascii="Calibri" w:hAnsi="Calibri" w:cs="Calibri"/>
        </w:rPr>
      </w:pPr>
    </w:p>
    <w:p w14:paraId="4448F8C6" w14:textId="77777777" w:rsidR="006E7EF5" w:rsidRDefault="006E7EF5">
      <w:pPr>
        <w:spacing w:after="120" w:line="240" w:lineRule="auto"/>
        <w:rPr>
          <w:rFonts w:ascii="Calibri" w:hAnsi="Calibri" w:cs="Calibri"/>
        </w:rPr>
      </w:pPr>
    </w:p>
    <w:p w14:paraId="3E7CA902" w14:textId="77777777" w:rsidR="006E7EF5" w:rsidRDefault="006E7EF5">
      <w:pPr>
        <w:spacing w:after="120" w:line="240" w:lineRule="auto"/>
        <w:rPr>
          <w:rFonts w:ascii="Calibri" w:hAnsi="Calibri" w:cs="Calibri"/>
        </w:rPr>
      </w:pPr>
    </w:p>
    <w:p w14:paraId="4F6C8CD7" w14:textId="77777777" w:rsidR="006E7EF5" w:rsidRDefault="006E7EF5">
      <w:pPr>
        <w:spacing w:after="120" w:line="240" w:lineRule="auto"/>
        <w:rPr>
          <w:rFonts w:ascii="Calibri" w:hAnsi="Calibri" w:cs="Calibri"/>
        </w:rPr>
      </w:pPr>
    </w:p>
    <w:p w14:paraId="1263E927" w14:textId="77777777" w:rsidR="006E7EF5" w:rsidRDefault="00AC41B0">
      <w:pPr>
        <w:spacing w:after="120" w:line="240" w:lineRule="auto"/>
        <w:rPr>
          <w:rFonts w:ascii="Calibri" w:hAnsi="Calibri" w:cs="Calibri"/>
        </w:rPr>
      </w:pPr>
      <w:r>
        <w:rPr>
          <w:rFonts w:ascii="Calibri" w:hAnsi="Calibri" w:cs="Calibri"/>
          <w:noProof/>
        </w:rPr>
        <mc:AlternateContent>
          <mc:Choice Requires="wps">
            <w:drawing>
              <wp:anchor distT="5080" distB="5080" distL="5080" distR="5080" simplePos="0" relativeHeight="22" behindDoc="0" locked="0" layoutInCell="1" allowOverlap="1" wp14:anchorId="2B4C0378" wp14:editId="60F06766">
                <wp:simplePos x="0" y="0"/>
                <wp:positionH relativeFrom="column">
                  <wp:posOffset>285750</wp:posOffset>
                </wp:positionH>
                <wp:positionV relativeFrom="paragraph">
                  <wp:posOffset>12065</wp:posOffset>
                </wp:positionV>
                <wp:extent cx="5890260" cy="1624330"/>
                <wp:effectExtent l="5080" t="5080" r="5080" b="5080"/>
                <wp:wrapNone/>
                <wp:docPr id="5" name="Text Box 2"/>
                <wp:cNvGraphicFramePr/>
                <a:graphic xmlns:a="http://schemas.openxmlformats.org/drawingml/2006/main">
                  <a:graphicData uri="http://schemas.microsoft.com/office/word/2010/wordprocessingShape">
                    <wps:wsp>
                      <wps:cNvSpPr/>
                      <wps:spPr>
                        <a:xfrm>
                          <a:off x="0" y="0"/>
                          <a:ext cx="5890320" cy="162432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txbx>
                        <w:txbxContent>
                          <w:p w14:paraId="6767E459" w14:textId="77777777" w:rsidR="00AC41B0" w:rsidRDefault="00AC41B0">
                            <w:pPr>
                              <w:pStyle w:val="Sansinterligne"/>
                              <w:spacing w:line="276" w:lineRule="auto"/>
                              <w:jc w:val="center"/>
                              <w:rPr>
                                <w:rFonts w:ascii="Avenir Next LT Pro" w:hAnsi="Avenir Next LT Pro" w:cstheme="minorHAnsi"/>
                                <w:color w:val="000000" w:themeColor="text1"/>
                                <w:sz w:val="144"/>
                                <w:lang w:val="en-US"/>
                              </w:rPr>
                            </w:pPr>
                            <w:r>
                              <w:rPr>
                                <w:rFonts w:ascii="Avenir Next LT Pro" w:hAnsi="Avenir Next LT Pro"/>
                                <w:b/>
                                <w:color w:val="008B8E"/>
                                <w:sz w:val="36"/>
                              </w:rPr>
                              <w:t>Hébergement, exploitation et maintenance opérationnelle de l’infrastructure de données géographiques GeoData INRAE, ainsi que des développements spécifiques adaptés aux besoins de l’établissement.</w:t>
                            </w:r>
                          </w:p>
                        </w:txbxContent>
                      </wps:txbx>
                      <wps:bodyPr anchor="t">
                        <a:spAutoFit/>
                      </wps:bodyPr>
                    </wps:wsp>
                  </a:graphicData>
                </a:graphic>
                <wp14:sizeRelV relativeFrom="margin">
                  <wp14:pctHeight>20000</wp14:pctHeight>
                </wp14:sizeRelV>
              </wp:anchor>
            </w:drawing>
          </mc:Choice>
          <mc:Fallback>
            <w:pict>
              <v:rect w14:anchorId="2B4C0378" id="_x0000_s1028" style="position:absolute;margin-left:22.5pt;margin-top:.95pt;width:463.8pt;height:127.9pt;z-index:22;visibility:visible;mso-wrap-style:square;mso-height-percent:200;mso-wrap-distance-left:.4pt;mso-wrap-distance-top:.4pt;mso-wrap-distance-right:.4pt;mso-wrap-distance-bottom:.4pt;mso-position-horizontal:absolute;mso-position-horizontal-relative:text;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" filled="f">
                <v:textbox style="mso-fit-shape-to-text:t">
                  <w:txbxContent>
                    <w:p w14:paraId="6767E459" w14:textId="77777777" w:rsidR="00AC41B0" w:rsidRDefault="00AC41B0">
                      <w:pPr>
                        <w:pStyle w:val="Sansinterligne"/>
                        <w:spacing w:line="276" w:lineRule="auto"/>
                        <w:jc w:val="center"/>
                        <w:rPr>
                          <w:rFonts w:ascii="Avenir Next LT Pro" w:hAnsi="Avenir Next LT Pro" w:cstheme="minorHAnsi"/>
                          <w:color w:val="000000" w:themeColor="text1"/>
                          <w:sz w:val="144"/>
                          <w:lang w:val="en-US"/>
                        </w:rPr>
                      </w:pPr>
                      <w:r>
                        <w:rPr>
                          <w:rFonts w:ascii="Avenir Next LT Pro" w:hAnsi="Avenir Next LT Pro"/>
                          <w:b/>
                          <w:color w:val="008B8E"/>
                          <w:sz w:val="36"/>
                        </w:rPr>
                        <w:t>Hébergement, exploitation et maintenance opérationnelle de l’infrastructure de données géographiques GeoData INRAE, ainsi que des développements spécifiques adaptés aux besoins de l’établissement.</w:t>
                      </w:r>
                    </w:p>
                  </w:txbxContent>
                </v:textbox>
              </v:rect>
            </w:pict>
          </mc:Fallback>
        </mc:AlternateContent>
      </w:r>
    </w:p>
    <w:p w14:paraId="17B017A8" w14:textId="77777777" w:rsidR="006E7EF5" w:rsidRDefault="006E7EF5">
      <w:pPr>
        <w:spacing w:after="120" w:line="240" w:lineRule="auto"/>
        <w:rPr>
          <w:rFonts w:ascii="Calibri" w:hAnsi="Calibri" w:cs="Calibri"/>
        </w:rPr>
      </w:pPr>
    </w:p>
    <w:p w14:paraId="59883C08" w14:textId="77777777" w:rsidR="006E7EF5" w:rsidRDefault="006E7EF5">
      <w:pPr>
        <w:spacing w:after="120" w:line="240" w:lineRule="auto"/>
        <w:rPr>
          <w:rFonts w:ascii="Calibri" w:hAnsi="Calibri" w:cs="Calibri"/>
        </w:rPr>
      </w:pPr>
    </w:p>
    <w:p w14:paraId="5A73DAFE" w14:textId="77777777" w:rsidR="006E7EF5" w:rsidRDefault="006E7EF5">
      <w:pPr>
        <w:spacing w:after="120" w:line="240" w:lineRule="auto"/>
        <w:rPr>
          <w:rFonts w:ascii="Calibri" w:hAnsi="Calibri" w:cs="Calibri"/>
        </w:rPr>
      </w:pPr>
    </w:p>
    <w:p w14:paraId="29A5252E" w14:textId="77777777" w:rsidR="006E7EF5" w:rsidRDefault="006E7EF5">
      <w:pPr>
        <w:spacing w:after="120" w:line="240" w:lineRule="auto"/>
        <w:rPr>
          <w:rFonts w:ascii="Calibri" w:hAnsi="Calibri" w:cs="Calibri"/>
        </w:rPr>
      </w:pPr>
    </w:p>
    <w:p w14:paraId="3F90268F" w14:textId="77777777" w:rsidR="006E7EF5" w:rsidRDefault="006E7EF5">
      <w:pPr>
        <w:spacing w:after="120" w:line="240" w:lineRule="auto"/>
        <w:rPr>
          <w:rFonts w:ascii="Calibri" w:hAnsi="Calibri" w:cs="Calibri"/>
        </w:rPr>
      </w:pPr>
    </w:p>
    <w:p w14:paraId="1824156B" w14:textId="77777777" w:rsidR="006E7EF5" w:rsidRDefault="006E7EF5">
      <w:pPr>
        <w:spacing w:after="120" w:line="240" w:lineRule="auto"/>
        <w:rPr>
          <w:rFonts w:ascii="Calibri" w:hAnsi="Calibri" w:cs="Calibri"/>
        </w:rPr>
      </w:pPr>
    </w:p>
    <w:p w14:paraId="3B5658B4" w14:textId="77777777" w:rsidR="006E7EF5" w:rsidRDefault="006E7EF5">
      <w:pPr>
        <w:spacing w:after="120" w:line="240" w:lineRule="auto"/>
        <w:rPr>
          <w:rFonts w:ascii="Calibri" w:hAnsi="Calibri" w:cs="Calibri"/>
        </w:rPr>
      </w:pPr>
    </w:p>
    <w:p w14:paraId="7A95B905" w14:textId="77777777" w:rsidR="006E7EF5" w:rsidRDefault="006E7EF5">
      <w:pPr>
        <w:spacing w:after="120" w:line="240" w:lineRule="auto"/>
        <w:rPr>
          <w:rFonts w:ascii="Calibri" w:hAnsi="Calibri" w:cs="Calibri"/>
        </w:rPr>
      </w:pPr>
    </w:p>
    <w:p w14:paraId="5CE7E788" w14:textId="77777777" w:rsidR="006E7EF5" w:rsidRDefault="00AC41B0">
      <w:pPr>
        <w:spacing w:after="120"/>
        <w:rPr>
          <w:rFonts w:ascii="Calibri" w:hAnsi="Calibri" w:cs="Calibri"/>
        </w:rPr>
      </w:pPr>
      <w:r>
        <w:rPr>
          <w:rFonts w:ascii="Calibri" w:hAnsi="Calibri" w:cs="Calibri"/>
          <w:noProof/>
        </w:rPr>
        <w:drawing>
          <wp:anchor distT="0" distB="0" distL="114300" distR="114300" simplePos="0" relativeHeight="27" behindDoc="0" locked="0" layoutInCell="0" allowOverlap="1" wp14:anchorId="01BBA128" wp14:editId="16221AA1">
            <wp:simplePos x="0" y="0"/>
            <wp:positionH relativeFrom="column">
              <wp:posOffset>5631815</wp:posOffset>
            </wp:positionH>
            <wp:positionV relativeFrom="paragraph">
              <wp:posOffset>801370</wp:posOffset>
            </wp:positionV>
            <wp:extent cx="949960" cy="973455"/>
            <wp:effectExtent l="0" t="0" r="0" b="0"/>
            <wp:wrapSquare wrapText="bothSides"/>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
                    <pic:cNvPicPr>
                      <a:picLocks noChangeAspect="1" noChangeArrowheads="1"/>
                    </pic:cNvPicPr>
                  </pic:nvPicPr>
                  <pic:blipFill>
                    <a:blip r:embed="rId13"/>
                    <a:stretch>
                      <a:fillRect/>
                    </a:stretch>
                  </pic:blipFill>
                  <pic:spPr bwMode="auto">
                    <a:xfrm>
                      <a:off x="0" y="0"/>
                      <a:ext cx="949960" cy="973455"/>
                    </a:xfrm>
                    <a:prstGeom prst="rect">
                      <a:avLst/>
                    </a:prstGeom>
                  </pic:spPr>
                </pic:pic>
              </a:graphicData>
            </a:graphic>
          </wp:anchor>
        </w:drawing>
      </w:r>
      <w:r>
        <w:br w:type="page"/>
      </w:r>
    </w:p>
    <w:p w14:paraId="47AA29D7" w14:textId="77777777" w:rsidR="006E7EF5" w:rsidRDefault="006E7EF5">
      <w:pPr>
        <w:spacing w:after="120" w:line="240" w:lineRule="auto"/>
        <w:rPr>
          <w:rFonts w:ascii="Calibri" w:hAnsi="Calibri" w:cs="Calibri"/>
        </w:rPr>
      </w:pPr>
    </w:p>
    <w:p w14:paraId="66140A59" w14:textId="77777777" w:rsidR="006E7EF5" w:rsidRDefault="006E7EF5">
      <w:pPr>
        <w:spacing w:after="120" w:line="240" w:lineRule="auto"/>
        <w:rPr>
          <w:rFonts w:ascii="Calibri" w:hAnsi="Calibri" w:cs="Calibri"/>
        </w:rPr>
      </w:pPr>
    </w:p>
    <w:p w14:paraId="29DDF218" w14:textId="77777777" w:rsidR="006E7EF5" w:rsidRDefault="00AC41B0">
      <w:pPr>
        <w:spacing w:after="120" w:line="240" w:lineRule="auto"/>
        <w:rPr>
          <w:rFonts w:ascii="Calibri" w:hAnsi="Calibri" w:cs="Calibri"/>
        </w:rPr>
      </w:pPr>
      <w:r>
        <w:rPr>
          <w:rFonts w:ascii="Calibri" w:hAnsi="Calibri" w:cs="Calibri"/>
          <w:noProof/>
        </w:rPr>
        <mc:AlternateContent>
          <mc:Choice Requires="wps">
            <w:drawing>
              <wp:anchor distT="5080" distB="5080" distL="5080" distR="5080" simplePos="0" relativeHeight="20" behindDoc="0" locked="0" layoutInCell="0" allowOverlap="1" wp14:anchorId="62A63210" wp14:editId="35645494">
                <wp:simplePos x="0" y="0"/>
                <wp:positionH relativeFrom="margin">
                  <wp:posOffset>-257175</wp:posOffset>
                </wp:positionH>
                <wp:positionV relativeFrom="paragraph">
                  <wp:posOffset>205740</wp:posOffset>
                </wp:positionV>
                <wp:extent cx="1187450" cy="243840"/>
                <wp:effectExtent l="5080" t="5080" r="5080" b="5080"/>
                <wp:wrapNone/>
                <wp:docPr id="7" name="Zone de texte 2"/>
                <wp:cNvGraphicFramePr/>
                <a:graphic xmlns:a="http://schemas.openxmlformats.org/drawingml/2006/main">
                  <a:graphicData uri="http://schemas.microsoft.com/office/word/2010/wordprocessingShape">
                    <wps:wsp>
                      <wps:cNvSpPr/>
                      <wps:spPr>
                        <a:xfrm>
                          <a:off x="0" y="0"/>
                          <a:ext cx="1187280" cy="243720"/>
                        </a:xfrm>
                        <a:prstGeom prst="rect">
                          <a:avLst/>
                        </a:prstGeom>
                        <a:noFill/>
                        <a:ln w="9525">
                          <a:solidFill>
                            <a:srgbClr val="FFFFFF"/>
                          </a:solidFill>
                          <a:miter/>
                        </a:ln>
                      </wps:spPr>
                      <wps:style>
                        <a:lnRef idx="0">
                          <a:scrgbClr r="0" g="0" b="0"/>
                        </a:lnRef>
                        <a:fillRef idx="0">
                          <a:scrgbClr r="0" g="0" b="0"/>
                        </a:fillRef>
                        <a:effectRef idx="0">
                          <a:scrgbClr r="0" g="0" b="0"/>
                        </a:effectRef>
                        <a:fontRef idx="minor"/>
                      </wps:style>
                      <wps:txbx>
                        <w:txbxContent>
                          <w:p w14:paraId="3AF62CD7" w14:textId="77777777" w:rsidR="00AC41B0" w:rsidRDefault="00AC41B0">
                            <w:pPr>
                              <w:pStyle w:val="Contenudecadre"/>
                              <w:rPr>
                                <w:color w:val="000000"/>
                              </w:rPr>
                            </w:pPr>
                          </w:p>
                        </w:txbxContent>
                      </wps:txbx>
                      <wps:bodyPr anchor="t">
                        <a:spAutoFit/>
                      </wps:bodyPr>
                    </wps:wsp>
                  </a:graphicData>
                </a:graphic>
                <wp14:sizeRelV relativeFrom="margin">
                  <wp14:pctHeight>20000</wp14:pctHeight>
                </wp14:sizeRelV>
              </wp:anchor>
            </w:drawing>
          </mc:Choice>
          <mc:Fallback>
            <w:pict>
              <v:rect w14:anchorId="62A63210" id="Zone de texte 2" o:spid="_x0000_s1029" style="position:absolute;margin-left:-20.25pt;margin-top:16.2pt;width:93.5pt;height:19.2pt;z-index:20;visibility:visible;mso-wrap-style:square;mso-height-percent:200;mso-wrap-distance-left:.4pt;mso-wrap-distance-top:.4pt;mso-wrap-distance-right:.4pt;mso-wrap-distance-bottom:.4pt;mso-position-horizontal:absolute;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" o:allowincell="f" filled="f" strokecolor="white">
                <v:textbox style="mso-fit-shape-to-text:t">
                  <w:txbxContent>
                    <w:p w14:paraId="3AF62CD7" w14:textId="77777777" w:rsidR="00AC41B0" w:rsidRDefault="00AC41B0">
                      <w:pPr>
                        <w:pStyle w:val="Contenudecadre"/>
                        <w:rPr>
                          <w:color w:val="000000"/>
                        </w:rPr>
                      </w:pPr>
                    </w:p>
                  </w:txbxContent>
                </v:textbox>
                <w10:wrap anchorx="margin"/>
              </v:rect>
            </w:pict>
          </mc:Fallback>
        </mc:AlternateContent>
      </w:r>
    </w:p>
    <w:p w14:paraId="1122FBD1" w14:textId="77777777" w:rsidR="006E7EF5" w:rsidRDefault="006E7EF5">
      <w:pPr>
        <w:spacing w:after="120" w:line="240" w:lineRule="auto"/>
        <w:rPr>
          <w:rFonts w:ascii="Calibri" w:hAnsi="Calibri" w:cs="Calibri"/>
        </w:rPr>
      </w:pPr>
    </w:p>
    <w:p w14:paraId="06232DE3" w14:textId="77777777" w:rsidR="006E7EF5" w:rsidRDefault="00AC41B0">
      <w:pPr>
        <w:spacing w:after="120" w:line="240" w:lineRule="auto"/>
        <w:rPr>
          <w:rFonts w:ascii="Calibri" w:hAnsi="Calibri" w:cs="Calibri"/>
        </w:rPr>
      </w:pPr>
      <w:r>
        <w:rPr>
          <w:rFonts w:ascii="Calibri" w:hAnsi="Calibri" w:cs="Calibri"/>
          <w:noProof/>
        </w:rPr>
        <mc:AlternateContent>
          <mc:Choice Requires="wps">
            <w:drawing>
              <wp:anchor distT="0" distB="0" distL="0" distR="0" simplePos="0" relativeHeight="24" behindDoc="0" locked="0" layoutInCell="0" allowOverlap="1" wp14:anchorId="2C818E86" wp14:editId="650D842F">
                <wp:simplePos x="0" y="0"/>
                <wp:positionH relativeFrom="margin">
                  <wp:posOffset>542925</wp:posOffset>
                </wp:positionH>
                <wp:positionV relativeFrom="paragraph">
                  <wp:posOffset>502920</wp:posOffset>
                </wp:positionV>
                <wp:extent cx="5890260" cy="243840"/>
                <wp:effectExtent l="0" t="0" r="0" b="0"/>
                <wp:wrapNone/>
                <wp:docPr id="8" name="Text Box 2"/>
                <wp:cNvGraphicFramePr/>
                <a:graphic xmlns:a="http://schemas.openxmlformats.org/drawingml/2006/main">
                  <a:graphicData uri="http://schemas.microsoft.com/office/word/2010/wordprocessingShape">
                    <wps:wsp>
                      <wps:cNvSpPr/>
                      <wps:spPr>
                        <a:xfrm>
                          <a:off x="0" y="0"/>
                          <a:ext cx="5890320" cy="243720"/>
                        </a:xfrm>
                        <a:prstGeom prst="rect">
                          <a:avLst/>
                        </a:prstGeom>
                        <a:noFill/>
                        <a:ln w="9525">
                          <a:noFill/>
                        </a:ln>
                      </wps:spPr>
                      <wps:style>
                        <a:lnRef idx="0">
                          <a:scrgbClr r="0" g="0" b="0"/>
                        </a:lnRef>
                        <a:fillRef idx="0">
                          <a:scrgbClr r="0" g="0" b="0"/>
                        </a:fillRef>
                        <a:effectRef idx="0">
                          <a:scrgbClr r="0" g="0" b="0"/>
                        </a:effectRef>
                        <a:fontRef idx="minor"/>
                      </wps:style>
                      <wps:txbx>
                        <w:txbxContent>
                          <w:p w14:paraId="5BC377F8" w14:textId="77777777" w:rsidR="00AC41B0" w:rsidRDefault="00AC41B0">
                            <w:pPr>
                              <w:pStyle w:val="Sansinterligne"/>
                              <w:jc w:val="right"/>
                              <w:rPr>
                                <w:rFonts w:cstheme="minorHAnsi"/>
                                <w:i/>
                                <w:color w:val="000000" w:themeColor="text1"/>
                                <w:sz w:val="24"/>
                                <w:lang w:val="en-US"/>
                              </w:rPr>
                            </w:pPr>
                          </w:p>
                        </w:txbxContent>
                      </wps:txbx>
                      <wps:bodyPr anchor="t">
                        <a:spAutoFit/>
                      </wps:bodyPr>
                    </wps:wsp>
                  </a:graphicData>
                </a:graphic>
                <wp14:sizeRelV relativeFrom="margin">
                  <wp14:pctHeight>20000</wp14:pctHeight>
                </wp14:sizeRelV>
              </wp:anchor>
            </w:drawing>
          </mc:Choice>
          <mc:Fallback>
            <w:pict>
              <v:rect w14:anchorId="2C818E86" id="_x0000_s1030" style="position:absolute;margin-left:42.75pt;margin-top:39.6pt;width:463.8pt;height:19.2pt;z-index:24;visibility:visible;mso-wrap-style:square;mso-height-percent:200;mso-wrap-distance-left:0;mso-wrap-distance-top:0;mso-wrap-distance-right:0;mso-wrap-distance-bottom:0;mso-position-horizontal:absolute;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" o:allowincell="f" filled="f" stroked="f">
                <v:textbox style="mso-fit-shape-to-text:t">
                  <w:txbxContent>
                    <w:p w14:paraId="5BC377F8" w14:textId="77777777" w:rsidR="00AC41B0" w:rsidRDefault="00AC41B0">
                      <w:pPr>
                        <w:pStyle w:val="Sansinterligne"/>
                        <w:jc w:val="right"/>
                        <w:rPr>
                          <w:rFonts w:cstheme="minorHAnsi"/>
                          <w:i/>
                          <w:color w:val="000000" w:themeColor="text1"/>
                          <w:sz w:val="24"/>
                          <w:lang w:val="en-US"/>
                        </w:rPr>
                      </w:pPr>
                    </w:p>
                  </w:txbxContent>
                </v:textbox>
                <w10:wrap anchorx="margin"/>
              </v:rect>
            </w:pict>
          </mc:Fallback>
        </mc:AlternateContent>
      </w:r>
    </w:p>
    <w:p w14:paraId="74DE56AF" w14:textId="77777777" w:rsidR="006E7EF5" w:rsidRDefault="006E7EF5">
      <w:pPr>
        <w:pStyle w:val="Titre2"/>
        <w:tabs>
          <w:tab w:val="left" w:pos="9284"/>
        </w:tabs>
        <w:spacing w:before="0" w:after="120"/>
        <w:ind w:left="777"/>
        <w:rPr>
          <w:rFonts w:ascii="Calibri" w:eastAsia="Avenir Next LT Pro" w:hAnsi="Calibri" w:cs="Calibri"/>
          <w:color w:val="03A2A6"/>
          <w:sz w:val="24"/>
          <w:szCs w:val="24"/>
        </w:rPr>
      </w:pPr>
    </w:p>
    <w:sdt>
      <w:sdtPr>
        <w:rPr>
          <w:rFonts w:asciiTheme="minorHAnsi" w:eastAsiaTheme="minorEastAsia" w:hAnsiTheme="minorHAnsi" w:cstheme="minorBidi"/>
          <w:color w:val="auto"/>
          <w:sz w:val="21"/>
          <w:szCs w:val="21"/>
        </w:rPr>
        <w:id w:val="-1252428303"/>
        <w:docPartObj>
          <w:docPartGallery w:val="Table of Contents"/>
          <w:docPartUnique/>
        </w:docPartObj>
      </w:sdtPr>
      <w:sdtEndPr/>
      <w:sdtContent>
        <w:p w14:paraId="10B05F81" w14:textId="77777777" w:rsidR="006E7EF5" w:rsidRDefault="00AC41B0">
          <w:pPr>
            <w:pStyle w:val="En-ttedetabledesmatires"/>
            <w:spacing w:before="0" w:after="120"/>
            <w:rPr>
              <w:rFonts w:ascii="Calibri" w:hAnsi="Calibri" w:cs="Calibri"/>
            </w:rPr>
          </w:pPr>
          <w:r>
            <w:rPr>
              <w:rFonts w:ascii="Calibri" w:hAnsi="Calibri" w:cs="Calibri"/>
            </w:rPr>
            <w:t>Table des matières</w:t>
          </w:r>
        </w:p>
        <w:p w14:paraId="5C72546D" w14:textId="20FF0AC2" w:rsidR="000061A7" w:rsidRDefault="00AC41B0">
          <w:pPr>
            <w:pStyle w:val="TM2"/>
            <w:tabs>
              <w:tab w:val="right" w:leader="dot" w:pos="10620"/>
            </w:tabs>
            <w:rPr>
              <w:noProof/>
              <w:kern w:val="2"/>
              <w:sz w:val="24"/>
              <w:szCs w:val="24"/>
              <w:lang w:eastAsia="fr-FR"/>
              <w14:ligatures w14:val="standardContextual"/>
            </w:rPr>
          </w:pPr>
          <w:r>
            <w:fldChar w:fldCharType="begin"/>
          </w:r>
          <w:r>
            <w:rPr>
              <w:rStyle w:val="Sautdindex"/>
              <w:webHidden/>
            </w:rPr>
            <w:instrText xml:space="preserve"> TOC \z \o "1-3" \u \h</w:instrText>
          </w:r>
          <w:r>
            <w:rPr>
              <w:rStyle w:val="Sautdindex"/>
            </w:rPr>
            <w:fldChar w:fldCharType="separate"/>
          </w:r>
          <w:hyperlink w:anchor="_Toc219386250" w:history="1">
            <w:r w:rsidR="000061A7">
              <w:rPr>
                <w:noProof/>
                <w:webHidden/>
              </w:rPr>
              <w:tab/>
            </w:r>
            <w:r w:rsidR="000061A7">
              <w:rPr>
                <w:noProof/>
                <w:webHidden/>
              </w:rPr>
              <w:fldChar w:fldCharType="begin"/>
            </w:r>
            <w:r w:rsidR="000061A7">
              <w:rPr>
                <w:noProof/>
                <w:webHidden/>
              </w:rPr>
              <w:instrText xml:space="preserve"> PAGEREF _Toc219386250 \h </w:instrText>
            </w:r>
            <w:r w:rsidR="000061A7">
              <w:rPr>
                <w:noProof/>
                <w:webHidden/>
              </w:rPr>
            </w:r>
            <w:r w:rsidR="000061A7">
              <w:rPr>
                <w:noProof/>
                <w:webHidden/>
              </w:rPr>
              <w:fldChar w:fldCharType="separate"/>
            </w:r>
            <w:r w:rsidR="000061A7">
              <w:rPr>
                <w:noProof/>
                <w:webHidden/>
              </w:rPr>
              <w:t>1</w:t>
            </w:r>
            <w:r w:rsidR="000061A7">
              <w:rPr>
                <w:noProof/>
                <w:webHidden/>
              </w:rPr>
              <w:fldChar w:fldCharType="end"/>
            </w:r>
          </w:hyperlink>
        </w:p>
        <w:p w14:paraId="291DCC77" w14:textId="25AF51B0" w:rsidR="000061A7" w:rsidRDefault="000061A7">
          <w:pPr>
            <w:pStyle w:val="TM1"/>
            <w:tabs>
              <w:tab w:val="right" w:leader="dot" w:pos="10620"/>
            </w:tabs>
            <w:rPr>
              <w:noProof/>
              <w:kern w:val="2"/>
              <w:sz w:val="24"/>
              <w:szCs w:val="24"/>
              <w:lang w:eastAsia="fr-FR"/>
              <w14:ligatures w14:val="standardContextual"/>
            </w:rPr>
          </w:pPr>
          <w:hyperlink w:anchor="_Toc219386251" w:history="1">
            <w:r w:rsidRPr="008938B1">
              <w:rPr>
                <w:rStyle w:val="Lienhypertexte"/>
                <w:rFonts w:ascii="Calibri" w:hAnsi="Calibri"/>
                <w:noProof/>
              </w:rPr>
              <w:t>Article 1 : Présentation</w:t>
            </w:r>
            <w:r>
              <w:rPr>
                <w:noProof/>
                <w:webHidden/>
              </w:rPr>
              <w:tab/>
            </w:r>
            <w:r>
              <w:rPr>
                <w:noProof/>
                <w:webHidden/>
              </w:rPr>
              <w:fldChar w:fldCharType="begin"/>
            </w:r>
            <w:r>
              <w:rPr>
                <w:noProof/>
                <w:webHidden/>
              </w:rPr>
              <w:instrText xml:space="preserve"> PAGEREF _Toc219386251 \h </w:instrText>
            </w:r>
            <w:r>
              <w:rPr>
                <w:noProof/>
                <w:webHidden/>
              </w:rPr>
            </w:r>
            <w:r>
              <w:rPr>
                <w:noProof/>
                <w:webHidden/>
              </w:rPr>
              <w:fldChar w:fldCharType="separate"/>
            </w:r>
            <w:r>
              <w:rPr>
                <w:noProof/>
                <w:webHidden/>
              </w:rPr>
              <w:t>3</w:t>
            </w:r>
            <w:r>
              <w:rPr>
                <w:noProof/>
                <w:webHidden/>
              </w:rPr>
              <w:fldChar w:fldCharType="end"/>
            </w:r>
          </w:hyperlink>
        </w:p>
        <w:p w14:paraId="7739B629" w14:textId="5BDF3827" w:rsidR="000061A7" w:rsidRDefault="000061A7">
          <w:pPr>
            <w:pStyle w:val="TM2"/>
            <w:tabs>
              <w:tab w:val="right" w:leader="dot" w:pos="10620"/>
            </w:tabs>
            <w:rPr>
              <w:noProof/>
              <w:kern w:val="2"/>
              <w:sz w:val="24"/>
              <w:szCs w:val="24"/>
              <w:lang w:eastAsia="fr-FR"/>
              <w14:ligatures w14:val="standardContextual"/>
            </w:rPr>
          </w:pPr>
          <w:hyperlink w:anchor="_Toc219386252" w:history="1">
            <w:r w:rsidRPr="008938B1">
              <w:rPr>
                <w:rStyle w:val="Lienhypertexte"/>
                <w:rFonts w:ascii="Calibri" w:hAnsi="Calibri"/>
                <w:noProof/>
              </w:rPr>
              <w:t>Article 1.2 : La Direction des Systèmes d’information – DSI</w:t>
            </w:r>
            <w:r>
              <w:rPr>
                <w:noProof/>
                <w:webHidden/>
              </w:rPr>
              <w:tab/>
            </w:r>
            <w:r>
              <w:rPr>
                <w:noProof/>
                <w:webHidden/>
              </w:rPr>
              <w:fldChar w:fldCharType="begin"/>
            </w:r>
            <w:r>
              <w:rPr>
                <w:noProof/>
                <w:webHidden/>
              </w:rPr>
              <w:instrText xml:space="preserve"> PAGEREF _Toc219386252 \h </w:instrText>
            </w:r>
            <w:r>
              <w:rPr>
                <w:noProof/>
                <w:webHidden/>
              </w:rPr>
            </w:r>
            <w:r>
              <w:rPr>
                <w:noProof/>
                <w:webHidden/>
              </w:rPr>
              <w:fldChar w:fldCharType="separate"/>
            </w:r>
            <w:r>
              <w:rPr>
                <w:noProof/>
                <w:webHidden/>
              </w:rPr>
              <w:t>3</w:t>
            </w:r>
            <w:r>
              <w:rPr>
                <w:noProof/>
                <w:webHidden/>
              </w:rPr>
              <w:fldChar w:fldCharType="end"/>
            </w:r>
          </w:hyperlink>
        </w:p>
        <w:p w14:paraId="7C0E474A" w14:textId="7340EBA5" w:rsidR="000061A7" w:rsidRDefault="000061A7">
          <w:pPr>
            <w:pStyle w:val="TM3"/>
            <w:tabs>
              <w:tab w:val="right" w:leader="dot" w:pos="10620"/>
            </w:tabs>
            <w:rPr>
              <w:noProof/>
              <w:kern w:val="2"/>
              <w:sz w:val="24"/>
              <w:szCs w:val="24"/>
              <w:lang w:eastAsia="fr-FR"/>
              <w14:ligatures w14:val="standardContextual"/>
            </w:rPr>
          </w:pPr>
          <w:hyperlink w:anchor="_Toc219386253" w:history="1">
            <w:r w:rsidRPr="008938B1">
              <w:rPr>
                <w:rStyle w:val="Lienhypertexte"/>
                <w:rFonts w:ascii="Calibri" w:hAnsi="Calibri"/>
                <w:noProof/>
              </w:rPr>
              <w:t>Article</w:t>
            </w:r>
            <w:r w:rsidRPr="008938B1">
              <w:rPr>
                <w:rStyle w:val="Lienhypertexte"/>
                <w:rFonts w:ascii="Calibri" w:hAnsi="Calibri"/>
                <w:noProof/>
                <w:spacing w:val="-5"/>
              </w:rPr>
              <w:t xml:space="preserve"> </w:t>
            </w:r>
            <w:r w:rsidRPr="008938B1">
              <w:rPr>
                <w:rStyle w:val="Lienhypertexte"/>
                <w:rFonts w:ascii="Calibri" w:hAnsi="Calibri"/>
                <w:noProof/>
              </w:rPr>
              <w:t>1.2.1</w:t>
            </w:r>
            <w:r w:rsidRPr="008938B1">
              <w:rPr>
                <w:rStyle w:val="Lienhypertexte"/>
                <w:rFonts w:ascii="Calibri" w:hAnsi="Calibri"/>
                <w:noProof/>
                <w:spacing w:val="-1"/>
              </w:rPr>
              <w:t xml:space="preserve"> </w:t>
            </w:r>
            <w:r w:rsidRPr="008938B1">
              <w:rPr>
                <w:rStyle w:val="Lienhypertexte"/>
                <w:rFonts w:ascii="Calibri" w:hAnsi="Calibri"/>
                <w:noProof/>
              </w:rPr>
              <w:t>:</w:t>
            </w:r>
            <w:r w:rsidRPr="008938B1">
              <w:rPr>
                <w:rStyle w:val="Lienhypertexte"/>
                <w:rFonts w:ascii="Calibri" w:hAnsi="Calibri"/>
                <w:noProof/>
                <w:spacing w:val="-7"/>
              </w:rPr>
              <w:t xml:space="preserve"> </w:t>
            </w:r>
            <w:r w:rsidRPr="008938B1">
              <w:rPr>
                <w:rStyle w:val="Lienhypertexte"/>
                <w:rFonts w:ascii="Calibri" w:hAnsi="Calibri"/>
                <w:noProof/>
              </w:rPr>
              <w:t>Département</w:t>
            </w:r>
            <w:r w:rsidRPr="008938B1">
              <w:rPr>
                <w:rStyle w:val="Lienhypertexte"/>
                <w:rFonts w:ascii="Calibri" w:hAnsi="Calibri"/>
                <w:noProof/>
                <w:spacing w:val="-7"/>
              </w:rPr>
              <w:t xml:space="preserve"> </w:t>
            </w:r>
            <w:r w:rsidRPr="008938B1">
              <w:rPr>
                <w:rStyle w:val="Lienhypertexte"/>
                <w:rFonts w:ascii="Calibri" w:hAnsi="Calibri"/>
                <w:noProof/>
              </w:rPr>
              <w:t>Solutions</w:t>
            </w:r>
            <w:r w:rsidRPr="008938B1">
              <w:rPr>
                <w:rStyle w:val="Lienhypertexte"/>
                <w:rFonts w:ascii="Calibri" w:hAnsi="Calibri"/>
                <w:noProof/>
                <w:spacing w:val="-3"/>
              </w:rPr>
              <w:t xml:space="preserve"> </w:t>
            </w:r>
            <w:r w:rsidRPr="008938B1">
              <w:rPr>
                <w:rStyle w:val="Lienhypertexte"/>
                <w:rFonts w:ascii="Calibri" w:hAnsi="Calibri"/>
                <w:noProof/>
                <w:spacing w:val="-2"/>
              </w:rPr>
              <w:t>Applicatives</w:t>
            </w:r>
            <w:r>
              <w:rPr>
                <w:noProof/>
                <w:webHidden/>
              </w:rPr>
              <w:tab/>
            </w:r>
            <w:r>
              <w:rPr>
                <w:noProof/>
                <w:webHidden/>
              </w:rPr>
              <w:fldChar w:fldCharType="begin"/>
            </w:r>
            <w:r>
              <w:rPr>
                <w:noProof/>
                <w:webHidden/>
              </w:rPr>
              <w:instrText xml:space="preserve"> PAGEREF _Toc219386253 \h </w:instrText>
            </w:r>
            <w:r>
              <w:rPr>
                <w:noProof/>
                <w:webHidden/>
              </w:rPr>
            </w:r>
            <w:r>
              <w:rPr>
                <w:noProof/>
                <w:webHidden/>
              </w:rPr>
              <w:fldChar w:fldCharType="separate"/>
            </w:r>
            <w:r>
              <w:rPr>
                <w:noProof/>
                <w:webHidden/>
              </w:rPr>
              <w:t>3</w:t>
            </w:r>
            <w:r>
              <w:rPr>
                <w:noProof/>
                <w:webHidden/>
              </w:rPr>
              <w:fldChar w:fldCharType="end"/>
            </w:r>
          </w:hyperlink>
        </w:p>
        <w:p w14:paraId="4AD1E096" w14:textId="0F4DD694" w:rsidR="000061A7" w:rsidRDefault="000061A7">
          <w:pPr>
            <w:pStyle w:val="TM3"/>
            <w:tabs>
              <w:tab w:val="right" w:leader="dot" w:pos="10620"/>
            </w:tabs>
            <w:rPr>
              <w:noProof/>
              <w:kern w:val="2"/>
              <w:sz w:val="24"/>
              <w:szCs w:val="24"/>
              <w:lang w:eastAsia="fr-FR"/>
              <w14:ligatures w14:val="standardContextual"/>
            </w:rPr>
          </w:pPr>
          <w:hyperlink w:anchor="_Toc219386254" w:history="1">
            <w:r w:rsidRPr="008938B1">
              <w:rPr>
                <w:rStyle w:val="Lienhypertexte"/>
                <w:rFonts w:ascii="Calibri" w:hAnsi="Calibri"/>
                <w:noProof/>
              </w:rPr>
              <w:t>Article 1.2.2 : Département SIIR - Services Informatiques et Interrégionaux</w:t>
            </w:r>
            <w:r>
              <w:rPr>
                <w:noProof/>
                <w:webHidden/>
              </w:rPr>
              <w:tab/>
            </w:r>
            <w:r>
              <w:rPr>
                <w:noProof/>
                <w:webHidden/>
              </w:rPr>
              <w:fldChar w:fldCharType="begin"/>
            </w:r>
            <w:r>
              <w:rPr>
                <w:noProof/>
                <w:webHidden/>
              </w:rPr>
              <w:instrText xml:space="preserve"> PAGEREF _Toc219386254 \h </w:instrText>
            </w:r>
            <w:r>
              <w:rPr>
                <w:noProof/>
                <w:webHidden/>
              </w:rPr>
            </w:r>
            <w:r>
              <w:rPr>
                <w:noProof/>
                <w:webHidden/>
              </w:rPr>
              <w:fldChar w:fldCharType="separate"/>
            </w:r>
            <w:r>
              <w:rPr>
                <w:noProof/>
                <w:webHidden/>
              </w:rPr>
              <w:t>3</w:t>
            </w:r>
            <w:r>
              <w:rPr>
                <w:noProof/>
                <w:webHidden/>
              </w:rPr>
              <w:fldChar w:fldCharType="end"/>
            </w:r>
          </w:hyperlink>
        </w:p>
        <w:p w14:paraId="70A1BA53" w14:textId="33460B6E" w:rsidR="000061A7" w:rsidRDefault="000061A7">
          <w:pPr>
            <w:pStyle w:val="TM3"/>
            <w:tabs>
              <w:tab w:val="right" w:leader="dot" w:pos="10620"/>
            </w:tabs>
            <w:rPr>
              <w:noProof/>
              <w:kern w:val="2"/>
              <w:sz w:val="24"/>
              <w:szCs w:val="24"/>
              <w:lang w:eastAsia="fr-FR"/>
              <w14:ligatures w14:val="standardContextual"/>
            </w:rPr>
          </w:pPr>
          <w:hyperlink w:anchor="_Toc219386255" w:history="1">
            <w:r w:rsidRPr="008938B1">
              <w:rPr>
                <w:rStyle w:val="Lienhypertexte"/>
                <w:rFonts w:ascii="Calibri" w:hAnsi="Calibri"/>
                <w:noProof/>
              </w:rPr>
              <w:t>Article 1.2.3 : Département DRUMS - Relation Utilisateurs, Métiers et Services</w:t>
            </w:r>
            <w:r>
              <w:rPr>
                <w:noProof/>
                <w:webHidden/>
              </w:rPr>
              <w:tab/>
            </w:r>
            <w:r>
              <w:rPr>
                <w:noProof/>
                <w:webHidden/>
              </w:rPr>
              <w:fldChar w:fldCharType="begin"/>
            </w:r>
            <w:r>
              <w:rPr>
                <w:noProof/>
                <w:webHidden/>
              </w:rPr>
              <w:instrText xml:space="preserve"> PAGEREF _Toc219386255 \h </w:instrText>
            </w:r>
            <w:r>
              <w:rPr>
                <w:noProof/>
                <w:webHidden/>
              </w:rPr>
            </w:r>
            <w:r>
              <w:rPr>
                <w:noProof/>
                <w:webHidden/>
              </w:rPr>
              <w:fldChar w:fldCharType="separate"/>
            </w:r>
            <w:r>
              <w:rPr>
                <w:noProof/>
                <w:webHidden/>
              </w:rPr>
              <w:t>3</w:t>
            </w:r>
            <w:r>
              <w:rPr>
                <w:noProof/>
                <w:webHidden/>
              </w:rPr>
              <w:fldChar w:fldCharType="end"/>
            </w:r>
          </w:hyperlink>
        </w:p>
        <w:p w14:paraId="0775E835" w14:textId="177BD228" w:rsidR="000061A7" w:rsidRDefault="000061A7">
          <w:pPr>
            <w:pStyle w:val="TM3"/>
            <w:tabs>
              <w:tab w:val="right" w:leader="dot" w:pos="10620"/>
            </w:tabs>
            <w:rPr>
              <w:noProof/>
              <w:kern w:val="2"/>
              <w:sz w:val="24"/>
              <w:szCs w:val="24"/>
              <w:lang w:eastAsia="fr-FR"/>
              <w14:ligatures w14:val="standardContextual"/>
            </w:rPr>
          </w:pPr>
          <w:hyperlink w:anchor="_Toc219386256" w:history="1">
            <w:r w:rsidRPr="008938B1">
              <w:rPr>
                <w:rStyle w:val="Lienhypertexte"/>
                <w:rFonts w:ascii="Calibri" w:hAnsi="Calibri"/>
                <w:noProof/>
              </w:rPr>
              <w:t>Article 1.2.4 : Département Infrastructures informatiques et services</w:t>
            </w:r>
            <w:r>
              <w:rPr>
                <w:noProof/>
                <w:webHidden/>
              </w:rPr>
              <w:tab/>
            </w:r>
            <w:r>
              <w:rPr>
                <w:noProof/>
                <w:webHidden/>
              </w:rPr>
              <w:fldChar w:fldCharType="begin"/>
            </w:r>
            <w:r>
              <w:rPr>
                <w:noProof/>
                <w:webHidden/>
              </w:rPr>
              <w:instrText xml:space="preserve"> PAGEREF _Toc219386256 \h </w:instrText>
            </w:r>
            <w:r>
              <w:rPr>
                <w:noProof/>
                <w:webHidden/>
              </w:rPr>
            </w:r>
            <w:r>
              <w:rPr>
                <w:noProof/>
                <w:webHidden/>
              </w:rPr>
              <w:fldChar w:fldCharType="separate"/>
            </w:r>
            <w:r>
              <w:rPr>
                <w:noProof/>
                <w:webHidden/>
              </w:rPr>
              <w:t>3</w:t>
            </w:r>
            <w:r>
              <w:rPr>
                <w:noProof/>
                <w:webHidden/>
              </w:rPr>
              <w:fldChar w:fldCharType="end"/>
            </w:r>
          </w:hyperlink>
        </w:p>
        <w:p w14:paraId="5159FC04" w14:textId="394BDFD1" w:rsidR="000061A7" w:rsidRDefault="000061A7">
          <w:pPr>
            <w:pStyle w:val="TM2"/>
            <w:tabs>
              <w:tab w:val="right" w:leader="dot" w:pos="10620"/>
            </w:tabs>
            <w:rPr>
              <w:noProof/>
              <w:kern w:val="2"/>
              <w:sz w:val="24"/>
              <w:szCs w:val="24"/>
              <w:lang w:eastAsia="fr-FR"/>
              <w14:ligatures w14:val="standardContextual"/>
            </w:rPr>
          </w:pPr>
          <w:hyperlink w:anchor="_Toc219386257" w:history="1">
            <w:r w:rsidRPr="008938B1">
              <w:rPr>
                <w:rStyle w:val="Lienhypertexte"/>
                <w:rFonts w:ascii="Calibri" w:hAnsi="Calibri"/>
                <w:noProof/>
              </w:rPr>
              <w:t>Article 1.3 : La Direction pour la Science Ouverte –DIPSO</w:t>
            </w:r>
            <w:r>
              <w:rPr>
                <w:noProof/>
                <w:webHidden/>
              </w:rPr>
              <w:tab/>
            </w:r>
            <w:r>
              <w:rPr>
                <w:noProof/>
                <w:webHidden/>
              </w:rPr>
              <w:fldChar w:fldCharType="begin"/>
            </w:r>
            <w:r>
              <w:rPr>
                <w:noProof/>
                <w:webHidden/>
              </w:rPr>
              <w:instrText xml:space="preserve"> PAGEREF _Toc219386257 \h </w:instrText>
            </w:r>
            <w:r>
              <w:rPr>
                <w:noProof/>
                <w:webHidden/>
              </w:rPr>
            </w:r>
            <w:r>
              <w:rPr>
                <w:noProof/>
                <w:webHidden/>
              </w:rPr>
              <w:fldChar w:fldCharType="separate"/>
            </w:r>
            <w:r>
              <w:rPr>
                <w:noProof/>
                <w:webHidden/>
              </w:rPr>
              <w:t>3</w:t>
            </w:r>
            <w:r>
              <w:rPr>
                <w:noProof/>
                <w:webHidden/>
              </w:rPr>
              <w:fldChar w:fldCharType="end"/>
            </w:r>
          </w:hyperlink>
        </w:p>
        <w:p w14:paraId="0425F93A" w14:textId="3DEC8C96" w:rsidR="000061A7" w:rsidRDefault="000061A7">
          <w:pPr>
            <w:pStyle w:val="TM2"/>
            <w:tabs>
              <w:tab w:val="right" w:leader="dot" w:pos="10620"/>
            </w:tabs>
            <w:rPr>
              <w:noProof/>
              <w:kern w:val="2"/>
              <w:sz w:val="24"/>
              <w:szCs w:val="24"/>
              <w:lang w:eastAsia="fr-FR"/>
              <w14:ligatures w14:val="standardContextual"/>
            </w:rPr>
          </w:pPr>
          <w:hyperlink w:anchor="_Toc219386258" w:history="1">
            <w:r w:rsidRPr="008938B1">
              <w:rPr>
                <w:rStyle w:val="Lienhypertexte"/>
                <w:rFonts w:ascii="Calibri" w:hAnsi="Calibri"/>
                <w:noProof/>
              </w:rPr>
              <w:t>Article 1.4 : Les Centres automatisés de traitement de l’information –CATI</w:t>
            </w:r>
            <w:r>
              <w:rPr>
                <w:noProof/>
                <w:webHidden/>
              </w:rPr>
              <w:tab/>
            </w:r>
            <w:r>
              <w:rPr>
                <w:noProof/>
                <w:webHidden/>
              </w:rPr>
              <w:fldChar w:fldCharType="begin"/>
            </w:r>
            <w:r>
              <w:rPr>
                <w:noProof/>
                <w:webHidden/>
              </w:rPr>
              <w:instrText xml:space="preserve"> PAGEREF _Toc219386258 \h </w:instrText>
            </w:r>
            <w:r>
              <w:rPr>
                <w:noProof/>
                <w:webHidden/>
              </w:rPr>
            </w:r>
            <w:r>
              <w:rPr>
                <w:noProof/>
                <w:webHidden/>
              </w:rPr>
              <w:fldChar w:fldCharType="separate"/>
            </w:r>
            <w:r>
              <w:rPr>
                <w:noProof/>
                <w:webHidden/>
              </w:rPr>
              <w:t>4</w:t>
            </w:r>
            <w:r>
              <w:rPr>
                <w:noProof/>
                <w:webHidden/>
              </w:rPr>
              <w:fldChar w:fldCharType="end"/>
            </w:r>
          </w:hyperlink>
        </w:p>
        <w:p w14:paraId="3FD6DC65" w14:textId="781896B4" w:rsidR="000061A7" w:rsidRDefault="000061A7">
          <w:pPr>
            <w:pStyle w:val="TM1"/>
            <w:tabs>
              <w:tab w:val="right" w:leader="dot" w:pos="10620"/>
            </w:tabs>
            <w:rPr>
              <w:noProof/>
              <w:kern w:val="2"/>
              <w:sz w:val="24"/>
              <w:szCs w:val="24"/>
              <w:lang w:eastAsia="fr-FR"/>
              <w14:ligatures w14:val="standardContextual"/>
            </w:rPr>
          </w:pPr>
          <w:hyperlink w:anchor="_Toc219386259" w:history="1">
            <w:r w:rsidRPr="008938B1">
              <w:rPr>
                <w:rStyle w:val="Lienhypertexte"/>
                <w:rFonts w:ascii="Calibri" w:hAnsi="Calibri"/>
                <w:noProof/>
              </w:rPr>
              <w:t>Article 2 : Objet du marché</w:t>
            </w:r>
            <w:r>
              <w:rPr>
                <w:noProof/>
                <w:webHidden/>
              </w:rPr>
              <w:tab/>
            </w:r>
            <w:r>
              <w:rPr>
                <w:noProof/>
                <w:webHidden/>
              </w:rPr>
              <w:fldChar w:fldCharType="begin"/>
            </w:r>
            <w:r>
              <w:rPr>
                <w:noProof/>
                <w:webHidden/>
              </w:rPr>
              <w:instrText xml:space="preserve"> PAGEREF _Toc219386259 \h </w:instrText>
            </w:r>
            <w:r>
              <w:rPr>
                <w:noProof/>
                <w:webHidden/>
              </w:rPr>
            </w:r>
            <w:r>
              <w:rPr>
                <w:noProof/>
                <w:webHidden/>
              </w:rPr>
              <w:fldChar w:fldCharType="separate"/>
            </w:r>
            <w:r>
              <w:rPr>
                <w:noProof/>
                <w:webHidden/>
              </w:rPr>
              <w:t>5</w:t>
            </w:r>
            <w:r>
              <w:rPr>
                <w:noProof/>
                <w:webHidden/>
              </w:rPr>
              <w:fldChar w:fldCharType="end"/>
            </w:r>
          </w:hyperlink>
        </w:p>
        <w:p w14:paraId="30D1DC9E" w14:textId="037A8669" w:rsidR="000061A7" w:rsidRDefault="000061A7">
          <w:pPr>
            <w:pStyle w:val="TM2"/>
            <w:tabs>
              <w:tab w:val="right" w:leader="dot" w:pos="10620"/>
            </w:tabs>
            <w:rPr>
              <w:noProof/>
              <w:kern w:val="2"/>
              <w:sz w:val="24"/>
              <w:szCs w:val="24"/>
              <w:lang w:eastAsia="fr-FR"/>
              <w14:ligatures w14:val="standardContextual"/>
            </w:rPr>
          </w:pPr>
          <w:hyperlink w:anchor="_Toc219386260" w:history="1">
            <w:r w:rsidRPr="008938B1">
              <w:rPr>
                <w:rStyle w:val="Lienhypertexte"/>
                <w:rFonts w:ascii="Calibri" w:hAnsi="Calibri"/>
                <w:noProof/>
              </w:rPr>
              <w:t>Article 2.1 : Objet détaillé</w:t>
            </w:r>
            <w:r>
              <w:rPr>
                <w:noProof/>
                <w:webHidden/>
              </w:rPr>
              <w:tab/>
            </w:r>
            <w:r>
              <w:rPr>
                <w:noProof/>
                <w:webHidden/>
              </w:rPr>
              <w:fldChar w:fldCharType="begin"/>
            </w:r>
            <w:r>
              <w:rPr>
                <w:noProof/>
                <w:webHidden/>
              </w:rPr>
              <w:instrText xml:space="preserve"> PAGEREF _Toc219386260 \h </w:instrText>
            </w:r>
            <w:r>
              <w:rPr>
                <w:noProof/>
                <w:webHidden/>
              </w:rPr>
            </w:r>
            <w:r>
              <w:rPr>
                <w:noProof/>
                <w:webHidden/>
              </w:rPr>
              <w:fldChar w:fldCharType="separate"/>
            </w:r>
            <w:r>
              <w:rPr>
                <w:noProof/>
                <w:webHidden/>
              </w:rPr>
              <w:t>5</w:t>
            </w:r>
            <w:r>
              <w:rPr>
                <w:noProof/>
                <w:webHidden/>
              </w:rPr>
              <w:fldChar w:fldCharType="end"/>
            </w:r>
          </w:hyperlink>
        </w:p>
        <w:p w14:paraId="7E096FA3" w14:textId="1137753E" w:rsidR="000061A7" w:rsidRDefault="000061A7">
          <w:pPr>
            <w:pStyle w:val="TM2"/>
            <w:tabs>
              <w:tab w:val="right" w:leader="dot" w:pos="10620"/>
            </w:tabs>
            <w:rPr>
              <w:noProof/>
              <w:kern w:val="2"/>
              <w:sz w:val="24"/>
              <w:szCs w:val="24"/>
              <w:lang w:eastAsia="fr-FR"/>
              <w14:ligatures w14:val="standardContextual"/>
            </w:rPr>
          </w:pPr>
          <w:hyperlink w:anchor="_Toc219386261" w:history="1">
            <w:r w:rsidRPr="008938B1">
              <w:rPr>
                <w:rStyle w:val="Lienhypertexte"/>
                <w:rFonts w:ascii="Calibri" w:hAnsi="Calibri"/>
                <w:noProof/>
              </w:rPr>
              <w:t>Article 2.2 : Eléments de contexte</w:t>
            </w:r>
            <w:r>
              <w:rPr>
                <w:noProof/>
                <w:webHidden/>
              </w:rPr>
              <w:tab/>
            </w:r>
            <w:r>
              <w:rPr>
                <w:noProof/>
                <w:webHidden/>
              </w:rPr>
              <w:fldChar w:fldCharType="begin"/>
            </w:r>
            <w:r>
              <w:rPr>
                <w:noProof/>
                <w:webHidden/>
              </w:rPr>
              <w:instrText xml:space="preserve"> PAGEREF _Toc219386261 \h </w:instrText>
            </w:r>
            <w:r>
              <w:rPr>
                <w:noProof/>
                <w:webHidden/>
              </w:rPr>
            </w:r>
            <w:r>
              <w:rPr>
                <w:noProof/>
                <w:webHidden/>
              </w:rPr>
              <w:fldChar w:fldCharType="separate"/>
            </w:r>
            <w:r>
              <w:rPr>
                <w:noProof/>
                <w:webHidden/>
              </w:rPr>
              <w:t>5</w:t>
            </w:r>
            <w:r>
              <w:rPr>
                <w:noProof/>
                <w:webHidden/>
              </w:rPr>
              <w:fldChar w:fldCharType="end"/>
            </w:r>
          </w:hyperlink>
        </w:p>
        <w:p w14:paraId="4B0CC30A" w14:textId="6ED8087D" w:rsidR="000061A7" w:rsidRDefault="000061A7">
          <w:pPr>
            <w:pStyle w:val="TM3"/>
            <w:tabs>
              <w:tab w:val="right" w:leader="dot" w:pos="10620"/>
            </w:tabs>
            <w:rPr>
              <w:noProof/>
              <w:kern w:val="2"/>
              <w:sz w:val="24"/>
              <w:szCs w:val="24"/>
              <w:lang w:eastAsia="fr-FR"/>
              <w14:ligatures w14:val="standardContextual"/>
            </w:rPr>
          </w:pPr>
          <w:hyperlink w:anchor="_Toc219386262" w:history="1">
            <w:r w:rsidRPr="008938B1">
              <w:rPr>
                <w:rStyle w:val="Lienhypertexte"/>
                <w:rFonts w:ascii="Calibri" w:hAnsi="Calibri"/>
                <w:noProof/>
              </w:rPr>
              <w:t>Article</w:t>
            </w:r>
            <w:r w:rsidRPr="008938B1">
              <w:rPr>
                <w:rStyle w:val="Lienhypertexte"/>
                <w:rFonts w:ascii="Calibri" w:hAnsi="Calibri"/>
                <w:noProof/>
                <w:spacing w:val="-7"/>
              </w:rPr>
              <w:t xml:space="preserve"> </w:t>
            </w:r>
            <w:r w:rsidRPr="008938B1">
              <w:rPr>
                <w:rStyle w:val="Lienhypertexte"/>
                <w:rFonts w:ascii="Calibri" w:hAnsi="Calibri"/>
                <w:noProof/>
              </w:rPr>
              <w:t>2.2.1 :</w:t>
            </w:r>
            <w:r w:rsidRPr="008938B1">
              <w:rPr>
                <w:rStyle w:val="Lienhypertexte"/>
                <w:rFonts w:ascii="Calibri" w:hAnsi="Calibri"/>
                <w:noProof/>
                <w:spacing w:val="-6"/>
              </w:rPr>
              <w:t xml:space="preserve"> Lot 1 - </w:t>
            </w:r>
            <w:r w:rsidRPr="008938B1">
              <w:rPr>
                <w:rStyle w:val="Lienhypertexte"/>
                <w:rFonts w:ascii="Calibri" w:hAnsi="Calibri"/>
                <w:noProof/>
              </w:rPr>
              <w:t>Prestations</w:t>
            </w:r>
            <w:r w:rsidRPr="008938B1">
              <w:rPr>
                <w:rStyle w:val="Lienhypertexte"/>
                <w:rFonts w:ascii="Calibri" w:hAnsi="Calibri"/>
                <w:noProof/>
                <w:spacing w:val="-5"/>
              </w:rPr>
              <w:t xml:space="preserve"> </w:t>
            </w:r>
            <w:r w:rsidRPr="008938B1">
              <w:rPr>
                <w:rStyle w:val="Lienhypertexte"/>
                <w:rFonts w:ascii="Calibri" w:hAnsi="Calibri"/>
                <w:noProof/>
              </w:rPr>
              <w:t>d’hébergement</w:t>
            </w:r>
            <w:r w:rsidRPr="008938B1">
              <w:rPr>
                <w:rStyle w:val="Lienhypertexte"/>
                <w:rFonts w:ascii="Calibri" w:hAnsi="Calibri"/>
                <w:noProof/>
                <w:spacing w:val="-4"/>
              </w:rPr>
              <w:t xml:space="preserve"> et d’exploitation </w:t>
            </w:r>
            <w:r w:rsidRPr="008938B1">
              <w:rPr>
                <w:rStyle w:val="Lienhypertexte"/>
                <w:rFonts w:ascii="Calibri" w:hAnsi="Calibri"/>
                <w:noProof/>
              </w:rPr>
              <w:t>de</w:t>
            </w:r>
            <w:r w:rsidRPr="008938B1">
              <w:rPr>
                <w:rStyle w:val="Lienhypertexte"/>
                <w:rFonts w:ascii="Calibri" w:hAnsi="Calibri"/>
                <w:noProof/>
                <w:spacing w:val="-4"/>
              </w:rPr>
              <w:t xml:space="preserve"> </w:t>
            </w:r>
            <w:r w:rsidRPr="008938B1">
              <w:rPr>
                <w:rStyle w:val="Lienhypertexte"/>
                <w:rFonts w:ascii="Calibri" w:hAnsi="Calibri"/>
                <w:noProof/>
              </w:rPr>
              <w:t>la</w:t>
            </w:r>
            <w:r w:rsidRPr="008938B1">
              <w:rPr>
                <w:rStyle w:val="Lienhypertexte"/>
                <w:rFonts w:ascii="Calibri" w:hAnsi="Calibri"/>
                <w:noProof/>
                <w:spacing w:val="-4"/>
              </w:rPr>
              <w:t xml:space="preserve"> </w:t>
            </w:r>
            <w:r w:rsidRPr="008938B1">
              <w:rPr>
                <w:rStyle w:val="Lienhypertexte"/>
                <w:rFonts w:ascii="Calibri" w:hAnsi="Calibri"/>
                <w:noProof/>
              </w:rPr>
              <w:t>solution</w:t>
            </w:r>
            <w:r w:rsidRPr="008938B1">
              <w:rPr>
                <w:rStyle w:val="Lienhypertexte"/>
                <w:rFonts w:ascii="Calibri" w:hAnsi="Calibri"/>
                <w:noProof/>
                <w:spacing w:val="-3"/>
              </w:rPr>
              <w:t xml:space="preserve"> </w:t>
            </w:r>
            <w:r w:rsidRPr="008938B1">
              <w:rPr>
                <w:rStyle w:val="Lienhypertexte"/>
                <w:rFonts w:ascii="Calibri" w:hAnsi="Calibri"/>
                <w:noProof/>
              </w:rPr>
              <w:t>et</w:t>
            </w:r>
            <w:r w:rsidRPr="008938B1">
              <w:rPr>
                <w:rStyle w:val="Lienhypertexte"/>
                <w:rFonts w:ascii="Calibri" w:hAnsi="Calibri"/>
                <w:noProof/>
                <w:spacing w:val="-6"/>
              </w:rPr>
              <w:t xml:space="preserve"> </w:t>
            </w:r>
            <w:r w:rsidRPr="008938B1">
              <w:rPr>
                <w:rStyle w:val="Lienhypertexte"/>
                <w:rFonts w:ascii="Calibri" w:hAnsi="Calibri"/>
                <w:noProof/>
              </w:rPr>
              <w:t>sa</w:t>
            </w:r>
            <w:r w:rsidRPr="008938B1">
              <w:rPr>
                <w:rStyle w:val="Lienhypertexte"/>
                <w:rFonts w:ascii="Calibri" w:hAnsi="Calibri"/>
                <w:noProof/>
                <w:spacing w:val="-4"/>
              </w:rPr>
              <w:t xml:space="preserve"> </w:t>
            </w:r>
            <w:r w:rsidRPr="008938B1">
              <w:rPr>
                <w:rStyle w:val="Lienhypertexte"/>
                <w:rFonts w:ascii="Calibri" w:hAnsi="Calibri"/>
                <w:noProof/>
                <w:spacing w:val="-2"/>
              </w:rPr>
              <w:t>réversibilité</w:t>
            </w:r>
            <w:r>
              <w:rPr>
                <w:noProof/>
                <w:webHidden/>
              </w:rPr>
              <w:tab/>
            </w:r>
            <w:r>
              <w:rPr>
                <w:noProof/>
                <w:webHidden/>
              </w:rPr>
              <w:fldChar w:fldCharType="begin"/>
            </w:r>
            <w:r>
              <w:rPr>
                <w:noProof/>
                <w:webHidden/>
              </w:rPr>
              <w:instrText xml:space="preserve"> PAGEREF _Toc219386262 \h </w:instrText>
            </w:r>
            <w:r>
              <w:rPr>
                <w:noProof/>
                <w:webHidden/>
              </w:rPr>
            </w:r>
            <w:r>
              <w:rPr>
                <w:noProof/>
                <w:webHidden/>
              </w:rPr>
              <w:fldChar w:fldCharType="separate"/>
            </w:r>
            <w:r>
              <w:rPr>
                <w:noProof/>
                <w:webHidden/>
              </w:rPr>
              <w:t>5</w:t>
            </w:r>
            <w:r>
              <w:rPr>
                <w:noProof/>
                <w:webHidden/>
              </w:rPr>
              <w:fldChar w:fldCharType="end"/>
            </w:r>
          </w:hyperlink>
        </w:p>
        <w:p w14:paraId="43A3362B" w14:textId="3940F613" w:rsidR="000061A7" w:rsidRDefault="000061A7">
          <w:pPr>
            <w:pStyle w:val="TM3"/>
            <w:tabs>
              <w:tab w:val="right" w:leader="dot" w:pos="10620"/>
            </w:tabs>
            <w:rPr>
              <w:noProof/>
              <w:kern w:val="2"/>
              <w:sz w:val="24"/>
              <w:szCs w:val="24"/>
              <w:lang w:eastAsia="fr-FR"/>
              <w14:ligatures w14:val="standardContextual"/>
            </w:rPr>
          </w:pPr>
          <w:hyperlink w:anchor="_Toc219386263" w:history="1">
            <w:r w:rsidRPr="008938B1">
              <w:rPr>
                <w:rStyle w:val="Lienhypertexte"/>
                <w:rFonts w:ascii="Calibri" w:hAnsi="Calibri"/>
                <w:noProof/>
              </w:rPr>
              <w:t>Article 2.2.2 : Lot 1 - Prestations de maintenance corrective et montées de version annuelles de geOrchestra</w:t>
            </w:r>
            <w:r>
              <w:rPr>
                <w:noProof/>
                <w:webHidden/>
              </w:rPr>
              <w:tab/>
            </w:r>
            <w:r>
              <w:rPr>
                <w:noProof/>
                <w:webHidden/>
              </w:rPr>
              <w:fldChar w:fldCharType="begin"/>
            </w:r>
            <w:r>
              <w:rPr>
                <w:noProof/>
                <w:webHidden/>
              </w:rPr>
              <w:instrText xml:space="preserve"> PAGEREF _Toc219386263 \h </w:instrText>
            </w:r>
            <w:r>
              <w:rPr>
                <w:noProof/>
                <w:webHidden/>
              </w:rPr>
            </w:r>
            <w:r>
              <w:rPr>
                <w:noProof/>
                <w:webHidden/>
              </w:rPr>
              <w:fldChar w:fldCharType="separate"/>
            </w:r>
            <w:r>
              <w:rPr>
                <w:noProof/>
                <w:webHidden/>
              </w:rPr>
              <w:t>8</w:t>
            </w:r>
            <w:r>
              <w:rPr>
                <w:noProof/>
                <w:webHidden/>
              </w:rPr>
              <w:fldChar w:fldCharType="end"/>
            </w:r>
          </w:hyperlink>
        </w:p>
        <w:p w14:paraId="6761D9CC" w14:textId="1B5B84DA" w:rsidR="000061A7" w:rsidRDefault="000061A7">
          <w:pPr>
            <w:pStyle w:val="TM3"/>
            <w:tabs>
              <w:tab w:val="right" w:leader="dot" w:pos="10620"/>
            </w:tabs>
            <w:rPr>
              <w:noProof/>
              <w:kern w:val="2"/>
              <w:sz w:val="24"/>
              <w:szCs w:val="24"/>
              <w:lang w:eastAsia="fr-FR"/>
              <w14:ligatures w14:val="standardContextual"/>
            </w:rPr>
          </w:pPr>
          <w:hyperlink w:anchor="_Toc219386264" w:history="1">
            <w:r w:rsidRPr="008938B1">
              <w:rPr>
                <w:rStyle w:val="Lienhypertexte"/>
                <w:rFonts w:ascii="Calibri" w:hAnsi="Calibri"/>
                <w:noProof/>
              </w:rPr>
              <w:t>Article 2.2.3 :  Lot 2 - Développements de nouvelles fonctionnalités adaptées au contexte ESR</w:t>
            </w:r>
            <w:r>
              <w:rPr>
                <w:noProof/>
                <w:webHidden/>
              </w:rPr>
              <w:tab/>
            </w:r>
            <w:r>
              <w:rPr>
                <w:noProof/>
                <w:webHidden/>
              </w:rPr>
              <w:fldChar w:fldCharType="begin"/>
            </w:r>
            <w:r>
              <w:rPr>
                <w:noProof/>
                <w:webHidden/>
              </w:rPr>
              <w:instrText xml:space="preserve"> PAGEREF _Toc219386264 \h </w:instrText>
            </w:r>
            <w:r>
              <w:rPr>
                <w:noProof/>
                <w:webHidden/>
              </w:rPr>
            </w:r>
            <w:r>
              <w:rPr>
                <w:noProof/>
                <w:webHidden/>
              </w:rPr>
              <w:fldChar w:fldCharType="separate"/>
            </w:r>
            <w:r>
              <w:rPr>
                <w:noProof/>
                <w:webHidden/>
              </w:rPr>
              <w:t>9</w:t>
            </w:r>
            <w:r>
              <w:rPr>
                <w:noProof/>
                <w:webHidden/>
              </w:rPr>
              <w:fldChar w:fldCharType="end"/>
            </w:r>
          </w:hyperlink>
        </w:p>
        <w:p w14:paraId="2FED6092" w14:textId="76E8DCDF" w:rsidR="000061A7" w:rsidRDefault="000061A7">
          <w:pPr>
            <w:pStyle w:val="TM1"/>
            <w:tabs>
              <w:tab w:val="right" w:leader="dot" w:pos="10620"/>
            </w:tabs>
            <w:rPr>
              <w:noProof/>
              <w:kern w:val="2"/>
              <w:sz w:val="24"/>
              <w:szCs w:val="24"/>
              <w:lang w:eastAsia="fr-FR"/>
              <w14:ligatures w14:val="standardContextual"/>
            </w:rPr>
          </w:pPr>
          <w:hyperlink w:anchor="_Toc219386265" w:history="1">
            <w:r w:rsidRPr="008938B1">
              <w:rPr>
                <w:rStyle w:val="Lienhypertexte"/>
                <w:rFonts w:ascii="Calibri" w:hAnsi="Calibri"/>
                <w:noProof/>
              </w:rPr>
              <w:t>Article 3 : Exigences réglementaires de confidentialité et sécurisation des données applicables au titulaire et ses sous-traitants</w:t>
            </w:r>
            <w:r>
              <w:rPr>
                <w:noProof/>
                <w:webHidden/>
              </w:rPr>
              <w:tab/>
            </w:r>
            <w:r>
              <w:rPr>
                <w:noProof/>
                <w:webHidden/>
              </w:rPr>
              <w:fldChar w:fldCharType="begin"/>
            </w:r>
            <w:r>
              <w:rPr>
                <w:noProof/>
                <w:webHidden/>
              </w:rPr>
              <w:instrText xml:space="preserve"> PAGEREF _Toc219386265 \h </w:instrText>
            </w:r>
            <w:r>
              <w:rPr>
                <w:noProof/>
                <w:webHidden/>
              </w:rPr>
            </w:r>
            <w:r>
              <w:rPr>
                <w:noProof/>
                <w:webHidden/>
              </w:rPr>
              <w:fldChar w:fldCharType="separate"/>
            </w:r>
            <w:r>
              <w:rPr>
                <w:noProof/>
                <w:webHidden/>
              </w:rPr>
              <w:t>10</w:t>
            </w:r>
            <w:r>
              <w:rPr>
                <w:noProof/>
                <w:webHidden/>
              </w:rPr>
              <w:fldChar w:fldCharType="end"/>
            </w:r>
          </w:hyperlink>
        </w:p>
        <w:p w14:paraId="409E8560" w14:textId="7C8E7BB0" w:rsidR="000061A7" w:rsidRDefault="000061A7">
          <w:pPr>
            <w:pStyle w:val="TM3"/>
            <w:tabs>
              <w:tab w:val="right" w:leader="dot" w:pos="10620"/>
            </w:tabs>
            <w:rPr>
              <w:noProof/>
              <w:kern w:val="2"/>
              <w:sz w:val="24"/>
              <w:szCs w:val="24"/>
              <w:lang w:eastAsia="fr-FR"/>
              <w14:ligatures w14:val="standardContextual"/>
            </w:rPr>
          </w:pPr>
          <w:hyperlink w:anchor="_Toc219386266" w:history="1">
            <w:r w:rsidRPr="008938B1">
              <w:rPr>
                <w:rStyle w:val="Lienhypertexte"/>
                <w:rFonts w:ascii="Calibri" w:hAnsi="Calibri"/>
                <w:noProof/>
              </w:rPr>
              <w:t>Article 3.1 Conformité au RGI</w:t>
            </w:r>
            <w:r>
              <w:rPr>
                <w:noProof/>
                <w:webHidden/>
              </w:rPr>
              <w:tab/>
            </w:r>
            <w:r>
              <w:rPr>
                <w:noProof/>
                <w:webHidden/>
              </w:rPr>
              <w:fldChar w:fldCharType="begin"/>
            </w:r>
            <w:r>
              <w:rPr>
                <w:noProof/>
                <w:webHidden/>
              </w:rPr>
              <w:instrText xml:space="preserve"> PAGEREF _Toc219386266 \h </w:instrText>
            </w:r>
            <w:r>
              <w:rPr>
                <w:noProof/>
                <w:webHidden/>
              </w:rPr>
            </w:r>
            <w:r>
              <w:rPr>
                <w:noProof/>
                <w:webHidden/>
              </w:rPr>
              <w:fldChar w:fldCharType="separate"/>
            </w:r>
            <w:r>
              <w:rPr>
                <w:noProof/>
                <w:webHidden/>
              </w:rPr>
              <w:t>10</w:t>
            </w:r>
            <w:r>
              <w:rPr>
                <w:noProof/>
                <w:webHidden/>
              </w:rPr>
              <w:fldChar w:fldCharType="end"/>
            </w:r>
          </w:hyperlink>
        </w:p>
        <w:p w14:paraId="1C6F8087" w14:textId="1ED4972D" w:rsidR="000061A7" w:rsidRDefault="000061A7">
          <w:pPr>
            <w:pStyle w:val="TM3"/>
            <w:tabs>
              <w:tab w:val="right" w:leader="dot" w:pos="10620"/>
            </w:tabs>
            <w:rPr>
              <w:noProof/>
              <w:kern w:val="2"/>
              <w:sz w:val="24"/>
              <w:szCs w:val="24"/>
              <w:lang w:eastAsia="fr-FR"/>
              <w14:ligatures w14:val="standardContextual"/>
            </w:rPr>
          </w:pPr>
          <w:hyperlink w:anchor="_Toc219386267" w:history="1">
            <w:r w:rsidRPr="008938B1">
              <w:rPr>
                <w:rStyle w:val="Lienhypertexte"/>
                <w:rFonts w:ascii="Calibri" w:hAnsi="Calibri"/>
                <w:noProof/>
              </w:rPr>
              <w:t>Article 3.2 Conformité au RGAA</w:t>
            </w:r>
            <w:r>
              <w:rPr>
                <w:noProof/>
                <w:webHidden/>
              </w:rPr>
              <w:tab/>
            </w:r>
            <w:r>
              <w:rPr>
                <w:noProof/>
                <w:webHidden/>
              </w:rPr>
              <w:fldChar w:fldCharType="begin"/>
            </w:r>
            <w:r>
              <w:rPr>
                <w:noProof/>
                <w:webHidden/>
              </w:rPr>
              <w:instrText xml:space="preserve"> PAGEREF _Toc219386267 \h </w:instrText>
            </w:r>
            <w:r>
              <w:rPr>
                <w:noProof/>
                <w:webHidden/>
              </w:rPr>
            </w:r>
            <w:r>
              <w:rPr>
                <w:noProof/>
                <w:webHidden/>
              </w:rPr>
              <w:fldChar w:fldCharType="separate"/>
            </w:r>
            <w:r>
              <w:rPr>
                <w:noProof/>
                <w:webHidden/>
              </w:rPr>
              <w:t>10</w:t>
            </w:r>
            <w:r>
              <w:rPr>
                <w:noProof/>
                <w:webHidden/>
              </w:rPr>
              <w:fldChar w:fldCharType="end"/>
            </w:r>
          </w:hyperlink>
        </w:p>
        <w:p w14:paraId="7CA28DE9" w14:textId="7019FE78" w:rsidR="000061A7" w:rsidRDefault="000061A7">
          <w:pPr>
            <w:pStyle w:val="TM3"/>
            <w:tabs>
              <w:tab w:val="right" w:leader="dot" w:pos="10620"/>
            </w:tabs>
            <w:rPr>
              <w:noProof/>
              <w:kern w:val="2"/>
              <w:sz w:val="24"/>
              <w:szCs w:val="24"/>
              <w:lang w:eastAsia="fr-FR"/>
              <w14:ligatures w14:val="standardContextual"/>
            </w:rPr>
          </w:pPr>
          <w:hyperlink w:anchor="_Toc219386268" w:history="1">
            <w:r w:rsidRPr="008938B1">
              <w:rPr>
                <w:rStyle w:val="Lienhypertexte"/>
                <w:rFonts w:ascii="Calibri" w:hAnsi="Calibri"/>
                <w:noProof/>
              </w:rPr>
              <w:t>Article 3.3 Conformité au RGS</w:t>
            </w:r>
            <w:r>
              <w:rPr>
                <w:noProof/>
                <w:webHidden/>
              </w:rPr>
              <w:tab/>
            </w:r>
            <w:r>
              <w:rPr>
                <w:noProof/>
                <w:webHidden/>
              </w:rPr>
              <w:fldChar w:fldCharType="begin"/>
            </w:r>
            <w:r>
              <w:rPr>
                <w:noProof/>
                <w:webHidden/>
              </w:rPr>
              <w:instrText xml:space="preserve"> PAGEREF _Toc219386268 \h </w:instrText>
            </w:r>
            <w:r>
              <w:rPr>
                <w:noProof/>
                <w:webHidden/>
              </w:rPr>
            </w:r>
            <w:r>
              <w:rPr>
                <w:noProof/>
                <w:webHidden/>
              </w:rPr>
              <w:fldChar w:fldCharType="separate"/>
            </w:r>
            <w:r>
              <w:rPr>
                <w:noProof/>
                <w:webHidden/>
              </w:rPr>
              <w:t>11</w:t>
            </w:r>
            <w:r>
              <w:rPr>
                <w:noProof/>
                <w:webHidden/>
              </w:rPr>
              <w:fldChar w:fldCharType="end"/>
            </w:r>
          </w:hyperlink>
        </w:p>
        <w:p w14:paraId="032B1FCE" w14:textId="11AA69C4" w:rsidR="000061A7" w:rsidRDefault="000061A7">
          <w:pPr>
            <w:pStyle w:val="TM3"/>
            <w:tabs>
              <w:tab w:val="right" w:leader="dot" w:pos="10620"/>
            </w:tabs>
            <w:rPr>
              <w:noProof/>
              <w:kern w:val="2"/>
              <w:sz w:val="24"/>
              <w:szCs w:val="24"/>
              <w:lang w:eastAsia="fr-FR"/>
              <w14:ligatures w14:val="standardContextual"/>
            </w:rPr>
          </w:pPr>
          <w:hyperlink w:anchor="_Toc219386269" w:history="1">
            <w:r w:rsidRPr="008938B1">
              <w:rPr>
                <w:rStyle w:val="Lienhypertexte"/>
                <w:rFonts w:ascii="Calibri" w:hAnsi="Calibri"/>
                <w:noProof/>
              </w:rPr>
              <w:t>Article 3.4 Conformité à la PSSIE</w:t>
            </w:r>
            <w:r>
              <w:rPr>
                <w:noProof/>
                <w:webHidden/>
              </w:rPr>
              <w:tab/>
            </w:r>
            <w:r>
              <w:rPr>
                <w:noProof/>
                <w:webHidden/>
              </w:rPr>
              <w:fldChar w:fldCharType="begin"/>
            </w:r>
            <w:r>
              <w:rPr>
                <w:noProof/>
                <w:webHidden/>
              </w:rPr>
              <w:instrText xml:space="preserve"> PAGEREF _Toc219386269 \h </w:instrText>
            </w:r>
            <w:r>
              <w:rPr>
                <w:noProof/>
                <w:webHidden/>
              </w:rPr>
            </w:r>
            <w:r>
              <w:rPr>
                <w:noProof/>
                <w:webHidden/>
              </w:rPr>
              <w:fldChar w:fldCharType="separate"/>
            </w:r>
            <w:r>
              <w:rPr>
                <w:noProof/>
                <w:webHidden/>
              </w:rPr>
              <w:t>11</w:t>
            </w:r>
            <w:r>
              <w:rPr>
                <w:noProof/>
                <w:webHidden/>
              </w:rPr>
              <w:fldChar w:fldCharType="end"/>
            </w:r>
          </w:hyperlink>
        </w:p>
        <w:p w14:paraId="286FD490" w14:textId="775574AD" w:rsidR="000061A7" w:rsidRDefault="000061A7">
          <w:pPr>
            <w:pStyle w:val="TM3"/>
            <w:tabs>
              <w:tab w:val="right" w:leader="dot" w:pos="10620"/>
            </w:tabs>
            <w:rPr>
              <w:noProof/>
              <w:kern w:val="2"/>
              <w:sz w:val="24"/>
              <w:szCs w:val="24"/>
              <w:lang w:eastAsia="fr-FR"/>
              <w14:ligatures w14:val="standardContextual"/>
            </w:rPr>
          </w:pPr>
          <w:hyperlink w:anchor="_Toc219386270" w:history="1">
            <w:r w:rsidRPr="008938B1">
              <w:rPr>
                <w:rStyle w:val="Lienhypertexte"/>
                <w:rFonts w:ascii="Calibri" w:hAnsi="Calibri"/>
                <w:noProof/>
              </w:rPr>
              <w:t>Article 3.5 Conformité au règlement européen 2016/679 - RGPD</w:t>
            </w:r>
            <w:r>
              <w:rPr>
                <w:noProof/>
                <w:webHidden/>
              </w:rPr>
              <w:tab/>
            </w:r>
            <w:r>
              <w:rPr>
                <w:noProof/>
                <w:webHidden/>
              </w:rPr>
              <w:fldChar w:fldCharType="begin"/>
            </w:r>
            <w:r>
              <w:rPr>
                <w:noProof/>
                <w:webHidden/>
              </w:rPr>
              <w:instrText xml:space="preserve"> PAGEREF _Toc219386270 \h </w:instrText>
            </w:r>
            <w:r>
              <w:rPr>
                <w:noProof/>
                <w:webHidden/>
              </w:rPr>
            </w:r>
            <w:r>
              <w:rPr>
                <w:noProof/>
                <w:webHidden/>
              </w:rPr>
              <w:fldChar w:fldCharType="separate"/>
            </w:r>
            <w:r>
              <w:rPr>
                <w:noProof/>
                <w:webHidden/>
              </w:rPr>
              <w:t>11</w:t>
            </w:r>
            <w:r>
              <w:rPr>
                <w:noProof/>
                <w:webHidden/>
              </w:rPr>
              <w:fldChar w:fldCharType="end"/>
            </w:r>
          </w:hyperlink>
        </w:p>
        <w:p w14:paraId="653A7107" w14:textId="5D420EF6" w:rsidR="000061A7" w:rsidRDefault="000061A7">
          <w:pPr>
            <w:pStyle w:val="TM1"/>
            <w:tabs>
              <w:tab w:val="right" w:leader="dot" w:pos="10620"/>
            </w:tabs>
            <w:rPr>
              <w:noProof/>
              <w:kern w:val="2"/>
              <w:sz w:val="24"/>
              <w:szCs w:val="24"/>
              <w:lang w:eastAsia="fr-FR"/>
              <w14:ligatures w14:val="standardContextual"/>
            </w:rPr>
          </w:pPr>
          <w:hyperlink w:anchor="_Toc219386271" w:history="1">
            <w:r w:rsidRPr="008938B1">
              <w:rPr>
                <w:rStyle w:val="Lienhypertexte"/>
                <w:rFonts w:ascii="Calibri" w:hAnsi="Calibri"/>
                <w:noProof/>
              </w:rPr>
              <w:t>Article 4 : Engagement du titulaire</w:t>
            </w:r>
            <w:r>
              <w:rPr>
                <w:noProof/>
                <w:webHidden/>
              </w:rPr>
              <w:tab/>
            </w:r>
            <w:r>
              <w:rPr>
                <w:noProof/>
                <w:webHidden/>
              </w:rPr>
              <w:fldChar w:fldCharType="begin"/>
            </w:r>
            <w:r>
              <w:rPr>
                <w:noProof/>
                <w:webHidden/>
              </w:rPr>
              <w:instrText xml:space="preserve"> PAGEREF _Toc219386271 \h </w:instrText>
            </w:r>
            <w:r>
              <w:rPr>
                <w:noProof/>
                <w:webHidden/>
              </w:rPr>
            </w:r>
            <w:r>
              <w:rPr>
                <w:noProof/>
                <w:webHidden/>
              </w:rPr>
              <w:fldChar w:fldCharType="separate"/>
            </w:r>
            <w:r>
              <w:rPr>
                <w:noProof/>
                <w:webHidden/>
              </w:rPr>
              <w:t>12</w:t>
            </w:r>
            <w:r>
              <w:rPr>
                <w:noProof/>
                <w:webHidden/>
              </w:rPr>
              <w:fldChar w:fldCharType="end"/>
            </w:r>
          </w:hyperlink>
        </w:p>
        <w:p w14:paraId="0E0F0CC9" w14:textId="3E0CA4E6" w:rsidR="000061A7" w:rsidRDefault="000061A7">
          <w:pPr>
            <w:pStyle w:val="TM3"/>
            <w:tabs>
              <w:tab w:val="right" w:leader="dot" w:pos="10620"/>
            </w:tabs>
            <w:rPr>
              <w:noProof/>
              <w:kern w:val="2"/>
              <w:sz w:val="24"/>
              <w:szCs w:val="24"/>
              <w:lang w:eastAsia="fr-FR"/>
              <w14:ligatures w14:val="standardContextual"/>
            </w:rPr>
          </w:pPr>
          <w:hyperlink w:anchor="_Toc219386272" w:history="1">
            <w:r w:rsidRPr="008938B1">
              <w:rPr>
                <w:rStyle w:val="Lienhypertexte"/>
                <w:rFonts w:ascii="Calibri" w:hAnsi="Calibri"/>
                <w:noProof/>
              </w:rPr>
              <w:t>Article 4.1 : Obligation de sécurisation des données</w:t>
            </w:r>
            <w:r>
              <w:rPr>
                <w:noProof/>
                <w:webHidden/>
              </w:rPr>
              <w:tab/>
            </w:r>
            <w:r>
              <w:rPr>
                <w:noProof/>
                <w:webHidden/>
              </w:rPr>
              <w:fldChar w:fldCharType="begin"/>
            </w:r>
            <w:r>
              <w:rPr>
                <w:noProof/>
                <w:webHidden/>
              </w:rPr>
              <w:instrText xml:space="preserve"> PAGEREF _Toc219386272 \h </w:instrText>
            </w:r>
            <w:r>
              <w:rPr>
                <w:noProof/>
                <w:webHidden/>
              </w:rPr>
            </w:r>
            <w:r>
              <w:rPr>
                <w:noProof/>
                <w:webHidden/>
              </w:rPr>
              <w:fldChar w:fldCharType="separate"/>
            </w:r>
            <w:r>
              <w:rPr>
                <w:noProof/>
                <w:webHidden/>
              </w:rPr>
              <w:t>12</w:t>
            </w:r>
            <w:r>
              <w:rPr>
                <w:noProof/>
                <w:webHidden/>
              </w:rPr>
              <w:fldChar w:fldCharType="end"/>
            </w:r>
          </w:hyperlink>
        </w:p>
        <w:p w14:paraId="3B62775A" w14:textId="77777777" w:rsidR="006E7EF5" w:rsidRDefault="00AC41B0">
          <w:pPr>
            <w:spacing w:after="120" w:line="240" w:lineRule="auto"/>
            <w:rPr>
              <w:rFonts w:ascii="Calibri" w:hAnsi="Calibri" w:cs="Calibri"/>
            </w:rPr>
          </w:pPr>
          <w:r>
            <w:rPr>
              <w:rFonts w:ascii="Calibri" w:hAnsi="Calibri" w:cs="Calibri"/>
            </w:rPr>
            <w:fldChar w:fldCharType="end"/>
          </w:r>
        </w:p>
      </w:sdtContent>
    </w:sdt>
    <w:p w14:paraId="4B89937B" w14:textId="77777777" w:rsidR="006E7EF5" w:rsidRDefault="00AC41B0">
      <w:pPr>
        <w:spacing w:after="120" w:line="240" w:lineRule="auto"/>
        <w:rPr>
          <w:rFonts w:ascii="Calibri" w:eastAsia="Avenir Next LT Pro" w:hAnsi="Calibri" w:cs="Calibri"/>
          <w:color w:val="03A2A6"/>
          <w:sz w:val="24"/>
          <w:szCs w:val="24"/>
        </w:rPr>
      </w:pPr>
      <w:r>
        <w:br w:type="page"/>
      </w:r>
    </w:p>
    <w:p w14:paraId="77EBC313" w14:textId="77777777" w:rsidR="006E7EF5" w:rsidRDefault="006E7EF5">
      <w:pPr>
        <w:pStyle w:val="Titre2"/>
        <w:tabs>
          <w:tab w:val="left" w:pos="9284"/>
        </w:tabs>
        <w:spacing w:before="0" w:after="120"/>
        <w:ind w:left="777"/>
        <w:rPr>
          <w:rFonts w:ascii="Calibri" w:eastAsia="Avenir Next LT Pro" w:hAnsi="Calibri" w:cs="Calibri"/>
          <w:color w:val="03A2A6"/>
          <w:sz w:val="24"/>
          <w:szCs w:val="24"/>
        </w:rPr>
      </w:pPr>
    </w:p>
    <w:p w14:paraId="2AA7B799" w14:textId="77777777" w:rsidR="006E7EF5" w:rsidRDefault="00AC41B0">
      <w:pPr>
        <w:pStyle w:val="Titre1"/>
        <w:spacing w:before="0" w:after="120"/>
        <w:jc w:val="left"/>
        <w:rPr>
          <w:rFonts w:ascii="Calibri" w:hAnsi="Calibri"/>
          <w:sz w:val="32"/>
          <w:szCs w:val="32"/>
        </w:rPr>
      </w:pPr>
      <w:bookmarkStart w:id="3" w:name="_Toc219386251"/>
      <w:r>
        <w:rPr>
          <w:rFonts w:ascii="Calibri" w:hAnsi="Calibri"/>
          <w:sz w:val="32"/>
          <w:szCs w:val="32"/>
        </w:rPr>
        <w:t>Article 1 : Présentation</w:t>
      </w:r>
      <w:bookmarkEnd w:id="3"/>
    </w:p>
    <w:p w14:paraId="7F3B409F" w14:textId="77777777" w:rsidR="006E7EF5" w:rsidRDefault="00AC41B0">
      <w:pPr>
        <w:pStyle w:val="Titre2"/>
        <w:spacing w:before="0" w:after="120"/>
        <w:jc w:val="left"/>
        <w:rPr>
          <w:rFonts w:ascii="Calibri" w:hAnsi="Calibri"/>
          <w:sz w:val="28"/>
          <w:szCs w:val="28"/>
        </w:rPr>
      </w:pPr>
      <w:bookmarkStart w:id="4" w:name="_Toc219386252"/>
      <w:r>
        <w:rPr>
          <w:rFonts w:ascii="Calibri" w:hAnsi="Calibri"/>
          <w:sz w:val="28"/>
          <w:szCs w:val="28"/>
        </w:rPr>
        <w:t>Article 1.2 : La Direction des Systèmes d’information – DSI</w:t>
      </w:r>
      <w:bookmarkEnd w:id="4"/>
      <w:r>
        <w:rPr>
          <w:rFonts w:ascii="Calibri" w:hAnsi="Calibri"/>
          <w:sz w:val="28"/>
          <w:szCs w:val="28"/>
        </w:rPr>
        <w:tab/>
      </w:r>
    </w:p>
    <w:p w14:paraId="1F2AFE03" w14:textId="77777777" w:rsidR="006E7EF5" w:rsidRDefault="00AC41B0">
      <w:pPr>
        <w:spacing w:after="120" w:line="240" w:lineRule="auto"/>
        <w:ind w:left="210" w:right="918"/>
        <w:jc w:val="both"/>
        <w:rPr>
          <w:rFonts w:ascii="Calibri" w:hAnsi="Calibri" w:cs="Calibri"/>
        </w:rPr>
      </w:pPr>
      <w:r>
        <w:rPr>
          <w:rFonts w:ascii="Calibri" w:eastAsia="Avenir Next LT Pro" w:hAnsi="Calibri" w:cs="Calibri"/>
          <w:color w:val="000000"/>
          <w:sz w:val="20"/>
          <w:szCs w:val="20"/>
        </w:rPr>
        <w:t>La Direction des Systèmes d’Information (DSI) a pour missions de garantir un fonctionnement optimal, coordonnée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maîtrisé</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systèmes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d’information</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l’institut</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l’ensemble</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centres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unités.</w:t>
      </w:r>
    </w:p>
    <w:p w14:paraId="4F5F8272" w14:textId="77777777" w:rsidR="006E7EF5" w:rsidRDefault="00AC41B0">
      <w:pPr>
        <w:spacing w:after="120" w:line="240" w:lineRule="auto"/>
        <w:ind w:left="210" w:right="912"/>
        <w:jc w:val="both"/>
        <w:rPr>
          <w:rFonts w:ascii="Calibri" w:hAnsi="Calibri" w:cs="Calibri"/>
        </w:rPr>
      </w:pPr>
      <w:r>
        <w:rPr>
          <w:rFonts w:ascii="Calibri" w:eastAsia="Avenir Next LT Pro" w:hAnsi="Calibri" w:cs="Calibri"/>
          <w:color w:val="000000"/>
          <w:sz w:val="20"/>
          <w:szCs w:val="20"/>
        </w:rPr>
        <w:t>La DSI a pour ambition de développer un SI ouvert afin de faciliter l’accès à l’information et soutenir la recherche et l’innovation.</w:t>
      </w:r>
    </w:p>
    <w:p w14:paraId="1E1C2296" w14:textId="77777777" w:rsidR="006E7EF5" w:rsidRDefault="00AC41B0">
      <w:pPr>
        <w:spacing w:after="120" w:line="240" w:lineRule="auto"/>
        <w:ind w:left="210" w:right="909"/>
        <w:jc w:val="both"/>
        <w:rPr>
          <w:rFonts w:ascii="Calibri" w:hAnsi="Calibri" w:cs="Calibri"/>
        </w:rPr>
      </w:pPr>
      <w:r>
        <w:rPr>
          <w:rFonts w:ascii="Calibri" w:eastAsia="Avenir Next LT Pro" w:hAnsi="Calibri" w:cs="Calibri"/>
          <w:b/>
          <w:bCs/>
          <w:color w:val="000000"/>
          <w:sz w:val="20"/>
          <w:szCs w:val="20"/>
        </w:rPr>
        <w:t xml:space="preserve">Elle est organisée en 4 départements fonctionnels </w:t>
      </w:r>
      <w:r>
        <w:rPr>
          <w:rFonts w:ascii="Calibri" w:eastAsia="Avenir Next LT Pro" w:hAnsi="Calibri" w:cs="Calibri"/>
          <w:color w:val="000000"/>
          <w:sz w:val="20"/>
          <w:szCs w:val="20"/>
        </w:rPr>
        <w:t>qui ont pour missions de concevoir, déployer, mutualiser et accompagner une offre de services, animer des réseaux thématiques et promouvoir les bonnes</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pratiques</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pour</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systèmes</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d’informations</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spécifiques</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nécessaires</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aux</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activités</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recherche et d’appui menées par l’établissement.</w:t>
      </w:r>
    </w:p>
    <w:p w14:paraId="38679FCC" w14:textId="77777777" w:rsidR="006E7EF5" w:rsidRDefault="00AC41B0">
      <w:pPr>
        <w:spacing w:after="120" w:line="240" w:lineRule="auto"/>
        <w:ind w:left="210" w:right="908"/>
        <w:jc w:val="both"/>
        <w:rPr>
          <w:rFonts w:ascii="Calibri" w:hAnsi="Calibri" w:cs="Calibri"/>
        </w:rPr>
      </w:pPr>
      <w:r>
        <w:rPr>
          <w:rFonts w:ascii="Calibri" w:eastAsia="Avenir Next LT Pro" w:hAnsi="Calibri" w:cs="Calibri"/>
          <w:color w:val="000000"/>
          <w:sz w:val="20"/>
          <w:szCs w:val="20"/>
        </w:rPr>
        <w:t xml:space="preserve">Elle assure la conception et les opérations pour l’« informatique d’établissement », c’est-à-dire, les applications et systèmes mutualisés : réseau, interconnexions, data centres, socles d’infrastructures mutualisés, messagerie et collaboratif, téléphonie, applications de gestion, applications ou systèmes </w:t>
      </w:r>
      <w:r>
        <w:rPr>
          <w:rFonts w:ascii="Calibri" w:eastAsia="Avenir Next LT Pro" w:hAnsi="Calibri" w:cs="Calibri"/>
          <w:color w:val="000000"/>
          <w:spacing w:val="-2"/>
          <w:sz w:val="20"/>
          <w:szCs w:val="20"/>
        </w:rPr>
        <w:t>mutualisés.</w:t>
      </w:r>
    </w:p>
    <w:p w14:paraId="7A6A1DA3" w14:textId="77777777" w:rsidR="006E7EF5" w:rsidRDefault="00AC41B0">
      <w:pPr>
        <w:spacing w:after="120" w:line="240" w:lineRule="auto"/>
        <w:ind w:left="210" w:right="916"/>
        <w:jc w:val="both"/>
        <w:rPr>
          <w:rFonts w:ascii="Calibri" w:hAnsi="Calibri" w:cs="Calibri"/>
        </w:rPr>
      </w:pPr>
      <w:r>
        <w:rPr>
          <w:rFonts w:ascii="Calibri" w:eastAsia="Avenir Next LT Pro" w:hAnsi="Calibri" w:cs="Calibri"/>
          <w:color w:val="000000"/>
          <w:sz w:val="20"/>
          <w:szCs w:val="20"/>
        </w:rPr>
        <w:t>Sur</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l’informatique</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d’établissement</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et les</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services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qu’elle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délivre,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elle</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est</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garante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bonne</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intégration globale des systèmes (architecture technique), la mise en place et la gestion des référentiels, en collaboration avec les métiers.</w:t>
      </w:r>
    </w:p>
    <w:p w14:paraId="53FFEFD3" w14:textId="77777777" w:rsidR="006E7EF5" w:rsidRDefault="00AC41B0">
      <w:pPr>
        <w:spacing w:after="120" w:line="240" w:lineRule="auto"/>
        <w:ind w:left="210" w:right="915"/>
        <w:jc w:val="both"/>
        <w:rPr>
          <w:rFonts w:ascii="Calibri" w:hAnsi="Calibri" w:cs="Calibri"/>
        </w:rPr>
      </w:pPr>
      <w:r>
        <w:rPr>
          <w:rFonts w:ascii="Calibri" w:eastAsia="Avenir Next LT Pro" w:hAnsi="Calibri" w:cs="Calibri"/>
          <w:color w:val="000000"/>
          <w:sz w:val="20"/>
          <w:szCs w:val="20"/>
        </w:rPr>
        <w:t>Elle s’assurer également de la bonne coordination de ses actions avec les informaticiens des unités de recherche et support dans le cadre des CATI, en particulier pour le développement des SI et la coordination des opérations au niveau des postes de travail avec ses services interrégionaux.</w:t>
      </w:r>
    </w:p>
    <w:p w14:paraId="1CA04400" w14:textId="77777777" w:rsidR="006E7EF5" w:rsidRDefault="00AC41B0">
      <w:pPr>
        <w:spacing w:after="120" w:line="240" w:lineRule="auto"/>
        <w:ind w:left="210" w:right="915"/>
        <w:jc w:val="both"/>
        <w:rPr>
          <w:rFonts w:ascii="Calibri" w:hAnsi="Calibri" w:cs="Calibri"/>
        </w:rPr>
      </w:pPr>
      <w:r>
        <w:rPr>
          <w:rFonts w:ascii="Calibri" w:eastAsia="Avenir Next LT Pro" w:hAnsi="Calibri" w:cs="Calibri"/>
          <w:color w:val="000000"/>
          <w:sz w:val="20"/>
          <w:szCs w:val="20"/>
        </w:rPr>
        <w:t>Elle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assure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maîtrise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Sécurité</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Systèmes</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d’Information/Cyber</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sécurité</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Opérationnelle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sur</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 xml:space="preserve">son </w:t>
      </w:r>
      <w:r>
        <w:rPr>
          <w:rFonts w:ascii="Calibri" w:eastAsia="Avenir Next LT Pro" w:hAnsi="Calibri" w:cs="Calibri"/>
          <w:color w:val="000000"/>
          <w:spacing w:val="-2"/>
          <w:sz w:val="20"/>
          <w:szCs w:val="20"/>
        </w:rPr>
        <w:t>périmètre.</w:t>
      </w:r>
    </w:p>
    <w:p w14:paraId="4B5D7F61" w14:textId="77777777" w:rsidR="006E7EF5" w:rsidRDefault="00AC41B0">
      <w:pPr>
        <w:spacing w:after="120" w:line="240" w:lineRule="auto"/>
        <w:ind w:left="210" w:right="916"/>
        <w:jc w:val="both"/>
        <w:rPr>
          <w:rFonts w:ascii="Calibri" w:hAnsi="Calibri" w:cs="Calibri"/>
        </w:rPr>
      </w:pPr>
      <w:r>
        <w:rPr>
          <w:rFonts w:ascii="Calibri" w:eastAsia="Avenir Next LT Pro" w:hAnsi="Calibri" w:cs="Calibri"/>
          <w:color w:val="000000"/>
          <w:sz w:val="20"/>
          <w:szCs w:val="20"/>
        </w:rPr>
        <w:t>Elle propose la politique et stratégie d’évolution de ses domaines d’intervention à la Direction Générale dans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une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feuille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route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systèmes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d’information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façon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coordonnée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soutien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dans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cadre de la gouvernance du Schéma Directeur du numérique auquel elle participe.</w:t>
      </w:r>
    </w:p>
    <w:p w14:paraId="5CEC7BBC" w14:textId="77777777" w:rsidR="006E7EF5" w:rsidRDefault="00AC41B0">
      <w:pPr>
        <w:spacing w:after="120" w:line="240" w:lineRule="auto"/>
        <w:rPr>
          <w:rFonts w:ascii="Calibri" w:hAnsi="Calibri" w:cs="Calibri"/>
        </w:rPr>
      </w:pPr>
      <w:r>
        <w:rPr>
          <w:rFonts w:ascii="Calibri" w:eastAsia="Avenir Next LT Pro" w:hAnsi="Calibri" w:cs="Calibri"/>
          <w:color w:val="000000"/>
          <w:sz w:val="20"/>
          <w:szCs w:val="20"/>
        </w:rPr>
        <w:t> </w:t>
      </w:r>
    </w:p>
    <w:p w14:paraId="7753D0C8" w14:textId="77777777" w:rsidR="006E7EF5" w:rsidRDefault="00AC41B0">
      <w:pPr>
        <w:pStyle w:val="Titre3"/>
        <w:spacing w:before="0" w:after="120"/>
        <w:rPr>
          <w:rFonts w:ascii="Calibri" w:hAnsi="Calibri"/>
          <w:sz w:val="24"/>
          <w:szCs w:val="24"/>
        </w:rPr>
      </w:pPr>
      <w:bookmarkStart w:id="5" w:name="_Toc219386253"/>
      <w:r>
        <w:rPr>
          <w:rFonts w:ascii="Calibri" w:hAnsi="Calibri"/>
          <w:sz w:val="24"/>
          <w:szCs w:val="24"/>
        </w:rPr>
        <w:t>Article</w:t>
      </w:r>
      <w:r>
        <w:rPr>
          <w:rFonts w:ascii="Calibri" w:hAnsi="Calibri"/>
          <w:spacing w:val="-5"/>
          <w:sz w:val="24"/>
          <w:szCs w:val="24"/>
        </w:rPr>
        <w:t xml:space="preserve"> </w:t>
      </w:r>
      <w:r>
        <w:rPr>
          <w:rFonts w:ascii="Calibri" w:hAnsi="Calibri"/>
          <w:sz w:val="24"/>
          <w:szCs w:val="24"/>
        </w:rPr>
        <w:t>1.2.1</w:t>
      </w:r>
      <w:r>
        <w:rPr>
          <w:rFonts w:ascii="Calibri" w:hAnsi="Calibri"/>
          <w:spacing w:val="-1"/>
          <w:sz w:val="24"/>
          <w:szCs w:val="24"/>
        </w:rPr>
        <w:t xml:space="preserve"> </w:t>
      </w:r>
      <w:r>
        <w:rPr>
          <w:rFonts w:ascii="Calibri" w:hAnsi="Calibri"/>
          <w:sz w:val="24"/>
          <w:szCs w:val="24"/>
        </w:rPr>
        <w:t>:</w:t>
      </w:r>
      <w:r>
        <w:rPr>
          <w:rFonts w:ascii="Calibri" w:hAnsi="Calibri"/>
          <w:spacing w:val="-7"/>
          <w:sz w:val="24"/>
          <w:szCs w:val="24"/>
        </w:rPr>
        <w:t xml:space="preserve"> </w:t>
      </w:r>
      <w:r>
        <w:rPr>
          <w:rFonts w:ascii="Calibri" w:hAnsi="Calibri"/>
          <w:sz w:val="24"/>
          <w:szCs w:val="24"/>
        </w:rPr>
        <w:t>Département</w:t>
      </w:r>
      <w:r>
        <w:rPr>
          <w:rFonts w:ascii="Calibri" w:hAnsi="Calibri"/>
          <w:spacing w:val="-7"/>
          <w:sz w:val="24"/>
          <w:szCs w:val="24"/>
        </w:rPr>
        <w:t xml:space="preserve"> </w:t>
      </w:r>
      <w:r>
        <w:rPr>
          <w:rFonts w:ascii="Calibri" w:hAnsi="Calibri"/>
          <w:sz w:val="24"/>
          <w:szCs w:val="24"/>
        </w:rPr>
        <w:t>Solutions</w:t>
      </w:r>
      <w:r>
        <w:rPr>
          <w:rFonts w:ascii="Calibri" w:hAnsi="Calibri"/>
          <w:spacing w:val="-3"/>
          <w:sz w:val="24"/>
          <w:szCs w:val="24"/>
        </w:rPr>
        <w:t xml:space="preserve"> </w:t>
      </w:r>
      <w:r>
        <w:rPr>
          <w:rFonts w:ascii="Calibri" w:hAnsi="Calibri"/>
          <w:spacing w:val="-2"/>
          <w:sz w:val="24"/>
          <w:szCs w:val="24"/>
        </w:rPr>
        <w:t>Applicatives</w:t>
      </w:r>
      <w:bookmarkEnd w:id="5"/>
      <w:r>
        <w:rPr>
          <w:rFonts w:ascii="Calibri" w:hAnsi="Calibri"/>
          <w:sz w:val="24"/>
          <w:szCs w:val="24"/>
        </w:rPr>
        <w:tab/>
      </w:r>
    </w:p>
    <w:p w14:paraId="657D81AA" w14:textId="77777777" w:rsidR="006E7EF5" w:rsidRDefault="00AC41B0">
      <w:pPr>
        <w:spacing w:after="120" w:line="240" w:lineRule="auto"/>
        <w:ind w:left="210" w:right="911"/>
        <w:jc w:val="both"/>
        <w:rPr>
          <w:rFonts w:ascii="Calibri" w:hAnsi="Calibri" w:cs="Calibri"/>
        </w:rPr>
      </w:pPr>
      <w:r>
        <w:rPr>
          <w:rFonts w:ascii="Calibri" w:eastAsia="Avenir Next LT Pro" w:hAnsi="Calibri" w:cs="Calibri"/>
          <w:color w:val="000000"/>
          <w:sz w:val="20"/>
          <w:szCs w:val="20"/>
        </w:rPr>
        <w:t>Co-construire</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maintenir des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solutions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applicatives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qui</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participent</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au</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développement,</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fonctionnement, urbanisation et usage des Systèmes d’Information (SI) et du numérique pour l’ensemble des activités d'appui et de recherche de l'institut</w:t>
      </w:r>
    </w:p>
    <w:p w14:paraId="1AE43E16" w14:textId="77777777" w:rsidR="006E7EF5" w:rsidRDefault="00AC41B0">
      <w:pPr>
        <w:pStyle w:val="Titre4"/>
        <w:spacing w:before="0" w:after="120" w:line="240" w:lineRule="auto"/>
        <w:rPr>
          <w:rFonts w:ascii="Calibri" w:hAnsi="Calibri"/>
        </w:rPr>
      </w:pPr>
      <w:r>
        <w:rPr>
          <w:rFonts w:ascii="Calibri" w:eastAsia="Avenir Next LT Pro" w:hAnsi="Calibri"/>
          <w:color w:val="000000"/>
          <w:sz w:val="20"/>
          <w:szCs w:val="20"/>
        </w:rPr>
        <w:t> </w:t>
      </w:r>
    </w:p>
    <w:p w14:paraId="412E97FA" w14:textId="77777777" w:rsidR="006E7EF5" w:rsidRDefault="00AC41B0">
      <w:pPr>
        <w:pStyle w:val="Titre3"/>
        <w:spacing w:before="0" w:after="120"/>
        <w:rPr>
          <w:rFonts w:ascii="Calibri" w:hAnsi="Calibri"/>
        </w:rPr>
      </w:pPr>
      <w:bookmarkStart w:id="6" w:name="_Toc219386254"/>
      <w:r>
        <w:rPr>
          <w:rFonts w:ascii="Calibri" w:hAnsi="Calibri"/>
          <w:sz w:val="24"/>
          <w:szCs w:val="24"/>
        </w:rPr>
        <w:t>Article 1.2.2 : Département SIIR - Services Informatiques et Interrégionaux</w:t>
      </w:r>
      <w:bookmarkEnd w:id="6"/>
      <w:r>
        <w:rPr>
          <w:rFonts w:ascii="Calibri" w:hAnsi="Calibri"/>
        </w:rPr>
        <w:tab/>
      </w:r>
    </w:p>
    <w:p w14:paraId="33891E53" w14:textId="77777777" w:rsidR="006E7EF5" w:rsidRDefault="00AC41B0">
      <w:pPr>
        <w:spacing w:after="120" w:line="240" w:lineRule="auto"/>
        <w:ind w:left="210" w:right="919"/>
        <w:jc w:val="both"/>
        <w:rPr>
          <w:rFonts w:ascii="Calibri" w:hAnsi="Calibri" w:cs="Calibri"/>
        </w:rPr>
      </w:pPr>
      <w:r>
        <w:rPr>
          <w:rFonts w:ascii="Calibri" w:eastAsia="Avenir Next LT Pro" w:hAnsi="Calibri" w:cs="Calibri"/>
          <w:color w:val="000000"/>
          <w:sz w:val="20"/>
          <w:szCs w:val="20"/>
        </w:rPr>
        <w:t>Relai de communication et d’échanges entre la DSI et les centres, d’assurer l’exploitation des infrastructures nationales déployées localement et des services locaux.</w:t>
      </w:r>
    </w:p>
    <w:p w14:paraId="2E5D1B16" w14:textId="77777777" w:rsidR="006E7EF5" w:rsidRDefault="00AC41B0">
      <w:pPr>
        <w:pStyle w:val="Titre4"/>
        <w:spacing w:before="0" w:after="120" w:line="240" w:lineRule="auto"/>
        <w:rPr>
          <w:rFonts w:ascii="Calibri" w:hAnsi="Calibri"/>
        </w:rPr>
      </w:pPr>
      <w:r>
        <w:rPr>
          <w:rFonts w:ascii="Calibri" w:eastAsia="Avenir Next LT Pro" w:hAnsi="Calibri"/>
          <w:color w:val="000000"/>
        </w:rPr>
        <w:t xml:space="preserve"> </w:t>
      </w:r>
    </w:p>
    <w:p w14:paraId="44E4F907" w14:textId="77777777" w:rsidR="006E7EF5" w:rsidRDefault="00AC41B0">
      <w:pPr>
        <w:pStyle w:val="Titre3"/>
        <w:spacing w:before="0" w:after="120"/>
        <w:rPr>
          <w:rFonts w:ascii="Calibri" w:hAnsi="Calibri"/>
        </w:rPr>
      </w:pPr>
      <w:bookmarkStart w:id="7" w:name="_Toc219386255"/>
      <w:r>
        <w:rPr>
          <w:rFonts w:ascii="Calibri" w:hAnsi="Calibri"/>
          <w:sz w:val="24"/>
          <w:szCs w:val="24"/>
        </w:rPr>
        <w:t>Article 1.2.3 : Département DRUMS - Relation Utilisateurs, Métiers et Services</w:t>
      </w:r>
      <w:bookmarkEnd w:id="7"/>
      <w:r>
        <w:rPr>
          <w:rFonts w:ascii="Calibri" w:hAnsi="Calibri"/>
        </w:rPr>
        <w:tab/>
      </w:r>
    </w:p>
    <w:p w14:paraId="1F3259D0" w14:textId="77777777" w:rsidR="006E7EF5" w:rsidRDefault="00AC41B0">
      <w:pPr>
        <w:spacing w:after="120" w:line="240" w:lineRule="auto"/>
        <w:ind w:left="210"/>
        <w:jc w:val="both"/>
        <w:rPr>
          <w:rFonts w:ascii="Calibri" w:hAnsi="Calibri" w:cs="Calibri"/>
        </w:rPr>
      </w:pPr>
      <w:r>
        <w:rPr>
          <w:rFonts w:ascii="Calibri" w:eastAsia="Avenir Next LT Pro" w:hAnsi="Calibri" w:cs="Calibri"/>
          <w:color w:val="000000"/>
          <w:sz w:val="20"/>
          <w:szCs w:val="20"/>
        </w:rPr>
        <w:t>Partenaire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métiers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interlocuteur</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utilisateurs</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au</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service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leur</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pacing w:val="-2"/>
          <w:sz w:val="20"/>
          <w:szCs w:val="20"/>
        </w:rPr>
        <w:t>satisfaction.</w:t>
      </w:r>
    </w:p>
    <w:p w14:paraId="69AC32FD" w14:textId="77777777" w:rsidR="006E7EF5" w:rsidRDefault="00AC41B0">
      <w:pPr>
        <w:pStyle w:val="Titre4"/>
        <w:spacing w:before="0" w:after="120" w:line="240" w:lineRule="auto"/>
        <w:rPr>
          <w:rFonts w:ascii="Calibri" w:hAnsi="Calibri"/>
        </w:rPr>
      </w:pPr>
      <w:r>
        <w:rPr>
          <w:rFonts w:ascii="Calibri" w:eastAsia="Avenir Next LT Pro" w:hAnsi="Calibri"/>
          <w:color w:val="000000"/>
          <w:sz w:val="23"/>
          <w:szCs w:val="23"/>
        </w:rPr>
        <w:t> </w:t>
      </w:r>
    </w:p>
    <w:p w14:paraId="0E2CF71E" w14:textId="77777777" w:rsidR="006E7EF5" w:rsidRDefault="00AC41B0">
      <w:pPr>
        <w:pStyle w:val="Titre3"/>
        <w:spacing w:before="0" w:after="120"/>
        <w:rPr>
          <w:rFonts w:ascii="Calibri" w:hAnsi="Calibri"/>
        </w:rPr>
      </w:pPr>
      <w:bookmarkStart w:id="8" w:name="_Toc219386256"/>
      <w:r>
        <w:rPr>
          <w:rFonts w:ascii="Calibri" w:hAnsi="Calibri"/>
          <w:sz w:val="24"/>
          <w:szCs w:val="24"/>
        </w:rPr>
        <w:t>Article 1.2.4 : Département Infrastructures informatiques et services</w:t>
      </w:r>
      <w:bookmarkEnd w:id="8"/>
      <w:r>
        <w:rPr>
          <w:rFonts w:ascii="Calibri" w:hAnsi="Calibri"/>
        </w:rPr>
        <w:tab/>
      </w:r>
    </w:p>
    <w:p w14:paraId="6E110041" w14:textId="77777777" w:rsidR="006E7EF5" w:rsidRDefault="00AC41B0">
      <w:pPr>
        <w:spacing w:after="120" w:line="240" w:lineRule="auto"/>
        <w:ind w:left="210" w:right="919"/>
        <w:jc w:val="both"/>
        <w:rPr>
          <w:rFonts w:ascii="Calibri" w:hAnsi="Calibri" w:cs="Calibri"/>
        </w:rPr>
      </w:pPr>
      <w:r>
        <w:rPr>
          <w:rFonts w:ascii="Calibri" w:eastAsia="Avenir Next LT Pro" w:hAnsi="Calibri" w:cs="Calibri"/>
          <w:color w:val="000000"/>
          <w:sz w:val="20"/>
          <w:szCs w:val="20"/>
        </w:rPr>
        <w:t xml:space="preserve">Construire et mettre à disposition des solutions d’infrastructures informatiques qui soutiennent le développement, le fonctionnement et l’usage des Systèmes d’Information (SI) et du numérique pour la </w:t>
      </w:r>
      <w:r>
        <w:rPr>
          <w:rFonts w:ascii="Calibri" w:eastAsia="Avenir Next LT Pro" w:hAnsi="Calibri" w:cs="Calibri"/>
          <w:color w:val="000000"/>
          <w:spacing w:val="-2"/>
          <w:sz w:val="20"/>
          <w:szCs w:val="20"/>
        </w:rPr>
        <w:t>recherche.</w:t>
      </w:r>
    </w:p>
    <w:p w14:paraId="1D43ACF6" w14:textId="77777777" w:rsidR="006E7EF5" w:rsidRDefault="00AC41B0">
      <w:pPr>
        <w:spacing w:after="120" w:line="240" w:lineRule="auto"/>
        <w:rPr>
          <w:rFonts w:ascii="Calibri" w:hAnsi="Calibri" w:cs="Calibri"/>
        </w:rPr>
      </w:pPr>
      <w:r>
        <w:rPr>
          <w:rFonts w:ascii="Calibri" w:eastAsia="Avenir Next LT Pro" w:hAnsi="Calibri" w:cs="Calibri"/>
          <w:color w:val="000000"/>
          <w:sz w:val="20"/>
          <w:szCs w:val="20"/>
        </w:rPr>
        <w:t> </w:t>
      </w:r>
    </w:p>
    <w:p w14:paraId="484F09D8" w14:textId="77777777" w:rsidR="006E7EF5" w:rsidRDefault="00AC41B0">
      <w:pPr>
        <w:pStyle w:val="Titre2"/>
        <w:spacing w:before="0" w:after="120"/>
        <w:jc w:val="left"/>
        <w:rPr>
          <w:rFonts w:ascii="Calibri" w:hAnsi="Calibri"/>
        </w:rPr>
      </w:pPr>
      <w:bookmarkStart w:id="9" w:name="_Toc219386257"/>
      <w:r>
        <w:rPr>
          <w:rFonts w:ascii="Calibri" w:hAnsi="Calibri"/>
          <w:sz w:val="28"/>
          <w:szCs w:val="28"/>
        </w:rPr>
        <w:t>Article 1.3 : La Direction pour la Science Ouverte –DIPSO</w:t>
      </w:r>
      <w:bookmarkEnd w:id="9"/>
      <w:r>
        <w:rPr>
          <w:rFonts w:ascii="Calibri" w:hAnsi="Calibri"/>
        </w:rPr>
        <w:tab/>
      </w:r>
    </w:p>
    <w:p w14:paraId="1B399151" w14:textId="77777777" w:rsidR="006E7EF5" w:rsidRDefault="00AC41B0">
      <w:pPr>
        <w:spacing w:after="120" w:line="240" w:lineRule="auto"/>
        <w:ind w:left="210" w:right="909"/>
        <w:jc w:val="both"/>
        <w:rPr>
          <w:rFonts w:ascii="Calibri" w:hAnsi="Calibri" w:cs="Calibri"/>
        </w:rPr>
      </w:pPr>
      <w:r>
        <w:rPr>
          <w:rFonts w:ascii="Calibri" w:eastAsia="Avenir Next LT Pro" w:hAnsi="Calibri" w:cs="Calibri"/>
          <w:color w:val="000000"/>
          <w:sz w:val="20"/>
          <w:szCs w:val="20"/>
        </w:rPr>
        <w:t xml:space="preserve">La DipSO contribue à l’élaboration et à la mise en œuvre de la politique de science ouverte de l’institut, à l’ouverture de la recherche et de ses résultats et à l’évolution des e-infrastructures. Elle organise la gouvernance des données, développe une capacité d’appui et d’aide à la décision du management scientifique (notamment via des services de </w:t>
      </w:r>
      <w:r>
        <w:rPr>
          <w:rFonts w:ascii="Calibri" w:eastAsia="Avenir Next LT Pro" w:hAnsi="Calibri" w:cs="Calibri"/>
          <w:color w:val="000000"/>
          <w:sz w:val="20"/>
          <w:szCs w:val="20"/>
        </w:rPr>
        <w:lastRenderedPageBreak/>
        <w:t>veille et de scientiométrie) et accompagne l’évolution des compétences et</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des pratiques dont</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celles de</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fonction</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IST.</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DipSO accueille pour la</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mise</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œuvre de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leurs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missions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Délégué</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aux</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sciences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société</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Délégué</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transition</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numérique.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Elle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travaille également en étroite collaboration avec l'Administrateur des données scientifiques.</w:t>
      </w:r>
    </w:p>
    <w:p w14:paraId="0A888ED8" w14:textId="77777777" w:rsidR="006E7EF5" w:rsidRDefault="00AC41B0">
      <w:pPr>
        <w:spacing w:after="120" w:line="240" w:lineRule="auto"/>
        <w:rPr>
          <w:rFonts w:ascii="Calibri" w:hAnsi="Calibri" w:cs="Calibri"/>
        </w:rPr>
      </w:pPr>
      <w:r>
        <w:rPr>
          <w:rFonts w:ascii="Calibri" w:eastAsia="Avenir Next LT Pro" w:hAnsi="Calibri" w:cs="Calibri"/>
          <w:color w:val="000000"/>
        </w:rPr>
        <w:t> </w:t>
      </w:r>
    </w:p>
    <w:p w14:paraId="33DCB3B6" w14:textId="77777777" w:rsidR="006E7EF5" w:rsidRDefault="00AC41B0">
      <w:pPr>
        <w:pStyle w:val="Titre2"/>
        <w:spacing w:before="0" w:after="120"/>
        <w:jc w:val="left"/>
        <w:rPr>
          <w:rFonts w:ascii="Calibri" w:hAnsi="Calibri"/>
          <w:sz w:val="28"/>
          <w:szCs w:val="28"/>
        </w:rPr>
      </w:pPr>
      <w:bookmarkStart w:id="10" w:name="_Toc219386258"/>
      <w:r>
        <w:rPr>
          <w:rFonts w:ascii="Calibri" w:hAnsi="Calibri"/>
          <w:sz w:val="28"/>
          <w:szCs w:val="28"/>
        </w:rPr>
        <w:t>Article 1.4 : Les Centres automatisés de traitement de l’information –CATI</w:t>
      </w:r>
      <w:bookmarkEnd w:id="10"/>
      <w:r>
        <w:rPr>
          <w:rFonts w:ascii="Calibri" w:hAnsi="Calibri"/>
          <w:sz w:val="28"/>
          <w:szCs w:val="28"/>
        </w:rPr>
        <w:tab/>
      </w:r>
    </w:p>
    <w:p w14:paraId="34E70C48" w14:textId="77777777" w:rsidR="006E7EF5" w:rsidRDefault="00AC41B0">
      <w:pPr>
        <w:spacing w:after="120" w:line="240" w:lineRule="auto"/>
        <w:ind w:left="210" w:right="911"/>
        <w:jc w:val="both"/>
        <w:rPr>
          <w:rFonts w:ascii="Calibri" w:hAnsi="Calibri" w:cs="Calibri"/>
        </w:rPr>
      </w:pPr>
      <w:r>
        <w:rPr>
          <w:rFonts w:ascii="Calibri" w:eastAsia="Avenir Next LT Pro" w:hAnsi="Calibri" w:cs="Calibri"/>
          <w:color w:val="000000"/>
          <w:sz w:val="20"/>
          <w:szCs w:val="20"/>
        </w:rPr>
        <w:t>Les 18 CATI (Centre automatisé de traitement de l'information) regroupent principalement des agents d’INRAE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travaillant</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autour</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thématiques</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technologiques</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et/ou</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scientifiques.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Chaque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CATI</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est</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piloté</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par un ou plusieurs départements et sert une communauté définie.</w:t>
      </w:r>
    </w:p>
    <w:p w14:paraId="1ECF04B8" w14:textId="77777777" w:rsidR="006E7EF5" w:rsidRDefault="00AC41B0">
      <w:pPr>
        <w:spacing w:after="120" w:line="240" w:lineRule="auto"/>
        <w:ind w:left="210" w:right="910"/>
        <w:jc w:val="both"/>
        <w:rPr>
          <w:rFonts w:ascii="Calibri" w:hAnsi="Calibri" w:cs="Calibri"/>
        </w:rPr>
      </w:pPr>
      <w:r>
        <w:rPr>
          <w:rFonts w:ascii="Calibri" w:eastAsia="Avenir Next LT Pro" w:hAnsi="Calibri" w:cs="Calibri"/>
          <w:color w:val="000000"/>
          <w:sz w:val="20"/>
          <w:szCs w:val="20"/>
        </w:rPr>
        <w:t xml:space="preserve">Le </w:t>
      </w:r>
      <w:r>
        <w:rPr>
          <w:rFonts w:ascii="Calibri" w:eastAsia="Avenir Next LT Pro" w:hAnsi="Calibri" w:cs="Calibri"/>
          <w:b/>
          <w:bCs/>
          <w:color w:val="000000"/>
          <w:sz w:val="20"/>
          <w:szCs w:val="20"/>
        </w:rPr>
        <w:t xml:space="preserve">CATI GEDEOP </w:t>
      </w:r>
      <w:r>
        <w:rPr>
          <w:rFonts w:ascii="Calibri" w:eastAsia="Avenir Next LT Pro" w:hAnsi="Calibri" w:cs="Calibri"/>
          <w:color w:val="000000"/>
          <w:sz w:val="20"/>
          <w:szCs w:val="20"/>
        </w:rPr>
        <w:t>(GEstion des Données d’Expérimentations, d’Observations et de Pratiques sur les agro-socio-éco-systèmes) sert les problématiques de gestion des territoires dans le cadre des changements globaux et des enjeux de durabilité des systèmes alimentaires, de préservation des écosystèmes,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sols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biodiversité.</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Ces recherches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concernent</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caractérisation</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de l'état et</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du fonctionnement d'écosystèmes plus ou moins anthropisés sur leurs composantes environnementales, d'itinéraires techniques et de jeux des acteurs.</w:t>
      </w:r>
    </w:p>
    <w:p w14:paraId="06F4C32A" w14:textId="77777777" w:rsidR="006E7EF5" w:rsidRDefault="00AC41B0">
      <w:pPr>
        <w:spacing w:after="120" w:line="240" w:lineRule="auto"/>
        <w:ind w:left="210" w:right="911"/>
        <w:jc w:val="both"/>
        <w:rPr>
          <w:rFonts w:ascii="Calibri" w:hAnsi="Calibri" w:cs="Calibri"/>
        </w:rPr>
      </w:pPr>
      <w:r>
        <w:rPr>
          <w:rFonts w:ascii="Calibri" w:eastAsia="Avenir Next LT Pro" w:hAnsi="Calibri" w:cs="Calibri"/>
          <w:color w:val="000000"/>
          <w:sz w:val="20"/>
          <w:szCs w:val="20"/>
        </w:rPr>
        <w:t>La</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mission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du</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CATI</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est</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développer</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services</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gestion/analyse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valorisation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 xml:space="preserve">(visualisation/mise à disposition) des données issues de ou alimentant ces recherches dans le cadre d'expérimentations, d'observations ou d'enquêtes conduites généralement sur le moyen ou long terme. Il contribue très directement au développement de l'Open Science et en particulier au partage des données de la </w:t>
      </w:r>
      <w:r>
        <w:rPr>
          <w:rFonts w:ascii="Calibri" w:eastAsia="Avenir Next LT Pro" w:hAnsi="Calibri" w:cs="Calibri"/>
          <w:color w:val="000000"/>
          <w:spacing w:val="-2"/>
          <w:sz w:val="20"/>
          <w:szCs w:val="20"/>
        </w:rPr>
        <w:t>recherche.</w:t>
      </w:r>
    </w:p>
    <w:p w14:paraId="76EFDE33" w14:textId="77777777" w:rsidR="006E7EF5" w:rsidRDefault="00AC41B0">
      <w:pPr>
        <w:spacing w:after="120" w:line="240" w:lineRule="auto"/>
        <w:ind w:left="210" w:right="915"/>
        <w:jc w:val="both"/>
        <w:rPr>
          <w:rFonts w:ascii="Calibri" w:hAnsi="Calibri" w:cs="Calibri"/>
        </w:rPr>
      </w:pPr>
      <w:r>
        <w:rPr>
          <w:rFonts w:ascii="Calibri" w:eastAsia="Avenir Next LT Pro" w:hAnsi="Calibri" w:cs="Calibri"/>
          <w:color w:val="000000"/>
          <w:sz w:val="20"/>
          <w:szCs w:val="20"/>
        </w:rPr>
        <w:t>Il s'agit d'une part de consolider les Systèmes d'Information (SI) thématiques existants (climat, sol, observations sur le long terme des dispositifs labellisés SOERE et ZA, Ecophyto et foncier) et d'autre part de développer des services génériques transversaux en matière de :</w:t>
      </w:r>
    </w:p>
    <w:p w14:paraId="6B2C305A" w14:textId="77777777" w:rsidR="006E7EF5" w:rsidRDefault="00AC41B0">
      <w:pPr>
        <w:numPr>
          <w:ilvl w:val="1"/>
          <w:numId w:val="1"/>
        </w:numPr>
        <w:tabs>
          <w:tab w:val="left" w:pos="1010"/>
        </w:tabs>
        <w:spacing w:after="120" w:line="240" w:lineRule="auto"/>
        <w:jc w:val="both"/>
        <w:rPr>
          <w:rFonts w:ascii="Calibri" w:eastAsia="Avenir Next LT Pro" w:hAnsi="Calibri" w:cs="Calibri"/>
          <w:color w:val="000000" w:themeColor="text1"/>
          <w:sz w:val="20"/>
          <w:szCs w:val="20"/>
        </w:rPr>
      </w:pPr>
      <w:r>
        <w:rPr>
          <w:rFonts w:ascii="Calibri" w:eastAsia="Avenir Next LT Pro" w:hAnsi="Calibri" w:cs="Calibri"/>
          <w:color w:val="000000"/>
          <w:sz w:val="20"/>
          <w:szCs w:val="20"/>
        </w:rPr>
        <w:t>gestion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pacing w:val="-2"/>
          <w:sz w:val="20"/>
          <w:szCs w:val="20"/>
        </w:rPr>
        <w:t>données/métadonnées,</w:t>
      </w:r>
    </w:p>
    <w:p w14:paraId="1947E735" w14:textId="77777777" w:rsidR="006E7EF5" w:rsidRDefault="00AC41B0">
      <w:pPr>
        <w:numPr>
          <w:ilvl w:val="1"/>
          <w:numId w:val="1"/>
        </w:numPr>
        <w:tabs>
          <w:tab w:val="left" w:pos="1010"/>
        </w:tabs>
        <w:spacing w:after="120" w:line="240" w:lineRule="auto"/>
        <w:jc w:val="both"/>
        <w:rPr>
          <w:rFonts w:ascii="Calibri" w:eastAsia="Avenir Next LT Pro" w:hAnsi="Calibri" w:cs="Calibri"/>
          <w:color w:val="000000" w:themeColor="text1"/>
          <w:sz w:val="20"/>
          <w:szCs w:val="20"/>
        </w:rPr>
      </w:pPr>
      <w:r>
        <w:rPr>
          <w:rFonts w:ascii="Calibri" w:eastAsia="Avenir Next LT Pro" w:hAnsi="Calibri" w:cs="Calibri"/>
          <w:color w:val="000000"/>
          <w:sz w:val="20"/>
          <w:szCs w:val="20"/>
        </w:rPr>
        <w:t>fonctionnalités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SIG</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(plateformes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pacing w:val="-2"/>
          <w:sz w:val="20"/>
          <w:szCs w:val="20"/>
        </w:rPr>
        <w:t>géomatique),</w:t>
      </w:r>
    </w:p>
    <w:p w14:paraId="767D8F21" w14:textId="77777777" w:rsidR="006E7EF5" w:rsidRDefault="00AC41B0">
      <w:pPr>
        <w:numPr>
          <w:ilvl w:val="1"/>
          <w:numId w:val="1"/>
        </w:numPr>
        <w:tabs>
          <w:tab w:val="left" w:pos="1010"/>
        </w:tabs>
        <w:spacing w:after="120" w:line="240" w:lineRule="auto"/>
        <w:jc w:val="both"/>
        <w:rPr>
          <w:rFonts w:ascii="Calibri" w:eastAsia="Avenir Next LT Pro" w:hAnsi="Calibri" w:cs="Calibri"/>
          <w:color w:val="000000" w:themeColor="text1"/>
          <w:sz w:val="20"/>
          <w:szCs w:val="20"/>
        </w:rPr>
      </w:pPr>
      <w:r>
        <w:rPr>
          <w:rFonts w:ascii="Calibri" w:eastAsia="Avenir Next LT Pro" w:hAnsi="Calibri" w:cs="Calibri"/>
          <w:color w:val="000000"/>
          <w:sz w:val="20"/>
          <w:szCs w:val="20"/>
        </w:rPr>
        <w:t>collecte/analyse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données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sciences</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pacing w:val="-2"/>
          <w:sz w:val="20"/>
          <w:szCs w:val="20"/>
        </w:rPr>
        <w:t>participatives,</w:t>
      </w:r>
    </w:p>
    <w:p w14:paraId="49E8CBA4" w14:textId="77777777" w:rsidR="006E7EF5" w:rsidRDefault="00AC41B0">
      <w:pPr>
        <w:numPr>
          <w:ilvl w:val="1"/>
          <w:numId w:val="1"/>
        </w:numPr>
        <w:tabs>
          <w:tab w:val="left" w:pos="1010"/>
        </w:tabs>
        <w:spacing w:after="120" w:line="240" w:lineRule="auto"/>
        <w:jc w:val="both"/>
        <w:rPr>
          <w:rFonts w:ascii="Calibri" w:eastAsia="Avenir Next LT Pro" w:hAnsi="Calibri" w:cs="Calibri"/>
          <w:color w:val="000000" w:themeColor="text1"/>
          <w:sz w:val="20"/>
          <w:szCs w:val="20"/>
        </w:rPr>
      </w:pPr>
      <w:r>
        <w:rPr>
          <w:rFonts w:ascii="Calibri" w:eastAsia="Avenir Next LT Pro" w:hAnsi="Calibri" w:cs="Calibri"/>
          <w:color w:val="000000"/>
          <w:spacing w:val="-2"/>
          <w:sz w:val="20"/>
          <w:szCs w:val="20"/>
        </w:rPr>
        <w:t>interopérabilité,</w:t>
      </w:r>
    </w:p>
    <w:p w14:paraId="02D926BA" w14:textId="77777777" w:rsidR="006E7EF5" w:rsidRDefault="00AC41B0">
      <w:pPr>
        <w:numPr>
          <w:ilvl w:val="1"/>
          <w:numId w:val="1"/>
        </w:numPr>
        <w:tabs>
          <w:tab w:val="left" w:pos="1010"/>
        </w:tabs>
        <w:spacing w:after="120" w:line="240" w:lineRule="auto"/>
        <w:jc w:val="both"/>
        <w:rPr>
          <w:rFonts w:ascii="Calibri" w:hAnsi="Calibri" w:cs="Calibri"/>
        </w:rPr>
      </w:pPr>
      <w:r>
        <w:rPr>
          <w:rFonts w:ascii="Calibri" w:eastAsia="Avenir Next LT Pro" w:hAnsi="Calibri" w:cs="Calibri"/>
          <w:color w:val="000000"/>
          <w:sz w:val="20"/>
          <w:szCs w:val="20"/>
        </w:rPr>
        <w:t>valorisation</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publication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données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pacing w:val="-2"/>
          <w:sz w:val="20"/>
          <w:szCs w:val="20"/>
        </w:rPr>
        <w:t>FAIR.</w:t>
      </w:r>
    </w:p>
    <w:p w14:paraId="5FAF605F" w14:textId="77777777" w:rsidR="006E7EF5" w:rsidRDefault="00AC41B0">
      <w:pPr>
        <w:spacing w:after="120" w:line="240" w:lineRule="auto"/>
        <w:ind w:left="210" w:right="914"/>
        <w:jc w:val="both"/>
        <w:rPr>
          <w:rFonts w:ascii="Calibri" w:hAnsi="Calibri" w:cs="Calibri"/>
        </w:rPr>
      </w:pPr>
      <w:r>
        <w:rPr>
          <w:rFonts w:ascii="Calibri" w:eastAsia="Avenir Next LT Pro" w:hAnsi="Calibri" w:cs="Calibri"/>
          <w:color w:val="000000"/>
          <w:sz w:val="20"/>
          <w:szCs w:val="20"/>
        </w:rPr>
        <w:t>Au-delà</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travaux</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sur</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outils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gestion</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données,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CATI</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contribue</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aux</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échanges</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sur</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l’évolution des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technologies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pratiques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informatiques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notamment</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au</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travers de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participation</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ses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agents aux PEPI (notamment positionnés sur l’infrastructure matérielle, ou la gestion de données…).</w:t>
      </w:r>
    </w:p>
    <w:p w14:paraId="6610FC32" w14:textId="77777777" w:rsidR="006E7EF5" w:rsidRDefault="00AC41B0">
      <w:pPr>
        <w:spacing w:after="120" w:line="240" w:lineRule="auto"/>
        <w:ind w:left="210"/>
        <w:jc w:val="both"/>
        <w:rPr>
          <w:rFonts w:ascii="Calibri" w:hAnsi="Calibri" w:cs="Calibri"/>
        </w:rPr>
      </w:pPr>
      <w:r>
        <w:rPr>
          <w:rFonts w:ascii="Calibri" w:eastAsia="Avenir Next LT Pro" w:hAnsi="Calibri" w:cs="Calibri"/>
          <w:color w:val="000000"/>
          <w:sz w:val="20"/>
          <w:szCs w:val="20"/>
        </w:rPr>
        <w:t>Enfin,</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il</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propose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formations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ciblées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ou</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participe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leur</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mise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place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dans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collectifs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pacing w:val="-2"/>
          <w:sz w:val="20"/>
          <w:szCs w:val="20"/>
        </w:rPr>
        <w:t>élargis.</w:t>
      </w:r>
    </w:p>
    <w:p w14:paraId="34A7F949" w14:textId="77777777" w:rsidR="006E7EF5" w:rsidRDefault="00AC41B0">
      <w:pPr>
        <w:spacing w:after="120" w:line="240" w:lineRule="auto"/>
        <w:rPr>
          <w:rFonts w:ascii="Calibri" w:hAnsi="Calibri" w:cs="Calibri"/>
        </w:rPr>
      </w:pPr>
      <w:r>
        <w:br w:type="page"/>
      </w:r>
    </w:p>
    <w:p w14:paraId="2B13274F" w14:textId="77777777" w:rsidR="006E7EF5" w:rsidRDefault="00AC41B0">
      <w:pPr>
        <w:spacing w:after="120" w:line="240" w:lineRule="auto"/>
        <w:rPr>
          <w:rFonts w:ascii="Calibri" w:hAnsi="Calibri" w:cs="Calibri"/>
        </w:rPr>
      </w:pPr>
      <w:r>
        <w:rPr>
          <w:rFonts w:ascii="Calibri" w:eastAsia="Avenir Next LT Pro" w:hAnsi="Calibri" w:cs="Calibri"/>
          <w:color w:val="000000"/>
        </w:rPr>
        <w:lastRenderedPageBreak/>
        <w:t xml:space="preserve"> </w:t>
      </w:r>
    </w:p>
    <w:p w14:paraId="18D7C79C" w14:textId="77777777" w:rsidR="006E7EF5" w:rsidRDefault="00AC41B0">
      <w:pPr>
        <w:pStyle w:val="Titre1"/>
        <w:spacing w:before="0" w:after="120"/>
        <w:jc w:val="left"/>
        <w:rPr>
          <w:rFonts w:ascii="Calibri" w:hAnsi="Calibri"/>
        </w:rPr>
      </w:pPr>
      <w:bookmarkStart w:id="11" w:name="_Toc219386259"/>
      <w:r>
        <w:rPr>
          <w:rFonts w:ascii="Calibri" w:hAnsi="Calibri"/>
          <w:sz w:val="32"/>
          <w:szCs w:val="32"/>
        </w:rPr>
        <w:t>Article 2 : Objet du marché</w:t>
      </w:r>
      <w:bookmarkEnd w:id="11"/>
      <w:r>
        <w:rPr>
          <w:rFonts w:ascii="Calibri" w:hAnsi="Calibri"/>
        </w:rPr>
        <w:tab/>
      </w:r>
    </w:p>
    <w:p w14:paraId="29117135" w14:textId="760672EA" w:rsidR="006E7EF5" w:rsidRDefault="00AC41B0">
      <w:pPr>
        <w:spacing w:after="120" w:line="240" w:lineRule="auto"/>
        <w:ind w:left="210" w:right="912"/>
        <w:jc w:val="both"/>
        <w:rPr>
          <w:rFonts w:ascii="Calibri" w:hAnsi="Calibri" w:cs="Calibri"/>
        </w:rPr>
      </w:pPr>
      <w:r>
        <w:rPr>
          <w:rFonts w:ascii="Calibri" w:eastAsia="Avenir Next LT Pro" w:hAnsi="Calibri" w:cs="Calibri"/>
          <w:color w:val="000000"/>
          <w:sz w:val="20"/>
          <w:szCs w:val="20"/>
        </w:rPr>
        <w:t>L’objet du marché est l’hébergement de Geodata INRAE, Infrastructure de Données Géographiques (IDG) d’INRAE,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son</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exploitation et la maintenance opérationnelle de l’infrastructure ; ainsi que des</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développements</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spécifiques</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pour</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adapter</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solution</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existante</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aux</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besoins d’INRAE</w:t>
      </w:r>
    </w:p>
    <w:p w14:paraId="1D30C750" w14:textId="77777777" w:rsidR="006E7EF5" w:rsidRDefault="00AC41B0">
      <w:pPr>
        <w:spacing w:after="120" w:line="240" w:lineRule="auto"/>
        <w:rPr>
          <w:rFonts w:ascii="Calibri" w:hAnsi="Calibri" w:cs="Calibri"/>
        </w:rPr>
      </w:pPr>
      <w:r>
        <w:rPr>
          <w:rFonts w:ascii="Calibri" w:eastAsia="Avenir Next LT Pro" w:hAnsi="Calibri" w:cs="Calibri"/>
          <w:color w:val="000000"/>
          <w:sz w:val="20"/>
          <w:szCs w:val="20"/>
        </w:rPr>
        <w:t> </w:t>
      </w:r>
    </w:p>
    <w:p w14:paraId="735AFF5B" w14:textId="77777777" w:rsidR="006E7EF5" w:rsidRDefault="00AC41B0">
      <w:pPr>
        <w:pStyle w:val="Titre2"/>
        <w:spacing w:before="0" w:after="120"/>
        <w:jc w:val="left"/>
        <w:rPr>
          <w:rFonts w:ascii="Calibri" w:hAnsi="Calibri"/>
          <w:sz w:val="28"/>
          <w:szCs w:val="28"/>
        </w:rPr>
      </w:pPr>
      <w:bookmarkStart w:id="12" w:name="_Toc219386260"/>
      <w:r>
        <w:rPr>
          <w:rFonts w:ascii="Calibri" w:hAnsi="Calibri"/>
          <w:sz w:val="28"/>
          <w:szCs w:val="28"/>
        </w:rPr>
        <w:t>Article 2.1 : Objet détaillé</w:t>
      </w:r>
      <w:bookmarkEnd w:id="12"/>
      <w:r>
        <w:rPr>
          <w:rFonts w:ascii="Calibri" w:hAnsi="Calibri"/>
          <w:sz w:val="28"/>
          <w:szCs w:val="28"/>
        </w:rPr>
        <w:tab/>
      </w:r>
    </w:p>
    <w:p w14:paraId="05034837" w14:textId="77777777" w:rsidR="006E7EF5" w:rsidRDefault="00AC41B0">
      <w:pPr>
        <w:spacing w:after="120" w:line="240" w:lineRule="auto"/>
        <w:ind w:left="210"/>
        <w:jc w:val="both"/>
        <w:rPr>
          <w:rFonts w:ascii="Calibri" w:hAnsi="Calibri" w:cs="Calibri"/>
        </w:rPr>
      </w:pPr>
      <w:r>
        <w:rPr>
          <w:rFonts w:ascii="Calibri" w:eastAsia="Avenir Next LT Pro" w:hAnsi="Calibri" w:cs="Calibri"/>
          <w:color w:val="000000"/>
          <w:sz w:val="20"/>
          <w:szCs w:val="20"/>
        </w:rPr>
        <w:t>L’objet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du</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marché</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porte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sur</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trois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ensembles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prestations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suivants réparties dans 2 lots dans le cadre du présent marché</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pacing w:val="-10"/>
          <w:sz w:val="20"/>
          <w:szCs w:val="20"/>
        </w:rPr>
        <w:t>:</w:t>
      </w:r>
    </w:p>
    <w:p w14:paraId="69F606B9" w14:textId="27A40AC6" w:rsidR="006E7EF5" w:rsidRDefault="00AC41B0">
      <w:pPr>
        <w:pStyle w:val="Paragraphedeliste"/>
        <w:numPr>
          <w:ilvl w:val="0"/>
          <w:numId w:val="11"/>
        </w:numPr>
        <w:tabs>
          <w:tab w:val="left" w:pos="1063"/>
        </w:tabs>
        <w:spacing w:after="120" w:line="240" w:lineRule="auto"/>
        <w:rPr>
          <w:rFonts w:ascii="Calibri" w:hAnsi="Calibri" w:cs="Calibri"/>
        </w:rPr>
      </w:pPr>
      <w:r>
        <w:rPr>
          <w:rFonts w:ascii="Calibri" w:eastAsia="Avenir Next LT Pro" w:hAnsi="Calibri" w:cs="Calibri"/>
          <w:color w:val="000000"/>
          <w:sz w:val="20"/>
          <w:szCs w:val="20"/>
        </w:rPr>
        <w:t>Lot 1 : Hébergement</w:t>
      </w:r>
      <w:r>
        <w:rPr>
          <w:rFonts w:ascii="Calibri" w:eastAsia="Avenir Next LT Pro" w:hAnsi="Calibri" w:cs="Calibri"/>
          <w:color w:val="000000"/>
          <w:spacing w:val="7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l’infrastructure</w:t>
      </w:r>
      <w:r>
        <w:rPr>
          <w:rFonts w:ascii="Calibri" w:eastAsia="Avenir Next LT Pro" w:hAnsi="Calibri" w:cs="Calibri"/>
          <w:color w:val="000000"/>
          <w:spacing w:val="74"/>
          <w:sz w:val="20"/>
          <w:szCs w:val="20"/>
        </w:rPr>
        <w:t xml:space="preserve"> </w:t>
      </w:r>
      <w:r>
        <w:rPr>
          <w:rFonts w:ascii="Calibri" w:eastAsia="Avenir Next LT Pro" w:hAnsi="Calibri" w:cs="Calibri"/>
          <w:color w:val="000000"/>
          <w:sz w:val="20"/>
          <w:szCs w:val="20"/>
        </w:rPr>
        <w:t>GeoData</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INRAE</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(logiciel</w:t>
      </w:r>
      <w:r>
        <w:rPr>
          <w:rFonts w:ascii="Calibri" w:eastAsia="Avenir Next LT Pro" w:hAnsi="Calibri" w:cs="Calibri"/>
          <w:color w:val="000000"/>
          <w:spacing w:val="75"/>
          <w:sz w:val="20"/>
          <w:szCs w:val="20"/>
        </w:rPr>
        <w:t xml:space="preserve"> </w:t>
      </w:r>
      <w:r>
        <w:rPr>
          <w:rFonts w:ascii="Calibri" w:eastAsia="Avenir Next LT Pro" w:hAnsi="Calibri" w:cs="Calibri"/>
          <w:color w:val="000000"/>
          <w:sz w:val="20"/>
          <w:szCs w:val="20"/>
        </w:rPr>
        <w:t>Open</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 xml:space="preserve">source </w:t>
      </w:r>
      <w:r>
        <w:rPr>
          <w:rFonts w:ascii="Calibri" w:eastAsia="Avenir Next LT Pro" w:hAnsi="Calibri" w:cs="Calibri"/>
          <w:color w:val="000000" w:themeColor="text1"/>
          <w:spacing w:val="-10"/>
          <w:sz w:val="20"/>
          <w:szCs w:val="20"/>
        </w:rPr>
        <w:t>geOrchestra</w:t>
      </w:r>
      <w:r>
        <w:rPr>
          <w:rFonts w:ascii="Calibri" w:eastAsia="Avenir Next LT Pro" w:hAnsi="Calibri" w:cs="Calibri"/>
          <w:color w:val="000000"/>
          <w:sz w:val="20"/>
          <w:szCs w:val="20"/>
        </w:rPr>
        <w:t xml:space="preserve"> </w:t>
      </w:r>
      <w:r w:rsidR="00ED5014">
        <w:rPr>
          <w:rFonts w:ascii="Calibri" w:eastAsia="Avenir Next LT Pro" w:hAnsi="Calibri" w:cs="Calibri"/>
          <w:color w:val="000000"/>
          <w:sz w:val="20"/>
          <w:szCs w:val="20"/>
        </w:rPr>
        <w:t xml:space="preserve">et des composants de l’écosystème </w:t>
      </w:r>
      <w:r>
        <w:rPr>
          <w:rFonts w:ascii="Calibri" w:eastAsia="Avenir Next LT Pro" w:hAnsi="Calibri" w:cs="Calibri"/>
          <w:color w:val="000000"/>
          <w:sz w:val="20"/>
          <w:szCs w:val="20"/>
        </w:rPr>
        <w:t>sur infrastructure conteneurisée (Kubernetes),</w:t>
      </w:r>
    </w:p>
    <w:p w14:paraId="1E6CCF82" w14:textId="7C5726E3" w:rsidR="006E7EF5" w:rsidRDefault="00AC41B0">
      <w:pPr>
        <w:pStyle w:val="Paragraphedeliste"/>
        <w:numPr>
          <w:ilvl w:val="0"/>
          <w:numId w:val="11"/>
        </w:numPr>
        <w:tabs>
          <w:tab w:val="left" w:pos="1063"/>
        </w:tabs>
        <w:spacing w:after="120" w:line="240" w:lineRule="auto"/>
        <w:rPr>
          <w:rFonts w:ascii="Calibri" w:hAnsi="Calibri" w:cs="Calibri"/>
        </w:rPr>
      </w:pPr>
      <w:r>
        <w:rPr>
          <w:rFonts w:ascii="Calibri" w:eastAsia="Avenir Next LT Pro" w:hAnsi="Calibri" w:cs="Calibri"/>
          <w:color w:val="000000"/>
          <w:sz w:val="20"/>
          <w:szCs w:val="20"/>
        </w:rPr>
        <w:t xml:space="preserve">Lot 1 : Maintenance corrective, corrections d’anomalies et montées de version annuelles de </w:t>
      </w:r>
      <w:r>
        <w:rPr>
          <w:rFonts w:ascii="Calibri" w:eastAsia="Avenir Next LT Pro" w:hAnsi="Calibri" w:cs="Calibri"/>
          <w:color w:val="000000" w:themeColor="text1"/>
          <w:spacing w:val="-10"/>
          <w:sz w:val="20"/>
          <w:szCs w:val="20"/>
        </w:rPr>
        <w:t>geOrchestra</w:t>
      </w:r>
      <w:r>
        <w:rPr>
          <w:rFonts w:ascii="Calibri" w:eastAsia="Avenir Next LT Pro" w:hAnsi="Calibri" w:cs="Calibri"/>
          <w:color w:val="000000"/>
          <w:sz w:val="20"/>
          <w:szCs w:val="20"/>
        </w:rPr>
        <w:t>, socle technique de la solution.</w:t>
      </w:r>
    </w:p>
    <w:p w14:paraId="4F618212" w14:textId="77777777" w:rsidR="006E7EF5" w:rsidRDefault="006E7EF5">
      <w:pPr>
        <w:tabs>
          <w:tab w:val="left" w:pos="1063"/>
        </w:tabs>
        <w:spacing w:after="120" w:line="240" w:lineRule="auto"/>
        <w:ind w:left="1070"/>
        <w:rPr>
          <w:rFonts w:ascii="Calibri" w:hAnsi="Calibri" w:cs="Calibri"/>
        </w:rPr>
      </w:pPr>
    </w:p>
    <w:p w14:paraId="6AC7D031" w14:textId="77777777" w:rsidR="006E7EF5" w:rsidRDefault="00AC41B0">
      <w:pPr>
        <w:pStyle w:val="Paragraphedeliste"/>
        <w:numPr>
          <w:ilvl w:val="0"/>
          <w:numId w:val="11"/>
        </w:numPr>
        <w:tabs>
          <w:tab w:val="left" w:pos="1063"/>
        </w:tabs>
        <w:spacing w:after="120" w:line="240" w:lineRule="auto"/>
        <w:rPr>
          <w:rFonts w:ascii="Calibri" w:hAnsi="Calibri" w:cs="Calibri"/>
        </w:rPr>
      </w:pPr>
      <w:r>
        <w:rPr>
          <w:rFonts w:ascii="Calibri" w:eastAsia="Avenir Next LT Pro" w:hAnsi="Calibri" w:cs="Calibri"/>
          <w:color w:val="000000"/>
          <w:sz w:val="20"/>
          <w:szCs w:val="20"/>
        </w:rPr>
        <w:t>Lot 2 : Développements de nouvelles fonctionnalités adaptées au contexte de l’ESR (Enseignement Supérieur et Recherche),</w:t>
      </w:r>
    </w:p>
    <w:p w14:paraId="0E8AD7F9" w14:textId="77777777" w:rsidR="006E7EF5" w:rsidRDefault="00AC41B0">
      <w:pPr>
        <w:tabs>
          <w:tab w:val="left" w:pos="1063"/>
        </w:tabs>
        <w:spacing w:after="120" w:line="240" w:lineRule="auto"/>
        <w:ind w:left="1062" w:right="909"/>
        <w:rPr>
          <w:rFonts w:ascii="Calibri" w:hAnsi="Calibri" w:cs="Calibri"/>
        </w:rPr>
      </w:pPr>
      <w:r>
        <w:rPr>
          <w:rFonts w:ascii="Calibri" w:eastAsia="Avenir Next LT Pro" w:hAnsi="Calibri" w:cs="Calibri"/>
          <w:color w:val="000000"/>
          <w:sz w:val="20"/>
          <w:szCs w:val="20"/>
        </w:rPr>
        <w:t> </w:t>
      </w:r>
    </w:p>
    <w:p w14:paraId="7F8C1BC8" w14:textId="77777777" w:rsidR="006E7EF5" w:rsidRDefault="00AC41B0">
      <w:pPr>
        <w:spacing w:after="120" w:line="240" w:lineRule="auto"/>
        <w:rPr>
          <w:rFonts w:ascii="Calibri" w:hAnsi="Calibri" w:cs="Calibri"/>
        </w:rPr>
      </w:pPr>
      <w:r>
        <w:rPr>
          <w:rFonts w:ascii="Calibri" w:eastAsia="Avenir Next LT Pro" w:hAnsi="Calibri" w:cs="Calibri"/>
          <w:color w:val="000000"/>
          <w:sz w:val="20"/>
          <w:szCs w:val="20"/>
        </w:rPr>
        <w:t> </w:t>
      </w:r>
    </w:p>
    <w:p w14:paraId="3D12CDEE" w14:textId="77777777" w:rsidR="006E7EF5" w:rsidRDefault="00AC41B0">
      <w:pPr>
        <w:pStyle w:val="Titre2"/>
        <w:spacing w:before="0" w:after="120"/>
        <w:jc w:val="left"/>
        <w:rPr>
          <w:rFonts w:ascii="Calibri" w:hAnsi="Calibri"/>
          <w:sz w:val="28"/>
          <w:szCs w:val="28"/>
        </w:rPr>
      </w:pPr>
      <w:bookmarkStart w:id="13" w:name="_Toc219386261"/>
      <w:r>
        <w:rPr>
          <w:rFonts w:ascii="Calibri" w:hAnsi="Calibri"/>
          <w:sz w:val="28"/>
          <w:szCs w:val="28"/>
        </w:rPr>
        <w:t>Article 2.2 : Eléments de contexte</w:t>
      </w:r>
      <w:bookmarkEnd w:id="13"/>
      <w:r>
        <w:rPr>
          <w:rFonts w:ascii="Calibri" w:hAnsi="Calibri"/>
          <w:sz w:val="28"/>
          <w:szCs w:val="28"/>
        </w:rPr>
        <w:tab/>
      </w:r>
    </w:p>
    <w:p w14:paraId="1572EA1F" w14:textId="77777777" w:rsidR="006E7EF5" w:rsidRDefault="00AC41B0">
      <w:pPr>
        <w:spacing w:after="120" w:line="240" w:lineRule="auto"/>
        <w:ind w:left="210" w:right="914"/>
        <w:jc w:val="both"/>
        <w:rPr>
          <w:rFonts w:ascii="Calibri" w:hAnsi="Calibri" w:cs="Calibri"/>
        </w:rPr>
      </w:pPr>
      <w:r>
        <w:rPr>
          <w:rFonts w:ascii="Calibri" w:eastAsia="Avenir Next LT Pro" w:hAnsi="Calibri" w:cs="Calibri"/>
          <w:color w:val="000000"/>
          <w:sz w:val="20"/>
          <w:szCs w:val="20"/>
        </w:rPr>
        <w:t>Une IDG propose un ensemble de data services, dont un catalogue de métadonnées, un outil de cartographie, de visualisation et d'extraction de données, apportant ainsi une première réponse à la FAIRisation</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données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composante</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spatiale.</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Une</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IDG</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repose</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sur</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l'implémentation</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standards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 l'OGC (Open Geospatial Consortium) et suit les recommandations de la directive Inspire. L'arrivée de nouveaux services de data visualisation peut étendre considérablement l'usage d'une IDG, qui va maintenant bien au-delà de la manipulation "traditionnelle" des données spatiales avec les SIG (Systèmes d’Informations Géographiques) traditionnels.</w:t>
      </w:r>
    </w:p>
    <w:p w14:paraId="748C65C0" w14:textId="77777777" w:rsidR="006E7EF5" w:rsidRDefault="00AC41B0">
      <w:pPr>
        <w:spacing w:after="120" w:line="240" w:lineRule="auto"/>
        <w:ind w:left="210" w:right="916"/>
        <w:jc w:val="both"/>
        <w:rPr>
          <w:rFonts w:ascii="Calibri" w:hAnsi="Calibri" w:cs="Calibri"/>
        </w:rPr>
      </w:pPr>
      <w:r>
        <w:rPr>
          <w:rFonts w:ascii="Calibri" w:eastAsia="Avenir Next LT Pro" w:hAnsi="Calibri" w:cs="Calibri"/>
          <w:color w:val="000000"/>
          <w:sz w:val="20"/>
          <w:szCs w:val="20"/>
        </w:rPr>
        <w:t>Avec la montée en puissance de l'Open Data et de l'Open Science, INRAE a décidé de se doter d’une Infrastructure de données géographiques à l'échelle institutionnelle.</w:t>
      </w:r>
    </w:p>
    <w:p w14:paraId="49286352" w14:textId="77777777" w:rsidR="006E7EF5" w:rsidRDefault="00AC41B0">
      <w:pPr>
        <w:spacing w:after="120" w:line="240" w:lineRule="auto"/>
        <w:ind w:left="210" w:right="916"/>
        <w:jc w:val="both"/>
        <w:rPr>
          <w:rFonts w:ascii="Calibri" w:hAnsi="Calibri" w:cs="Calibri"/>
        </w:rPr>
      </w:pPr>
      <w:r>
        <w:rPr>
          <w:rFonts w:ascii="Calibri" w:eastAsia="Avenir Next LT Pro" w:hAnsi="Calibri" w:cs="Calibri"/>
          <w:color w:val="000000"/>
          <w:sz w:val="20"/>
          <w:szCs w:val="20"/>
        </w:rPr>
        <w:t>La plateforme Geodata INRAE est déployée à INRAE depuis le printemps 2024.</w:t>
      </w:r>
    </w:p>
    <w:p w14:paraId="2D772246" w14:textId="77777777" w:rsidR="006E7EF5" w:rsidRDefault="00AC41B0">
      <w:pPr>
        <w:spacing w:after="120" w:line="240" w:lineRule="auto"/>
        <w:ind w:left="210" w:right="912"/>
        <w:jc w:val="both"/>
        <w:rPr>
          <w:rFonts w:ascii="Calibri" w:hAnsi="Calibri" w:cs="Calibri"/>
        </w:rPr>
      </w:pPr>
      <w:r>
        <w:rPr>
          <w:rFonts w:ascii="Calibri" w:eastAsia="Avenir Next LT Pro" w:hAnsi="Calibri" w:cs="Calibri"/>
          <w:color w:val="000000"/>
          <w:sz w:val="20"/>
          <w:szCs w:val="20"/>
        </w:rPr>
        <w:t>Cette plateforme vient compléter l’écosystème des outils de gestion et valorisation des données de la recherche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INRAE,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au</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service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d’une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large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communauté</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structurée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autour</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l’information</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géographique.</w:t>
      </w:r>
    </w:p>
    <w:p w14:paraId="4E6A96F8" w14:textId="77777777" w:rsidR="006E7EF5" w:rsidRDefault="00AC41B0">
      <w:pPr>
        <w:spacing w:after="120" w:line="240" w:lineRule="auto"/>
        <w:rPr>
          <w:rFonts w:ascii="Calibri" w:hAnsi="Calibri" w:cs="Calibri"/>
        </w:rPr>
      </w:pPr>
      <w:r>
        <w:rPr>
          <w:rFonts w:ascii="Calibri" w:eastAsia="Avenir Next LT Pro" w:hAnsi="Calibri" w:cs="Calibri"/>
          <w:color w:val="000000"/>
        </w:rPr>
        <w:t> </w:t>
      </w:r>
    </w:p>
    <w:p w14:paraId="6A2E8321" w14:textId="77777777" w:rsidR="006E7EF5" w:rsidRDefault="00AC41B0">
      <w:pPr>
        <w:pStyle w:val="Titre3"/>
        <w:spacing w:before="0" w:after="120"/>
        <w:rPr>
          <w:rFonts w:ascii="Calibri" w:hAnsi="Calibri"/>
          <w:sz w:val="24"/>
          <w:szCs w:val="24"/>
        </w:rPr>
      </w:pPr>
      <w:bookmarkStart w:id="14" w:name="_Toc219386262"/>
      <w:r>
        <w:rPr>
          <w:rFonts w:ascii="Calibri" w:hAnsi="Calibri"/>
          <w:sz w:val="24"/>
          <w:szCs w:val="24"/>
        </w:rPr>
        <w:t>Article</w:t>
      </w:r>
      <w:r>
        <w:rPr>
          <w:rFonts w:ascii="Calibri" w:hAnsi="Calibri"/>
          <w:spacing w:val="-7"/>
          <w:sz w:val="24"/>
          <w:szCs w:val="24"/>
        </w:rPr>
        <w:t xml:space="preserve"> </w:t>
      </w:r>
      <w:r>
        <w:rPr>
          <w:rFonts w:ascii="Calibri" w:hAnsi="Calibri"/>
          <w:sz w:val="24"/>
          <w:szCs w:val="24"/>
        </w:rPr>
        <w:t>2.2.1 :</w:t>
      </w:r>
      <w:r>
        <w:rPr>
          <w:rFonts w:ascii="Calibri" w:hAnsi="Calibri"/>
          <w:spacing w:val="-6"/>
          <w:sz w:val="24"/>
          <w:szCs w:val="24"/>
        </w:rPr>
        <w:t xml:space="preserve"> Lot 1 - </w:t>
      </w:r>
      <w:r>
        <w:rPr>
          <w:rFonts w:ascii="Calibri" w:hAnsi="Calibri"/>
          <w:sz w:val="24"/>
          <w:szCs w:val="24"/>
        </w:rPr>
        <w:t>Prestations</w:t>
      </w:r>
      <w:r>
        <w:rPr>
          <w:rFonts w:ascii="Calibri" w:hAnsi="Calibri"/>
          <w:spacing w:val="-5"/>
          <w:sz w:val="24"/>
          <w:szCs w:val="24"/>
        </w:rPr>
        <w:t xml:space="preserve"> </w:t>
      </w:r>
      <w:r>
        <w:rPr>
          <w:rFonts w:ascii="Calibri" w:hAnsi="Calibri"/>
          <w:sz w:val="24"/>
          <w:szCs w:val="24"/>
        </w:rPr>
        <w:t>d’hébergement</w:t>
      </w:r>
      <w:r>
        <w:rPr>
          <w:rFonts w:ascii="Calibri" w:hAnsi="Calibri"/>
          <w:spacing w:val="-4"/>
          <w:sz w:val="24"/>
          <w:szCs w:val="24"/>
        </w:rPr>
        <w:t xml:space="preserve"> et d’exploitation </w:t>
      </w:r>
      <w:r>
        <w:rPr>
          <w:rFonts w:ascii="Calibri" w:hAnsi="Calibri"/>
          <w:sz w:val="24"/>
          <w:szCs w:val="24"/>
        </w:rPr>
        <w:t>de</w:t>
      </w:r>
      <w:r>
        <w:rPr>
          <w:rFonts w:ascii="Calibri" w:hAnsi="Calibri"/>
          <w:spacing w:val="-4"/>
          <w:sz w:val="24"/>
          <w:szCs w:val="24"/>
        </w:rPr>
        <w:t xml:space="preserve"> </w:t>
      </w:r>
      <w:r>
        <w:rPr>
          <w:rFonts w:ascii="Calibri" w:hAnsi="Calibri"/>
          <w:sz w:val="24"/>
          <w:szCs w:val="24"/>
        </w:rPr>
        <w:t>la</w:t>
      </w:r>
      <w:r>
        <w:rPr>
          <w:rFonts w:ascii="Calibri" w:hAnsi="Calibri"/>
          <w:spacing w:val="-4"/>
          <w:sz w:val="24"/>
          <w:szCs w:val="24"/>
        </w:rPr>
        <w:t xml:space="preserve"> </w:t>
      </w:r>
      <w:r>
        <w:rPr>
          <w:rFonts w:ascii="Calibri" w:hAnsi="Calibri"/>
          <w:sz w:val="24"/>
          <w:szCs w:val="24"/>
        </w:rPr>
        <w:t>solution</w:t>
      </w:r>
      <w:r>
        <w:rPr>
          <w:rFonts w:ascii="Calibri" w:hAnsi="Calibri"/>
          <w:spacing w:val="-3"/>
          <w:sz w:val="24"/>
          <w:szCs w:val="24"/>
        </w:rPr>
        <w:t xml:space="preserve"> </w:t>
      </w:r>
      <w:r>
        <w:rPr>
          <w:rFonts w:ascii="Calibri" w:hAnsi="Calibri"/>
          <w:sz w:val="24"/>
          <w:szCs w:val="24"/>
        </w:rPr>
        <w:t>et</w:t>
      </w:r>
      <w:r>
        <w:rPr>
          <w:rFonts w:ascii="Calibri" w:hAnsi="Calibri"/>
          <w:spacing w:val="-6"/>
          <w:sz w:val="24"/>
          <w:szCs w:val="24"/>
        </w:rPr>
        <w:t xml:space="preserve"> </w:t>
      </w:r>
      <w:r>
        <w:rPr>
          <w:rFonts w:ascii="Calibri" w:hAnsi="Calibri"/>
          <w:sz w:val="24"/>
          <w:szCs w:val="24"/>
        </w:rPr>
        <w:t>sa</w:t>
      </w:r>
      <w:r>
        <w:rPr>
          <w:rFonts w:ascii="Calibri" w:hAnsi="Calibri"/>
          <w:spacing w:val="-4"/>
          <w:sz w:val="24"/>
          <w:szCs w:val="24"/>
        </w:rPr>
        <w:t xml:space="preserve"> </w:t>
      </w:r>
      <w:r>
        <w:rPr>
          <w:rFonts w:ascii="Calibri" w:hAnsi="Calibri"/>
          <w:spacing w:val="-2"/>
          <w:sz w:val="24"/>
          <w:szCs w:val="24"/>
        </w:rPr>
        <w:t>réversibilité</w:t>
      </w:r>
      <w:bookmarkEnd w:id="14"/>
    </w:p>
    <w:p w14:paraId="15697D6E" w14:textId="099EC50C" w:rsidR="006E7EF5" w:rsidRDefault="00AC41B0">
      <w:pPr>
        <w:spacing w:after="120" w:line="240" w:lineRule="auto"/>
        <w:ind w:left="210" w:right="911"/>
        <w:jc w:val="both"/>
        <w:rPr>
          <w:rFonts w:ascii="Calibri" w:eastAsia="Avenir Next LT Pro" w:hAnsi="Calibri" w:cs="Calibri"/>
          <w:color w:val="000000"/>
          <w:spacing w:val="-2"/>
          <w:sz w:val="20"/>
          <w:szCs w:val="20"/>
        </w:rPr>
      </w:pPr>
      <w:r>
        <w:rPr>
          <w:rFonts w:ascii="Calibri" w:eastAsia="Avenir Next LT Pro" w:hAnsi="Calibri" w:cs="Calibri"/>
          <w:color w:val="000000"/>
          <w:sz w:val="20"/>
          <w:szCs w:val="20"/>
        </w:rPr>
        <w:t xml:space="preserve">INRAE dispose d’une IDG basée sur </w:t>
      </w:r>
      <w:r>
        <w:rPr>
          <w:rFonts w:ascii="Calibri" w:eastAsia="Avenir Next LT Pro" w:hAnsi="Calibri" w:cs="Calibri"/>
          <w:color w:val="000000" w:themeColor="text1"/>
          <w:spacing w:val="-10"/>
          <w:sz w:val="20"/>
          <w:szCs w:val="20"/>
        </w:rPr>
        <w:t>geOrchestra</w:t>
      </w:r>
      <w:r>
        <w:rPr>
          <w:rFonts w:ascii="Calibri" w:eastAsia="Avenir Next LT Pro" w:hAnsi="Calibri" w:cs="Calibri"/>
          <w:color w:val="000000"/>
          <w:sz w:val="20"/>
          <w:szCs w:val="20"/>
        </w:rPr>
        <w:t xml:space="preserve"> hébergée en mode SAAS sur un cloud français. GeoData INRAE est déployée dans un environnement conteneurisé (Kubernetes)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pour</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automatiser</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déploiement,</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montée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charge</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mise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œuvre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 xml:space="preserve">conteneurs </w:t>
      </w:r>
      <w:r>
        <w:rPr>
          <w:rFonts w:ascii="Calibri" w:eastAsia="Avenir Next LT Pro" w:hAnsi="Calibri" w:cs="Calibri"/>
          <w:color w:val="000000"/>
          <w:spacing w:val="-2"/>
          <w:sz w:val="20"/>
          <w:szCs w:val="20"/>
        </w:rPr>
        <w:t>d'applications.</w:t>
      </w:r>
    </w:p>
    <w:p w14:paraId="0AFDA2C8" w14:textId="77777777" w:rsidR="006E7EF5" w:rsidRDefault="00AC41B0" w:rsidP="00146B95">
      <w:pPr>
        <w:pStyle w:val="Titre4"/>
        <w:rPr>
          <w:rFonts w:eastAsia="Avenir Next LT Pro"/>
          <w:color w:val="000000"/>
          <w:spacing w:val="-2"/>
          <w:sz w:val="20"/>
          <w:szCs w:val="20"/>
        </w:rPr>
      </w:pPr>
      <w:r>
        <w:t>2.2.1.1 Besoins non fonctionnels</w:t>
      </w:r>
    </w:p>
    <w:p w14:paraId="3F5A8083" w14:textId="77777777" w:rsidR="006E7EF5" w:rsidRDefault="00AC41B0" w:rsidP="00146B95">
      <w:pPr>
        <w:pStyle w:val="Titre5"/>
      </w:pPr>
      <w:r>
        <w:t>2.2.1.1.1 Hébergement des données</w:t>
      </w:r>
    </w:p>
    <w:p w14:paraId="0E0101BA" w14:textId="77777777" w:rsidR="006E7EF5" w:rsidRDefault="00AC41B0">
      <w:pPr>
        <w:spacing w:after="120" w:line="240" w:lineRule="auto"/>
        <w:ind w:left="210" w:right="911"/>
        <w:jc w:val="both"/>
        <w:rPr>
          <w:rFonts w:ascii="Calibri" w:hAnsi="Calibri" w:cs="Calibri"/>
        </w:rPr>
      </w:pPr>
      <w:r>
        <w:rPr>
          <w:rFonts w:ascii="Calibri" w:hAnsi="Calibri" w:cs="Calibri"/>
        </w:rPr>
        <w:t>La solution geOrchestra doit être déployée sur un fournisseur de Cloud “souverain” (entreprise française possédant ses propres centres de données localisés en France).</w:t>
      </w:r>
    </w:p>
    <w:p w14:paraId="57ABF1C5" w14:textId="77777777" w:rsidR="006E7EF5" w:rsidRDefault="00AC41B0" w:rsidP="00146B95">
      <w:pPr>
        <w:pStyle w:val="Titre5"/>
      </w:pPr>
      <w:r>
        <w:t>2.2.1.1.2. Sauvegardes</w:t>
      </w:r>
    </w:p>
    <w:p w14:paraId="7A66EB0E" w14:textId="77777777" w:rsidR="006E7EF5" w:rsidRDefault="00AC41B0">
      <w:pPr>
        <w:spacing w:after="120" w:line="240" w:lineRule="auto"/>
        <w:ind w:left="210" w:right="911"/>
        <w:jc w:val="both"/>
        <w:rPr>
          <w:rFonts w:ascii="Calibri" w:hAnsi="Calibri" w:cs="Calibri"/>
        </w:rPr>
      </w:pPr>
      <w:r>
        <w:rPr>
          <w:rFonts w:ascii="Calibri" w:hAnsi="Calibri" w:cs="Calibri"/>
        </w:rPr>
        <w:t>INRAE souhaite garder ses backups pendant une période d’au moins 30 jours.</w:t>
      </w:r>
    </w:p>
    <w:p w14:paraId="595465C8" w14:textId="77777777" w:rsidR="006E7EF5" w:rsidRDefault="00AC41B0">
      <w:pPr>
        <w:spacing w:after="120" w:line="240" w:lineRule="auto"/>
        <w:ind w:left="210" w:right="911"/>
        <w:jc w:val="both"/>
        <w:rPr>
          <w:rFonts w:ascii="Calibri" w:hAnsi="Calibri" w:cs="Calibri"/>
        </w:rPr>
      </w:pPr>
      <w:r>
        <w:rPr>
          <w:rFonts w:ascii="Calibri" w:hAnsi="Calibri" w:cs="Calibri"/>
        </w:rPr>
        <w:t>La priorité est de ne pas perdre de données, même si cela implique un temps de restauration plus long.</w:t>
      </w:r>
    </w:p>
    <w:p w14:paraId="15D18080" w14:textId="77777777" w:rsidR="006E7EF5" w:rsidRDefault="00AC41B0" w:rsidP="00146B95">
      <w:pPr>
        <w:pStyle w:val="Titre5"/>
      </w:pPr>
      <w:r>
        <w:lastRenderedPageBreak/>
        <w:t>2.2.1.1.3 Supervision</w:t>
      </w:r>
    </w:p>
    <w:p w14:paraId="213B75FC" w14:textId="77777777" w:rsidR="006E7EF5" w:rsidRDefault="00AC41B0">
      <w:pPr>
        <w:spacing w:after="120" w:line="240" w:lineRule="auto"/>
        <w:ind w:left="210" w:right="911"/>
        <w:jc w:val="both"/>
        <w:rPr>
          <w:rFonts w:ascii="Calibri" w:hAnsi="Calibri" w:cs="Calibri"/>
        </w:rPr>
      </w:pPr>
      <w:r>
        <w:rPr>
          <w:rFonts w:ascii="Calibri" w:hAnsi="Calibri" w:cs="Calibri"/>
        </w:rPr>
        <w:t>L’INRAE souhaite avoir accès aux outils de supervision mis en place par le titulaire.</w:t>
      </w:r>
      <w:r w:rsidR="00ED5014">
        <w:rPr>
          <w:rFonts w:ascii="Calibri" w:hAnsi="Calibri" w:cs="Calibri"/>
        </w:rPr>
        <w:t xml:space="preserve"> La </w:t>
      </w:r>
      <w:r>
        <w:rPr>
          <w:rFonts w:ascii="Calibri" w:hAnsi="Calibri" w:cs="Calibri"/>
        </w:rPr>
        <w:t>surveillance</w:t>
      </w:r>
      <w:r w:rsidR="00ED5014">
        <w:rPr>
          <w:rFonts w:ascii="Calibri" w:hAnsi="Calibri" w:cs="Calibri"/>
        </w:rPr>
        <w:t xml:space="preserve"> devra permettre de monitorer tous les composants qui </w:t>
      </w:r>
      <w:r>
        <w:rPr>
          <w:rFonts w:ascii="Calibri" w:hAnsi="Calibri" w:cs="Calibri"/>
        </w:rPr>
        <w:t>constituent</w:t>
      </w:r>
      <w:r w:rsidR="00ED5014">
        <w:rPr>
          <w:rFonts w:ascii="Calibri" w:hAnsi="Calibri" w:cs="Calibri"/>
        </w:rPr>
        <w:t xml:space="preserve"> l’écosystème GeoData INRAE</w:t>
      </w:r>
      <w:r>
        <w:rPr>
          <w:rFonts w:ascii="Calibri" w:hAnsi="Calibri" w:cs="Calibri"/>
        </w:rPr>
        <w:t xml:space="preserve"> (cf. </w:t>
      </w:r>
      <w:r w:rsidRPr="00C21B2F">
        <w:rPr>
          <w:rFonts w:ascii="Calibri" w:hAnsi="Calibri" w:cs="Calibri"/>
        </w:rPr>
        <w:t>2.2.1.1.5 architecture applicative</w:t>
      </w:r>
      <w:r>
        <w:rPr>
          <w:rFonts w:ascii="Calibri" w:hAnsi="Calibri" w:cs="Calibri"/>
        </w:rPr>
        <w:t>).</w:t>
      </w:r>
    </w:p>
    <w:p w14:paraId="3B11DC3F" w14:textId="77777777" w:rsidR="00146B95" w:rsidRDefault="00AC41B0" w:rsidP="00146B95">
      <w:pPr>
        <w:pStyle w:val="Titre5"/>
      </w:pPr>
      <w:r>
        <w:t>2.2.1.1.4 Environnements</w:t>
      </w:r>
    </w:p>
    <w:p w14:paraId="4A871B9F" w14:textId="32853368" w:rsidR="006E7EF5" w:rsidRDefault="00AC41B0">
      <w:pPr>
        <w:spacing w:after="120" w:line="240" w:lineRule="auto"/>
        <w:ind w:left="220" w:right="910" w:hanging="10"/>
        <w:rPr>
          <w:rFonts w:ascii="Calibri" w:hAnsi="Calibri" w:cs="Calibri"/>
        </w:rPr>
      </w:pPr>
      <w:r>
        <w:rPr>
          <w:rFonts w:ascii="Calibri" w:eastAsia="Avenir Next LT Pro" w:hAnsi="Calibri" w:cs="Calibri"/>
          <w:color w:val="000000"/>
          <w:sz w:val="20"/>
          <w:szCs w:val="20"/>
        </w:rPr>
        <w:t xml:space="preserve">INRAE dispose de plusieurs environnements pour gérer les différentes problématiques liées au projet : </w:t>
      </w:r>
    </w:p>
    <w:p w14:paraId="3C3B8CC9" w14:textId="77777777" w:rsidR="006E7EF5" w:rsidRDefault="00AC41B0" w:rsidP="00146B95">
      <w:pPr>
        <w:pStyle w:val="Paragraphedeliste"/>
        <w:numPr>
          <w:ilvl w:val="0"/>
          <w:numId w:val="12"/>
        </w:numPr>
        <w:tabs>
          <w:tab w:val="left" w:pos="1063"/>
        </w:tabs>
        <w:spacing w:after="120" w:line="240" w:lineRule="auto"/>
        <w:jc w:val="both"/>
        <w:rPr>
          <w:rFonts w:ascii="Calibri" w:eastAsia="Avenir Next LT Pro" w:hAnsi="Calibri" w:cs="Calibri"/>
          <w:b/>
          <w:bCs/>
          <w:color w:val="000000"/>
          <w:sz w:val="20"/>
          <w:szCs w:val="20"/>
        </w:rPr>
      </w:pPr>
      <w:r>
        <w:rPr>
          <w:rFonts w:ascii="Calibri" w:eastAsia="Avenir Next LT Pro" w:hAnsi="Calibri" w:cs="Calibri"/>
          <w:b/>
          <w:bCs/>
          <w:color w:val="000000"/>
          <w:sz w:val="20"/>
          <w:szCs w:val="20"/>
        </w:rPr>
        <w:t>Un</w:t>
      </w:r>
      <w:r w:rsidRPr="00146B95">
        <w:rPr>
          <w:rFonts w:ascii="Calibri" w:eastAsia="Avenir Next LT Pro" w:hAnsi="Calibri" w:cs="Calibri"/>
          <w:b/>
          <w:bCs/>
          <w:color w:val="000000"/>
          <w:sz w:val="20"/>
          <w:szCs w:val="20"/>
        </w:rPr>
        <w:t xml:space="preserve"> environnement de production  (https://geodata.inrae.fr/)</w:t>
      </w:r>
    </w:p>
    <w:p w14:paraId="5394D5AF" w14:textId="4D28C9A6" w:rsidR="006E7EF5" w:rsidRDefault="00AC41B0">
      <w:pPr>
        <w:pStyle w:val="Paragraphedeliste"/>
        <w:numPr>
          <w:ilvl w:val="0"/>
          <w:numId w:val="12"/>
        </w:numPr>
        <w:tabs>
          <w:tab w:val="left" w:pos="1063"/>
        </w:tabs>
        <w:spacing w:after="120" w:line="240" w:lineRule="auto"/>
        <w:jc w:val="both"/>
        <w:rPr>
          <w:rFonts w:ascii="Calibri" w:eastAsia="Avenir Next LT Pro" w:hAnsi="Calibri" w:cs="Calibri"/>
          <w:b/>
          <w:bCs/>
          <w:color w:val="000000"/>
          <w:sz w:val="20"/>
          <w:szCs w:val="20"/>
        </w:rPr>
      </w:pPr>
      <w:r w:rsidRPr="00146B95">
        <w:rPr>
          <w:rFonts w:ascii="Calibri" w:eastAsia="Avenir Next LT Pro" w:hAnsi="Calibri" w:cs="Calibri"/>
          <w:b/>
          <w:bCs/>
          <w:color w:val="000000"/>
          <w:sz w:val="20"/>
          <w:szCs w:val="20"/>
        </w:rPr>
        <w:t xml:space="preserve">Un </w:t>
      </w:r>
      <w:r>
        <w:rPr>
          <w:rFonts w:ascii="Calibri" w:eastAsia="Avenir Next LT Pro" w:hAnsi="Calibri" w:cs="Calibri"/>
          <w:b/>
          <w:bCs/>
          <w:color w:val="000000"/>
          <w:sz w:val="20"/>
          <w:szCs w:val="20"/>
        </w:rPr>
        <w:t>environnement de intégration</w:t>
      </w:r>
      <w:r w:rsidRPr="00146B95">
        <w:rPr>
          <w:rFonts w:ascii="Calibri" w:eastAsia="Avenir Next LT Pro" w:hAnsi="Calibri" w:cs="Calibri"/>
          <w:b/>
          <w:bCs/>
          <w:color w:val="000000"/>
          <w:sz w:val="20"/>
          <w:szCs w:val="20"/>
        </w:rPr>
        <w:t> (</w:t>
      </w:r>
      <w:r>
        <w:rPr>
          <w:rFonts w:ascii="Calibri" w:eastAsia="Avenir Next LT Pro" w:hAnsi="Calibri" w:cs="Calibri"/>
          <w:b/>
          <w:bCs/>
          <w:color w:val="000000"/>
          <w:sz w:val="20"/>
          <w:szCs w:val="20"/>
        </w:rPr>
        <w:t>https ://geodata.dev.inrae.fr</w:t>
      </w:r>
      <w:r w:rsidRPr="00146B95">
        <w:rPr>
          <w:rFonts w:ascii="Calibri" w:eastAsia="Avenir Next LT Pro" w:hAnsi="Calibri" w:cs="Calibri"/>
          <w:b/>
          <w:bCs/>
          <w:color w:val="000000"/>
          <w:sz w:val="20"/>
          <w:szCs w:val="20"/>
        </w:rPr>
        <w:t xml:space="preserve">) </w:t>
      </w:r>
      <w:r w:rsidRPr="00146B95">
        <w:rPr>
          <w:rFonts w:ascii="Calibri" w:eastAsia="Avenir Next LT Pro" w:hAnsi="Calibri" w:cs="Calibri"/>
          <w:b/>
          <w:bCs/>
          <w:color w:val="FF0000"/>
          <w:sz w:val="20"/>
          <w:szCs w:val="20"/>
        </w:rPr>
        <w:t xml:space="preserve"> </w:t>
      </w:r>
      <w:r>
        <w:rPr>
          <w:rFonts w:ascii="Calibri" w:eastAsia="Avenir Next LT Pro" w:hAnsi="Calibri" w:cs="Calibri"/>
          <w:bCs/>
          <w:color w:val="000000"/>
          <w:sz w:val="20"/>
          <w:szCs w:val="20"/>
        </w:rPr>
        <w:t xml:space="preserve">qui sert à recetter les </w:t>
      </w:r>
      <w:r w:rsidRPr="00146B95">
        <w:rPr>
          <w:rFonts w:ascii="Calibri" w:eastAsia="Avenir Next LT Pro" w:hAnsi="Calibri" w:cs="Calibri"/>
          <w:bCs/>
          <w:color w:val="000000"/>
          <w:sz w:val="20"/>
          <w:szCs w:val="20"/>
        </w:rPr>
        <w:t>développements,</w:t>
      </w:r>
    </w:p>
    <w:p w14:paraId="0FD66C2D" w14:textId="77777777" w:rsidR="006E7EF5" w:rsidRDefault="00AC41B0">
      <w:pPr>
        <w:pStyle w:val="Paragraphedeliste"/>
        <w:numPr>
          <w:ilvl w:val="0"/>
          <w:numId w:val="12"/>
        </w:numPr>
        <w:tabs>
          <w:tab w:val="left" w:pos="1063"/>
        </w:tabs>
        <w:spacing w:after="120" w:line="240" w:lineRule="auto"/>
        <w:jc w:val="both"/>
        <w:rPr>
          <w:rFonts w:ascii="Calibri" w:hAnsi="Calibri" w:cs="Calibri"/>
        </w:rPr>
      </w:pPr>
      <w:r w:rsidRPr="00146B95">
        <w:rPr>
          <w:rFonts w:ascii="Calibri" w:eastAsia="Avenir Next LT Pro" w:hAnsi="Calibri" w:cs="Calibri"/>
          <w:b/>
          <w:bCs/>
          <w:color w:val="000000"/>
          <w:sz w:val="20"/>
          <w:szCs w:val="20"/>
        </w:rPr>
        <w:t xml:space="preserve">Un </w:t>
      </w:r>
      <w:r>
        <w:rPr>
          <w:rFonts w:ascii="Calibri" w:eastAsia="Avenir Next LT Pro" w:hAnsi="Calibri" w:cs="Calibri"/>
          <w:b/>
          <w:bCs/>
          <w:color w:val="000000"/>
          <w:sz w:val="20"/>
          <w:szCs w:val="20"/>
        </w:rPr>
        <w:t>environnement de démo/bac à sable</w:t>
      </w:r>
      <w:r>
        <w:rPr>
          <w:rFonts w:ascii="Calibri" w:eastAsia="Avenir Next LT Pro" w:hAnsi="Calibri" w:cs="Calibri"/>
          <w:color w:val="000000"/>
          <w:sz w:val="20"/>
          <w:szCs w:val="20"/>
        </w:rPr>
        <w:t> (</w:t>
      </w:r>
      <w:r>
        <w:rPr>
          <w:rFonts w:ascii="Calibri" w:eastAsia="Avenir Next LT Pro" w:hAnsi="Calibri" w:cs="Calibri"/>
          <w:b/>
          <w:bCs/>
          <w:color w:val="000000"/>
          <w:sz w:val="20"/>
          <w:szCs w:val="20"/>
        </w:rPr>
        <w:t xml:space="preserve">https ://geodata.bac-a-sable.inrae.fr) </w:t>
      </w:r>
      <w:r>
        <w:rPr>
          <w:rFonts w:ascii="Calibri" w:eastAsia="Avenir Next LT Pro" w:hAnsi="Calibri" w:cs="Calibri"/>
          <w:color w:val="000000"/>
          <w:sz w:val="20"/>
          <w:szCs w:val="20"/>
        </w:rPr>
        <w:t xml:space="preserve"> qui sert pour tester toutes les évolutions logicielles ou applicatives apportées à la solution et de bac à sable aux utilisateurs </w:t>
      </w:r>
      <w:r>
        <w:rPr>
          <w:rFonts w:ascii="Calibri" w:eastAsia="Avenir Next LT Pro" w:hAnsi="Calibri" w:cs="Calibri"/>
          <w:color w:val="000000"/>
          <w:spacing w:val="-2"/>
          <w:sz w:val="20"/>
          <w:szCs w:val="20"/>
        </w:rPr>
        <w:t>INRAE.</w:t>
      </w:r>
    </w:p>
    <w:p w14:paraId="3000A668" w14:textId="77777777" w:rsidR="006E7EF5" w:rsidRDefault="00AC41B0">
      <w:pPr>
        <w:spacing w:after="120" w:line="240" w:lineRule="auto"/>
        <w:ind w:left="210" w:right="923"/>
        <w:jc w:val="both"/>
        <w:rPr>
          <w:rFonts w:ascii="Calibri" w:hAnsi="Calibri" w:cs="Calibri"/>
        </w:rPr>
      </w:pPr>
      <w:r>
        <w:rPr>
          <w:rFonts w:ascii="Calibri" w:eastAsia="Avenir Next LT Pro" w:hAnsi="Calibri" w:cs="Calibri"/>
          <w:color w:val="000000"/>
          <w:sz w:val="20"/>
          <w:szCs w:val="20"/>
        </w:rPr>
        <w:t>Les données d’INRAE transmises aux serveurs du titulaire ainsi que les données d’INRAE hébergées sur les serveurs du titulaire sont chiffrées.</w:t>
      </w:r>
    </w:p>
    <w:p w14:paraId="23FCB621" w14:textId="77777777" w:rsidR="006E7EF5" w:rsidRDefault="00AC41B0">
      <w:pPr>
        <w:spacing w:after="120" w:line="240" w:lineRule="auto"/>
        <w:ind w:left="210" w:right="915"/>
        <w:jc w:val="both"/>
        <w:rPr>
          <w:rFonts w:ascii="Calibri" w:hAnsi="Calibri" w:cs="Calibri"/>
        </w:rPr>
      </w:pPr>
      <w:r>
        <w:rPr>
          <w:rFonts w:ascii="Calibri" w:eastAsia="Avenir Next LT Pro" w:hAnsi="Calibri" w:cs="Calibri"/>
          <w:color w:val="000000"/>
          <w:sz w:val="20"/>
          <w:szCs w:val="20"/>
        </w:rPr>
        <w:t>L’hébergement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serveurs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l’infrastructure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GeoData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INRAE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est faite chez un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hébergeur</w:t>
      </w:r>
      <w:r>
        <w:rPr>
          <w:rFonts w:ascii="Calibri" w:eastAsia="Avenir Next LT Pro" w:hAnsi="Calibri" w:cs="Calibri"/>
          <w:color w:val="000000"/>
          <w:spacing w:val="-8"/>
          <w:sz w:val="20"/>
          <w:szCs w:val="20"/>
        </w:rPr>
        <w:t xml:space="preserve"> souverain français. </w:t>
      </w:r>
    </w:p>
    <w:p w14:paraId="30E3DB5E" w14:textId="60B8717C" w:rsidR="006E7EF5" w:rsidRDefault="00AC41B0">
      <w:pPr>
        <w:spacing w:after="120" w:line="240" w:lineRule="auto"/>
        <w:ind w:left="210" w:right="915"/>
        <w:jc w:val="both"/>
        <w:rPr>
          <w:rFonts w:ascii="Calibri" w:hAnsi="Calibri" w:cs="Calibri"/>
        </w:rPr>
      </w:pPr>
      <w:r>
        <w:rPr>
          <w:rFonts w:ascii="Calibri" w:eastAsia="Avenir Next LT Pro" w:hAnsi="Calibri" w:cs="Calibri"/>
          <w:color w:val="000000"/>
          <w:sz w:val="20"/>
          <w:szCs w:val="20"/>
        </w:rPr>
        <w:t>L’hébergement devra être fait chez un hébergeur d’un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pays de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l’Union Européenne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dans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tous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cas,</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dans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conditions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conformes</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aux</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exigences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posées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par le présent marché.</w:t>
      </w:r>
    </w:p>
    <w:p w14:paraId="306374A6" w14:textId="77777777" w:rsidR="006E7EF5" w:rsidRDefault="00AC41B0">
      <w:pPr>
        <w:spacing w:after="120" w:line="240" w:lineRule="auto"/>
        <w:ind w:left="210" w:right="910"/>
        <w:jc w:val="both"/>
        <w:rPr>
          <w:rFonts w:ascii="Calibri" w:hAnsi="Calibri" w:cs="Calibri"/>
        </w:rPr>
      </w:pPr>
      <w:r>
        <w:rPr>
          <w:rFonts w:ascii="Calibri" w:eastAsia="Avenir Next LT Pro" w:hAnsi="Calibri" w:cs="Calibri"/>
          <w:color w:val="000000"/>
          <w:sz w:val="20"/>
          <w:szCs w:val="20"/>
        </w:rPr>
        <w:t>A moyen terme, l’hébergement pourrait être déplacé dans un cloud ESR (INRAE, CNRS, Université...). La gestion de l’infrastructure pourra être opérée par le titulaire ou par INRAE.</w:t>
      </w:r>
    </w:p>
    <w:p w14:paraId="727ED36D" w14:textId="77777777" w:rsidR="006E7EF5" w:rsidRDefault="00AC41B0">
      <w:pPr>
        <w:numPr>
          <w:ilvl w:val="0"/>
          <w:numId w:val="13"/>
        </w:numPr>
        <w:tabs>
          <w:tab w:val="left" w:pos="1063"/>
        </w:tabs>
        <w:spacing w:after="120" w:line="240" w:lineRule="auto"/>
        <w:jc w:val="both"/>
        <w:rPr>
          <w:rFonts w:ascii="Calibri" w:hAnsi="Calibri" w:cs="Calibri"/>
        </w:rPr>
      </w:pPr>
      <w:r>
        <w:rPr>
          <w:rFonts w:ascii="Calibri" w:eastAsia="Avenir Next LT Pro" w:hAnsi="Calibri" w:cs="Calibri"/>
          <w:color w:val="000000"/>
          <w:sz w:val="20"/>
          <w:szCs w:val="20"/>
        </w:rPr>
        <w:t>Le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titulaire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décrit</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dans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son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offre,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modalités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réalisation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ainsi</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que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engagements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pris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en matière de gestion de l’infrastructure.</w:t>
      </w:r>
    </w:p>
    <w:p w14:paraId="0681F59C" w14:textId="77777777" w:rsidR="006E7EF5" w:rsidRDefault="00AC41B0">
      <w:pPr>
        <w:pStyle w:val="Paragraphedeliste"/>
        <w:numPr>
          <w:ilvl w:val="0"/>
          <w:numId w:val="13"/>
        </w:numPr>
        <w:spacing w:after="120" w:line="240" w:lineRule="auto"/>
        <w:ind w:right="921"/>
        <w:jc w:val="both"/>
        <w:rPr>
          <w:rFonts w:ascii="Calibri" w:hAnsi="Calibri" w:cs="Calibri"/>
        </w:rPr>
      </w:pPr>
      <w:r>
        <w:rPr>
          <w:rFonts w:ascii="Calibri" w:eastAsia="Avenir Next LT Pro" w:hAnsi="Calibri" w:cs="Calibri"/>
          <w:color w:val="000000"/>
          <w:sz w:val="20"/>
          <w:szCs w:val="20"/>
        </w:rPr>
        <w:t>Une équipe d’agents administrateurs INRAE devra pouvoir accéder à l’ensemble des services de l’infrastructure, incluant le monitoring.</w:t>
      </w:r>
    </w:p>
    <w:p w14:paraId="42B822A3" w14:textId="77777777" w:rsidR="006E7EF5" w:rsidRDefault="00AC41B0">
      <w:pPr>
        <w:numPr>
          <w:ilvl w:val="0"/>
          <w:numId w:val="13"/>
        </w:numPr>
        <w:tabs>
          <w:tab w:val="left" w:pos="1063"/>
          <w:tab w:val="left" w:pos="2928"/>
          <w:tab w:val="left" w:pos="3931"/>
          <w:tab w:val="left" w:pos="6110"/>
          <w:tab w:val="left" w:pos="7567"/>
          <w:tab w:val="left" w:pos="8714"/>
        </w:tabs>
        <w:spacing w:after="120" w:line="240" w:lineRule="auto"/>
        <w:rPr>
          <w:rFonts w:ascii="Calibri" w:hAnsi="Calibri" w:cs="Calibri"/>
        </w:rPr>
      </w:pPr>
      <w:r>
        <w:rPr>
          <w:rFonts w:ascii="Calibri" w:eastAsia="Avenir Next LT Pro" w:hAnsi="Calibri" w:cs="Calibri"/>
          <w:color w:val="000000"/>
          <w:sz w:val="20"/>
          <w:szCs w:val="20"/>
        </w:rPr>
        <w:t xml:space="preserve">L’environnement de production sera accessible à l’ensemble du réseau Internet en </w:t>
      </w:r>
      <w:r>
        <w:rPr>
          <w:rFonts w:ascii="Calibri" w:eastAsia="Avenir Next LT Pro" w:hAnsi="Calibri" w:cs="Calibri"/>
          <w:color w:val="000000"/>
          <w:spacing w:val="-2"/>
          <w:sz w:val="20"/>
          <w:szCs w:val="20"/>
        </w:rPr>
        <w:t>consultation,</w:t>
      </w:r>
      <w:r>
        <w:rPr>
          <w:rFonts w:ascii="Calibri" w:eastAsia="Avenir Next LT Pro" w:hAnsi="Calibri" w:cs="Calibri"/>
          <w:color w:val="000000"/>
          <w:sz w:val="20"/>
        </w:rPr>
        <w:tab/>
      </w:r>
      <w:r>
        <w:rPr>
          <w:rFonts w:ascii="Calibri" w:eastAsia="Avenir Next LT Pro" w:hAnsi="Calibri" w:cs="Calibri"/>
          <w:color w:val="000000"/>
          <w:spacing w:val="-4"/>
          <w:sz w:val="20"/>
          <w:szCs w:val="20"/>
        </w:rPr>
        <w:t>via</w:t>
      </w:r>
      <w:r>
        <w:rPr>
          <w:rFonts w:ascii="Calibri" w:eastAsia="Avenir Next LT Pro" w:hAnsi="Calibri" w:cs="Calibri"/>
          <w:color w:val="000000"/>
          <w:sz w:val="20"/>
        </w:rPr>
        <w:tab/>
      </w:r>
      <w:r>
        <w:rPr>
          <w:rFonts w:ascii="Calibri" w:eastAsia="Avenir Next LT Pro" w:hAnsi="Calibri" w:cs="Calibri"/>
          <w:color w:val="000000"/>
          <w:spacing w:val="-2"/>
          <w:sz w:val="20"/>
          <w:szCs w:val="20"/>
        </w:rPr>
        <w:t>l’authentification</w:t>
      </w:r>
      <w:r>
        <w:rPr>
          <w:rFonts w:ascii="Calibri" w:eastAsia="Avenir Next LT Pro" w:hAnsi="Calibri" w:cs="Calibri"/>
          <w:color w:val="000000"/>
          <w:sz w:val="20"/>
        </w:rPr>
        <w:t xml:space="preserve"> </w:t>
      </w:r>
      <w:r>
        <w:rPr>
          <w:rFonts w:ascii="Calibri" w:eastAsia="Avenir Next LT Pro" w:hAnsi="Calibri" w:cs="Calibri"/>
          <w:color w:val="000000"/>
          <w:spacing w:val="-2"/>
          <w:sz w:val="20"/>
          <w:szCs w:val="20"/>
        </w:rPr>
        <w:t>Renater</w:t>
      </w:r>
      <w:r>
        <w:rPr>
          <w:rFonts w:ascii="Calibri" w:eastAsia="Avenir Next LT Pro" w:hAnsi="Calibri" w:cs="Calibri"/>
          <w:color w:val="000000"/>
          <w:sz w:val="20"/>
        </w:rPr>
        <w:t xml:space="preserve"> </w:t>
      </w:r>
      <w:r>
        <w:rPr>
          <w:rFonts w:ascii="Calibri" w:eastAsia="Avenir Next LT Pro" w:hAnsi="Calibri" w:cs="Calibri"/>
          <w:color w:val="000000"/>
          <w:spacing w:val="-4"/>
          <w:sz w:val="20"/>
          <w:szCs w:val="20"/>
        </w:rPr>
        <w:t>pour</w:t>
      </w:r>
      <w:r>
        <w:rPr>
          <w:rFonts w:ascii="Calibri" w:eastAsia="Avenir Next LT Pro" w:hAnsi="Calibri" w:cs="Calibri"/>
          <w:color w:val="000000"/>
          <w:sz w:val="20"/>
        </w:rPr>
        <w:t xml:space="preserve"> </w:t>
      </w:r>
      <w:r>
        <w:rPr>
          <w:rFonts w:ascii="Calibri" w:eastAsia="Avenir Next LT Pro" w:hAnsi="Calibri" w:cs="Calibri"/>
          <w:color w:val="000000"/>
          <w:spacing w:val="-2"/>
          <w:sz w:val="20"/>
          <w:szCs w:val="20"/>
        </w:rPr>
        <w:t>l’édition ou pour la consultation de données à diffusion limitée (https://services.renater.fr/federation/index),</w:t>
      </w:r>
    </w:p>
    <w:p w14:paraId="2D158D33" w14:textId="28A3C60A" w:rsidR="006E7EF5" w:rsidRDefault="00AC41B0">
      <w:pPr>
        <w:numPr>
          <w:ilvl w:val="0"/>
          <w:numId w:val="13"/>
        </w:numPr>
        <w:tabs>
          <w:tab w:val="left" w:pos="1063"/>
        </w:tabs>
        <w:spacing w:after="120" w:line="240" w:lineRule="auto"/>
        <w:jc w:val="both"/>
        <w:rPr>
          <w:rFonts w:ascii="Calibri" w:hAnsi="Calibri" w:cs="Calibri"/>
        </w:rPr>
      </w:pPr>
      <w:r>
        <w:rPr>
          <w:rFonts w:ascii="Calibri" w:eastAsia="Avenir Next LT Pro" w:hAnsi="Calibri" w:cs="Calibri"/>
          <w:color w:val="000000"/>
          <w:sz w:val="20"/>
          <w:szCs w:val="20"/>
        </w:rPr>
        <w:t>L’environnement</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d’intégration</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ne</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sera</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accessible</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qu’au</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groupe</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administrateurs (titulaire et INRAE)</w:t>
      </w:r>
    </w:p>
    <w:p w14:paraId="2ED6AA08" w14:textId="0B62FD42" w:rsidR="006E7EF5" w:rsidRPr="00146B95" w:rsidRDefault="00AC41B0">
      <w:pPr>
        <w:numPr>
          <w:ilvl w:val="0"/>
          <w:numId w:val="13"/>
        </w:numPr>
        <w:tabs>
          <w:tab w:val="left" w:pos="1063"/>
        </w:tabs>
        <w:spacing w:after="120" w:line="240" w:lineRule="auto"/>
        <w:rPr>
          <w:rFonts w:ascii="Calibri" w:hAnsi="Calibri" w:cs="Calibri"/>
        </w:rPr>
      </w:pPr>
      <w:r>
        <w:rPr>
          <w:rFonts w:ascii="Calibri" w:eastAsia="Avenir Next LT Pro" w:hAnsi="Calibri" w:cs="Calibri"/>
          <w:color w:val="000000"/>
          <w:sz w:val="20"/>
          <w:szCs w:val="20"/>
        </w:rPr>
        <w:t>L’environnement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 xml:space="preserve">bac à sable sera accessible à l’ensemble du réseau Internet en </w:t>
      </w:r>
      <w:r>
        <w:rPr>
          <w:rFonts w:ascii="Calibri" w:eastAsia="Avenir Next LT Pro" w:hAnsi="Calibri" w:cs="Calibri"/>
          <w:color w:val="000000"/>
          <w:spacing w:val="-2"/>
          <w:sz w:val="20"/>
          <w:szCs w:val="20"/>
        </w:rPr>
        <w:t>consultation,</w:t>
      </w:r>
      <w:r>
        <w:rPr>
          <w:rFonts w:ascii="Calibri" w:eastAsia="Avenir Next LT Pro" w:hAnsi="Calibri" w:cs="Calibri"/>
          <w:color w:val="000000"/>
          <w:sz w:val="20"/>
        </w:rPr>
        <w:tab/>
      </w:r>
      <w:r>
        <w:rPr>
          <w:rFonts w:ascii="Calibri" w:eastAsia="Avenir Next LT Pro" w:hAnsi="Calibri" w:cs="Calibri"/>
          <w:color w:val="000000"/>
          <w:spacing w:val="-4"/>
          <w:sz w:val="20"/>
          <w:szCs w:val="20"/>
        </w:rPr>
        <w:t>via</w:t>
      </w:r>
      <w:r>
        <w:rPr>
          <w:rFonts w:ascii="Calibri" w:eastAsia="Avenir Next LT Pro" w:hAnsi="Calibri" w:cs="Calibri"/>
          <w:color w:val="000000"/>
          <w:sz w:val="20"/>
        </w:rPr>
        <w:tab/>
      </w:r>
      <w:r>
        <w:rPr>
          <w:rFonts w:ascii="Calibri" w:eastAsia="Avenir Next LT Pro" w:hAnsi="Calibri" w:cs="Calibri"/>
          <w:color w:val="000000"/>
          <w:spacing w:val="-2"/>
          <w:sz w:val="20"/>
          <w:szCs w:val="20"/>
        </w:rPr>
        <w:t>l’authentification</w:t>
      </w:r>
      <w:r>
        <w:rPr>
          <w:rFonts w:ascii="Calibri" w:eastAsia="Avenir Next LT Pro" w:hAnsi="Calibri" w:cs="Calibri"/>
          <w:color w:val="000000"/>
          <w:sz w:val="20"/>
        </w:rPr>
        <w:t xml:space="preserve"> </w:t>
      </w:r>
      <w:r>
        <w:rPr>
          <w:rFonts w:ascii="Calibri" w:eastAsia="Avenir Next LT Pro" w:hAnsi="Calibri" w:cs="Calibri"/>
          <w:color w:val="000000"/>
          <w:spacing w:val="-2"/>
          <w:sz w:val="20"/>
          <w:szCs w:val="20"/>
        </w:rPr>
        <w:t>Renater</w:t>
      </w:r>
      <w:r>
        <w:rPr>
          <w:rFonts w:ascii="Calibri" w:eastAsia="Avenir Next LT Pro" w:hAnsi="Calibri" w:cs="Calibri"/>
          <w:color w:val="000000"/>
          <w:sz w:val="20"/>
        </w:rPr>
        <w:t xml:space="preserve"> </w:t>
      </w:r>
      <w:r>
        <w:rPr>
          <w:rFonts w:ascii="Calibri" w:eastAsia="Avenir Next LT Pro" w:hAnsi="Calibri" w:cs="Calibri"/>
          <w:color w:val="000000"/>
          <w:spacing w:val="-4"/>
          <w:sz w:val="20"/>
          <w:szCs w:val="20"/>
        </w:rPr>
        <w:t>pour</w:t>
      </w:r>
      <w:r>
        <w:rPr>
          <w:rFonts w:ascii="Calibri" w:eastAsia="Avenir Next LT Pro" w:hAnsi="Calibri" w:cs="Calibri"/>
          <w:color w:val="000000"/>
          <w:sz w:val="20"/>
        </w:rPr>
        <w:t xml:space="preserve"> </w:t>
      </w:r>
      <w:r>
        <w:rPr>
          <w:rFonts w:ascii="Calibri" w:eastAsia="Avenir Next LT Pro" w:hAnsi="Calibri" w:cs="Calibri"/>
          <w:color w:val="000000"/>
          <w:spacing w:val="-2"/>
          <w:sz w:val="20"/>
          <w:szCs w:val="20"/>
        </w:rPr>
        <w:t>l’édition (https://services.renater.fr/federation/index),</w:t>
      </w:r>
    </w:p>
    <w:p w14:paraId="7C45B9D6" w14:textId="77777777" w:rsidR="00ED5014" w:rsidRDefault="00ED5014" w:rsidP="00146B95">
      <w:pPr>
        <w:pStyle w:val="Titre5"/>
      </w:pPr>
      <w:r w:rsidRPr="00806662">
        <w:t>2.2.1.1.5 architecture applicative</w:t>
      </w:r>
    </w:p>
    <w:p w14:paraId="19F74B25" w14:textId="77777777" w:rsidR="00ED5014" w:rsidRPr="00ED5014" w:rsidRDefault="00ED5014" w:rsidP="00ED5014">
      <w:pPr>
        <w:tabs>
          <w:tab w:val="left" w:pos="1063"/>
        </w:tabs>
        <w:spacing w:after="120" w:line="240" w:lineRule="auto"/>
        <w:ind w:left="360"/>
        <w:rPr>
          <w:rFonts w:ascii="Calibri" w:hAnsi="Calibri" w:cs="Calibri"/>
        </w:rPr>
      </w:pPr>
      <w:r>
        <w:rPr>
          <w:rFonts w:ascii="Calibri" w:hAnsi="Calibri" w:cs="Calibri"/>
        </w:rPr>
        <w:t xml:space="preserve">L’infrastructure Geodata INRAE s’appuie sur le logiciel Open source geOrchestra. </w:t>
      </w:r>
      <w:r w:rsidRPr="00ED5014">
        <w:rPr>
          <w:rFonts w:ascii="Calibri" w:hAnsi="Calibri" w:cs="Calibri"/>
        </w:rPr>
        <w:t>Le projet geOrchestra rassemble plusieurs composants libres de premier plan, tels que:</w:t>
      </w:r>
    </w:p>
    <w:p w14:paraId="3F0A7C6B"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GeoServer</w:t>
      </w:r>
    </w:p>
    <w:p w14:paraId="1053F4A2"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GeoWebCache</w:t>
      </w:r>
    </w:p>
    <w:p w14:paraId="7FDCA392"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GeoFence</w:t>
      </w:r>
    </w:p>
    <w:p w14:paraId="4E7C0522"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GeoNetwork</w:t>
      </w:r>
    </w:p>
    <w:p w14:paraId="06DDD52D"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MapStore</w:t>
      </w:r>
    </w:p>
    <w:p w14:paraId="0747E170"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CAS</w:t>
      </w:r>
    </w:p>
    <w:p w14:paraId="6BA0411A" w14:textId="179AD998"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xml:space="preserve">… mais également des modules développés pour compléter fonctionnellement </w:t>
      </w:r>
      <w:r w:rsidR="00146B95" w:rsidRPr="00ED5014">
        <w:rPr>
          <w:rFonts w:ascii="Calibri" w:hAnsi="Calibri" w:cs="Calibri"/>
        </w:rPr>
        <w:t>l’ensemble :</w:t>
      </w:r>
    </w:p>
    <w:p w14:paraId="7DEE8438"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proxy de sécurité</w:t>
      </w:r>
    </w:p>
    <w:p w14:paraId="42534943"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console de gestion</w:t>
      </w:r>
    </w:p>
    <w:p w14:paraId="102E5EFE"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analytics</w:t>
      </w:r>
    </w:p>
    <w:p w14:paraId="5DFEECF8"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sdi-consistence-check</w:t>
      </w:r>
    </w:p>
    <w:p w14:paraId="17D5D6DD" w14:textId="77777777" w:rsidR="00ED5014" w:rsidRPr="00ED5014" w:rsidRDefault="00ED5014" w:rsidP="00ED5014">
      <w:pPr>
        <w:tabs>
          <w:tab w:val="left" w:pos="1063"/>
        </w:tabs>
        <w:spacing w:after="120" w:line="240" w:lineRule="auto"/>
        <w:ind w:left="360"/>
        <w:rPr>
          <w:rFonts w:ascii="Calibri" w:hAnsi="Calibri" w:cs="Calibri"/>
        </w:rPr>
      </w:pPr>
      <w:r w:rsidRPr="00ED5014">
        <w:rPr>
          <w:rFonts w:ascii="Calibri" w:hAnsi="Calibri" w:cs="Calibri"/>
        </w:rPr>
        <w:t>● extractorapp</w:t>
      </w:r>
    </w:p>
    <w:p w14:paraId="01A09DED" w14:textId="77777777" w:rsidR="00AC41B0" w:rsidRDefault="00ED5014" w:rsidP="00AC41B0">
      <w:pPr>
        <w:tabs>
          <w:tab w:val="left" w:pos="1063"/>
        </w:tabs>
        <w:spacing w:after="120" w:line="240" w:lineRule="auto"/>
        <w:ind w:left="360"/>
        <w:rPr>
          <w:rFonts w:ascii="Calibri" w:hAnsi="Calibri" w:cs="Calibri"/>
        </w:rPr>
      </w:pPr>
      <w:r w:rsidRPr="00ED5014">
        <w:rPr>
          <w:rFonts w:ascii="Calibri" w:hAnsi="Calibri" w:cs="Calibri"/>
        </w:rPr>
        <w:t>● datafeeder</w:t>
      </w:r>
    </w:p>
    <w:p w14:paraId="09D74513" w14:textId="77777777" w:rsidR="00ED5014" w:rsidRPr="00146B95" w:rsidRDefault="00ED5014" w:rsidP="00146B95">
      <w:pPr>
        <w:tabs>
          <w:tab w:val="left" w:pos="1063"/>
        </w:tabs>
        <w:spacing w:after="120" w:line="240" w:lineRule="auto"/>
        <w:ind w:left="360"/>
        <w:rPr>
          <w:rFonts w:ascii="Calibri" w:hAnsi="Calibri" w:cs="Calibri"/>
        </w:rPr>
      </w:pPr>
      <w:r w:rsidRPr="00ED5014">
        <w:rPr>
          <w:rFonts w:ascii="Calibri" w:hAnsi="Calibri" w:cs="Calibri"/>
        </w:rPr>
        <w:lastRenderedPageBreak/>
        <w:t>● datahub</w:t>
      </w:r>
    </w:p>
    <w:p w14:paraId="22819151" w14:textId="77777777" w:rsidR="006E7EF5" w:rsidRDefault="006E7EF5">
      <w:pPr>
        <w:spacing w:after="120" w:line="240" w:lineRule="auto"/>
        <w:rPr>
          <w:rFonts w:ascii="Calibri" w:hAnsi="Calibri" w:cs="Calibri"/>
        </w:rPr>
      </w:pPr>
    </w:p>
    <w:p w14:paraId="5FB0A43B" w14:textId="77777777" w:rsidR="006E7EF5" w:rsidRDefault="00AC41B0">
      <w:pPr>
        <w:spacing w:after="120" w:line="240" w:lineRule="auto"/>
        <w:rPr>
          <w:rFonts w:ascii="Calibri" w:hAnsi="Calibri" w:cs="Calibri"/>
        </w:rPr>
      </w:pPr>
      <w:r>
        <w:rPr>
          <w:rFonts w:ascii="Calibri" w:hAnsi="Calibri" w:cs="Calibri"/>
        </w:rPr>
        <w:t>Il est demandé au prestataire de fournir un Dossier d’architecture technique (DAT) et un Dossier d’architecture Logicielle (DAL) afin d’expliquer ressources techniques (serveurs, machines, réseaux, protocoles, etc.) et les outils et usines logicielles choisies, mises en œuvre et leurs contraintes.</w:t>
      </w:r>
    </w:p>
    <w:p w14:paraId="16995ECA" w14:textId="77777777" w:rsidR="006E7EF5" w:rsidRDefault="006E7EF5">
      <w:pPr>
        <w:spacing w:after="120" w:line="240" w:lineRule="auto"/>
        <w:rPr>
          <w:rFonts w:ascii="Calibri" w:hAnsi="Calibri" w:cs="Calibri"/>
        </w:rPr>
      </w:pPr>
    </w:p>
    <w:p w14:paraId="14D62408" w14:textId="09B89D42" w:rsidR="006E7EF5" w:rsidRDefault="00806662" w:rsidP="00146B95">
      <w:pPr>
        <w:pStyle w:val="Titre5"/>
      </w:pPr>
      <w:r>
        <w:t xml:space="preserve">2.2.1.1.6 </w:t>
      </w:r>
      <w:r w:rsidR="00AC41B0">
        <w:t>Incidents</w:t>
      </w:r>
      <w:r w:rsidR="00AC41B0">
        <w:rPr>
          <w:spacing w:val="-6"/>
        </w:rPr>
        <w:t xml:space="preserve"> </w:t>
      </w:r>
      <w:r w:rsidR="00AC41B0">
        <w:t>liés</w:t>
      </w:r>
      <w:r w:rsidR="00AC41B0">
        <w:rPr>
          <w:spacing w:val="-5"/>
        </w:rPr>
        <w:t xml:space="preserve"> </w:t>
      </w:r>
      <w:r w:rsidR="00AC41B0">
        <w:t>à</w:t>
      </w:r>
      <w:r w:rsidR="00AC41B0">
        <w:rPr>
          <w:spacing w:val="-5"/>
        </w:rPr>
        <w:t xml:space="preserve"> </w:t>
      </w:r>
      <w:r w:rsidR="00AC41B0">
        <w:t>la</w:t>
      </w:r>
      <w:r w:rsidR="00AC41B0">
        <w:rPr>
          <w:spacing w:val="-6"/>
        </w:rPr>
        <w:t xml:space="preserve"> </w:t>
      </w:r>
      <w:r w:rsidR="00AC41B0">
        <w:t>sécurité</w:t>
      </w:r>
      <w:r w:rsidR="00AC41B0">
        <w:rPr>
          <w:spacing w:val="-4"/>
        </w:rPr>
        <w:t xml:space="preserve"> </w:t>
      </w:r>
      <w:r w:rsidR="00AC41B0">
        <w:t>des</w:t>
      </w:r>
      <w:r w:rsidR="00AC41B0">
        <w:rPr>
          <w:spacing w:val="-6"/>
        </w:rPr>
        <w:t xml:space="preserve"> </w:t>
      </w:r>
      <w:r w:rsidR="00AC41B0">
        <w:t>données</w:t>
      </w:r>
      <w:r w:rsidR="00AC41B0">
        <w:rPr>
          <w:spacing w:val="-5"/>
        </w:rPr>
        <w:t xml:space="preserve"> </w:t>
      </w:r>
      <w:r w:rsidR="00AC41B0">
        <w:t>et</w:t>
      </w:r>
      <w:r w:rsidR="00AC41B0">
        <w:rPr>
          <w:spacing w:val="-7"/>
        </w:rPr>
        <w:t xml:space="preserve"> </w:t>
      </w:r>
      <w:r w:rsidR="00AC41B0">
        <w:t>des</w:t>
      </w:r>
      <w:r w:rsidR="00AC41B0">
        <w:rPr>
          <w:spacing w:val="-6"/>
        </w:rPr>
        <w:t xml:space="preserve"> </w:t>
      </w:r>
      <w:r w:rsidR="00AC41B0">
        <w:t>flux</w:t>
      </w:r>
    </w:p>
    <w:p w14:paraId="763106AB" w14:textId="77777777" w:rsidR="006E7EF5" w:rsidRDefault="00AC41B0">
      <w:pPr>
        <w:spacing w:after="120" w:line="240" w:lineRule="auto"/>
        <w:ind w:left="210" w:right="920"/>
        <w:jc w:val="both"/>
        <w:rPr>
          <w:rFonts w:ascii="Calibri" w:hAnsi="Calibri" w:cs="Calibri"/>
        </w:rPr>
      </w:pPr>
      <w:r>
        <w:rPr>
          <w:rFonts w:ascii="Calibri" w:eastAsia="Avenir Next LT Pro" w:hAnsi="Calibri" w:cs="Calibri"/>
          <w:color w:val="000000"/>
          <w:sz w:val="20"/>
          <w:szCs w:val="20"/>
        </w:rPr>
        <w:t>L’hébergeur</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doit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déclarer,</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dans</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plus</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brefs</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délais,</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tout</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incident</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mettant</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péril</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sécurité</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ou</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l’intégrité des données ou des flux d’alimentation de ces données. Ceci afin de respecter les obligations de notification des failles et violations de données personnelles dans les 72h.</w:t>
      </w:r>
    </w:p>
    <w:p w14:paraId="51D9BE10" w14:textId="77777777" w:rsidR="006E7EF5" w:rsidRDefault="00AC41B0">
      <w:pPr>
        <w:spacing w:after="120" w:line="240" w:lineRule="auto"/>
        <w:ind w:left="210" w:right="920"/>
        <w:jc w:val="both"/>
        <w:rPr>
          <w:rFonts w:ascii="Calibri" w:eastAsia="Avenir Next LT Pro" w:hAnsi="Calibri" w:cs="Calibri"/>
          <w:color w:val="000000" w:themeColor="text1"/>
          <w:sz w:val="20"/>
          <w:szCs w:val="20"/>
        </w:rPr>
      </w:pPr>
      <w:r>
        <w:rPr>
          <w:rFonts w:ascii="Calibri" w:eastAsia="Avenir Next LT Pro" w:hAnsi="Calibri" w:cs="Calibri"/>
          <w:color w:val="000000"/>
          <w:sz w:val="20"/>
          <w:szCs w:val="20"/>
        </w:rPr>
        <w:t xml:space="preserve">Le prestataire hébergeur doit s’engager à nous signaler immédiatement tout incident de ce type conformément à l’article 33 du règlement européen 2016/679 du 27 avril 2016 sur les données </w:t>
      </w:r>
      <w:r>
        <w:rPr>
          <w:rFonts w:ascii="Calibri" w:eastAsia="Avenir Next LT Pro" w:hAnsi="Calibri" w:cs="Calibri"/>
          <w:color w:val="000000"/>
          <w:spacing w:val="-2"/>
          <w:sz w:val="20"/>
          <w:szCs w:val="20"/>
        </w:rPr>
        <w:t>personnelles.</w:t>
      </w:r>
    </w:p>
    <w:p w14:paraId="295D540A" w14:textId="77777777" w:rsidR="006E7EF5" w:rsidRDefault="006E7EF5">
      <w:pPr>
        <w:spacing w:after="120" w:line="240" w:lineRule="auto"/>
        <w:ind w:left="210" w:right="920"/>
        <w:jc w:val="both"/>
        <w:rPr>
          <w:rFonts w:ascii="Calibri" w:hAnsi="Calibri" w:cs="Calibri"/>
        </w:rPr>
      </w:pPr>
    </w:p>
    <w:p w14:paraId="7C6DD082" w14:textId="77777777" w:rsidR="006E7EF5" w:rsidRDefault="00AC41B0">
      <w:pPr>
        <w:spacing w:after="120" w:line="240" w:lineRule="auto"/>
        <w:ind w:left="210" w:right="910"/>
        <w:jc w:val="both"/>
        <w:rPr>
          <w:rFonts w:ascii="Calibri" w:hAnsi="Calibri" w:cs="Calibri"/>
        </w:rPr>
      </w:pPr>
      <w:r>
        <w:rPr>
          <w:rFonts w:ascii="Calibri" w:eastAsia="Avenir Next LT Pro" w:hAnsi="Calibri" w:cs="Calibri"/>
          <w:color w:val="000000"/>
          <w:sz w:val="20"/>
          <w:szCs w:val="20"/>
        </w:rPr>
        <w:t>A la fin du marché, le titulaire devra être en capacité de restituer vers INRAE ou vers un autre titulaire désigné par INRAE, l’ensemble des éléments de la solution quel que soit leur type (logiciels, données, documents,</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etc.)</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y</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compris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archivés,</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selon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plan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réversibilité.</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Une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fois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validation</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réversibilité prononcée, il s’engage dans un délai maximum de deux mois à détruire l’intégralité des éléments propriété de INRAE, quel que soit le support sur lequel il les héberge. Il apportera la preuve de cette destruction (certificat de destruction, tout autre type de preuve attestant la destruction).</w:t>
      </w:r>
    </w:p>
    <w:p w14:paraId="1BE4F301" w14:textId="77777777" w:rsidR="006E7EF5" w:rsidRDefault="00AC41B0">
      <w:pPr>
        <w:spacing w:after="120" w:line="240" w:lineRule="auto"/>
        <w:ind w:left="210"/>
        <w:jc w:val="both"/>
        <w:rPr>
          <w:rFonts w:ascii="Calibri" w:hAnsi="Calibri" w:cs="Calibri"/>
        </w:rPr>
      </w:pPr>
      <w:r>
        <w:rPr>
          <w:rFonts w:ascii="Calibri" w:eastAsia="Avenir Next LT Pro" w:hAnsi="Calibri" w:cs="Calibri"/>
          <w:color w:val="000000"/>
          <w:sz w:val="20"/>
          <w:szCs w:val="20"/>
        </w:rPr>
        <w:t>Le</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titulaire</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fournira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notamment</w:t>
      </w:r>
      <w:r>
        <w:rPr>
          <w:rFonts w:ascii="Calibri" w:eastAsia="Avenir Next LT Pro" w:hAnsi="Calibri" w:cs="Calibri"/>
          <w:color w:val="000000"/>
          <w:spacing w:val="-10"/>
          <w:sz w:val="20"/>
          <w:szCs w:val="20"/>
        </w:rPr>
        <w:t xml:space="preserve"> :</w:t>
      </w:r>
    </w:p>
    <w:p w14:paraId="394B36DE" w14:textId="77777777" w:rsidR="006E7EF5" w:rsidRDefault="00AC41B0">
      <w:pPr>
        <w:pStyle w:val="Paragraphedeliste"/>
        <w:numPr>
          <w:ilvl w:val="0"/>
          <w:numId w:val="14"/>
        </w:numPr>
        <w:tabs>
          <w:tab w:val="left" w:pos="1063"/>
        </w:tabs>
        <w:spacing w:after="120" w:line="240" w:lineRule="auto"/>
        <w:rPr>
          <w:rFonts w:ascii="Calibri" w:hAnsi="Calibri" w:cs="Calibri"/>
        </w:rPr>
      </w:pPr>
      <w:r>
        <w:rPr>
          <w:rFonts w:ascii="Calibri" w:eastAsia="Avenir Next LT Pro" w:hAnsi="Calibri" w:cs="Calibri"/>
          <w:color w:val="000000"/>
          <w:sz w:val="20"/>
          <w:szCs w:val="20"/>
        </w:rPr>
        <w:t>Un</w:t>
      </w:r>
      <w:r>
        <w:rPr>
          <w:rFonts w:ascii="Calibri" w:eastAsia="Avenir Next LT Pro" w:hAnsi="Calibri" w:cs="Calibri"/>
          <w:color w:val="000000"/>
          <w:spacing w:val="22"/>
          <w:sz w:val="20"/>
          <w:szCs w:val="20"/>
        </w:rPr>
        <w:t xml:space="preserve"> </w:t>
      </w:r>
      <w:r>
        <w:rPr>
          <w:rFonts w:ascii="Calibri" w:eastAsia="Avenir Next LT Pro" w:hAnsi="Calibri" w:cs="Calibri"/>
          <w:color w:val="000000"/>
          <w:sz w:val="20"/>
          <w:szCs w:val="20"/>
        </w:rPr>
        <w:t>plan</w:t>
      </w:r>
      <w:r>
        <w:rPr>
          <w:rFonts w:ascii="Calibri" w:eastAsia="Avenir Next LT Pro" w:hAnsi="Calibri" w:cs="Calibri"/>
          <w:color w:val="000000"/>
          <w:spacing w:val="2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22"/>
          <w:sz w:val="20"/>
          <w:szCs w:val="20"/>
        </w:rPr>
        <w:t xml:space="preserve"> </w:t>
      </w:r>
      <w:r>
        <w:rPr>
          <w:rFonts w:ascii="Calibri" w:eastAsia="Avenir Next LT Pro" w:hAnsi="Calibri" w:cs="Calibri"/>
          <w:color w:val="000000"/>
          <w:sz w:val="20"/>
          <w:szCs w:val="20"/>
        </w:rPr>
        <w:t>réversibilité,</w:t>
      </w:r>
      <w:r>
        <w:rPr>
          <w:rFonts w:ascii="Calibri" w:eastAsia="Avenir Next LT Pro" w:hAnsi="Calibri" w:cs="Calibri"/>
          <w:color w:val="000000"/>
          <w:spacing w:val="22"/>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24"/>
          <w:sz w:val="20"/>
          <w:szCs w:val="20"/>
        </w:rPr>
        <w:t xml:space="preserve"> </w:t>
      </w:r>
      <w:r>
        <w:rPr>
          <w:rFonts w:ascii="Calibri" w:eastAsia="Avenir Next LT Pro" w:hAnsi="Calibri" w:cs="Calibri"/>
          <w:color w:val="000000"/>
          <w:sz w:val="20"/>
          <w:szCs w:val="20"/>
        </w:rPr>
        <w:t>titulaire</w:t>
      </w:r>
      <w:r>
        <w:rPr>
          <w:rFonts w:ascii="Calibri" w:eastAsia="Avenir Next LT Pro" w:hAnsi="Calibri" w:cs="Calibri"/>
          <w:color w:val="000000"/>
          <w:spacing w:val="22"/>
          <w:sz w:val="20"/>
          <w:szCs w:val="20"/>
        </w:rPr>
        <w:t xml:space="preserve"> </w:t>
      </w:r>
      <w:r>
        <w:rPr>
          <w:rFonts w:ascii="Calibri" w:eastAsia="Avenir Next LT Pro" w:hAnsi="Calibri" w:cs="Calibri"/>
          <w:color w:val="000000"/>
          <w:sz w:val="20"/>
          <w:szCs w:val="20"/>
        </w:rPr>
        <w:t>prend</w:t>
      </w:r>
      <w:r>
        <w:rPr>
          <w:rFonts w:ascii="Calibri" w:eastAsia="Avenir Next LT Pro" w:hAnsi="Calibri" w:cs="Calibri"/>
          <w:color w:val="000000"/>
          <w:spacing w:val="24"/>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22"/>
          <w:sz w:val="20"/>
          <w:szCs w:val="20"/>
        </w:rPr>
        <w:t xml:space="preserve"> </w:t>
      </w:r>
      <w:r>
        <w:rPr>
          <w:rFonts w:ascii="Calibri" w:eastAsia="Avenir Next LT Pro" w:hAnsi="Calibri" w:cs="Calibri"/>
          <w:color w:val="000000"/>
          <w:sz w:val="20"/>
          <w:szCs w:val="20"/>
        </w:rPr>
        <w:t>charge</w:t>
      </w:r>
      <w:r>
        <w:rPr>
          <w:rFonts w:ascii="Calibri" w:eastAsia="Avenir Next LT Pro" w:hAnsi="Calibri" w:cs="Calibri"/>
          <w:color w:val="000000"/>
          <w:spacing w:val="22"/>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22"/>
          <w:sz w:val="20"/>
          <w:szCs w:val="20"/>
        </w:rPr>
        <w:t xml:space="preserve"> </w:t>
      </w:r>
      <w:r>
        <w:rPr>
          <w:rFonts w:ascii="Calibri" w:eastAsia="Avenir Next LT Pro" w:hAnsi="Calibri" w:cs="Calibri"/>
          <w:color w:val="000000"/>
          <w:sz w:val="20"/>
          <w:szCs w:val="20"/>
        </w:rPr>
        <w:t>phase</w:t>
      </w:r>
      <w:r>
        <w:rPr>
          <w:rFonts w:ascii="Calibri" w:eastAsia="Avenir Next LT Pro" w:hAnsi="Calibri" w:cs="Calibri"/>
          <w:color w:val="000000"/>
          <w:spacing w:val="22"/>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24"/>
          <w:sz w:val="20"/>
          <w:szCs w:val="20"/>
        </w:rPr>
        <w:t xml:space="preserve"> </w:t>
      </w:r>
      <w:r>
        <w:rPr>
          <w:rFonts w:ascii="Calibri" w:eastAsia="Avenir Next LT Pro" w:hAnsi="Calibri" w:cs="Calibri"/>
          <w:color w:val="000000"/>
          <w:sz w:val="20"/>
          <w:szCs w:val="20"/>
        </w:rPr>
        <w:t>cadrage</w:t>
      </w:r>
      <w:r>
        <w:rPr>
          <w:rFonts w:ascii="Calibri" w:eastAsia="Avenir Next LT Pro" w:hAnsi="Calibri" w:cs="Calibri"/>
          <w:color w:val="000000"/>
          <w:spacing w:val="22"/>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24"/>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24"/>
          <w:sz w:val="20"/>
          <w:szCs w:val="20"/>
        </w:rPr>
        <w:t xml:space="preserve"> </w:t>
      </w:r>
      <w:r>
        <w:rPr>
          <w:rFonts w:ascii="Calibri" w:eastAsia="Avenir Next LT Pro" w:hAnsi="Calibri" w:cs="Calibri"/>
          <w:color w:val="000000"/>
          <w:sz w:val="20"/>
          <w:szCs w:val="20"/>
        </w:rPr>
        <w:t>réversibilité matérialisée par un plan de réversibilité qui reprendra :</w:t>
      </w:r>
    </w:p>
    <w:p w14:paraId="1584C3C2" w14:textId="77777777" w:rsidR="006E7EF5" w:rsidRDefault="00AC41B0">
      <w:pPr>
        <w:numPr>
          <w:ilvl w:val="1"/>
          <w:numId w:val="2"/>
        </w:numPr>
        <w:tabs>
          <w:tab w:val="left" w:pos="1630"/>
        </w:tabs>
        <w:spacing w:after="120" w:line="240" w:lineRule="auto"/>
        <w:rPr>
          <w:rFonts w:ascii="Calibri" w:hAnsi="Calibri" w:cs="Calibri"/>
        </w:rPr>
      </w:pPr>
      <w:r>
        <w:rPr>
          <w:rFonts w:ascii="Calibri" w:eastAsia="Avenir Next LT Pro" w:hAnsi="Calibri" w:cs="Calibri"/>
          <w:color w:val="000000"/>
          <w:sz w:val="20"/>
          <w:szCs w:val="20"/>
        </w:rPr>
        <w:t>Les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objectifs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détaillés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pacing w:val="-2"/>
          <w:sz w:val="20"/>
          <w:szCs w:val="20"/>
        </w:rPr>
        <w:t>réversibilité,</w:t>
      </w:r>
    </w:p>
    <w:p w14:paraId="2156AC8A" w14:textId="77777777" w:rsidR="006E7EF5" w:rsidRDefault="00AC41B0">
      <w:pPr>
        <w:numPr>
          <w:ilvl w:val="1"/>
          <w:numId w:val="2"/>
        </w:numPr>
        <w:tabs>
          <w:tab w:val="left" w:pos="1630"/>
        </w:tabs>
        <w:spacing w:after="120" w:line="240" w:lineRule="auto"/>
        <w:rPr>
          <w:rFonts w:ascii="Calibri" w:hAnsi="Calibri" w:cs="Calibri"/>
        </w:rPr>
      </w:pPr>
      <w:r>
        <w:rPr>
          <w:rFonts w:ascii="Calibri" w:eastAsia="Avenir Next LT Pro" w:hAnsi="Calibri" w:cs="Calibri"/>
          <w:color w:val="000000"/>
          <w:sz w:val="20"/>
          <w:szCs w:val="20"/>
        </w:rPr>
        <w:t>Les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acteurs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cibles</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par</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pacing w:val="-4"/>
          <w:sz w:val="20"/>
          <w:szCs w:val="20"/>
        </w:rPr>
        <w:t>rôle,</w:t>
      </w:r>
    </w:p>
    <w:p w14:paraId="1525F36A" w14:textId="77777777" w:rsidR="006E7EF5" w:rsidRDefault="00AC41B0">
      <w:pPr>
        <w:numPr>
          <w:ilvl w:val="1"/>
          <w:numId w:val="2"/>
        </w:numPr>
        <w:tabs>
          <w:tab w:val="left" w:pos="1630"/>
        </w:tabs>
        <w:spacing w:after="120" w:line="240" w:lineRule="auto"/>
        <w:rPr>
          <w:rFonts w:ascii="Calibri" w:hAnsi="Calibri" w:cs="Calibri"/>
        </w:rPr>
      </w:pPr>
      <w:r>
        <w:rPr>
          <w:rFonts w:ascii="Calibri" w:eastAsia="Avenir Next LT Pro" w:hAnsi="Calibri" w:cs="Calibri"/>
          <w:color w:val="000000"/>
          <w:sz w:val="20"/>
          <w:szCs w:val="20"/>
        </w:rPr>
        <w:t>Les</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travaux</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cours</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(contexte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risques,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reste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pacing w:val="-2"/>
          <w:sz w:val="20"/>
          <w:szCs w:val="20"/>
        </w:rPr>
        <w:t>faire),</w:t>
      </w:r>
    </w:p>
    <w:p w14:paraId="6BF7F5B5" w14:textId="77777777" w:rsidR="006E7EF5" w:rsidRDefault="00AC41B0">
      <w:pPr>
        <w:numPr>
          <w:ilvl w:val="1"/>
          <w:numId w:val="2"/>
        </w:numPr>
        <w:tabs>
          <w:tab w:val="left" w:pos="1630"/>
        </w:tabs>
        <w:spacing w:after="120" w:line="240" w:lineRule="auto"/>
        <w:rPr>
          <w:rFonts w:ascii="Calibri" w:hAnsi="Calibri" w:cs="Calibri"/>
        </w:rPr>
      </w:pPr>
      <w:r>
        <w:rPr>
          <w:rFonts w:ascii="Calibri" w:eastAsia="Avenir Next LT Pro" w:hAnsi="Calibri" w:cs="Calibri"/>
          <w:color w:val="000000"/>
          <w:sz w:val="20"/>
          <w:szCs w:val="20"/>
        </w:rPr>
        <w:t>La</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documentation</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référence</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solution</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ses</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composants</w:t>
      </w:r>
      <w:r>
        <w:rPr>
          <w:rFonts w:ascii="Calibri" w:eastAsia="Avenir Next LT Pro" w:hAnsi="Calibri" w:cs="Calibri"/>
          <w:color w:val="000000"/>
          <w:spacing w:val="40"/>
          <w:sz w:val="20"/>
          <w:szCs w:val="20"/>
        </w:rPr>
        <w:t xml:space="preserve"> </w:t>
      </w:r>
      <w:r>
        <w:rPr>
          <w:rFonts w:ascii="Calibri" w:eastAsia="Avenir Next LT Pro" w:hAnsi="Calibri" w:cs="Calibri"/>
          <w:color w:val="000000"/>
          <w:sz w:val="20"/>
          <w:szCs w:val="20"/>
        </w:rPr>
        <w:t>(architecture, exploitation, processus métier et applicatif, modèle de données, formation, etc),</w:t>
      </w:r>
    </w:p>
    <w:p w14:paraId="229A168B" w14:textId="77777777" w:rsidR="006E7EF5" w:rsidRDefault="00AC41B0">
      <w:pPr>
        <w:numPr>
          <w:ilvl w:val="1"/>
          <w:numId w:val="2"/>
        </w:numPr>
        <w:tabs>
          <w:tab w:val="left" w:pos="1630"/>
        </w:tabs>
        <w:spacing w:after="120" w:line="240" w:lineRule="auto"/>
        <w:rPr>
          <w:rFonts w:ascii="Calibri" w:hAnsi="Calibri" w:cs="Calibri"/>
        </w:rPr>
      </w:pPr>
      <w:r>
        <w:rPr>
          <w:rFonts w:ascii="Calibri" w:eastAsia="Avenir Next LT Pro" w:hAnsi="Calibri" w:cs="Calibri"/>
          <w:color w:val="000000"/>
          <w:sz w:val="20"/>
          <w:szCs w:val="20"/>
        </w:rPr>
        <w:t>Les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présentations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pacing w:val="-2"/>
          <w:sz w:val="20"/>
          <w:szCs w:val="20"/>
        </w:rPr>
        <w:t>effectuer,</w:t>
      </w:r>
    </w:p>
    <w:p w14:paraId="0C5F9AA8" w14:textId="77777777" w:rsidR="006E7EF5" w:rsidRDefault="00AC41B0">
      <w:pPr>
        <w:numPr>
          <w:ilvl w:val="1"/>
          <w:numId w:val="2"/>
        </w:numPr>
        <w:tabs>
          <w:tab w:val="left" w:pos="1630"/>
        </w:tabs>
        <w:spacing w:after="120" w:line="240" w:lineRule="auto"/>
        <w:rPr>
          <w:rFonts w:ascii="Calibri" w:hAnsi="Calibri" w:cs="Calibri"/>
        </w:rPr>
      </w:pPr>
      <w:r>
        <w:rPr>
          <w:rFonts w:ascii="Calibri" w:eastAsia="Avenir Next LT Pro" w:hAnsi="Calibri" w:cs="Calibri"/>
          <w:color w:val="000000"/>
          <w:sz w:val="20"/>
          <w:szCs w:val="20"/>
        </w:rPr>
        <w:t>L’organisation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période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fonctionnement</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double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pacing w:val="-5"/>
          <w:sz w:val="20"/>
          <w:szCs w:val="20"/>
        </w:rPr>
        <w:t>»,</w:t>
      </w:r>
    </w:p>
    <w:p w14:paraId="4ABCCF6F" w14:textId="77777777" w:rsidR="006E7EF5" w:rsidRDefault="00AC41B0">
      <w:pPr>
        <w:numPr>
          <w:ilvl w:val="1"/>
          <w:numId w:val="2"/>
        </w:numPr>
        <w:tabs>
          <w:tab w:val="left" w:pos="1630"/>
        </w:tabs>
        <w:spacing w:after="120" w:line="240" w:lineRule="auto"/>
        <w:rPr>
          <w:rFonts w:ascii="Calibri" w:hAnsi="Calibri" w:cs="Calibri"/>
        </w:rPr>
      </w:pPr>
      <w:r>
        <w:rPr>
          <w:rFonts w:ascii="Calibri" w:eastAsia="Avenir Next LT Pro" w:hAnsi="Calibri" w:cs="Calibri"/>
          <w:color w:val="000000"/>
          <w:sz w:val="20"/>
          <w:szCs w:val="20"/>
        </w:rPr>
        <w:t>Le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planning</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détaillé</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réalisation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pacing w:val="-2"/>
          <w:sz w:val="20"/>
          <w:szCs w:val="20"/>
        </w:rPr>
        <w:t>réversibilité,</w:t>
      </w:r>
    </w:p>
    <w:p w14:paraId="486EBC33" w14:textId="77777777" w:rsidR="006E7EF5" w:rsidRDefault="00AC41B0">
      <w:pPr>
        <w:numPr>
          <w:ilvl w:val="1"/>
          <w:numId w:val="2"/>
        </w:numPr>
        <w:tabs>
          <w:tab w:val="left" w:pos="1630"/>
        </w:tabs>
        <w:spacing w:after="120" w:line="240" w:lineRule="auto"/>
        <w:rPr>
          <w:rFonts w:ascii="Calibri" w:hAnsi="Calibri" w:cs="Calibri"/>
        </w:rPr>
      </w:pPr>
      <w:r>
        <w:rPr>
          <w:rFonts w:ascii="Calibri" w:eastAsia="Avenir Next LT Pro" w:hAnsi="Calibri" w:cs="Calibri"/>
          <w:color w:val="000000"/>
          <w:sz w:val="20"/>
          <w:szCs w:val="20"/>
        </w:rPr>
        <w:t>Les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moyens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mesure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progression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d’efficience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pacing w:val="-2"/>
          <w:sz w:val="20"/>
          <w:szCs w:val="20"/>
        </w:rPr>
        <w:t>réversibilité.</w:t>
      </w:r>
    </w:p>
    <w:p w14:paraId="5B36D96D" w14:textId="7777777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La</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documentation</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nécessaire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au</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transfert</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pacing w:val="-2"/>
          <w:sz w:val="20"/>
          <w:szCs w:val="20"/>
        </w:rPr>
        <w:t>connaissances.</w:t>
      </w:r>
    </w:p>
    <w:p w14:paraId="62400FD3" w14:textId="77777777" w:rsidR="006E7EF5" w:rsidRDefault="00AC41B0">
      <w:pPr>
        <w:tabs>
          <w:tab w:val="left" w:pos="1063"/>
        </w:tabs>
        <w:spacing w:after="120" w:line="240" w:lineRule="auto"/>
        <w:ind w:left="1062"/>
        <w:rPr>
          <w:rFonts w:ascii="Calibri" w:eastAsia="Avenir Next LT Pro" w:hAnsi="Calibri" w:cs="Calibri"/>
          <w:color w:val="000000"/>
          <w:sz w:val="20"/>
          <w:szCs w:val="20"/>
        </w:rPr>
      </w:pPr>
      <w:r>
        <w:rPr>
          <w:rFonts w:ascii="Calibri" w:eastAsia="Avenir Next LT Pro" w:hAnsi="Calibri" w:cs="Calibri"/>
          <w:color w:val="000000"/>
          <w:sz w:val="20"/>
          <w:szCs w:val="20"/>
        </w:rPr>
        <w:t> </w:t>
      </w:r>
    </w:p>
    <w:p w14:paraId="4EABFAB4" w14:textId="77777777" w:rsidR="006E7EF5" w:rsidRDefault="00AC41B0">
      <w:pPr>
        <w:rPr>
          <w:rFonts w:ascii="Calibri" w:eastAsia="Avenir Next LT Pro" w:hAnsi="Calibri" w:cs="Calibri"/>
          <w:color w:val="000000"/>
          <w:sz w:val="20"/>
          <w:szCs w:val="20"/>
        </w:rPr>
      </w:pPr>
      <w:r>
        <w:br w:type="page"/>
      </w:r>
    </w:p>
    <w:p w14:paraId="36BD9831" w14:textId="77777777" w:rsidR="006E7EF5" w:rsidRDefault="006E7EF5">
      <w:pPr>
        <w:tabs>
          <w:tab w:val="left" w:pos="1063"/>
        </w:tabs>
        <w:spacing w:after="120" w:line="240" w:lineRule="auto"/>
        <w:ind w:left="1062"/>
        <w:rPr>
          <w:rFonts w:ascii="Calibri" w:hAnsi="Calibri" w:cs="Calibri"/>
        </w:rPr>
      </w:pPr>
    </w:p>
    <w:p w14:paraId="2284709C" w14:textId="1124C97F" w:rsidR="006E7EF5" w:rsidRDefault="00AC41B0">
      <w:pPr>
        <w:pStyle w:val="Titre3"/>
        <w:spacing w:before="0" w:after="120"/>
        <w:rPr>
          <w:rFonts w:ascii="Calibri" w:hAnsi="Calibri"/>
          <w:sz w:val="24"/>
          <w:szCs w:val="24"/>
        </w:rPr>
      </w:pPr>
      <w:bookmarkStart w:id="15" w:name="_Toc219386263"/>
      <w:r>
        <w:rPr>
          <w:rFonts w:ascii="Calibri" w:hAnsi="Calibri"/>
          <w:sz w:val="24"/>
          <w:szCs w:val="24"/>
        </w:rPr>
        <w:t>Article 2.2.2 : Lot 1 - Prestations de maintenance corrective et montées de version annuelles de geOrchestra</w:t>
      </w:r>
      <w:bookmarkEnd w:id="15"/>
      <w:r>
        <w:rPr>
          <w:rFonts w:ascii="Calibri" w:hAnsi="Calibri"/>
          <w:sz w:val="24"/>
          <w:szCs w:val="24"/>
        </w:rPr>
        <w:tab/>
      </w:r>
    </w:p>
    <w:p w14:paraId="4DE0DE39" w14:textId="341E8F5F" w:rsidR="006E7EF5" w:rsidRDefault="00AC41B0">
      <w:pPr>
        <w:spacing w:after="120" w:line="240" w:lineRule="auto"/>
        <w:ind w:left="210" w:right="919"/>
        <w:rPr>
          <w:rFonts w:ascii="Calibri" w:hAnsi="Calibri" w:cs="Calibri"/>
        </w:rPr>
      </w:pPr>
      <w:r>
        <w:rPr>
          <w:rFonts w:ascii="Calibri" w:eastAsia="Avenir Next LT Pro" w:hAnsi="Calibri" w:cs="Calibri"/>
          <w:color w:val="000000"/>
          <w:sz w:val="20"/>
          <w:szCs w:val="20"/>
        </w:rPr>
        <w:t>INRAE souhaite bénéficier des montées de version annuelles de la solution geOrchestra, ainsi que toute mise à jour corrective soit publiée.</w:t>
      </w:r>
    </w:p>
    <w:p w14:paraId="46BA0A79" w14:textId="77777777" w:rsidR="006E7EF5" w:rsidRDefault="00AC41B0">
      <w:pPr>
        <w:spacing w:after="120" w:line="240" w:lineRule="auto"/>
        <w:ind w:left="210" w:right="265"/>
        <w:rPr>
          <w:rFonts w:ascii="Calibri" w:hAnsi="Calibri" w:cs="Calibri"/>
        </w:rPr>
      </w:pPr>
      <w:r>
        <w:rPr>
          <w:rFonts w:ascii="Calibri" w:eastAsia="Avenir Next LT Pro" w:hAnsi="Calibri" w:cs="Calibri"/>
          <w:color w:val="000000"/>
          <w:sz w:val="20"/>
          <w:szCs w:val="20"/>
        </w:rPr>
        <w:t>De</w:t>
      </w:r>
      <w:r>
        <w:rPr>
          <w:rFonts w:ascii="Calibri" w:eastAsia="Avenir Next LT Pro" w:hAnsi="Calibri" w:cs="Calibri"/>
          <w:color w:val="000000"/>
          <w:spacing w:val="28"/>
          <w:sz w:val="20"/>
          <w:szCs w:val="20"/>
        </w:rPr>
        <w:t xml:space="preserve"> </w:t>
      </w:r>
      <w:r>
        <w:rPr>
          <w:rFonts w:ascii="Calibri" w:eastAsia="Avenir Next LT Pro" w:hAnsi="Calibri" w:cs="Calibri"/>
          <w:color w:val="000000"/>
          <w:sz w:val="20"/>
          <w:szCs w:val="20"/>
        </w:rPr>
        <w:t>même,</w:t>
      </w:r>
      <w:r>
        <w:rPr>
          <w:rFonts w:ascii="Calibri" w:eastAsia="Avenir Next LT Pro" w:hAnsi="Calibri" w:cs="Calibri"/>
          <w:color w:val="000000"/>
          <w:spacing w:val="28"/>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28"/>
          <w:sz w:val="20"/>
          <w:szCs w:val="20"/>
        </w:rPr>
        <w:t xml:space="preserve"> </w:t>
      </w:r>
      <w:r>
        <w:rPr>
          <w:rFonts w:ascii="Calibri" w:eastAsia="Avenir Next LT Pro" w:hAnsi="Calibri" w:cs="Calibri"/>
          <w:color w:val="000000"/>
          <w:sz w:val="20"/>
          <w:szCs w:val="20"/>
        </w:rPr>
        <w:t>cas</w:t>
      </w:r>
      <w:r>
        <w:rPr>
          <w:rFonts w:ascii="Calibri" w:eastAsia="Avenir Next LT Pro" w:hAnsi="Calibri" w:cs="Calibri"/>
          <w:color w:val="000000"/>
          <w:spacing w:val="2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31"/>
          <w:sz w:val="20"/>
          <w:szCs w:val="20"/>
        </w:rPr>
        <w:t xml:space="preserve"> </w:t>
      </w:r>
      <w:r>
        <w:rPr>
          <w:rFonts w:ascii="Calibri" w:eastAsia="Avenir Next LT Pro" w:hAnsi="Calibri" w:cs="Calibri"/>
          <w:color w:val="000000"/>
          <w:sz w:val="20"/>
          <w:szCs w:val="20"/>
        </w:rPr>
        <w:t>dysfonctionnement</w:t>
      </w:r>
      <w:r>
        <w:rPr>
          <w:rFonts w:ascii="Calibri" w:eastAsia="Avenir Next LT Pro" w:hAnsi="Calibri" w:cs="Calibri"/>
          <w:color w:val="000000"/>
          <w:spacing w:val="28"/>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31"/>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28"/>
          <w:sz w:val="20"/>
          <w:szCs w:val="20"/>
        </w:rPr>
        <w:t xml:space="preserve"> </w:t>
      </w:r>
      <w:r>
        <w:rPr>
          <w:rFonts w:ascii="Calibri" w:eastAsia="Avenir Next LT Pro" w:hAnsi="Calibri" w:cs="Calibri"/>
          <w:color w:val="000000"/>
          <w:sz w:val="20"/>
          <w:szCs w:val="20"/>
        </w:rPr>
        <w:t>solution,</w:t>
      </w:r>
      <w:r>
        <w:rPr>
          <w:rFonts w:ascii="Calibri" w:eastAsia="Avenir Next LT Pro" w:hAnsi="Calibri" w:cs="Calibri"/>
          <w:color w:val="000000"/>
          <w:spacing w:val="28"/>
          <w:sz w:val="20"/>
          <w:szCs w:val="20"/>
        </w:rPr>
        <w:t xml:space="preserve"> </w:t>
      </w:r>
      <w:r>
        <w:rPr>
          <w:rFonts w:ascii="Calibri" w:eastAsia="Avenir Next LT Pro" w:hAnsi="Calibri" w:cs="Calibri"/>
          <w:color w:val="000000"/>
          <w:sz w:val="20"/>
          <w:szCs w:val="20"/>
        </w:rPr>
        <w:t>INRAE</w:t>
      </w:r>
      <w:r>
        <w:rPr>
          <w:rFonts w:ascii="Calibri" w:eastAsia="Avenir Next LT Pro" w:hAnsi="Calibri" w:cs="Calibri"/>
          <w:color w:val="000000"/>
          <w:spacing w:val="28"/>
          <w:sz w:val="20"/>
          <w:szCs w:val="20"/>
        </w:rPr>
        <w:t xml:space="preserve"> </w:t>
      </w:r>
      <w:r>
        <w:rPr>
          <w:rFonts w:ascii="Calibri" w:eastAsia="Avenir Next LT Pro" w:hAnsi="Calibri" w:cs="Calibri"/>
          <w:color w:val="000000"/>
          <w:sz w:val="20"/>
          <w:szCs w:val="20"/>
        </w:rPr>
        <w:t>souhaite</w:t>
      </w:r>
      <w:r>
        <w:rPr>
          <w:rFonts w:ascii="Calibri" w:eastAsia="Avenir Next LT Pro" w:hAnsi="Calibri" w:cs="Calibri"/>
          <w:color w:val="000000"/>
          <w:spacing w:val="30"/>
          <w:sz w:val="20"/>
          <w:szCs w:val="20"/>
        </w:rPr>
        <w:t xml:space="preserve"> </w:t>
      </w:r>
      <w:r>
        <w:rPr>
          <w:rFonts w:ascii="Calibri" w:eastAsia="Avenir Next LT Pro" w:hAnsi="Calibri" w:cs="Calibri"/>
          <w:color w:val="000000"/>
          <w:sz w:val="20"/>
          <w:szCs w:val="20"/>
        </w:rPr>
        <w:t>disposer</w:t>
      </w:r>
      <w:r>
        <w:rPr>
          <w:rFonts w:ascii="Calibri" w:eastAsia="Avenir Next LT Pro" w:hAnsi="Calibri" w:cs="Calibri"/>
          <w:color w:val="000000"/>
          <w:spacing w:val="29"/>
          <w:sz w:val="20"/>
          <w:szCs w:val="20"/>
        </w:rPr>
        <w:t xml:space="preserve"> </w:t>
      </w:r>
      <w:r>
        <w:rPr>
          <w:rFonts w:ascii="Calibri" w:eastAsia="Avenir Next LT Pro" w:hAnsi="Calibri" w:cs="Calibri"/>
          <w:color w:val="000000"/>
          <w:sz w:val="20"/>
          <w:szCs w:val="20"/>
        </w:rPr>
        <w:t>d’une</w:t>
      </w:r>
      <w:r>
        <w:rPr>
          <w:rFonts w:ascii="Calibri" w:eastAsia="Avenir Next LT Pro" w:hAnsi="Calibri" w:cs="Calibri"/>
          <w:color w:val="000000"/>
          <w:spacing w:val="30"/>
          <w:sz w:val="20"/>
          <w:szCs w:val="20"/>
        </w:rPr>
        <w:t xml:space="preserve"> </w:t>
      </w:r>
      <w:r>
        <w:rPr>
          <w:rFonts w:ascii="Calibri" w:eastAsia="Avenir Next LT Pro" w:hAnsi="Calibri" w:cs="Calibri"/>
          <w:color w:val="000000"/>
          <w:sz w:val="20"/>
          <w:szCs w:val="20"/>
        </w:rPr>
        <w:t xml:space="preserve">assistance- </w:t>
      </w:r>
      <w:r>
        <w:rPr>
          <w:rFonts w:ascii="Calibri" w:eastAsia="Avenir Next LT Pro" w:hAnsi="Calibri" w:cs="Calibri"/>
          <w:color w:val="000000"/>
          <w:spacing w:val="-2"/>
          <w:sz w:val="20"/>
          <w:szCs w:val="20"/>
        </w:rPr>
        <w:t>support.</w:t>
      </w:r>
    </w:p>
    <w:p w14:paraId="6A308EA9" w14:textId="77777777" w:rsidR="006E7EF5" w:rsidRDefault="00AC41B0">
      <w:pPr>
        <w:spacing w:after="120" w:line="240" w:lineRule="auto"/>
        <w:ind w:left="210" w:right="919"/>
        <w:rPr>
          <w:rFonts w:ascii="Calibri" w:hAnsi="Calibri" w:cs="Calibri"/>
        </w:rPr>
      </w:pPr>
      <w:r>
        <w:rPr>
          <w:rFonts w:ascii="Calibri" w:eastAsia="Avenir Next LT Pro" w:hAnsi="Calibri" w:cs="Calibri"/>
          <w:color w:val="000000"/>
          <w:sz w:val="20"/>
          <w:szCs w:val="20"/>
        </w:rPr>
        <w:t>La</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maintenance</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corrective</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support</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visent</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garantir</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un</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niveau</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service</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de qualité</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tout</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au</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long</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de la vie du service GeoData INRAE.</w:t>
      </w:r>
    </w:p>
    <w:p w14:paraId="63DDC6E7" w14:textId="77777777" w:rsidR="006E7EF5" w:rsidRDefault="00AC41B0">
      <w:pPr>
        <w:spacing w:after="120" w:line="240" w:lineRule="auto"/>
        <w:ind w:left="210" w:right="1313"/>
        <w:rPr>
          <w:rFonts w:ascii="Calibri" w:hAnsi="Calibri" w:cs="Calibri"/>
        </w:rPr>
      </w:pPr>
      <w:r>
        <w:rPr>
          <w:rFonts w:ascii="Calibri" w:eastAsia="Avenir Next LT Pro" w:hAnsi="Calibri" w:cs="Calibri"/>
          <w:color w:val="000000"/>
          <w:sz w:val="20"/>
          <w:szCs w:val="20"/>
          <w:u w:val="single"/>
        </w:rPr>
        <w:t>L’assistance-support</w:t>
      </w:r>
      <w:r>
        <w:rPr>
          <w:rFonts w:ascii="Calibri" w:eastAsia="Avenir Next LT Pro" w:hAnsi="Calibri" w:cs="Calibri"/>
          <w:color w:val="000000"/>
          <w:sz w:val="20"/>
          <w:szCs w:val="20"/>
        </w:rPr>
        <w:t xml:space="preserve"> comprend :</w:t>
      </w:r>
    </w:p>
    <w:p w14:paraId="4E248022" w14:textId="7777777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L’accueil</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l’enregistrement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pacing w:val="-2"/>
          <w:sz w:val="20"/>
          <w:szCs w:val="20"/>
        </w:rPr>
        <w:t>demande</w:t>
      </w:r>
    </w:p>
    <w:p w14:paraId="695467A0" w14:textId="7777777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La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qualification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demande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notamment</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sa</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priorisation</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bloquant,</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majeur,</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pacing w:val="-2"/>
          <w:sz w:val="20"/>
          <w:szCs w:val="20"/>
        </w:rPr>
        <w:t>mineur</w:t>
      </w:r>
    </w:p>
    <w:p w14:paraId="661845B5" w14:textId="7777777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Le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diagnostic</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pacing w:val="-2"/>
          <w:sz w:val="20"/>
          <w:szCs w:val="20"/>
        </w:rPr>
        <w:t>demande</w:t>
      </w:r>
    </w:p>
    <w:p w14:paraId="4C370FC3" w14:textId="7777777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La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résolution</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pacing w:val="-2"/>
          <w:sz w:val="20"/>
          <w:szCs w:val="20"/>
        </w:rPr>
        <w:t>demandes</w:t>
      </w:r>
    </w:p>
    <w:p w14:paraId="776491F7" w14:textId="7777777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L’escalade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autres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demandes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au</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support</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niveau</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pacing w:val="-10"/>
          <w:sz w:val="20"/>
          <w:szCs w:val="20"/>
        </w:rPr>
        <w:t>2</w:t>
      </w:r>
    </w:p>
    <w:p w14:paraId="6840A0AC" w14:textId="77777777" w:rsidR="006E7EF5" w:rsidRDefault="00AC41B0">
      <w:pPr>
        <w:spacing w:after="120" w:line="240" w:lineRule="auto"/>
        <w:rPr>
          <w:rFonts w:ascii="Calibri" w:hAnsi="Calibri" w:cs="Calibri"/>
        </w:rPr>
      </w:pPr>
      <w:r>
        <w:rPr>
          <w:rFonts w:ascii="Calibri" w:eastAsia="Avenir Next LT Pro" w:hAnsi="Calibri" w:cs="Calibri"/>
          <w:color w:val="000000"/>
        </w:rPr>
        <w:t> </w:t>
      </w:r>
    </w:p>
    <w:p w14:paraId="1260CEB6" w14:textId="77777777" w:rsidR="006E7EF5" w:rsidRDefault="00AC41B0">
      <w:pPr>
        <w:spacing w:after="120" w:line="240" w:lineRule="auto"/>
        <w:ind w:left="210"/>
        <w:rPr>
          <w:rFonts w:ascii="Calibri" w:hAnsi="Calibri" w:cs="Calibri"/>
        </w:rPr>
      </w:pPr>
      <w:r>
        <w:rPr>
          <w:rFonts w:ascii="Calibri" w:eastAsia="Avenir Next LT Pro" w:hAnsi="Calibri" w:cs="Calibri"/>
          <w:color w:val="000000"/>
          <w:sz w:val="20"/>
          <w:szCs w:val="20"/>
          <w:u w:val="single"/>
        </w:rPr>
        <w:t>Définition</w:t>
      </w:r>
      <w:r>
        <w:rPr>
          <w:rFonts w:ascii="Calibri" w:eastAsia="Avenir Next LT Pro" w:hAnsi="Calibri" w:cs="Calibri"/>
          <w:color w:val="000000"/>
          <w:spacing w:val="-7"/>
          <w:sz w:val="20"/>
          <w:szCs w:val="20"/>
          <w:u w:val="single"/>
        </w:rPr>
        <w:t xml:space="preserve"> </w:t>
      </w:r>
      <w:r>
        <w:rPr>
          <w:rFonts w:ascii="Calibri" w:eastAsia="Avenir Next LT Pro" w:hAnsi="Calibri" w:cs="Calibri"/>
          <w:color w:val="000000"/>
          <w:sz w:val="20"/>
          <w:szCs w:val="20"/>
          <w:u w:val="single"/>
        </w:rPr>
        <w:t>des</w:t>
      </w:r>
      <w:r>
        <w:rPr>
          <w:rFonts w:ascii="Calibri" w:eastAsia="Avenir Next LT Pro" w:hAnsi="Calibri" w:cs="Calibri"/>
          <w:color w:val="000000"/>
          <w:spacing w:val="-8"/>
          <w:sz w:val="20"/>
          <w:szCs w:val="20"/>
          <w:u w:val="single"/>
        </w:rPr>
        <w:t xml:space="preserve"> </w:t>
      </w:r>
      <w:r>
        <w:rPr>
          <w:rFonts w:ascii="Calibri" w:eastAsia="Avenir Next LT Pro" w:hAnsi="Calibri" w:cs="Calibri"/>
          <w:color w:val="000000"/>
          <w:sz w:val="20"/>
          <w:szCs w:val="20"/>
          <w:u w:val="single"/>
        </w:rPr>
        <w:t>urgences</w:t>
      </w:r>
      <w:r>
        <w:rPr>
          <w:rFonts w:ascii="Calibri" w:eastAsia="Avenir Next LT Pro" w:hAnsi="Calibri" w:cs="Calibri"/>
          <w:color w:val="000000"/>
          <w:spacing w:val="-7"/>
          <w:sz w:val="20"/>
          <w:szCs w:val="20"/>
          <w:u w:val="single"/>
        </w:rPr>
        <w:t xml:space="preserve"> </w:t>
      </w:r>
      <w:r>
        <w:rPr>
          <w:rFonts w:ascii="Calibri" w:eastAsia="Avenir Next LT Pro" w:hAnsi="Calibri" w:cs="Calibri"/>
          <w:color w:val="000000"/>
          <w:sz w:val="20"/>
          <w:szCs w:val="20"/>
          <w:u w:val="single"/>
        </w:rPr>
        <w:t>/</w:t>
      </w:r>
      <w:r>
        <w:rPr>
          <w:rFonts w:ascii="Calibri" w:eastAsia="Avenir Next LT Pro" w:hAnsi="Calibri" w:cs="Calibri"/>
          <w:color w:val="000000"/>
          <w:spacing w:val="-7"/>
          <w:sz w:val="20"/>
          <w:szCs w:val="20"/>
          <w:u w:val="single"/>
        </w:rPr>
        <w:t xml:space="preserve"> </w:t>
      </w:r>
      <w:r>
        <w:rPr>
          <w:rFonts w:ascii="Calibri" w:eastAsia="Avenir Next LT Pro" w:hAnsi="Calibri" w:cs="Calibri"/>
          <w:color w:val="000000"/>
          <w:spacing w:val="-2"/>
          <w:sz w:val="20"/>
          <w:szCs w:val="20"/>
          <w:u w:val="single"/>
        </w:rPr>
        <w:t>priorités</w:t>
      </w:r>
    </w:p>
    <w:p w14:paraId="26E6E8FF" w14:textId="77777777" w:rsidR="006E7EF5" w:rsidRDefault="00AC41B0">
      <w:pPr>
        <w:spacing w:after="120" w:line="240" w:lineRule="auto"/>
        <w:ind w:left="210"/>
        <w:rPr>
          <w:rFonts w:ascii="Calibri" w:hAnsi="Calibri" w:cs="Calibri"/>
        </w:rPr>
      </w:pPr>
      <w:r>
        <w:rPr>
          <w:rFonts w:ascii="Calibri" w:eastAsia="Avenir Next LT Pro" w:hAnsi="Calibri" w:cs="Calibri"/>
          <w:color w:val="000000"/>
          <w:sz w:val="20"/>
          <w:szCs w:val="20"/>
        </w:rPr>
        <w:t>Toute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demande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formulée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toute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anomalie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prend</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l’une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3</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qualifications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suivantes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définie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par</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pacing w:val="-2"/>
          <w:sz w:val="20"/>
          <w:szCs w:val="20"/>
        </w:rPr>
        <w:t>INRAE</w:t>
      </w:r>
    </w:p>
    <w:p w14:paraId="0385400E" w14:textId="77777777" w:rsidR="006E7EF5" w:rsidRDefault="00AC41B0">
      <w:pPr>
        <w:spacing w:after="120" w:line="240" w:lineRule="auto"/>
        <w:ind w:left="210"/>
        <w:rPr>
          <w:rFonts w:ascii="Calibri" w:hAnsi="Calibri" w:cs="Calibri"/>
        </w:rPr>
      </w:pPr>
      <w:r>
        <w:rPr>
          <w:rFonts w:ascii="Calibri" w:eastAsia="Avenir Next LT Pro" w:hAnsi="Calibri" w:cs="Calibri"/>
          <w:color w:val="000000"/>
          <w:sz w:val="20"/>
          <w:szCs w:val="20"/>
        </w:rPr>
        <w:t>:</w:t>
      </w:r>
    </w:p>
    <w:p w14:paraId="29F6FC27" w14:textId="77777777" w:rsidR="006E7EF5" w:rsidRDefault="00AC41B0">
      <w:pPr>
        <w:numPr>
          <w:ilvl w:val="0"/>
          <w:numId w:val="2"/>
        </w:numPr>
        <w:tabs>
          <w:tab w:val="left" w:pos="1063"/>
        </w:tabs>
        <w:spacing w:after="120" w:line="240" w:lineRule="auto"/>
        <w:jc w:val="both"/>
        <w:rPr>
          <w:rFonts w:ascii="Calibri" w:hAnsi="Calibri" w:cs="Calibri"/>
        </w:rPr>
      </w:pPr>
      <w:r>
        <w:rPr>
          <w:rFonts w:ascii="Calibri" w:eastAsia="Avenir Next LT Pro" w:hAnsi="Calibri" w:cs="Calibri"/>
          <w:color w:val="000000"/>
          <w:sz w:val="20"/>
          <w:szCs w:val="20"/>
        </w:rPr>
        <w:t>Bloquant/Urgent : les incidents détectés rendant une activité impossible sur un processus métier critique (ou entraînent des pertes de données de nature à empêcher son exploitation) ou impactent lourdement les engagements de service. Ce caractère de bloquant est donné si aucune solution de contournement ne peut être identifiée.</w:t>
      </w:r>
    </w:p>
    <w:p w14:paraId="03343E50" w14:textId="77777777" w:rsidR="006E7EF5" w:rsidRDefault="00AC41B0">
      <w:pPr>
        <w:numPr>
          <w:ilvl w:val="0"/>
          <w:numId w:val="2"/>
        </w:numPr>
        <w:tabs>
          <w:tab w:val="left" w:pos="1063"/>
        </w:tabs>
        <w:spacing w:after="120" w:line="240" w:lineRule="auto"/>
        <w:jc w:val="both"/>
        <w:rPr>
          <w:rFonts w:ascii="Calibri" w:hAnsi="Calibri" w:cs="Calibri"/>
        </w:rPr>
      </w:pPr>
      <w:r>
        <w:rPr>
          <w:rFonts w:ascii="Calibri" w:eastAsia="Avenir Next LT Pro" w:hAnsi="Calibri" w:cs="Calibri"/>
          <w:color w:val="000000"/>
          <w:sz w:val="20"/>
          <w:szCs w:val="20"/>
        </w:rPr>
        <w:t>Majeur/Nécessaire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répercussions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sur</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fonctionnement</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solution,</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qualité</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service représentent une gêne mais permettent néanmoins un fonctionnement partiel de la Solution.</w:t>
      </w:r>
    </w:p>
    <w:p w14:paraId="064723E3" w14:textId="77777777" w:rsidR="006E7EF5" w:rsidRDefault="00AC41B0">
      <w:pPr>
        <w:numPr>
          <w:ilvl w:val="0"/>
          <w:numId w:val="2"/>
        </w:numPr>
        <w:tabs>
          <w:tab w:val="left" w:pos="1063"/>
        </w:tabs>
        <w:spacing w:after="120" w:line="240" w:lineRule="auto"/>
        <w:jc w:val="both"/>
        <w:rPr>
          <w:rFonts w:ascii="Calibri" w:hAnsi="Calibri" w:cs="Calibri"/>
        </w:rPr>
      </w:pPr>
      <w:r>
        <w:rPr>
          <w:rFonts w:ascii="Calibri" w:eastAsia="Avenir Next LT Pro" w:hAnsi="Calibri" w:cs="Calibri"/>
          <w:color w:val="000000"/>
          <w:sz w:val="20"/>
          <w:szCs w:val="20"/>
        </w:rPr>
        <w:t>Mineur/Souhaitable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tout</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cas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autre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que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ceux</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cités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ci-dessus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avec</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un</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niveau</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d’impact</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pacing w:val="-2"/>
          <w:sz w:val="20"/>
          <w:szCs w:val="20"/>
        </w:rPr>
        <w:t>faible.</w:t>
      </w:r>
    </w:p>
    <w:p w14:paraId="72385E02" w14:textId="77777777" w:rsidR="006E7EF5" w:rsidRDefault="006E7EF5">
      <w:pPr>
        <w:tabs>
          <w:tab w:val="left" w:pos="1063"/>
        </w:tabs>
        <w:spacing w:after="120" w:line="240" w:lineRule="auto"/>
        <w:jc w:val="both"/>
        <w:rPr>
          <w:rFonts w:ascii="Calibri" w:hAnsi="Calibri" w:cs="Calibri"/>
        </w:rPr>
      </w:pPr>
    </w:p>
    <w:p w14:paraId="777B5971" w14:textId="77777777" w:rsidR="006E7EF5" w:rsidRDefault="00AC41B0">
      <w:pPr>
        <w:tabs>
          <w:tab w:val="left" w:pos="1063"/>
        </w:tabs>
        <w:spacing w:after="120" w:line="240" w:lineRule="auto"/>
        <w:jc w:val="both"/>
        <w:rPr>
          <w:rFonts w:ascii="Calibri" w:hAnsi="Calibri" w:cs="Calibri"/>
          <w:u w:val="single"/>
        </w:rPr>
      </w:pPr>
      <w:r>
        <w:rPr>
          <w:rFonts w:ascii="Calibri" w:hAnsi="Calibri" w:cs="Calibri"/>
          <w:u w:val="single"/>
        </w:rPr>
        <w:t>Suivi des interactions</w:t>
      </w:r>
    </w:p>
    <w:p w14:paraId="12B53D57" w14:textId="6C92F916" w:rsidR="006E7EF5" w:rsidRDefault="00AC41B0">
      <w:pPr>
        <w:tabs>
          <w:tab w:val="left" w:pos="1063"/>
        </w:tabs>
        <w:spacing w:after="120" w:line="240" w:lineRule="auto"/>
        <w:jc w:val="both"/>
        <w:rPr>
          <w:rFonts w:ascii="Calibri" w:hAnsi="Calibri" w:cs="Calibri"/>
          <w:u w:val="single"/>
        </w:rPr>
      </w:pPr>
      <w:r>
        <w:rPr>
          <w:rFonts w:ascii="Calibri" w:hAnsi="Calibri" w:cs="Calibri"/>
          <w:u w:val="single"/>
        </w:rPr>
        <w:t xml:space="preserve">INRAE souhaite pouvoir intéragir le plus facilement possible avec le </w:t>
      </w:r>
      <w:r w:rsidR="00ED5014">
        <w:rPr>
          <w:rFonts w:ascii="Calibri" w:hAnsi="Calibri" w:cs="Calibri"/>
          <w:u w:val="single"/>
        </w:rPr>
        <w:t>titulaire</w:t>
      </w:r>
      <w:r>
        <w:rPr>
          <w:rFonts w:ascii="Calibri" w:hAnsi="Calibri" w:cs="Calibri"/>
          <w:u w:val="single"/>
        </w:rPr>
        <w:t xml:space="preserve">, soit en utilisant uniquement les outils </w:t>
      </w:r>
      <w:r w:rsidR="00ED5014">
        <w:rPr>
          <w:rFonts w:ascii="Calibri" w:hAnsi="Calibri" w:cs="Calibri"/>
          <w:u w:val="single"/>
        </w:rPr>
        <w:t>INRAE</w:t>
      </w:r>
      <w:r>
        <w:rPr>
          <w:rFonts w:ascii="Calibri" w:hAnsi="Calibri" w:cs="Calibri"/>
          <w:u w:val="single"/>
        </w:rPr>
        <w:t xml:space="preserve"> (</w:t>
      </w:r>
      <w:r w:rsidR="00ED5014">
        <w:rPr>
          <w:rFonts w:ascii="Calibri" w:hAnsi="Calibri" w:cs="Calibri"/>
          <w:u w:val="single"/>
        </w:rPr>
        <w:t>ITSM et outil de chat INRAE</w:t>
      </w:r>
      <w:r>
        <w:rPr>
          <w:rFonts w:ascii="Calibri" w:hAnsi="Calibri" w:cs="Calibri"/>
          <w:u w:val="single"/>
        </w:rPr>
        <w:t xml:space="preserve">), soit en disposant d’au moins 20 comptes utilisateurs sur l’outil du </w:t>
      </w:r>
      <w:r w:rsidR="00ED5014">
        <w:rPr>
          <w:rFonts w:ascii="Calibri" w:hAnsi="Calibri" w:cs="Calibri"/>
          <w:u w:val="single"/>
        </w:rPr>
        <w:t>titulaire.</w:t>
      </w:r>
    </w:p>
    <w:p w14:paraId="4DFEDCA4" w14:textId="77777777" w:rsidR="006E7EF5" w:rsidRDefault="00AC41B0">
      <w:pPr>
        <w:tabs>
          <w:tab w:val="left" w:pos="1063"/>
        </w:tabs>
        <w:spacing w:after="120" w:line="240" w:lineRule="auto"/>
        <w:jc w:val="both"/>
      </w:pPr>
      <w:r>
        <w:rPr>
          <w:rFonts w:ascii="Calibri" w:eastAsia="Avenir Next LT Pro" w:hAnsi="Calibri" w:cs="Calibri"/>
          <w:color w:val="000000"/>
          <w:spacing w:val="-2"/>
          <w:sz w:val="20"/>
          <w:szCs w:val="20"/>
        </w:rPr>
        <w:t>Non-régression</w:t>
      </w:r>
    </w:p>
    <w:p w14:paraId="5DF69859" w14:textId="761C3EF0" w:rsidR="006E7EF5" w:rsidRDefault="00AC41B0">
      <w:pPr>
        <w:spacing w:after="120" w:line="240" w:lineRule="auto"/>
        <w:rPr>
          <w:rFonts w:ascii="Calibri" w:hAnsi="Calibri" w:cs="Calibri"/>
        </w:rPr>
      </w:pPr>
      <w:r>
        <w:rPr>
          <w:rFonts w:ascii="Calibri" w:eastAsia="Avenir Next LT Pro" w:hAnsi="Calibri" w:cs="Calibri"/>
          <w:color w:val="000000"/>
          <w:spacing w:val="-2"/>
          <w:sz w:val="20"/>
          <w:szCs w:val="20"/>
        </w:rPr>
        <w:t xml:space="preserve">Le titulaire doit s’assurer de la non régression des composants de base de geOrchestra (cités en </w:t>
      </w:r>
      <w:r w:rsidRPr="00C21B2F">
        <w:rPr>
          <w:rFonts w:ascii="Calibri" w:hAnsi="Calibri" w:cs="Calibri"/>
        </w:rPr>
        <w:t>2.2.1.1.5 architecture applicative</w:t>
      </w:r>
      <w:r>
        <w:rPr>
          <w:rFonts w:ascii="Calibri" w:eastAsia="Avenir Next LT Pro" w:hAnsi="Calibri" w:cs="Calibri"/>
          <w:color w:val="000000"/>
          <w:spacing w:val="-2"/>
          <w:sz w:val="20"/>
          <w:szCs w:val="20"/>
        </w:rPr>
        <w:t>) notamment de Geonetwork et de Geoserver, de même qu’une isofonctionnalité de ces logiciels avec les versions publiques courantes, sur les fonctionnalités non spécifiques à INRAE.</w:t>
      </w:r>
    </w:p>
    <w:p w14:paraId="583F744F" w14:textId="77777777" w:rsidR="006E7EF5" w:rsidRDefault="00AC41B0">
      <w:pPr>
        <w:spacing w:after="120" w:line="240" w:lineRule="auto"/>
        <w:ind w:left="210"/>
        <w:rPr>
          <w:rFonts w:ascii="Calibri" w:eastAsia="Avenir Next LT Pro" w:hAnsi="Calibri" w:cs="Calibri"/>
          <w:color w:val="000000"/>
          <w:spacing w:val="-2"/>
          <w:sz w:val="20"/>
          <w:szCs w:val="20"/>
          <w:u w:val="single"/>
        </w:rPr>
      </w:pPr>
      <w:r>
        <w:rPr>
          <w:rFonts w:ascii="Calibri" w:eastAsia="Avenir Next LT Pro" w:hAnsi="Calibri" w:cs="Calibri"/>
          <w:color w:val="000000"/>
          <w:sz w:val="20"/>
          <w:szCs w:val="20"/>
          <w:u w:val="single"/>
        </w:rPr>
        <w:t>Disponibilité</w:t>
      </w:r>
      <w:r>
        <w:rPr>
          <w:rFonts w:ascii="Calibri" w:eastAsia="Avenir Next LT Pro" w:hAnsi="Calibri" w:cs="Calibri"/>
          <w:color w:val="000000"/>
          <w:spacing w:val="-7"/>
          <w:sz w:val="20"/>
          <w:szCs w:val="20"/>
          <w:u w:val="single"/>
        </w:rPr>
        <w:t xml:space="preserve"> </w:t>
      </w:r>
      <w:r>
        <w:rPr>
          <w:rFonts w:ascii="Calibri" w:eastAsia="Avenir Next LT Pro" w:hAnsi="Calibri" w:cs="Calibri"/>
          <w:color w:val="000000"/>
          <w:sz w:val="20"/>
          <w:szCs w:val="20"/>
          <w:u w:val="single"/>
        </w:rPr>
        <w:t>et</w:t>
      </w:r>
      <w:r>
        <w:rPr>
          <w:rFonts w:ascii="Calibri" w:eastAsia="Avenir Next LT Pro" w:hAnsi="Calibri" w:cs="Calibri"/>
          <w:color w:val="000000"/>
          <w:spacing w:val="-9"/>
          <w:sz w:val="20"/>
          <w:szCs w:val="20"/>
          <w:u w:val="single"/>
        </w:rPr>
        <w:t xml:space="preserve"> </w:t>
      </w:r>
      <w:r>
        <w:rPr>
          <w:rFonts w:ascii="Calibri" w:eastAsia="Avenir Next LT Pro" w:hAnsi="Calibri" w:cs="Calibri"/>
          <w:color w:val="000000"/>
          <w:sz w:val="20"/>
          <w:szCs w:val="20"/>
          <w:u w:val="single"/>
        </w:rPr>
        <w:t>qualité</w:t>
      </w:r>
      <w:r>
        <w:rPr>
          <w:rFonts w:ascii="Calibri" w:eastAsia="Avenir Next LT Pro" w:hAnsi="Calibri" w:cs="Calibri"/>
          <w:color w:val="000000"/>
          <w:spacing w:val="-8"/>
          <w:sz w:val="20"/>
          <w:szCs w:val="20"/>
          <w:u w:val="single"/>
        </w:rPr>
        <w:t xml:space="preserve"> </w:t>
      </w:r>
      <w:r>
        <w:rPr>
          <w:rFonts w:ascii="Calibri" w:eastAsia="Avenir Next LT Pro" w:hAnsi="Calibri" w:cs="Calibri"/>
          <w:color w:val="000000"/>
          <w:sz w:val="20"/>
          <w:szCs w:val="20"/>
          <w:u w:val="single"/>
        </w:rPr>
        <w:t>des</w:t>
      </w:r>
      <w:r>
        <w:rPr>
          <w:rFonts w:ascii="Calibri" w:eastAsia="Avenir Next LT Pro" w:hAnsi="Calibri" w:cs="Calibri"/>
          <w:color w:val="000000"/>
          <w:spacing w:val="-7"/>
          <w:sz w:val="20"/>
          <w:szCs w:val="20"/>
          <w:u w:val="single"/>
        </w:rPr>
        <w:t xml:space="preserve"> </w:t>
      </w:r>
      <w:r>
        <w:rPr>
          <w:rFonts w:ascii="Calibri" w:eastAsia="Avenir Next LT Pro" w:hAnsi="Calibri" w:cs="Calibri"/>
          <w:color w:val="000000"/>
          <w:spacing w:val="-2"/>
          <w:sz w:val="20"/>
          <w:szCs w:val="20"/>
          <w:u w:val="single"/>
        </w:rPr>
        <w:t>services</w:t>
      </w:r>
    </w:p>
    <w:p w14:paraId="19962AAA" w14:textId="77777777" w:rsidR="00146B95" w:rsidRDefault="00146B95">
      <w:pPr>
        <w:spacing w:after="120" w:line="240" w:lineRule="auto"/>
        <w:ind w:left="210"/>
        <w:rPr>
          <w:rFonts w:ascii="Calibri" w:eastAsia="Avenir Next LT Pro" w:hAnsi="Calibri" w:cs="Calibri"/>
          <w:color w:val="000000"/>
          <w:spacing w:val="-2"/>
          <w:sz w:val="20"/>
          <w:szCs w:val="20"/>
          <w:u w:val="single"/>
        </w:rPr>
      </w:pPr>
    </w:p>
    <w:p w14:paraId="7ED6D9D3" w14:textId="77777777" w:rsidR="00146B95" w:rsidRDefault="00146B95">
      <w:pPr>
        <w:spacing w:after="120" w:line="240" w:lineRule="auto"/>
        <w:ind w:left="210"/>
        <w:rPr>
          <w:rFonts w:ascii="Calibri" w:eastAsia="Avenir Next LT Pro" w:hAnsi="Calibri" w:cs="Calibri"/>
          <w:color w:val="000000"/>
          <w:spacing w:val="-2"/>
          <w:sz w:val="20"/>
          <w:szCs w:val="20"/>
          <w:u w:val="single"/>
        </w:rPr>
      </w:pPr>
    </w:p>
    <w:p w14:paraId="71ED0111" w14:textId="77777777" w:rsidR="00146B95" w:rsidRDefault="00146B95">
      <w:pPr>
        <w:spacing w:after="120" w:line="240" w:lineRule="auto"/>
        <w:ind w:left="210"/>
        <w:rPr>
          <w:rFonts w:ascii="Calibri" w:eastAsia="Avenir Next LT Pro" w:hAnsi="Calibri" w:cs="Calibri"/>
          <w:color w:val="000000"/>
          <w:spacing w:val="-2"/>
          <w:sz w:val="20"/>
          <w:szCs w:val="20"/>
          <w:u w:val="single"/>
        </w:rPr>
      </w:pPr>
    </w:p>
    <w:p w14:paraId="00832243" w14:textId="77777777" w:rsidR="00146B95" w:rsidRDefault="00146B95">
      <w:pPr>
        <w:spacing w:after="120" w:line="240" w:lineRule="auto"/>
        <w:ind w:left="210"/>
        <w:rPr>
          <w:rFonts w:ascii="Calibri" w:eastAsia="Avenir Next LT Pro" w:hAnsi="Calibri" w:cs="Calibri"/>
          <w:color w:val="000000"/>
          <w:spacing w:val="-2"/>
          <w:sz w:val="20"/>
          <w:szCs w:val="20"/>
          <w:u w:val="single"/>
        </w:rPr>
      </w:pPr>
    </w:p>
    <w:p w14:paraId="42CA4275" w14:textId="77777777" w:rsidR="00146B95" w:rsidRDefault="00146B95">
      <w:pPr>
        <w:spacing w:after="120" w:line="240" w:lineRule="auto"/>
        <w:ind w:left="210"/>
        <w:rPr>
          <w:rFonts w:ascii="Calibri" w:eastAsia="Avenir Next LT Pro" w:hAnsi="Calibri" w:cs="Calibri"/>
          <w:color w:val="000000"/>
          <w:spacing w:val="-2"/>
          <w:sz w:val="20"/>
          <w:szCs w:val="20"/>
          <w:u w:val="single"/>
        </w:rPr>
      </w:pPr>
    </w:p>
    <w:p w14:paraId="6BFBA49F" w14:textId="77777777" w:rsidR="00146B95" w:rsidRDefault="00146B95">
      <w:pPr>
        <w:spacing w:after="120" w:line="240" w:lineRule="auto"/>
        <w:ind w:left="210"/>
        <w:rPr>
          <w:rFonts w:ascii="Calibri" w:eastAsia="Avenir Next LT Pro" w:hAnsi="Calibri" w:cs="Calibri"/>
          <w:color w:val="000000"/>
          <w:spacing w:val="-2"/>
          <w:sz w:val="20"/>
          <w:szCs w:val="20"/>
          <w:u w:val="single"/>
        </w:rPr>
      </w:pPr>
    </w:p>
    <w:p w14:paraId="6F42106A" w14:textId="77777777" w:rsidR="00146B95" w:rsidRDefault="00146B95">
      <w:pPr>
        <w:spacing w:after="120" w:line="240" w:lineRule="auto"/>
        <w:ind w:left="210"/>
        <w:rPr>
          <w:rFonts w:ascii="Calibri" w:hAnsi="Calibri" w:cs="Calibri"/>
        </w:rPr>
      </w:pPr>
    </w:p>
    <w:p w14:paraId="155DDCB5" w14:textId="77777777" w:rsidR="006E7EF5" w:rsidRDefault="00AC41B0">
      <w:pPr>
        <w:spacing w:after="120" w:line="240" w:lineRule="auto"/>
        <w:rPr>
          <w:rFonts w:ascii="Calibri" w:hAnsi="Calibri" w:cs="Calibri"/>
        </w:rPr>
      </w:pPr>
      <w:r>
        <w:rPr>
          <w:rFonts w:ascii="Calibri" w:eastAsia="Avenir Next LT Pro" w:hAnsi="Calibri" w:cs="Calibri"/>
          <w:color w:val="000000"/>
          <w:sz w:val="13"/>
          <w:szCs w:val="13"/>
        </w:rPr>
        <w:t> </w:t>
      </w:r>
    </w:p>
    <w:tbl>
      <w:tblPr>
        <w:tblStyle w:val="Grilledutableau"/>
        <w:tblW w:w="9348" w:type="dxa"/>
        <w:tblLayout w:type="fixed"/>
        <w:tblCellMar>
          <w:left w:w="10" w:type="dxa"/>
          <w:right w:w="10" w:type="dxa"/>
        </w:tblCellMar>
        <w:tblLook w:val="04A0" w:firstRow="1" w:lastRow="0" w:firstColumn="1" w:lastColumn="0" w:noHBand="0" w:noVBand="1"/>
      </w:tblPr>
      <w:tblGrid>
        <w:gridCol w:w="4395"/>
        <w:gridCol w:w="4953"/>
      </w:tblGrid>
      <w:tr w:rsidR="006E7EF5" w14:paraId="1C4A5866" w14:textId="77777777">
        <w:trPr>
          <w:trHeight w:val="568"/>
        </w:trPr>
        <w:tc>
          <w:tcPr>
            <w:tcW w:w="4395" w:type="dxa"/>
            <w:tcBorders>
              <w:top w:val="single" w:sz="8" w:space="0" w:color="3B892D"/>
              <w:left w:val="single" w:sz="8" w:space="0" w:color="3B892D"/>
              <w:bottom w:val="single" w:sz="8" w:space="0" w:color="3B892D"/>
              <w:right w:val="single" w:sz="8" w:space="0" w:color="3B892D"/>
            </w:tcBorders>
            <w:shd w:val="clear" w:color="auto" w:fill="2C6721"/>
          </w:tcPr>
          <w:p w14:paraId="4CE8D5B5" w14:textId="77777777" w:rsidR="006E7EF5" w:rsidRDefault="00AC41B0">
            <w:pPr>
              <w:spacing w:after="120" w:line="240" w:lineRule="auto"/>
              <w:ind w:left="1743" w:right="1729"/>
              <w:jc w:val="center"/>
              <w:rPr>
                <w:rFonts w:ascii="Calibri" w:hAnsi="Calibri" w:cs="Calibri"/>
              </w:rPr>
            </w:pPr>
            <w:r>
              <w:rPr>
                <w:rFonts w:ascii="Calibri" w:eastAsia="Avenir Next LT Pro" w:hAnsi="Calibri" w:cs="Calibri"/>
                <w:b/>
                <w:bCs/>
                <w:color w:val="FFFFFF"/>
                <w:spacing w:val="-2"/>
                <w:sz w:val="20"/>
                <w:szCs w:val="20"/>
              </w:rPr>
              <w:lastRenderedPageBreak/>
              <w:t>Exigence</w:t>
            </w:r>
          </w:p>
        </w:tc>
        <w:tc>
          <w:tcPr>
            <w:tcW w:w="4952" w:type="dxa"/>
            <w:tcBorders>
              <w:top w:val="single" w:sz="8" w:space="0" w:color="3B892D"/>
              <w:left w:val="nil"/>
              <w:bottom w:val="single" w:sz="8" w:space="0" w:color="3B892D"/>
              <w:right w:val="single" w:sz="8" w:space="0" w:color="3B892D"/>
            </w:tcBorders>
            <w:shd w:val="clear" w:color="auto" w:fill="2C6721"/>
          </w:tcPr>
          <w:p w14:paraId="1B5B654F" w14:textId="77777777" w:rsidR="006E7EF5" w:rsidRDefault="00AC41B0">
            <w:pPr>
              <w:spacing w:after="120" w:line="240" w:lineRule="auto"/>
              <w:ind w:left="1113"/>
              <w:rPr>
                <w:rFonts w:ascii="Calibri" w:hAnsi="Calibri" w:cs="Calibri"/>
              </w:rPr>
            </w:pPr>
            <w:r>
              <w:rPr>
                <w:rFonts w:ascii="Calibri" w:eastAsia="Avenir Next LT Pro" w:hAnsi="Calibri" w:cs="Calibri"/>
                <w:b/>
                <w:bCs/>
                <w:color w:val="FFFFFF"/>
                <w:sz w:val="20"/>
                <w:szCs w:val="20"/>
              </w:rPr>
              <w:t>Mesure</w:t>
            </w:r>
            <w:r>
              <w:rPr>
                <w:rFonts w:ascii="Calibri" w:eastAsia="Avenir Next LT Pro" w:hAnsi="Calibri" w:cs="Calibri"/>
                <w:b/>
                <w:bCs/>
                <w:color w:val="FFFFFF"/>
                <w:spacing w:val="-7"/>
                <w:sz w:val="20"/>
                <w:szCs w:val="20"/>
              </w:rPr>
              <w:t xml:space="preserve"> </w:t>
            </w:r>
            <w:r>
              <w:rPr>
                <w:rFonts w:ascii="Calibri" w:eastAsia="Avenir Next LT Pro" w:hAnsi="Calibri" w:cs="Calibri"/>
                <w:b/>
                <w:bCs/>
                <w:color w:val="FFFFFF"/>
                <w:sz w:val="20"/>
                <w:szCs w:val="20"/>
              </w:rPr>
              <w:t>de</w:t>
            </w:r>
            <w:r>
              <w:rPr>
                <w:rFonts w:ascii="Calibri" w:eastAsia="Avenir Next LT Pro" w:hAnsi="Calibri" w:cs="Calibri"/>
                <w:b/>
                <w:bCs/>
                <w:color w:val="FFFFFF"/>
                <w:spacing w:val="-6"/>
                <w:sz w:val="20"/>
                <w:szCs w:val="20"/>
              </w:rPr>
              <w:t xml:space="preserve"> </w:t>
            </w:r>
            <w:r>
              <w:rPr>
                <w:rFonts w:ascii="Calibri" w:eastAsia="Avenir Next LT Pro" w:hAnsi="Calibri" w:cs="Calibri"/>
                <w:b/>
                <w:bCs/>
                <w:color w:val="FFFFFF"/>
                <w:sz w:val="20"/>
                <w:szCs w:val="20"/>
              </w:rPr>
              <w:t>la</w:t>
            </w:r>
            <w:r>
              <w:rPr>
                <w:rFonts w:ascii="Calibri" w:eastAsia="Avenir Next LT Pro" w:hAnsi="Calibri" w:cs="Calibri"/>
                <w:b/>
                <w:bCs/>
                <w:color w:val="FFFFFF"/>
                <w:spacing w:val="-7"/>
                <w:sz w:val="20"/>
                <w:szCs w:val="20"/>
              </w:rPr>
              <w:t xml:space="preserve"> </w:t>
            </w:r>
            <w:r>
              <w:rPr>
                <w:rFonts w:ascii="Calibri" w:eastAsia="Avenir Next LT Pro" w:hAnsi="Calibri" w:cs="Calibri"/>
                <w:b/>
                <w:bCs/>
                <w:color w:val="FFFFFF"/>
                <w:sz w:val="20"/>
                <w:szCs w:val="20"/>
              </w:rPr>
              <w:t>conformité</w:t>
            </w:r>
            <w:r>
              <w:rPr>
                <w:rFonts w:ascii="Calibri" w:eastAsia="Avenir Next LT Pro" w:hAnsi="Calibri" w:cs="Calibri"/>
                <w:b/>
                <w:bCs/>
                <w:color w:val="FFFFFF"/>
                <w:spacing w:val="-7"/>
                <w:sz w:val="20"/>
                <w:szCs w:val="20"/>
              </w:rPr>
              <w:t xml:space="preserve"> </w:t>
            </w:r>
            <w:r>
              <w:rPr>
                <w:rFonts w:ascii="Calibri" w:eastAsia="Avenir Next LT Pro" w:hAnsi="Calibri" w:cs="Calibri"/>
                <w:b/>
                <w:bCs/>
                <w:color w:val="FFFFFF"/>
                <w:spacing w:val="-2"/>
                <w:sz w:val="20"/>
                <w:szCs w:val="20"/>
              </w:rPr>
              <w:t>(***)</w:t>
            </w:r>
          </w:p>
        </w:tc>
      </w:tr>
      <w:tr w:rsidR="006E7EF5" w14:paraId="404C327A" w14:textId="77777777">
        <w:trPr>
          <w:trHeight w:val="1511"/>
        </w:trPr>
        <w:tc>
          <w:tcPr>
            <w:tcW w:w="4395" w:type="dxa"/>
            <w:tcBorders>
              <w:top w:val="nil"/>
              <w:left w:val="single" w:sz="8" w:space="0" w:color="3B892D"/>
              <w:bottom w:val="single" w:sz="8" w:space="0" w:color="3B892D"/>
              <w:right w:val="single" w:sz="8" w:space="0" w:color="3B892D"/>
            </w:tcBorders>
          </w:tcPr>
          <w:p w14:paraId="6B2E0C95" w14:textId="77777777" w:rsidR="006E7EF5" w:rsidRDefault="006E7EF5">
            <w:pPr>
              <w:spacing w:after="120" w:line="240" w:lineRule="auto"/>
              <w:rPr>
                <w:rFonts w:ascii="Calibri" w:hAnsi="Calibri" w:cs="Calibri"/>
              </w:rPr>
            </w:pPr>
          </w:p>
          <w:p w14:paraId="60A58D90" w14:textId="77777777" w:rsidR="006E7EF5" w:rsidRDefault="00AC41B0">
            <w:pPr>
              <w:spacing w:after="120" w:line="240" w:lineRule="auto"/>
              <w:ind w:left="928" w:hanging="737"/>
              <w:rPr>
                <w:rFonts w:ascii="Calibri" w:hAnsi="Calibri" w:cs="Calibri"/>
              </w:rPr>
            </w:pPr>
            <w:r>
              <w:rPr>
                <w:rFonts w:ascii="Calibri" w:eastAsia="Avenir Next LT Pro" w:hAnsi="Calibri" w:cs="Calibri"/>
                <w:b/>
                <w:bCs/>
                <w:color w:val="933634"/>
                <w:sz w:val="20"/>
                <w:szCs w:val="20"/>
              </w:rPr>
              <w:t>Délais</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de</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prise</w:t>
            </w:r>
            <w:r>
              <w:rPr>
                <w:rFonts w:ascii="Calibri" w:eastAsia="Avenir Next LT Pro" w:hAnsi="Calibri" w:cs="Calibri"/>
                <w:b/>
                <w:bCs/>
                <w:color w:val="933634"/>
                <w:spacing w:val="-5"/>
                <w:sz w:val="20"/>
                <w:szCs w:val="20"/>
              </w:rPr>
              <w:t xml:space="preserve"> </w:t>
            </w:r>
            <w:r>
              <w:rPr>
                <w:rFonts w:ascii="Calibri" w:eastAsia="Avenir Next LT Pro" w:hAnsi="Calibri" w:cs="Calibri"/>
                <w:b/>
                <w:bCs/>
                <w:color w:val="933634"/>
                <w:sz w:val="20"/>
                <w:szCs w:val="20"/>
              </w:rPr>
              <w:t>en</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compte</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et</w:t>
            </w:r>
            <w:r>
              <w:rPr>
                <w:rFonts w:ascii="Calibri" w:eastAsia="Avenir Next LT Pro" w:hAnsi="Calibri" w:cs="Calibri"/>
                <w:b/>
                <w:bCs/>
                <w:color w:val="933634"/>
                <w:spacing w:val="-6"/>
                <w:sz w:val="20"/>
                <w:szCs w:val="20"/>
              </w:rPr>
              <w:t xml:space="preserve"> </w:t>
            </w:r>
            <w:r>
              <w:rPr>
                <w:rFonts w:ascii="Calibri" w:eastAsia="Avenir Next LT Pro" w:hAnsi="Calibri" w:cs="Calibri"/>
                <w:b/>
                <w:bCs/>
                <w:color w:val="933634"/>
                <w:sz w:val="20"/>
                <w:szCs w:val="20"/>
              </w:rPr>
              <w:t>de</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traitement des demandes Bloquantes</w:t>
            </w:r>
          </w:p>
        </w:tc>
        <w:tc>
          <w:tcPr>
            <w:tcW w:w="4952" w:type="dxa"/>
            <w:tcBorders>
              <w:top w:val="nil"/>
              <w:left w:val="nil"/>
              <w:bottom w:val="single" w:sz="8" w:space="0" w:color="3B892D"/>
              <w:right w:val="single" w:sz="8" w:space="0" w:color="3B892D"/>
            </w:tcBorders>
          </w:tcPr>
          <w:p w14:paraId="4A34BAA2" w14:textId="77777777" w:rsidR="006E7EF5" w:rsidRDefault="00AC41B0">
            <w:pPr>
              <w:spacing w:after="120" w:line="240" w:lineRule="auto"/>
              <w:ind w:left="117" w:hanging="10"/>
              <w:rPr>
                <w:rFonts w:ascii="Calibri" w:hAnsi="Calibri" w:cs="Calibri"/>
              </w:rPr>
            </w:pPr>
            <w:r>
              <w:rPr>
                <w:rFonts w:ascii="Calibri" w:eastAsia="Avenir Next LT Pro" w:hAnsi="Calibri" w:cs="Calibri"/>
                <w:b/>
                <w:bCs/>
                <w:color w:val="000000"/>
                <w:sz w:val="20"/>
                <w:szCs w:val="20"/>
              </w:rPr>
              <w:t>4h</w:t>
            </w:r>
            <w:r>
              <w:rPr>
                <w:rFonts w:ascii="Calibri" w:eastAsia="Avenir Next LT Pro" w:hAnsi="Calibri" w:cs="Calibri"/>
                <w:b/>
                <w:bCs/>
                <w:color w:val="000000"/>
                <w:spacing w:val="-5"/>
                <w:sz w:val="20"/>
                <w:szCs w:val="20"/>
              </w:rPr>
              <w:t xml:space="preserve"> </w:t>
            </w:r>
            <w:r>
              <w:rPr>
                <w:rFonts w:ascii="Calibri" w:eastAsia="Avenir Next LT Pro" w:hAnsi="Calibri" w:cs="Calibri"/>
                <w:color w:val="000000"/>
                <w:sz w:val="20"/>
                <w:szCs w:val="20"/>
              </w:rPr>
              <w:t>pour</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qualification</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demande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partir</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la création du ticket</w:t>
            </w:r>
          </w:p>
          <w:p w14:paraId="63E8B337" w14:textId="77777777" w:rsidR="006E7EF5" w:rsidRDefault="00AC41B0">
            <w:pPr>
              <w:spacing w:after="120" w:line="240" w:lineRule="auto"/>
              <w:ind w:left="117" w:hanging="10"/>
              <w:rPr>
                <w:rFonts w:ascii="Calibri" w:hAnsi="Calibri" w:cs="Calibri"/>
              </w:rPr>
            </w:pPr>
            <w:r>
              <w:rPr>
                <w:rFonts w:ascii="Calibri" w:eastAsia="Avenir Next LT Pro" w:hAnsi="Calibri" w:cs="Calibri"/>
                <w:b/>
                <w:bCs/>
                <w:color w:val="000000"/>
                <w:sz w:val="20"/>
                <w:szCs w:val="20"/>
              </w:rPr>
              <w:t>8h</w:t>
            </w:r>
            <w:r>
              <w:rPr>
                <w:rFonts w:ascii="Calibri" w:eastAsia="Avenir Next LT Pro" w:hAnsi="Calibri" w:cs="Calibri"/>
                <w:b/>
                <w:bCs/>
                <w:color w:val="000000"/>
                <w:spacing w:val="-5"/>
                <w:sz w:val="20"/>
                <w:szCs w:val="20"/>
              </w:rPr>
              <w:t xml:space="preserve"> </w:t>
            </w:r>
            <w:r>
              <w:rPr>
                <w:rFonts w:ascii="Calibri" w:eastAsia="Avenir Next LT Pro" w:hAnsi="Calibri" w:cs="Calibri"/>
                <w:color w:val="000000"/>
                <w:sz w:val="20"/>
                <w:szCs w:val="20"/>
              </w:rPr>
              <w:t>pour</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proposition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d’une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correction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ou</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réponse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à partir de la création du ticket</w:t>
            </w:r>
          </w:p>
          <w:p w14:paraId="71302111" w14:textId="77777777" w:rsidR="006E7EF5" w:rsidRDefault="00AC41B0">
            <w:pPr>
              <w:spacing w:after="120" w:line="240" w:lineRule="auto"/>
              <w:ind w:left="107"/>
              <w:rPr>
                <w:rFonts w:ascii="Calibri" w:hAnsi="Calibri" w:cs="Calibri"/>
              </w:rPr>
            </w:pPr>
            <w:r>
              <w:rPr>
                <w:rFonts w:ascii="Calibri" w:eastAsia="Avenir Next LT Pro" w:hAnsi="Calibri" w:cs="Calibri"/>
                <w:b/>
                <w:bCs/>
                <w:color w:val="000000"/>
                <w:sz w:val="20"/>
                <w:szCs w:val="20"/>
              </w:rPr>
              <w:t>48h</w:t>
            </w:r>
            <w:r>
              <w:rPr>
                <w:rFonts w:ascii="Calibri" w:eastAsia="Avenir Next LT Pro" w:hAnsi="Calibri" w:cs="Calibri"/>
                <w:b/>
                <w:bCs/>
                <w:color w:val="000000"/>
                <w:spacing w:val="-6"/>
                <w:sz w:val="20"/>
                <w:szCs w:val="20"/>
              </w:rPr>
              <w:t xml:space="preserve"> </w:t>
            </w:r>
            <w:r>
              <w:rPr>
                <w:rFonts w:ascii="Calibri" w:eastAsia="Avenir Next LT Pro" w:hAnsi="Calibri" w:cs="Calibri"/>
                <w:color w:val="000000"/>
                <w:sz w:val="20"/>
                <w:szCs w:val="20"/>
              </w:rPr>
              <w:t>pour</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livraison</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solution</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partir</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5"/>
                <w:sz w:val="20"/>
                <w:szCs w:val="20"/>
              </w:rPr>
              <w:t xml:space="preserve"> la</w:t>
            </w:r>
          </w:p>
          <w:p w14:paraId="5E716C14" w14:textId="77777777" w:rsidR="006E7EF5" w:rsidRDefault="00AC41B0">
            <w:pPr>
              <w:spacing w:after="120" w:line="240" w:lineRule="auto"/>
              <w:ind w:left="117"/>
              <w:rPr>
                <w:rFonts w:ascii="Calibri" w:hAnsi="Calibri" w:cs="Calibri"/>
              </w:rPr>
            </w:pPr>
            <w:r>
              <w:rPr>
                <w:rFonts w:ascii="Calibri" w:eastAsia="Avenir Next LT Pro" w:hAnsi="Calibri" w:cs="Calibri"/>
                <w:color w:val="000000"/>
                <w:sz w:val="20"/>
                <w:szCs w:val="20"/>
              </w:rPr>
              <w:t>création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du</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pacing w:val="-2"/>
                <w:sz w:val="20"/>
                <w:szCs w:val="20"/>
              </w:rPr>
              <w:t>ticket</w:t>
            </w:r>
          </w:p>
        </w:tc>
      </w:tr>
      <w:tr w:rsidR="006E7EF5" w14:paraId="6B32077A" w14:textId="77777777">
        <w:trPr>
          <w:trHeight w:val="1509"/>
        </w:trPr>
        <w:tc>
          <w:tcPr>
            <w:tcW w:w="4395" w:type="dxa"/>
            <w:tcBorders>
              <w:top w:val="nil"/>
              <w:left w:val="single" w:sz="8" w:space="0" w:color="3B892D"/>
              <w:bottom w:val="single" w:sz="8" w:space="0" w:color="3B892D"/>
              <w:right w:val="single" w:sz="8" w:space="0" w:color="3B892D"/>
            </w:tcBorders>
          </w:tcPr>
          <w:p w14:paraId="46394BC9" w14:textId="77777777" w:rsidR="006E7EF5" w:rsidRDefault="006E7EF5">
            <w:pPr>
              <w:spacing w:after="120" w:line="240" w:lineRule="auto"/>
              <w:rPr>
                <w:rFonts w:ascii="Calibri" w:hAnsi="Calibri" w:cs="Calibri"/>
              </w:rPr>
            </w:pPr>
          </w:p>
          <w:p w14:paraId="1F1D3337" w14:textId="77777777" w:rsidR="006E7EF5" w:rsidRDefault="00AC41B0">
            <w:pPr>
              <w:spacing w:after="120" w:line="240" w:lineRule="auto"/>
              <w:ind w:left="1041" w:hanging="850"/>
              <w:rPr>
                <w:rFonts w:ascii="Calibri" w:hAnsi="Calibri" w:cs="Calibri"/>
              </w:rPr>
            </w:pPr>
            <w:r>
              <w:rPr>
                <w:rFonts w:ascii="Calibri" w:eastAsia="Avenir Next LT Pro" w:hAnsi="Calibri" w:cs="Calibri"/>
                <w:b/>
                <w:bCs/>
                <w:color w:val="933634"/>
                <w:sz w:val="20"/>
                <w:szCs w:val="20"/>
              </w:rPr>
              <w:t>Délais</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de</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prise</w:t>
            </w:r>
            <w:r>
              <w:rPr>
                <w:rFonts w:ascii="Calibri" w:eastAsia="Avenir Next LT Pro" w:hAnsi="Calibri" w:cs="Calibri"/>
                <w:b/>
                <w:bCs/>
                <w:color w:val="933634"/>
                <w:spacing w:val="-5"/>
                <w:sz w:val="20"/>
                <w:szCs w:val="20"/>
              </w:rPr>
              <w:t xml:space="preserve"> </w:t>
            </w:r>
            <w:r>
              <w:rPr>
                <w:rFonts w:ascii="Calibri" w:eastAsia="Avenir Next LT Pro" w:hAnsi="Calibri" w:cs="Calibri"/>
                <w:b/>
                <w:bCs/>
                <w:color w:val="933634"/>
                <w:sz w:val="20"/>
                <w:szCs w:val="20"/>
              </w:rPr>
              <w:t>en</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compte</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et</w:t>
            </w:r>
            <w:r>
              <w:rPr>
                <w:rFonts w:ascii="Calibri" w:eastAsia="Avenir Next LT Pro" w:hAnsi="Calibri" w:cs="Calibri"/>
                <w:b/>
                <w:bCs/>
                <w:color w:val="933634"/>
                <w:spacing w:val="-6"/>
                <w:sz w:val="20"/>
                <w:szCs w:val="20"/>
              </w:rPr>
              <w:t xml:space="preserve"> </w:t>
            </w:r>
            <w:r>
              <w:rPr>
                <w:rFonts w:ascii="Calibri" w:eastAsia="Avenir Next LT Pro" w:hAnsi="Calibri" w:cs="Calibri"/>
                <w:b/>
                <w:bCs/>
                <w:color w:val="933634"/>
                <w:sz w:val="20"/>
                <w:szCs w:val="20"/>
              </w:rPr>
              <w:t>de</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traitement des demandes Majeures</w:t>
            </w:r>
          </w:p>
        </w:tc>
        <w:tc>
          <w:tcPr>
            <w:tcW w:w="4952" w:type="dxa"/>
            <w:tcBorders>
              <w:top w:val="nil"/>
              <w:left w:val="nil"/>
              <w:bottom w:val="single" w:sz="8" w:space="0" w:color="3B892D"/>
              <w:right w:val="single" w:sz="8" w:space="0" w:color="3B892D"/>
            </w:tcBorders>
          </w:tcPr>
          <w:p w14:paraId="3E428C9D" w14:textId="77777777" w:rsidR="006E7EF5" w:rsidRDefault="00AC41B0">
            <w:pPr>
              <w:spacing w:after="120" w:line="240" w:lineRule="auto"/>
              <w:ind w:left="117" w:hanging="10"/>
              <w:rPr>
                <w:rFonts w:ascii="Calibri" w:hAnsi="Calibri" w:cs="Calibri"/>
              </w:rPr>
            </w:pPr>
            <w:r>
              <w:rPr>
                <w:rFonts w:ascii="Calibri" w:eastAsia="Avenir Next LT Pro" w:hAnsi="Calibri" w:cs="Calibri"/>
                <w:b/>
                <w:bCs/>
                <w:color w:val="000000"/>
                <w:sz w:val="20"/>
                <w:szCs w:val="20"/>
              </w:rPr>
              <w:t>8h</w:t>
            </w:r>
            <w:r>
              <w:rPr>
                <w:rFonts w:ascii="Calibri" w:eastAsia="Avenir Next LT Pro" w:hAnsi="Calibri" w:cs="Calibri"/>
                <w:b/>
                <w:bCs/>
                <w:color w:val="000000"/>
                <w:spacing w:val="-5"/>
                <w:sz w:val="20"/>
                <w:szCs w:val="20"/>
              </w:rPr>
              <w:t xml:space="preserve"> </w:t>
            </w:r>
            <w:r>
              <w:rPr>
                <w:rFonts w:ascii="Calibri" w:eastAsia="Avenir Next LT Pro" w:hAnsi="Calibri" w:cs="Calibri"/>
                <w:color w:val="000000"/>
                <w:sz w:val="20"/>
                <w:szCs w:val="20"/>
              </w:rPr>
              <w:t>pour</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qualification</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demande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partir</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la création du ticket</w:t>
            </w:r>
          </w:p>
          <w:p w14:paraId="1A192F64" w14:textId="77777777" w:rsidR="006E7EF5" w:rsidRDefault="00AC41B0">
            <w:pPr>
              <w:spacing w:after="120" w:line="240" w:lineRule="auto"/>
              <w:ind w:left="117" w:right="200" w:hanging="10"/>
              <w:rPr>
                <w:rFonts w:ascii="Calibri" w:hAnsi="Calibri" w:cs="Calibri"/>
              </w:rPr>
            </w:pPr>
            <w:r>
              <w:rPr>
                <w:rFonts w:ascii="Calibri" w:eastAsia="Avenir Next LT Pro" w:hAnsi="Calibri" w:cs="Calibri"/>
                <w:b/>
                <w:bCs/>
                <w:color w:val="000000"/>
                <w:sz w:val="20"/>
                <w:szCs w:val="20"/>
              </w:rPr>
              <w:t>48h</w:t>
            </w:r>
            <w:r>
              <w:rPr>
                <w:rFonts w:ascii="Calibri" w:eastAsia="Avenir Next LT Pro" w:hAnsi="Calibri" w:cs="Calibri"/>
                <w:b/>
                <w:bCs/>
                <w:color w:val="000000"/>
                <w:spacing w:val="-6"/>
                <w:sz w:val="20"/>
                <w:szCs w:val="20"/>
              </w:rPr>
              <w:t xml:space="preserve"> </w:t>
            </w:r>
            <w:r>
              <w:rPr>
                <w:rFonts w:ascii="Calibri" w:eastAsia="Avenir Next LT Pro" w:hAnsi="Calibri" w:cs="Calibri"/>
                <w:color w:val="000000"/>
                <w:sz w:val="20"/>
                <w:szCs w:val="20"/>
              </w:rPr>
              <w:t>pour</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proposition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d’une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correction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ou</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réponse à partir de la création du ticket</w:t>
            </w:r>
          </w:p>
          <w:p w14:paraId="533BC653" w14:textId="77777777" w:rsidR="006E7EF5" w:rsidRDefault="00AC41B0">
            <w:pPr>
              <w:spacing w:after="120" w:line="240" w:lineRule="auto"/>
              <w:ind w:left="107"/>
              <w:rPr>
                <w:rFonts w:ascii="Calibri" w:hAnsi="Calibri" w:cs="Calibri"/>
              </w:rPr>
            </w:pPr>
            <w:r>
              <w:rPr>
                <w:rFonts w:ascii="Calibri" w:eastAsia="Avenir Next LT Pro" w:hAnsi="Calibri" w:cs="Calibri"/>
                <w:b/>
                <w:bCs/>
                <w:color w:val="000000"/>
                <w:sz w:val="20"/>
                <w:szCs w:val="20"/>
              </w:rPr>
              <w:t>4j</w:t>
            </w:r>
            <w:r>
              <w:rPr>
                <w:rFonts w:ascii="Calibri" w:eastAsia="Avenir Next LT Pro" w:hAnsi="Calibri" w:cs="Calibri"/>
                <w:b/>
                <w:bCs/>
                <w:color w:val="000000"/>
                <w:spacing w:val="-6"/>
                <w:sz w:val="20"/>
                <w:szCs w:val="20"/>
              </w:rPr>
              <w:t xml:space="preserve"> </w:t>
            </w:r>
            <w:r>
              <w:rPr>
                <w:rFonts w:ascii="Calibri" w:eastAsia="Avenir Next LT Pro" w:hAnsi="Calibri" w:cs="Calibri"/>
                <w:color w:val="000000"/>
                <w:sz w:val="20"/>
                <w:szCs w:val="20"/>
              </w:rPr>
              <w:t>pour</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livraison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solution</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partir</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5"/>
                <w:sz w:val="20"/>
                <w:szCs w:val="20"/>
              </w:rPr>
              <w:t xml:space="preserve"> la</w:t>
            </w:r>
          </w:p>
          <w:p w14:paraId="3734446E" w14:textId="77777777" w:rsidR="006E7EF5" w:rsidRDefault="00AC41B0">
            <w:pPr>
              <w:spacing w:after="120" w:line="240" w:lineRule="auto"/>
              <w:ind w:left="117"/>
              <w:rPr>
                <w:rFonts w:ascii="Calibri" w:hAnsi="Calibri" w:cs="Calibri"/>
              </w:rPr>
            </w:pPr>
            <w:r>
              <w:rPr>
                <w:rFonts w:ascii="Calibri" w:eastAsia="Avenir Next LT Pro" w:hAnsi="Calibri" w:cs="Calibri"/>
                <w:color w:val="000000"/>
                <w:sz w:val="20"/>
                <w:szCs w:val="20"/>
              </w:rPr>
              <w:t>création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du</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pacing w:val="-2"/>
                <w:sz w:val="20"/>
                <w:szCs w:val="20"/>
              </w:rPr>
              <w:t>ticket</w:t>
            </w:r>
          </w:p>
        </w:tc>
      </w:tr>
      <w:tr w:rsidR="006E7EF5" w14:paraId="3F0EFF62" w14:textId="77777777">
        <w:trPr>
          <w:trHeight w:val="752"/>
        </w:trPr>
        <w:tc>
          <w:tcPr>
            <w:tcW w:w="4395" w:type="dxa"/>
            <w:tcBorders>
              <w:top w:val="nil"/>
              <w:left w:val="single" w:sz="8" w:space="0" w:color="3B892D"/>
              <w:bottom w:val="single" w:sz="8" w:space="0" w:color="3B892D"/>
              <w:right w:val="single" w:sz="8" w:space="0" w:color="3B892D"/>
            </w:tcBorders>
          </w:tcPr>
          <w:p w14:paraId="7955B327" w14:textId="77777777" w:rsidR="006E7EF5" w:rsidRDefault="00AC41B0">
            <w:pPr>
              <w:spacing w:after="120" w:line="240" w:lineRule="auto"/>
              <w:ind w:left="107"/>
              <w:rPr>
                <w:rFonts w:ascii="Calibri" w:hAnsi="Calibri" w:cs="Calibri"/>
              </w:rPr>
            </w:pPr>
            <w:r>
              <w:rPr>
                <w:rFonts w:ascii="Calibri" w:eastAsia="Avenir Next LT Pro" w:hAnsi="Calibri" w:cs="Calibri"/>
                <w:b/>
                <w:bCs/>
                <w:color w:val="933634"/>
                <w:sz w:val="20"/>
                <w:szCs w:val="20"/>
              </w:rPr>
              <w:t>Délais</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de</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prise</w:t>
            </w:r>
            <w:r>
              <w:rPr>
                <w:rFonts w:ascii="Calibri" w:eastAsia="Avenir Next LT Pro" w:hAnsi="Calibri" w:cs="Calibri"/>
                <w:b/>
                <w:bCs/>
                <w:color w:val="933634"/>
                <w:spacing w:val="-5"/>
                <w:sz w:val="20"/>
                <w:szCs w:val="20"/>
              </w:rPr>
              <w:t xml:space="preserve"> </w:t>
            </w:r>
            <w:r>
              <w:rPr>
                <w:rFonts w:ascii="Calibri" w:eastAsia="Avenir Next LT Pro" w:hAnsi="Calibri" w:cs="Calibri"/>
                <w:b/>
                <w:bCs/>
                <w:color w:val="933634"/>
                <w:sz w:val="20"/>
                <w:szCs w:val="20"/>
              </w:rPr>
              <w:t>en</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compte</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et</w:t>
            </w:r>
            <w:r>
              <w:rPr>
                <w:rFonts w:ascii="Calibri" w:eastAsia="Avenir Next LT Pro" w:hAnsi="Calibri" w:cs="Calibri"/>
                <w:b/>
                <w:bCs/>
                <w:color w:val="933634"/>
                <w:spacing w:val="-6"/>
                <w:sz w:val="20"/>
                <w:szCs w:val="20"/>
              </w:rPr>
              <w:t xml:space="preserve"> </w:t>
            </w:r>
            <w:r>
              <w:rPr>
                <w:rFonts w:ascii="Calibri" w:eastAsia="Avenir Next LT Pro" w:hAnsi="Calibri" w:cs="Calibri"/>
                <w:b/>
                <w:bCs/>
                <w:color w:val="933634"/>
                <w:sz w:val="20"/>
                <w:szCs w:val="20"/>
              </w:rPr>
              <w:t>de</w:t>
            </w:r>
            <w:r>
              <w:rPr>
                <w:rFonts w:ascii="Calibri" w:eastAsia="Avenir Next LT Pro" w:hAnsi="Calibri" w:cs="Calibri"/>
                <w:b/>
                <w:bCs/>
                <w:color w:val="933634"/>
                <w:spacing w:val="-7"/>
                <w:sz w:val="20"/>
                <w:szCs w:val="20"/>
              </w:rPr>
              <w:t xml:space="preserve"> </w:t>
            </w:r>
            <w:r>
              <w:rPr>
                <w:rFonts w:ascii="Calibri" w:eastAsia="Avenir Next LT Pro" w:hAnsi="Calibri" w:cs="Calibri"/>
                <w:b/>
                <w:bCs/>
                <w:color w:val="933634"/>
                <w:sz w:val="20"/>
                <w:szCs w:val="20"/>
              </w:rPr>
              <w:t>traitement des demandes Mineures</w:t>
            </w:r>
          </w:p>
        </w:tc>
        <w:tc>
          <w:tcPr>
            <w:tcW w:w="4952" w:type="dxa"/>
            <w:tcBorders>
              <w:top w:val="nil"/>
              <w:left w:val="nil"/>
              <w:bottom w:val="single" w:sz="8" w:space="0" w:color="3B892D"/>
              <w:right w:val="single" w:sz="8" w:space="0" w:color="3B892D"/>
            </w:tcBorders>
          </w:tcPr>
          <w:p w14:paraId="67C6C54B" w14:textId="77777777" w:rsidR="006E7EF5" w:rsidRDefault="00AC41B0">
            <w:pPr>
              <w:spacing w:after="120" w:line="240" w:lineRule="auto"/>
              <w:ind w:left="107"/>
              <w:rPr>
                <w:rFonts w:ascii="Calibri" w:hAnsi="Calibri" w:cs="Calibri"/>
              </w:rPr>
            </w:pPr>
            <w:r>
              <w:rPr>
                <w:rFonts w:ascii="Calibri" w:eastAsia="Avenir Next LT Pro" w:hAnsi="Calibri" w:cs="Calibri"/>
                <w:color w:val="000000"/>
                <w:sz w:val="20"/>
                <w:szCs w:val="20"/>
              </w:rPr>
              <w:t>Correction</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livrer</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dans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un</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prochain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train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pacing w:val="-2"/>
                <w:sz w:val="20"/>
                <w:szCs w:val="20"/>
              </w:rPr>
              <w:t>livraison</w:t>
            </w:r>
          </w:p>
          <w:p w14:paraId="4F8BBE43" w14:textId="77777777" w:rsidR="006E7EF5" w:rsidRDefault="00AC41B0">
            <w:pPr>
              <w:spacing w:after="120" w:line="240" w:lineRule="auto"/>
              <w:ind w:left="117"/>
              <w:rPr>
                <w:rFonts w:ascii="Calibri" w:hAnsi="Calibri" w:cs="Calibri"/>
              </w:rPr>
            </w:pPr>
            <w:r>
              <w:rPr>
                <w:rFonts w:ascii="Calibri" w:eastAsia="Avenir Next LT Pro" w:hAnsi="Calibri" w:cs="Calibri"/>
                <w:b/>
                <w:bCs/>
                <w:color w:val="000000"/>
                <w:sz w:val="20"/>
                <w:szCs w:val="20"/>
              </w:rPr>
              <w:t>selon</w:t>
            </w:r>
            <w:r>
              <w:rPr>
                <w:rFonts w:ascii="Calibri" w:eastAsia="Avenir Next LT Pro" w:hAnsi="Calibri" w:cs="Calibri"/>
                <w:b/>
                <w:bCs/>
                <w:color w:val="000000"/>
                <w:spacing w:val="-6"/>
                <w:sz w:val="20"/>
                <w:szCs w:val="20"/>
              </w:rPr>
              <w:t xml:space="preserve"> </w:t>
            </w:r>
            <w:r>
              <w:rPr>
                <w:rFonts w:ascii="Calibri" w:eastAsia="Avenir Next LT Pro" w:hAnsi="Calibri" w:cs="Calibri"/>
                <w:b/>
                <w:bCs/>
                <w:color w:val="000000"/>
                <w:sz w:val="20"/>
                <w:szCs w:val="20"/>
              </w:rPr>
              <w:t>accord</w:t>
            </w:r>
            <w:r>
              <w:rPr>
                <w:rFonts w:ascii="Calibri" w:eastAsia="Avenir Next LT Pro" w:hAnsi="Calibri" w:cs="Calibri"/>
                <w:b/>
                <w:bCs/>
                <w:color w:val="000000"/>
                <w:spacing w:val="-6"/>
                <w:sz w:val="20"/>
                <w:szCs w:val="20"/>
              </w:rPr>
              <w:t xml:space="preserve"> </w:t>
            </w:r>
            <w:r>
              <w:rPr>
                <w:rFonts w:ascii="Calibri" w:eastAsia="Avenir Next LT Pro" w:hAnsi="Calibri" w:cs="Calibri"/>
                <w:b/>
                <w:bCs/>
                <w:color w:val="000000"/>
                <w:sz w:val="20"/>
                <w:szCs w:val="20"/>
              </w:rPr>
              <w:t>MOA/DSI</w:t>
            </w:r>
            <w:r>
              <w:rPr>
                <w:rFonts w:ascii="Calibri" w:eastAsia="Avenir Next LT Pro" w:hAnsi="Calibri" w:cs="Calibri"/>
                <w:b/>
                <w:bCs/>
                <w:color w:val="000000"/>
                <w:spacing w:val="-5"/>
                <w:sz w:val="20"/>
                <w:szCs w:val="20"/>
              </w:rPr>
              <w:t xml:space="preserve"> </w:t>
            </w:r>
            <w:r>
              <w:rPr>
                <w:rFonts w:ascii="Calibri" w:eastAsia="Avenir Next LT Pro" w:hAnsi="Calibri" w:cs="Calibri"/>
                <w:color w:val="000000"/>
                <w:sz w:val="20"/>
                <w:szCs w:val="20"/>
              </w:rPr>
              <w:t>ou</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réponse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livrer</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dans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le cadre des réunions de suivi de la prestation</w:t>
            </w:r>
          </w:p>
        </w:tc>
      </w:tr>
    </w:tbl>
    <w:p w14:paraId="3D6833C9" w14:textId="77777777" w:rsidR="006E7EF5" w:rsidRDefault="00AC41B0">
      <w:pPr>
        <w:spacing w:after="120" w:line="240" w:lineRule="auto"/>
        <w:rPr>
          <w:rFonts w:ascii="Calibri" w:hAnsi="Calibri" w:cs="Calibri"/>
        </w:rPr>
      </w:pPr>
      <w:r>
        <w:rPr>
          <w:rFonts w:ascii="Calibri" w:eastAsia="Avenir Next LT Pro" w:hAnsi="Calibri" w:cs="Calibri"/>
          <w:color w:val="000000"/>
        </w:rPr>
        <w:t> </w:t>
      </w:r>
    </w:p>
    <w:p w14:paraId="6197700C" w14:textId="77777777" w:rsidR="006E7EF5" w:rsidRDefault="00AC41B0">
      <w:pPr>
        <w:spacing w:after="120" w:line="240" w:lineRule="auto"/>
        <w:ind w:left="210" w:right="919"/>
        <w:rPr>
          <w:rFonts w:ascii="Calibri" w:hAnsi="Calibri" w:cs="Calibri"/>
        </w:rPr>
      </w:pPr>
      <w:r>
        <w:rPr>
          <w:rFonts w:ascii="Calibri" w:eastAsia="Avenir Next LT Pro" w:hAnsi="Calibri" w:cs="Calibri"/>
          <w:color w:val="000000"/>
          <w:sz w:val="20"/>
          <w:szCs w:val="20"/>
        </w:rPr>
        <w:t xml:space="preserve">Les heures indiquées dans le tableau ci-dessus correspondent à des heures ouvrées dans la plage 9h- </w:t>
      </w:r>
      <w:r>
        <w:rPr>
          <w:rFonts w:ascii="Calibri" w:eastAsia="Avenir Next LT Pro" w:hAnsi="Calibri" w:cs="Calibri"/>
          <w:color w:val="000000"/>
          <w:spacing w:val="-4"/>
          <w:sz w:val="20"/>
          <w:szCs w:val="20"/>
        </w:rPr>
        <w:t>19h.</w:t>
      </w:r>
    </w:p>
    <w:p w14:paraId="09B267E3" w14:textId="77777777" w:rsidR="006E7EF5" w:rsidRDefault="00AC41B0">
      <w:pPr>
        <w:spacing w:after="120" w:line="240" w:lineRule="auto"/>
        <w:ind w:left="210"/>
        <w:rPr>
          <w:rFonts w:ascii="Calibri" w:hAnsi="Calibri" w:cs="Calibri"/>
        </w:rPr>
      </w:pPr>
      <w:r>
        <w:rPr>
          <w:rFonts w:ascii="Calibri" w:eastAsia="Avenir Next LT Pro" w:hAnsi="Calibri" w:cs="Calibri"/>
          <w:color w:val="000000"/>
          <w:sz w:val="20"/>
          <w:szCs w:val="20"/>
        </w:rPr>
        <w:t>Les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attendus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en</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matière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disponibilité</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solution</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cible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sont</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décrits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ci-</w:t>
      </w:r>
      <w:r>
        <w:rPr>
          <w:rFonts w:ascii="Calibri" w:eastAsia="Avenir Next LT Pro" w:hAnsi="Calibri" w:cs="Calibri"/>
          <w:color w:val="000000"/>
          <w:spacing w:val="-2"/>
          <w:sz w:val="20"/>
          <w:szCs w:val="20"/>
        </w:rPr>
        <w:t>dessous.</w:t>
      </w:r>
    </w:p>
    <w:p w14:paraId="1C4815AE" w14:textId="7777777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Support</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jours</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ouvrés</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9h</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19h</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pacing w:val="-2"/>
          <w:sz w:val="20"/>
          <w:szCs w:val="20"/>
        </w:rPr>
        <w:t>(métropole);</w:t>
      </w:r>
    </w:p>
    <w:p w14:paraId="1474801E" w14:textId="7777777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Services</w:t>
      </w:r>
      <w:r>
        <w:rPr>
          <w:rFonts w:ascii="Calibri" w:eastAsia="Avenir Next LT Pro" w:hAnsi="Calibri" w:cs="Calibri"/>
          <w:color w:val="000000"/>
          <w:spacing w:val="26"/>
          <w:sz w:val="20"/>
          <w:szCs w:val="20"/>
        </w:rPr>
        <w:t xml:space="preserve"> </w:t>
      </w:r>
      <w:r>
        <w:rPr>
          <w:rFonts w:ascii="Calibri" w:eastAsia="Avenir Next LT Pro" w:hAnsi="Calibri" w:cs="Calibri"/>
          <w:color w:val="000000"/>
          <w:sz w:val="20"/>
          <w:szCs w:val="20"/>
        </w:rPr>
        <w:t>applicatifs</w:t>
      </w:r>
      <w:r>
        <w:rPr>
          <w:rFonts w:ascii="Calibri" w:eastAsia="Avenir Next LT Pro" w:hAnsi="Calibri" w:cs="Calibri"/>
          <w:color w:val="000000"/>
          <w:spacing w:val="26"/>
          <w:sz w:val="20"/>
          <w:szCs w:val="20"/>
        </w:rPr>
        <w:t xml:space="preserve"> </w:t>
      </w:r>
      <w:r>
        <w:rPr>
          <w:rFonts w:ascii="Calibri" w:eastAsia="Avenir Next LT Pro" w:hAnsi="Calibri" w:cs="Calibri"/>
          <w:color w:val="000000"/>
          <w:sz w:val="20"/>
          <w:szCs w:val="20"/>
        </w:rPr>
        <w:t>pour</w:t>
      </w:r>
      <w:r>
        <w:rPr>
          <w:rFonts w:ascii="Calibri" w:eastAsia="Avenir Next LT Pro" w:hAnsi="Calibri" w:cs="Calibri"/>
          <w:color w:val="000000"/>
          <w:spacing w:val="26"/>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25"/>
          <w:sz w:val="20"/>
          <w:szCs w:val="20"/>
        </w:rPr>
        <w:t xml:space="preserve"> </w:t>
      </w:r>
      <w:r>
        <w:rPr>
          <w:rFonts w:ascii="Calibri" w:eastAsia="Avenir Next LT Pro" w:hAnsi="Calibri" w:cs="Calibri"/>
          <w:color w:val="000000"/>
          <w:sz w:val="20"/>
          <w:szCs w:val="20"/>
        </w:rPr>
        <w:t>utilisateurs</w:t>
      </w:r>
      <w:r>
        <w:rPr>
          <w:rFonts w:ascii="Calibri" w:eastAsia="Avenir Next LT Pro" w:hAnsi="Calibri" w:cs="Calibri"/>
          <w:color w:val="000000"/>
          <w:spacing w:val="26"/>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26"/>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26"/>
          <w:sz w:val="20"/>
          <w:szCs w:val="20"/>
        </w:rPr>
        <w:t xml:space="preserve"> </w:t>
      </w:r>
      <w:r>
        <w:rPr>
          <w:rFonts w:ascii="Calibri" w:eastAsia="Avenir Next LT Pro" w:hAnsi="Calibri" w:cs="Calibri"/>
          <w:color w:val="000000"/>
          <w:sz w:val="20"/>
          <w:szCs w:val="20"/>
        </w:rPr>
        <w:t>solution</w:t>
      </w:r>
      <w:r>
        <w:rPr>
          <w:rFonts w:ascii="Calibri" w:eastAsia="Avenir Next LT Pro" w:hAnsi="Calibri" w:cs="Calibri"/>
          <w:color w:val="000000"/>
          <w:spacing w:val="25"/>
          <w:sz w:val="20"/>
          <w:szCs w:val="20"/>
        </w:rPr>
        <w:t xml:space="preserve"> </w:t>
      </w:r>
      <w:r>
        <w:rPr>
          <w:rFonts w:ascii="Calibri" w:eastAsia="Avenir Next LT Pro" w:hAnsi="Calibri" w:cs="Calibri"/>
          <w:color w:val="000000"/>
          <w:sz w:val="20"/>
          <w:szCs w:val="20"/>
        </w:rPr>
        <w:t>cible</w:t>
      </w:r>
      <w:r>
        <w:rPr>
          <w:rFonts w:ascii="Calibri" w:eastAsia="Avenir Next LT Pro" w:hAnsi="Calibri" w:cs="Calibri"/>
          <w:color w:val="000000"/>
          <w:spacing w:val="26"/>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25"/>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26"/>
          <w:sz w:val="20"/>
          <w:szCs w:val="20"/>
        </w:rPr>
        <w:t xml:space="preserve"> </w:t>
      </w:r>
      <w:r>
        <w:rPr>
          <w:rFonts w:ascii="Calibri" w:eastAsia="Avenir Next LT Pro" w:hAnsi="Calibri" w:cs="Calibri"/>
          <w:color w:val="000000"/>
          <w:sz w:val="20"/>
          <w:szCs w:val="20"/>
        </w:rPr>
        <w:t>jours</w:t>
      </w:r>
      <w:r>
        <w:rPr>
          <w:rFonts w:ascii="Calibri" w:eastAsia="Avenir Next LT Pro" w:hAnsi="Calibri" w:cs="Calibri"/>
          <w:color w:val="000000"/>
          <w:spacing w:val="26"/>
          <w:sz w:val="20"/>
          <w:szCs w:val="20"/>
        </w:rPr>
        <w:t xml:space="preserve"> </w:t>
      </w:r>
      <w:r>
        <w:rPr>
          <w:rFonts w:ascii="Calibri" w:eastAsia="Avenir Next LT Pro" w:hAnsi="Calibri" w:cs="Calibri"/>
          <w:color w:val="000000"/>
          <w:sz w:val="20"/>
          <w:szCs w:val="20"/>
        </w:rPr>
        <w:t>ouvrés</w:t>
      </w:r>
      <w:r>
        <w:rPr>
          <w:rFonts w:ascii="Calibri" w:eastAsia="Avenir Next LT Pro" w:hAnsi="Calibri" w:cs="Calibri"/>
          <w:color w:val="000000"/>
          <w:spacing w:val="27"/>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25"/>
          <w:sz w:val="20"/>
          <w:szCs w:val="20"/>
        </w:rPr>
        <w:t xml:space="preserve"> </w:t>
      </w:r>
      <w:r>
        <w:rPr>
          <w:rFonts w:ascii="Calibri" w:eastAsia="Avenir Next LT Pro" w:hAnsi="Calibri" w:cs="Calibri"/>
          <w:color w:val="000000"/>
          <w:sz w:val="20"/>
          <w:szCs w:val="20"/>
        </w:rPr>
        <w:t>9h</w:t>
      </w:r>
      <w:r>
        <w:rPr>
          <w:rFonts w:ascii="Calibri" w:eastAsia="Avenir Next LT Pro" w:hAnsi="Calibri" w:cs="Calibri"/>
          <w:color w:val="000000"/>
          <w:spacing w:val="25"/>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26"/>
          <w:sz w:val="20"/>
          <w:szCs w:val="20"/>
        </w:rPr>
        <w:t xml:space="preserve"> </w:t>
      </w:r>
      <w:r>
        <w:rPr>
          <w:rFonts w:ascii="Calibri" w:eastAsia="Avenir Next LT Pro" w:hAnsi="Calibri" w:cs="Calibri"/>
          <w:color w:val="000000"/>
          <w:sz w:val="20"/>
          <w:szCs w:val="20"/>
        </w:rPr>
        <w:t xml:space="preserve">19h </w:t>
      </w:r>
      <w:r>
        <w:rPr>
          <w:rFonts w:ascii="Calibri" w:eastAsia="Avenir Next LT Pro" w:hAnsi="Calibri" w:cs="Calibri"/>
          <w:color w:val="000000"/>
          <w:spacing w:val="-2"/>
          <w:sz w:val="20"/>
          <w:szCs w:val="20"/>
        </w:rPr>
        <w:t>(métropole);</w:t>
      </w:r>
    </w:p>
    <w:p w14:paraId="5463B273" w14:textId="7777777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Délais</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connexion</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&lt;</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5</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pacing w:val="-2"/>
          <w:sz w:val="20"/>
          <w:szCs w:val="20"/>
        </w:rPr>
        <w:t>secondes</w:t>
      </w:r>
    </w:p>
    <w:p w14:paraId="0FC1BE6C" w14:textId="7777777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Délais</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réponse</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l’utilisateur</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pages</w:t>
      </w:r>
      <w:r>
        <w:rPr>
          <w:rFonts w:ascii="Calibri" w:eastAsia="Avenir Next LT Pro" w:hAnsi="Calibri" w:cs="Calibri"/>
          <w:color w:val="000000"/>
          <w:spacing w:val="-1"/>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saisie/consultation</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solution</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&lt;</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3</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secondes dans 96% des demandes.</w:t>
      </w:r>
    </w:p>
    <w:p w14:paraId="67E707AD" w14:textId="4F1E6308" w:rsidR="006E7EF5" w:rsidRDefault="006E7EF5" w:rsidP="00146B95">
      <w:pPr>
        <w:tabs>
          <w:tab w:val="left" w:pos="1063"/>
        </w:tabs>
        <w:spacing w:after="120" w:line="240" w:lineRule="auto"/>
        <w:rPr>
          <w:rFonts w:ascii="Calibri" w:eastAsia="Avenir Next LT Pro" w:hAnsi="Calibri" w:cs="Calibri"/>
          <w:color w:val="000000"/>
        </w:rPr>
      </w:pPr>
    </w:p>
    <w:p w14:paraId="251E6672" w14:textId="77777777" w:rsidR="006E7EF5" w:rsidRDefault="006E7EF5">
      <w:pPr>
        <w:tabs>
          <w:tab w:val="left" w:pos="1063"/>
        </w:tabs>
        <w:spacing w:after="120" w:line="240" w:lineRule="auto"/>
        <w:ind w:left="1062"/>
        <w:rPr>
          <w:rFonts w:ascii="Calibri" w:hAnsi="Calibri" w:cs="Calibri"/>
        </w:rPr>
      </w:pPr>
    </w:p>
    <w:p w14:paraId="1A4CDACA" w14:textId="77777777" w:rsidR="006E7EF5" w:rsidRDefault="00AC41B0">
      <w:pPr>
        <w:pStyle w:val="Titre3"/>
        <w:spacing w:before="0" w:after="120"/>
        <w:rPr>
          <w:rFonts w:ascii="Calibri" w:hAnsi="Calibri"/>
        </w:rPr>
      </w:pPr>
      <w:bookmarkStart w:id="16" w:name="_Toc219386264"/>
      <w:r>
        <w:rPr>
          <w:rFonts w:ascii="Calibri" w:hAnsi="Calibri"/>
          <w:sz w:val="24"/>
          <w:szCs w:val="24"/>
        </w:rPr>
        <w:t>Article 2.2.3 :  Lot 2 - Développements de nouvelles fonctionnalités adaptées au contexte ESR</w:t>
      </w:r>
      <w:bookmarkEnd w:id="16"/>
      <w:r>
        <w:rPr>
          <w:rFonts w:ascii="Calibri" w:hAnsi="Calibri"/>
        </w:rPr>
        <w:tab/>
      </w:r>
    </w:p>
    <w:p w14:paraId="117233C7" w14:textId="25547998" w:rsidR="006E7EF5" w:rsidRDefault="00AC41B0">
      <w:pPr>
        <w:spacing w:after="120" w:line="240" w:lineRule="auto"/>
        <w:ind w:left="210" w:right="913"/>
        <w:jc w:val="both"/>
        <w:rPr>
          <w:rFonts w:ascii="Calibri" w:hAnsi="Calibri" w:cs="Calibri"/>
        </w:rPr>
      </w:pPr>
      <w:r>
        <w:rPr>
          <w:rFonts w:ascii="Calibri" w:eastAsia="Avenir Next LT Pro" w:hAnsi="Calibri" w:cs="Calibri"/>
          <w:color w:val="000000"/>
          <w:sz w:val="20"/>
          <w:szCs w:val="20"/>
        </w:rPr>
        <w:t xml:space="preserve">Des prestations de développements informatiques ad-hoc pour l’ajout de fonctionnalités au noyau </w:t>
      </w:r>
      <w:r>
        <w:rPr>
          <w:rFonts w:ascii="Calibri" w:eastAsia="Avenir Next LT Pro" w:hAnsi="Calibri" w:cs="Calibri"/>
          <w:color w:val="000000" w:themeColor="text1"/>
          <w:spacing w:val="-10"/>
          <w:sz w:val="20"/>
          <w:szCs w:val="20"/>
        </w:rPr>
        <w:t>geOrchestra</w:t>
      </w:r>
      <w:r>
        <w:rPr>
          <w:rFonts w:ascii="Calibri" w:eastAsia="Avenir Next LT Pro" w:hAnsi="Calibri" w:cs="Calibri"/>
          <w:color w:val="000000"/>
          <w:sz w:val="20"/>
          <w:szCs w:val="20"/>
        </w:rPr>
        <w:t xml:space="preserve"> existant seront nécessaires.</w:t>
      </w:r>
    </w:p>
    <w:p w14:paraId="65391C34" w14:textId="77777777" w:rsidR="006E7EF5" w:rsidRDefault="00AC41B0">
      <w:pPr>
        <w:spacing w:after="120" w:line="240" w:lineRule="auto"/>
        <w:ind w:left="210" w:right="921"/>
        <w:jc w:val="both"/>
        <w:rPr>
          <w:rFonts w:ascii="Calibri" w:hAnsi="Calibri" w:cs="Calibri"/>
        </w:rPr>
      </w:pPr>
      <w:r>
        <w:rPr>
          <w:rFonts w:ascii="Calibri" w:eastAsia="Avenir Next LT Pro" w:hAnsi="Calibri" w:cs="Calibri"/>
          <w:color w:val="000000"/>
          <w:sz w:val="20"/>
          <w:szCs w:val="20"/>
        </w:rPr>
        <w:t>Pour la réalisation de ces développements, INRAE et le titulaire fonctionnent en mode agile, avec définitions des attendus au sein d’un backlog puis « code-sprint/itérations de développement ».</w:t>
      </w:r>
    </w:p>
    <w:p w14:paraId="5AFBD899" w14:textId="77777777" w:rsidR="006E7EF5" w:rsidRDefault="00AC41B0">
      <w:pPr>
        <w:spacing w:after="120" w:line="240" w:lineRule="auto"/>
        <w:ind w:left="210" w:right="917"/>
        <w:jc w:val="both"/>
        <w:rPr>
          <w:rFonts w:ascii="Calibri" w:hAnsi="Calibri" w:cs="Calibri"/>
        </w:rPr>
      </w:pPr>
      <w:r>
        <w:rPr>
          <w:rFonts w:ascii="Calibri" w:eastAsia="Avenir Next LT Pro" w:hAnsi="Calibri" w:cs="Calibri"/>
          <w:color w:val="000000"/>
          <w:sz w:val="20"/>
          <w:szCs w:val="20"/>
        </w:rPr>
        <w:t>INRAE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assurera</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rôle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Product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Owner/Propriétaire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du</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produit</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décrira</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et</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priorisera</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éléments du</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backlog</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produit,</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participera</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aux</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cérémoniaux</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l’équipe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(Rétrospective,</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Sprint</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planning,</w:t>
      </w:r>
      <w:r>
        <w:rPr>
          <w:rFonts w:ascii="Calibri" w:eastAsia="Avenir Next LT Pro" w:hAnsi="Calibri" w:cs="Calibri"/>
          <w:color w:val="000000"/>
          <w:spacing w:val="-3"/>
          <w:sz w:val="20"/>
          <w:szCs w:val="20"/>
        </w:rPr>
        <w:t xml:space="preserve"> </w:t>
      </w:r>
      <w:r>
        <w:rPr>
          <w:rFonts w:ascii="Calibri" w:eastAsia="Avenir Next LT Pro" w:hAnsi="Calibri" w:cs="Calibri"/>
          <w:color w:val="000000"/>
          <w:sz w:val="20"/>
          <w:szCs w:val="20"/>
        </w:rPr>
        <w:t>Affinage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du backlog, Sprint review).</w:t>
      </w:r>
    </w:p>
    <w:p w14:paraId="0AB13A08" w14:textId="77777777" w:rsidR="006E7EF5" w:rsidRDefault="00AC41B0">
      <w:pPr>
        <w:spacing w:after="120" w:line="240" w:lineRule="auto"/>
        <w:ind w:left="210"/>
        <w:jc w:val="both"/>
        <w:rPr>
          <w:rFonts w:ascii="Calibri" w:hAnsi="Calibri" w:cs="Calibri"/>
        </w:rPr>
      </w:pPr>
      <w:r>
        <w:rPr>
          <w:rFonts w:ascii="Calibri" w:eastAsia="Avenir Next LT Pro" w:hAnsi="Calibri" w:cs="Calibri"/>
          <w:color w:val="000000"/>
          <w:sz w:val="20"/>
          <w:szCs w:val="20"/>
        </w:rPr>
        <w:t>Le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titulaire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assurera</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rôle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Scrum</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pacing w:val="-2"/>
          <w:sz w:val="20"/>
          <w:szCs w:val="20"/>
        </w:rPr>
        <w:t>master/Facilitant.</w:t>
      </w:r>
    </w:p>
    <w:p w14:paraId="4C0BED38" w14:textId="77777777" w:rsidR="006E7EF5" w:rsidRDefault="00AC41B0">
      <w:pPr>
        <w:spacing w:after="120" w:line="240" w:lineRule="auto"/>
        <w:ind w:left="210"/>
        <w:jc w:val="both"/>
        <w:rPr>
          <w:rFonts w:ascii="Calibri" w:hAnsi="Calibri" w:cs="Calibri"/>
        </w:rPr>
      </w:pPr>
      <w:r>
        <w:rPr>
          <w:rFonts w:ascii="Calibri" w:eastAsia="Avenir Next LT Pro" w:hAnsi="Calibri" w:cs="Calibri"/>
          <w:color w:val="000000"/>
          <w:sz w:val="20"/>
          <w:szCs w:val="20"/>
        </w:rPr>
        <w:t>La</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durée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sprint/itérations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sera</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définie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avec</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titulaire</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pendant</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l’exécution</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du</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pacing w:val="-2"/>
          <w:sz w:val="20"/>
          <w:szCs w:val="20"/>
        </w:rPr>
        <w:t>marché.</w:t>
      </w:r>
    </w:p>
    <w:p w14:paraId="00984C8C" w14:textId="483BB73A" w:rsidR="006E7EF5" w:rsidRDefault="00AC41B0">
      <w:pPr>
        <w:spacing w:after="120" w:line="240" w:lineRule="auto"/>
        <w:ind w:left="210" w:right="919"/>
        <w:rPr>
          <w:rFonts w:ascii="Calibri" w:hAnsi="Calibri" w:cs="Calibri"/>
        </w:rPr>
      </w:pPr>
      <w:r>
        <w:rPr>
          <w:rFonts w:ascii="Calibri" w:eastAsia="Avenir Next LT Pro" w:hAnsi="Calibri" w:cs="Calibri"/>
          <w:color w:val="000000"/>
          <w:sz w:val="20"/>
          <w:szCs w:val="20"/>
        </w:rPr>
        <w:t>Les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développements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réalisés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dans</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cadre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ce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marché</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seront</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intégrés</w:t>
      </w:r>
      <w:r>
        <w:rPr>
          <w:rFonts w:ascii="Calibri" w:eastAsia="Avenir Next LT Pro" w:hAnsi="Calibri" w:cs="Calibri"/>
          <w:color w:val="000000"/>
          <w:spacing w:val="-13"/>
          <w:sz w:val="20"/>
          <w:szCs w:val="20"/>
        </w:rPr>
        <w:t xml:space="preserve"> </w:t>
      </w:r>
      <w:r>
        <w:rPr>
          <w:rFonts w:ascii="Calibri" w:eastAsia="Avenir Next LT Pro" w:hAnsi="Calibri" w:cs="Calibri"/>
          <w:color w:val="000000"/>
          <w:sz w:val="20"/>
          <w:szCs w:val="20"/>
        </w:rPr>
        <w:t>au</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code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source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14"/>
          <w:sz w:val="20"/>
          <w:szCs w:val="20"/>
        </w:rPr>
        <w:t xml:space="preserve"> </w:t>
      </w:r>
      <w:r>
        <w:rPr>
          <w:rFonts w:ascii="Calibri" w:eastAsia="Avenir Next LT Pro" w:hAnsi="Calibri" w:cs="Calibri"/>
          <w:color w:val="000000" w:themeColor="text1"/>
          <w:spacing w:val="-10"/>
          <w:sz w:val="20"/>
          <w:szCs w:val="20"/>
        </w:rPr>
        <w:t>geOrchestra</w:t>
      </w:r>
      <w:r>
        <w:rPr>
          <w:rFonts w:ascii="Calibri" w:eastAsia="Avenir Next LT Pro" w:hAnsi="Calibri" w:cs="Calibri"/>
          <w:color w:val="000000"/>
          <w:sz w:val="20"/>
          <w:szCs w:val="20"/>
        </w:rPr>
        <w:t xml:space="preserve"> afin d’en faire bénéficier la communauté des utilisateurs.</w:t>
      </w:r>
    </w:p>
    <w:p w14:paraId="6DBD4A1C" w14:textId="77777777" w:rsidR="006E7EF5" w:rsidRDefault="00AC41B0">
      <w:pPr>
        <w:spacing w:after="120" w:line="240" w:lineRule="auto"/>
        <w:ind w:left="220" w:right="919" w:hanging="10"/>
        <w:rPr>
          <w:rFonts w:ascii="Calibri" w:hAnsi="Calibri" w:cs="Calibri"/>
        </w:rPr>
      </w:pPr>
      <w:r>
        <w:rPr>
          <w:rFonts w:ascii="Calibri" w:eastAsia="Avenir Next LT Pro" w:hAnsi="Calibri" w:cs="Calibri"/>
          <w:color w:val="000000"/>
          <w:sz w:val="20"/>
          <w:szCs w:val="20"/>
        </w:rPr>
        <w:t>Il</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est</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demandé</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au</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prestataire</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fournir</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un</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Dossier</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d’architecture</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Logiciel</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(DAL)</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afin</w:t>
      </w:r>
      <w:r>
        <w:rPr>
          <w:rFonts w:ascii="Calibri" w:eastAsia="Avenir Next LT Pro" w:hAnsi="Calibri" w:cs="Calibri"/>
          <w:color w:val="000000"/>
          <w:spacing w:val="-12"/>
          <w:sz w:val="20"/>
          <w:szCs w:val="20"/>
        </w:rPr>
        <w:t xml:space="preserve"> </w:t>
      </w:r>
      <w:r>
        <w:rPr>
          <w:rFonts w:ascii="Calibri" w:eastAsia="Avenir Next LT Pro" w:hAnsi="Calibri" w:cs="Calibri"/>
          <w:color w:val="000000"/>
          <w:sz w:val="20"/>
          <w:szCs w:val="20"/>
        </w:rPr>
        <w:t>d’expliquer</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les</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outils et usines logicielles choisies, mises en œuvre et leurs contraintes.</w:t>
      </w:r>
    </w:p>
    <w:p w14:paraId="11D0F74E" w14:textId="77777777" w:rsidR="006E7EF5" w:rsidRDefault="00AC41B0">
      <w:pPr>
        <w:spacing w:after="120" w:line="240" w:lineRule="auto"/>
        <w:ind w:left="210"/>
        <w:rPr>
          <w:rFonts w:ascii="Calibri" w:hAnsi="Calibri" w:cs="Calibri"/>
          <w:color w:val="000000" w:themeColor="text1"/>
        </w:rPr>
      </w:pPr>
      <w:r>
        <w:rPr>
          <w:rFonts w:ascii="Calibri" w:eastAsia="Avenir Next LT Pro" w:hAnsi="Calibri" w:cs="Calibri"/>
          <w:color w:val="000000"/>
          <w:sz w:val="20"/>
          <w:szCs w:val="20"/>
        </w:rPr>
        <w:t>Exe</w:t>
      </w:r>
      <w:r>
        <w:rPr>
          <w:rFonts w:ascii="Calibri" w:eastAsia="Avenir Next LT Pro" w:hAnsi="Calibri" w:cs="Calibri"/>
          <w:color w:val="000000" w:themeColor="text1"/>
          <w:sz w:val="20"/>
          <w:szCs w:val="20"/>
        </w:rPr>
        <w:t>mples</w:t>
      </w:r>
      <w:r>
        <w:rPr>
          <w:rFonts w:ascii="Calibri" w:eastAsia="Avenir Next LT Pro" w:hAnsi="Calibri" w:cs="Calibri"/>
          <w:color w:val="000000" w:themeColor="text1"/>
          <w:spacing w:val="-10"/>
          <w:sz w:val="20"/>
          <w:szCs w:val="20"/>
        </w:rPr>
        <w:t xml:space="preserve"> </w:t>
      </w:r>
      <w:r>
        <w:rPr>
          <w:rFonts w:ascii="Calibri" w:eastAsia="Avenir Next LT Pro" w:hAnsi="Calibri" w:cs="Calibri"/>
          <w:color w:val="000000" w:themeColor="text1"/>
          <w:sz w:val="20"/>
          <w:szCs w:val="20"/>
        </w:rPr>
        <w:t>de</w:t>
      </w:r>
      <w:r>
        <w:rPr>
          <w:rFonts w:ascii="Calibri" w:eastAsia="Avenir Next LT Pro" w:hAnsi="Calibri" w:cs="Calibri"/>
          <w:color w:val="000000" w:themeColor="text1"/>
          <w:spacing w:val="-11"/>
          <w:sz w:val="20"/>
          <w:szCs w:val="20"/>
        </w:rPr>
        <w:t xml:space="preserve"> </w:t>
      </w:r>
      <w:r>
        <w:rPr>
          <w:rFonts w:ascii="Calibri" w:eastAsia="Avenir Next LT Pro" w:hAnsi="Calibri" w:cs="Calibri"/>
          <w:color w:val="000000" w:themeColor="text1"/>
          <w:sz w:val="20"/>
          <w:szCs w:val="20"/>
        </w:rPr>
        <w:t>réalisations</w:t>
      </w:r>
      <w:r>
        <w:rPr>
          <w:rFonts w:ascii="Calibri" w:eastAsia="Avenir Next LT Pro" w:hAnsi="Calibri" w:cs="Calibri"/>
          <w:color w:val="000000" w:themeColor="text1"/>
          <w:spacing w:val="-9"/>
          <w:sz w:val="20"/>
          <w:szCs w:val="20"/>
        </w:rPr>
        <w:t xml:space="preserve"> </w:t>
      </w:r>
      <w:r>
        <w:rPr>
          <w:rFonts w:ascii="Calibri" w:eastAsia="Avenir Next LT Pro" w:hAnsi="Calibri" w:cs="Calibri"/>
          <w:color w:val="000000" w:themeColor="text1"/>
          <w:sz w:val="20"/>
          <w:szCs w:val="20"/>
        </w:rPr>
        <w:t>attendues</w:t>
      </w:r>
      <w:r>
        <w:rPr>
          <w:rFonts w:ascii="Calibri" w:eastAsia="Avenir Next LT Pro" w:hAnsi="Calibri" w:cs="Calibri"/>
          <w:color w:val="000000" w:themeColor="text1"/>
          <w:spacing w:val="-9"/>
          <w:sz w:val="20"/>
          <w:szCs w:val="20"/>
        </w:rPr>
        <w:t xml:space="preserve"> </w:t>
      </w:r>
      <w:r>
        <w:rPr>
          <w:rFonts w:ascii="Calibri" w:eastAsia="Avenir Next LT Pro" w:hAnsi="Calibri" w:cs="Calibri"/>
          <w:color w:val="000000" w:themeColor="text1"/>
          <w:spacing w:val="-10"/>
          <w:sz w:val="20"/>
          <w:szCs w:val="20"/>
        </w:rPr>
        <w:t>:</w:t>
      </w:r>
    </w:p>
    <w:p w14:paraId="21AD7AA1" w14:textId="32D7EEFE" w:rsidR="006E7EF5" w:rsidRDefault="00AC41B0">
      <w:pPr>
        <w:numPr>
          <w:ilvl w:val="0"/>
          <w:numId w:val="15"/>
        </w:numPr>
        <w:spacing w:after="120" w:line="240" w:lineRule="auto"/>
        <w:rPr>
          <w:rFonts w:ascii="Calibri" w:hAnsi="Calibri" w:cs="Calibri"/>
          <w:color w:val="000000" w:themeColor="text1"/>
        </w:rPr>
      </w:pPr>
      <w:r>
        <w:rPr>
          <w:rFonts w:ascii="Calibri" w:eastAsia="Avenir Next LT Pro" w:hAnsi="Calibri" w:cs="Calibri"/>
          <w:color w:val="000000" w:themeColor="text1"/>
          <w:spacing w:val="-10"/>
          <w:sz w:val="20"/>
          <w:szCs w:val="20"/>
        </w:rPr>
        <w:t>- Dans geOrchestra</w:t>
      </w:r>
      <w:r>
        <w:rPr>
          <w:rFonts w:ascii="Calibri" w:eastAsia="Avenir Next LT Pro" w:hAnsi="Calibri" w:cs="Calibri"/>
          <w:color w:val="000000" w:themeColor="text1"/>
          <w:sz w:val="20"/>
          <w:szCs w:val="20"/>
        </w:rPr>
        <w:t>Développement de composant permettant l’annotation de carte à l’aide de grille</w:t>
      </w:r>
    </w:p>
    <w:p w14:paraId="17462FDB" w14:textId="77777777" w:rsidR="006E7EF5" w:rsidRDefault="00AC41B0">
      <w:pPr>
        <w:numPr>
          <w:ilvl w:val="0"/>
          <w:numId w:val="2"/>
        </w:numPr>
        <w:tabs>
          <w:tab w:val="left" w:pos="1063"/>
        </w:tabs>
        <w:spacing w:after="120" w:line="240" w:lineRule="auto"/>
        <w:rPr>
          <w:rFonts w:ascii="Calibri" w:eastAsia="Avenir Next LT Pro" w:hAnsi="Calibri" w:cs="Calibri"/>
          <w:color w:val="000000" w:themeColor="text1"/>
          <w:sz w:val="20"/>
          <w:szCs w:val="20"/>
        </w:rPr>
      </w:pPr>
      <w:r>
        <w:rPr>
          <w:rFonts w:ascii="Calibri" w:eastAsia="Avenir Next LT Pro" w:hAnsi="Calibri" w:cs="Calibri"/>
          <w:color w:val="000000" w:themeColor="text1"/>
          <w:sz w:val="20"/>
          <w:szCs w:val="20"/>
        </w:rPr>
        <w:t>Intégration du format de catalogue STAC (SpatioTemporal Asset Catalogs)</w:t>
      </w:r>
    </w:p>
    <w:p w14:paraId="7AA6B554" w14:textId="77777777" w:rsidR="006E7EF5" w:rsidRDefault="00AC41B0">
      <w:pPr>
        <w:numPr>
          <w:ilvl w:val="0"/>
          <w:numId w:val="2"/>
        </w:numPr>
        <w:tabs>
          <w:tab w:val="left" w:pos="1063"/>
        </w:tabs>
        <w:spacing w:after="120" w:line="240" w:lineRule="auto"/>
        <w:rPr>
          <w:rFonts w:ascii="Calibri" w:eastAsia="Avenir Next LT Pro" w:hAnsi="Calibri" w:cs="Calibri"/>
          <w:color w:val="000000" w:themeColor="text1"/>
          <w:sz w:val="20"/>
          <w:szCs w:val="20"/>
        </w:rPr>
      </w:pPr>
      <w:r>
        <w:rPr>
          <w:rFonts w:ascii="Calibri" w:eastAsia="Avenir Next LT Pro" w:hAnsi="Calibri" w:cs="Calibri"/>
          <w:color w:val="000000" w:themeColor="text1"/>
          <w:sz w:val="20"/>
          <w:szCs w:val="20"/>
        </w:rPr>
        <w:lastRenderedPageBreak/>
        <w:t>Délégation de droits</w:t>
      </w:r>
    </w:p>
    <w:p w14:paraId="6887505F" w14:textId="379788EF" w:rsidR="006E7EF5" w:rsidRDefault="00AC41B0">
      <w:pPr>
        <w:tabs>
          <w:tab w:val="left" w:pos="1063"/>
        </w:tabs>
        <w:spacing w:after="120" w:line="240" w:lineRule="auto"/>
        <w:rPr>
          <w:rFonts w:ascii="Calibri" w:eastAsia="Avenir Next LT Pro" w:hAnsi="Calibri" w:cs="Calibri"/>
          <w:color w:val="000000" w:themeColor="text1"/>
          <w:sz w:val="20"/>
          <w:szCs w:val="20"/>
        </w:rPr>
      </w:pPr>
      <w:r>
        <w:rPr>
          <w:rFonts w:ascii="Calibri" w:eastAsia="Avenir Next LT Pro" w:hAnsi="Calibri" w:cs="Calibri"/>
          <w:color w:val="000000" w:themeColor="text1"/>
          <w:sz w:val="20"/>
          <w:szCs w:val="20"/>
        </w:rPr>
        <w:t>- Dans l’environnement de l’IDG</w:t>
      </w:r>
      <w:r w:rsidR="00F66E0E">
        <w:rPr>
          <w:rFonts w:ascii="Calibri" w:eastAsia="Avenir Next LT Pro" w:hAnsi="Calibri" w:cs="Calibri"/>
          <w:color w:val="000000" w:themeColor="text1"/>
          <w:sz w:val="20"/>
          <w:szCs w:val="20"/>
        </w:rPr>
        <w:t xml:space="preserve"> : </w:t>
      </w:r>
    </w:p>
    <w:p w14:paraId="27319AEE" w14:textId="77777777" w:rsidR="006E7EF5" w:rsidRDefault="00AC41B0" w:rsidP="00F66E0E">
      <w:pPr>
        <w:numPr>
          <w:ilvl w:val="0"/>
          <w:numId w:val="16"/>
        </w:numPr>
        <w:tabs>
          <w:tab w:val="left" w:pos="1063"/>
        </w:tabs>
        <w:spacing w:after="120" w:line="240" w:lineRule="auto"/>
      </w:pPr>
      <w:r>
        <w:t>Développement de services de visualisation s’appuyant sur le composant Mviewer</w:t>
      </w:r>
    </w:p>
    <w:p w14:paraId="77D7D1F4" w14:textId="77777777" w:rsidR="006E7EF5" w:rsidRDefault="006E7EF5">
      <w:pPr>
        <w:tabs>
          <w:tab w:val="left" w:pos="1063"/>
        </w:tabs>
        <w:spacing w:after="120" w:line="240" w:lineRule="auto"/>
        <w:ind w:left="1783"/>
      </w:pPr>
    </w:p>
    <w:p w14:paraId="2D9E84E3" w14:textId="77777777" w:rsidR="006E7EF5" w:rsidRDefault="00AC41B0">
      <w:pPr>
        <w:spacing w:after="120" w:line="240" w:lineRule="auto"/>
        <w:ind w:left="210" w:right="919"/>
        <w:rPr>
          <w:rFonts w:ascii="Calibri" w:hAnsi="Calibri" w:cs="Calibri"/>
        </w:rPr>
      </w:pPr>
      <w:r>
        <w:rPr>
          <w:rFonts w:ascii="Calibri" w:eastAsia="Avenir Next LT Pro" w:hAnsi="Calibri" w:cs="Calibri"/>
          <w:color w:val="000000"/>
          <w:sz w:val="20"/>
          <w:szCs w:val="20"/>
        </w:rPr>
        <w:t>Pour</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ce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lot,</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INRAE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souhaite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se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doter</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d’un</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mode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gestion</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2"/>
          <w:sz w:val="20"/>
          <w:szCs w:val="20"/>
        </w:rPr>
        <w:t xml:space="preserve"> </w:t>
      </w:r>
      <w:r>
        <w:rPr>
          <w:rFonts w:ascii="Calibri" w:eastAsia="Avenir Next LT Pro" w:hAnsi="Calibri" w:cs="Calibri"/>
          <w:color w:val="000000"/>
          <w:sz w:val="20"/>
          <w:szCs w:val="20"/>
        </w:rPr>
        <w:t>plus</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flexible</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possible</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permettant</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d’assurer l’ensemble des prestations.</w:t>
      </w:r>
    </w:p>
    <w:p w14:paraId="355CCD0F" w14:textId="77777777" w:rsidR="006E7EF5" w:rsidRDefault="00AC41B0">
      <w:pPr>
        <w:spacing w:after="120" w:line="240" w:lineRule="auto"/>
        <w:ind w:left="210"/>
        <w:rPr>
          <w:rFonts w:ascii="Calibri" w:hAnsi="Calibri" w:cs="Calibri"/>
        </w:rPr>
      </w:pPr>
      <w:r>
        <w:rPr>
          <w:rFonts w:ascii="Calibri" w:eastAsia="Avenir Next LT Pro" w:hAnsi="Calibri" w:cs="Calibri"/>
          <w:color w:val="000000"/>
          <w:sz w:val="20"/>
          <w:szCs w:val="20"/>
        </w:rPr>
        <w:t>Celles-ci</w:t>
      </w:r>
      <w:r>
        <w:rPr>
          <w:rFonts w:ascii="Calibri" w:eastAsia="Avenir Next LT Pro" w:hAnsi="Calibri" w:cs="Calibri"/>
          <w:color w:val="000000"/>
          <w:spacing w:val="30"/>
          <w:sz w:val="20"/>
          <w:szCs w:val="20"/>
        </w:rPr>
        <w:t xml:space="preserve"> </w:t>
      </w:r>
      <w:r>
        <w:rPr>
          <w:rFonts w:ascii="Calibri" w:eastAsia="Avenir Next LT Pro" w:hAnsi="Calibri" w:cs="Calibri"/>
          <w:color w:val="000000"/>
          <w:sz w:val="20"/>
          <w:szCs w:val="20"/>
        </w:rPr>
        <w:t>sont</w:t>
      </w:r>
      <w:r>
        <w:rPr>
          <w:rFonts w:ascii="Calibri" w:eastAsia="Avenir Next LT Pro" w:hAnsi="Calibri" w:cs="Calibri"/>
          <w:color w:val="000000"/>
          <w:spacing w:val="31"/>
          <w:sz w:val="20"/>
          <w:szCs w:val="20"/>
        </w:rPr>
        <w:t xml:space="preserve"> </w:t>
      </w:r>
      <w:r>
        <w:rPr>
          <w:rFonts w:ascii="Calibri" w:eastAsia="Avenir Next LT Pro" w:hAnsi="Calibri" w:cs="Calibri"/>
          <w:color w:val="000000"/>
          <w:sz w:val="20"/>
          <w:szCs w:val="20"/>
        </w:rPr>
        <w:t>donc</w:t>
      </w:r>
      <w:r>
        <w:rPr>
          <w:rFonts w:ascii="Calibri" w:eastAsia="Avenir Next LT Pro" w:hAnsi="Calibri" w:cs="Calibri"/>
          <w:color w:val="000000"/>
          <w:spacing w:val="32"/>
          <w:sz w:val="20"/>
          <w:szCs w:val="20"/>
        </w:rPr>
        <w:t xml:space="preserve"> </w:t>
      </w:r>
      <w:r>
        <w:rPr>
          <w:rFonts w:ascii="Calibri" w:eastAsia="Avenir Next LT Pro" w:hAnsi="Calibri" w:cs="Calibri"/>
          <w:color w:val="000000"/>
          <w:sz w:val="20"/>
          <w:szCs w:val="20"/>
        </w:rPr>
        <w:t>formalisées</w:t>
      </w:r>
      <w:r>
        <w:rPr>
          <w:rFonts w:ascii="Calibri" w:eastAsia="Avenir Next LT Pro" w:hAnsi="Calibri" w:cs="Calibri"/>
          <w:color w:val="000000"/>
          <w:spacing w:val="32"/>
          <w:sz w:val="20"/>
          <w:szCs w:val="20"/>
        </w:rPr>
        <w:t xml:space="preserve"> </w:t>
      </w:r>
      <w:r>
        <w:rPr>
          <w:rFonts w:ascii="Calibri" w:eastAsia="Avenir Next LT Pro" w:hAnsi="Calibri" w:cs="Calibri"/>
          <w:color w:val="000000"/>
          <w:sz w:val="20"/>
          <w:szCs w:val="20"/>
        </w:rPr>
        <w:t>par</w:t>
      </w:r>
      <w:r>
        <w:rPr>
          <w:rFonts w:ascii="Calibri" w:eastAsia="Avenir Next LT Pro" w:hAnsi="Calibri" w:cs="Calibri"/>
          <w:color w:val="000000"/>
          <w:spacing w:val="32"/>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33"/>
          <w:sz w:val="20"/>
          <w:szCs w:val="20"/>
        </w:rPr>
        <w:t xml:space="preserve"> </w:t>
      </w:r>
      <w:r>
        <w:rPr>
          <w:rFonts w:ascii="Calibri" w:eastAsia="Avenir Next LT Pro" w:hAnsi="Calibri" w:cs="Calibri"/>
          <w:color w:val="000000"/>
          <w:sz w:val="20"/>
          <w:szCs w:val="20"/>
        </w:rPr>
        <w:t>biais</w:t>
      </w:r>
      <w:r>
        <w:rPr>
          <w:rFonts w:ascii="Calibri" w:eastAsia="Avenir Next LT Pro" w:hAnsi="Calibri" w:cs="Calibri"/>
          <w:color w:val="000000"/>
          <w:spacing w:val="32"/>
          <w:sz w:val="20"/>
          <w:szCs w:val="20"/>
        </w:rPr>
        <w:t xml:space="preserve"> </w:t>
      </w:r>
      <w:r>
        <w:rPr>
          <w:rFonts w:ascii="Calibri" w:eastAsia="Avenir Next LT Pro" w:hAnsi="Calibri" w:cs="Calibri"/>
          <w:color w:val="000000"/>
          <w:sz w:val="20"/>
          <w:szCs w:val="20"/>
        </w:rPr>
        <w:t>d’Unités</w:t>
      </w:r>
      <w:r>
        <w:rPr>
          <w:rFonts w:ascii="Calibri" w:eastAsia="Avenir Next LT Pro" w:hAnsi="Calibri" w:cs="Calibri"/>
          <w:color w:val="000000"/>
          <w:spacing w:val="34"/>
          <w:sz w:val="20"/>
          <w:szCs w:val="20"/>
        </w:rPr>
        <w:t xml:space="preserve"> </w:t>
      </w:r>
      <w:r>
        <w:rPr>
          <w:rFonts w:ascii="Calibri" w:eastAsia="Avenir Next LT Pro" w:hAnsi="Calibri" w:cs="Calibri"/>
          <w:color w:val="000000"/>
          <w:sz w:val="20"/>
          <w:szCs w:val="20"/>
        </w:rPr>
        <w:t>d’œuvre</w:t>
      </w:r>
      <w:r>
        <w:rPr>
          <w:rFonts w:ascii="Calibri" w:eastAsia="Avenir Next LT Pro" w:hAnsi="Calibri" w:cs="Calibri"/>
          <w:color w:val="000000"/>
          <w:spacing w:val="31"/>
          <w:sz w:val="20"/>
          <w:szCs w:val="20"/>
        </w:rPr>
        <w:t xml:space="preserve"> </w:t>
      </w:r>
      <w:r>
        <w:rPr>
          <w:rFonts w:ascii="Calibri" w:eastAsia="Avenir Next LT Pro" w:hAnsi="Calibri" w:cs="Calibri"/>
          <w:color w:val="000000"/>
          <w:sz w:val="20"/>
          <w:szCs w:val="20"/>
        </w:rPr>
        <w:t>(UO)</w:t>
      </w:r>
      <w:r>
        <w:rPr>
          <w:rFonts w:ascii="Calibri" w:eastAsia="Avenir Next LT Pro" w:hAnsi="Calibri" w:cs="Calibri"/>
          <w:color w:val="000000"/>
          <w:spacing w:val="32"/>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31"/>
          <w:sz w:val="20"/>
          <w:szCs w:val="20"/>
        </w:rPr>
        <w:t xml:space="preserve"> </w:t>
      </w:r>
      <w:r>
        <w:rPr>
          <w:rFonts w:ascii="Calibri" w:eastAsia="Avenir Next LT Pro" w:hAnsi="Calibri" w:cs="Calibri"/>
          <w:color w:val="000000"/>
          <w:sz w:val="20"/>
          <w:szCs w:val="20"/>
        </w:rPr>
        <w:t>bons</w:t>
      </w:r>
      <w:r>
        <w:rPr>
          <w:rFonts w:ascii="Calibri" w:eastAsia="Avenir Next LT Pro" w:hAnsi="Calibri" w:cs="Calibri"/>
          <w:color w:val="000000"/>
          <w:spacing w:val="32"/>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33"/>
          <w:sz w:val="20"/>
          <w:szCs w:val="20"/>
        </w:rPr>
        <w:t xml:space="preserve"> </w:t>
      </w:r>
      <w:r>
        <w:rPr>
          <w:rFonts w:ascii="Calibri" w:eastAsia="Avenir Next LT Pro" w:hAnsi="Calibri" w:cs="Calibri"/>
          <w:color w:val="000000"/>
          <w:sz w:val="20"/>
          <w:szCs w:val="20"/>
        </w:rPr>
        <w:t>commande.</w:t>
      </w:r>
      <w:r>
        <w:rPr>
          <w:rFonts w:ascii="Calibri" w:eastAsia="Avenir Next LT Pro" w:hAnsi="Calibri" w:cs="Calibri"/>
          <w:color w:val="000000"/>
          <w:spacing w:val="31"/>
          <w:sz w:val="20"/>
          <w:szCs w:val="20"/>
        </w:rPr>
        <w:t xml:space="preserve"> </w:t>
      </w:r>
      <w:r>
        <w:rPr>
          <w:rFonts w:ascii="Calibri" w:eastAsia="Avenir Next LT Pro" w:hAnsi="Calibri" w:cs="Calibri"/>
          <w:color w:val="000000"/>
          <w:sz w:val="20"/>
          <w:szCs w:val="20"/>
        </w:rPr>
        <w:t>Ces</w:t>
      </w:r>
      <w:r>
        <w:rPr>
          <w:rFonts w:ascii="Calibri" w:eastAsia="Avenir Next LT Pro" w:hAnsi="Calibri" w:cs="Calibri"/>
          <w:color w:val="000000"/>
          <w:spacing w:val="32"/>
          <w:sz w:val="20"/>
          <w:szCs w:val="20"/>
        </w:rPr>
        <w:t xml:space="preserve"> </w:t>
      </w:r>
      <w:r>
        <w:rPr>
          <w:rFonts w:ascii="Calibri" w:eastAsia="Avenir Next LT Pro" w:hAnsi="Calibri" w:cs="Calibri"/>
          <w:color w:val="000000"/>
          <w:sz w:val="20"/>
          <w:szCs w:val="20"/>
        </w:rPr>
        <w:t>UO correspondent à des prestations à prix forfaitisés ou à des prestations unitaires à prix en jour/homme.</w:t>
      </w:r>
    </w:p>
    <w:p w14:paraId="44339510" w14:textId="77777777" w:rsidR="006E7EF5" w:rsidRDefault="00AC41B0">
      <w:pPr>
        <w:spacing w:after="120" w:line="240" w:lineRule="auto"/>
        <w:ind w:left="210"/>
        <w:rPr>
          <w:rFonts w:ascii="Calibri" w:hAnsi="Calibri" w:cs="Calibri"/>
        </w:rPr>
      </w:pPr>
      <w:r>
        <w:rPr>
          <w:rFonts w:ascii="Calibri" w:eastAsia="Avenir Next LT Pro" w:hAnsi="Calibri" w:cs="Calibri"/>
          <w:color w:val="000000"/>
          <w:sz w:val="20"/>
          <w:szCs w:val="20"/>
        </w:rPr>
        <w:t>Les</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prestations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unitaires</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sont</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type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pacing w:val="-10"/>
          <w:sz w:val="20"/>
          <w:szCs w:val="20"/>
        </w:rPr>
        <w:t>:</w:t>
      </w:r>
    </w:p>
    <w:p w14:paraId="09EA4DC6" w14:textId="5C16FB6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DEV</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7"/>
          <w:sz w:val="20"/>
          <w:szCs w:val="20"/>
        </w:rPr>
        <w:t xml:space="preserve"> </w:t>
      </w:r>
      <w:r>
        <w:rPr>
          <w:rFonts w:ascii="Calibri" w:eastAsia="Avenir Next LT Pro" w:hAnsi="Calibri" w:cs="Calibri"/>
          <w:color w:val="000000"/>
          <w:sz w:val="20"/>
          <w:szCs w:val="20"/>
        </w:rPr>
        <w:t>développeur</w:t>
      </w:r>
      <w:r>
        <w:rPr>
          <w:rFonts w:ascii="Calibri" w:eastAsia="Avenir Next LT Pro" w:hAnsi="Calibri" w:cs="Calibri"/>
          <w:color w:val="000000"/>
          <w:spacing w:val="-8"/>
          <w:sz w:val="20"/>
          <w:szCs w:val="20"/>
        </w:rPr>
        <w:t xml:space="preserve"> </w:t>
      </w:r>
      <w:r>
        <w:rPr>
          <w:rFonts w:ascii="Calibri" w:eastAsia="Avenir Next LT Pro" w:hAnsi="Calibri" w:cs="Calibri"/>
          <w:color w:val="000000" w:themeColor="text1"/>
          <w:spacing w:val="-10"/>
          <w:sz w:val="20"/>
          <w:szCs w:val="20"/>
        </w:rPr>
        <w:t>geOrchestra</w:t>
      </w:r>
    </w:p>
    <w:p w14:paraId="7CB658ED" w14:textId="787AC7F7" w:rsidR="006E7EF5" w:rsidRDefault="00AC41B0">
      <w:pPr>
        <w:numPr>
          <w:ilvl w:val="0"/>
          <w:numId w:val="2"/>
        </w:numPr>
        <w:tabs>
          <w:tab w:val="left" w:pos="1063"/>
        </w:tabs>
        <w:spacing w:after="120" w:line="240" w:lineRule="auto"/>
        <w:rPr>
          <w:rFonts w:ascii="Calibri" w:hAnsi="Calibri" w:cs="Calibri"/>
        </w:rPr>
      </w:pPr>
      <w:r>
        <w:rPr>
          <w:rFonts w:ascii="Calibri" w:eastAsia="Avenir Next LT Pro" w:hAnsi="Calibri" w:cs="Calibri"/>
          <w:color w:val="000000"/>
          <w:sz w:val="20"/>
          <w:szCs w:val="20"/>
        </w:rPr>
        <w:t>EXP</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w:t>
      </w:r>
      <w:r>
        <w:rPr>
          <w:rFonts w:ascii="Calibri" w:eastAsia="Avenir Next LT Pro" w:hAnsi="Calibri" w:cs="Calibri"/>
          <w:color w:val="000000"/>
          <w:spacing w:val="-4"/>
          <w:sz w:val="20"/>
          <w:szCs w:val="20"/>
        </w:rPr>
        <w:t xml:space="preserve"> </w:t>
      </w:r>
      <w:r>
        <w:rPr>
          <w:rFonts w:ascii="Calibri" w:eastAsia="Avenir Next LT Pro" w:hAnsi="Calibri" w:cs="Calibri"/>
          <w:color w:val="000000"/>
          <w:sz w:val="20"/>
          <w:szCs w:val="20"/>
        </w:rPr>
        <w:t>expert</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de</w:t>
      </w:r>
      <w:r>
        <w:rPr>
          <w:rFonts w:ascii="Calibri" w:eastAsia="Avenir Next LT Pro" w:hAnsi="Calibri" w:cs="Calibri"/>
          <w:color w:val="000000"/>
          <w:spacing w:val="-5"/>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6"/>
          <w:sz w:val="20"/>
          <w:szCs w:val="20"/>
        </w:rPr>
        <w:t xml:space="preserve"> </w:t>
      </w:r>
      <w:r>
        <w:rPr>
          <w:rFonts w:ascii="Calibri" w:eastAsia="Avenir Next LT Pro" w:hAnsi="Calibri" w:cs="Calibri"/>
          <w:color w:val="000000"/>
          <w:sz w:val="20"/>
          <w:szCs w:val="20"/>
        </w:rPr>
        <w:t>solution</w:t>
      </w:r>
      <w:r>
        <w:rPr>
          <w:rFonts w:ascii="Calibri" w:eastAsia="Avenir Next LT Pro" w:hAnsi="Calibri" w:cs="Calibri"/>
          <w:color w:val="000000"/>
          <w:spacing w:val="-4"/>
          <w:sz w:val="20"/>
          <w:szCs w:val="20"/>
        </w:rPr>
        <w:t xml:space="preserve"> </w:t>
      </w:r>
      <w:r>
        <w:rPr>
          <w:rFonts w:ascii="Calibri" w:eastAsia="Avenir Next LT Pro" w:hAnsi="Calibri" w:cs="Calibri"/>
          <w:color w:val="000000" w:themeColor="text1"/>
          <w:spacing w:val="-10"/>
          <w:sz w:val="20"/>
          <w:szCs w:val="20"/>
        </w:rPr>
        <w:t>geOrchestra</w:t>
      </w:r>
    </w:p>
    <w:p w14:paraId="7A7E7E8B" w14:textId="77777777" w:rsidR="006E7EF5" w:rsidRDefault="00AC41B0">
      <w:pPr>
        <w:spacing w:after="120" w:line="240" w:lineRule="auto"/>
        <w:ind w:left="210" w:right="911"/>
        <w:jc w:val="both"/>
        <w:rPr>
          <w:rFonts w:ascii="Calibri" w:eastAsia="Avenir Next LT Pro" w:hAnsi="Calibri" w:cs="Calibri"/>
          <w:color w:val="03A2A6"/>
          <w:sz w:val="28"/>
        </w:rPr>
      </w:pPr>
      <w:r>
        <w:rPr>
          <w:rFonts w:ascii="Calibri" w:eastAsia="Avenir Next LT Pro" w:hAnsi="Calibri" w:cs="Calibri"/>
          <w:color w:val="000000"/>
          <w:sz w:val="20"/>
          <w:szCs w:val="20"/>
        </w:rPr>
        <w:t>En</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préalable</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à</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toute</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commande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d’INRAE,</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le</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titulaire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devra</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émettre</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un</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devis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chiffré</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sur</w:t>
      </w:r>
      <w:r>
        <w:rPr>
          <w:rFonts w:ascii="Calibri" w:eastAsia="Avenir Next LT Pro" w:hAnsi="Calibri" w:cs="Calibri"/>
          <w:color w:val="000000"/>
          <w:spacing w:val="-10"/>
          <w:sz w:val="20"/>
          <w:szCs w:val="20"/>
        </w:rPr>
        <w:t xml:space="preserve"> </w:t>
      </w:r>
      <w:r>
        <w:rPr>
          <w:rFonts w:ascii="Calibri" w:eastAsia="Avenir Next LT Pro" w:hAnsi="Calibri" w:cs="Calibri"/>
          <w:color w:val="000000"/>
          <w:sz w:val="20"/>
          <w:szCs w:val="20"/>
        </w:rPr>
        <w:t>la</w:t>
      </w:r>
      <w:r>
        <w:rPr>
          <w:rFonts w:ascii="Calibri" w:eastAsia="Avenir Next LT Pro" w:hAnsi="Calibri" w:cs="Calibri"/>
          <w:color w:val="000000"/>
          <w:spacing w:val="-11"/>
          <w:sz w:val="20"/>
          <w:szCs w:val="20"/>
        </w:rPr>
        <w:t xml:space="preserve"> </w:t>
      </w:r>
      <w:r>
        <w:rPr>
          <w:rFonts w:ascii="Calibri" w:eastAsia="Avenir Next LT Pro" w:hAnsi="Calibri" w:cs="Calibri"/>
          <w:color w:val="000000"/>
          <w:sz w:val="20"/>
          <w:szCs w:val="20"/>
        </w:rPr>
        <w:t>base</w:t>
      </w:r>
      <w:r>
        <w:rPr>
          <w:rFonts w:ascii="Calibri" w:eastAsia="Avenir Next LT Pro" w:hAnsi="Calibri" w:cs="Calibri"/>
          <w:color w:val="000000"/>
          <w:spacing w:val="-8"/>
          <w:sz w:val="20"/>
          <w:szCs w:val="20"/>
        </w:rPr>
        <w:t xml:space="preserve"> </w:t>
      </w:r>
      <w:r>
        <w:rPr>
          <w:rFonts w:ascii="Calibri" w:eastAsia="Avenir Next LT Pro" w:hAnsi="Calibri" w:cs="Calibri"/>
          <w:color w:val="000000"/>
          <w:sz w:val="20"/>
          <w:szCs w:val="20"/>
        </w:rPr>
        <w:t>des</w:t>
      </w:r>
      <w:r>
        <w:rPr>
          <w:rFonts w:ascii="Calibri" w:eastAsia="Avenir Next LT Pro" w:hAnsi="Calibri" w:cs="Calibri"/>
          <w:color w:val="000000"/>
          <w:spacing w:val="-9"/>
          <w:sz w:val="20"/>
          <w:szCs w:val="20"/>
        </w:rPr>
        <w:t xml:space="preserve"> </w:t>
      </w:r>
      <w:r>
        <w:rPr>
          <w:rFonts w:ascii="Calibri" w:eastAsia="Avenir Next LT Pro" w:hAnsi="Calibri" w:cs="Calibri"/>
          <w:color w:val="000000"/>
          <w:sz w:val="20"/>
          <w:szCs w:val="20"/>
        </w:rPr>
        <w:t xml:space="preserve">unités d’œuvre de l’accord-cadre précisant la typologie de l’unité d’œuvre et le nombre d’unités proposé. La commande de la prestation correspondant au devis forfaitise la prestation et l’obligation de résultat du </w:t>
      </w:r>
      <w:r>
        <w:rPr>
          <w:rFonts w:ascii="Calibri" w:eastAsia="Avenir Next LT Pro" w:hAnsi="Calibri" w:cs="Calibri"/>
          <w:color w:val="000000"/>
          <w:spacing w:val="-2"/>
          <w:sz w:val="20"/>
          <w:szCs w:val="20"/>
        </w:rPr>
        <w:t>titulaire.</w:t>
      </w:r>
      <w:r>
        <w:rPr>
          <w:rFonts w:ascii="Calibri" w:eastAsia="Avenir Next LT Pro" w:hAnsi="Calibri" w:cs="Calibri"/>
          <w:color w:val="03A2A6"/>
          <w:sz w:val="28"/>
        </w:rPr>
        <w:tab/>
      </w:r>
    </w:p>
    <w:p w14:paraId="0F9F4700" w14:textId="5EE71BDA" w:rsidR="006E7EF5" w:rsidRDefault="006E7EF5">
      <w:pPr>
        <w:rPr>
          <w:rFonts w:ascii="Calibri" w:hAnsi="Calibri" w:cs="Calibri"/>
        </w:rPr>
      </w:pPr>
    </w:p>
    <w:p w14:paraId="6C7380F2" w14:textId="77777777" w:rsidR="006E7EF5" w:rsidRDefault="006E7EF5" w:rsidP="00146B95">
      <w:pPr>
        <w:spacing w:after="120" w:line="240" w:lineRule="auto"/>
        <w:ind w:right="911"/>
        <w:jc w:val="both"/>
        <w:rPr>
          <w:rFonts w:ascii="Calibri" w:hAnsi="Calibri" w:cs="Calibri"/>
        </w:rPr>
      </w:pPr>
    </w:p>
    <w:p w14:paraId="2626BBBA" w14:textId="656C5940" w:rsidR="006E7EF5" w:rsidRDefault="00AC41B0">
      <w:pPr>
        <w:pStyle w:val="Titre1"/>
        <w:spacing w:before="0" w:after="120"/>
        <w:jc w:val="left"/>
        <w:rPr>
          <w:rFonts w:ascii="Calibri" w:hAnsi="Calibri"/>
          <w:sz w:val="32"/>
          <w:szCs w:val="32"/>
        </w:rPr>
      </w:pPr>
      <w:bookmarkStart w:id="17" w:name="_Toc31886504"/>
      <w:bookmarkStart w:id="18" w:name="_Toc219386265"/>
      <w:bookmarkEnd w:id="17"/>
      <w:r>
        <w:rPr>
          <w:rFonts w:ascii="Calibri" w:hAnsi="Calibri"/>
          <w:sz w:val="32"/>
          <w:szCs w:val="32"/>
        </w:rPr>
        <w:t>Article 3 : Exigences réglementaires de confidentialité et sécurisation des données applicables au titulaire et ses sous-traitants</w:t>
      </w:r>
      <w:bookmarkEnd w:id="18"/>
      <w:r>
        <w:rPr>
          <w:rFonts w:ascii="Calibri" w:hAnsi="Calibri"/>
          <w:sz w:val="32"/>
          <w:szCs w:val="32"/>
        </w:rPr>
        <w:t xml:space="preserve"> </w:t>
      </w:r>
    </w:p>
    <w:p w14:paraId="36FC9321" w14:textId="77777777" w:rsidR="006E7EF5" w:rsidRDefault="006E7EF5">
      <w:pPr>
        <w:tabs>
          <w:tab w:val="left" w:pos="576"/>
        </w:tabs>
        <w:spacing w:after="120" w:line="240" w:lineRule="auto"/>
        <w:ind w:left="210" w:right="911"/>
        <w:jc w:val="both"/>
        <w:rPr>
          <w:rFonts w:ascii="Calibri" w:hAnsi="Calibri" w:cs="Calibri"/>
          <w:b/>
          <w:bCs/>
          <w:iCs/>
          <w:lang w:val="x-none"/>
        </w:rPr>
      </w:pPr>
      <w:bookmarkStart w:id="19" w:name="_Toc31886504_Copie_1"/>
      <w:bookmarkEnd w:id="19"/>
    </w:p>
    <w:p w14:paraId="12A53A8C"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 xml:space="preserve">L’offre du titulaire respecte les obligations posées par le CCAP. De plus, la gestion des données doit répondre aux exigences posées par le règlement européen sur les données personnelles, l'ANSSI et la DINUM. </w:t>
      </w:r>
    </w:p>
    <w:p w14:paraId="67C3D35D" w14:textId="77777777" w:rsidR="006E7EF5" w:rsidRDefault="006E7EF5">
      <w:pPr>
        <w:spacing w:after="120" w:line="240" w:lineRule="auto"/>
        <w:jc w:val="both"/>
        <w:rPr>
          <w:rFonts w:ascii="Calibri" w:eastAsia="Times New Roman" w:hAnsi="Calibri" w:cs="Calibri"/>
          <w:sz w:val="20"/>
          <w:lang w:eastAsia="fr-FR"/>
        </w:rPr>
      </w:pPr>
    </w:p>
    <w:p w14:paraId="5E909410"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La prestation doit être conforme aux référentiels ainsi qu'au règlement et doit évoluer conformément à leurs éventuelles révisions :</w:t>
      </w:r>
    </w:p>
    <w:p w14:paraId="6B8D1EA0"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 </w:t>
      </w:r>
    </w:p>
    <w:p w14:paraId="1FDCC0C9" w14:textId="77777777" w:rsidR="006E7EF5" w:rsidRDefault="00AC41B0">
      <w:pPr>
        <w:pStyle w:val="Titre3"/>
        <w:spacing w:before="0" w:after="120"/>
        <w:rPr>
          <w:rFonts w:ascii="Calibri" w:hAnsi="Calibri"/>
          <w:sz w:val="28"/>
          <w:szCs w:val="28"/>
        </w:rPr>
      </w:pPr>
      <w:bookmarkStart w:id="20" w:name="_Toc31886505"/>
      <w:bookmarkStart w:id="21" w:name="_Toc219386266"/>
      <w:r>
        <w:rPr>
          <w:rFonts w:ascii="Calibri" w:hAnsi="Calibri"/>
          <w:sz w:val="28"/>
          <w:szCs w:val="28"/>
        </w:rPr>
        <w:t>Article 3.1 Conformité au RGI</w:t>
      </w:r>
      <w:bookmarkEnd w:id="20"/>
      <w:bookmarkEnd w:id="21"/>
    </w:p>
    <w:p w14:paraId="72DC9EC8" w14:textId="77777777" w:rsidR="006E7EF5" w:rsidRDefault="00AC41B0">
      <w:pPr>
        <w:spacing w:after="120" w:line="240" w:lineRule="auto"/>
        <w:jc w:val="both"/>
        <w:rPr>
          <w:rFonts w:ascii="Calibri" w:eastAsia="Times New Roman" w:hAnsi="Calibri" w:cs="Calibri"/>
          <w:b/>
          <w:color w:val="33CCCC"/>
          <w:sz w:val="20"/>
          <w:lang w:eastAsia="fr-FR"/>
        </w:rPr>
      </w:pPr>
      <w:r>
        <w:rPr>
          <w:rFonts w:ascii="Calibri" w:eastAsia="Times New Roman" w:hAnsi="Calibri" w:cs="Calibri"/>
          <w:b/>
          <w:color w:val="33CCCC"/>
          <w:sz w:val="20"/>
          <w:lang w:eastAsia="fr-FR"/>
        </w:rPr>
        <w:t xml:space="preserve"> </w:t>
      </w:r>
    </w:p>
    <w:p w14:paraId="14C44E9A"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 xml:space="preserve">Le référentiel général d'interopérabilité fixe les règles techniques permettant d’assurer l’interopérabilité des systèmes d’information. Il détermine notamment les répertoires de données, les normes et les standards qui doivent être utilisés par les autorités administratives. </w:t>
      </w:r>
    </w:p>
    <w:p w14:paraId="4A082BCF" w14:textId="77777777" w:rsidR="006E7EF5" w:rsidRDefault="006E7EF5">
      <w:pPr>
        <w:spacing w:after="120" w:line="240" w:lineRule="auto"/>
        <w:jc w:val="both"/>
        <w:rPr>
          <w:rFonts w:ascii="Calibri" w:eastAsia="Times New Roman" w:hAnsi="Calibri" w:cs="Calibri"/>
          <w:sz w:val="20"/>
          <w:lang w:eastAsia="fr-FR"/>
        </w:rPr>
      </w:pPr>
    </w:p>
    <w:p w14:paraId="36857114"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La dernière version du RGI figure dans l'arrêté en date du 20 avril 2016. (JORF n°0095 du 22 avril 2016 texte n° 1)</w:t>
      </w:r>
    </w:p>
    <w:p w14:paraId="384FCDAE" w14:textId="77777777" w:rsidR="006E7EF5" w:rsidRDefault="006E7EF5">
      <w:pPr>
        <w:spacing w:after="120" w:line="240" w:lineRule="auto"/>
        <w:jc w:val="both"/>
        <w:rPr>
          <w:rFonts w:ascii="Calibri" w:eastAsia="Times New Roman" w:hAnsi="Calibri" w:cs="Calibri"/>
          <w:sz w:val="18"/>
          <w:lang w:eastAsia="fr-FR"/>
        </w:rPr>
      </w:pPr>
    </w:p>
    <w:p w14:paraId="689255A3" w14:textId="77777777" w:rsidR="006E7EF5" w:rsidRDefault="00AC41B0">
      <w:pPr>
        <w:spacing w:after="120" w:line="240" w:lineRule="auto"/>
        <w:rPr>
          <w:rFonts w:ascii="Calibri" w:eastAsia="Times New Roman" w:hAnsi="Calibri" w:cs="Calibri"/>
          <w:sz w:val="20"/>
          <w:lang w:eastAsia="fr-FR"/>
        </w:rPr>
      </w:pPr>
      <w:r>
        <w:rPr>
          <w:rFonts w:ascii="Calibri" w:eastAsia="Times New Roman" w:hAnsi="Calibri" w:cs="Calibri"/>
          <w:sz w:val="20"/>
          <w:lang w:eastAsia="fr-FR"/>
        </w:rPr>
        <w:t>Informations concernant le RGI :</w:t>
      </w:r>
    </w:p>
    <w:p w14:paraId="50EC4EB7" w14:textId="77777777" w:rsidR="006E7EF5" w:rsidRDefault="000061A7">
      <w:pPr>
        <w:spacing w:after="120" w:line="240" w:lineRule="auto"/>
        <w:rPr>
          <w:rFonts w:ascii="Calibri" w:eastAsia="Times New Roman" w:hAnsi="Calibri" w:cs="Calibri"/>
          <w:sz w:val="20"/>
          <w:lang w:eastAsia="fr-FR"/>
        </w:rPr>
      </w:pPr>
      <w:hyperlink r:id="rId14">
        <w:r w:rsidR="00AC41B0">
          <w:rPr>
            <w:rFonts w:ascii="Calibri" w:eastAsia="Times New Roman" w:hAnsi="Calibri" w:cs="Calibri"/>
            <w:color w:val="0563C1"/>
            <w:sz w:val="20"/>
            <w:u w:val="single"/>
            <w:lang w:eastAsia="fr-FR"/>
          </w:rPr>
          <w:t>https://www.numerique.gouv.fr/offre-accompagnement/reference-interoperabilite-rgi/</w:t>
        </w:r>
      </w:hyperlink>
    </w:p>
    <w:p w14:paraId="1494B007"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 </w:t>
      </w:r>
    </w:p>
    <w:p w14:paraId="2731C573" w14:textId="77777777" w:rsidR="006E7EF5" w:rsidRDefault="00AC41B0">
      <w:pPr>
        <w:pStyle w:val="Titre3"/>
        <w:spacing w:before="0" w:after="120"/>
        <w:rPr>
          <w:rFonts w:ascii="Calibri" w:hAnsi="Calibri"/>
          <w:sz w:val="28"/>
          <w:szCs w:val="28"/>
        </w:rPr>
      </w:pPr>
      <w:bookmarkStart w:id="22" w:name="_Toc31886506"/>
      <w:bookmarkStart w:id="23" w:name="_Toc219386267"/>
      <w:r>
        <w:rPr>
          <w:rFonts w:ascii="Calibri" w:hAnsi="Calibri"/>
          <w:sz w:val="28"/>
          <w:szCs w:val="28"/>
        </w:rPr>
        <w:t>Article 3.2 Conformité au RGAA</w:t>
      </w:r>
      <w:bookmarkEnd w:id="22"/>
      <w:bookmarkEnd w:id="23"/>
      <w:r>
        <w:rPr>
          <w:rFonts w:ascii="Calibri" w:hAnsi="Calibri"/>
          <w:sz w:val="28"/>
          <w:szCs w:val="28"/>
        </w:rPr>
        <w:t xml:space="preserve"> </w:t>
      </w:r>
    </w:p>
    <w:p w14:paraId="3B709C80" w14:textId="77777777" w:rsidR="006E7EF5" w:rsidRDefault="006E7EF5">
      <w:pPr>
        <w:spacing w:after="120" w:line="240" w:lineRule="auto"/>
        <w:jc w:val="both"/>
        <w:rPr>
          <w:rFonts w:ascii="Calibri" w:eastAsia="Times New Roman" w:hAnsi="Calibri" w:cs="Calibri"/>
          <w:sz w:val="20"/>
          <w:lang w:eastAsia="fr-FR"/>
        </w:rPr>
      </w:pPr>
    </w:p>
    <w:p w14:paraId="6A30BE87"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 xml:space="preserve">L’article 47 de la loi n° 2005-102 du 11 février 2005 pour l’égalité des droits et des chances, la participation et la citoyenneté des personnes handicapées fait de l’accessibilité une exigence pour tous les services de communication publique en ligne de l’État, les </w:t>
      </w:r>
      <w:r>
        <w:rPr>
          <w:rFonts w:ascii="Calibri" w:eastAsia="Times New Roman" w:hAnsi="Calibri" w:cs="Calibri"/>
          <w:sz w:val="20"/>
          <w:lang w:eastAsia="fr-FR"/>
        </w:rPr>
        <w:lastRenderedPageBreak/>
        <w:t xml:space="preserve">collectivités territoriales et les établissements publics qui en dépendent. Il stipule que les informations diffusées par ces services doivent être accessibles à tous. </w:t>
      </w:r>
    </w:p>
    <w:p w14:paraId="6B0A2DB0"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 xml:space="preserve">Le RGAA, à forte dimension technique, propose une traduction opérationnelle des critères d’accessibilité issus des règles internationales ainsi qu’une méthodologie pour vérifier la conformité à ces critères. </w:t>
      </w:r>
    </w:p>
    <w:p w14:paraId="0087A151" w14:textId="77777777" w:rsidR="006E7EF5" w:rsidRDefault="006E7EF5">
      <w:pPr>
        <w:spacing w:after="120" w:line="240" w:lineRule="auto"/>
        <w:jc w:val="both"/>
        <w:rPr>
          <w:rFonts w:ascii="Calibri" w:eastAsia="Times New Roman" w:hAnsi="Calibri" w:cs="Calibri"/>
          <w:sz w:val="20"/>
          <w:lang w:eastAsia="fr-FR"/>
        </w:rPr>
      </w:pPr>
    </w:p>
    <w:p w14:paraId="1F59053E" w14:textId="77777777" w:rsidR="00146B95" w:rsidRPr="00146B95" w:rsidRDefault="00146B95" w:rsidP="00146B95">
      <w:pPr>
        <w:spacing w:after="120" w:line="240" w:lineRule="auto"/>
        <w:jc w:val="both"/>
        <w:rPr>
          <w:rFonts w:ascii="Calibri" w:eastAsia="Times New Roman" w:hAnsi="Calibri" w:cs="Calibri"/>
          <w:sz w:val="20"/>
          <w:lang w:eastAsia="fr-FR"/>
        </w:rPr>
      </w:pPr>
      <w:r w:rsidRPr="00146B95">
        <w:rPr>
          <w:rFonts w:ascii="Calibri" w:eastAsia="Times New Roman" w:hAnsi="Calibri" w:cs="Calibri"/>
          <w:sz w:val="20"/>
          <w:lang w:eastAsia="fr-FR"/>
        </w:rPr>
        <w:t xml:space="preserve">La version 4.0 du RGAA a été approuvée par l’arrêté du 20 septembre 2019. </w:t>
      </w:r>
    </w:p>
    <w:p w14:paraId="4E7BD4C8" w14:textId="77777777" w:rsidR="006E7EF5" w:rsidRDefault="006E7EF5">
      <w:pPr>
        <w:spacing w:after="120" w:line="240" w:lineRule="auto"/>
        <w:rPr>
          <w:rFonts w:ascii="Calibri" w:eastAsia="Times New Roman" w:hAnsi="Calibri" w:cs="Calibri"/>
          <w:sz w:val="20"/>
          <w:lang w:eastAsia="fr-FR"/>
        </w:rPr>
      </w:pPr>
    </w:p>
    <w:p w14:paraId="7F9ECE40" w14:textId="77777777" w:rsidR="006E7EF5" w:rsidRDefault="00AC41B0">
      <w:pPr>
        <w:spacing w:after="120" w:line="240" w:lineRule="auto"/>
        <w:rPr>
          <w:rFonts w:ascii="Calibri" w:eastAsia="Times New Roman" w:hAnsi="Calibri" w:cs="Calibri"/>
          <w:szCs w:val="24"/>
          <w:lang w:eastAsia="fr-FR"/>
        </w:rPr>
      </w:pPr>
      <w:r>
        <w:rPr>
          <w:rFonts w:ascii="Calibri" w:eastAsia="Times New Roman" w:hAnsi="Calibri" w:cs="Calibri"/>
          <w:sz w:val="20"/>
          <w:lang w:eastAsia="fr-FR"/>
        </w:rPr>
        <w:t>Informations concernant le RGAA :</w:t>
      </w:r>
      <w:r>
        <w:rPr>
          <w:rFonts w:ascii="Calibri" w:eastAsia="Times New Roman" w:hAnsi="Calibri" w:cs="Calibri"/>
          <w:szCs w:val="24"/>
          <w:lang w:eastAsia="fr-FR"/>
        </w:rPr>
        <w:t xml:space="preserve"> </w:t>
      </w:r>
    </w:p>
    <w:p w14:paraId="0A5B660A" w14:textId="77777777" w:rsidR="006E7EF5" w:rsidRDefault="000061A7">
      <w:pPr>
        <w:spacing w:after="120" w:line="240" w:lineRule="auto"/>
        <w:rPr>
          <w:rFonts w:ascii="Calibri" w:eastAsia="Times New Roman" w:hAnsi="Calibri" w:cs="Calibri"/>
          <w:sz w:val="20"/>
          <w:lang w:eastAsia="fr-FR"/>
        </w:rPr>
      </w:pPr>
      <w:hyperlink r:id="rId15">
        <w:r w:rsidR="00AC41B0">
          <w:rPr>
            <w:rFonts w:ascii="Calibri" w:eastAsia="Times New Roman" w:hAnsi="Calibri" w:cs="Calibri"/>
            <w:color w:val="0563C1"/>
            <w:sz w:val="20"/>
            <w:u w:val="single"/>
            <w:lang w:eastAsia="fr-FR"/>
          </w:rPr>
          <w:t>https://accessibilite.numerique.gouv.fr/</w:t>
        </w:r>
      </w:hyperlink>
    </w:p>
    <w:p w14:paraId="6F66399D"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 </w:t>
      </w:r>
    </w:p>
    <w:p w14:paraId="3FBD2DC7" w14:textId="77777777" w:rsidR="006E7EF5" w:rsidRDefault="00AC41B0">
      <w:pPr>
        <w:pStyle w:val="Titre3"/>
        <w:spacing w:before="0" w:after="120"/>
        <w:rPr>
          <w:rFonts w:ascii="Calibri" w:hAnsi="Calibri"/>
          <w:sz w:val="28"/>
          <w:szCs w:val="28"/>
        </w:rPr>
      </w:pPr>
      <w:bookmarkStart w:id="24" w:name="_Toc31886507"/>
      <w:bookmarkStart w:id="25" w:name="_Toc219386268"/>
      <w:r>
        <w:rPr>
          <w:rFonts w:ascii="Calibri" w:hAnsi="Calibri"/>
          <w:sz w:val="28"/>
          <w:szCs w:val="28"/>
        </w:rPr>
        <w:t>Article 3.3 Conformité au RGS</w:t>
      </w:r>
      <w:bookmarkEnd w:id="24"/>
      <w:bookmarkEnd w:id="25"/>
    </w:p>
    <w:p w14:paraId="5791FAF1" w14:textId="77777777" w:rsidR="006E7EF5" w:rsidRDefault="006E7EF5">
      <w:pPr>
        <w:spacing w:after="120" w:line="240" w:lineRule="auto"/>
        <w:jc w:val="both"/>
        <w:rPr>
          <w:rFonts w:ascii="Calibri" w:eastAsia="Times New Roman" w:hAnsi="Calibri" w:cs="Calibri"/>
          <w:sz w:val="20"/>
          <w:lang w:eastAsia="fr-FR"/>
        </w:rPr>
      </w:pPr>
    </w:p>
    <w:p w14:paraId="1654CC9D"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 xml:space="preserve">Le référentiel général de sécurité est pris en application du décret n° 2010-112 du 2 février 2010 pris pour l’application des articles 9, 10 et 12 de l’ordonnance n° 2005-1516 du 8 décembre 2005 relative aux échanges électroniques entre les usagers et les autorités administratives. </w:t>
      </w:r>
    </w:p>
    <w:p w14:paraId="4E3A6D70"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 xml:space="preserve">La solution doit respecter les recommandations du RGS et particulièrement parmi celles-ci : </w:t>
      </w:r>
    </w:p>
    <w:p w14:paraId="328549B0" w14:textId="77777777" w:rsidR="006E7EF5" w:rsidRDefault="00AC41B0">
      <w:pPr>
        <w:numPr>
          <w:ilvl w:val="0"/>
          <w:numId w:val="4"/>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Une obligation de chiffrement des flux de données entre l’INRAE et le prestataire ainsi que ses sous-traitants éventuels,</w:t>
      </w:r>
    </w:p>
    <w:p w14:paraId="3E68C346" w14:textId="77777777" w:rsidR="006E7EF5" w:rsidRDefault="00AC41B0">
      <w:pPr>
        <w:numPr>
          <w:ilvl w:val="0"/>
          <w:numId w:val="4"/>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 xml:space="preserve">Une recommandation de chiffrement du serveur qui stockera les données INRAE chez le prestataire. Cette fonctionnalité non-obligatoire est chiffrée le cas échéant dans le bordereau des prix du titulaire dans l'hypothèse où elle n'est pas prévue en standard dans la solution. </w:t>
      </w:r>
    </w:p>
    <w:p w14:paraId="54182234" w14:textId="77777777" w:rsidR="006E7EF5" w:rsidRDefault="006E7EF5">
      <w:pPr>
        <w:spacing w:after="120" w:line="240" w:lineRule="auto"/>
        <w:jc w:val="both"/>
        <w:rPr>
          <w:rFonts w:ascii="Calibri" w:eastAsia="Times New Roman" w:hAnsi="Calibri" w:cs="Calibri"/>
          <w:sz w:val="20"/>
          <w:lang w:eastAsia="fr-FR"/>
        </w:rPr>
      </w:pPr>
    </w:p>
    <w:p w14:paraId="3CE5138F" w14:textId="77777777" w:rsidR="006E7EF5" w:rsidRDefault="00AC41B0">
      <w:pPr>
        <w:spacing w:after="120" w:line="240" w:lineRule="auto"/>
        <w:jc w:val="both"/>
        <w:rPr>
          <w:rFonts w:ascii="Calibri" w:eastAsia="Times New Roman" w:hAnsi="Calibri" w:cs="Calibri"/>
          <w:szCs w:val="24"/>
          <w:lang w:eastAsia="fr-FR"/>
        </w:rPr>
      </w:pPr>
      <w:r>
        <w:rPr>
          <w:rFonts w:ascii="Calibri" w:eastAsia="Times New Roman" w:hAnsi="Calibri" w:cs="Calibri"/>
          <w:sz w:val="20"/>
          <w:lang w:eastAsia="fr-FR"/>
        </w:rPr>
        <w:t>Informations concernant le RGS </w:t>
      </w:r>
      <w:r>
        <w:rPr>
          <w:rFonts w:ascii="Calibri" w:eastAsia="Times New Roman" w:hAnsi="Calibri" w:cs="Calibri"/>
          <w:szCs w:val="24"/>
          <w:lang w:eastAsia="fr-FR"/>
        </w:rPr>
        <w:t>:</w:t>
      </w:r>
    </w:p>
    <w:p w14:paraId="3B2C39A7" w14:textId="77777777" w:rsidR="006E7EF5" w:rsidRDefault="000061A7">
      <w:pPr>
        <w:spacing w:after="120" w:line="240" w:lineRule="auto"/>
        <w:jc w:val="both"/>
        <w:rPr>
          <w:rFonts w:ascii="Calibri" w:eastAsia="Times New Roman" w:hAnsi="Calibri" w:cs="Calibri"/>
          <w:color w:val="0563C1"/>
          <w:sz w:val="20"/>
          <w:u w:val="single"/>
          <w:lang w:eastAsia="fr-FR"/>
        </w:rPr>
      </w:pPr>
      <w:hyperlink r:id="rId16">
        <w:r w:rsidR="00AC41B0">
          <w:rPr>
            <w:rFonts w:ascii="Calibri" w:eastAsia="Times New Roman" w:hAnsi="Calibri" w:cs="Calibri"/>
            <w:color w:val="0563C1"/>
            <w:sz w:val="20"/>
            <w:u w:val="single"/>
            <w:lang w:eastAsia="fr-FR"/>
          </w:rPr>
          <w:t>http://www.ssi.gouv.fr/administration/reglementation/confiance-numerique/le-referentiel-general-de-securite-rgs/</w:t>
        </w:r>
      </w:hyperlink>
    </w:p>
    <w:p w14:paraId="2AAC9A4E" w14:textId="77777777" w:rsidR="006E7EF5" w:rsidRDefault="006E7EF5">
      <w:pPr>
        <w:spacing w:after="120" w:line="240" w:lineRule="auto"/>
        <w:jc w:val="both"/>
        <w:rPr>
          <w:rFonts w:ascii="Calibri" w:eastAsia="Times New Roman" w:hAnsi="Calibri" w:cs="Calibri"/>
          <w:sz w:val="20"/>
          <w:lang w:eastAsia="fr-FR"/>
        </w:rPr>
      </w:pPr>
    </w:p>
    <w:p w14:paraId="3AA8659F" w14:textId="77777777" w:rsidR="006E7EF5" w:rsidRDefault="00AC41B0">
      <w:pPr>
        <w:pStyle w:val="Titre3"/>
        <w:spacing w:before="0" w:after="120"/>
        <w:rPr>
          <w:rFonts w:ascii="Calibri" w:hAnsi="Calibri"/>
          <w:sz w:val="28"/>
          <w:szCs w:val="28"/>
        </w:rPr>
      </w:pPr>
      <w:bookmarkStart w:id="26" w:name="_Toc31886508"/>
      <w:bookmarkStart w:id="27" w:name="_Toc219386269"/>
      <w:r>
        <w:rPr>
          <w:rFonts w:ascii="Calibri" w:hAnsi="Calibri"/>
          <w:sz w:val="28"/>
          <w:szCs w:val="28"/>
        </w:rPr>
        <w:t>Article 3.4 Conformité à la PSSIE</w:t>
      </w:r>
      <w:bookmarkEnd w:id="26"/>
      <w:bookmarkEnd w:id="27"/>
    </w:p>
    <w:p w14:paraId="694F62F2" w14:textId="77777777" w:rsidR="006E7EF5" w:rsidRDefault="006E7EF5">
      <w:pPr>
        <w:spacing w:after="120" w:line="240" w:lineRule="auto"/>
        <w:ind w:left="792"/>
        <w:rPr>
          <w:rFonts w:ascii="Calibri" w:eastAsia="Times New Roman" w:hAnsi="Calibri" w:cs="Calibri"/>
          <w:sz w:val="24"/>
          <w:szCs w:val="20"/>
          <w:lang w:eastAsia="fr-FR"/>
        </w:rPr>
      </w:pPr>
    </w:p>
    <w:p w14:paraId="2593C41E"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La Politique de Sécurité des Systèmes d’information de l’Etat est entrée en vigueur le 19/08/2014, qui fixe les règles de protection applicables aux systèmes d’information de l’Etat.</w:t>
      </w:r>
    </w:p>
    <w:p w14:paraId="30D78373" w14:textId="77777777" w:rsidR="006E7EF5" w:rsidRDefault="00AC41B0">
      <w:pPr>
        <w:spacing w:after="120" w:line="240" w:lineRule="auto"/>
        <w:jc w:val="both"/>
        <w:rPr>
          <w:rFonts w:ascii="Calibri" w:eastAsia="Times New Roman" w:hAnsi="Calibri" w:cs="Calibri"/>
          <w:szCs w:val="24"/>
          <w:lang w:eastAsia="fr-FR"/>
        </w:rPr>
      </w:pPr>
      <w:r>
        <w:rPr>
          <w:rFonts w:ascii="Calibri" w:eastAsia="Times New Roman" w:hAnsi="Calibri" w:cs="Calibri"/>
          <w:sz w:val="20"/>
          <w:lang w:eastAsia="fr-FR"/>
        </w:rPr>
        <w:t xml:space="preserve">Informations concernant la PSSIE </w:t>
      </w:r>
      <w:r>
        <w:rPr>
          <w:rFonts w:ascii="Calibri" w:eastAsia="Times New Roman" w:hAnsi="Calibri" w:cs="Calibri"/>
          <w:szCs w:val="24"/>
          <w:lang w:eastAsia="fr-FR"/>
        </w:rPr>
        <w:t>:</w:t>
      </w:r>
    </w:p>
    <w:p w14:paraId="56DA905E" w14:textId="77777777" w:rsidR="006E7EF5" w:rsidRDefault="000061A7">
      <w:pPr>
        <w:spacing w:after="120" w:line="240" w:lineRule="auto"/>
        <w:jc w:val="both"/>
        <w:rPr>
          <w:rFonts w:ascii="Calibri" w:eastAsia="Times New Roman" w:hAnsi="Calibri" w:cs="Calibri"/>
          <w:sz w:val="20"/>
          <w:lang w:eastAsia="fr-FR"/>
        </w:rPr>
      </w:pPr>
      <w:hyperlink r:id="rId17">
        <w:r w:rsidR="00AC41B0">
          <w:rPr>
            <w:rFonts w:ascii="Calibri" w:eastAsia="Times New Roman" w:hAnsi="Calibri" w:cs="Calibri"/>
            <w:color w:val="0563C1"/>
            <w:sz w:val="20"/>
            <w:u w:val="single"/>
            <w:lang w:eastAsia="fr-FR"/>
          </w:rPr>
          <w:t>https://www.ssi.gouv.fr/entreprise/reglementation/protection-des-systemes-dinformations/la-politique-de-securite-des-systemes-dinformation-de-letat-pssie/</w:t>
        </w:r>
      </w:hyperlink>
    </w:p>
    <w:p w14:paraId="19E14BD4" w14:textId="77777777" w:rsidR="006E7EF5" w:rsidRDefault="006E7EF5">
      <w:pPr>
        <w:spacing w:after="120" w:line="240" w:lineRule="auto"/>
        <w:jc w:val="both"/>
        <w:rPr>
          <w:rFonts w:ascii="Calibri" w:eastAsia="Times New Roman" w:hAnsi="Calibri" w:cs="Calibri"/>
          <w:sz w:val="20"/>
          <w:lang w:eastAsia="fr-FR"/>
        </w:rPr>
      </w:pPr>
    </w:p>
    <w:p w14:paraId="7326CA25" w14:textId="77777777" w:rsidR="006E7EF5" w:rsidRDefault="006E7EF5">
      <w:pPr>
        <w:spacing w:after="120" w:line="240" w:lineRule="auto"/>
        <w:jc w:val="both"/>
        <w:rPr>
          <w:rFonts w:ascii="Calibri" w:eastAsia="Times New Roman" w:hAnsi="Calibri" w:cs="Calibri"/>
          <w:sz w:val="20"/>
          <w:lang w:eastAsia="fr-FR"/>
        </w:rPr>
      </w:pPr>
    </w:p>
    <w:p w14:paraId="3225EE3F" w14:textId="77777777" w:rsidR="006E7EF5" w:rsidRDefault="00AC41B0">
      <w:pPr>
        <w:pStyle w:val="Titre3"/>
        <w:spacing w:before="0" w:after="120"/>
        <w:rPr>
          <w:rFonts w:ascii="Calibri" w:hAnsi="Calibri"/>
          <w:sz w:val="28"/>
          <w:szCs w:val="28"/>
        </w:rPr>
      </w:pPr>
      <w:bookmarkStart w:id="28" w:name="_Toc31886509"/>
      <w:bookmarkStart w:id="29" w:name="_Toc219386270"/>
      <w:r>
        <w:rPr>
          <w:rFonts w:ascii="Calibri" w:hAnsi="Calibri"/>
          <w:sz w:val="28"/>
          <w:szCs w:val="28"/>
        </w:rPr>
        <w:t>Article 3.5 Conformité au règlement européen 2016/679 - RGPD</w:t>
      </w:r>
      <w:bookmarkEnd w:id="28"/>
      <w:bookmarkEnd w:id="29"/>
      <w:r>
        <w:rPr>
          <w:rFonts w:ascii="Calibri" w:hAnsi="Calibri"/>
          <w:sz w:val="28"/>
          <w:szCs w:val="28"/>
        </w:rPr>
        <w:t xml:space="preserve"> </w:t>
      </w:r>
    </w:p>
    <w:p w14:paraId="7431A3A7" w14:textId="77777777" w:rsidR="006E7EF5" w:rsidRDefault="006E7EF5">
      <w:pPr>
        <w:spacing w:after="120" w:line="240" w:lineRule="auto"/>
        <w:jc w:val="both"/>
        <w:rPr>
          <w:rFonts w:ascii="Calibri" w:eastAsia="Times New Roman" w:hAnsi="Calibri" w:cs="Calibri"/>
          <w:sz w:val="20"/>
          <w:lang w:eastAsia="fr-FR"/>
        </w:rPr>
      </w:pPr>
    </w:p>
    <w:p w14:paraId="2F60236C"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Il est relatif à la protection des personnes physiques à l'égard du traitement des données à caractère personnel et à la libre circulation de ces données (</w:t>
      </w:r>
      <w:hyperlink r:id="rId18">
        <w:r>
          <w:rPr>
            <w:rFonts w:ascii="Calibri" w:eastAsia="Times New Roman" w:hAnsi="Calibri" w:cs="Calibri"/>
            <w:color w:val="0563C1"/>
            <w:sz w:val="20"/>
            <w:u w:val="single"/>
            <w:lang w:eastAsia="fr-FR"/>
          </w:rPr>
          <w:t>https://www.cnil.fr/fr/reglement-europeen-protection-donnees.),</w:t>
        </w:r>
      </w:hyperlink>
      <w:r>
        <w:rPr>
          <w:rFonts w:ascii="Calibri" w:eastAsia="Times New Roman" w:hAnsi="Calibri" w:cs="Calibri"/>
          <w:sz w:val="20"/>
          <w:lang w:eastAsia="fr-FR"/>
        </w:rPr>
        <w:t> et plus largement :</w:t>
      </w:r>
    </w:p>
    <w:p w14:paraId="163BB37D" w14:textId="77777777" w:rsidR="006E7EF5" w:rsidRDefault="00AC41B0">
      <w:pPr>
        <w:numPr>
          <w:ilvl w:val="0"/>
          <w:numId w:val="5"/>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Le titulaire garantit la conformité de la solution proposée aux exigences de privacy by design prévues par le règlement européen,</w:t>
      </w:r>
    </w:p>
    <w:p w14:paraId="0B61804E" w14:textId="77777777" w:rsidR="006E7EF5" w:rsidRDefault="006E7EF5">
      <w:pPr>
        <w:spacing w:after="120" w:line="240" w:lineRule="auto"/>
        <w:ind w:left="720"/>
        <w:contextualSpacing/>
        <w:jc w:val="both"/>
        <w:rPr>
          <w:rFonts w:ascii="Calibri" w:eastAsia="Times New Roman" w:hAnsi="Calibri" w:cs="Calibri"/>
          <w:sz w:val="20"/>
          <w:lang w:eastAsia="fr-FR"/>
        </w:rPr>
      </w:pPr>
    </w:p>
    <w:p w14:paraId="3683E529" w14:textId="77777777" w:rsidR="006E7EF5" w:rsidRDefault="00AC41B0">
      <w:pPr>
        <w:numPr>
          <w:ilvl w:val="0"/>
          <w:numId w:val="5"/>
        </w:numPr>
        <w:spacing w:after="120" w:line="240" w:lineRule="auto"/>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L'offre technique du titulaire présente sa politique de protection des données, sa politique de sécurité des données et le cas échéant, l’analyse de risque et l’étude d’impact sur la vie privée de la solution proposée. Si l'étude ne peut être réalisée au stade de l'offre, le titulaire s'engage à la fournir lors de l'exécution du marché et avant mise en production de la solution.</w:t>
      </w:r>
    </w:p>
    <w:p w14:paraId="7CFB31E7" w14:textId="77777777" w:rsidR="006E7EF5" w:rsidRDefault="006E7EF5">
      <w:pPr>
        <w:spacing w:after="120" w:line="240" w:lineRule="auto"/>
        <w:ind w:left="720"/>
        <w:contextualSpacing/>
        <w:rPr>
          <w:rFonts w:ascii="Calibri" w:eastAsia="Times New Roman" w:hAnsi="Calibri" w:cs="Calibri"/>
          <w:sz w:val="20"/>
          <w:lang w:eastAsia="fr-FR"/>
        </w:rPr>
      </w:pPr>
    </w:p>
    <w:p w14:paraId="4BB66D38" w14:textId="77777777" w:rsidR="006E7EF5" w:rsidRDefault="00AC41B0">
      <w:pPr>
        <w:spacing w:after="120" w:line="240" w:lineRule="auto"/>
        <w:jc w:val="both"/>
        <w:rPr>
          <w:rFonts w:ascii="Calibri" w:eastAsia="Times New Roman" w:hAnsi="Calibri" w:cs="Calibri"/>
          <w:sz w:val="20"/>
          <w:szCs w:val="20"/>
          <w:lang w:eastAsia="fr-FR"/>
        </w:rPr>
      </w:pPr>
      <w:r>
        <w:rPr>
          <w:rFonts w:ascii="Calibri" w:eastAsia="Times New Roman" w:hAnsi="Calibri" w:cs="Calibri"/>
          <w:sz w:val="20"/>
          <w:szCs w:val="20"/>
          <w:lang w:eastAsia="fr-FR"/>
        </w:rPr>
        <w:lastRenderedPageBreak/>
        <w:t xml:space="preserve">L’étude d’impact est nécessaire dans les cas visés par la CNIL sur son site : </w:t>
      </w:r>
      <w:hyperlink r:id="rId19">
        <w:r>
          <w:rPr>
            <w:rFonts w:ascii="Calibri" w:eastAsia="Segoe UI" w:hAnsi="Calibri" w:cs="Calibri"/>
            <w:color w:val="0563C1"/>
            <w:sz w:val="20"/>
            <w:szCs w:val="20"/>
            <w:u w:val="single"/>
            <w:lang w:eastAsia="fr-FR"/>
          </w:rPr>
          <w:t>https://www.cnil.fr/fr/ce-quil-faut-savoir-sur-lanalyse-dimpact-relative-la-protection-des-donnees-aipd</w:t>
        </w:r>
      </w:hyperlink>
      <w:r>
        <w:rPr>
          <w:rFonts w:ascii="Calibri" w:eastAsia="Segoe UI" w:hAnsi="Calibri" w:cs="Calibri"/>
          <w:sz w:val="20"/>
          <w:szCs w:val="20"/>
          <w:lang w:eastAsia="fr-FR"/>
        </w:rPr>
        <w:t xml:space="preserve"> </w:t>
      </w:r>
    </w:p>
    <w:p w14:paraId="3088D263" w14:textId="77777777" w:rsidR="006E7EF5" w:rsidRDefault="006E7EF5">
      <w:pPr>
        <w:spacing w:after="120" w:line="240" w:lineRule="auto"/>
        <w:ind w:left="708"/>
        <w:jc w:val="both"/>
        <w:rPr>
          <w:rFonts w:ascii="Calibri" w:eastAsia="Times New Roman" w:hAnsi="Calibri" w:cs="Calibri"/>
          <w:sz w:val="20"/>
          <w:szCs w:val="20"/>
          <w:lang w:eastAsia="fr-FR"/>
        </w:rPr>
      </w:pPr>
    </w:p>
    <w:p w14:paraId="0BFC0007" w14:textId="77777777" w:rsidR="006E7EF5" w:rsidRDefault="00AC41B0">
      <w:pPr>
        <w:numPr>
          <w:ilvl w:val="0"/>
          <w:numId w:val="5"/>
        </w:numPr>
        <w:spacing w:after="120" w:line="240" w:lineRule="auto"/>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En complément de la clause de confidentialité prévue par le CCAG-TIC et des exigences du règlement européen quant au traitement des données à caractère personnel dont le titulaire est conjointement responsable, le titulaire garantit la stricte confidentialité de l'ensemble des données INRAE obtenues dans le cadre de l'exécution du présent marché. La signature d’accords de confidentialité spécifiques, par les salariés intervenant dans le cadre du traitement des données INRAE, pourra être exigée par l'Institut auprès du titulaire.</w:t>
      </w:r>
    </w:p>
    <w:p w14:paraId="5D99BAC6" w14:textId="77777777" w:rsidR="006E7EF5" w:rsidRDefault="006E7EF5">
      <w:pPr>
        <w:spacing w:after="120" w:line="240" w:lineRule="auto"/>
        <w:jc w:val="both"/>
        <w:rPr>
          <w:rFonts w:ascii="Calibri" w:eastAsia="Times New Roman" w:hAnsi="Calibri" w:cs="Calibri"/>
          <w:sz w:val="20"/>
          <w:szCs w:val="20"/>
          <w:lang w:eastAsia="fr-FR"/>
        </w:rPr>
      </w:pPr>
    </w:p>
    <w:p w14:paraId="6D9F1A8A" w14:textId="77777777" w:rsidR="006E7EF5" w:rsidRDefault="00AC41B0">
      <w:pPr>
        <w:numPr>
          <w:ilvl w:val="0"/>
          <w:numId w:val="5"/>
        </w:numPr>
        <w:spacing w:after="120" w:line="240" w:lineRule="auto"/>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Le titulaire s'engage, le cas échéant, après notification et avant mise en production de la solution, à contractualiser avec INRAE le contrat de sous-traitance RGPD annexé au marché.</w:t>
      </w:r>
    </w:p>
    <w:p w14:paraId="0BCA0D75" w14:textId="77777777" w:rsidR="006E7EF5" w:rsidRDefault="006E7EF5">
      <w:pPr>
        <w:spacing w:after="120" w:line="240" w:lineRule="auto"/>
        <w:ind w:left="360"/>
        <w:jc w:val="both"/>
        <w:rPr>
          <w:rFonts w:ascii="Calibri" w:eastAsia="Times New Roman" w:hAnsi="Calibri" w:cs="Calibri"/>
          <w:sz w:val="20"/>
          <w:szCs w:val="20"/>
          <w:lang w:eastAsia="fr-FR"/>
        </w:rPr>
      </w:pPr>
    </w:p>
    <w:p w14:paraId="6172F594" w14:textId="77777777" w:rsidR="006E7EF5" w:rsidRDefault="00AC41B0">
      <w:pPr>
        <w:spacing w:after="120" w:line="240" w:lineRule="auto"/>
        <w:ind w:left="360"/>
        <w:jc w:val="both"/>
        <w:rPr>
          <w:rFonts w:ascii="Calibri" w:eastAsia="Times New Roman" w:hAnsi="Calibri" w:cs="Calibri"/>
          <w:sz w:val="20"/>
          <w:szCs w:val="20"/>
          <w:lang w:eastAsia="fr-FR"/>
        </w:rPr>
      </w:pPr>
      <w:r>
        <w:rPr>
          <w:rFonts w:ascii="Calibri" w:eastAsia="Times New Roman" w:hAnsi="Calibri" w:cs="Calibri"/>
          <w:sz w:val="20"/>
          <w:szCs w:val="20"/>
          <w:lang w:eastAsia="fr-FR"/>
        </w:rPr>
        <w:t>Selon le montant du marché, le contrat RGPD choisi par INRAE sera au choix :</w:t>
      </w:r>
    </w:p>
    <w:p w14:paraId="124411D3" w14:textId="77777777" w:rsidR="006E7EF5" w:rsidRDefault="00AC41B0">
      <w:pPr>
        <w:numPr>
          <w:ilvl w:val="0"/>
          <w:numId w:val="3"/>
        </w:numPr>
        <w:spacing w:after="120" w:line="240" w:lineRule="auto"/>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 xml:space="preserve">Le contrat type de sous-traitance RGPD issu de la DÉCISION D’EXÉCUTION (UE) 2021/915 DE LA COMMISSION du 4 juin 2021 </w:t>
      </w:r>
      <w:hyperlink r:id="rId20">
        <w:r>
          <w:rPr>
            <w:rFonts w:ascii="Calibri" w:eastAsia="Segoe UI" w:hAnsi="Calibri" w:cs="Calibri"/>
            <w:color w:val="0563C1"/>
            <w:sz w:val="20"/>
            <w:szCs w:val="20"/>
            <w:u w:val="single"/>
            <w:lang w:eastAsia="fr-FR"/>
          </w:rPr>
          <w:t>https://www.cnil.fr/fr/commande-publique-quel-acteur-est-responsable-au-regard-du-rgpd</w:t>
        </w:r>
      </w:hyperlink>
      <w:r>
        <w:rPr>
          <w:rFonts w:ascii="Calibri" w:eastAsia="Segoe UI" w:hAnsi="Calibri" w:cs="Calibri"/>
          <w:sz w:val="20"/>
          <w:szCs w:val="20"/>
          <w:lang w:eastAsia="fr-FR"/>
        </w:rPr>
        <w:t xml:space="preserve"> </w:t>
      </w:r>
    </w:p>
    <w:p w14:paraId="586C8412" w14:textId="77777777" w:rsidR="006E7EF5" w:rsidRDefault="00AC41B0">
      <w:pPr>
        <w:numPr>
          <w:ilvl w:val="0"/>
          <w:numId w:val="3"/>
        </w:numPr>
        <w:spacing w:after="120" w:line="240" w:lineRule="auto"/>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 xml:space="preserve">Le contrat type de sous-traitance RGPD publié par la CNIL </w:t>
      </w:r>
      <w:hyperlink r:id="rId21">
        <w:r>
          <w:rPr>
            <w:rFonts w:ascii="Calibri" w:eastAsia="Segoe UI" w:hAnsi="Calibri" w:cs="Calibri"/>
            <w:color w:val="0563C1"/>
            <w:sz w:val="20"/>
            <w:szCs w:val="20"/>
            <w:u w:val="single"/>
            <w:lang w:eastAsia="fr-FR"/>
          </w:rPr>
          <w:t>https://www.cnil.fr/fr/sous-traitance-exemple-de-clauses</w:t>
        </w:r>
      </w:hyperlink>
    </w:p>
    <w:p w14:paraId="56139E20" w14:textId="77777777" w:rsidR="006E7EF5" w:rsidRDefault="006E7EF5">
      <w:pPr>
        <w:spacing w:after="120" w:line="240" w:lineRule="auto"/>
        <w:ind w:left="360"/>
        <w:jc w:val="both"/>
        <w:rPr>
          <w:rFonts w:ascii="Calibri" w:eastAsia="Times New Roman" w:hAnsi="Calibri" w:cs="Calibri"/>
          <w:sz w:val="20"/>
          <w:szCs w:val="20"/>
          <w:lang w:eastAsia="fr-FR"/>
        </w:rPr>
      </w:pPr>
    </w:p>
    <w:p w14:paraId="49A60791" w14:textId="77777777" w:rsidR="006E7EF5" w:rsidRDefault="00AC41B0">
      <w:pPr>
        <w:spacing w:after="120" w:line="240" w:lineRule="auto"/>
        <w:ind w:left="720"/>
        <w:contextualSpacing/>
        <w:jc w:val="both"/>
        <w:rPr>
          <w:rFonts w:ascii="Calibri" w:eastAsia="Times New Roman" w:hAnsi="Calibri" w:cs="Calibri"/>
          <w:sz w:val="20"/>
          <w:lang w:eastAsia="fr-FR"/>
        </w:rPr>
      </w:pPr>
      <w:r>
        <w:br w:type="textWrapping" w:clear="all"/>
      </w:r>
    </w:p>
    <w:p w14:paraId="017D2CA2" w14:textId="77777777" w:rsidR="006E7EF5" w:rsidRDefault="00AC41B0">
      <w:pPr>
        <w:pStyle w:val="Titre1"/>
        <w:spacing w:before="0" w:after="120"/>
        <w:jc w:val="left"/>
        <w:rPr>
          <w:rFonts w:ascii="Calibri" w:hAnsi="Calibri"/>
          <w:sz w:val="32"/>
          <w:szCs w:val="32"/>
        </w:rPr>
      </w:pPr>
      <w:bookmarkStart w:id="30" w:name="_Toc219386271"/>
      <w:r>
        <w:rPr>
          <w:rFonts w:ascii="Calibri" w:hAnsi="Calibri"/>
          <w:sz w:val="32"/>
          <w:szCs w:val="32"/>
        </w:rPr>
        <w:t>Article 4 : Engagement du titulaire</w:t>
      </w:r>
      <w:bookmarkEnd w:id="30"/>
    </w:p>
    <w:p w14:paraId="3A25E5FE" w14:textId="77777777" w:rsidR="006E7EF5" w:rsidRDefault="006E7EF5">
      <w:pPr>
        <w:pStyle w:val="Titre3"/>
        <w:spacing w:before="0" w:after="120"/>
        <w:rPr>
          <w:rFonts w:ascii="Calibri" w:hAnsi="Calibri"/>
          <w:lang w:eastAsia="fr-FR"/>
        </w:rPr>
      </w:pPr>
    </w:p>
    <w:p w14:paraId="5AF52261" w14:textId="77777777" w:rsidR="006E7EF5" w:rsidRDefault="00AC41B0">
      <w:pPr>
        <w:pStyle w:val="Titre3"/>
        <w:spacing w:before="0" w:after="120"/>
        <w:rPr>
          <w:rFonts w:ascii="Calibri" w:hAnsi="Calibri"/>
          <w:sz w:val="28"/>
          <w:szCs w:val="28"/>
        </w:rPr>
      </w:pPr>
      <w:bookmarkStart w:id="31" w:name="_Toc31886511"/>
      <w:bookmarkStart w:id="32" w:name="_Toc219386272"/>
      <w:r>
        <w:rPr>
          <w:rFonts w:ascii="Calibri" w:hAnsi="Calibri"/>
          <w:sz w:val="28"/>
          <w:szCs w:val="28"/>
        </w:rPr>
        <w:t>Article 4.1 : Obligation de sécurisation des données</w:t>
      </w:r>
      <w:bookmarkEnd w:id="31"/>
      <w:bookmarkEnd w:id="32"/>
      <w:r>
        <w:rPr>
          <w:rFonts w:ascii="Calibri" w:hAnsi="Calibri"/>
          <w:sz w:val="28"/>
          <w:szCs w:val="28"/>
        </w:rPr>
        <w:t xml:space="preserve"> </w:t>
      </w:r>
    </w:p>
    <w:p w14:paraId="0934D821" w14:textId="77777777" w:rsidR="006E7EF5" w:rsidRDefault="006E7EF5">
      <w:pPr>
        <w:spacing w:after="120" w:line="240" w:lineRule="auto"/>
        <w:jc w:val="both"/>
        <w:rPr>
          <w:rFonts w:ascii="Calibri" w:eastAsia="Times New Roman" w:hAnsi="Calibri" w:cs="Calibri"/>
          <w:sz w:val="20"/>
          <w:lang w:eastAsia="fr-FR"/>
        </w:rPr>
      </w:pPr>
    </w:p>
    <w:p w14:paraId="4B542B40" w14:textId="77777777" w:rsidR="006E7EF5" w:rsidRDefault="00AC41B0">
      <w:pPr>
        <w:spacing w:after="120" w:line="240" w:lineRule="auto"/>
        <w:jc w:val="both"/>
        <w:rPr>
          <w:rFonts w:ascii="Calibri" w:eastAsia="Times New Roman" w:hAnsi="Calibri" w:cs="Calibri"/>
          <w:sz w:val="20"/>
          <w:lang w:eastAsia="fr-FR"/>
        </w:rPr>
      </w:pPr>
      <w:r>
        <w:rPr>
          <w:rFonts w:ascii="Calibri" w:eastAsia="Times New Roman" w:hAnsi="Calibri" w:cs="Calibri"/>
          <w:sz w:val="20"/>
          <w:lang w:eastAsia="fr-FR"/>
        </w:rPr>
        <w:t>Au titre de son obligation de sécurisation des données, le titulaire s'engage donc notamment à :</w:t>
      </w:r>
    </w:p>
    <w:p w14:paraId="770C181A" w14:textId="77777777" w:rsidR="006E7EF5" w:rsidRDefault="00AC41B0">
      <w:pPr>
        <w:numPr>
          <w:ilvl w:val="0"/>
          <w:numId w:val="6"/>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 xml:space="preserve">Ne pas utiliser ou copier les données traitées à des fins autres que celles spécifiées au présent marché, </w:t>
      </w:r>
    </w:p>
    <w:p w14:paraId="2605A631" w14:textId="77777777" w:rsidR="006E7EF5" w:rsidRDefault="00AC41B0">
      <w:pPr>
        <w:numPr>
          <w:ilvl w:val="0"/>
          <w:numId w:val="6"/>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 xml:space="preserve">Ne pas divulguer les données à d'autres personnes privées ou publiques, physiques ou morales, </w:t>
      </w:r>
    </w:p>
    <w:p w14:paraId="41C56C4F" w14:textId="77777777" w:rsidR="006E7EF5" w:rsidRDefault="00AC41B0">
      <w:pPr>
        <w:numPr>
          <w:ilvl w:val="0"/>
          <w:numId w:val="6"/>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 xml:space="preserve">Prendre toutes les mesures permettant d'éviter toute utilisation détournée ou frauduleuse des données, </w:t>
      </w:r>
    </w:p>
    <w:p w14:paraId="4DD8E99E" w14:textId="77777777" w:rsidR="006E7EF5" w:rsidRDefault="00AC41B0">
      <w:pPr>
        <w:numPr>
          <w:ilvl w:val="0"/>
          <w:numId w:val="6"/>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 xml:space="preserve">Prendre toutes les mesures, notamment de sécurité matérielle, pour assurer la conservation des données traitées dans le cadre du présent marché, </w:t>
      </w:r>
    </w:p>
    <w:p w14:paraId="158720DA" w14:textId="77777777" w:rsidR="006E7EF5" w:rsidRDefault="00AC41B0">
      <w:pPr>
        <w:numPr>
          <w:ilvl w:val="0"/>
          <w:numId w:val="6"/>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 xml:space="preserve">Mettre en œuvre des moyens permettant de garantir la confidentialité, l'intégrité, la disponibilité et la résilience constantes des systèmes, services de traitement et des données, </w:t>
      </w:r>
    </w:p>
    <w:p w14:paraId="7C04057C" w14:textId="77777777" w:rsidR="006E7EF5" w:rsidRDefault="00AC41B0">
      <w:pPr>
        <w:numPr>
          <w:ilvl w:val="0"/>
          <w:numId w:val="8"/>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Pour les prestations nécessitant le traitement de données personnelles et autres données sensibles, présenter à l’Institut la clause de confidentialité intégrée aux contrats de travail de ses salariés ou aux engagements de confidentialité spécifiques signés par ces derniers, ainsi que celles des contrats de sous-traitance établis pour l’exécution du présent accord-cadre,</w:t>
      </w:r>
    </w:p>
    <w:p w14:paraId="41537263" w14:textId="77777777" w:rsidR="006E7EF5" w:rsidRDefault="00AC41B0">
      <w:pPr>
        <w:numPr>
          <w:ilvl w:val="0"/>
          <w:numId w:val="8"/>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 xml:space="preserve">Mettre en œuvre des moyens permettant de rétablir la disponibilité des données et leur accès en cas d'incident physique ou technique dans des délais appropriés, </w:t>
      </w:r>
    </w:p>
    <w:p w14:paraId="3958220C" w14:textId="77777777" w:rsidR="006E7EF5" w:rsidRDefault="00AC41B0">
      <w:pPr>
        <w:numPr>
          <w:ilvl w:val="0"/>
          <w:numId w:val="8"/>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 xml:space="preserve">Mettre en œuvre une procédure de test, analyse et évaluation régulière de l'efficacité des mesures techniques et organisationnelles assurant la sécurité des données, </w:t>
      </w:r>
    </w:p>
    <w:p w14:paraId="051EF749" w14:textId="77777777" w:rsidR="006E7EF5" w:rsidRDefault="00AC41B0">
      <w:pPr>
        <w:numPr>
          <w:ilvl w:val="0"/>
          <w:numId w:val="8"/>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 xml:space="preserve">Restituer l'intégralité des données exigées par INRAE puis détruire l'ensemble des données INRAE détenues par le titulaire ou ses sous-traitants en fin de marché. Un mode de preuve de cette destruction est proposé par le titulaire dans son offre, </w:t>
      </w:r>
    </w:p>
    <w:p w14:paraId="10016598" w14:textId="77777777" w:rsidR="006E7EF5" w:rsidRDefault="00AC41B0">
      <w:pPr>
        <w:numPr>
          <w:ilvl w:val="0"/>
          <w:numId w:val="8"/>
        </w:numPr>
        <w:spacing w:after="120" w:line="240" w:lineRule="auto"/>
        <w:contextualSpacing/>
        <w:jc w:val="both"/>
        <w:rPr>
          <w:rFonts w:ascii="Calibri" w:eastAsia="Times New Roman" w:hAnsi="Calibri" w:cs="Calibri"/>
          <w:sz w:val="20"/>
          <w:lang w:eastAsia="fr-FR"/>
        </w:rPr>
      </w:pPr>
      <w:r>
        <w:rPr>
          <w:rFonts w:ascii="Calibri" w:eastAsia="Times New Roman" w:hAnsi="Calibri" w:cs="Calibri"/>
          <w:sz w:val="20"/>
          <w:lang w:eastAsia="fr-FR"/>
        </w:rPr>
        <w:t xml:space="preserve">Mettre à la disposition d'INRAE les informations nécessaires afin de démontrer le respect de ces obligations et, à cette même fin, permettre la réalisation d'audits par INRAE. </w:t>
      </w:r>
    </w:p>
    <w:p w14:paraId="20A322EE" w14:textId="77777777" w:rsidR="006E7EF5" w:rsidRDefault="00AC41B0">
      <w:pPr>
        <w:numPr>
          <w:ilvl w:val="0"/>
          <w:numId w:val="8"/>
        </w:numPr>
        <w:spacing w:after="120" w:line="240" w:lineRule="auto"/>
        <w:contextualSpacing/>
        <w:jc w:val="both"/>
        <w:rPr>
          <w:rFonts w:ascii="Calibri" w:eastAsia="Times New Roman" w:hAnsi="Calibri" w:cs="Calibri"/>
          <w:sz w:val="20"/>
          <w:lang w:eastAsia="fr-FR"/>
        </w:rPr>
      </w:pPr>
      <w:bookmarkStart w:id="33" w:name="_Hlk205475602"/>
      <w:r>
        <w:rPr>
          <w:rFonts w:ascii="Calibri" w:eastAsia="Times New Roman" w:hAnsi="Calibri" w:cs="Calibri"/>
          <w:sz w:val="20"/>
          <w:lang w:eastAsia="fr-FR"/>
        </w:rPr>
        <w:t>Se refuser d’utiliser, dans le cadre de ses outils ou documents livrés, les signes distinctifs d’INRAE, pour éviter toute confusion entre INRAE et les agents publics d'une part, et les consultants, d'autre part et, au minimum, rendre obligatoire la mention de l'intervention des consultants sur les documents auxquels ils ont participé.</w:t>
      </w:r>
      <w:bookmarkEnd w:id="33"/>
    </w:p>
    <w:p w14:paraId="2D7FCC78" w14:textId="77777777" w:rsidR="006E7EF5" w:rsidRDefault="006E7EF5">
      <w:pPr>
        <w:spacing w:after="120" w:line="240" w:lineRule="auto"/>
        <w:jc w:val="both"/>
        <w:rPr>
          <w:rFonts w:ascii="Calibri" w:eastAsia="Times New Roman" w:hAnsi="Calibri" w:cs="Calibri"/>
          <w:sz w:val="20"/>
          <w:lang w:eastAsia="fr-FR"/>
        </w:rPr>
      </w:pPr>
    </w:p>
    <w:p w14:paraId="1AD3E06D" w14:textId="77777777" w:rsidR="006E7EF5" w:rsidRDefault="006E7EF5">
      <w:pPr>
        <w:spacing w:after="120" w:line="240" w:lineRule="auto"/>
        <w:jc w:val="both"/>
        <w:rPr>
          <w:rFonts w:ascii="Calibri" w:eastAsia="Times New Roman" w:hAnsi="Calibri" w:cs="Calibri"/>
          <w:sz w:val="20"/>
          <w:lang w:eastAsia="fr-FR"/>
        </w:rPr>
      </w:pPr>
    </w:p>
    <w:p w14:paraId="4D557E5A" w14:textId="77777777" w:rsidR="006E7EF5" w:rsidRDefault="006E7EF5">
      <w:pPr>
        <w:spacing w:after="120" w:line="240" w:lineRule="auto"/>
        <w:jc w:val="both"/>
        <w:rPr>
          <w:rFonts w:ascii="Calibri" w:eastAsia="Times New Roman" w:hAnsi="Calibri" w:cs="Calibri"/>
          <w:sz w:val="20"/>
          <w:lang w:eastAsia="fr-FR"/>
        </w:rPr>
      </w:pPr>
    </w:p>
    <w:p w14:paraId="63DD2AD8" w14:textId="77777777" w:rsidR="006E7EF5" w:rsidRDefault="00AC41B0">
      <w:pPr>
        <w:pStyle w:val="Titre4"/>
        <w:spacing w:before="0" w:after="120" w:line="240" w:lineRule="auto"/>
        <w:rPr>
          <w:rFonts w:ascii="Calibri" w:hAnsi="Calibri"/>
          <w:i w:val="0"/>
          <w:iCs w:val="0"/>
          <w:sz w:val="28"/>
          <w:szCs w:val="28"/>
        </w:rPr>
      </w:pPr>
      <w:r>
        <w:rPr>
          <w:rFonts w:ascii="Calibri" w:hAnsi="Calibri"/>
          <w:i w:val="0"/>
          <w:iCs w:val="0"/>
          <w:sz w:val="28"/>
          <w:szCs w:val="28"/>
        </w:rPr>
        <w:lastRenderedPageBreak/>
        <w:t>Article 4.2 : Sécurisation des prestations et du Système d’Information</w:t>
      </w:r>
    </w:p>
    <w:p w14:paraId="36C18CBE" w14:textId="77777777" w:rsidR="006E7EF5" w:rsidRDefault="006E7EF5">
      <w:pPr>
        <w:spacing w:after="120" w:line="240" w:lineRule="auto"/>
        <w:jc w:val="both"/>
        <w:rPr>
          <w:rFonts w:ascii="Calibri" w:eastAsia="Times New Roman" w:hAnsi="Calibri" w:cs="Calibri"/>
          <w:sz w:val="20"/>
          <w:lang w:eastAsia="fr-FR"/>
        </w:rPr>
      </w:pPr>
    </w:p>
    <w:p w14:paraId="3A411A8F" w14:textId="77777777" w:rsidR="006E7EF5" w:rsidRDefault="00AC41B0">
      <w:pPr>
        <w:spacing w:after="120" w:line="240" w:lineRule="auto"/>
        <w:ind w:right="911"/>
        <w:jc w:val="both"/>
        <w:rPr>
          <w:rFonts w:ascii="Calibri" w:hAnsi="Calibri" w:cs="Calibri"/>
          <w:sz w:val="20"/>
          <w:szCs w:val="20"/>
        </w:rPr>
      </w:pPr>
      <w:r>
        <w:rPr>
          <w:rFonts w:ascii="Calibri" w:hAnsi="Calibri" w:cs="Calibri"/>
          <w:sz w:val="20"/>
          <w:szCs w:val="20"/>
        </w:rPr>
        <w:t xml:space="preserve">Au titre de la sécurisation des prestations et du SI, le titulaire s’engage notamment à : </w:t>
      </w:r>
    </w:p>
    <w:p w14:paraId="6EA4A900" w14:textId="77777777" w:rsidR="006E7EF5" w:rsidRDefault="00AC41B0">
      <w:pPr>
        <w:numPr>
          <w:ilvl w:val="0"/>
          <w:numId w:val="7"/>
        </w:numPr>
        <w:spacing w:after="120" w:line="240" w:lineRule="auto"/>
        <w:ind w:right="911"/>
        <w:jc w:val="both"/>
        <w:rPr>
          <w:rFonts w:ascii="Calibri" w:hAnsi="Calibri" w:cs="Calibri"/>
          <w:sz w:val="20"/>
          <w:szCs w:val="20"/>
        </w:rPr>
      </w:pPr>
      <w:r>
        <w:rPr>
          <w:rFonts w:ascii="Calibri" w:hAnsi="Calibri" w:cs="Calibri"/>
          <w:sz w:val="20"/>
          <w:szCs w:val="20"/>
        </w:rPr>
        <w:t xml:space="preserve">Remettre à INRAE, dans le cadre de son offre technique, le </w:t>
      </w:r>
      <w:r>
        <w:rPr>
          <w:rFonts w:ascii="Calibri" w:hAnsi="Calibri" w:cs="Calibri"/>
          <w:b/>
          <w:sz w:val="20"/>
          <w:szCs w:val="20"/>
        </w:rPr>
        <w:t>Plan d’Assurance Sécurité (PAS)</w:t>
      </w:r>
      <w:r>
        <w:rPr>
          <w:rFonts w:ascii="Calibri" w:hAnsi="Calibri" w:cs="Calibri"/>
          <w:sz w:val="20"/>
          <w:szCs w:val="20"/>
        </w:rPr>
        <w:t xml:space="preserve"> lié aux prestations du marché ainsi que chacune de ses mises à jour ayant eu lieu pendant la durée du celui-ci. </w:t>
      </w:r>
    </w:p>
    <w:p w14:paraId="3DF46906" w14:textId="77777777" w:rsidR="006E7EF5" w:rsidRDefault="00AC41B0">
      <w:pPr>
        <w:spacing w:after="120" w:line="240" w:lineRule="auto"/>
        <w:ind w:left="210" w:right="911"/>
        <w:jc w:val="both"/>
        <w:rPr>
          <w:rFonts w:ascii="Calibri" w:hAnsi="Calibri" w:cs="Calibri"/>
          <w:sz w:val="20"/>
          <w:szCs w:val="20"/>
        </w:rPr>
      </w:pPr>
      <w:r>
        <w:rPr>
          <w:rFonts w:ascii="Calibri" w:hAnsi="Calibri" w:cs="Calibri"/>
          <w:sz w:val="20"/>
          <w:szCs w:val="20"/>
        </w:rPr>
        <w:t xml:space="preserve">Lorsqu’elle est disponible, le titulaire fournit sa </w:t>
      </w:r>
      <w:r>
        <w:rPr>
          <w:rFonts w:ascii="Calibri" w:hAnsi="Calibri" w:cs="Calibri"/>
          <w:b/>
          <w:sz w:val="20"/>
          <w:szCs w:val="20"/>
        </w:rPr>
        <w:t>politique de sécurité des systèmes d’information (PSSI)</w:t>
      </w:r>
      <w:r>
        <w:rPr>
          <w:rFonts w:ascii="Calibri" w:hAnsi="Calibri" w:cs="Calibri"/>
          <w:sz w:val="20"/>
          <w:szCs w:val="20"/>
        </w:rPr>
        <w:t>.</w:t>
      </w:r>
    </w:p>
    <w:p w14:paraId="646DE71D" w14:textId="77777777" w:rsidR="006E7EF5" w:rsidRDefault="006E7EF5">
      <w:pPr>
        <w:spacing w:after="120" w:line="240" w:lineRule="auto"/>
        <w:ind w:left="210" w:right="911"/>
        <w:jc w:val="both"/>
        <w:rPr>
          <w:rFonts w:ascii="Calibri" w:hAnsi="Calibri" w:cs="Calibri"/>
          <w:sz w:val="20"/>
          <w:szCs w:val="20"/>
        </w:rPr>
      </w:pPr>
    </w:p>
    <w:p w14:paraId="67483EDD" w14:textId="77777777" w:rsidR="006E7EF5" w:rsidRDefault="00AC41B0">
      <w:pPr>
        <w:spacing w:after="120" w:line="240" w:lineRule="auto"/>
        <w:ind w:left="210" w:right="911"/>
        <w:jc w:val="both"/>
        <w:rPr>
          <w:rFonts w:ascii="Calibri" w:hAnsi="Calibri" w:cs="Calibri"/>
          <w:sz w:val="20"/>
          <w:szCs w:val="20"/>
        </w:rPr>
      </w:pPr>
      <w:bookmarkStart w:id="34" w:name="_Hlk205475711"/>
      <w:r>
        <w:rPr>
          <w:rFonts w:ascii="Calibri" w:hAnsi="Calibri" w:cs="Calibri"/>
          <w:sz w:val="20"/>
          <w:szCs w:val="20"/>
        </w:rPr>
        <w:t>Dans le cadre de l’exécution du marché, l’ensemble des sous-traitants doit respecter l’ensemble des obligations auxquelles s’engage le titulaire et notamment fournir sa PAS au même titre que le titulaire.</w:t>
      </w:r>
      <w:bookmarkEnd w:id="34"/>
    </w:p>
    <w:p w14:paraId="59A0A3BD" w14:textId="77777777" w:rsidR="006E7EF5" w:rsidRDefault="00AC41B0">
      <w:pPr>
        <w:spacing w:after="120" w:line="240" w:lineRule="auto"/>
        <w:ind w:left="210" w:right="911"/>
        <w:rPr>
          <w:rFonts w:ascii="Calibri" w:hAnsi="Calibri" w:cs="Calibri"/>
          <w:sz w:val="20"/>
          <w:szCs w:val="20"/>
        </w:rPr>
      </w:pPr>
      <w:r>
        <w:rPr>
          <w:rFonts w:ascii="Calibri" w:hAnsi="Calibri" w:cs="Calibri"/>
          <w:sz w:val="20"/>
          <w:szCs w:val="20"/>
        </w:rPr>
        <w:t>Le Plan d’Assurance Sécurité (PAS) détaille les modalités de sécurisation de ses activités dans le cadre de la prestation :</w:t>
      </w:r>
    </w:p>
    <w:p w14:paraId="02B66261" w14:textId="77777777" w:rsidR="006E7EF5" w:rsidRDefault="00AC41B0">
      <w:pPr>
        <w:pStyle w:val="Paragraphedeliste"/>
        <w:numPr>
          <w:ilvl w:val="0"/>
          <w:numId w:val="7"/>
        </w:numPr>
        <w:spacing w:after="120" w:line="240" w:lineRule="auto"/>
        <w:ind w:right="911"/>
        <w:rPr>
          <w:rFonts w:ascii="Calibri" w:hAnsi="Calibri" w:cs="Calibri"/>
          <w:sz w:val="20"/>
          <w:szCs w:val="20"/>
        </w:rPr>
      </w:pPr>
      <w:r>
        <w:rPr>
          <w:rFonts w:ascii="Calibri" w:hAnsi="Calibri" w:cs="Calibri"/>
          <w:sz w:val="20"/>
          <w:szCs w:val="20"/>
        </w:rPr>
        <w:t>Sécurité des flux d’exploitation</w:t>
      </w:r>
    </w:p>
    <w:p w14:paraId="29E8D91D" w14:textId="77777777" w:rsidR="006E7EF5" w:rsidRDefault="00AC41B0">
      <w:pPr>
        <w:pStyle w:val="Paragraphedeliste"/>
        <w:numPr>
          <w:ilvl w:val="0"/>
          <w:numId w:val="7"/>
        </w:numPr>
        <w:spacing w:after="120" w:line="240" w:lineRule="auto"/>
        <w:ind w:right="911"/>
        <w:rPr>
          <w:rFonts w:ascii="Calibri" w:hAnsi="Calibri" w:cs="Calibri"/>
          <w:sz w:val="20"/>
          <w:szCs w:val="20"/>
        </w:rPr>
      </w:pPr>
      <w:r>
        <w:rPr>
          <w:rFonts w:ascii="Calibri" w:hAnsi="Calibri" w:cs="Calibri"/>
          <w:sz w:val="20"/>
          <w:szCs w:val="20"/>
        </w:rPr>
        <w:t>Contrôle d’accès pour l’exploitation</w:t>
      </w:r>
    </w:p>
    <w:p w14:paraId="64DDF804" w14:textId="77777777" w:rsidR="006E7EF5" w:rsidRDefault="00AC41B0">
      <w:pPr>
        <w:pStyle w:val="Paragraphedeliste"/>
        <w:numPr>
          <w:ilvl w:val="0"/>
          <w:numId w:val="7"/>
        </w:numPr>
        <w:spacing w:after="120" w:line="240" w:lineRule="auto"/>
        <w:ind w:right="911"/>
        <w:rPr>
          <w:rFonts w:ascii="Calibri" w:hAnsi="Calibri" w:cs="Calibri"/>
          <w:sz w:val="20"/>
          <w:szCs w:val="20"/>
        </w:rPr>
      </w:pPr>
      <w:r>
        <w:rPr>
          <w:rFonts w:ascii="Calibri" w:hAnsi="Calibri" w:cs="Calibri"/>
          <w:sz w:val="20"/>
          <w:szCs w:val="20"/>
        </w:rPr>
        <w:t>Gestion des administrateurs et de leur méthode d’authentification</w:t>
      </w:r>
    </w:p>
    <w:p w14:paraId="32809110" w14:textId="77777777" w:rsidR="006E7EF5" w:rsidRDefault="00AC41B0">
      <w:pPr>
        <w:pStyle w:val="Paragraphedeliste"/>
        <w:numPr>
          <w:ilvl w:val="0"/>
          <w:numId w:val="7"/>
        </w:numPr>
        <w:spacing w:after="120" w:line="240" w:lineRule="auto"/>
        <w:ind w:right="911"/>
        <w:rPr>
          <w:rFonts w:ascii="Calibri" w:hAnsi="Calibri" w:cs="Calibri"/>
          <w:sz w:val="20"/>
          <w:szCs w:val="20"/>
        </w:rPr>
      </w:pPr>
      <w:r>
        <w:rPr>
          <w:rFonts w:ascii="Calibri" w:hAnsi="Calibri" w:cs="Calibri"/>
          <w:sz w:val="20"/>
          <w:szCs w:val="20"/>
        </w:rPr>
        <w:t>Maintien en condition de sécurité</w:t>
      </w:r>
    </w:p>
    <w:p w14:paraId="0949E3F7" w14:textId="77777777" w:rsidR="006E7EF5" w:rsidRDefault="00AC41B0">
      <w:pPr>
        <w:pStyle w:val="Paragraphedeliste"/>
        <w:numPr>
          <w:ilvl w:val="1"/>
          <w:numId w:val="7"/>
        </w:numPr>
        <w:spacing w:after="120" w:line="240" w:lineRule="auto"/>
        <w:ind w:right="911"/>
        <w:rPr>
          <w:rFonts w:ascii="Calibri" w:hAnsi="Calibri" w:cs="Calibri"/>
          <w:sz w:val="20"/>
          <w:szCs w:val="20"/>
        </w:rPr>
      </w:pPr>
      <w:r>
        <w:rPr>
          <w:rFonts w:ascii="Calibri" w:hAnsi="Calibri" w:cs="Calibri"/>
          <w:sz w:val="20"/>
          <w:szCs w:val="20"/>
        </w:rPr>
        <w:t>Procédure de veille sur les vulnérabilités des composants du réseau RARE et de l’application de leur correctif</w:t>
      </w:r>
    </w:p>
    <w:p w14:paraId="72BB2357" w14:textId="77777777" w:rsidR="006E7EF5" w:rsidRDefault="00AC41B0">
      <w:pPr>
        <w:pStyle w:val="Paragraphedeliste"/>
        <w:numPr>
          <w:ilvl w:val="1"/>
          <w:numId w:val="7"/>
        </w:numPr>
        <w:spacing w:after="120" w:line="240" w:lineRule="auto"/>
        <w:ind w:right="911"/>
        <w:rPr>
          <w:rFonts w:ascii="Calibri" w:hAnsi="Calibri" w:cs="Calibri"/>
          <w:sz w:val="20"/>
          <w:szCs w:val="20"/>
        </w:rPr>
      </w:pPr>
      <w:r>
        <w:rPr>
          <w:rFonts w:ascii="Calibri" w:hAnsi="Calibri" w:cs="Calibri"/>
          <w:sz w:val="20"/>
          <w:szCs w:val="20"/>
        </w:rPr>
        <w:t>Procédure de traitement des alertes de sécurité</w:t>
      </w:r>
    </w:p>
    <w:p w14:paraId="1047ABAE" w14:textId="77777777" w:rsidR="006E7EF5" w:rsidRDefault="00AC41B0">
      <w:pPr>
        <w:pStyle w:val="Paragraphedeliste"/>
        <w:numPr>
          <w:ilvl w:val="1"/>
          <w:numId w:val="7"/>
        </w:numPr>
        <w:spacing w:after="120" w:line="240" w:lineRule="auto"/>
        <w:ind w:right="911"/>
        <w:rPr>
          <w:rFonts w:ascii="Calibri" w:hAnsi="Calibri" w:cs="Calibri"/>
          <w:sz w:val="20"/>
          <w:szCs w:val="20"/>
        </w:rPr>
      </w:pPr>
      <w:r>
        <w:rPr>
          <w:rFonts w:ascii="Calibri" w:hAnsi="Calibri" w:cs="Calibri"/>
          <w:sz w:val="20"/>
          <w:szCs w:val="20"/>
        </w:rPr>
        <w:t>Contrôle récurrent de conformité</w:t>
      </w:r>
    </w:p>
    <w:p w14:paraId="2891FB6B" w14:textId="77777777" w:rsidR="006E7EF5" w:rsidRDefault="00AC41B0">
      <w:pPr>
        <w:pStyle w:val="Paragraphedeliste"/>
        <w:numPr>
          <w:ilvl w:val="0"/>
          <w:numId w:val="7"/>
        </w:numPr>
        <w:spacing w:after="120" w:line="240" w:lineRule="auto"/>
        <w:ind w:right="911"/>
        <w:rPr>
          <w:rFonts w:ascii="Calibri" w:hAnsi="Calibri" w:cs="Calibri"/>
          <w:sz w:val="20"/>
          <w:szCs w:val="20"/>
        </w:rPr>
      </w:pPr>
      <w:r>
        <w:rPr>
          <w:rFonts w:ascii="Calibri" w:hAnsi="Calibri" w:cs="Calibri"/>
          <w:sz w:val="20"/>
          <w:szCs w:val="20"/>
        </w:rPr>
        <w:t>Sécurité des documents liés à la prestation</w:t>
      </w:r>
    </w:p>
    <w:p w14:paraId="0366FD1C" w14:textId="77777777" w:rsidR="006E7EF5" w:rsidRDefault="00AC41B0">
      <w:pPr>
        <w:pStyle w:val="Paragraphedeliste"/>
        <w:numPr>
          <w:ilvl w:val="0"/>
          <w:numId w:val="7"/>
        </w:numPr>
        <w:spacing w:after="120" w:line="240" w:lineRule="auto"/>
        <w:ind w:right="911"/>
        <w:rPr>
          <w:rFonts w:ascii="Calibri" w:hAnsi="Calibri" w:cs="Calibri"/>
          <w:sz w:val="20"/>
          <w:szCs w:val="20"/>
        </w:rPr>
      </w:pPr>
      <w:r>
        <w:rPr>
          <w:rFonts w:ascii="Calibri" w:hAnsi="Calibri" w:cs="Calibri"/>
          <w:sz w:val="20"/>
          <w:szCs w:val="20"/>
        </w:rPr>
        <w:t>Plan de continuité d’activité de la prestation</w:t>
      </w:r>
    </w:p>
    <w:p w14:paraId="2108C85B" w14:textId="77777777" w:rsidR="006E7EF5" w:rsidRDefault="00AC41B0">
      <w:pPr>
        <w:spacing w:after="120" w:line="240" w:lineRule="auto"/>
        <w:ind w:right="911"/>
        <w:rPr>
          <w:rFonts w:ascii="Calibri" w:hAnsi="Calibri" w:cs="Calibri"/>
          <w:sz w:val="20"/>
          <w:szCs w:val="20"/>
        </w:rPr>
      </w:pPr>
      <w:r>
        <w:rPr>
          <w:rFonts w:ascii="Calibri" w:hAnsi="Calibri" w:cs="Calibri"/>
          <w:sz w:val="20"/>
          <w:szCs w:val="20"/>
        </w:rPr>
        <w:t>Le suivi du respect du PAS se fait dans le cadre du comité d’exploitation.</w:t>
      </w:r>
    </w:p>
    <w:p w14:paraId="68FB12D6" w14:textId="77777777" w:rsidR="006E7EF5" w:rsidRDefault="00AC41B0">
      <w:pPr>
        <w:spacing w:after="120" w:line="240" w:lineRule="auto"/>
        <w:ind w:right="911"/>
        <w:rPr>
          <w:rFonts w:ascii="Calibri" w:hAnsi="Calibri" w:cs="Calibri"/>
          <w:sz w:val="20"/>
          <w:szCs w:val="20"/>
        </w:rPr>
      </w:pPr>
      <w:r>
        <w:rPr>
          <w:rFonts w:ascii="Calibri" w:hAnsi="Calibri" w:cs="Calibri"/>
          <w:sz w:val="20"/>
          <w:szCs w:val="20"/>
        </w:rPr>
        <w:t>Le respect des procédures définies dans le PAS s’inscrit dans une démarche qualité impliquant le titulaire et l’INRAE. Il est de la responsabilité des deux parties de veiller au respect de ces procédures. Ce document peut évoluer durant les étapes et la vie de la prestation du fait :</w:t>
      </w:r>
    </w:p>
    <w:p w14:paraId="030E9C66" w14:textId="77777777" w:rsidR="006E7EF5" w:rsidRDefault="00AC41B0">
      <w:pPr>
        <w:pStyle w:val="Paragraphedeliste"/>
        <w:numPr>
          <w:ilvl w:val="0"/>
          <w:numId w:val="9"/>
        </w:numPr>
        <w:spacing w:after="120" w:line="240" w:lineRule="auto"/>
        <w:ind w:right="911"/>
        <w:rPr>
          <w:rFonts w:ascii="Calibri" w:hAnsi="Calibri" w:cs="Calibri"/>
          <w:sz w:val="20"/>
          <w:szCs w:val="20"/>
        </w:rPr>
      </w:pPr>
      <w:r>
        <w:rPr>
          <w:rFonts w:ascii="Calibri" w:hAnsi="Calibri" w:cs="Calibri"/>
          <w:sz w:val="20"/>
          <w:szCs w:val="20"/>
        </w:rPr>
        <w:t>De l’évolution des exigences d’INRAE</w:t>
      </w:r>
    </w:p>
    <w:p w14:paraId="6292A3CF" w14:textId="77777777" w:rsidR="006E7EF5" w:rsidRDefault="00AC41B0">
      <w:pPr>
        <w:pStyle w:val="Paragraphedeliste"/>
        <w:numPr>
          <w:ilvl w:val="0"/>
          <w:numId w:val="9"/>
        </w:numPr>
        <w:spacing w:after="120" w:line="240" w:lineRule="auto"/>
        <w:ind w:right="911"/>
        <w:rPr>
          <w:rFonts w:ascii="Calibri" w:hAnsi="Calibri" w:cs="Calibri"/>
          <w:sz w:val="20"/>
          <w:szCs w:val="20"/>
        </w:rPr>
      </w:pPr>
      <w:r>
        <w:rPr>
          <w:rFonts w:ascii="Calibri" w:hAnsi="Calibri" w:cs="Calibri"/>
          <w:sz w:val="20"/>
          <w:szCs w:val="20"/>
        </w:rPr>
        <w:t>Des modifications liées à la structure de la prestation et aux conditions de réalisation</w:t>
      </w:r>
    </w:p>
    <w:p w14:paraId="2EA3233B" w14:textId="77777777" w:rsidR="006E7EF5" w:rsidRDefault="00AC41B0">
      <w:pPr>
        <w:pStyle w:val="Paragraphedeliste"/>
        <w:numPr>
          <w:ilvl w:val="0"/>
          <w:numId w:val="9"/>
        </w:numPr>
        <w:spacing w:after="120" w:line="240" w:lineRule="auto"/>
        <w:ind w:right="911"/>
        <w:rPr>
          <w:rFonts w:ascii="Calibri" w:hAnsi="Calibri" w:cs="Calibri"/>
          <w:sz w:val="20"/>
          <w:szCs w:val="20"/>
        </w:rPr>
      </w:pPr>
      <w:r>
        <w:rPr>
          <w:rFonts w:ascii="Calibri" w:hAnsi="Calibri" w:cs="Calibri"/>
          <w:sz w:val="20"/>
          <w:szCs w:val="20"/>
        </w:rPr>
        <w:t>De l’impossibilité d’appliquer le PAS par l’une des deux parties</w:t>
      </w:r>
    </w:p>
    <w:p w14:paraId="438B4F8C" w14:textId="77777777" w:rsidR="006E7EF5" w:rsidRDefault="00AC41B0">
      <w:pPr>
        <w:spacing w:after="120" w:line="240" w:lineRule="auto"/>
        <w:ind w:right="911"/>
        <w:rPr>
          <w:rFonts w:ascii="Calibri" w:hAnsi="Calibri" w:cs="Calibri"/>
          <w:sz w:val="20"/>
          <w:szCs w:val="20"/>
        </w:rPr>
      </w:pPr>
      <w:r>
        <w:rPr>
          <w:rFonts w:ascii="Calibri" w:hAnsi="Calibri" w:cs="Calibri"/>
          <w:sz w:val="20"/>
          <w:szCs w:val="20"/>
        </w:rPr>
        <w:t>Les demandes de modification du PAS :</w:t>
      </w:r>
    </w:p>
    <w:p w14:paraId="527781C7" w14:textId="77777777" w:rsidR="006E7EF5" w:rsidRDefault="00AC41B0">
      <w:pPr>
        <w:pStyle w:val="Paragraphedeliste"/>
        <w:numPr>
          <w:ilvl w:val="0"/>
          <w:numId w:val="10"/>
        </w:numPr>
        <w:spacing w:after="120" w:line="240" w:lineRule="auto"/>
        <w:ind w:right="911"/>
        <w:rPr>
          <w:rFonts w:ascii="Calibri" w:hAnsi="Calibri" w:cs="Calibri"/>
          <w:sz w:val="20"/>
          <w:szCs w:val="20"/>
        </w:rPr>
      </w:pPr>
      <w:r>
        <w:rPr>
          <w:rFonts w:ascii="Calibri" w:hAnsi="Calibri" w:cs="Calibri"/>
          <w:sz w:val="20"/>
          <w:szCs w:val="20"/>
        </w:rPr>
        <w:t>Émanant d’INRAE doivent être formulées par écrit et transmises au chef de projet du titulaire</w:t>
      </w:r>
    </w:p>
    <w:p w14:paraId="4DBA99EA" w14:textId="77777777" w:rsidR="006E7EF5" w:rsidRDefault="00AC41B0">
      <w:pPr>
        <w:pStyle w:val="Paragraphedeliste"/>
        <w:numPr>
          <w:ilvl w:val="0"/>
          <w:numId w:val="10"/>
        </w:numPr>
        <w:spacing w:after="120" w:line="240" w:lineRule="auto"/>
        <w:ind w:right="911"/>
        <w:rPr>
          <w:rFonts w:ascii="Calibri" w:hAnsi="Calibri" w:cs="Calibri"/>
          <w:sz w:val="20"/>
          <w:szCs w:val="20"/>
        </w:rPr>
      </w:pPr>
      <w:r>
        <w:rPr>
          <w:rFonts w:ascii="Calibri" w:hAnsi="Calibri" w:cs="Calibri"/>
          <w:sz w:val="20"/>
          <w:szCs w:val="20"/>
        </w:rPr>
        <w:t>Émanant du titulaire doivent être formulées par écrit et transmises au maître d’ouvrage pour INRAE.</w:t>
      </w:r>
    </w:p>
    <w:p w14:paraId="0AAF920F" w14:textId="77777777" w:rsidR="006E7EF5" w:rsidRDefault="00AC41B0">
      <w:pPr>
        <w:spacing w:after="120" w:line="240" w:lineRule="auto"/>
        <w:ind w:left="210" w:right="911"/>
        <w:rPr>
          <w:rFonts w:ascii="Calibri" w:hAnsi="Calibri" w:cs="Calibri"/>
          <w:sz w:val="20"/>
          <w:szCs w:val="20"/>
        </w:rPr>
      </w:pPr>
      <w:r>
        <w:rPr>
          <w:rFonts w:ascii="Calibri" w:hAnsi="Calibri" w:cs="Calibri"/>
          <w:sz w:val="20"/>
          <w:szCs w:val="20"/>
        </w:rPr>
        <w:t>Les modifications apportées au PAS sont approuvées par le comité de pilotage.</w:t>
      </w:r>
    </w:p>
    <w:sectPr w:rsidR="006E7EF5">
      <w:footerReference w:type="even" r:id="rId22"/>
      <w:footerReference w:type="default" r:id="rId23"/>
      <w:footerReference w:type="first" r:id="rId24"/>
      <w:pgSz w:w="11906" w:h="16838"/>
      <w:pgMar w:top="1134" w:right="425" w:bottom="1134" w:left="851" w:header="0" w:footer="709" w:gutter="0"/>
      <w:cols w:space="720"/>
      <w:formProt w:val="0"/>
      <w:titlePg/>
      <w:docGrid w:linePitch="299" w:charSpace="59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325C" w14:textId="77777777" w:rsidR="00CE2E6D" w:rsidRDefault="00CE2E6D">
      <w:pPr>
        <w:spacing w:after="0" w:line="240" w:lineRule="auto"/>
      </w:pPr>
      <w:r>
        <w:separator/>
      </w:r>
    </w:p>
  </w:endnote>
  <w:endnote w:type="continuationSeparator" w:id="0">
    <w:p w14:paraId="7B2313A9" w14:textId="77777777" w:rsidR="00CE2E6D" w:rsidRDefault="00CE2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venir Next LT Pro">
    <w:altName w:val="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26706" w14:textId="77777777" w:rsidR="00AC41B0" w:rsidRDefault="00AC41B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D6D87" w14:textId="77777777" w:rsidR="00AC41B0" w:rsidRDefault="00AC41B0">
    <w:pPr>
      <w:pStyle w:val="Pieddepage"/>
    </w:pPr>
    <w:r>
      <w:rPr>
        <w:noProof/>
      </w:rPr>
      <w:drawing>
        <wp:anchor distT="0" distB="0" distL="114300" distR="114300" simplePos="0" relativeHeight="15" behindDoc="1" locked="0" layoutInCell="0" allowOverlap="1" wp14:anchorId="5294F7C8" wp14:editId="37F2A566">
          <wp:simplePos x="0" y="0"/>
          <wp:positionH relativeFrom="column">
            <wp:posOffset>-168910</wp:posOffset>
          </wp:positionH>
          <wp:positionV relativeFrom="paragraph">
            <wp:posOffset>31750</wp:posOffset>
          </wp:positionV>
          <wp:extent cx="1417955" cy="555625"/>
          <wp:effectExtent l="0" t="0" r="0" b="0"/>
          <wp:wrapSquare wrapText="bothSides"/>
          <wp:docPr id="9" name="Image4" descr="Une image contenant dessin, s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 descr="Une image contenant dessin, signe&#10;&#10;Description générée automatiquement"/>
                  <pic:cNvPicPr>
                    <a:picLocks noChangeAspect="1" noChangeArrowheads="1"/>
                  </pic:cNvPicPr>
                </pic:nvPicPr>
                <pic:blipFill>
                  <a:blip r:embed="rId1"/>
                  <a:stretch>
                    <a:fillRect/>
                  </a:stretch>
                </pic:blipFill>
                <pic:spPr bwMode="auto">
                  <a:xfrm>
                    <a:off x="0" y="0"/>
                    <a:ext cx="1417955" cy="555625"/>
                  </a:xfrm>
                  <a:prstGeom prst="rect">
                    <a:avLst/>
                  </a:prstGeom>
                </pic:spPr>
              </pic:pic>
            </a:graphicData>
          </a:graphic>
        </wp:anchor>
      </w:drawing>
    </w:r>
    <w:r>
      <w:t xml:space="preserve"> </w:t>
    </w:r>
  </w:p>
  <w:p w14:paraId="5BDFC868" w14:textId="77777777" w:rsidR="00AC41B0" w:rsidRDefault="00AC41B0">
    <w:pPr>
      <w:pStyle w:val="Pieddepage"/>
      <w:rPr>
        <w:sz w:val="24"/>
        <w:szCs w:val="24"/>
      </w:rPr>
    </w:pPr>
    <w:r>
      <w:rPr>
        <w:sz w:val="18"/>
        <w:szCs w:val="18"/>
      </w:rPr>
      <w:t>2025_INRAE_AOO_GEODATA_Cahier des clauses techniques particulières (CCTP)</w:t>
    </w:r>
  </w:p>
  <w:p w14:paraId="33181B11" w14:textId="77777777" w:rsidR="00AC41B0" w:rsidRDefault="00AC41B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782AF" w14:textId="77777777" w:rsidR="00AC41B0" w:rsidRDefault="00AC41B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CB61A" w14:textId="77777777" w:rsidR="00CE2E6D" w:rsidRDefault="00CE2E6D">
      <w:pPr>
        <w:spacing w:after="0" w:line="240" w:lineRule="auto"/>
      </w:pPr>
      <w:r>
        <w:separator/>
      </w:r>
    </w:p>
  </w:footnote>
  <w:footnote w:type="continuationSeparator" w:id="0">
    <w:p w14:paraId="0A9937BD" w14:textId="77777777" w:rsidR="00CE2E6D" w:rsidRDefault="00CE2E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33477"/>
    <w:multiLevelType w:val="multilevel"/>
    <w:tmpl w:val="D2827130"/>
    <w:lvl w:ilvl="0">
      <w:start w:val="1"/>
      <w:numFmt w:val="bullet"/>
      <w:lvlText w:val=""/>
      <w:lvlJc w:val="left"/>
      <w:pPr>
        <w:tabs>
          <w:tab w:val="num" w:pos="0"/>
        </w:tabs>
        <w:ind w:left="996" w:hanging="286"/>
      </w:pPr>
      <w:rPr>
        <w:rFonts w:ascii="Symbol" w:hAnsi="Symbol" w:cs="Symbol" w:hint="default"/>
      </w:rPr>
    </w:lvl>
    <w:lvl w:ilvl="1">
      <w:start w:val="1"/>
      <w:numFmt w:val="bullet"/>
      <w:lvlText w:val="o"/>
      <w:lvlJc w:val="left"/>
      <w:pPr>
        <w:tabs>
          <w:tab w:val="num" w:pos="0"/>
        </w:tabs>
        <w:ind w:left="1629" w:hanging="358"/>
      </w:pPr>
      <w:rPr>
        <w:rFonts w:ascii="Courier New" w:hAnsi="Courier New" w:cs="Courier New" w:hint="default"/>
      </w:rPr>
    </w:lvl>
    <w:lvl w:ilvl="2">
      <w:start w:val="1"/>
      <w:numFmt w:val="bullet"/>
      <w:lvlText w:val="•"/>
      <w:lvlJc w:val="left"/>
      <w:pPr>
        <w:tabs>
          <w:tab w:val="num" w:pos="0"/>
        </w:tabs>
        <w:ind w:left="2585" w:hanging="358"/>
      </w:pPr>
      <w:rPr>
        <w:rFonts w:ascii="Symbol" w:hAnsi="Symbol" w:cs="Symbol" w:hint="default"/>
      </w:rPr>
    </w:lvl>
    <w:lvl w:ilvl="3">
      <w:start w:val="1"/>
      <w:numFmt w:val="bullet"/>
      <w:lvlText w:val="•"/>
      <w:lvlJc w:val="left"/>
      <w:pPr>
        <w:tabs>
          <w:tab w:val="num" w:pos="0"/>
        </w:tabs>
        <w:ind w:left="3550" w:hanging="358"/>
      </w:pPr>
      <w:rPr>
        <w:rFonts w:ascii="Symbol" w:hAnsi="Symbol" w:cs="Symbol" w:hint="default"/>
      </w:rPr>
    </w:lvl>
    <w:lvl w:ilvl="4">
      <w:start w:val="1"/>
      <w:numFmt w:val="bullet"/>
      <w:lvlText w:val="•"/>
      <w:lvlJc w:val="left"/>
      <w:pPr>
        <w:tabs>
          <w:tab w:val="num" w:pos="0"/>
        </w:tabs>
        <w:ind w:left="4515" w:hanging="358"/>
      </w:pPr>
      <w:rPr>
        <w:rFonts w:ascii="Symbol" w:hAnsi="Symbol" w:cs="Symbol" w:hint="default"/>
      </w:rPr>
    </w:lvl>
    <w:lvl w:ilvl="5">
      <w:start w:val="1"/>
      <w:numFmt w:val="bullet"/>
      <w:lvlText w:val="•"/>
      <w:lvlJc w:val="left"/>
      <w:pPr>
        <w:tabs>
          <w:tab w:val="num" w:pos="0"/>
        </w:tabs>
        <w:ind w:left="5480" w:hanging="358"/>
      </w:pPr>
      <w:rPr>
        <w:rFonts w:ascii="Symbol" w:hAnsi="Symbol" w:cs="Symbol" w:hint="default"/>
      </w:rPr>
    </w:lvl>
    <w:lvl w:ilvl="6">
      <w:start w:val="1"/>
      <w:numFmt w:val="bullet"/>
      <w:lvlText w:val="•"/>
      <w:lvlJc w:val="left"/>
      <w:pPr>
        <w:tabs>
          <w:tab w:val="num" w:pos="0"/>
        </w:tabs>
        <w:ind w:left="6445" w:hanging="358"/>
      </w:pPr>
      <w:rPr>
        <w:rFonts w:ascii="Symbol" w:hAnsi="Symbol" w:cs="Symbol" w:hint="default"/>
      </w:rPr>
    </w:lvl>
    <w:lvl w:ilvl="7">
      <w:start w:val="1"/>
      <w:numFmt w:val="bullet"/>
      <w:lvlText w:val="•"/>
      <w:lvlJc w:val="left"/>
      <w:pPr>
        <w:tabs>
          <w:tab w:val="num" w:pos="0"/>
        </w:tabs>
        <w:ind w:left="7410" w:hanging="358"/>
      </w:pPr>
      <w:rPr>
        <w:rFonts w:ascii="Symbol" w:hAnsi="Symbol" w:cs="Symbol" w:hint="default"/>
      </w:rPr>
    </w:lvl>
    <w:lvl w:ilvl="8">
      <w:start w:val="1"/>
      <w:numFmt w:val="bullet"/>
      <w:lvlText w:val="•"/>
      <w:lvlJc w:val="left"/>
      <w:pPr>
        <w:tabs>
          <w:tab w:val="num" w:pos="0"/>
        </w:tabs>
        <w:ind w:left="8376" w:hanging="358"/>
      </w:pPr>
      <w:rPr>
        <w:rFonts w:ascii="Symbol" w:hAnsi="Symbol" w:cs="Symbol" w:hint="default"/>
      </w:rPr>
    </w:lvl>
  </w:abstractNum>
  <w:abstractNum w:abstractNumId="1" w15:restartNumberingAfterBreak="0">
    <w:nsid w:val="130007CE"/>
    <w:multiLevelType w:val="multilevel"/>
    <w:tmpl w:val="23B0A4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25D7E75"/>
    <w:multiLevelType w:val="multilevel"/>
    <w:tmpl w:val="6478AF16"/>
    <w:lvl w:ilvl="0">
      <w:start w:val="1"/>
      <w:numFmt w:val="bullet"/>
      <w:lvlText w:val=""/>
      <w:lvlJc w:val="left"/>
      <w:pPr>
        <w:tabs>
          <w:tab w:val="num" w:pos="0"/>
        </w:tabs>
        <w:ind w:left="1430" w:hanging="360"/>
      </w:pPr>
      <w:rPr>
        <w:rFonts w:ascii="Symbol" w:hAnsi="Symbol" w:cs="Symbol" w:hint="default"/>
      </w:rPr>
    </w:lvl>
    <w:lvl w:ilvl="1">
      <w:start w:val="1"/>
      <w:numFmt w:val="bullet"/>
      <w:lvlText w:val="o"/>
      <w:lvlJc w:val="left"/>
      <w:pPr>
        <w:tabs>
          <w:tab w:val="num" w:pos="0"/>
        </w:tabs>
        <w:ind w:left="2150" w:hanging="360"/>
      </w:pPr>
      <w:rPr>
        <w:rFonts w:ascii="Courier New" w:hAnsi="Courier New" w:cs="Courier New" w:hint="default"/>
      </w:rPr>
    </w:lvl>
    <w:lvl w:ilvl="2">
      <w:start w:val="1"/>
      <w:numFmt w:val="bullet"/>
      <w:lvlText w:val=""/>
      <w:lvlJc w:val="left"/>
      <w:pPr>
        <w:tabs>
          <w:tab w:val="num" w:pos="0"/>
        </w:tabs>
        <w:ind w:left="2870" w:hanging="360"/>
      </w:pPr>
      <w:rPr>
        <w:rFonts w:ascii="Wingdings" w:hAnsi="Wingdings" w:cs="Wingdings" w:hint="default"/>
      </w:rPr>
    </w:lvl>
    <w:lvl w:ilvl="3">
      <w:start w:val="1"/>
      <w:numFmt w:val="bullet"/>
      <w:lvlText w:val=""/>
      <w:lvlJc w:val="left"/>
      <w:pPr>
        <w:tabs>
          <w:tab w:val="num" w:pos="0"/>
        </w:tabs>
        <w:ind w:left="3590" w:hanging="360"/>
      </w:pPr>
      <w:rPr>
        <w:rFonts w:ascii="Symbol" w:hAnsi="Symbol" w:cs="Symbol" w:hint="default"/>
      </w:rPr>
    </w:lvl>
    <w:lvl w:ilvl="4">
      <w:start w:val="1"/>
      <w:numFmt w:val="bullet"/>
      <w:lvlText w:val="o"/>
      <w:lvlJc w:val="left"/>
      <w:pPr>
        <w:tabs>
          <w:tab w:val="num" w:pos="0"/>
        </w:tabs>
        <w:ind w:left="4310" w:hanging="360"/>
      </w:pPr>
      <w:rPr>
        <w:rFonts w:ascii="Courier New" w:hAnsi="Courier New" w:cs="Courier New" w:hint="default"/>
      </w:rPr>
    </w:lvl>
    <w:lvl w:ilvl="5">
      <w:start w:val="1"/>
      <w:numFmt w:val="bullet"/>
      <w:lvlText w:val=""/>
      <w:lvlJc w:val="left"/>
      <w:pPr>
        <w:tabs>
          <w:tab w:val="num" w:pos="0"/>
        </w:tabs>
        <w:ind w:left="5030" w:hanging="360"/>
      </w:pPr>
      <w:rPr>
        <w:rFonts w:ascii="Wingdings" w:hAnsi="Wingdings" w:cs="Wingdings" w:hint="default"/>
      </w:rPr>
    </w:lvl>
    <w:lvl w:ilvl="6">
      <w:start w:val="1"/>
      <w:numFmt w:val="bullet"/>
      <w:lvlText w:val=""/>
      <w:lvlJc w:val="left"/>
      <w:pPr>
        <w:tabs>
          <w:tab w:val="num" w:pos="0"/>
        </w:tabs>
        <w:ind w:left="5750" w:hanging="360"/>
      </w:pPr>
      <w:rPr>
        <w:rFonts w:ascii="Symbol" w:hAnsi="Symbol" w:cs="Symbol" w:hint="default"/>
      </w:rPr>
    </w:lvl>
    <w:lvl w:ilvl="7">
      <w:start w:val="1"/>
      <w:numFmt w:val="bullet"/>
      <w:lvlText w:val="o"/>
      <w:lvlJc w:val="left"/>
      <w:pPr>
        <w:tabs>
          <w:tab w:val="num" w:pos="0"/>
        </w:tabs>
        <w:ind w:left="6470" w:hanging="360"/>
      </w:pPr>
      <w:rPr>
        <w:rFonts w:ascii="Courier New" w:hAnsi="Courier New" w:cs="Courier New" w:hint="default"/>
      </w:rPr>
    </w:lvl>
    <w:lvl w:ilvl="8">
      <w:start w:val="1"/>
      <w:numFmt w:val="bullet"/>
      <w:lvlText w:val=""/>
      <w:lvlJc w:val="left"/>
      <w:pPr>
        <w:tabs>
          <w:tab w:val="num" w:pos="0"/>
        </w:tabs>
        <w:ind w:left="7190" w:hanging="360"/>
      </w:pPr>
      <w:rPr>
        <w:rFonts w:ascii="Wingdings" w:hAnsi="Wingdings" w:cs="Wingdings" w:hint="default"/>
      </w:rPr>
    </w:lvl>
  </w:abstractNum>
  <w:abstractNum w:abstractNumId="3" w15:restartNumberingAfterBreak="0">
    <w:nsid w:val="27745258"/>
    <w:multiLevelType w:val="multilevel"/>
    <w:tmpl w:val="8348EEB2"/>
    <w:lvl w:ilvl="0">
      <w:start w:val="1"/>
      <w:numFmt w:val="bullet"/>
      <w:lvlText w:val=""/>
      <w:lvlJc w:val="left"/>
      <w:pPr>
        <w:tabs>
          <w:tab w:val="num" w:pos="0"/>
        </w:tabs>
        <w:ind w:left="996" w:hanging="286"/>
      </w:pPr>
      <w:rPr>
        <w:rFonts w:ascii="Symbol" w:hAnsi="Symbol" w:cs="Symbol" w:hint="default"/>
      </w:rPr>
    </w:lvl>
    <w:lvl w:ilvl="1">
      <w:start w:val="1"/>
      <w:numFmt w:val="bullet"/>
      <w:lvlText w:val="o"/>
      <w:lvlJc w:val="left"/>
      <w:pPr>
        <w:tabs>
          <w:tab w:val="num" w:pos="0"/>
        </w:tabs>
        <w:ind w:left="1629" w:hanging="358"/>
      </w:pPr>
      <w:rPr>
        <w:rFonts w:ascii="Courier New" w:hAnsi="Courier New" w:cs="Courier New" w:hint="default"/>
      </w:rPr>
    </w:lvl>
    <w:lvl w:ilvl="2">
      <w:start w:val="1"/>
      <w:numFmt w:val="bullet"/>
      <w:lvlText w:val="•"/>
      <w:lvlJc w:val="left"/>
      <w:pPr>
        <w:tabs>
          <w:tab w:val="num" w:pos="0"/>
        </w:tabs>
        <w:ind w:left="2585" w:hanging="358"/>
      </w:pPr>
      <w:rPr>
        <w:rFonts w:ascii="Symbol" w:hAnsi="Symbol" w:cs="Symbol" w:hint="default"/>
      </w:rPr>
    </w:lvl>
    <w:lvl w:ilvl="3">
      <w:start w:val="1"/>
      <w:numFmt w:val="bullet"/>
      <w:lvlText w:val="•"/>
      <w:lvlJc w:val="left"/>
      <w:pPr>
        <w:tabs>
          <w:tab w:val="num" w:pos="0"/>
        </w:tabs>
        <w:ind w:left="3550" w:hanging="358"/>
      </w:pPr>
      <w:rPr>
        <w:rFonts w:ascii="Symbol" w:hAnsi="Symbol" w:cs="Symbol" w:hint="default"/>
      </w:rPr>
    </w:lvl>
    <w:lvl w:ilvl="4">
      <w:start w:val="1"/>
      <w:numFmt w:val="bullet"/>
      <w:lvlText w:val="•"/>
      <w:lvlJc w:val="left"/>
      <w:pPr>
        <w:tabs>
          <w:tab w:val="num" w:pos="0"/>
        </w:tabs>
        <w:ind w:left="4515" w:hanging="358"/>
      </w:pPr>
      <w:rPr>
        <w:rFonts w:ascii="Symbol" w:hAnsi="Symbol" w:cs="Symbol" w:hint="default"/>
      </w:rPr>
    </w:lvl>
    <w:lvl w:ilvl="5">
      <w:start w:val="1"/>
      <w:numFmt w:val="bullet"/>
      <w:lvlText w:val="•"/>
      <w:lvlJc w:val="left"/>
      <w:pPr>
        <w:tabs>
          <w:tab w:val="num" w:pos="0"/>
        </w:tabs>
        <w:ind w:left="5480" w:hanging="358"/>
      </w:pPr>
      <w:rPr>
        <w:rFonts w:ascii="Symbol" w:hAnsi="Symbol" w:cs="Symbol" w:hint="default"/>
      </w:rPr>
    </w:lvl>
    <w:lvl w:ilvl="6">
      <w:start w:val="1"/>
      <w:numFmt w:val="bullet"/>
      <w:lvlText w:val="•"/>
      <w:lvlJc w:val="left"/>
      <w:pPr>
        <w:tabs>
          <w:tab w:val="num" w:pos="0"/>
        </w:tabs>
        <w:ind w:left="6445" w:hanging="358"/>
      </w:pPr>
      <w:rPr>
        <w:rFonts w:ascii="Symbol" w:hAnsi="Symbol" w:cs="Symbol" w:hint="default"/>
      </w:rPr>
    </w:lvl>
    <w:lvl w:ilvl="7">
      <w:start w:val="1"/>
      <w:numFmt w:val="bullet"/>
      <w:lvlText w:val="•"/>
      <w:lvlJc w:val="left"/>
      <w:pPr>
        <w:tabs>
          <w:tab w:val="num" w:pos="0"/>
        </w:tabs>
        <w:ind w:left="7410" w:hanging="358"/>
      </w:pPr>
      <w:rPr>
        <w:rFonts w:ascii="Symbol" w:hAnsi="Symbol" w:cs="Symbol" w:hint="default"/>
      </w:rPr>
    </w:lvl>
    <w:lvl w:ilvl="8">
      <w:start w:val="1"/>
      <w:numFmt w:val="bullet"/>
      <w:lvlText w:val="•"/>
      <w:lvlJc w:val="left"/>
      <w:pPr>
        <w:tabs>
          <w:tab w:val="num" w:pos="0"/>
        </w:tabs>
        <w:ind w:left="8376" w:hanging="358"/>
      </w:pPr>
      <w:rPr>
        <w:rFonts w:ascii="Symbol" w:hAnsi="Symbol" w:cs="Symbol" w:hint="default"/>
      </w:rPr>
    </w:lvl>
  </w:abstractNum>
  <w:abstractNum w:abstractNumId="4" w15:restartNumberingAfterBreak="0">
    <w:nsid w:val="35B36452"/>
    <w:multiLevelType w:val="multilevel"/>
    <w:tmpl w:val="C21664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B7C4CAC"/>
    <w:multiLevelType w:val="multilevel"/>
    <w:tmpl w:val="639CD6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DB579E6"/>
    <w:multiLevelType w:val="multilevel"/>
    <w:tmpl w:val="86BEB8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15D4282"/>
    <w:multiLevelType w:val="multilevel"/>
    <w:tmpl w:val="77F695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1B87D0A"/>
    <w:multiLevelType w:val="multilevel"/>
    <w:tmpl w:val="7C46EFF0"/>
    <w:lvl w:ilvl="0">
      <w:start w:val="1"/>
      <w:numFmt w:val="bullet"/>
      <w:lvlText w:val=""/>
      <w:lvlJc w:val="left"/>
      <w:pPr>
        <w:tabs>
          <w:tab w:val="num" w:pos="0"/>
        </w:tabs>
        <w:ind w:left="1430" w:hanging="360"/>
      </w:pPr>
      <w:rPr>
        <w:rFonts w:ascii="Symbol" w:hAnsi="Symbol" w:cs="Symbol" w:hint="default"/>
      </w:rPr>
    </w:lvl>
    <w:lvl w:ilvl="1">
      <w:start w:val="1"/>
      <w:numFmt w:val="bullet"/>
      <w:lvlText w:val="o"/>
      <w:lvlJc w:val="left"/>
      <w:pPr>
        <w:tabs>
          <w:tab w:val="num" w:pos="0"/>
        </w:tabs>
        <w:ind w:left="2150" w:hanging="360"/>
      </w:pPr>
      <w:rPr>
        <w:rFonts w:ascii="Courier New" w:hAnsi="Courier New" w:cs="Courier New" w:hint="default"/>
      </w:rPr>
    </w:lvl>
    <w:lvl w:ilvl="2">
      <w:start w:val="1"/>
      <w:numFmt w:val="bullet"/>
      <w:lvlText w:val=""/>
      <w:lvlJc w:val="left"/>
      <w:pPr>
        <w:tabs>
          <w:tab w:val="num" w:pos="0"/>
        </w:tabs>
        <w:ind w:left="2870" w:hanging="360"/>
      </w:pPr>
      <w:rPr>
        <w:rFonts w:ascii="Wingdings" w:hAnsi="Wingdings" w:cs="Wingdings" w:hint="default"/>
      </w:rPr>
    </w:lvl>
    <w:lvl w:ilvl="3">
      <w:start w:val="1"/>
      <w:numFmt w:val="bullet"/>
      <w:lvlText w:val=""/>
      <w:lvlJc w:val="left"/>
      <w:pPr>
        <w:tabs>
          <w:tab w:val="num" w:pos="0"/>
        </w:tabs>
        <w:ind w:left="3590" w:hanging="360"/>
      </w:pPr>
      <w:rPr>
        <w:rFonts w:ascii="Symbol" w:hAnsi="Symbol" w:cs="Symbol" w:hint="default"/>
      </w:rPr>
    </w:lvl>
    <w:lvl w:ilvl="4">
      <w:start w:val="1"/>
      <w:numFmt w:val="bullet"/>
      <w:lvlText w:val="o"/>
      <w:lvlJc w:val="left"/>
      <w:pPr>
        <w:tabs>
          <w:tab w:val="num" w:pos="0"/>
        </w:tabs>
        <w:ind w:left="4310" w:hanging="360"/>
      </w:pPr>
      <w:rPr>
        <w:rFonts w:ascii="Courier New" w:hAnsi="Courier New" w:cs="Courier New" w:hint="default"/>
      </w:rPr>
    </w:lvl>
    <w:lvl w:ilvl="5">
      <w:start w:val="1"/>
      <w:numFmt w:val="bullet"/>
      <w:lvlText w:val=""/>
      <w:lvlJc w:val="left"/>
      <w:pPr>
        <w:tabs>
          <w:tab w:val="num" w:pos="0"/>
        </w:tabs>
        <w:ind w:left="5030" w:hanging="360"/>
      </w:pPr>
      <w:rPr>
        <w:rFonts w:ascii="Wingdings" w:hAnsi="Wingdings" w:cs="Wingdings" w:hint="default"/>
      </w:rPr>
    </w:lvl>
    <w:lvl w:ilvl="6">
      <w:start w:val="1"/>
      <w:numFmt w:val="bullet"/>
      <w:lvlText w:val=""/>
      <w:lvlJc w:val="left"/>
      <w:pPr>
        <w:tabs>
          <w:tab w:val="num" w:pos="0"/>
        </w:tabs>
        <w:ind w:left="5750" w:hanging="360"/>
      </w:pPr>
      <w:rPr>
        <w:rFonts w:ascii="Symbol" w:hAnsi="Symbol" w:cs="Symbol" w:hint="default"/>
      </w:rPr>
    </w:lvl>
    <w:lvl w:ilvl="7">
      <w:start w:val="1"/>
      <w:numFmt w:val="bullet"/>
      <w:lvlText w:val="o"/>
      <w:lvlJc w:val="left"/>
      <w:pPr>
        <w:tabs>
          <w:tab w:val="num" w:pos="0"/>
        </w:tabs>
        <w:ind w:left="6470" w:hanging="360"/>
      </w:pPr>
      <w:rPr>
        <w:rFonts w:ascii="Courier New" w:hAnsi="Courier New" w:cs="Courier New" w:hint="default"/>
      </w:rPr>
    </w:lvl>
    <w:lvl w:ilvl="8">
      <w:start w:val="1"/>
      <w:numFmt w:val="bullet"/>
      <w:lvlText w:val=""/>
      <w:lvlJc w:val="left"/>
      <w:pPr>
        <w:tabs>
          <w:tab w:val="num" w:pos="0"/>
        </w:tabs>
        <w:ind w:left="7190" w:hanging="360"/>
      </w:pPr>
      <w:rPr>
        <w:rFonts w:ascii="Wingdings" w:hAnsi="Wingdings" w:cs="Wingdings" w:hint="default"/>
      </w:rPr>
    </w:lvl>
  </w:abstractNum>
  <w:abstractNum w:abstractNumId="9" w15:restartNumberingAfterBreak="0">
    <w:nsid w:val="4C354C60"/>
    <w:multiLevelType w:val="multilevel"/>
    <w:tmpl w:val="9AFE6E38"/>
    <w:lvl w:ilvl="0">
      <w:start w:val="1"/>
      <w:numFmt w:val="bullet"/>
      <w:lvlText w:val=""/>
      <w:lvlJc w:val="left"/>
      <w:pPr>
        <w:tabs>
          <w:tab w:val="num" w:pos="930"/>
        </w:tabs>
        <w:ind w:left="930" w:hanging="360"/>
      </w:pPr>
      <w:rPr>
        <w:rFonts w:ascii="Symbol" w:hAnsi="Symbol" w:cs="Symbol" w:hint="default"/>
      </w:rPr>
    </w:lvl>
    <w:lvl w:ilvl="1">
      <w:start w:val="1"/>
      <w:numFmt w:val="bullet"/>
      <w:lvlText w:val="◦"/>
      <w:lvlJc w:val="left"/>
      <w:pPr>
        <w:tabs>
          <w:tab w:val="num" w:pos="1290"/>
        </w:tabs>
        <w:ind w:left="1290" w:hanging="360"/>
      </w:pPr>
      <w:rPr>
        <w:rFonts w:ascii="OpenSymbol" w:hAnsi="OpenSymbol" w:cs="OpenSymbol" w:hint="default"/>
      </w:rPr>
    </w:lvl>
    <w:lvl w:ilvl="2">
      <w:start w:val="1"/>
      <w:numFmt w:val="bullet"/>
      <w:lvlText w:val="▪"/>
      <w:lvlJc w:val="left"/>
      <w:pPr>
        <w:tabs>
          <w:tab w:val="num" w:pos="1650"/>
        </w:tabs>
        <w:ind w:left="1650" w:hanging="360"/>
      </w:pPr>
      <w:rPr>
        <w:rFonts w:ascii="OpenSymbol" w:hAnsi="OpenSymbol" w:cs="OpenSymbol" w:hint="default"/>
      </w:rPr>
    </w:lvl>
    <w:lvl w:ilvl="3">
      <w:start w:val="1"/>
      <w:numFmt w:val="bullet"/>
      <w:lvlText w:val=""/>
      <w:lvlJc w:val="left"/>
      <w:pPr>
        <w:tabs>
          <w:tab w:val="num" w:pos="2010"/>
        </w:tabs>
        <w:ind w:left="2010" w:hanging="360"/>
      </w:pPr>
      <w:rPr>
        <w:rFonts w:ascii="Symbol" w:hAnsi="Symbol" w:cs="Symbol" w:hint="default"/>
      </w:rPr>
    </w:lvl>
    <w:lvl w:ilvl="4">
      <w:start w:val="1"/>
      <w:numFmt w:val="bullet"/>
      <w:lvlText w:val="◦"/>
      <w:lvlJc w:val="left"/>
      <w:pPr>
        <w:tabs>
          <w:tab w:val="num" w:pos="2370"/>
        </w:tabs>
        <w:ind w:left="2370" w:hanging="360"/>
      </w:pPr>
      <w:rPr>
        <w:rFonts w:ascii="OpenSymbol" w:hAnsi="OpenSymbol" w:cs="OpenSymbol" w:hint="default"/>
      </w:rPr>
    </w:lvl>
    <w:lvl w:ilvl="5">
      <w:start w:val="1"/>
      <w:numFmt w:val="bullet"/>
      <w:lvlText w:val="▪"/>
      <w:lvlJc w:val="left"/>
      <w:pPr>
        <w:tabs>
          <w:tab w:val="num" w:pos="2730"/>
        </w:tabs>
        <w:ind w:left="2730" w:hanging="360"/>
      </w:pPr>
      <w:rPr>
        <w:rFonts w:ascii="OpenSymbol" w:hAnsi="OpenSymbol" w:cs="OpenSymbol" w:hint="default"/>
      </w:rPr>
    </w:lvl>
    <w:lvl w:ilvl="6">
      <w:start w:val="1"/>
      <w:numFmt w:val="bullet"/>
      <w:lvlText w:val=""/>
      <w:lvlJc w:val="left"/>
      <w:pPr>
        <w:tabs>
          <w:tab w:val="num" w:pos="3090"/>
        </w:tabs>
        <w:ind w:left="3090" w:hanging="360"/>
      </w:pPr>
      <w:rPr>
        <w:rFonts w:ascii="Symbol" w:hAnsi="Symbol" w:cs="Symbol" w:hint="default"/>
      </w:rPr>
    </w:lvl>
    <w:lvl w:ilvl="7">
      <w:start w:val="1"/>
      <w:numFmt w:val="bullet"/>
      <w:lvlText w:val="◦"/>
      <w:lvlJc w:val="left"/>
      <w:pPr>
        <w:tabs>
          <w:tab w:val="num" w:pos="3450"/>
        </w:tabs>
        <w:ind w:left="3450" w:hanging="360"/>
      </w:pPr>
      <w:rPr>
        <w:rFonts w:ascii="OpenSymbol" w:hAnsi="OpenSymbol" w:cs="OpenSymbol" w:hint="default"/>
      </w:rPr>
    </w:lvl>
    <w:lvl w:ilvl="8">
      <w:start w:val="1"/>
      <w:numFmt w:val="bullet"/>
      <w:lvlText w:val="▪"/>
      <w:lvlJc w:val="left"/>
      <w:pPr>
        <w:tabs>
          <w:tab w:val="num" w:pos="3810"/>
        </w:tabs>
        <w:ind w:left="3810" w:hanging="360"/>
      </w:pPr>
      <w:rPr>
        <w:rFonts w:ascii="OpenSymbol" w:hAnsi="OpenSymbol" w:cs="OpenSymbol" w:hint="default"/>
      </w:rPr>
    </w:lvl>
  </w:abstractNum>
  <w:abstractNum w:abstractNumId="10" w15:restartNumberingAfterBreak="0">
    <w:nsid w:val="51D51D2D"/>
    <w:multiLevelType w:val="multilevel"/>
    <w:tmpl w:val="FDCC2D62"/>
    <w:lvl w:ilvl="0">
      <w:start w:val="1"/>
      <w:numFmt w:val="bullet"/>
      <w:lvlText w:val="-"/>
      <w:lvlJc w:val="left"/>
      <w:pPr>
        <w:tabs>
          <w:tab w:val="num" w:pos="0"/>
        </w:tabs>
        <w:ind w:left="720" w:hanging="360"/>
      </w:pPr>
      <w:rPr>
        <w:rFonts w:ascii="Agency FB" w:hAnsi="Agency FB" w:cs="Agency FB"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2C6386F"/>
    <w:multiLevelType w:val="multilevel"/>
    <w:tmpl w:val="705C18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4C726CF"/>
    <w:multiLevelType w:val="multilevel"/>
    <w:tmpl w:val="3F1EE0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96F3E22"/>
    <w:multiLevelType w:val="multilevel"/>
    <w:tmpl w:val="ADF63D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28D7796"/>
    <w:multiLevelType w:val="multilevel"/>
    <w:tmpl w:val="1682D090"/>
    <w:lvl w:ilvl="0">
      <w:start w:val="1"/>
      <w:numFmt w:val="bullet"/>
      <w:lvlText w:val=""/>
      <w:lvlJc w:val="left"/>
      <w:pPr>
        <w:tabs>
          <w:tab w:val="num" w:pos="1783"/>
        </w:tabs>
        <w:ind w:left="1783" w:hanging="360"/>
      </w:pPr>
      <w:rPr>
        <w:rFonts w:ascii="Symbol" w:hAnsi="Symbol" w:cs="Symbol" w:hint="default"/>
      </w:rPr>
    </w:lvl>
    <w:lvl w:ilvl="1">
      <w:start w:val="1"/>
      <w:numFmt w:val="bullet"/>
      <w:lvlText w:val="◦"/>
      <w:lvlJc w:val="left"/>
      <w:pPr>
        <w:tabs>
          <w:tab w:val="num" w:pos="2143"/>
        </w:tabs>
        <w:ind w:left="2143" w:hanging="360"/>
      </w:pPr>
      <w:rPr>
        <w:rFonts w:ascii="OpenSymbol" w:hAnsi="OpenSymbol" w:cs="OpenSymbol" w:hint="default"/>
      </w:rPr>
    </w:lvl>
    <w:lvl w:ilvl="2">
      <w:start w:val="1"/>
      <w:numFmt w:val="bullet"/>
      <w:lvlText w:val="▪"/>
      <w:lvlJc w:val="left"/>
      <w:pPr>
        <w:tabs>
          <w:tab w:val="num" w:pos="2503"/>
        </w:tabs>
        <w:ind w:left="2503" w:hanging="360"/>
      </w:pPr>
      <w:rPr>
        <w:rFonts w:ascii="OpenSymbol" w:hAnsi="OpenSymbol" w:cs="OpenSymbol" w:hint="default"/>
      </w:rPr>
    </w:lvl>
    <w:lvl w:ilvl="3">
      <w:start w:val="1"/>
      <w:numFmt w:val="bullet"/>
      <w:lvlText w:val=""/>
      <w:lvlJc w:val="left"/>
      <w:pPr>
        <w:tabs>
          <w:tab w:val="num" w:pos="2863"/>
        </w:tabs>
        <w:ind w:left="2863" w:hanging="360"/>
      </w:pPr>
      <w:rPr>
        <w:rFonts w:ascii="Symbol" w:hAnsi="Symbol" w:cs="Symbol" w:hint="default"/>
      </w:rPr>
    </w:lvl>
    <w:lvl w:ilvl="4">
      <w:start w:val="1"/>
      <w:numFmt w:val="bullet"/>
      <w:lvlText w:val="◦"/>
      <w:lvlJc w:val="left"/>
      <w:pPr>
        <w:tabs>
          <w:tab w:val="num" w:pos="3223"/>
        </w:tabs>
        <w:ind w:left="3223" w:hanging="360"/>
      </w:pPr>
      <w:rPr>
        <w:rFonts w:ascii="OpenSymbol" w:hAnsi="OpenSymbol" w:cs="OpenSymbol" w:hint="default"/>
      </w:rPr>
    </w:lvl>
    <w:lvl w:ilvl="5">
      <w:start w:val="1"/>
      <w:numFmt w:val="bullet"/>
      <w:lvlText w:val="▪"/>
      <w:lvlJc w:val="left"/>
      <w:pPr>
        <w:tabs>
          <w:tab w:val="num" w:pos="3583"/>
        </w:tabs>
        <w:ind w:left="3583" w:hanging="360"/>
      </w:pPr>
      <w:rPr>
        <w:rFonts w:ascii="OpenSymbol" w:hAnsi="OpenSymbol" w:cs="OpenSymbol" w:hint="default"/>
      </w:rPr>
    </w:lvl>
    <w:lvl w:ilvl="6">
      <w:start w:val="1"/>
      <w:numFmt w:val="bullet"/>
      <w:lvlText w:val=""/>
      <w:lvlJc w:val="left"/>
      <w:pPr>
        <w:tabs>
          <w:tab w:val="num" w:pos="3943"/>
        </w:tabs>
        <w:ind w:left="3943" w:hanging="360"/>
      </w:pPr>
      <w:rPr>
        <w:rFonts w:ascii="Symbol" w:hAnsi="Symbol" w:cs="Symbol" w:hint="default"/>
      </w:rPr>
    </w:lvl>
    <w:lvl w:ilvl="7">
      <w:start w:val="1"/>
      <w:numFmt w:val="bullet"/>
      <w:lvlText w:val="◦"/>
      <w:lvlJc w:val="left"/>
      <w:pPr>
        <w:tabs>
          <w:tab w:val="num" w:pos="4303"/>
        </w:tabs>
        <w:ind w:left="4303" w:hanging="360"/>
      </w:pPr>
      <w:rPr>
        <w:rFonts w:ascii="OpenSymbol" w:hAnsi="OpenSymbol" w:cs="OpenSymbol" w:hint="default"/>
      </w:rPr>
    </w:lvl>
    <w:lvl w:ilvl="8">
      <w:start w:val="1"/>
      <w:numFmt w:val="bullet"/>
      <w:lvlText w:val="▪"/>
      <w:lvlJc w:val="left"/>
      <w:pPr>
        <w:tabs>
          <w:tab w:val="num" w:pos="4663"/>
        </w:tabs>
        <w:ind w:left="4663" w:hanging="360"/>
      </w:pPr>
      <w:rPr>
        <w:rFonts w:ascii="OpenSymbol" w:hAnsi="OpenSymbol" w:cs="OpenSymbol" w:hint="default"/>
      </w:rPr>
    </w:lvl>
  </w:abstractNum>
  <w:abstractNum w:abstractNumId="15" w15:restartNumberingAfterBreak="0">
    <w:nsid w:val="67EA40C5"/>
    <w:multiLevelType w:val="multilevel"/>
    <w:tmpl w:val="04904B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E2B798D"/>
    <w:multiLevelType w:val="multilevel"/>
    <w:tmpl w:val="BE6AA22E"/>
    <w:lvl w:ilvl="0">
      <w:start w:val="1"/>
      <w:numFmt w:val="decimal"/>
      <w:lvlText w:val="%1."/>
      <w:lvlJc w:val="left"/>
      <w:pPr>
        <w:tabs>
          <w:tab w:val="num" w:pos="0"/>
        </w:tabs>
        <w:ind w:left="544" w:hanging="221"/>
      </w:pPr>
    </w:lvl>
    <w:lvl w:ilvl="1">
      <w:start w:val="1"/>
      <w:numFmt w:val="decimal"/>
      <w:lvlText w:val="%2)"/>
      <w:lvlJc w:val="left"/>
      <w:pPr>
        <w:tabs>
          <w:tab w:val="num" w:pos="0"/>
        </w:tabs>
        <w:ind w:left="1009" w:hanging="233"/>
      </w:pPr>
    </w:lvl>
    <w:lvl w:ilvl="2">
      <w:start w:val="1"/>
      <w:numFmt w:val="bullet"/>
      <w:lvlText w:val="•"/>
      <w:lvlJc w:val="left"/>
      <w:pPr>
        <w:tabs>
          <w:tab w:val="num" w:pos="0"/>
        </w:tabs>
        <w:ind w:left="2034" w:hanging="233"/>
      </w:pPr>
      <w:rPr>
        <w:rFonts w:ascii="Symbol" w:hAnsi="Symbol" w:cs="Symbol" w:hint="default"/>
      </w:rPr>
    </w:lvl>
    <w:lvl w:ilvl="3">
      <w:start w:val="1"/>
      <w:numFmt w:val="bullet"/>
      <w:lvlText w:val="•"/>
      <w:lvlJc w:val="left"/>
      <w:pPr>
        <w:tabs>
          <w:tab w:val="num" w:pos="0"/>
        </w:tabs>
        <w:ind w:left="3068" w:hanging="233"/>
      </w:pPr>
      <w:rPr>
        <w:rFonts w:ascii="Symbol" w:hAnsi="Symbol" w:cs="Symbol" w:hint="default"/>
      </w:rPr>
    </w:lvl>
    <w:lvl w:ilvl="4">
      <w:start w:val="1"/>
      <w:numFmt w:val="bullet"/>
      <w:lvlText w:val="•"/>
      <w:lvlJc w:val="left"/>
      <w:pPr>
        <w:tabs>
          <w:tab w:val="num" w:pos="0"/>
        </w:tabs>
        <w:ind w:left="4102" w:hanging="233"/>
      </w:pPr>
      <w:rPr>
        <w:rFonts w:ascii="Symbol" w:hAnsi="Symbol" w:cs="Symbol" w:hint="default"/>
      </w:rPr>
    </w:lvl>
    <w:lvl w:ilvl="5">
      <w:start w:val="1"/>
      <w:numFmt w:val="bullet"/>
      <w:lvlText w:val="•"/>
      <w:lvlJc w:val="left"/>
      <w:pPr>
        <w:tabs>
          <w:tab w:val="num" w:pos="0"/>
        </w:tabs>
        <w:ind w:left="5136" w:hanging="233"/>
      </w:pPr>
      <w:rPr>
        <w:rFonts w:ascii="Symbol" w:hAnsi="Symbol" w:cs="Symbol" w:hint="default"/>
      </w:rPr>
    </w:lvl>
    <w:lvl w:ilvl="6">
      <w:start w:val="1"/>
      <w:numFmt w:val="bullet"/>
      <w:lvlText w:val="•"/>
      <w:lvlJc w:val="left"/>
      <w:pPr>
        <w:tabs>
          <w:tab w:val="num" w:pos="0"/>
        </w:tabs>
        <w:ind w:left="6170" w:hanging="233"/>
      </w:pPr>
      <w:rPr>
        <w:rFonts w:ascii="Symbol" w:hAnsi="Symbol" w:cs="Symbol" w:hint="default"/>
      </w:rPr>
    </w:lvl>
    <w:lvl w:ilvl="7">
      <w:start w:val="1"/>
      <w:numFmt w:val="bullet"/>
      <w:lvlText w:val="•"/>
      <w:lvlJc w:val="left"/>
      <w:pPr>
        <w:tabs>
          <w:tab w:val="num" w:pos="0"/>
        </w:tabs>
        <w:ind w:left="7204" w:hanging="233"/>
      </w:pPr>
      <w:rPr>
        <w:rFonts w:ascii="Symbol" w:hAnsi="Symbol" w:cs="Symbol" w:hint="default"/>
      </w:rPr>
    </w:lvl>
    <w:lvl w:ilvl="8">
      <w:start w:val="1"/>
      <w:numFmt w:val="bullet"/>
      <w:lvlText w:val="•"/>
      <w:lvlJc w:val="left"/>
      <w:pPr>
        <w:tabs>
          <w:tab w:val="num" w:pos="0"/>
        </w:tabs>
        <w:ind w:left="8238" w:hanging="233"/>
      </w:pPr>
      <w:rPr>
        <w:rFonts w:ascii="Symbol" w:hAnsi="Symbol" w:cs="Symbol" w:hint="default"/>
      </w:rPr>
    </w:lvl>
  </w:abstractNum>
  <w:num w:numId="1" w16cid:durableId="424347176">
    <w:abstractNumId w:val="16"/>
  </w:num>
  <w:num w:numId="2" w16cid:durableId="829491078">
    <w:abstractNumId w:val="3"/>
  </w:num>
  <w:num w:numId="3" w16cid:durableId="508252074">
    <w:abstractNumId w:val="10"/>
  </w:num>
  <w:num w:numId="4" w16cid:durableId="1631743650">
    <w:abstractNumId w:val="4"/>
  </w:num>
  <w:num w:numId="5" w16cid:durableId="1823808227">
    <w:abstractNumId w:val="7"/>
  </w:num>
  <w:num w:numId="6" w16cid:durableId="2021001038">
    <w:abstractNumId w:val="11"/>
  </w:num>
  <w:num w:numId="7" w16cid:durableId="1388066107">
    <w:abstractNumId w:val="13"/>
  </w:num>
  <w:num w:numId="8" w16cid:durableId="356775">
    <w:abstractNumId w:val="5"/>
  </w:num>
  <w:num w:numId="9" w16cid:durableId="1143043656">
    <w:abstractNumId w:val="12"/>
  </w:num>
  <w:num w:numId="10" w16cid:durableId="802965961">
    <w:abstractNumId w:val="1"/>
  </w:num>
  <w:num w:numId="11" w16cid:durableId="1515723998">
    <w:abstractNumId w:val="2"/>
  </w:num>
  <w:num w:numId="12" w16cid:durableId="53898811">
    <w:abstractNumId w:val="8"/>
  </w:num>
  <w:num w:numId="13" w16cid:durableId="865170020">
    <w:abstractNumId w:val="6"/>
  </w:num>
  <w:num w:numId="14" w16cid:durableId="2038500713">
    <w:abstractNumId w:val="0"/>
  </w:num>
  <w:num w:numId="15" w16cid:durableId="1624731914">
    <w:abstractNumId w:val="9"/>
  </w:num>
  <w:num w:numId="16" w16cid:durableId="1432313729">
    <w:abstractNumId w:val="14"/>
  </w:num>
  <w:num w:numId="17" w16cid:durableId="6431948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EF5"/>
    <w:rsid w:val="000061A7"/>
    <w:rsid w:val="00146B95"/>
    <w:rsid w:val="001F6CDE"/>
    <w:rsid w:val="00253661"/>
    <w:rsid w:val="002576CF"/>
    <w:rsid w:val="006E7EF5"/>
    <w:rsid w:val="00806662"/>
    <w:rsid w:val="00AC41B0"/>
    <w:rsid w:val="00BC7C1B"/>
    <w:rsid w:val="00C57EF9"/>
    <w:rsid w:val="00CE2E6D"/>
    <w:rsid w:val="00ED5014"/>
    <w:rsid w:val="00F66E0E"/>
    <w:rsid w:val="00F91D09"/>
    <w:rsid w:val="00FD48F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6340B"/>
  <w15:docId w15:val="{99D91772-E3F6-46C1-A478-19D39E870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A66"/>
    <w:pPr>
      <w:spacing w:after="160" w:line="300" w:lineRule="auto"/>
    </w:pPr>
  </w:style>
  <w:style w:type="paragraph" w:styleId="Titre1">
    <w:name w:val="heading 1"/>
    <w:basedOn w:val="Normal"/>
    <w:next w:val="Normal"/>
    <w:link w:val="Titre1Car"/>
    <w:uiPriority w:val="9"/>
    <w:qFormat/>
    <w:rsid w:val="009A1A66"/>
    <w:pPr>
      <w:keepNext/>
      <w:keepLines/>
      <w:spacing w:before="320" w:after="80" w:line="240" w:lineRule="auto"/>
      <w:jc w:val="center"/>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unhideWhenUsed/>
    <w:qFormat/>
    <w:rsid w:val="009A1A66"/>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itre3">
    <w:name w:val="heading 3"/>
    <w:basedOn w:val="Normal"/>
    <w:next w:val="Normal"/>
    <w:link w:val="Titre3Car"/>
    <w:uiPriority w:val="9"/>
    <w:unhideWhenUsed/>
    <w:qFormat/>
    <w:rsid w:val="009A1A66"/>
    <w:pPr>
      <w:keepNext/>
      <w:keepLines/>
      <w:spacing w:before="160" w:after="0" w:line="240" w:lineRule="auto"/>
      <w:outlineLvl w:val="2"/>
    </w:pPr>
    <w:rPr>
      <w:rFonts w:asciiTheme="majorHAnsi" w:eastAsiaTheme="majorEastAsia" w:hAnsiTheme="majorHAnsi" w:cstheme="majorBidi"/>
      <w:sz w:val="32"/>
      <w:szCs w:val="32"/>
    </w:rPr>
  </w:style>
  <w:style w:type="paragraph" w:styleId="Titre4">
    <w:name w:val="heading 4"/>
    <w:basedOn w:val="Normal"/>
    <w:next w:val="Normal"/>
    <w:link w:val="Titre4Car"/>
    <w:uiPriority w:val="9"/>
    <w:unhideWhenUsed/>
    <w:qFormat/>
    <w:rsid w:val="009A1A66"/>
    <w:pPr>
      <w:keepNext/>
      <w:keepLines/>
      <w:spacing w:before="80" w:after="0"/>
      <w:outlineLvl w:val="3"/>
    </w:pPr>
    <w:rPr>
      <w:rFonts w:asciiTheme="majorHAnsi" w:eastAsiaTheme="majorEastAsia" w:hAnsiTheme="majorHAnsi" w:cstheme="majorBidi"/>
      <w:i/>
      <w:iCs/>
      <w:sz w:val="30"/>
      <w:szCs w:val="30"/>
    </w:rPr>
  </w:style>
  <w:style w:type="paragraph" w:styleId="Titre5">
    <w:name w:val="heading 5"/>
    <w:basedOn w:val="Normal"/>
    <w:next w:val="Normal"/>
    <w:link w:val="Titre5Car"/>
    <w:uiPriority w:val="9"/>
    <w:unhideWhenUsed/>
    <w:qFormat/>
    <w:rsid w:val="009A1A66"/>
    <w:pPr>
      <w:keepNext/>
      <w:keepLines/>
      <w:spacing w:before="40" w:after="0"/>
      <w:outlineLvl w:val="4"/>
    </w:pPr>
    <w:rPr>
      <w:rFonts w:asciiTheme="majorHAnsi" w:eastAsiaTheme="majorEastAsia" w:hAnsiTheme="majorHAnsi" w:cstheme="majorBidi"/>
      <w:sz w:val="28"/>
      <w:szCs w:val="28"/>
    </w:rPr>
  </w:style>
  <w:style w:type="paragraph" w:styleId="Titre6">
    <w:name w:val="heading 6"/>
    <w:basedOn w:val="Normal"/>
    <w:next w:val="Normal"/>
    <w:link w:val="Titre6Car"/>
    <w:uiPriority w:val="9"/>
    <w:unhideWhenUsed/>
    <w:qFormat/>
    <w:rsid w:val="009A1A66"/>
    <w:pPr>
      <w:keepNext/>
      <w:keepLines/>
      <w:spacing w:before="40" w:after="0"/>
      <w:outlineLvl w:val="5"/>
    </w:pPr>
    <w:rPr>
      <w:rFonts w:asciiTheme="majorHAnsi" w:eastAsiaTheme="majorEastAsia" w:hAnsiTheme="majorHAnsi" w:cstheme="majorBidi"/>
      <w:i/>
      <w:iCs/>
      <w:sz w:val="26"/>
      <w:szCs w:val="26"/>
    </w:rPr>
  </w:style>
  <w:style w:type="paragraph" w:styleId="Titre7">
    <w:name w:val="heading 7"/>
    <w:basedOn w:val="Normal"/>
    <w:next w:val="Normal"/>
    <w:link w:val="Titre7Car"/>
    <w:uiPriority w:val="9"/>
    <w:unhideWhenUsed/>
    <w:qFormat/>
    <w:rsid w:val="009A1A66"/>
    <w:pPr>
      <w:keepNext/>
      <w:keepLines/>
      <w:spacing w:before="40" w:after="0"/>
      <w:outlineLvl w:val="6"/>
    </w:pPr>
    <w:rPr>
      <w:rFonts w:asciiTheme="majorHAnsi" w:eastAsiaTheme="majorEastAsia" w:hAnsiTheme="majorHAnsi" w:cstheme="majorBidi"/>
      <w:sz w:val="24"/>
      <w:szCs w:val="24"/>
    </w:rPr>
  </w:style>
  <w:style w:type="paragraph" w:styleId="Titre8">
    <w:name w:val="heading 8"/>
    <w:basedOn w:val="Normal"/>
    <w:next w:val="Normal"/>
    <w:link w:val="Titre8Car"/>
    <w:uiPriority w:val="9"/>
    <w:unhideWhenUsed/>
    <w:qFormat/>
    <w:rsid w:val="009A1A66"/>
    <w:pPr>
      <w:keepNext/>
      <w:keepLines/>
      <w:spacing w:before="40" w:after="0"/>
      <w:outlineLvl w:val="7"/>
    </w:pPr>
    <w:rPr>
      <w:rFonts w:asciiTheme="majorHAnsi" w:eastAsiaTheme="majorEastAsia" w:hAnsiTheme="majorHAnsi" w:cstheme="majorBidi"/>
      <w:i/>
      <w:iCs/>
      <w:sz w:val="22"/>
      <w:szCs w:val="22"/>
    </w:rPr>
  </w:style>
  <w:style w:type="paragraph" w:styleId="Titre9">
    <w:name w:val="heading 9"/>
    <w:basedOn w:val="Normal"/>
    <w:next w:val="Normal"/>
    <w:link w:val="Titre9Car"/>
    <w:uiPriority w:val="9"/>
    <w:unhideWhenUsed/>
    <w:qFormat/>
    <w:rsid w:val="009A1A66"/>
    <w:pPr>
      <w:keepNext/>
      <w:keepLines/>
      <w:spacing w:before="40" w:after="0"/>
      <w:outlineLvl w:val="8"/>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ccentuationintense">
    <w:name w:val="Intense Emphasis"/>
    <w:basedOn w:val="Policepardfaut"/>
    <w:uiPriority w:val="21"/>
    <w:qFormat/>
    <w:rsid w:val="009A1A66"/>
    <w:rPr>
      <w:b/>
      <w:bCs/>
      <w:i/>
      <w:iCs/>
      <w:color w:val="auto"/>
    </w:rPr>
  </w:style>
  <w:style w:type="character" w:styleId="Rfrenceintense">
    <w:name w:val="Intense Reference"/>
    <w:basedOn w:val="Policepardfaut"/>
    <w:uiPriority w:val="32"/>
    <w:qFormat/>
    <w:rsid w:val="009A1A66"/>
    <w:rPr>
      <w:b/>
      <w:bCs/>
      <w:smallCaps/>
      <w:color w:val="auto"/>
      <w:spacing w:val="0"/>
      <w:u w:val="single"/>
    </w:rPr>
  </w:style>
  <w:style w:type="character" w:styleId="Accentuationlgre">
    <w:name w:val="Subtle Emphasis"/>
    <w:basedOn w:val="Policepardfaut"/>
    <w:uiPriority w:val="19"/>
    <w:qFormat/>
    <w:rsid w:val="009A1A66"/>
    <w:rPr>
      <w:i/>
      <w:iCs/>
      <w:color w:val="595959" w:themeColor="text1" w:themeTint="A6"/>
    </w:rPr>
  </w:style>
  <w:style w:type="character" w:styleId="Accentuation">
    <w:name w:val="Emphasis"/>
    <w:basedOn w:val="Policepardfaut"/>
    <w:uiPriority w:val="20"/>
    <w:qFormat/>
    <w:rsid w:val="009A1A66"/>
    <w:rPr>
      <w:i/>
      <w:iCs/>
      <w:color w:val="000000" w:themeColor="text1"/>
    </w:rPr>
  </w:style>
  <w:style w:type="character" w:styleId="lev">
    <w:name w:val="Strong"/>
    <w:basedOn w:val="Policepardfaut"/>
    <w:uiPriority w:val="22"/>
    <w:qFormat/>
    <w:rsid w:val="009A1A66"/>
    <w:rPr>
      <w:b/>
      <w:bCs/>
    </w:rPr>
  </w:style>
  <w:style w:type="character" w:styleId="Rfrencelgre">
    <w:name w:val="Subtle Reference"/>
    <w:basedOn w:val="Policepardfaut"/>
    <w:uiPriority w:val="31"/>
    <w:qFormat/>
    <w:rsid w:val="009A1A66"/>
    <w:rPr>
      <w:smallCaps/>
      <w:color w:val="404040" w:themeColor="text1" w:themeTint="BF"/>
      <w:spacing w:val="0"/>
      <w:u w:val="single" w:color="7F7F7F" w:themeColor="dark1" w:themeTint="80"/>
    </w:rPr>
  </w:style>
  <w:style w:type="character" w:styleId="Titredulivre">
    <w:name w:val="Book Title"/>
    <w:basedOn w:val="Policepardfaut"/>
    <w:uiPriority w:val="33"/>
    <w:qFormat/>
    <w:rsid w:val="009A1A66"/>
    <w:rPr>
      <w:b/>
      <w:bCs/>
      <w:smallCaps/>
      <w:spacing w:val="0"/>
    </w:rPr>
  </w:style>
  <w:style w:type="character" w:styleId="Lienhypertextesuivivisit">
    <w:name w:val="FollowedHyperlink"/>
    <w:basedOn w:val="Policepardfaut"/>
    <w:uiPriority w:val="99"/>
    <w:semiHidden/>
    <w:unhideWhenUsed/>
    <w:rPr>
      <w:color w:val="954F72" w:themeColor="followedHyperlink"/>
      <w:u w:val="single"/>
    </w:rPr>
  </w:style>
  <w:style w:type="character" w:customStyle="1" w:styleId="Titre1Car">
    <w:name w:val="Titre 1 Car"/>
    <w:basedOn w:val="Policepardfaut"/>
    <w:link w:val="Titre1"/>
    <w:uiPriority w:val="9"/>
    <w:qFormat/>
    <w:rsid w:val="009A1A66"/>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qFormat/>
    <w:rsid w:val="009A1A66"/>
    <w:rPr>
      <w:rFonts w:asciiTheme="majorHAnsi" w:eastAsiaTheme="majorEastAsia" w:hAnsiTheme="majorHAnsi" w:cstheme="majorBidi"/>
      <w:sz w:val="32"/>
      <w:szCs w:val="32"/>
    </w:rPr>
  </w:style>
  <w:style w:type="character" w:customStyle="1" w:styleId="Titre3Car">
    <w:name w:val="Titre 3 Car"/>
    <w:basedOn w:val="Policepardfaut"/>
    <w:link w:val="Titre3"/>
    <w:uiPriority w:val="9"/>
    <w:qFormat/>
    <w:rsid w:val="009A1A66"/>
    <w:rPr>
      <w:rFonts w:asciiTheme="majorHAnsi" w:eastAsiaTheme="majorEastAsia" w:hAnsiTheme="majorHAnsi" w:cstheme="majorBidi"/>
      <w:sz w:val="32"/>
      <w:szCs w:val="32"/>
    </w:rPr>
  </w:style>
  <w:style w:type="character" w:customStyle="1" w:styleId="Titre4Car">
    <w:name w:val="Titre 4 Car"/>
    <w:basedOn w:val="Policepardfaut"/>
    <w:link w:val="Titre4"/>
    <w:uiPriority w:val="9"/>
    <w:qFormat/>
    <w:rsid w:val="009A1A66"/>
    <w:rPr>
      <w:rFonts w:asciiTheme="majorHAnsi" w:eastAsiaTheme="majorEastAsia" w:hAnsiTheme="majorHAnsi" w:cstheme="majorBidi"/>
      <w:i/>
      <w:iCs/>
      <w:sz w:val="30"/>
      <w:szCs w:val="30"/>
    </w:rPr>
  </w:style>
  <w:style w:type="character" w:customStyle="1" w:styleId="Titre5Car">
    <w:name w:val="Titre 5 Car"/>
    <w:basedOn w:val="Policepardfaut"/>
    <w:link w:val="Titre5"/>
    <w:uiPriority w:val="9"/>
    <w:qFormat/>
    <w:rsid w:val="009A1A66"/>
    <w:rPr>
      <w:rFonts w:asciiTheme="majorHAnsi" w:eastAsiaTheme="majorEastAsia" w:hAnsiTheme="majorHAnsi" w:cstheme="majorBidi"/>
      <w:sz w:val="28"/>
      <w:szCs w:val="28"/>
    </w:rPr>
  </w:style>
  <w:style w:type="character" w:customStyle="1" w:styleId="Titre6Car">
    <w:name w:val="Titre 6 Car"/>
    <w:basedOn w:val="Policepardfaut"/>
    <w:link w:val="Titre6"/>
    <w:uiPriority w:val="9"/>
    <w:qFormat/>
    <w:rsid w:val="009A1A66"/>
    <w:rPr>
      <w:rFonts w:asciiTheme="majorHAnsi" w:eastAsiaTheme="majorEastAsia" w:hAnsiTheme="majorHAnsi" w:cstheme="majorBidi"/>
      <w:i/>
      <w:iCs/>
      <w:sz w:val="26"/>
      <w:szCs w:val="26"/>
    </w:rPr>
  </w:style>
  <w:style w:type="character" w:customStyle="1" w:styleId="Titre7Car">
    <w:name w:val="Titre 7 Car"/>
    <w:basedOn w:val="Policepardfaut"/>
    <w:link w:val="Titre7"/>
    <w:uiPriority w:val="9"/>
    <w:qFormat/>
    <w:rsid w:val="009A1A66"/>
    <w:rPr>
      <w:rFonts w:asciiTheme="majorHAnsi" w:eastAsiaTheme="majorEastAsia" w:hAnsiTheme="majorHAnsi" w:cstheme="majorBidi"/>
      <w:sz w:val="24"/>
      <w:szCs w:val="24"/>
    </w:rPr>
  </w:style>
  <w:style w:type="character" w:customStyle="1" w:styleId="Titre8Car">
    <w:name w:val="Titre 8 Car"/>
    <w:basedOn w:val="Policepardfaut"/>
    <w:link w:val="Titre8"/>
    <w:uiPriority w:val="9"/>
    <w:qFormat/>
    <w:rsid w:val="009A1A66"/>
    <w:rPr>
      <w:rFonts w:asciiTheme="majorHAnsi" w:eastAsiaTheme="majorEastAsia" w:hAnsiTheme="majorHAnsi" w:cstheme="majorBidi"/>
      <w:i/>
      <w:iCs/>
      <w:sz w:val="22"/>
      <w:szCs w:val="22"/>
    </w:rPr>
  </w:style>
  <w:style w:type="character" w:customStyle="1" w:styleId="Titre9Car">
    <w:name w:val="Titre 9 Car"/>
    <w:basedOn w:val="Policepardfaut"/>
    <w:link w:val="Titre9"/>
    <w:uiPriority w:val="9"/>
    <w:qFormat/>
    <w:rsid w:val="009A1A66"/>
    <w:rPr>
      <w:b/>
      <w:bCs/>
      <w:i/>
      <w:iCs/>
    </w:rPr>
  </w:style>
  <w:style w:type="character" w:customStyle="1" w:styleId="TitreCar">
    <w:name w:val="Titre Car"/>
    <w:basedOn w:val="Policepardfaut"/>
    <w:link w:val="Titre"/>
    <w:uiPriority w:val="10"/>
    <w:qFormat/>
    <w:rsid w:val="009A1A66"/>
    <w:rPr>
      <w:rFonts w:asciiTheme="majorHAnsi" w:eastAsiaTheme="majorEastAsia" w:hAnsiTheme="majorHAnsi" w:cstheme="majorBidi"/>
      <w:caps/>
      <w:color w:val="44546A" w:themeColor="text2"/>
      <w:spacing w:val="30"/>
      <w:sz w:val="72"/>
      <w:szCs w:val="72"/>
    </w:rPr>
  </w:style>
  <w:style w:type="character" w:customStyle="1" w:styleId="Sous-titreCar">
    <w:name w:val="Sous-titre Car"/>
    <w:basedOn w:val="Policepardfaut"/>
    <w:link w:val="Sous-titre"/>
    <w:uiPriority w:val="11"/>
    <w:qFormat/>
    <w:rsid w:val="009A1A66"/>
    <w:rPr>
      <w:color w:val="44546A" w:themeColor="text2"/>
      <w:sz w:val="28"/>
      <w:szCs w:val="28"/>
    </w:rPr>
  </w:style>
  <w:style w:type="character" w:customStyle="1" w:styleId="CitationCar">
    <w:name w:val="Citation Car"/>
    <w:basedOn w:val="Policepardfaut"/>
    <w:link w:val="Citation"/>
    <w:uiPriority w:val="29"/>
    <w:qFormat/>
    <w:rsid w:val="009A1A66"/>
    <w:rPr>
      <w:i/>
      <w:iCs/>
      <w:color w:val="7B7B7B" w:themeColor="accent3" w:themeShade="BF"/>
      <w:sz w:val="24"/>
      <w:szCs w:val="24"/>
    </w:rPr>
  </w:style>
  <w:style w:type="character" w:customStyle="1" w:styleId="CitationintenseCar">
    <w:name w:val="Citation intense Car"/>
    <w:basedOn w:val="Policepardfaut"/>
    <w:link w:val="Citationintense"/>
    <w:uiPriority w:val="30"/>
    <w:qFormat/>
    <w:rsid w:val="009A1A66"/>
    <w:rPr>
      <w:rFonts w:asciiTheme="majorHAnsi" w:eastAsiaTheme="majorEastAsia" w:hAnsiTheme="majorHAnsi" w:cstheme="majorBidi"/>
      <w:caps/>
      <w:color w:val="2E74B5" w:themeColor="accent1" w:themeShade="BF"/>
      <w:sz w:val="28"/>
      <w:szCs w:val="28"/>
    </w:rPr>
  </w:style>
  <w:style w:type="character" w:customStyle="1" w:styleId="En-tteCar">
    <w:name w:val="En-tête Car"/>
    <w:link w:val="En-tte"/>
    <w:uiPriority w:val="99"/>
    <w:qFormat/>
  </w:style>
  <w:style w:type="character" w:customStyle="1" w:styleId="FooterChar">
    <w:name w:val="Footer Char"/>
    <w:uiPriority w:val="99"/>
    <w:qFormat/>
  </w:style>
  <w:style w:type="character" w:customStyle="1" w:styleId="PieddepageCar">
    <w:name w:val="Pied de page Car"/>
    <w:link w:val="Pieddepage"/>
    <w:uiPriority w:val="99"/>
    <w:qFormat/>
  </w:style>
  <w:style w:type="character" w:styleId="Lienhypertexte">
    <w:name w:val="Hyperlink"/>
    <w:uiPriority w:val="99"/>
    <w:unhideWhenUsed/>
    <w:rPr>
      <w:color w:val="0563C1" w:themeColor="hyperlink"/>
      <w:u w:val="single"/>
    </w:rPr>
  </w:style>
  <w:style w:type="character" w:customStyle="1" w:styleId="NotedebasdepageCar">
    <w:name w:val="Note de bas de page Car"/>
    <w:link w:val="Notedebasdepage"/>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styleId="Appelnotedebasdep">
    <w:name w:val="footnote reference"/>
    <w:rPr>
      <w:vertAlign w:val="superscript"/>
    </w:rPr>
  </w:style>
  <w:style w:type="character" w:customStyle="1" w:styleId="NotedefinCar">
    <w:name w:val="Note de fin Car"/>
    <w:link w:val="Notedefin"/>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styleId="Appeldenotedefin">
    <w:name w:val="endnote reference"/>
    <w:rPr>
      <w:vertAlign w:val="superscript"/>
    </w:rPr>
  </w:style>
  <w:style w:type="character" w:styleId="Mentionnonrsolue">
    <w:name w:val="Unresolved Mention"/>
    <w:basedOn w:val="Policepardfaut"/>
    <w:uiPriority w:val="99"/>
    <w:semiHidden/>
    <w:unhideWhenUsed/>
    <w:qFormat/>
    <w:rsid w:val="003616BF"/>
    <w:rPr>
      <w:color w:val="605E5C"/>
      <w:shd w:val="clear" w:color="auto" w:fill="E1DFDD"/>
    </w:rPr>
  </w:style>
  <w:style w:type="character" w:customStyle="1" w:styleId="ParagraphedelisteCar">
    <w:name w:val="Paragraphe de liste Car"/>
    <w:link w:val="Paragraphedeliste"/>
    <w:uiPriority w:val="34"/>
    <w:qFormat/>
    <w:locked/>
    <w:rsid w:val="00406EA1"/>
  </w:style>
  <w:style w:type="character" w:customStyle="1" w:styleId="TextedebullesCar">
    <w:name w:val="Texte de bulles Car"/>
    <w:basedOn w:val="Policepardfaut"/>
    <w:link w:val="Textedebulles"/>
    <w:uiPriority w:val="99"/>
    <w:semiHidden/>
    <w:qFormat/>
    <w:rsid w:val="00AE1772"/>
    <w:rPr>
      <w:rFonts w:ascii="Segoe UI" w:hAnsi="Segoe UI" w:cs="Segoe UI"/>
      <w:sz w:val="18"/>
      <w:szCs w:val="18"/>
    </w:rPr>
  </w:style>
  <w:style w:type="character" w:styleId="Numrodeligne">
    <w:name w:val="line number"/>
  </w:style>
  <w:style w:type="character" w:customStyle="1" w:styleId="Sautdindex">
    <w:name w:val="Saut d'index"/>
    <w:qFormat/>
  </w:style>
  <w:style w:type="character" w:customStyle="1" w:styleId="Puces">
    <w:name w:val="Puces"/>
    <w:qFormat/>
    <w:rPr>
      <w:rFonts w:ascii="OpenSymbol" w:eastAsia="OpenSymbol" w:hAnsi="OpenSymbol" w:cs="OpenSymbol"/>
    </w:rPr>
  </w:style>
  <w:style w:type="paragraph" w:styleId="Titre">
    <w:name w:val="Title"/>
    <w:basedOn w:val="Normal"/>
    <w:next w:val="Corpsdetexte"/>
    <w:link w:val="TitreCar"/>
    <w:uiPriority w:val="10"/>
    <w:qFormat/>
    <w:rsid w:val="009A1A66"/>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paragraph" w:styleId="Corpsdetexte">
    <w:name w:val="Body Text"/>
    <w:basedOn w:val="Normal"/>
    <w:pPr>
      <w:spacing w:after="140" w:line="276" w:lineRule="auto"/>
    </w:pPr>
  </w:style>
  <w:style w:type="paragraph" w:styleId="Liste">
    <w:name w:val="List"/>
    <w:basedOn w:val="Corpsdetexte"/>
    <w:rPr>
      <w:rFonts w:cs="Lohit Devanagari"/>
    </w:rPr>
  </w:style>
  <w:style w:type="paragraph" w:styleId="Lgende">
    <w:name w:val="caption"/>
    <w:basedOn w:val="Normal"/>
    <w:next w:val="Normal"/>
    <w:uiPriority w:val="35"/>
    <w:semiHidden/>
    <w:unhideWhenUsed/>
    <w:qFormat/>
    <w:rsid w:val="009A1A66"/>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Lohit Devanagari"/>
    </w:rPr>
  </w:style>
  <w:style w:type="paragraph" w:styleId="Sous-titre">
    <w:name w:val="Subtitle"/>
    <w:basedOn w:val="Normal"/>
    <w:next w:val="Normal"/>
    <w:link w:val="Sous-titreCar"/>
    <w:uiPriority w:val="11"/>
    <w:qFormat/>
    <w:rsid w:val="009A1A66"/>
    <w:pPr>
      <w:jc w:val="center"/>
    </w:pPr>
    <w:rPr>
      <w:color w:val="44546A" w:themeColor="text2"/>
      <w:sz w:val="28"/>
      <w:szCs w:val="28"/>
    </w:rPr>
  </w:style>
  <w:style w:type="paragraph" w:styleId="Citation">
    <w:name w:val="Quote"/>
    <w:basedOn w:val="Normal"/>
    <w:next w:val="Normal"/>
    <w:link w:val="CitationCar"/>
    <w:uiPriority w:val="29"/>
    <w:qFormat/>
    <w:rsid w:val="009A1A66"/>
    <w:pPr>
      <w:spacing w:before="160"/>
      <w:ind w:left="720" w:right="720"/>
      <w:jc w:val="center"/>
    </w:pPr>
    <w:rPr>
      <w:i/>
      <w:iCs/>
      <w:color w:val="7B7B7B" w:themeColor="accent3" w:themeShade="BF"/>
      <w:sz w:val="24"/>
      <w:szCs w:val="24"/>
    </w:rPr>
  </w:style>
  <w:style w:type="paragraph" w:styleId="Citationintense">
    <w:name w:val="Intense Quote"/>
    <w:basedOn w:val="Normal"/>
    <w:next w:val="Normal"/>
    <w:link w:val="CitationintenseCar"/>
    <w:uiPriority w:val="30"/>
    <w:qFormat/>
    <w:rsid w:val="009A1A66"/>
    <w:pPr>
      <w:spacing w:before="160" w:line="276" w:lineRule="auto"/>
      <w:ind w:left="936" w:right="936"/>
      <w:jc w:val="center"/>
    </w:pPr>
    <w:rPr>
      <w:rFonts w:asciiTheme="majorHAnsi" w:eastAsiaTheme="majorEastAsia" w:hAnsiTheme="majorHAnsi" w:cstheme="majorBidi"/>
      <w:caps/>
      <w:color w:val="2E74B5" w:themeColor="accent1" w:themeShade="BF"/>
      <w:sz w:val="28"/>
      <w:szCs w:val="28"/>
    </w:rPr>
  </w:style>
  <w:style w:type="paragraph" w:customStyle="1" w:styleId="En-tteetpieddepage">
    <w:name w:val="En-tête et pied de page"/>
    <w:basedOn w:val="Normal"/>
    <w:qFormat/>
  </w:style>
  <w:style w:type="paragraph" w:styleId="En-tte">
    <w:name w:val="header"/>
    <w:basedOn w:val="Normal"/>
    <w:link w:val="En-tteCar"/>
    <w:uiPriority w:val="99"/>
    <w:unhideWhenUsed/>
    <w:pPr>
      <w:tabs>
        <w:tab w:val="center" w:pos="7143"/>
        <w:tab w:val="right" w:pos="14287"/>
      </w:tabs>
      <w:spacing w:after="0" w:line="240" w:lineRule="auto"/>
    </w:pPr>
  </w:style>
  <w:style w:type="paragraph" w:styleId="Pieddepage">
    <w:name w:val="footer"/>
    <w:basedOn w:val="Normal"/>
    <w:link w:val="PieddepageCar"/>
    <w:uiPriority w:val="99"/>
    <w:unhideWhenUsed/>
    <w:pPr>
      <w:tabs>
        <w:tab w:val="center" w:pos="7143"/>
        <w:tab w:val="right" w:pos="14287"/>
      </w:tabs>
      <w:spacing w:after="0" w:line="240" w:lineRule="auto"/>
    </w:pPr>
  </w:style>
  <w:style w:type="paragraph" w:styleId="Notedebasdepage">
    <w:name w:val="footnote text"/>
    <w:basedOn w:val="Normal"/>
    <w:link w:val="NotedebasdepageCar"/>
    <w:uiPriority w:val="99"/>
    <w:semiHidden/>
    <w:unhideWhenUsed/>
    <w:pPr>
      <w:spacing w:after="40" w:line="240" w:lineRule="auto"/>
    </w:pPr>
    <w:rPr>
      <w:sz w:val="18"/>
    </w:rPr>
  </w:style>
  <w:style w:type="paragraph" w:styleId="Notedefin">
    <w:name w:val="endnote text"/>
    <w:basedOn w:val="Normal"/>
    <w:link w:val="NotedefinCar"/>
    <w:uiPriority w:val="99"/>
    <w:semiHidden/>
    <w:unhideWhenUsed/>
    <w:pPr>
      <w:spacing w:after="0" w:line="240" w:lineRule="auto"/>
    </w:pPr>
    <w:rPr>
      <w:sz w:val="20"/>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Titreindex">
    <w:name w:val="index heading"/>
    <w:basedOn w:val="Titre"/>
  </w:style>
  <w:style w:type="paragraph" w:styleId="En-ttedetabledesmatires">
    <w:name w:val="TOC Heading"/>
    <w:basedOn w:val="Titre1"/>
    <w:next w:val="Normal"/>
    <w:uiPriority w:val="39"/>
    <w:unhideWhenUsed/>
    <w:qFormat/>
    <w:rsid w:val="009A1A66"/>
    <w:pPr>
      <w:outlineLvl w:val="9"/>
    </w:pPr>
  </w:style>
  <w:style w:type="paragraph" w:styleId="Tabledesillustrations">
    <w:name w:val="table of figures"/>
    <w:basedOn w:val="Normal"/>
    <w:next w:val="Normal"/>
    <w:uiPriority w:val="99"/>
    <w:unhideWhenUsed/>
    <w:pPr>
      <w:spacing w:after="0"/>
    </w:pPr>
  </w:style>
  <w:style w:type="paragraph" w:styleId="Sansinterligne">
    <w:name w:val="No Spacing"/>
    <w:uiPriority w:val="1"/>
    <w:qFormat/>
    <w:rsid w:val="009A1A66"/>
  </w:style>
  <w:style w:type="paragraph" w:styleId="Paragraphedeliste">
    <w:name w:val="List Paragraph"/>
    <w:basedOn w:val="Normal"/>
    <w:link w:val="ParagraphedelisteCar"/>
    <w:uiPriority w:val="34"/>
    <w:qFormat/>
    <w:pPr>
      <w:ind w:left="720"/>
      <w:contextualSpacing/>
    </w:pPr>
  </w:style>
  <w:style w:type="paragraph" w:styleId="Rvision">
    <w:name w:val="Revision"/>
    <w:uiPriority w:val="99"/>
    <w:semiHidden/>
    <w:qFormat/>
    <w:rsid w:val="009E0501"/>
  </w:style>
  <w:style w:type="paragraph" w:styleId="Textedebulles">
    <w:name w:val="Balloon Text"/>
    <w:basedOn w:val="Normal"/>
    <w:link w:val="TextedebullesCar"/>
    <w:uiPriority w:val="99"/>
    <w:semiHidden/>
    <w:unhideWhenUsed/>
    <w:qFormat/>
    <w:rsid w:val="00AE1772"/>
    <w:pPr>
      <w:spacing w:after="0" w:line="240" w:lineRule="auto"/>
    </w:pPr>
    <w:rPr>
      <w:rFonts w:ascii="Segoe UI" w:hAnsi="Segoe UI" w:cs="Segoe UI"/>
      <w:sz w:val="18"/>
      <w:szCs w:val="18"/>
    </w:rPr>
  </w:style>
  <w:style w:type="paragraph" w:customStyle="1" w:styleId="Contenudecadre">
    <w:name w:val="Contenu de cadre"/>
    <w:basedOn w:val="Normal"/>
    <w:qFormat/>
  </w:style>
  <w:style w:type="numbering" w:customStyle="1" w:styleId="Pasdeliste">
    <w:name w:val="Pas de liste"/>
    <w:uiPriority w:val="99"/>
    <w:semiHidden/>
    <w:unhideWhenUsed/>
    <w:qFormat/>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68A2D8"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5B9BD5" w:fill="5B9BD5" w:themeFill="accent1"/>
      </w:tcPr>
    </w:tblStylePr>
    <w:tblStylePr w:type="lastRow">
      <w:rPr>
        <w:b/>
        <w:sz w:val="22"/>
      </w:rPr>
      <w:tblPr/>
      <w:tcPr>
        <w:tcBorders>
          <w:top w:val="single" w:sz="4" w:space="0" w:color="FFFFFF" w:themeColor="light1"/>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472C4" w:fill="4472C4" w:themeFill="accent5"/>
      </w:tcPr>
    </w:tblStylePr>
    <w:tblStylePr w:type="lastRow">
      <w:rPr>
        <w:b/>
        <w:sz w:val="22"/>
      </w:rPr>
      <w:tblPr/>
      <w:tcPr>
        <w:tcBorders>
          <w:top w:val="single" w:sz="4" w:space="0" w:color="FFFFFF" w:themeColor="light1"/>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fill="E1EFD8" w:themeFill="accent6" w:themeFillTint="34"/>
      </w:tcPr>
    </w:tblStylePr>
    <w:tblStylePr w:type="band1Horz">
      <w:rPr>
        <w:color w:val="254175" w:themeColor="accent5" w:themeShade="95"/>
        <w:sz w:val="22"/>
      </w:rPr>
      <w:tblPr/>
      <w:tcPr>
        <w:shd w:val="clear" w:color="E1EFD8" w:fill="E1EFD8" w:themeFill="accent6" w:themeFillTint="34"/>
      </w:tcPr>
    </w:tblStylePr>
    <w:tblStylePr w:type="band2Horz">
      <w:rPr>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b/>
        <w:sz w:val="22"/>
      </w:rPr>
      <w:tblPr/>
      <w:tcPr>
        <w:shd w:val="clear" w:color="8DA9DB"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b/>
        <w:sz w:val="22"/>
      </w:rPr>
      <w:tblPr/>
      <w:tcPr>
        <w:shd w:val="clear" w:color="4472C4"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b/>
        <w:color w:val="FFFFFF" w:themeColor="light1"/>
        <w:sz w:val="22"/>
      </w:rPr>
      <w:tblPr/>
      <w:tcPr>
        <w:tcBorders>
          <w:top w:val="single" w:sz="32" w:space="0" w:color="5B9BD5" w:themeColor="accent1"/>
          <w:bottom w:val="single" w:sz="12" w:space="0" w:color="FFFFFF" w:themeColor="light1"/>
        </w:tcBorders>
        <w:shd w:val="clear" w:color="5B9BD5"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fill="5B9BD5" w:themeFill="accent1"/>
      </w:tcPr>
    </w:tblStylePr>
    <w:tblStylePr w:type="band2Horz">
      <w:tblPr/>
      <w:tcPr>
        <w:tcBorders>
          <w:top w:val="single" w:sz="4" w:space="0" w:color="FFFFFF" w:themeColor="light1"/>
          <w:bottom w:val="single" w:sz="4" w:space="0" w:color="FFFFFF" w:themeColor="light1"/>
        </w:tcBorders>
        <w:shd w:val="clear" w:color="5B9BD5"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b/>
        <w:color w:val="FFFFFF" w:themeColor="light1"/>
        <w:sz w:val="22"/>
      </w:rPr>
      <w:tblPr/>
      <w:tcPr>
        <w:tcBorders>
          <w:top w:val="single" w:sz="32" w:space="0" w:color="4472C4" w:themeColor="accent5"/>
          <w:bottom w:val="single" w:sz="12" w:space="0" w:color="FFFFFF" w:themeColor="light1"/>
        </w:tcBorders>
        <w:shd w:val="clear" w:color="8DA9DB"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8DA9DB"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auNormal"/>
    <w:uiPriority w:val="99"/>
    <w:rPr>
      <w:sz w:val="20"/>
      <w:szCs w:val="20"/>
      <w:lang w:eastAsia="fr-FR"/>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leauNormal"/>
    <w:uiPriority w:val="99"/>
    <w:rPr>
      <w:sz w:val="20"/>
      <w:szCs w:val="20"/>
      <w:lang w:eastAsia="fr-FR"/>
    </w:rPr>
    <w:tblPr>
      <w:tblStyleRowBandSize w:val="1"/>
      <w:tblStyleColBandSize w:val="1"/>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Lined-Accent2">
    <w:name w:val="Lined - Accent 2"/>
    <w:basedOn w:val="TableauNormal"/>
    <w:uiPriority w:val="99"/>
    <w:rPr>
      <w:sz w:val="20"/>
      <w:szCs w:val="20"/>
      <w:lang w:eastAsia="fr-FR"/>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TableauNormal"/>
    <w:uiPriority w:val="99"/>
    <w:rPr>
      <w:sz w:val="20"/>
      <w:szCs w:val="20"/>
      <w:lang w:eastAsia="fr-FR"/>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TableauNormal"/>
    <w:uiPriority w:val="99"/>
    <w:rPr>
      <w:sz w:val="20"/>
      <w:szCs w:val="20"/>
      <w:lang w:eastAsia="fr-FR"/>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TableauNormal"/>
    <w:uiPriority w:val="99"/>
    <w:rPr>
      <w:sz w:val="20"/>
      <w:szCs w:val="20"/>
      <w:lang w:eastAsia="fr-FR"/>
    </w:rPr>
    <w:tblPr>
      <w:tblStyleRowBandSize w:val="1"/>
      <w:tblStyleColBandSize w:val="1"/>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Lined-Accent6">
    <w:name w:val="Lined - Accent 6"/>
    <w:basedOn w:val="TableauNormal"/>
    <w:uiPriority w:val="99"/>
    <w:rPr>
      <w:sz w:val="20"/>
      <w:szCs w:val="20"/>
      <w:lang w:eastAsia="fr-FR"/>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TableauNormal"/>
    <w:uiPriority w:val="99"/>
    <w:rPr>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leauNormal"/>
    <w:uiPriority w:val="99"/>
    <w:rPr>
      <w:sz w:val="20"/>
      <w:szCs w:val="20"/>
      <w:lang w:eastAsia="fr-F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TableauNormal"/>
    <w:uiPriority w:val="99"/>
    <w:rPr>
      <w:sz w:val="20"/>
      <w:szCs w:val="20"/>
      <w:lang w:eastAsia="fr-FR"/>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TableauNormal"/>
    <w:uiPriority w:val="99"/>
    <w:rPr>
      <w:sz w:val="20"/>
      <w:szCs w:val="20"/>
      <w:lang w:eastAsia="fr-FR"/>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TableauNormal"/>
    <w:uiPriority w:val="99"/>
    <w:rPr>
      <w:sz w:val="20"/>
      <w:szCs w:val="20"/>
      <w:lang w:eastAsia="fr-FR"/>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TableauNormal"/>
    <w:uiPriority w:val="99"/>
    <w:rPr>
      <w:sz w:val="20"/>
      <w:szCs w:val="20"/>
      <w:lang w:eastAsia="fr-FR"/>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TableauNormal"/>
    <w:uiPriority w:val="99"/>
    <w:rPr>
      <w:sz w:val="20"/>
      <w:szCs w:val="20"/>
      <w:lang w:eastAsia="fr-FR"/>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cnil.fr/fr/reglement-europeen-protection-donne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cnil.fr/fr/sous-traitance-exemple-de-clauses"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ssi.gouv.fr/entreprise/reglementation/protection-des-systemes-dinformations/la-politique-de-securite-des-systemes-dinformation-de-letat-pssi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si.gouv.fr/administration/reglementation/confiance-numerique/le-referentiel-general-de-securite-rgs/" TargetMode="External"/><Relationship Id="rId20" Type="http://schemas.openxmlformats.org/officeDocument/2006/relationships/hyperlink" Target="https://www.cnil.fr/fr/commande-publique-quel-acteur-est-responsable-au-regard-du-rg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ccessibilite.numerique.gouv.fr/"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cnil.fr/fr/ce-quil-faut-savoir-sur-lanalyse-dimpact-relative-la-protection-des-donnees-ai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umerique.gouv.fr/offre-accompagnement/reference-interoperabilite-rgi/"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6350" cap="flat" cmpd="sng" algn="ctr"/>
        <a:ln w="12700" cap="flat" cmpd="sng" algn="ctr"/>
        <a:ln w="19050" cap="flat" cmpd="sng" algn="ctr"/>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5FE9BC8EF2B24EB4BA0C0A32C8B31B" ma:contentTypeVersion="2" ma:contentTypeDescription="Crée un document." ma:contentTypeScope="" ma:versionID="ea03784a151cf27677ac9b88d1e98842">
  <xsd:schema xmlns:xsd="http://www.w3.org/2001/XMLSchema" xmlns:xs="http://www.w3.org/2001/XMLSchema" xmlns:p="http://schemas.microsoft.com/office/2006/metadata/properties" xmlns:ns2="50c7f489-29e7-4f43-a444-c77a3d4765bd" targetNamespace="http://schemas.microsoft.com/office/2006/metadata/properties" ma:root="true" ma:fieldsID="09cbdd54c000b9c6dbc1245aa2122d06" ns2:_="">
    <xsd:import namespace="50c7f489-29e7-4f43-a444-c77a3d4765b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7f489-29e7-4f43-a444-c77a3d4765b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9F6050-D58A-4355-A5A6-6E891FDF14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047D69-DBB9-45F9-947D-C05C379AD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7f489-29e7-4f43-a444-c77a3d476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FA0D1-4453-483E-8A2A-041F46E472AF}">
  <ds:schemaRefs>
    <ds:schemaRef ds:uri="http://schemas.openxmlformats.org/officeDocument/2006/bibliography"/>
  </ds:schemaRefs>
</ds:datastoreItem>
</file>

<file path=customXml/itemProps4.xml><?xml version="1.0" encoding="utf-8"?>
<ds:datastoreItem xmlns:ds="http://schemas.openxmlformats.org/officeDocument/2006/customXml" ds:itemID="{B18ABF7E-80AE-4D40-AA34-F4DC386B8C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13</Pages>
  <Words>5072</Words>
  <Characters>27899</Characters>
  <Application>Microsoft Office Word</Application>
  <DocSecurity>0</DocSecurity>
  <Lines>232</Lines>
  <Paragraphs>65</Paragraphs>
  <ScaleCrop>false</ScaleCrop>
  <HeadingPairs>
    <vt:vector size="2" baseType="variant">
      <vt:variant>
        <vt:lpstr>Titre</vt:lpstr>
      </vt:variant>
      <vt:variant>
        <vt:i4>1</vt:i4>
      </vt:variant>
    </vt:vector>
  </HeadingPairs>
  <TitlesOfParts>
    <vt:vector size="1" baseType="lpstr">
      <vt:lpstr/>
    </vt:vector>
  </TitlesOfParts>
  <Company>INRAE</Company>
  <LinksUpToDate>false</LinksUpToDate>
  <CharactersWithSpaces>32906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 NAILI</dc:creator>
  <dc:description/>
  <cp:lastModifiedBy>Sami NAILI</cp:lastModifiedBy>
  <cp:revision>6</cp:revision>
  <dcterms:created xsi:type="dcterms:W3CDTF">2025-11-25T08:42:00Z</dcterms:created>
  <dcterms:modified xsi:type="dcterms:W3CDTF">2026-01-15T15:17:00Z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0x010100845FE9BC8EF2B24EB4BA0C0A32C8B31B</vt:lpwstr>
  </property>
</Properties>
</file>