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uppressAutoHyphens w:val="0"/>
        <w:spacing w:before="0" w:after="160" w:line="259" w:lineRule="auto"/>
        <w:jc w:val="left"/>
      </w:pPr>
    </w:p>
    <w:p>
      <w:pPr>
        <w:rPr>
          <w:rFonts w:ascii="Marianne" w:hAnsi="Marianne"/>
        </w:rPr>
      </w:pPr>
    </w:p>
    <w:p>
      <w:pPr>
        <w:tabs>
          <w:tab w:val="left" w:pos="6374"/>
        </w:tabs>
        <w:rPr>
          <w:rFonts w:ascii="Marianne" w:hAnsi="Marianne"/>
        </w:rPr>
      </w:pPr>
      <w:r>
        <w:rPr>
          <w:rFonts w:ascii="Marianne" w:hAnsi="Marianne"/>
        </w:rPr>
        <w:tab/>
      </w:r>
    </w:p>
    <w:p>
      <w:pPr>
        <w:pBdr>
          <w:top w:val="single" w:sz="4" w:space="1" w:color="auto"/>
          <w:left w:val="single" w:sz="4" w:space="4" w:color="auto"/>
          <w:bottom w:val="single" w:sz="4" w:space="1" w:color="auto"/>
          <w:right w:val="single" w:sz="4" w:space="4" w:color="auto"/>
        </w:pBdr>
        <w:jc w:val="center"/>
        <w:rPr>
          <w:rFonts w:ascii="Marianne" w:eastAsia="Arial" w:hAnsi="Marianne"/>
          <w:b/>
          <w:bCs/>
          <w:sz w:val="28"/>
          <w:szCs w:val="28"/>
        </w:rPr>
      </w:pPr>
      <w:r>
        <w:rPr>
          <w:rFonts w:ascii="Marianne" w:eastAsia="Arial" w:hAnsi="Marianne"/>
          <w:b/>
          <w:bCs/>
          <w:spacing w:val="-4"/>
          <w:sz w:val="28"/>
          <w:szCs w:val="28"/>
        </w:rPr>
        <w:t>A</w:t>
      </w:r>
      <w:r>
        <w:rPr>
          <w:rFonts w:ascii="Marianne" w:eastAsia="Arial" w:hAnsi="Marianne"/>
          <w:b/>
          <w:bCs/>
          <w:spacing w:val="1"/>
          <w:sz w:val="28"/>
          <w:szCs w:val="28"/>
        </w:rPr>
        <w:t>C</w:t>
      </w:r>
      <w:r>
        <w:rPr>
          <w:rFonts w:ascii="Marianne" w:eastAsia="Arial" w:hAnsi="Marianne"/>
          <w:b/>
          <w:bCs/>
          <w:spacing w:val="-2"/>
          <w:sz w:val="28"/>
          <w:szCs w:val="28"/>
        </w:rPr>
        <w:t>C</w:t>
      </w:r>
      <w:r>
        <w:rPr>
          <w:rFonts w:ascii="Marianne" w:eastAsia="Arial" w:hAnsi="Marianne"/>
          <w:b/>
          <w:bCs/>
          <w:sz w:val="28"/>
          <w:szCs w:val="28"/>
        </w:rPr>
        <w:t>O</w:t>
      </w:r>
      <w:r>
        <w:rPr>
          <w:rFonts w:ascii="Marianne" w:eastAsia="Arial" w:hAnsi="Marianne"/>
          <w:b/>
          <w:bCs/>
          <w:spacing w:val="-2"/>
          <w:sz w:val="28"/>
          <w:szCs w:val="28"/>
        </w:rPr>
        <w:t>RD</w:t>
      </w:r>
      <w:r>
        <w:rPr>
          <w:rFonts w:ascii="Marianne" w:eastAsia="Arial" w:hAnsi="Marianne"/>
          <w:b/>
          <w:bCs/>
          <w:sz w:val="28"/>
          <w:szCs w:val="28"/>
        </w:rPr>
        <w:t>-</w:t>
      </w:r>
      <w:r>
        <w:rPr>
          <w:rFonts w:ascii="Marianne" w:eastAsia="Arial" w:hAnsi="Marianne"/>
          <w:b/>
          <w:bCs/>
          <w:spacing w:val="3"/>
          <w:sz w:val="28"/>
          <w:szCs w:val="28"/>
        </w:rPr>
        <w:t>C</w:t>
      </w:r>
      <w:r>
        <w:rPr>
          <w:rFonts w:ascii="Marianne" w:eastAsia="Arial" w:hAnsi="Marianne"/>
          <w:b/>
          <w:bCs/>
          <w:spacing w:val="-6"/>
          <w:sz w:val="28"/>
          <w:szCs w:val="28"/>
        </w:rPr>
        <w:t>A</w:t>
      </w:r>
      <w:r>
        <w:rPr>
          <w:rFonts w:ascii="Marianne" w:eastAsia="Arial" w:hAnsi="Marianne"/>
          <w:b/>
          <w:bCs/>
          <w:spacing w:val="1"/>
          <w:sz w:val="28"/>
          <w:szCs w:val="28"/>
        </w:rPr>
        <w:t>D</w:t>
      </w:r>
      <w:r>
        <w:rPr>
          <w:rFonts w:ascii="Marianne" w:eastAsia="Arial" w:hAnsi="Marianne"/>
          <w:b/>
          <w:bCs/>
          <w:spacing w:val="-2"/>
          <w:sz w:val="28"/>
          <w:szCs w:val="28"/>
        </w:rPr>
        <w:t>R</w:t>
      </w:r>
      <w:r>
        <w:rPr>
          <w:rFonts w:ascii="Marianne" w:eastAsia="Arial" w:hAnsi="Marianne"/>
          <w:b/>
          <w:bCs/>
          <w:sz w:val="28"/>
          <w:szCs w:val="28"/>
        </w:rPr>
        <w:t>E</w:t>
      </w:r>
      <w:r>
        <w:rPr>
          <w:rFonts w:ascii="Marianne" w:eastAsia="Arial" w:hAnsi="Marianne"/>
          <w:b/>
          <w:bCs/>
          <w:spacing w:val="1"/>
          <w:sz w:val="28"/>
          <w:szCs w:val="28"/>
        </w:rPr>
        <w:t xml:space="preserve"> </w:t>
      </w:r>
      <w:r>
        <w:rPr>
          <w:rFonts w:ascii="Marianne" w:eastAsia="Arial" w:hAnsi="Marianne"/>
          <w:b/>
          <w:bCs/>
          <w:spacing w:val="-2"/>
          <w:sz w:val="28"/>
          <w:szCs w:val="28"/>
        </w:rPr>
        <w:t>R</w:t>
      </w:r>
      <w:r>
        <w:rPr>
          <w:rFonts w:ascii="Marianne" w:eastAsia="Arial" w:hAnsi="Marianne"/>
          <w:b/>
          <w:bCs/>
          <w:sz w:val="28"/>
          <w:szCs w:val="28"/>
        </w:rPr>
        <w:t>E</w:t>
      </w:r>
      <w:r>
        <w:rPr>
          <w:rFonts w:ascii="Marianne" w:eastAsia="Arial" w:hAnsi="Marianne"/>
          <w:b/>
          <w:bCs/>
          <w:spacing w:val="3"/>
          <w:sz w:val="28"/>
          <w:szCs w:val="28"/>
        </w:rPr>
        <w:t>L</w:t>
      </w:r>
      <w:r>
        <w:rPr>
          <w:rFonts w:ascii="Marianne" w:eastAsia="Arial" w:hAnsi="Marianne"/>
          <w:b/>
          <w:bCs/>
          <w:spacing w:val="-6"/>
          <w:sz w:val="28"/>
          <w:szCs w:val="28"/>
        </w:rPr>
        <w:t>A</w:t>
      </w:r>
      <w:r>
        <w:rPr>
          <w:rFonts w:ascii="Marianne" w:eastAsia="Arial" w:hAnsi="Marianne"/>
          <w:b/>
          <w:bCs/>
          <w:spacing w:val="-2"/>
          <w:sz w:val="28"/>
          <w:szCs w:val="28"/>
        </w:rPr>
        <w:t>T</w:t>
      </w:r>
      <w:r>
        <w:rPr>
          <w:rFonts w:ascii="Marianne" w:eastAsia="Arial" w:hAnsi="Marianne"/>
          <w:b/>
          <w:bCs/>
          <w:spacing w:val="1"/>
          <w:sz w:val="28"/>
          <w:szCs w:val="28"/>
        </w:rPr>
        <w:t>I</w:t>
      </w:r>
      <w:r>
        <w:rPr>
          <w:rFonts w:ascii="Marianne" w:eastAsia="Arial" w:hAnsi="Marianne"/>
          <w:b/>
          <w:bCs/>
          <w:sz w:val="28"/>
          <w:szCs w:val="28"/>
        </w:rPr>
        <w:t xml:space="preserve">F </w:t>
      </w:r>
    </w:p>
    <w:p>
      <w:pPr>
        <w:pBdr>
          <w:top w:val="single" w:sz="4" w:space="1" w:color="auto"/>
          <w:left w:val="single" w:sz="4" w:space="4" w:color="auto"/>
          <w:bottom w:val="single" w:sz="4" w:space="1" w:color="auto"/>
          <w:right w:val="single" w:sz="4" w:space="4" w:color="auto"/>
        </w:pBdr>
        <w:jc w:val="center"/>
        <w:rPr>
          <w:rFonts w:ascii="Marianne" w:eastAsia="Arial" w:hAnsi="Marianne"/>
          <w:b/>
          <w:bCs/>
          <w:spacing w:val="1"/>
          <w:sz w:val="28"/>
          <w:szCs w:val="28"/>
        </w:rPr>
      </w:pPr>
      <w:r>
        <w:rPr>
          <w:rFonts w:ascii="Marianne" w:eastAsia="Arial" w:hAnsi="Marianne"/>
          <w:b/>
          <w:bCs/>
          <w:sz w:val="28"/>
          <w:szCs w:val="28"/>
        </w:rPr>
        <w:t xml:space="preserve">À </w:t>
      </w:r>
      <w:r>
        <w:rPr>
          <w:rFonts w:ascii="Marianne" w:eastAsia="Arial" w:hAnsi="Marianne"/>
          <w:b/>
          <w:bCs/>
          <w:spacing w:val="1"/>
          <w:sz w:val="28"/>
          <w:szCs w:val="28"/>
        </w:rPr>
        <w:t xml:space="preserve">TIERCE MAINTENANCE APPLICATIVE ET PRESTATIONS ASSOCIEES </w:t>
      </w:r>
    </w:p>
    <w:p>
      <w:pPr>
        <w:pBdr>
          <w:top w:val="single" w:sz="4" w:space="1" w:color="auto"/>
          <w:left w:val="single" w:sz="4" w:space="4" w:color="auto"/>
          <w:bottom w:val="single" w:sz="4" w:space="1" w:color="auto"/>
          <w:right w:val="single" w:sz="4" w:space="4" w:color="auto"/>
        </w:pBdr>
        <w:jc w:val="center"/>
        <w:rPr>
          <w:rFonts w:ascii="Marianne" w:eastAsia="Arial" w:hAnsi="Marianne"/>
          <w:b/>
          <w:bCs/>
          <w:spacing w:val="1"/>
          <w:sz w:val="28"/>
          <w:szCs w:val="28"/>
        </w:rPr>
      </w:pPr>
      <w:r>
        <w:rPr>
          <w:rFonts w:ascii="Marianne" w:eastAsia="Arial" w:hAnsi="Marianne"/>
          <w:b/>
          <w:bCs/>
          <w:spacing w:val="1"/>
          <w:sz w:val="28"/>
          <w:szCs w:val="28"/>
        </w:rPr>
        <w:t>DU CONCENTRATEUR-TRADUCTEUR DE LA DSN (CTDSN)</w:t>
      </w:r>
    </w:p>
    <w:p>
      <w:pPr>
        <w:pBdr>
          <w:top w:val="single" w:sz="4" w:space="1" w:color="auto"/>
          <w:left w:val="single" w:sz="4" w:space="4" w:color="auto"/>
          <w:bottom w:val="single" w:sz="4" w:space="1" w:color="auto"/>
          <w:right w:val="single" w:sz="4" w:space="4" w:color="auto"/>
        </w:pBdr>
        <w:jc w:val="center"/>
        <w:rPr>
          <w:rFonts w:ascii="Marianne" w:hAnsi="Marianne"/>
          <w:b/>
          <w:color w:val="0070C0"/>
          <w:sz w:val="24"/>
        </w:rPr>
      </w:pPr>
      <w:r>
        <w:rPr>
          <w:rFonts w:ascii="Marianne" w:hAnsi="Marianne"/>
          <w:b/>
          <w:color w:val="0070C0"/>
          <w:sz w:val="24"/>
        </w:rPr>
        <w:t>Cadre de réponse technique</w:t>
      </w:r>
    </w:p>
    <w:p>
      <w:pPr>
        <w:rPr>
          <w:rFonts w:ascii="Marianne" w:hAnsi="Marianne"/>
        </w:rPr>
      </w:pPr>
    </w:p>
    <w:p>
      <w:pPr>
        <w:rPr>
          <w:rFonts w:ascii="Marianne" w:hAnsi="Marianne"/>
        </w:rPr>
      </w:pPr>
    </w:p>
    <w:p>
      <w:pPr>
        <w:rPr>
          <w:rFonts w:ascii="Marianne" w:hAnsi="Marianne"/>
          <w:b/>
          <w:bCs/>
        </w:rPr>
      </w:pPr>
      <w:bookmarkStart w:id="0" w:name="_Hlk189573701"/>
      <w:r>
        <w:rPr>
          <w:rFonts w:ascii="Marianne" w:hAnsi="Marianne"/>
          <w:b/>
          <w:bCs/>
        </w:rPr>
        <w:t>Appel d’offres ouvert passé en application de l’article L.2124-2 du code de la commande publique</w:t>
      </w:r>
    </w:p>
    <w:p>
      <w:pPr>
        <w:rPr>
          <w:rFonts w:ascii="Marianne" w:hAnsi="Marianne"/>
          <w:b/>
        </w:rPr>
      </w:pPr>
    </w:p>
    <w:p>
      <w:pPr>
        <w:rPr>
          <w:rFonts w:ascii="Marianne" w:hAnsi="Marianne"/>
          <w:b/>
        </w:rPr>
      </w:pPr>
      <w:r>
        <w:rPr>
          <w:rFonts w:ascii="Marianne" w:hAnsi="Marianne"/>
          <w:b/>
        </w:rPr>
        <w:t>Marché non-alloti en application de l’article L.2113-11 du code de la commande publique</w:t>
      </w:r>
    </w:p>
    <w:p>
      <w:pPr>
        <w:rPr>
          <w:rFonts w:ascii="Marianne" w:hAnsi="Marianne"/>
        </w:rPr>
      </w:pPr>
    </w:p>
    <w:bookmarkEnd w:id="0"/>
    <w:p>
      <w:pPr>
        <w:rPr>
          <w:rFonts w:ascii="Marianne" w:hAnsi="Marianne"/>
          <w:b/>
          <w:color w:val="0070C0"/>
        </w:rPr>
      </w:pPr>
      <w:r>
        <w:rPr>
          <w:rFonts w:ascii="Marianne" w:hAnsi="Marianne"/>
          <w:b/>
          <w:color w:val="0070C0"/>
        </w:rPr>
        <w:t>Date limite de remise des offres : 12 mars 2025</w:t>
      </w:r>
    </w:p>
    <w:p>
      <w:pPr>
        <w:rPr>
          <w:rFonts w:ascii="Marianne" w:hAnsi="Marianne"/>
        </w:rPr>
      </w:pPr>
    </w:p>
    <w:p>
      <w:pPr>
        <w:rPr>
          <w:rFonts w:ascii="Marianne" w:hAnsi="Marianne"/>
          <w:szCs w:val="20"/>
        </w:rPr>
      </w:pPr>
    </w:p>
    <w:p>
      <w:pPr>
        <w:spacing w:before="0"/>
        <w:rPr>
          <w:rFonts w:ascii="Marianne" w:hAnsi="Marianne"/>
          <w:b/>
          <w:bCs/>
          <w:szCs w:val="20"/>
        </w:rPr>
      </w:pPr>
    </w:p>
    <w:p>
      <w:pPr>
        <w:suppressAutoHyphens w:val="0"/>
        <w:spacing w:before="0" w:after="160" w:line="259" w:lineRule="auto"/>
        <w:jc w:val="left"/>
      </w:pPr>
      <w:r>
        <w:br w:type="page"/>
      </w:r>
    </w:p>
    <w:sdt>
      <w:sdtPr>
        <w:rPr>
          <w:rFonts w:ascii="Arial" w:eastAsia="Times New Roman" w:hAnsi="Arial" w:cs="Arial"/>
          <w:color w:val="auto"/>
          <w:sz w:val="20"/>
          <w:szCs w:val="24"/>
          <w:lang w:eastAsia="ar-SA"/>
        </w:rPr>
        <w:id w:val="-439915670"/>
        <w:docPartObj>
          <w:docPartGallery w:val="Table of Contents"/>
          <w:docPartUnique/>
        </w:docPartObj>
      </w:sdtPr>
      <w:sdtEndPr>
        <w:rPr>
          <w:b/>
          <w:bCs/>
        </w:rPr>
      </w:sdtEndPr>
      <w:sdtContent>
        <w:p>
          <w:pPr>
            <w:pStyle w:val="En-ttedetabledesmatires"/>
          </w:pPr>
          <w:r>
            <w:t>Table des matières</w:t>
          </w:r>
        </w:p>
        <w:p>
          <w:pPr>
            <w:pStyle w:val="TM1"/>
            <w:tabs>
              <w:tab w:val="right" w:leader="dot" w:pos="9062"/>
            </w:tabs>
            <w:rPr>
              <w:rFonts w:asciiTheme="minorHAnsi" w:eastAsiaTheme="minorEastAsia" w:hAnsiTheme="minorHAnsi" w:cstheme="minorBidi"/>
              <w:noProof/>
              <w:sz w:val="22"/>
              <w:szCs w:val="22"/>
              <w:lang w:eastAsia="fr-FR"/>
            </w:rPr>
          </w:pPr>
          <w:r>
            <w:rPr>
              <w:b/>
              <w:bCs/>
            </w:rPr>
            <w:fldChar w:fldCharType="begin"/>
          </w:r>
          <w:r>
            <w:rPr>
              <w:b/>
              <w:bCs/>
            </w:rPr>
            <w:instrText xml:space="preserve"> TOC \o "1-3" \h \z \u </w:instrText>
          </w:r>
          <w:r>
            <w:rPr>
              <w:b/>
              <w:bCs/>
            </w:rPr>
            <w:fldChar w:fldCharType="separate"/>
          </w:r>
          <w:hyperlink w:anchor="_Toc219207379" w:history="1">
            <w:r>
              <w:rPr>
                <w:rStyle w:val="Lienhypertexte"/>
                <w:rFonts w:ascii="Marianne" w:hAnsi="Marianne"/>
                <w:noProof/>
              </w:rPr>
              <w:t>Cadre de réponse technique</w:t>
            </w:r>
            <w:r>
              <w:rPr>
                <w:noProof/>
                <w:webHidden/>
              </w:rPr>
              <w:tab/>
            </w:r>
            <w:r>
              <w:rPr>
                <w:noProof/>
                <w:webHidden/>
              </w:rPr>
              <w:fldChar w:fldCharType="begin"/>
            </w:r>
            <w:r>
              <w:rPr>
                <w:noProof/>
                <w:webHidden/>
              </w:rPr>
              <w:instrText xml:space="preserve"> PAGEREF _Toc219207379 \h </w:instrText>
            </w:r>
            <w:r>
              <w:rPr>
                <w:noProof/>
                <w:webHidden/>
              </w:rPr>
            </w:r>
            <w:r>
              <w:rPr>
                <w:noProof/>
                <w:webHidden/>
              </w:rPr>
              <w:fldChar w:fldCharType="separate"/>
            </w:r>
            <w:r>
              <w:rPr>
                <w:noProof/>
                <w:webHidden/>
              </w:rPr>
              <w:t>3</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80" w:history="1">
            <w:r>
              <w:rPr>
                <w:rStyle w:val="Lienhypertexte"/>
                <w:rFonts w:ascii="Marianne" w:hAnsi="Marianne"/>
                <w:noProof/>
              </w:rPr>
              <w:t>1. Synthèse de l’offre</w:t>
            </w:r>
            <w:r>
              <w:rPr>
                <w:noProof/>
                <w:webHidden/>
              </w:rPr>
              <w:tab/>
            </w:r>
            <w:r>
              <w:rPr>
                <w:noProof/>
                <w:webHidden/>
              </w:rPr>
              <w:fldChar w:fldCharType="begin"/>
            </w:r>
            <w:r>
              <w:rPr>
                <w:noProof/>
                <w:webHidden/>
              </w:rPr>
              <w:instrText xml:space="preserve"> PAGEREF _Toc219207380 \h </w:instrText>
            </w:r>
            <w:r>
              <w:rPr>
                <w:noProof/>
                <w:webHidden/>
              </w:rPr>
            </w:r>
            <w:r>
              <w:rPr>
                <w:noProof/>
                <w:webHidden/>
              </w:rPr>
              <w:fldChar w:fldCharType="separate"/>
            </w:r>
            <w:r>
              <w:rPr>
                <w:noProof/>
                <w:webHidden/>
              </w:rPr>
              <w:t>4</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81" w:history="1">
            <w:r>
              <w:rPr>
                <w:rStyle w:val="Lienhypertexte"/>
                <w:rFonts w:ascii="Marianne" w:hAnsi="Marianne"/>
                <w:noProof/>
              </w:rPr>
              <w:t>2. Démarche générale de conduite de projet</w:t>
            </w:r>
            <w:r>
              <w:rPr>
                <w:noProof/>
                <w:webHidden/>
              </w:rPr>
              <w:tab/>
            </w:r>
            <w:r>
              <w:rPr>
                <w:noProof/>
                <w:webHidden/>
              </w:rPr>
              <w:fldChar w:fldCharType="begin"/>
            </w:r>
            <w:r>
              <w:rPr>
                <w:noProof/>
                <w:webHidden/>
              </w:rPr>
              <w:instrText xml:space="preserve"> PAGEREF _Toc219207381 \h </w:instrText>
            </w:r>
            <w:r>
              <w:rPr>
                <w:noProof/>
                <w:webHidden/>
              </w:rPr>
            </w:r>
            <w:r>
              <w:rPr>
                <w:noProof/>
                <w:webHidden/>
              </w:rPr>
              <w:fldChar w:fldCharType="separate"/>
            </w:r>
            <w:r>
              <w:rPr>
                <w:noProof/>
                <w:webHidden/>
              </w:rPr>
              <w:t>5</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82" w:history="1">
            <w:r>
              <w:rPr>
                <w:rStyle w:val="Lienhypertexte"/>
                <w:rFonts w:ascii="Marianne" w:hAnsi="Marianne"/>
                <w:noProof/>
                <w:lang w:eastAsia="fr-FR"/>
              </w:rPr>
              <w:t>3. Profils et mode de gestion de l’équipe</w:t>
            </w:r>
            <w:r>
              <w:rPr>
                <w:noProof/>
                <w:webHidden/>
              </w:rPr>
              <w:tab/>
            </w:r>
            <w:r>
              <w:rPr>
                <w:noProof/>
                <w:webHidden/>
              </w:rPr>
              <w:fldChar w:fldCharType="begin"/>
            </w:r>
            <w:r>
              <w:rPr>
                <w:noProof/>
                <w:webHidden/>
              </w:rPr>
              <w:instrText xml:space="preserve"> PAGEREF _Toc219207382 \h </w:instrText>
            </w:r>
            <w:r>
              <w:rPr>
                <w:noProof/>
                <w:webHidden/>
              </w:rPr>
            </w:r>
            <w:r>
              <w:rPr>
                <w:noProof/>
                <w:webHidden/>
              </w:rPr>
              <w:fldChar w:fldCharType="separate"/>
            </w:r>
            <w:r>
              <w:rPr>
                <w:noProof/>
                <w:webHidden/>
              </w:rPr>
              <w:t>6</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83" w:history="1">
            <w:r>
              <w:rPr>
                <w:rStyle w:val="Lienhypertexte"/>
                <w:rFonts w:ascii="Marianne" w:hAnsi="Marianne"/>
                <w:noProof/>
                <w:lang w:eastAsia="fr-FR"/>
              </w:rPr>
              <w:t>4. Description des prestations</w:t>
            </w:r>
            <w:r>
              <w:rPr>
                <w:noProof/>
                <w:webHidden/>
              </w:rPr>
              <w:tab/>
            </w:r>
            <w:r>
              <w:rPr>
                <w:noProof/>
                <w:webHidden/>
              </w:rPr>
              <w:fldChar w:fldCharType="begin"/>
            </w:r>
            <w:r>
              <w:rPr>
                <w:noProof/>
                <w:webHidden/>
              </w:rPr>
              <w:instrText xml:space="preserve"> PAGEREF _Toc219207383 \h </w:instrText>
            </w:r>
            <w:r>
              <w:rPr>
                <w:noProof/>
                <w:webHidden/>
              </w:rPr>
            </w:r>
            <w:r>
              <w:rPr>
                <w:noProof/>
                <w:webHidden/>
              </w:rPr>
              <w:fldChar w:fldCharType="separate"/>
            </w:r>
            <w:r>
              <w:rPr>
                <w:noProof/>
                <w:webHidden/>
              </w:rPr>
              <w:t>7</w:t>
            </w:r>
            <w:r>
              <w:rPr>
                <w:noProof/>
                <w:webHidden/>
              </w:rPr>
              <w:fldChar w:fldCharType="end"/>
            </w:r>
          </w:hyperlink>
        </w:p>
        <w:p>
          <w:pPr>
            <w:pStyle w:val="TM2"/>
            <w:tabs>
              <w:tab w:val="right" w:leader="dot" w:pos="9062"/>
            </w:tabs>
            <w:rPr>
              <w:rFonts w:asciiTheme="minorHAnsi" w:eastAsiaTheme="minorEastAsia" w:hAnsiTheme="minorHAnsi" w:cstheme="minorBidi"/>
              <w:noProof/>
              <w:sz w:val="22"/>
              <w:szCs w:val="22"/>
              <w:lang w:eastAsia="fr-FR"/>
            </w:rPr>
          </w:pPr>
          <w:hyperlink w:anchor="_Toc219207384" w:history="1">
            <w:r>
              <w:rPr>
                <w:rStyle w:val="Lienhypertexte"/>
                <w:noProof/>
              </w:rPr>
              <w:t>Prestation n°1 - Initialisation du marché et lancement des travaux – organisation des prestations</w:t>
            </w:r>
            <w:r>
              <w:rPr>
                <w:noProof/>
                <w:webHidden/>
              </w:rPr>
              <w:tab/>
            </w:r>
            <w:r>
              <w:rPr>
                <w:noProof/>
                <w:webHidden/>
              </w:rPr>
              <w:fldChar w:fldCharType="begin"/>
            </w:r>
            <w:r>
              <w:rPr>
                <w:noProof/>
                <w:webHidden/>
              </w:rPr>
              <w:instrText xml:space="preserve"> PAGEREF _Toc219207384 \h </w:instrText>
            </w:r>
            <w:r>
              <w:rPr>
                <w:noProof/>
                <w:webHidden/>
              </w:rPr>
            </w:r>
            <w:r>
              <w:rPr>
                <w:noProof/>
                <w:webHidden/>
              </w:rPr>
              <w:fldChar w:fldCharType="separate"/>
            </w:r>
            <w:r>
              <w:rPr>
                <w:noProof/>
                <w:webHidden/>
              </w:rPr>
              <w:t>7</w:t>
            </w:r>
            <w:r>
              <w:rPr>
                <w:noProof/>
                <w:webHidden/>
              </w:rPr>
              <w:fldChar w:fldCharType="end"/>
            </w:r>
          </w:hyperlink>
        </w:p>
        <w:p>
          <w:pPr>
            <w:pStyle w:val="TM2"/>
            <w:tabs>
              <w:tab w:val="right" w:leader="dot" w:pos="9062"/>
            </w:tabs>
            <w:rPr>
              <w:rFonts w:asciiTheme="minorHAnsi" w:eastAsiaTheme="minorEastAsia" w:hAnsiTheme="minorHAnsi" w:cstheme="minorBidi"/>
              <w:noProof/>
              <w:sz w:val="22"/>
              <w:szCs w:val="22"/>
              <w:lang w:eastAsia="fr-FR"/>
            </w:rPr>
          </w:pPr>
          <w:hyperlink w:anchor="_Toc219207385" w:history="1">
            <w:r>
              <w:rPr>
                <w:rStyle w:val="Lienhypertexte"/>
                <w:noProof/>
              </w:rPr>
              <w:t>Prestation n°2 - tierce maintenance applicative sur l’ensemble des composants du marché</w:t>
            </w:r>
            <w:r>
              <w:rPr>
                <w:noProof/>
                <w:webHidden/>
              </w:rPr>
              <w:tab/>
            </w:r>
            <w:r>
              <w:rPr>
                <w:noProof/>
                <w:webHidden/>
              </w:rPr>
              <w:fldChar w:fldCharType="begin"/>
            </w:r>
            <w:r>
              <w:rPr>
                <w:noProof/>
                <w:webHidden/>
              </w:rPr>
              <w:instrText xml:space="preserve"> PAGEREF _Toc219207385 \h </w:instrText>
            </w:r>
            <w:r>
              <w:rPr>
                <w:noProof/>
                <w:webHidden/>
              </w:rPr>
            </w:r>
            <w:r>
              <w:rPr>
                <w:noProof/>
                <w:webHidden/>
              </w:rPr>
              <w:fldChar w:fldCharType="separate"/>
            </w:r>
            <w:r>
              <w:rPr>
                <w:noProof/>
                <w:webHidden/>
              </w:rPr>
              <w:t>7</w:t>
            </w:r>
            <w:r>
              <w:rPr>
                <w:noProof/>
                <w:webHidden/>
              </w:rPr>
              <w:fldChar w:fldCharType="end"/>
            </w:r>
          </w:hyperlink>
        </w:p>
        <w:p>
          <w:pPr>
            <w:pStyle w:val="TM2"/>
            <w:tabs>
              <w:tab w:val="right" w:leader="dot" w:pos="9062"/>
            </w:tabs>
            <w:rPr>
              <w:rFonts w:asciiTheme="minorHAnsi" w:eastAsiaTheme="minorEastAsia" w:hAnsiTheme="minorHAnsi" w:cstheme="minorBidi"/>
              <w:noProof/>
              <w:sz w:val="22"/>
              <w:szCs w:val="22"/>
              <w:lang w:eastAsia="fr-FR"/>
            </w:rPr>
          </w:pPr>
          <w:hyperlink w:anchor="_Toc219207386" w:history="1">
            <w:r>
              <w:rPr>
                <w:rStyle w:val="Lienhypertexte"/>
                <w:noProof/>
              </w:rPr>
              <w:t>Prestation n°3 - évolutions et adaptations du CTDSN</w:t>
            </w:r>
            <w:r>
              <w:rPr>
                <w:noProof/>
                <w:webHidden/>
              </w:rPr>
              <w:tab/>
            </w:r>
            <w:r>
              <w:rPr>
                <w:noProof/>
                <w:webHidden/>
              </w:rPr>
              <w:fldChar w:fldCharType="begin"/>
            </w:r>
            <w:r>
              <w:rPr>
                <w:noProof/>
                <w:webHidden/>
              </w:rPr>
              <w:instrText xml:space="preserve"> PAGEREF _Toc219207386 \h </w:instrText>
            </w:r>
            <w:r>
              <w:rPr>
                <w:noProof/>
                <w:webHidden/>
              </w:rPr>
            </w:r>
            <w:r>
              <w:rPr>
                <w:noProof/>
                <w:webHidden/>
              </w:rPr>
              <w:fldChar w:fldCharType="separate"/>
            </w:r>
            <w:r>
              <w:rPr>
                <w:noProof/>
                <w:webHidden/>
              </w:rPr>
              <w:t>7</w:t>
            </w:r>
            <w:r>
              <w:rPr>
                <w:noProof/>
                <w:webHidden/>
              </w:rPr>
              <w:fldChar w:fldCharType="end"/>
            </w:r>
          </w:hyperlink>
        </w:p>
        <w:p>
          <w:pPr>
            <w:pStyle w:val="TM2"/>
            <w:tabs>
              <w:tab w:val="right" w:leader="dot" w:pos="9062"/>
            </w:tabs>
            <w:rPr>
              <w:rFonts w:asciiTheme="minorHAnsi" w:eastAsiaTheme="minorEastAsia" w:hAnsiTheme="minorHAnsi" w:cstheme="minorBidi"/>
              <w:noProof/>
              <w:sz w:val="22"/>
              <w:szCs w:val="22"/>
              <w:lang w:eastAsia="fr-FR"/>
            </w:rPr>
          </w:pPr>
          <w:hyperlink w:anchor="_Toc219207387" w:history="1">
            <w:r>
              <w:rPr>
                <w:rStyle w:val="Lienhypertexte"/>
                <w:noProof/>
              </w:rPr>
              <w:t>Prestation n°4 - Conseil et expertise</w:t>
            </w:r>
            <w:r>
              <w:rPr>
                <w:noProof/>
                <w:webHidden/>
              </w:rPr>
              <w:tab/>
            </w:r>
            <w:r>
              <w:rPr>
                <w:noProof/>
                <w:webHidden/>
              </w:rPr>
              <w:fldChar w:fldCharType="begin"/>
            </w:r>
            <w:r>
              <w:rPr>
                <w:noProof/>
                <w:webHidden/>
              </w:rPr>
              <w:instrText xml:space="preserve"> PAGEREF _Toc219207387 \h </w:instrText>
            </w:r>
            <w:r>
              <w:rPr>
                <w:noProof/>
                <w:webHidden/>
              </w:rPr>
            </w:r>
            <w:r>
              <w:rPr>
                <w:noProof/>
                <w:webHidden/>
              </w:rPr>
              <w:fldChar w:fldCharType="separate"/>
            </w:r>
            <w:r>
              <w:rPr>
                <w:noProof/>
                <w:webHidden/>
              </w:rPr>
              <w:t>7</w:t>
            </w:r>
            <w:r>
              <w:rPr>
                <w:noProof/>
                <w:webHidden/>
              </w:rPr>
              <w:fldChar w:fldCharType="end"/>
            </w:r>
          </w:hyperlink>
        </w:p>
        <w:p>
          <w:pPr>
            <w:pStyle w:val="TM2"/>
            <w:tabs>
              <w:tab w:val="right" w:leader="dot" w:pos="9062"/>
            </w:tabs>
            <w:rPr>
              <w:rFonts w:asciiTheme="minorHAnsi" w:eastAsiaTheme="minorEastAsia" w:hAnsiTheme="minorHAnsi" w:cstheme="minorBidi"/>
              <w:noProof/>
              <w:sz w:val="22"/>
              <w:szCs w:val="22"/>
              <w:lang w:eastAsia="fr-FR"/>
            </w:rPr>
          </w:pPr>
          <w:hyperlink w:anchor="_Toc219207388" w:history="1">
            <w:r>
              <w:rPr>
                <w:rStyle w:val="Lienhypertexte"/>
                <w:noProof/>
              </w:rPr>
              <w:t>Prestation 5 - Réversibilité</w:t>
            </w:r>
            <w:r>
              <w:rPr>
                <w:noProof/>
                <w:webHidden/>
              </w:rPr>
              <w:tab/>
            </w:r>
            <w:r>
              <w:rPr>
                <w:noProof/>
                <w:webHidden/>
              </w:rPr>
              <w:fldChar w:fldCharType="begin"/>
            </w:r>
            <w:r>
              <w:rPr>
                <w:noProof/>
                <w:webHidden/>
              </w:rPr>
              <w:instrText xml:space="preserve"> PAGEREF _Toc219207388 \h </w:instrText>
            </w:r>
            <w:r>
              <w:rPr>
                <w:noProof/>
                <w:webHidden/>
              </w:rPr>
            </w:r>
            <w:r>
              <w:rPr>
                <w:noProof/>
                <w:webHidden/>
              </w:rPr>
              <w:fldChar w:fldCharType="separate"/>
            </w:r>
            <w:r>
              <w:rPr>
                <w:noProof/>
                <w:webHidden/>
              </w:rPr>
              <w:t>8</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89" w:history="1">
            <w:r>
              <w:rPr>
                <w:rStyle w:val="Lienhypertexte"/>
                <w:rFonts w:ascii="Marianne" w:hAnsi="Marianne"/>
                <w:noProof/>
                <w:lang w:eastAsia="fr-FR"/>
              </w:rPr>
              <w:t>5. Cas pratique</w:t>
            </w:r>
            <w:r>
              <w:rPr>
                <w:noProof/>
                <w:webHidden/>
              </w:rPr>
              <w:tab/>
            </w:r>
            <w:r>
              <w:rPr>
                <w:noProof/>
                <w:webHidden/>
              </w:rPr>
              <w:fldChar w:fldCharType="begin"/>
            </w:r>
            <w:r>
              <w:rPr>
                <w:noProof/>
                <w:webHidden/>
              </w:rPr>
              <w:instrText xml:space="preserve"> PAGEREF _Toc219207389 \h </w:instrText>
            </w:r>
            <w:r>
              <w:rPr>
                <w:noProof/>
                <w:webHidden/>
              </w:rPr>
            </w:r>
            <w:r>
              <w:rPr>
                <w:noProof/>
                <w:webHidden/>
              </w:rPr>
              <w:fldChar w:fldCharType="separate"/>
            </w:r>
            <w:r>
              <w:rPr>
                <w:noProof/>
                <w:webHidden/>
              </w:rPr>
              <w:t>9</w:t>
            </w:r>
            <w:r>
              <w:rPr>
                <w:noProof/>
                <w:webHidden/>
              </w:rPr>
              <w:fldChar w:fldCharType="end"/>
            </w:r>
          </w:hyperlink>
        </w:p>
        <w:p>
          <w:pPr>
            <w:pStyle w:val="TM1"/>
            <w:tabs>
              <w:tab w:val="right" w:leader="dot" w:pos="9062"/>
            </w:tabs>
            <w:rPr>
              <w:rFonts w:asciiTheme="minorHAnsi" w:eastAsiaTheme="minorEastAsia" w:hAnsiTheme="minorHAnsi" w:cstheme="minorBidi"/>
              <w:noProof/>
              <w:sz w:val="22"/>
              <w:szCs w:val="22"/>
              <w:lang w:eastAsia="fr-FR"/>
            </w:rPr>
          </w:pPr>
          <w:hyperlink w:anchor="_Toc219207390" w:history="1">
            <w:r>
              <w:rPr>
                <w:rStyle w:val="Lienhypertexte"/>
                <w:rFonts w:ascii="Marianne" w:hAnsi="Marianne"/>
                <w:noProof/>
              </w:rPr>
              <w:t>6. Gestion des déplacements des consultants</w:t>
            </w:r>
            <w:r>
              <w:rPr>
                <w:noProof/>
                <w:webHidden/>
              </w:rPr>
              <w:tab/>
            </w:r>
            <w:r>
              <w:rPr>
                <w:noProof/>
                <w:webHidden/>
              </w:rPr>
              <w:fldChar w:fldCharType="begin"/>
            </w:r>
            <w:r>
              <w:rPr>
                <w:noProof/>
                <w:webHidden/>
              </w:rPr>
              <w:instrText xml:space="preserve"> PAGEREF _Toc219207390 \h </w:instrText>
            </w:r>
            <w:r>
              <w:rPr>
                <w:noProof/>
                <w:webHidden/>
              </w:rPr>
            </w:r>
            <w:r>
              <w:rPr>
                <w:noProof/>
                <w:webHidden/>
              </w:rPr>
              <w:fldChar w:fldCharType="separate"/>
            </w:r>
            <w:r>
              <w:rPr>
                <w:noProof/>
                <w:webHidden/>
              </w:rPr>
              <w:t>10</w:t>
            </w:r>
            <w:r>
              <w:rPr>
                <w:noProof/>
                <w:webHidden/>
              </w:rPr>
              <w:fldChar w:fldCharType="end"/>
            </w:r>
          </w:hyperlink>
        </w:p>
        <w:p>
          <w:r>
            <w:rPr>
              <w:b/>
              <w:bCs/>
            </w:rPr>
            <w:fldChar w:fldCharType="end"/>
          </w:r>
        </w:p>
      </w:sdtContent>
    </w:sdt>
    <w:p>
      <w:pPr>
        <w:suppressAutoHyphens w:val="0"/>
        <w:spacing w:before="0" w:after="160" w:line="259" w:lineRule="auto"/>
        <w:jc w:val="left"/>
      </w:pPr>
    </w:p>
    <w:p>
      <w:pPr>
        <w:suppressAutoHyphens w:val="0"/>
        <w:spacing w:before="0" w:after="160" w:line="259" w:lineRule="auto"/>
        <w:jc w:val="left"/>
      </w:pPr>
    </w:p>
    <w:p>
      <w:pPr>
        <w:suppressAutoHyphens w:val="0"/>
        <w:spacing w:before="0" w:after="160" w:line="259" w:lineRule="auto"/>
        <w:jc w:val="left"/>
      </w:pPr>
      <w:r>
        <w:br w:type="page"/>
      </w:r>
    </w:p>
    <w:p>
      <w:pPr>
        <w:pStyle w:val="Titre1"/>
        <w:rPr>
          <w:rFonts w:ascii="Marianne" w:hAnsi="Marianne"/>
        </w:rPr>
      </w:pPr>
      <w:bookmarkStart w:id="1" w:name="_Toc219207379"/>
      <w:r>
        <w:rPr>
          <w:rFonts w:ascii="Marianne" w:hAnsi="Marianne"/>
        </w:rPr>
        <w:lastRenderedPageBreak/>
        <w:t>Cadre de réponse technique</w:t>
      </w:r>
      <w:bookmarkEnd w:id="1"/>
    </w:p>
    <w:p>
      <w:pPr>
        <w:suppressAutoHyphens w:val="0"/>
        <w:spacing w:before="0" w:after="160" w:line="259" w:lineRule="auto"/>
        <w:rPr>
          <w:rFonts w:ascii="Marianne" w:hAnsi="Marianne"/>
        </w:rPr>
      </w:pPr>
    </w:p>
    <w:p>
      <w:pPr>
        <w:suppressAutoHyphens w:val="0"/>
        <w:spacing w:before="0" w:after="160" w:line="259" w:lineRule="auto"/>
        <w:rPr>
          <w:rFonts w:ascii="Marianne" w:hAnsi="Marianne"/>
        </w:rPr>
      </w:pPr>
      <w:r>
        <w:rPr>
          <w:rFonts w:ascii="Marianne" w:hAnsi="Marianne"/>
        </w:rPr>
        <w:t xml:space="preserve">Pour la présentation de sa proposition technique et dans le but d’en assurer une meilleure lisibilité, il est exigé du candidat qu’il utilise le présent cadre de réponse sans apporter de modification à sa structure. </w:t>
      </w:r>
    </w:p>
    <w:p>
      <w:pPr>
        <w:suppressAutoHyphens w:val="0"/>
        <w:spacing w:before="0" w:after="160" w:line="259" w:lineRule="auto"/>
        <w:rPr>
          <w:rFonts w:ascii="Marianne" w:hAnsi="Marianne"/>
        </w:rPr>
      </w:pPr>
      <w:r>
        <w:rPr>
          <w:rFonts w:ascii="Marianne" w:hAnsi="Marianne"/>
        </w:rPr>
        <w:t xml:space="preserve">Le candidat peut y joindre </w:t>
      </w:r>
      <w:r>
        <w:rPr>
          <w:rFonts w:ascii="Marianne" w:hAnsi="Marianne"/>
          <w:b/>
          <w:color w:val="0070C0"/>
        </w:rPr>
        <w:t>en annexe</w:t>
      </w:r>
      <w:r>
        <w:rPr>
          <w:rFonts w:ascii="Marianne" w:hAnsi="Marianne"/>
          <w:color w:val="0070C0"/>
        </w:rPr>
        <w:t xml:space="preserve"> </w:t>
      </w:r>
      <w:r>
        <w:rPr>
          <w:rFonts w:ascii="Marianne" w:hAnsi="Marianne"/>
        </w:rPr>
        <w:t>tout document qu’il estime propre à permettre une meilleure appréciation des renseignements fournis dans le présent cadre de réponse.</w:t>
      </w:r>
    </w:p>
    <w:p>
      <w:pPr>
        <w:suppressAutoHyphens w:val="0"/>
        <w:spacing w:before="0" w:after="160" w:line="259" w:lineRule="auto"/>
        <w:rPr>
          <w:rFonts w:ascii="Marianne" w:hAnsi="Marianne"/>
        </w:rPr>
      </w:pPr>
    </w:p>
    <w:p>
      <w:pPr>
        <w:suppressAutoHyphens w:val="0"/>
        <w:spacing w:before="0" w:after="160" w:line="259" w:lineRule="auto"/>
        <w:jc w:val="left"/>
      </w:pPr>
      <w:r>
        <w:br w:type="page"/>
      </w:r>
    </w:p>
    <w:p>
      <w:pPr>
        <w:pStyle w:val="Titre1"/>
        <w:rPr>
          <w:rFonts w:ascii="Marianne" w:hAnsi="Marianne"/>
        </w:rPr>
      </w:pPr>
      <w:bookmarkStart w:id="2" w:name="_Toc19714500"/>
      <w:bookmarkStart w:id="3" w:name="_Toc219207380"/>
      <w:r>
        <w:rPr>
          <w:rFonts w:ascii="Marianne" w:hAnsi="Marianne"/>
        </w:rPr>
        <w:lastRenderedPageBreak/>
        <w:t>1. Synthèse de l’offre</w:t>
      </w:r>
      <w:bookmarkEnd w:id="2"/>
      <w:bookmarkEnd w:id="3"/>
    </w:p>
    <w:p>
      <w:pPr>
        <w:rPr>
          <w:rFonts w:ascii="Marianne" w:hAnsi="Marianne"/>
        </w:rPr>
      </w:pPr>
    </w:p>
    <w:p>
      <w:pPr>
        <w:rPr>
          <w:rFonts w:ascii="Marianne" w:hAnsi="Marianne"/>
        </w:rPr>
      </w:pPr>
      <w:r>
        <w:rPr>
          <w:rFonts w:ascii="Marianne" w:hAnsi="Marianne"/>
        </w:rPr>
        <w:t>Le candidat introduit sa proposition par une synthèse mettant notamment en avant son approche des enjeux de l’accord-cadre ainsi que les éléments différenciateurs de son offre.</w:t>
      </w:r>
    </w:p>
    <w:p>
      <w:pPr>
        <w:rPr>
          <w:rFonts w:ascii="Marianne" w:hAnsi="Marianne"/>
        </w:rPr>
      </w:pPr>
      <w:r>
        <w:rPr>
          <w:rFonts w:ascii="Marianne" w:hAnsi="Marianne"/>
        </w:rPr>
        <w:t>Le candidat décrit les principes directeurs de son offre et ses engagements.</w:t>
      </w:r>
    </w:p>
    <w:p>
      <w:pPr>
        <w:rPr>
          <w:rFonts w:ascii="Marianne" w:hAnsi="Marianne"/>
        </w:rPr>
      </w:pPr>
      <w:r>
        <w:rPr>
          <w:rFonts w:ascii="Marianne" w:hAnsi="Marianne"/>
        </w:rPr>
        <w:t>Le candidat présente les apports de son offre en termes de maitrise des délais, des risques et de la qualité de ses prestations et de ses livrables.</w:t>
      </w:r>
    </w:p>
    <w:p>
      <w:pPr>
        <w:rPr>
          <w:rFonts w:ascii="Marianne" w:hAnsi="Marianne"/>
          <w:b/>
          <w:color w:val="0070C0"/>
        </w:rPr>
      </w:pPr>
      <w:r>
        <w:rPr>
          <w:rFonts w:ascii="Marianne" w:hAnsi="Marianne"/>
          <w:b/>
          <w:color w:val="0070C0"/>
        </w:rPr>
        <w:t>Le candidat limite à 10 pages la synthèse de son offre.</w:t>
      </w:r>
    </w:p>
    <w:p>
      <w:pPr>
        <w:suppressAutoHyphens w:val="0"/>
        <w:spacing w:before="0" w:after="160" w:line="259" w:lineRule="auto"/>
        <w:rPr>
          <w:rFonts w:ascii="Marianne" w:hAnsi="Marianne"/>
        </w:rPr>
      </w:pPr>
    </w:p>
    <w:p>
      <w:pPr>
        <w:suppressAutoHyphens w:val="0"/>
        <w:spacing w:before="0" w:after="160" w:line="259" w:lineRule="auto"/>
        <w:jc w:val="left"/>
      </w:pPr>
      <w:r>
        <w:br w:type="page"/>
      </w:r>
    </w:p>
    <w:p>
      <w:pPr>
        <w:pStyle w:val="Titre1"/>
        <w:rPr>
          <w:rFonts w:ascii="Marianne" w:hAnsi="Marianne"/>
        </w:rPr>
      </w:pPr>
      <w:bookmarkStart w:id="4" w:name="_Toc219207381"/>
      <w:r>
        <w:rPr>
          <w:rFonts w:ascii="Marianne" w:hAnsi="Marianne"/>
        </w:rPr>
        <w:lastRenderedPageBreak/>
        <w:t>2. Démarche générale de conduite de projet</w:t>
      </w:r>
      <w:bookmarkEnd w:id="4"/>
    </w:p>
    <w:p>
      <w:pPr>
        <w:suppressAutoHyphens w:val="0"/>
        <w:spacing w:before="0" w:after="160" w:line="259" w:lineRule="auto"/>
        <w:rPr>
          <w:rFonts w:ascii="Marianne" w:hAnsi="Marianne"/>
        </w:rPr>
      </w:pPr>
    </w:p>
    <w:p>
      <w:pPr>
        <w:rPr>
          <w:rFonts w:ascii="Marianne" w:hAnsi="Marianne"/>
        </w:rPr>
      </w:pPr>
      <w:r>
        <w:rPr>
          <w:rFonts w:ascii="Marianne" w:hAnsi="Marianne"/>
        </w:rPr>
        <w:t xml:space="preserve">Le CCTP expose un certain nombre d’exigences et contraintes. Le candidat doit donc décrire les moyens et les méthodes proposés pour répondre aux exigences des CCTP pour chacune des prestations qu’il prévoit. </w:t>
      </w:r>
    </w:p>
    <w:p>
      <w:pPr>
        <w:rPr>
          <w:rFonts w:ascii="Marianne" w:hAnsi="Marianne"/>
        </w:rPr>
      </w:pPr>
      <w:r>
        <w:rPr>
          <w:rFonts w:ascii="Marianne" w:hAnsi="Marianne"/>
        </w:rPr>
        <w:t>Le candidat doit donc exposer de quelle manière il organisera son dispositif de recette, ainsi que les dispositions d’assurance et de contrôle qualité qu’il mettra en place.</w:t>
      </w:r>
    </w:p>
    <w:p>
      <w:pPr>
        <w:rPr>
          <w:rFonts w:ascii="Marianne" w:hAnsi="Marianne"/>
        </w:rPr>
      </w:pPr>
      <w:r>
        <w:rPr>
          <w:rFonts w:ascii="Marianne" w:hAnsi="Marianne"/>
        </w:rPr>
        <w:t xml:space="preserve">La description du candidat doit démontrer la </w:t>
      </w:r>
      <w:r>
        <w:rPr>
          <w:rFonts w:ascii="Marianne" w:hAnsi="Marianne"/>
          <w:spacing w:val="-2"/>
        </w:rPr>
        <w:t>q</w:t>
      </w:r>
      <w:r>
        <w:rPr>
          <w:rFonts w:ascii="Marianne" w:hAnsi="Marianne"/>
        </w:rPr>
        <w:t>u</w:t>
      </w:r>
      <w:r>
        <w:rPr>
          <w:rFonts w:ascii="Marianne" w:hAnsi="Marianne"/>
          <w:spacing w:val="1"/>
        </w:rPr>
        <w:t>a</w:t>
      </w:r>
      <w:r>
        <w:rPr>
          <w:rFonts w:ascii="Marianne" w:hAnsi="Marianne"/>
          <w:spacing w:val="-5"/>
        </w:rPr>
        <w:t>l</w:t>
      </w:r>
      <w:r>
        <w:rPr>
          <w:rFonts w:ascii="Marianne" w:hAnsi="Marianne"/>
        </w:rPr>
        <w:t>i</w:t>
      </w:r>
      <w:r>
        <w:rPr>
          <w:rFonts w:ascii="Marianne" w:hAnsi="Marianne"/>
          <w:spacing w:val="2"/>
        </w:rPr>
        <w:t>t</w:t>
      </w:r>
      <w:r>
        <w:rPr>
          <w:rFonts w:ascii="Marianne" w:hAnsi="Marianne"/>
        </w:rPr>
        <w:t>é</w:t>
      </w:r>
      <w:r>
        <w:rPr>
          <w:rFonts w:ascii="Marianne" w:hAnsi="Marianne"/>
          <w:spacing w:val="9"/>
        </w:rPr>
        <w:t xml:space="preserve"> </w:t>
      </w:r>
      <w:r>
        <w:rPr>
          <w:rFonts w:ascii="Marianne" w:hAnsi="Marianne"/>
          <w:spacing w:val="-2"/>
        </w:rPr>
        <w:t>e</w:t>
      </w:r>
      <w:r>
        <w:rPr>
          <w:rFonts w:ascii="Marianne" w:hAnsi="Marianne"/>
        </w:rPr>
        <w:t>t</w:t>
      </w:r>
      <w:r>
        <w:rPr>
          <w:rFonts w:ascii="Marianne" w:hAnsi="Marianne"/>
          <w:spacing w:val="12"/>
        </w:rPr>
        <w:t xml:space="preserve"> </w:t>
      </w:r>
      <w:r>
        <w:rPr>
          <w:rFonts w:ascii="Marianne" w:hAnsi="Marianne"/>
        </w:rPr>
        <w:t>la</w:t>
      </w:r>
      <w:r>
        <w:rPr>
          <w:rFonts w:ascii="Marianne" w:hAnsi="Marianne"/>
          <w:spacing w:val="9"/>
        </w:rPr>
        <w:t xml:space="preserve"> </w:t>
      </w:r>
      <w:r>
        <w:rPr>
          <w:rFonts w:ascii="Marianne" w:hAnsi="Marianne"/>
          <w:spacing w:val="1"/>
        </w:rPr>
        <w:t>c</w:t>
      </w:r>
      <w:r>
        <w:rPr>
          <w:rFonts w:ascii="Marianne" w:hAnsi="Marianne"/>
        </w:rPr>
        <w:t>ohé</w:t>
      </w:r>
      <w:r>
        <w:rPr>
          <w:rFonts w:ascii="Marianne" w:hAnsi="Marianne"/>
          <w:spacing w:val="1"/>
        </w:rPr>
        <w:t>re</w:t>
      </w:r>
      <w:r>
        <w:rPr>
          <w:rFonts w:ascii="Marianne" w:hAnsi="Marianne"/>
          <w:spacing w:val="-2"/>
        </w:rPr>
        <w:t>n</w:t>
      </w:r>
      <w:r>
        <w:rPr>
          <w:rFonts w:ascii="Marianne" w:hAnsi="Marianne"/>
          <w:spacing w:val="1"/>
        </w:rPr>
        <w:t>c</w:t>
      </w:r>
      <w:r>
        <w:rPr>
          <w:rFonts w:ascii="Marianne" w:hAnsi="Marianne"/>
        </w:rPr>
        <w:t>e</w:t>
      </w:r>
      <w:r>
        <w:rPr>
          <w:rFonts w:ascii="Marianne" w:hAnsi="Marianne"/>
          <w:spacing w:val="9"/>
        </w:rPr>
        <w:t xml:space="preserve"> </w:t>
      </w:r>
      <w:r>
        <w:rPr>
          <w:rFonts w:ascii="Marianne" w:hAnsi="Marianne"/>
          <w:spacing w:val="-2"/>
        </w:rPr>
        <w:t>d</w:t>
      </w:r>
      <w:r>
        <w:rPr>
          <w:rFonts w:ascii="Marianne" w:hAnsi="Marianne"/>
        </w:rPr>
        <w:t>e</w:t>
      </w:r>
      <w:r>
        <w:rPr>
          <w:rFonts w:ascii="Marianne" w:hAnsi="Marianne"/>
          <w:spacing w:val="14"/>
        </w:rPr>
        <w:t xml:space="preserve"> </w:t>
      </w:r>
      <w:r>
        <w:rPr>
          <w:rFonts w:ascii="Marianne" w:hAnsi="Marianne"/>
          <w:spacing w:val="1"/>
        </w:rPr>
        <w:t>l</w:t>
      </w:r>
      <w:r>
        <w:rPr>
          <w:rFonts w:ascii="Marianne" w:hAnsi="Marianne"/>
        </w:rPr>
        <w:t>a</w:t>
      </w:r>
      <w:r>
        <w:rPr>
          <w:rFonts w:ascii="Marianne" w:hAnsi="Marianne"/>
          <w:spacing w:val="9"/>
        </w:rPr>
        <w:t xml:space="preserve"> </w:t>
      </w:r>
      <w:r>
        <w:rPr>
          <w:rFonts w:ascii="Marianne" w:hAnsi="Marianne"/>
        </w:rPr>
        <w:t>d</w:t>
      </w:r>
      <w:r>
        <w:rPr>
          <w:rFonts w:ascii="Marianne" w:hAnsi="Marianne"/>
          <w:spacing w:val="-2"/>
        </w:rPr>
        <w:t>é</w:t>
      </w:r>
      <w:r>
        <w:rPr>
          <w:rFonts w:ascii="Marianne" w:hAnsi="Marianne"/>
          <w:spacing w:val="5"/>
        </w:rPr>
        <w:t>m</w:t>
      </w:r>
      <w:r>
        <w:rPr>
          <w:rFonts w:ascii="Marianne" w:hAnsi="Marianne"/>
          <w:spacing w:val="-2"/>
        </w:rPr>
        <w:t>a</w:t>
      </w:r>
      <w:r>
        <w:rPr>
          <w:rFonts w:ascii="Marianne" w:hAnsi="Marianne"/>
          <w:spacing w:val="1"/>
        </w:rPr>
        <w:t>rc</w:t>
      </w:r>
      <w:r>
        <w:rPr>
          <w:rFonts w:ascii="Marianne" w:hAnsi="Marianne"/>
          <w:spacing w:val="-2"/>
        </w:rPr>
        <w:t>h</w:t>
      </w:r>
      <w:r>
        <w:rPr>
          <w:rFonts w:ascii="Marianne" w:hAnsi="Marianne"/>
        </w:rPr>
        <w:t>e</w:t>
      </w:r>
      <w:r>
        <w:rPr>
          <w:rFonts w:ascii="Marianne" w:hAnsi="Marianne"/>
          <w:spacing w:val="10"/>
        </w:rPr>
        <w:t xml:space="preserve"> </w:t>
      </w:r>
      <w:r>
        <w:rPr>
          <w:rFonts w:ascii="Marianne" w:hAnsi="Marianne"/>
          <w:spacing w:val="-2"/>
        </w:rPr>
        <w:t>g</w:t>
      </w:r>
      <w:r>
        <w:rPr>
          <w:rFonts w:ascii="Marianne" w:hAnsi="Marianne"/>
        </w:rPr>
        <w:t>é</w:t>
      </w:r>
      <w:r>
        <w:rPr>
          <w:rFonts w:ascii="Marianne" w:hAnsi="Marianne"/>
          <w:spacing w:val="2"/>
        </w:rPr>
        <w:t>n</w:t>
      </w:r>
      <w:r>
        <w:rPr>
          <w:rFonts w:ascii="Marianne" w:hAnsi="Marianne"/>
          <w:spacing w:val="-2"/>
        </w:rPr>
        <w:t>é</w:t>
      </w:r>
      <w:r>
        <w:rPr>
          <w:rFonts w:ascii="Marianne" w:hAnsi="Marianne"/>
          <w:spacing w:val="1"/>
        </w:rPr>
        <w:t>r</w:t>
      </w:r>
      <w:r>
        <w:rPr>
          <w:rFonts w:ascii="Marianne" w:hAnsi="Marianne"/>
          <w:spacing w:val="-2"/>
        </w:rPr>
        <w:t>a</w:t>
      </w:r>
      <w:r>
        <w:rPr>
          <w:rFonts w:ascii="Marianne" w:hAnsi="Marianne"/>
          <w:spacing w:val="1"/>
        </w:rPr>
        <w:t>l</w:t>
      </w:r>
      <w:r>
        <w:rPr>
          <w:rFonts w:ascii="Marianne" w:hAnsi="Marianne"/>
        </w:rPr>
        <w:t>e</w:t>
      </w:r>
      <w:r>
        <w:rPr>
          <w:rFonts w:ascii="Marianne" w:hAnsi="Marianne"/>
          <w:spacing w:val="10"/>
        </w:rPr>
        <w:t xml:space="preserve"> </w:t>
      </w:r>
      <w:r>
        <w:rPr>
          <w:rFonts w:ascii="Marianne" w:hAnsi="Marianne"/>
          <w:spacing w:val="-2"/>
        </w:rPr>
        <w:t>d</w:t>
      </w:r>
      <w:r>
        <w:rPr>
          <w:rFonts w:ascii="Marianne" w:hAnsi="Marianne"/>
        </w:rPr>
        <w:t>e</w:t>
      </w:r>
      <w:r>
        <w:rPr>
          <w:rFonts w:ascii="Marianne" w:hAnsi="Marianne"/>
          <w:spacing w:val="14"/>
        </w:rPr>
        <w:t xml:space="preserve"> </w:t>
      </w:r>
      <w:r>
        <w:rPr>
          <w:rFonts w:ascii="Marianne" w:hAnsi="Marianne"/>
          <w:spacing w:val="1"/>
        </w:rPr>
        <w:t>c</w:t>
      </w:r>
      <w:r>
        <w:rPr>
          <w:rFonts w:ascii="Marianne" w:hAnsi="Marianne"/>
        </w:rPr>
        <w:t>ond</w:t>
      </w:r>
      <w:r>
        <w:rPr>
          <w:rFonts w:ascii="Marianne" w:hAnsi="Marianne"/>
          <w:spacing w:val="2"/>
        </w:rPr>
        <w:t>u</w:t>
      </w:r>
      <w:r>
        <w:rPr>
          <w:rFonts w:ascii="Marianne" w:hAnsi="Marianne"/>
          <w:spacing w:val="-5"/>
        </w:rPr>
        <w:t>i</w:t>
      </w:r>
      <w:r>
        <w:rPr>
          <w:rFonts w:ascii="Marianne" w:hAnsi="Marianne"/>
        </w:rPr>
        <w:t>te</w:t>
      </w:r>
      <w:r>
        <w:rPr>
          <w:rFonts w:ascii="Marianne" w:hAnsi="Marianne"/>
          <w:spacing w:val="13"/>
        </w:rPr>
        <w:t xml:space="preserve"> </w:t>
      </w:r>
      <w:r>
        <w:rPr>
          <w:rFonts w:ascii="Marianne" w:hAnsi="Marianne"/>
        </w:rPr>
        <w:t xml:space="preserve">de </w:t>
      </w:r>
      <w:r>
        <w:rPr>
          <w:rFonts w:ascii="Marianne" w:hAnsi="Marianne"/>
          <w:spacing w:val="-2"/>
        </w:rPr>
        <w:t>p</w:t>
      </w:r>
      <w:r>
        <w:rPr>
          <w:rFonts w:ascii="Marianne" w:hAnsi="Marianne"/>
          <w:spacing w:val="1"/>
        </w:rPr>
        <w:t>r</w:t>
      </w:r>
      <w:r>
        <w:rPr>
          <w:rFonts w:ascii="Marianne" w:hAnsi="Marianne"/>
        </w:rPr>
        <w:t>o</w:t>
      </w:r>
      <w:r>
        <w:rPr>
          <w:rFonts w:ascii="Marianne" w:hAnsi="Marianne"/>
          <w:spacing w:val="1"/>
        </w:rPr>
        <w:t>j</w:t>
      </w:r>
      <w:r>
        <w:rPr>
          <w:rFonts w:ascii="Marianne" w:hAnsi="Marianne"/>
          <w:spacing w:val="-2"/>
        </w:rPr>
        <w:t>e</w:t>
      </w:r>
      <w:r>
        <w:rPr>
          <w:rFonts w:ascii="Marianne" w:hAnsi="Marianne"/>
        </w:rPr>
        <w:t>t</w:t>
      </w:r>
      <w:r>
        <w:rPr>
          <w:rFonts w:ascii="Marianne" w:hAnsi="Marianne"/>
          <w:spacing w:val="4"/>
        </w:rPr>
        <w:t xml:space="preserve"> et exposer l</w:t>
      </w:r>
      <w:r>
        <w:rPr>
          <w:rFonts w:ascii="Marianne" w:hAnsi="Marianne"/>
        </w:rPr>
        <w:t>es</w:t>
      </w:r>
      <w:r>
        <w:rPr>
          <w:rFonts w:ascii="Marianne" w:hAnsi="Marianne"/>
          <w:spacing w:val="5"/>
        </w:rPr>
        <w:t xml:space="preserve"> </w:t>
      </w:r>
      <w:r>
        <w:rPr>
          <w:rFonts w:ascii="Marianne" w:hAnsi="Marianne"/>
          <w:spacing w:val="2"/>
        </w:rPr>
        <w:t>d</w:t>
      </w:r>
      <w:r>
        <w:rPr>
          <w:rFonts w:ascii="Marianne" w:hAnsi="Marianne"/>
        </w:rPr>
        <w:t>is</w:t>
      </w:r>
      <w:r>
        <w:rPr>
          <w:rFonts w:ascii="Marianne" w:hAnsi="Marianne"/>
          <w:spacing w:val="-2"/>
        </w:rPr>
        <w:t>p</w:t>
      </w:r>
      <w:r>
        <w:rPr>
          <w:rFonts w:ascii="Marianne" w:hAnsi="Marianne"/>
        </w:rPr>
        <w:t>o</w:t>
      </w:r>
      <w:r>
        <w:rPr>
          <w:rFonts w:ascii="Marianne" w:hAnsi="Marianne"/>
          <w:spacing w:val="1"/>
        </w:rPr>
        <w:t>si</w:t>
      </w:r>
      <w:r>
        <w:rPr>
          <w:rFonts w:ascii="Marianne" w:hAnsi="Marianne"/>
          <w:spacing w:val="-3"/>
        </w:rPr>
        <w:t>t</w:t>
      </w:r>
      <w:r>
        <w:rPr>
          <w:rFonts w:ascii="Marianne" w:hAnsi="Marianne"/>
        </w:rPr>
        <w:t>i</w:t>
      </w:r>
      <w:r>
        <w:rPr>
          <w:rFonts w:ascii="Marianne" w:hAnsi="Marianne"/>
          <w:spacing w:val="-2"/>
        </w:rPr>
        <w:t>o</w:t>
      </w:r>
      <w:r>
        <w:rPr>
          <w:rFonts w:ascii="Marianne" w:hAnsi="Marianne"/>
        </w:rPr>
        <w:t>ns</w:t>
      </w:r>
      <w:r>
        <w:rPr>
          <w:rFonts w:ascii="Marianne" w:hAnsi="Marianne"/>
          <w:spacing w:val="8"/>
        </w:rPr>
        <w:t xml:space="preserve"> </w:t>
      </w:r>
      <w:r>
        <w:rPr>
          <w:rFonts w:ascii="Marianne" w:hAnsi="Marianne"/>
          <w:spacing w:val="-2"/>
        </w:rPr>
        <w:t>d</w:t>
      </w:r>
      <w:r>
        <w:rPr>
          <w:rFonts w:ascii="Marianne" w:hAnsi="Marianne"/>
        </w:rPr>
        <w:t>’</w:t>
      </w:r>
      <w:r>
        <w:rPr>
          <w:rFonts w:ascii="Marianne" w:hAnsi="Marianne"/>
          <w:spacing w:val="-2"/>
        </w:rPr>
        <w:t>a</w:t>
      </w:r>
      <w:r>
        <w:rPr>
          <w:rFonts w:ascii="Marianne" w:hAnsi="Marianne"/>
          <w:spacing w:val="1"/>
        </w:rPr>
        <w:t>s</w:t>
      </w:r>
      <w:r>
        <w:rPr>
          <w:rFonts w:ascii="Marianne" w:hAnsi="Marianne"/>
        </w:rPr>
        <w:t>su</w:t>
      </w:r>
      <w:r>
        <w:rPr>
          <w:rFonts w:ascii="Marianne" w:hAnsi="Marianne"/>
          <w:spacing w:val="1"/>
        </w:rPr>
        <w:t>r</w:t>
      </w:r>
      <w:r>
        <w:rPr>
          <w:rFonts w:ascii="Marianne" w:hAnsi="Marianne"/>
        </w:rPr>
        <w:t>an</w:t>
      </w:r>
      <w:r>
        <w:rPr>
          <w:rFonts w:ascii="Marianne" w:hAnsi="Marianne"/>
          <w:spacing w:val="1"/>
        </w:rPr>
        <w:t>c</w:t>
      </w:r>
      <w:r>
        <w:rPr>
          <w:rFonts w:ascii="Marianne" w:hAnsi="Marianne"/>
        </w:rPr>
        <w:t>e</w:t>
      </w:r>
      <w:r>
        <w:rPr>
          <w:rFonts w:ascii="Marianne" w:hAnsi="Marianne"/>
          <w:spacing w:val="5"/>
        </w:rPr>
        <w:t xml:space="preserve"> </w:t>
      </w:r>
      <w:r>
        <w:rPr>
          <w:rFonts w:ascii="Marianne" w:hAnsi="Marianne"/>
          <w:spacing w:val="-2"/>
        </w:rPr>
        <w:t>e</w:t>
      </w:r>
      <w:r>
        <w:rPr>
          <w:rFonts w:ascii="Marianne" w:hAnsi="Marianne"/>
        </w:rPr>
        <w:t>t</w:t>
      </w:r>
      <w:r>
        <w:rPr>
          <w:rFonts w:ascii="Marianne" w:hAnsi="Marianne"/>
          <w:spacing w:val="7"/>
        </w:rPr>
        <w:t xml:space="preserve"> </w:t>
      </w:r>
      <w:r>
        <w:rPr>
          <w:rFonts w:ascii="Marianne" w:hAnsi="Marianne"/>
        </w:rPr>
        <w:t>de</w:t>
      </w:r>
      <w:r>
        <w:rPr>
          <w:rFonts w:ascii="Marianne" w:hAnsi="Marianne"/>
          <w:spacing w:val="3"/>
        </w:rPr>
        <w:t xml:space="preserve"> </w:t>
      </w:r>
      <w:r>
        <w:rPr>
          <w:rFonts w:ascii="Marianne" w:hAnsi="Marianne"/>
          <w:spacing w:val="1"/>
        </w:rPr>
        <w:t>c</w:t>
      </w:r>
      <w:r>
        <w:rPr>
          <w:rFonts w:ascii="Marianne" w:hAnsi="Marianne"/>
        </w:rPr>
        <w:t>o</w:t>
      </w:r>
      <w:r>
        <w:rPr>
          <w:rFonts w:ascii="Marianne" w:hAnsi="Marianne"/>
          <w:spacing w:val="4"/>
        </w:rPr>
        <w:t>n</w:t>
      </w:r>
      <w:r>
        <w:rPr>
          <w:rFonts w:ascii="Marianne" w:hAnsi="Marianne"/>
          <w:spacing w:val="-3"/>
        </w:rPr>
        <w:t>t</w:t>
      </w:r>
      <w:r>
        <w:rPr>
          <w:rFonts w:ascii="Marianne" w:hAnsi="Marianne"/>
          <w:spacing w:val="1"/>
        </w:rPr>
        <w:t>r</w:t>
      </w:r>
      <w:r>
        <w:rPr>
          <w:rFonts w:ascii="Marianne" w:hAnsi="Marianne"/>
          <w:spacing w:val="-2"/>
        </w:rPr>
        <w:t>ô</w:t>
      </w:r>
      <w:r>
        <w:rPr>
          <w:rFonts w:ascii="Marianne" w:hAnsi="Marianne"/>
        </w:rPr>
        <w:t xml:space="preserve">le </w:t>
      </w:r>
      <w:r>
        <w:rPr>
          <w:rFonts w:ascii="Marianne" w:hAnsi="Marianne"/>
          <w:spacing w:val="-2"/>
        </w:rPr>
        <w:t>q</w:t>
      </w:r>
      <w:r>
        <w:rPr>
          <w:rFonts w:ascii="Marianne" w:hAnsi="Marianne"/>
        </w:rPr>
        <w:t>u</w:t>
      </w:r>
      <w:r>
        <w:rPr>
          <w:rFonts w:ascii="Marianne" w:hAnsi="Marianne"/>
          <w:spacing w:val="1"/>
        </w:rPr>
        <w:t>a</w:t>
      </w:r>
      <w:r>
        <w:rPr>
          <w:rFonts w:ascii="Marianne" w:hAnsi="Marianne"/>
        </w:rPr>
        <w:t>l</w:t>
      </w:r>
      <w:r>
        <w:rPr>
          <w:rFonts w:ascii="Marianne" w:hAnsi="Marianne"/>
          <w:spacing w:val="-5"/>
        </w:rPr>
        <w:t>i</w:t>
      </w:r>
      <w:r>
        <w:rPr>
          <w:rFonts w:ascii="Marianne" w:hAnsi="Marianne"/>
          <w:spacing w:val="2"/>
        </w:rPr>
        <w:t>t</w:t>
      </w:r>
      <w:r>
        <w:rPr>
          <w:rFonts w:ascii="Marianne" w:hAnsi="Marianne"/>
        </w:rPr>
        <w:t xml:space="preserve">é qui l’accompagne. </w:t>
      </w:r>
    </w:p>
    <w:p>
      <w:pPr>
        <w:suppressAutoHyphens w:val="0"/>
        <w:spacing w:before="0" w:after="160" w:line="259" w:lineRule="auto"/>
        <w:rPr>
          <w:rFonts w:ascii="Marianne" w:hAnsi="Marianne"/>
        </w:rPr>
      </w:pPr>
      <w:r>
        <w:rPr>
          <w:rFonts w:ascii="Marianne" w:hAnsi="Marianne"/>
        </w:rPr>
        <w:t xml:space="preserve">Cette description porte sur chacune des prestations décrites au CCTP :  </w:t>
      </w:r>
    </w:p>
    <w:p>
      <w:pPr>
        <w:rPr>
          <w:rFonts w:ascii="Marianne" w:hAnsi="Marianne"/>
          <w:spacing w:val="-2"/>
        </w:rPr>
      </w:pPr>
      <w:r>
        <w:rPr>
          <w:rFonts w:ascii="Marianne" w:hAnsi="Marianne"/>
          <w:spacing w:val="-2"/>
        </w:rPr>
        <w:t xml:space="preserve">Article 7 – Prestation n°1 : Initialisation du marché et lancement des travaux – organisation des prestations </w:t>
      </w:r>
      <w:bookmarkStart w:id="5" w:name="_Toc188973661"/>
    </w:p>
    <w:p>
      <w:pPr>
        <w:rPr>
          <w:rFonts w:ascii="Marianne" w:hAnsi="Marianne"/>
          <w:spacing w:val="-2"/>
        </w:rPr>
      </w:pPr>
      <w:r>
        <w:rPr>
          <w:rFonts w:ascii="Marianne" w:hAnsi="Marianne"/>
          <w:spacing w:val="-2"/>
        </w:rPr>
        <w:t>Article 8 -</w:t>
      </w:r>
      <w:bookmarkEnd w:id="5"/>
      <w:r>
        <w:rPr>
          <w:rFonts w:ascii="Marianne" w:hAnsi="Marianne"/>
          <w:spacing w:val="-2"/>
        </w:rPr>
        <w:t xml:space="preserve"> Prestation n°2 : tierce maintenance applicative sur l’ensemble des composants du marché</w:t>
      </w:r>
    </w:p>
    <w:p>
      <w:pPr>
        <w:rPr>
          <w:rFonts w:ascii="Marianne" w:hAnsi="Marianne"/>
          <w:spacing w:val="-2"/>
        </w:rPr>
      </w:pPr>
      <w:r>
        <w:rPr>
          <w:rFonts w:ascii="Marianne" w:hAnsi="Marianne"/>
          <w:spacing w:val="-2"/>
        </w:rPr>
        <w:t>Article 9 – Prestation n°3 : évolutions et adaptations du CTDSN</w:t>
      </w:r>
    </w:p>
    <w:p>
      <w:pPr>
        <w:rPr>
          <w:rFonts w:ascii="Marianne" w:hAnsi="Marianne"/>
          <w:spacing w:val="-2"/>
        </w:rPr>
      </w:pPr>
      <w:bookmarkStart w:id="6" w:name="_Toc188973669"/>
      <w:r>
        <w:rPr>
          <w:rFonts w:ascii="Marianne" w:hAnsi="Marianne"/>
          <w:spacing w:val="-2"/>
        </w:rPr>
        <w:t>Article 10 - Prestation n°4 : conseil et expertise</w:t>
      </w:r>
      <w:bookmarkEnd w:id="6"/>
    </w:p>
    <w:p>
      <w:pPr>
        <w:rPr>
          <w:rFonts w:ascii="Marianne" w:hAnsi="Marianne"/>
          <w:spacing w:val="-2"/>
        </w:rPr>
      </w:pPr>
      <w:bookmarkStart w:id="7" w:name="_Toc188973673"/>
      <w:r>
        <w:rPr>
          <w:rFonts w:ascii="Marianne" w:hAnsi="Marianne"/>
          <w:spacing w:val="-2"/>
        </w:rPr>
        <w:t>Article 11 - Prestation n°5 : réversibilité</w:t>
      </w:r>
      <w:bookmarkEnd w:id="7"/>
    </w:p>
    <w:p>
      <w:pPr>
        <w:rPr>
          <w:rFonts w:ascii="Marianne" w:hAnsi="Marianne"/>
          <w:spacing w:val="-2"/>
        </w:rPr>
      </w:pPr>
    </w:p>
    <w:p>
      <w:pPr>
        <w:rPr>
          <w:rFonts w:ascii="Marianne" w:hAnsi="Marianne"/>
          <w:b/>
          <w:color w:val="0070C0"/>
        </w:rPr>
      </w:pPr>
      <w:r>
        <w:rPr>
          <w:rFonts w:ascii="Marianne" w:hAnsi="Marianne"/>
          <w:b/>
          <w:color w:val="0070C0"/>
        </w:rPr>
        <w:t>La présentation ne doit pas dépasser 15 pages.</w:t>
      </w:r>
    </w:p>
    <w:p>
      <w:pPr>
        <w:rPr>
          <w:rFonts w:ascii="Marianne" w:hAnsi="Marianne"/>
          <w:spacing w:val="-2"/>
        </w:rPr>
      </w:pPr>
    </w:p>
    <w:p>
      <w:pPr>
        <w:suppressAutoHyphens w:val="0"/>
        <w:spacing w:before="0" w:after="160" w:line="259" w:lineRule="auto"/>
        <w:jc w:val="left"/>
      </w:pPr>
      <w:r>
        <w:br w:type="page"/>
      </w:r>
    </w:p>
    <w:p>
      <w:pPr>
        <w:pStyle w:val="Titre1"/>
        <w:rPr>
          <w:rFonts w:ascii="Marianne" w:hAnsi="Marianne"/>
          <w:lang w:eastAsia="fr-FR"/>
        </w:rPr>
      </w:pPr>
      <w:bookmarkStart w:id="8" w:name="_Toc219207382"/>
      <w:r>
        <w:rPr>
          <w:rFonts w:ascii="Marianne" w:eastAsia="Times New Roman" w:hAnsi="Marianne"/>
          <w:lang w:eastAsia="fr-FR"/>
        </w:rPr>
        <w:lastRenderedPageBreak/>
        <w:t>3. Profils et mode de gestion de l’équipe</w:t>
      </w:r>
      <w:bookmarkEnd w:id="8"/>
      <w:r>
        <w:rPr>
          <w:rFonts w:ascii="Marianne" w:eastAsia="Times New Roman" w:hAnsi="Marianne"/>
          <w:lang w:eastAsia="fr-FR"/>
        </w:rPr>
        <w:t xml:space="preserve"> </w:t>
      </w:r>
    </w:p>
    <w:p>
      <w:pPr>
        <w:rPr>
          <w:rFonts w:ascii="Marianne" w:hAnsi="Marianne"/>
          <w:spacing w:val="1"/>
          <w:szCs w:val="20"/>
          <w:lang w:eastAsia="fr-FR"/>
        </w:rPr>
      </w:pPr>
    </w:p>
    <w:p>
      <w:pPr>
        <w:rPr>
          <w:rFonts w:ascii="Marianne" w:hAnsi="Marianne"/>
        </w:rPr>
      </w:pPr>
      <w:r>
        <w:rPr>
          <w:rFonts w:ascii="Marianne" w:hAnsi="Marianne"/>
        </w:rPr>
        <w:t>Le candidat renseigne les profils pressentis via le modèle de l’annexe 1 du présent Cadre de Réponse Technique.</w:t>
      </w:r>
    </w:p>
    <w:p>
      <w:pPr>
        <w:rPr>
          <w:rFonts w:ascii="Marianne" w:hAnsi="Marianne"/>
        </w:rPr>
      </w:pPr>
      <w:r>
        <w:rPr>
          <w:rFonts w:ascii="Marianne" w:hAnsi="Marianne"/>
        </w:rPr>
        <w:t xml:space="preserve">Le candidat explicite sa gestion des ressources tout au long du projet de ses différentes phases. </w:t>
      </w:r>
    </w:p>
    <w:p>
      <w:pPr>
        <w:rPr>
          <w:rFonts w:ascii="Marianne" w:hAnsi="Marianne"/>
        </w:rPr>
      </w:pPr>
      <w:r>
        <w:rPr>
          <w:rFonts w:ascii="Marianne" w:hAnsi="Marianne"/>
        </w:rPr>
        <w:t xml:space="preserve">Il met en avant </w:t>
      </w:r>
      <w:r>
        <w:rPr>
          <w:rFonts w:ascii="Marianne" w:hAnsi="Marianne"/>
          <w:b/>
        </w:rPr>
        <w:t>la qualité des profils des intervenants</w:t>
      </w:r>
      <w:r>
        <w:rPr>
          <w:rFonts w:ascii="Marianne" w:hAnsi="Marianne"/>
        </w:rPr>
        <w:t xml:space="preserve"> au titre de chacune des prestations, de leur complémentarité et de la séniorité des profils nécessaires à la bonne marche du projet (notamment via l’annexe financière, onglet « tableau des charges »).</w:t>
      </w:r>
    </w:p>
    <w:p>
      <w:pPr>
        <w:rPr>
          <w:rFonts w:ascii="Marianne" w:hAnsi="Marianne"/>
        </w:rPr>
      </w:pPr>
      <w:r>
        <w:rPr>
          <w:rFonts w:ascii="Marianne" w:hAnsi="Marianne"/>
        </w:rPr>
        <w:t xml:space="preserve">Le candidat décrit sa </w:t>
      </w:r>
      <w:r>
        <w:rPr>
          <w:rFonts w:ascii="Marianne" w:hAnsi="Marianne"/>
          <w:b/>
        </w:rPr>
        <w:t>capacité à mobiliser les niveaux de compétence et d’expertise adéquats</w:t>
      </w:r>
      <w:r>
        <w:rPr>
          <w:rFonts w:ascii="Marianne" w:hAnsi="Marianne"/>
        </w:rPr>
        <w:t xml:space="preserve">, en fonction de la montée en charge prévue de la prestation et des aléas susceptibles d’être rencontrés et de la pertinence des modes de gestion de l’équipe projet. </w:t>
      </w:r>
      <w:r>
        <w:rPr>
          <w:rFonts w:ascii="Marianne" w:hAnsi="Marianne"/>
          <w:spacing w:val="1"/>
          <w:sz w:val="18"/>
          <w:szCs w:val="18"/>
        </w:rPr>
        <w:t>Cet élément est apprécié au regard des modalités d’organisation et de gouvernance des équipes.</w:t>
      </w:r>
    </w:p>
    <w:p>
      <w:pPr>
        <w:rPr>
          <w:rFonts w:ascii="Marianne" w:hAnsi="Marianne"/>
        </w:rPr>
      </w:pPr>
    </w:p>
    <w:p>
      <w:pPr>
        <w:rPr>
          <w:rFonts w:ascii="Marianne" w:hAnsi="Marianne"/>
          <w:b/>
          <w:color w:val="0070C0"/>
        </w:rPr>
      </w:pPr>
      <w:r>
        <w:rPr>
          <w:rFonts w:ascii="Marianne" w:hAnsi="Marianne"/>
          <w:b/>
          <w:color w:val="0070C0"/>
        </w:rPr>
        <w:t>La présentation ne doit pas dépasser 10 pages.</w:t>
      </w:r>
    </w:p>
    <w:p>
      <w:pPr>
        <w:rPr>
          <w:rFonts w:ascii="Marianne" w:hAnsi="Marianne"/>
        </w:rPr>
      </w:pPr>
    </w:p>
    <w:p>
      <w:pPr>
        <w:suppressAutoHyphens w:val="0"/>
        <w:spacing w:before="0" w:after="160" w:line="259" w:lineRule="auto"/>
        <w:jc w:val="left"/>
      </w:pPr>
      <w:r>
        <w:br w:type="page"/>
      </w:r>
    </w:p>
    <w:p>
      <w:pPr>
        <w:pStyle w:val="Titre1"/>
        <w:rPr>
          <w:rFonts w:ascii="Marianne" w:eastAsia="Times New Roman" w:hAnsi="Marianne"/>
          <w:lang w:eastAsia="fr-FR"/>
        </w:rPr>
      </w:pPr>
      <w:bookmarkStart w:id="9" w:name="_Toc219207383"/>
      <w:r>
        <w:rPr>
          <w:rFonts w:ascii="Marianne" w:eastAsia="Times New Roman" w:hAnsi="Marianne"/>
          <w:lang w:eastAsia="fr-FR"/>
        </w:rPr>
        <w:lastRenderedPageBreak/>
        <w:t>4. Description des prestations</w:t>
      </w:r>
      <w:bookmarkEnd w:id="9"/>
      <w:r>
        <w:rPr>
          <w:rFonts w:ascii="Marianne" w:eastAsia="Times New Roman" w:hAnsi="Marianne"/>
          <w:lang w:eastAsia="fr-FR"/>
        </w:rPr>
        <w:t xml:space="preserve"> </w:t>
      </w:r>
    </w:p>
    <w:p>
      <w:pPr>
        <w:rPr>
          <w:rFonts w:ascii="Marianne" w:hAnsi="Marianne"/>
        </w:rPr>
      </w:pPr>
    </w:p>
    <w:p>
      <w:pPr>
        <w:rPr>
          <w:rFonts w:ascii="Marianne" w:hAnsi="Marianne"/>
        </w:rPr>
      </w:pPr>
      <w:r>
        <w:rPr>
          <w:rFonts w:ascii="Marianne" w:hAnsi="Marianne"/>
        </w:rPr>
        <w:t xml:space="preserve">Le candidat décrit les moyens et les méthodes proposés pour répondre aux exigences du CCTP. </w:t>
      </w:r>
    </w:p>
    <w:p>
      <w:pPr>
        <w:rPr>
          <w:rFonts w:ascii="Marianne" w:hAnsi="Marianne"/>
        </w:rPr>
      </w:pPr>
      <w:r>
        <w:rPr>
          <w:rFonts w:ascii="Marianne" w:hAnsi="Marianne"/>
        </w:rPr>
        <w:t>Chaque prestation fait l’objet d’un sous-chapitre distinct, dans l’ordre d’énonciation du CCTP.</w:t>
      </w:r>
    </w:p>
    <w:p>
      <w:pPr>
        <w:rPr>
          <w:rFonts w:ascii="Marianne" w:hAnsi="Marianne"/>
          <w:b/>
          <w:color w:val="0070C0"/>
        </w:rPr>
      </w:pPr>
      <w:r>
        <w:rPr>
          <w:rFonts w:ascii="Marianne" w:hAnsi="Marianne"/>
          <w:b/>
          <w:color w:val="0070C0"/>
        </w:rPr>
        <w:t>La présentation ne doit pas dépasser 40 pages.</w:t>
      </w:r>
    </w:p>
    <w:p/>
    <w:p>
      <w:pPr>
        <w:pStyle w:val="Titre2"/>
      </w:pPr>
      <w:bookmarkStart w:id="10" w:name="_Toc219207384"/>
      <w:r>
        <w:t xml:space="preserve">Prestation n°1 - </w:t>
      </w:r>
      <w:r>
        <w:rPr>
          <w:rStyle w:val="Titre2Car"/>
        </w:rPr>
        <w:t>Initialisation du marché et lancement des travaux – organisation des prestations</w:t>
      </w:r>
      <w:bookmarkEnd w:id="10"/>
    </w:p>
    <w:p>
      <w:pPr>
        <w:rPr>
          <w:rFonts w:ascii="Marianne" w:hAnsi="Marianne"/>
        </w:rPr>
      </w:pPr>
      <w:r>
        <w:rPr>
          <w:rFonts w:ascii="Marianne" w:hAnsi="Marianne"/>
        </w:rPr>
        <w:t>Le candidat décrit les moyens et les méthodes proposés pour répondre aux exigences du CCTP relatives à la prestation « </w:t>
      </w:r>
      <w:r>
        <w:rPr>
          <w:rFonts w:ascii="Marianne" w:hAnsi="Marianne"/>
          <w:spacing w:val="-2"/>
        </w:rPr>
        <w:t>Initialisation du marché et lancement des travaux – organisation des prestations »</w:t>
      </w:r>
      <w:r>
        <w:rPr>
          <w:rFonts w:ascii="Marianne" w:hAnsi="Marianne"/>
        </w:rPr>
        <w:t>. Il décrit du contenu des livrables proposées pour chacune des prestations, à travers la proposition de plan type</w:t>
      </w:r>
    </w:p>
    <w:p>
      <w:pPr>
        <w:rPr>
          <w:rFonts w:ascii="Marianne" w:hAnsi="Marianne"/>
        </w:rPr>
      </w:pPr>
      <w:r>
        <w:rPr>
          <w:rFonts w:ascii="Marianne" w:hAnsi="Marianne"/>
        </w:rPr>
        <w:t xml:space="preserve">Le candidat décrit comment il valorise les charges humaines des unités d’œuvre (via l’annexe financière, onglet « tableau des charges »). </w:t>
      </w:r>
    </w:p>
    <w:p>
      <w:pPr>
        <w:rPr>
          <w:rFonts w:ascii="Marianne" w:hAnsi="Marianne"/>
        </w:rPr>
      </w:pPr>
    </w:p>
    <w:p>
      <w:pPr>
        <w:pStyle w:val="Titre2"/>
      </w:pPr>
      <w:bookmarkStart w:id="11" w:name="_Toc219207385"/>
      <w:bookmarkStart w:id="12" w:name="_Toc19714511"/>
      <w:r>
        <w:t>Prestation n°2 - tierce maintenance applicative sur l’ensemble des composants du marché</w:t>
      </w:r>
      <w:bookmarkEnd w:id="11"/>
    </w:p>
    <w:bookmarkEnd w:id="12"/>
    <w:p>
      <w:pPr>
        <w:rPr>
          <w:rFonts w:ascii="Marianne" w:hAnsi="Marianne"/>
        </w:rPr>
      </w:pPr>
      <w:r>
        <w:rPr>
          <w:rFonts w:ascii="Marianne" w:hAnsi="Marianne"/>
        </w:rPr>
        <w:t>Le candidat décrit les moyens et les méthodes proposés pour répondre aux exigences du CCTP relatives à la prestation « </w:t>
      </w:r>
      <w:r>
        <w:rPr>
          <w:rFonts w:ascii="Marianne" w:hAnsi="Marianne"/>
          <w:spacing w:val="-2"/>
        </w:rPr>
        <w:t>tierce maintenance applicative sur l’ensemble des composants du marché »</w:t>
      </w:r>
      <w:r>
        <w:rPr>
          <w:rFonts w:ascii="Marianne" w:hAnsi="Marianne"/>
        </w:rPr>
        <w:t>. Il décrit du contenu des livrables proposées pour chacune des prestations, à travers la proposition de plan type</w:t>
      </w:r>
    </w:p>
    <w:p>
      <w:pPr>
        <w:rPr>
          <w:rFonts w:ascii="Marianne" w:hAnsi="Marianne"/>
        </w:rPr>
      </w:pPr>
      <w:r>
        <w:rPr>
          <w:rFonts w:ascii="Marianne" w:hAnsi="Marianne"/>
        </w:rPr>
        <w:t xml:space="preserve">Le candidat décrit comment il valorise les charges humaines des unités d’œuvre (via l’annexe financière, onglet « tableau des charges »). </w:t>
      </w:r>
    </w:p>
    <w:p>
      <w:pPr>
        <w:rPr>
          <w:rFonts w:ascii="Marianne" w:hAnsi="Marianne"/>
        </w:rPr>
      </w:pPr>
    </w:p>
    <w:p>
      <w:pPr>
        <w:pStyle w:val="Titre2"/>
      </w:pPr>
      <w:bookmarkStart w:id="13" w:name="_Toc219207386"/>
      <w:r>
        <w:t>Prestation n°3 - évolutions et adaptations du CTDSN</w:t>
      </w:r>
      <w:bookmarkEnd w:id="13"/>
    </w:p>
    <w:p>
      <w:pPr>
        <w:rPr>
          <w:rFonts w:ascii="Marianne" w:hAnsi="Marianne"/>
        </w:rPr>
      </w:pPr>
      <w:bookmarkStart w:id="14" w:name="_Toc19714513"/>
      <w:r>
        <w:rPr>
          <w:rFonts w:ascii="Marianne" w:hAnsi="Marianne"/>
        </w:rPr>
        <w:t>Le candidat décrit les moyens et les méthodes proposés pour répondre aux exigences du CCTP relatives à la prestation « </w:t>
      </w:r>
      <w:r>
        <w:rPr>
          <w:rFonts w:ascii="Marianne" w:hAnsi="Marianne"/>
          <w:spacing w:val="-2"/>
        </w:rPr>
        <w:t>évolutions et adaptations du CTDSN »</w:t>
      </w:r>
      <w:r>
        <w:rPr>
          <w:rFonts w:ascii="Marianne" w:hAnsi="Marianne"/>
        </w:rPr>
        <w:t>. Il décrit du contenu des livrables proposés pour chacune des prestations, à travers la proposition de plan type</w:t>
      </w:r>
    </w:p>
    <w:p>
      <w:pPr>
        <w:rPr>
          <w:rFonts w:ascii="Marianne" w:hAnsi="Marianne"/>
        </w:rPr>
      </w:pPr>
      <w:r>
        <w:rPr>
          <w:rFonts w:ascii="Marianne" w:hAnsi="Marianne"/>
        </w:rPr>
        <w:t xml:space="preserve">Le candidat décrit comment il valorise les charges humaines des unités d’œuvre (via l’annexe financière, onglet « tableau des charges »). </w:t>
      </w:r>
    </w:p>
    <w:p>
      <w:pPr>
        <w:rPr>
          <w:rFonts w:ascii="Marianne" w:hAnsi="Marianne"/>
        </w:rPr>
      </w:pPr>
    </w:p>
    <w:p>
      <w:pPr>
        <w:pStyle w:val="Titre2"/>
      </w:pPr>
      <w:bookmarkStart w:id="15" w:name="_Toc219207387"/>
      <w:bookmarkStart w:id="16" w:name="_Toc19714514"/>
      <w:bookmarkEnd w:id="14"/>
      <w:r>
        <w:t>Prestation n°4 - Conseil et expertise</w:t>
      </w:r>
      <w:bookmarkEnd w:id="15"/>
    </w:p>
    <w:p>
      <w:pPr>
        <w:rPr>
          <w:rFonts w:ascii="Marianne" w:hAnsi="Marianne"/>
        </w:rPr>
      </w:pPr>
      <w:r>
        <w:rPr>
          <w:rFonts w:ascii="Marianne" w:hAnsi="Marianne"/>
        </w:rPr>
        <w:t>Le candidat décrit les moyens et les méthodes proposés pour répondre aux exigences du CCTP relatives à la prestation « </w:t>
      </w:r>
      <w:r>
        <w:rPr>
          <w:rFonts w:ascii="Marianne" w:hAnsi="Marianne"/>
          <w:spacing w:val="-2"/>
        </w:rPr>
        <w:t>conseil et expertise</w:t>
      </w:r>
      <w:r>
        <w:rPr>
          <w:rFonts w:ascii="Marianne" w:hAnsi="Marianne"/>
        </w:rPr>
        <w:t> ». Il décrit du contenu des livrables proposées pour chacune des prestations, à travers la proposition de plan type</w:t>
      </w:r>
    </w:p>
    <w:p>
      <w:pPr>
        <w:rPr>
          <w:rFonts w:ascii="Marianne" w:hAnsi="Marianne"/>
        </w:rPr>
      </w:pPr>
      <w:r>
        <w:rPr>
          <w:rFonts w:ascii="Marianne" w:hAnsi="Marianne"/>
        </w:rPr>
        <w:lastRenderedPageBreak/>
        <w:t xml:space="preserve">Le candidat décrit comment il valorise les charges humaines des unités d’œuvre (via l’annexe financière, onglet « tableau des charges »). </w:t>
      </w:r>
    </w:p>
    <w:p>
      <w:pPr>
        <w:rPr>
          <w:rFonts w:ascii="Marianne" w:hAnsi="Marianne"/>
        </w:rPr>
      </w:pPr>
    </w:p>
    <w:p>
      <w:pPr>
        <w:pStyle w:val="Titre2"/>
      </w:pPr>
      <w:bookmarkStart w:id="17" w:name="_Toc219207388"/>
      <w:bookmarkEnd w:id="16"/>
      <w:r>
        <w:t>Prestation 5 - Réversibilité</w:t>
      </w:r>
      <w:bookmarkEnd w:id="17"/>
    </w:p>
    <w:p>
      <w:pPr>
        <w:rPr>
          <w:rFonts w:ascii="Marianne" w:hAnsi="Marianne"/>
        </w:rPr>
      </w:pPr>
      <w:r>
        <w:rPr>
          <w:rFonts w:ascii="Marianne" w:hAnsi="Marianne"/>
        </w:rPr>
        <w:t>Le candidat décrit les moyens et les méthodes proposés pour répondre aux exigences du CCTP relatives à la prestation « réversibilité ». Il décrit du contenu des livrables proposées pour chacune des prestations, à travers la proposition de plan type</w:t>
      </w:r>
    </w:p>
    <w:p>
      <w:pPr>
        <w:rPr>
          <w:rFonts w:ascii="Marianne" w:hAnsi="Marianne"/>
        </w:rPr>
      </w:pPr>
      <w:r>
        <w:rPr>
          <w:rFonts w:ascii="Marianne" w:hAnsi="Marianne"/>
        </w:rPr>
        <w:t xml:space="preserve">Le candidat décrit comment il valorise les charges humaines des unités d’œuvre (via l’annexe financière, onglet « tableau des charges »). </w:t>
      </w:r>
    </w:p>
    <w:p>
      <w:pPr>
        <w:rPr>
          <w:rFonts w:ascii="Marianne" w:hAnsi="Marianne"/>
        </w:rPr>
      </w:pPr>
    </w:p>
    <w:p>
      <w:pPr>
        <w:ind w:firstLine="708"/>
        <w:rPr>
          <w:rFonts w:ascii="Marianne" w:hAnsi="Marianne"/>
        </w:rPr>
      </w:pPr>
    </w:p>
    <w:p>
      <w:pPr>
        <w:suppressAutoHyphens w:val="0"/>
        <w:spacing w:before="0" w:after="160" w:line="259" w:lineRule="auto"/>
        <w:jc w:val="left"/>
      </w:pPr>
      <w:r>
        <w:br w:type="page"/>
      </w:r>
    </w:p>
    <w:p>
      <w:pPr>
        <w:pStyle w:val="Titre1"/>
        <w:rPr>
          <w:b/>
        </w:rPr>
      </w:pPr>
      <w:bookmarkStart w:id="18" w:name="_Toc219207389"/>
      <w:r>
        <w:rPr>
          <w:rFonts w:ascii="Marianne" w:hAnsi="Marianne"/>
          <w:lang w:eastAsia="fr-FR"/>
        </w:rPr>
        <w:lastRenderedPageBreak/>
        <w:t xml:space="preserve">5. </w:t>
      </w:r>
      <w:r>
        <w:rPr>
          <w:rFonts w:ascii="Marianne" w:eastAsia="Times New Roman" w:hAnsi="Marianne"/>
          <w:lang w:eastAsia="fr-FR"/>
        </w:rPr>
        <w:t>Cas pratique</w:t>
      </w:r>
      <w:bookmarkEnd w:id="18"/>
      <w:r>
        <w:rPr>
          <w:rFonts w:ascii="Marianne" w:eastAsia="Times New Roman" w:hAnsi="Marianne"/>
          <w:lang w:eastAsia="fr-FR"/>
        </w:rPr>
        <w:t xml:space="preserve"> </w:t>
      </w:r>
    </w:p>
    <w:p>
      <w:pPr>
        <w:rPr>
          <w:rFonts w:ascii="Marianne" w:hAnsi="Marianne"/>
        </w:rPr>
      </w:pPr>
      <w:r>
        <w:rPr>
          <w:rFonts w:ascii="Marianne" w:hAnsi="Marianne"/>
        </w:rPr>
        <w:t>L’action se situe en décembre 2026.</w:t>
      </w:r>
    </w:p>
    <w:p>
      <w:pPr>
        <w:rPr>
          <w:rFonts w:ascii="Marianne" w:hAnsi="Marianne"/>
        </w:rPr>
      </w:pPr>
      <w:r>
        <w:rPr>
          <w:rFonts w:ascii="Marianne" w:hAnsi="Marianne"/>
        </w:rPr>
        <w:t xml:space="preserve">Le Bureau Technique du CISIRH informe le Titulaire de la nécessité d’une montée de version vers </w:t>
      </w:r>
      <w:proofErr w:type="spellStart"/>
      <w:r>
        <w:rPr>
          <w:rFonts w:ascii="Marianne" w:hAnsi="Marianne"/>
        </w:rPr>
        <w:t>Redhat</w:t>
      </w:r>
      <w:proofErr w:type="spellEnd"/>
      <w:r>
        <w:rPr>
          <w:rFonts w:ascii="Marianne" w:hAnsi="Marianne"/>
        </w:rPr>
        <w:t xml:space="preserve"> 9 sur l’ensemble des environnements projets et production d’ici la fin d’année 2027.</w:t>
      </w:r>
    </w:p>
    <w:p>
      <w:pPr>
        <w:rPr>
          <w:rFonts w:ascii="Marianne" w:hAnsi="Marianne"/>
        </w:rPr>
      </w:pPr>
      <w:r>
        <w:rPr>
          <w:rFonts w:ascii="Marianne" w:hAnsi="Marianne"/>
        </w:rPr>
        <w:t>Par ailleurs, 3 paliers fonctionnels comportant des évolutions majeures sont d’ores et déjà prévus sur l’année 2027 concernant le CTDSN avec des mises en production en avril 2027, juillet 2027 et janvier 2028.</w:t>
      </w:r>
    </w:p>
    <w:p>
      <w:pPr>
        <w:rPr>
          <w:rFonts w:ascii="Marianne" w:hAnsi="Marianne"/>
        </w:rPr>
      </w:pPr>
      <w:r>
        <w:rPr>
          <w:rFonts w:ascii="Marianne" w:hAnsi="Marianne"/>
        </w:rPr>
        <w:t>La version d’avril 20227 doit comporter une évolution permettant l’accès au bloc 6 (Etats Post-DSN) du CTDSN par de nouveaux utilisateurs, autres que la DGFIP.</w:t>
      </w:r>
    </w:p>
    <w:p>
      <w:pPr>
        <w:rPr>
          <w:rFonts w:ascii="Marianne" w:hAnsi="Marianne"/>
        </w:rPr>
      </w:pPr>
      <w:r>
        <w:rPr>
          <w:rFonts w:ascii="Marianne" w:hAnsi="Marianne"/>
        </w:rPr>
        <w:t>La version de juillet 2027 doit comporter la mise en œuvre du signalement arrêt de travail, nécessitant un travail en coordination avec l’éditeur de l’e-</w:t>
      </w:r>
      <w:proofErr w:type="spellStart"/>
      <w:r>
        <w:rPr>
          <w:rFonts w:ascii="Marianne" w:hAnsi="Marianne"/>
        </w:rPr>
        <w:t>dsn</w:t>
      </w:r>
      <w:proofErr w:type="spellEnd"/>
      <w:r>
        <w:rPr>
          <w:rFonts w:ascii="Marianne" w:hAnsi="Marianne"/>
        </w:rPr>
        <w:t xml:space="preserve"> SHRS.</w:t>
      </w:r>
    </w:p>
    <w:p>
      <w:pPr>
        <w:rPr>
          <w:rFonts w:ascii="Marianne" w:hAnsi="Marianne"/>
        </w:rPr>
      </w:pPr>
      <w:r>
        <w:rPr>
          <w:rFonts w:ascii="Marianne" w:hAnsi="Marianne"/>
        </w:rPr>
        <w:t>La version de janvier 2028 doit comporter les évolutions relatives au nouveau cahier technique de la norme DSN.</w:t>
      </w:r>
    </w:p>
    <w:p>
      <w:pPr>
        <w:rPr>
          <w:rFonts w:ascii="Marianne" w:hAnsi="Marianne"/>
        </w:rPr>
      </w:pPr>
      <w:r>
        <w:rPr>
          <w:rFonts w:ascii="Marianne" w:hAnsi="Marianne"/>
        </w:rPr>
        <w:t>Entre ces paliers, il doit être toujours possible de livrer un correctif ou une amélioration urgente.</w:t>
      </w:r>
    </w:p>
    <w:p>
      <w:pPr>
        <w:rPr>
          <w:rFonts w:ascii="Marianne" w:hAnsi="Marianne"/>
        </w:rPr>
      </w:pPr>
      <w:r>
        <w:rPr>
          <w:rFonts w:ascii="Marianne" w:hAnsi="Marianne"/>
        </w:rPr>
        <w:t xml:space="preserve">Le candidat expose comment il répond aux questions suivantes : </w:t>
      </w:r>
    </w:p>
    <w:p>
      <w:pPr>
        <w:pStyle w:val="Paragraphedeliste"/>
        <w:numPr>
          <w:ilvl w:val="0"/>
          <w:numId w:val="4"/>
        </w:numPr>
        <w:rPr>
          <w:rFonts w:ascii="Marianne" w:hAnsi="Marianne"/>
          <w:sz w:val="20"/>
          <w:szCs w:val="20"/>
        </w:rPr>
      </w:pPr>
      <w:r>
        <w:rPr>
          <w:rFonts w:ascii="Marianne" w:hAnsi="Marianne"/>
          <w:sz w:val="20"/>
          <w:szCs w:val="20"/>
        </w:rPr>
        <w:t>Quel est le dispositif proposé en termes de méthodologie, de calendrier, de gestion des branches et des environnements pour répondre au besoin du bureau de la DSN, tout en garantissant un haut niveau de qualité et le respect les délais ?</w:t>
      </w:r>
    </w:p>
    <w:p>
      <w:pPr>
        <w:pStyle w:val="Paragraphedeliste"/>
        <w:ind w:left="360"/>
        <w:rPr>
          <w:rFonts w:ascii="Marianne" w:hAnsi="Marianne"/>
          <w:sz w:val="20"/>
          <w:szCs w:val="20"/>
        </w:rPr>
      </w:pPr>
    </w:p>
    <w:p>
      <w:pPr>
        <w:pStyle w:val="Paragraphedeliste"/>
        <w:numPr>
          <w:ilvl w:val="0"/>
          <w:numId w:val="4"/>
        </w:numPr>
        <w:rPr>
          <w:rFonts w:ascii="Marianne" w:hAnsi="Marianne"/>
          <w:sz w:val="20"/>
          <w:szCs w:val="20"/>
        </w:rPr>
      </w:pPr>
      <w:r>
        <w:rPr>
          <w:rFonts w:ascii="Marianne" w:hAnsi="Marianne"/>
          <w:sz w:val="20"/>
          <w:szCs w:val="20"/>
        </w:rPr>
        <w:t>Quels sont les risques identifiés et les propositions d’actions pour les limiter ?</w:t>
      </w:r>
    </w:p>
    <w:p>
      <w:pPr>
        <w:rPr>
          <w:rFonts w:ascii="Marianne" w:hAnsi="Marianne"/>
          <w:color w:val="0070C0"/>
          <w:szCs w:val="20"/>
        </w:rPr>
      </w:pPr>
      <w:r>
        <w:rPr>
          <w:rFonts w:ascii="Marianne" w:hAnsi="Marianne"/>
          <w:color w:val="0070C0"/>
          <w:szCs w:val="20"/>
        </w:rPr>
        <w:t xml:space="preserve">La réponse ne doit pas excéder </w:t>
      </w:r>
      <w:r>
        <w:rPr>
          <w:rFonts w:ascii="Marianne" w:hAnsi="Marianne"/>
          <w:b/>
          <w:bCs/>
          <w:color w:val="0070C0"/>
          <w:szCs w:val="20"/>
        </w:rPr>
        <w:t>10 pages</w:t>
      </w:r>
      <w:r>
        <w:rPr>
          <w:rFonts w:ascii="Marianne" w:hAnsi="Marianne"/>
          <w:color w:val="0070C0"/>
          <w:szCs w:val="20"/>
        </w:rPr>
        <w:t xml:space="preserve">. </w:t>
      </w:r>
    </w:p>
    <w:p>
      <w:pPr>
        <w:rPr>
          <w:rFonts w:ascii="Marianne" w:hAnsi="Marianne"/>
          <w:bCs/>
          <w:szCs w:val="20"/>
        </w:rPr>
      </w:pPr>
      <w:r>
        <w:rPr>
          <w:rFonts w:ascii="Marianne" w:hAnsi="Marianne"/>
          <w:bCs/>
          <w:szCs w:val="20"/>
        </w:rPr>
        <w:t>La réponse à ce cas pratique ne constitue pas un début d’exécution, ni un engagement de commande de la personne publique et ne sera en aucun cas rémunérée.</w:t>
      </w:r>
    </w:p>
    <w:p>
      <w:pPr>
        <w:suppressAutoHyphens w:val="0"/>
        <w:spacing w:before="0" w:after="160" w:line="259" w:lineRule="auto"/>
        <w:jc w:val="left"/>
        <w:rPr>
          <w:rFonts w:ascii="Marianne" w:hAnsi="Marianne"/>
          <w:szCs w:val="20"/>
        </w:rPr>
      </w:pPr>
      <w:r>
        <w:rPr>
          <w:rFonts w:ascii="Marianne" w:hAnsi="Marianne"/>
          <w:szCs w:val="20"/>
        </w:rPr>
        <w:br w:type="page"/>
      </w:r>
    </w:p>
    <w:p>
      <w:pPr>
        <w:rPr>
          <w:rFonts w:ascii="Marianne" w:hAnsi="Marianne"/>
          <w:szCs w:val="20"/>
        </w:rPr>
      </w:pPr>
    </w:p>
    <w:p>
      <w:pPr>
        <w:pStyle w:val="Titre1"/>
        <w:rPr>
          <w:rFonts w:ascii="Marianne" w:hAnsi="Marianne"/>
        </w:rPr>
      </w:pPr>
      <w:bookmarkStart w:id="19" w:name="_Toc219207390"/>
      <w:r>
        <w:rPr>
          <w:rFonts w:ascii="Marianne" w:hAnsi="Marianne"/>
        </w:rPr>
        <w:t>6. Gestion des déplacements des consultants</w:t>
      </w:r>
      <w:bookmarkEnd w:id="19"/>
      <w:r>
        <w:rPr>
          <w:rFonts w:ascii="Marianne" w:hAnsi="Marianne"/>
        </w:rPr>
        <w:t xml:space="preserve"> </w:t>
      </w:r>
    </w:p>
    <w:p>
      <w:pPr>
        <w:rPr>
          <w:rFonts w:ascii="Marianne" w:hAnsi="Marianne"/>
          <w:szCs w:val="20"/>
        </w:rPr>
      </w:pPr>
      <w:r>
        <w:rPr>
          <w:rFonts w:ascii="Marianne" w:hAnsi="Marianne"/>
          <w:szCs w:val="20"/>
        </w:rPr>
        <w:t>Le candidat devra expliquer les stratégies concrètes qu’il compte mettre en place pour limiter et optimiser les déplacements liés aux missions de ses collaborateurs dans l’objectif de limiter les émissions de gaz à effet de serre (GES)</w:t>
      </w:r>
    </w:p>
    <w:p>
      <w:pPr>
        <w:rPr>
          <w:rFonts w:ascii="Marianne" w:hAnsi="Marianne"/>
          <w:szCs w:val="20"/>
        </w:rPr>
      </w:pPr>
      <w:r>
        <w:rPr>
          <w:rFonts w:ascii="Marianne" w:hAnsi="Marianne"/>
          <w:szCs w:val="20"/>
        </w:rPr>
        <w:t>Le candidat renseigne :</w:t>
      </w:r>
    </w:p>
    <w:p>
      <w:pPr>
        <w:pStyle w:val="Paragraphedeliste"/>
        <w:numPr>
          <w:ilvl w:val="0"/>
          <w:numId w:val="5"/>
        </w:numPr>
        <w:jc w:val="both"/>
        <w:rPr>
          <w:rFonts w:ascii="Marianne" w:hAnsi="Marianne"/>
          <w:sz w:val="20"/>
          <w:szCs w:val="20"/>
        </w:rPr>
      </w:pPr>
      <w:r>
        <w:rPr>
          <w:rFonts w:ascii="Marianne" w:hAnsi="Marianne"/>
          <w:sz w:val="20"/>
          <w:szCs w:val="20"/>
        </w:rPr>
        <w:t>Le type de transport privilégié pour l’exécution des prestations du marché ;</w:t>
      </w:r>
    </w:p>
    <w:p>
      <w:pPr>
        <w:pStyle w:val="Paragraphedeliste"/>
        <w:numPr>
          <w:ilvl w:val="0"/>
          <w:numId w:val="5"/>
        </w:numPr>
        <w:jc w:val="both"/>
        <w:rPr>
          <w:rFonts w:ascii="Marianne" w:hAnsi="Marianne"/>
          <w:sz w:val="20"/>
          <w:szCs w:val="20"/>
        </w:rPr>
      </w:pPr>
      <w:r>
        <w:rPr>
          <w:rFonts w:ascii="Marianne" w:hAnsi="Marianne"/>
          <w:sz w:val="20"/>
          <w:szCs w:val="20"/>
        </w:rPr>
        <w:t>Les pratiques mises en place pour optimiser et rationaliser les déplacements ;</w:t>
      </w:r>
    </w:p>
    <w:p>
      <w:pPr>
        <w:pStyle w:val="Paragraphedeliste"/>
        <w:numPr>
          <w:ilvl w:val="0"/>
          <w:numId w:val="5"/>
        </w:numPr>
        <w:jc w:val="both"/>
        <w:rPr>
          <w:rFonts w:ascii="Marianne" w:hAnsi="Marianne"/>
          <w:sz w:val="20"/>
          <w:szCs w:val="20"/>
        </w:rPr>
      </w:pPr>
      <w:r>
        <w:rPr>
          <w:rFonts w:ascii="Marianne" w:hAnsi="Marianne"/>
          <w:sz w:val="20"/>
          <w:szCs w:val="20"/>
        </w:rPr>
        <w:t>Les actions proposées pour réduire les émissions de gaz à effet de serre associées au déplacement des consultants (ex : mesure d’aide à l’accès à la mobilité douce, etc.).</w:t>
      </w:r>
    </w:p>
    <w:p>
      <w:pPr>
        <w:rPr>
          <w:rFonts w:ascii="Marianne" w:hAnsi="Marianne"/>
          <w:szCs w:val="20"/>
        </w:rPr>
      </w:pPr>
      <w:r>
        <w:rPr>
          <w:rFonts w:ascii="Marianne" w:hAnsi="Marianne"/>
          <w:szCs w:val="20"/>
        </w:rPr>
        <w:t xml:space="preserve">Pour chacune des actions, le candidat transmet les justificatifs associés. Par exemple : </w:t>
      </w:r>
    </w:p>
    <w:p>
      <w:pPr>
        <w:pStyle w:val="Paragraphedeliste"/>
        <w:numPr>
          <w:ilvl w:val="0"/>
          <w:numId w:val="5"/>
        </w:numPr>
        <w:jc w:val="both"/>
        <w:rPr>
          <w:rFonts w:ascii="Marianne" w:hAnsi="Marianne"/>
          <w:sz w:val="20"/>
          <w:szCs w:val="20"/>
        </w:rPr>
      </w:pPr>
      <w:proofErr w:type="gramStart"/>
      <w:r>
        <w:rPr>
          <w:rFonts w:ascii="Marianne" w:hAnsi="Marianne"/>
          <w:sz w:val="20"/>
          <w:szCs w:val="20"/>
        </w:rPr>
        <w:t>politique</w:t>
      </w:r>
      <w:proofErr w:type="gramEnd"/>
      <w:r>
        <w:rPr>
          <w:rFonts w:ascii="Marianne" w:hAnsi="Marianne"/>
          <w:sz w:val="20"/>
          <w:szCs w:val="20"/>
        </w:rPr>
        <w:t xml:space="preserve"> de transport s’appliquant à la prestation objet du présent marché, </w:t>
      </w:r>
    </w:p>
    <w:p>
      <w:pPr>
        <w:pStyle w:val="Paragraphedeliste"/>
        <w:numPr>
          <w:ilvl w:val="0"/>
          <w:numId w:val="5"/>
        </w:numPr>
        <w:jc w:val="both"/>
        <w:rPr>
          <w:rFonts w:ascii="Marianne" w:hAnsi="Marianne"/>
          <w:sz w:val="20"/>
          <w:szCs w:val="20"/>
        </w:rPr>
      </w:pPr>
      <w:proofErr w:type="gramStart"/>
      <w:r>
        <w:rPr>
          <w:rFonts w:ascii="Marianne" w:hAnsi="Marianne"/>
          <w:sz w:val="20"/>
          <w:szCs w:val="20"/>
        </w:rPr>
        <w:t>mesure</w:t>
      </w:r>
      <w:proofErr w:type="gramEnd"/>
      <w:r>
        <w:rPr>
          <w:rFonts w:ascii="Marianne" w:hAnsi="Marianne"/>
          <w:sz w:val="20"/>
          <w:szCs w:val="20"/>
        </w:rPr>
        <w:t xml:space="preserve"> d’aide à l’accès à la mobilité douce, </w:t>
      </w:r>
    </w:p>
    <w:p>
      <w:pPr>
        <w:pStyle w:val="Paragraphedeliste"/>
        <w:numPr>
          <w:ilvl w:val="0"/>
          <w:numId w:val="5"/>
        </w:numPr>
        <w:jc w:val="both"/>
        <w:rPr>
          <w:rFonts w:ascii="Marianne" w:hAnsi="Marianne"/>
          <w:sz w:val="20"/>
          <w:szCs w:val="20"/>
        </w:rPr>
      </w:pPr>
      <w:proofErr w:type="gramStart"/>
      <w:r>
        <w:rPr>
          <w:rFonts w:ascii="Marianne" w:hAnsi="Marianne"/>
          <w:sz w:val="20"/>
          <w:szCs w:val="20"/>
        </w:rPr>
        <w:t>label</w:t>
      </w:r>
      <w:proofErr w:type="gramEnd"/>
      <w:r>
        <w:rPr>
          <w:rFonts w:ascii="Marianne" w:hAnsi="Marianne"/>
          <w:sz w:val="20"/>
          <w:szCs w:val="20"/>
        </w:rPr>
        <w:t xml:space="preserve"> obtenu intégrant un axe réduction des émissions de gaz à effet de serre associées au déplacement de personnes, etc.) </w:t>
      </w:r>
    </w:p>
    <w:p>
      <w:pPr>
        <w:pStyle w:val="Paragraphedeliste"/>
        <w:numPr>
          <w:ilvl w:val="0"/>
          <w:numId w:val="5"/>
        </w:numPr>
        <w:jc w:val="both"/>
        <w:rPr>
          <w:rFonts w:ascii="Marianne" w:hAnsi="Marianne"/>
          <w:sz w:val="20"/>
          <w:szCs w:val="20"/>
        </w:rPr>
      </w:pPr>
      <w:r>
        <w:rPr>
          <w:rFonts w:ascii="Marianne" w:hAnsi="Marianne"/>
          <w:sz w:val="20"/>
          <w:szCs w:val="20"/>
        </w:rPr>
        <w:t xml:space="preserve">Document interne daté et signé détaillant les mesures d’aides notamment financières mises en place pour les déplacements des collaborateurs. </w:t>
      </w:r>
    </w:p>
    <w:p>
      <w:pPr>
        <w:rPr>
          <w:rFonts w:ascii="Marianne" w:hAnsi="Marianne"/>
          <w:b/>
          <w:bCs/>
          <w:color w:val="0070C0"/>
          <w:szCs w:val="20"/>
        </w:rPr>
      </w:pPr>
      <w:r>
        <w:rPr>
          <w:rFonts w:ascii="Marianne" w:hAnsi="Marianne"/>
          <w:b/>
          <w:bCs/>
          <w:color w:val="0070C0"/>
          <w:szCs w:val="20"/>
        </w:rPr>
        <w:t>La présentation ne doit pas excéder 3 pages.</w:t>
      </w:r>
    </w:p>
    <w:sectPr>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noProof/>
        <w:sz w:val="16"/>
        <w:lang w:eastAsia="fr-FR"/>
      </w:rPr>
    </w:pPr>
    <w:r>
      <w:rPr>
        <w:rFonts w:ascii="Marianne" w:hAnsi="Marianne"/>
        <w:noProof/>
        <w:sz w:val="16"/>
        <w:lang w:eastAsia="fr-FR"/>
      </w:rPr>
      <w:t>41, Boulevard Vincent Auriol</w:t>
    </w:r>
  </w:p>
  <w:p>
    <w:pPr>
      <w:pStyle w:val="Pieddepage"/>
      <w:rPr>
        <w:rFonts w:ascii="Marianne" w:hAnsi="Marianne"/>
        <w:noProof/>
        <w:sz w:val="16"/>
        <w:lang w:eastAsia="fr-FR"/>
      </w:rPr>
    </w:pPr>
    <w:r>
      <w:rPr>
        <w:rFonts w:ascii="Marianne" w:hAnsi="Marianne"/>
        <w:noProof/>
        <w:sz w:val="16"/>
        <w:lang w:eastAsia="fr-FR"/>
      </w:rPr>
      <w:t>75013 PARIS</w:t>
    </w:r>
  </w:p>
  <w:p>
    <w:pPr>
      <w:pStyle w:val="Pieddepage"/>
      <w:rPr>
        <w:rFonts w:ascii="Marianne" w:hAnsi="Marianne"/>
        <w:sz w:val="16"/>
      </w:rPr>
    </w:pPr>
    <w:hyperlink r:id="rId1" w:history="1">
      <w:r>
        <w:rPr>
          <w:rStyle w:val="Lienhypertexte"/>
          <w:rFonts w:ascii="Marianne" w:hAnsi="Marianne"/>
          <w:noProof/>
          <w:sz w:val="16"/>
          <w:lang w:eastAsia="fr-FR"/>
        </w:rPr>
        <w:t>www.economie.gouv.fr/cisirh</w:t>
      </w:r>
    </w:hyperlink>
    <w:r>
      <w:rPr>
        <w:rFonts w:ascii="Marianne" w:hAnsi="Marianne"/>
        <w:sz w:val="16"/>
      </w:rPr>
      <w:ptab w:relativeTo="margin" w:alignment="center" w:leader="none"/>
    </w:r>
    <w:r>
      <w:rPr>
        <w:rFonts w:ascii="Marianne" w:hAnsi="Marianne"/>
        <w:sz w:val="16"/>
      </w:rPr>
      <w:fldChar w:fldCharType="begin"/>
    </w:r>
    <w:r>
      <w:rPr>
        <w:rFonts w:ascii="Marianne" w:hAnsi="Marianne"/>
        <w:sz w:val="16"/>
      </w:rPr>
      <w:instrText>PAGE   \* MERGEFORMAT</w:instrText>
    </w:r>
    <w:r>
      <w:rPr>
        <w:rFonts w:ascii="Marianne" w:hAnsi="Marianne"/>
        <w:sz w:val="16"/>
      </w:rPr>
      <w:fldChar w:fldCharType="separate"/>
    </w:r>
    <w:r>
      <w:rPr>
        <w:rFonts w:ascii="Marianne" w:hAnsi="Marianne"/>
        <w:noProof/>
        <w:sz w:val="16"/>
      </w:rPr>
      <w:t>12</w:t>
    </w:r>
    <w:r>
      <w:rPr>
        <w:rFonts w:ascii="Marianne" w:hAnsi="Marianne"/>
        <w:sz w:val="16"/>
      </w:rPr>
      <w:fldChar w:fldCharType="end"/>
    </w:r>
    <w:r>
      <w:rPr>
        <w:rFonts w:ascii="Marianne" w:hAnsi="Marianne"/>
        <w:sz w:val="16"/>
      </w:rPr>
      <w:ptab w:relativeTo="margin" w:alignment="right" w:leader="none"/>
    </w:r>
  </w:p>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before="0" w:after="0"/>
      </w:pPr>
      <w:r>
        <w:separator/>
      </w:r>
    </w:p>
  </w:footnote>
  <w:footnote w:type="continuationSeparator" w:id="0">
    <w:p>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2835"/>
    </w:tblGrid>
    <w:tr>
      <w:trPr>
        <w:trHeight w:val="1408"/>
      </w:trPr>
      <w:tc>
        <w:tcPr>
          <w:tcW w:w="2263" w:type="dxa"/>
          <w:shd w:val="clear" w:color="auto" w:fill="auto"/>
          <w:vAlign w:val="center"/>
        </w:tcPr>
        <w:p>
          <w:pPr>
            <w:pStyle w:val="En-tte"/>
          </w:pPr>
          <w:r>
            <w:rPr>
              <w:noProof/>
            </w:rPr>
            <w:drawing>
              <wp:inline distT="0" distB="0" distL="0" distR="0">
                <wp:extent cx="1299845" cy="626110"/>
                <wp:effectExtent l="0" t="0" r="0" b="254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845" cy="626110"/>
                        </a:xfrm>
                        <a:prstGeom prst="rect">
                          <a:avLst/>
                        </a:prstGeom>
                        <a:noFill/>
                        <a:ln>
                          <a:noFill/>
                        </a:ln>
                      </pic:spPr>
                    </pic:pic>
                  </a:graphicData>
                </a:graphic>
              </wp:inline>
            </w:drawing>
          </w:r>
        </w:p>
      </w:tc>
      <w:tc>
        <w:tcPr>
          <w:tcW w:w="3969" w:type="dxa"/>
          <w:shd w:val="clear" w:color="auto" w:fill="auto"/>
          <w:vAlign w:val="center"/>
        </w:tcPr>
        <w:p>
          <w:pPr>
            <w:pStyle w:val="En-tte"/>
            <w:jc w:val="center"/>
          </w:pPr>
          <w:r>
            <w:rPr>
              <w:rFonts w:ascii="Marianne" w:hAnsi="Marianne"/>
              <w:b/>
            </w:rPr>
            <w:t>Marché_CISIRH_TMA_CTDSN_2026_CRT</w:t>
          </w:r>
        </w:p>
      </w:tc>
      <w:tc>
        <w:tcPr>
          <w:tcW w:w="2835" w:type="dxa"/>
          <w:shd w:val="clear" w:color="auto" w:fill="auto"/>
          <w:vAlign w:val="center"/>
        </w:tcPr>
        <w:p>
          <w:pPr>
            <w:pStyle w:val="En-tte"/>
            <w:jc w:val="right"/>
          </w:pPr>
          <w:r>
            <w:rPr>
              <w:noProof/>
              <w:lang w:eastAsia="fr-FR"/>
            </w:rPr>
            <w:drawing>
              <wp:inline distT="0" distB="0" distL="0" distR="0">
                <wp:extent cx="1299845" cy="54419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2"/>
                        <pic:cNvPicPr>
                          <a:picLocks noChangeAspect="1" noChangeArrowheads="1"/>
                        </pic:cNvPicPr>
                      </pic:nvPicPr>
                      <pic:blipFill>
                        <a:blip r:embed="rId2">
                          <a:extLst>
                            <a:ext uri="{28A0092B-C50C-407E-A947-70E740481C1C}">
                              <a14:useLocalDpi xmlns:a14="http://schemas.microsoft.com/office/drawing/2010/main" val="0"/>
                            </a:ext>
                          </a:extLst>
                        </a:blip>
                        <a:srcRect l="53900"/>
                        <a:stretch>
                          <a:fillRect/>
                        </a:stretch>
                      </pic:blipFill>
                      <pic:spPr bwMode="auto">
                        <a:xfrm>
                          <a:off x="0" y="0"/>
                          <a:ext cx="1299845" cy="544195"/>
                        </a:xfrm>
                        <a:prstGeom prst="rect">
                          <a:avLst/>
                        </a:prstGeom>
                        <a:noFill/>
                        <a:ln>
                          <a:noFill/>
                        </a:ln>
                      </pic:spPr>
                    </pic:pic>
                  </a:graphicData>
                </a:graphic>
              </wp:inline>
            </w:drawing>
          </w:r>
        </w:p>
      </w:tc>
    </w:tr>
  </w:tbl>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r>
      <w:rPr>
        <w:noProof/>
      </w:rPr>
      <w:drawing>
        <wp:inline distT="0" distB="0" distL="0" distR="0">
          <wp:extent cx="5760720" cy="119824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98245"/>
                  </a:xfrm>
                  <a:prstGeom prst="rect">
                    <a:avLst/>
                  </a:prstGeom>
                  <a:noFill/>
                  <a:ln>
                    <a:noFill/>
                  </a:ln>
                </pic:spPr>
              </pic:pic>
            </a:graphicData>
          </a:graphic>
        </wp:inline>
      </w:drawing>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C6982"/>
    <w:multiLevelType w:val="hybridMultilevel"/>
    <w:tmpl w:val="FF3434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49F167F5"/>
    <w:multiLevelType w:val="hybridMultilevel"/>
    <w:tmpl w:val="230ABCF4"/>
    <w:lvl w:ilvl="0" w:tplc="767CD5D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AD57C7"/>
    <w:multiLevelType w:val="hybridMultilevel"/>
    <w:tmpl w:val="C8562D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F644C14"/>
    <w:multiLevelType w:val="hybridMultilevel"/>
    <w:tmpl w:val="667E4B7E"/>
    <w:lvl w:ilvl="0" w:tplc="E53CB086">
      <w:start w:val="1"/>
      <w:numFmt w:val="bullet"/>
      <w:pStyle w:val="Puce1"/>
      <w:lvlText w:val=""/>
      <w:lvlJc w:val="left"/>
      <w:pPr>
        <w:ind w:left="1440" w:hanging="360"/>
      </w:pPr>
      <w:rPr>
        <w:rFonts w:ascii="Symbol" w:hAnsi="Symbol" w:hint="default"/>
        <w:sz w:val="20"/>
      </w:rPr>
    </w:lvl>
    <w:lvl w:ilvl="1" w:tplc="25EC50B8">
      <w:start w:val="1"/>
      <w:numFmt w:val="bullet"/>
      <w:pStyle w:val="Puce2"/>
      <w:lvlText w:val="o"/>
      <w:lvlJc w:val="left"/>
      <w:pPr>
        <w:ind w:left="2160" w:hanging="360"/>
      </w:pPr>
      <w:rPr>
        <w:rFonts w:ascii="Courier New" w:hAnsi="Courier New" w:cs="Courier New" w:hint="default"/>
      </w:rPr>
    </w:lvl>
    <w:lvl w:ilvl="2" w:tplc="B644C908">
      <w:start w:val="1"/>
      <w:numFmt w:val="bullet"/>
      <w:pStyle w:val="Puce3"/>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63CD065D"/>
    <w:multiLevelType w:val="hybridMultilevel"/>
    <w:tmpl w:val="40EC182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5AA8A6-D11E-490D-BCBA-5AA864B3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line="240" w:lineRule="auto"/>
      <w:jc w:val="both"/>
    </w:pPr>
    <w:rPr>
      <w:rFonts w:ascii="Arial" w:eastAsia="Times New Roman" w:hAnsi="Arial" w:cs="Arial"/>
      <w:sz w:val="20"/>
      <w:szCs w:val="24"/>
      <w:lang w:eastAsia="ar-SA"/>
    </w:rPr>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ar-SA"/>
    </w:rPr>
  </w:style>
  <w:style w:type="paragraph" w:styleId="En-ttedetabledesmatires">
    <w:name w:val="TOC Heading"/>
    <w:basedOn w:val="Titre1"/>
    <w:next w:val="Normal"/>
    <w:uiPriority w:val="39"/>
    <w:unhideWhenUsed/>
    <w:qFormat/>
    <w:pPr>
      <w:suppressAutoHyphens w:val="0"/>
      <w:spacing w:line="259" w:lineRule="auto"/>
      <w:jc w:val="left"/>
      <w:outlineLvl w:val="9"/>
    </w:pPr>
    <w:rPr>
      <w:lang w:eastAsia="fr-FR"/>
    </w:rPr>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lang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Cs w:val="20"/>
    </w:rPr>
  </w:style>
  <w:style w:type="character" w:customStyle="1" w:styleId="CommentaireCar">
    <w:name w:val="Commentaire Car"/>
    <w:basedOn w:val="Policepardfaut"/>
    <w:link w:val="Commentaire"/>
    <w:uiPriority w:val="99"/>
    <w:semiHidden/>
    <w:rPr>
      <w:rFonts w:ascii="Arial" w:eastAsia="Times New Roman" w:hAnsi="Arial" w:cs="Arial"/>
      <w:sz w:val="20"/>
      <w:szCs w:val="20"/>
      <w:lang w:eastAsia="ar-SA"/>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eastAsia="Times New Roman" w:hAnsi="Arial" w:cs="Arial"/>
      <w:b/>
      <w:bCs/>
      <w:sz w:val="20"/>
      <w:szCs w:val="20"/>
      <w:lang w:eastAsia="ar-SA"/>
    </w:rPr>
  </w:style>
  <w:style w:type="paragraph" w:styleId="Textedebulles">
    <w:name w:val="Balloon Text"/>
    <w:basedOn w:val="Normal"/>
    <w:link w:val="TextedebullesCar"/>
    <w:uiPriority w:val="99"/>
    <w:semiHidden/>
    <w:unhideWhenUse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ar-SA"/>
    </w:rPr>
  </w:style>
  <w:style w:type="paragraph" w:customStyle="1" w:styleId="TableParagraph">
    <w:name w:val="Table Paragraph"/>
    <w:basedOn w:val="Normal"/>
    <w:uiPriority w:val="1"/>
    <w:qFormat/>
    <w:pPr>
      <w:widowControl w:val="0"/>
      <w:suppressAutoHyphens w:val="0"/>
      <w:spacing w:before="0" w:after="0"/>
      <w:jc w:val="left"/>
    </w:pPr>
    <w:rPr>
      <w:rFonts w:ascii="Calibri" w:eastAsia="Calibri" w:hAnsi="Calibri" w:cs="Times New Roman"/>
      <w:sz w:val="22"/>
      <w:szCs w:val="22"/>
      <w:lang w:eastAsia="en-US"/>
    </w:rPr>
  </w:style>
  <w:style w:type="paragraph" w:customStyle="1" w:styleId="Puce1">
    <w:name w:val="Puce 1"/>
    <w:basedOn w:val="Normal"/>
    <w:qFormat/>
    <w:pPr>
      <w:numPr>
        <w:numId w:val="1"/>
      </w:numPr>
      <w:ind w:left="426"/>
    </w:pPr>
  </w:style>
  <w:style w:type="paragraph" w:customStyle="1" w:styleId="Puce2">
    <w:name w:val="Puce 2"/>
    <w:basedOn w:val="Normal"/>
    <w:qFormat/>
    <w:pPr>
      <w:numPr>
        <w:ilvl w:val="1"/>
        <w:numId w:val="1"/>
      </w:numPr>
      <w:ind w:left="851"/>
    </w:pPr>
  </w:style>
  <w:style w:type="paragraph" w:customStyle="1" w:styleId="Puce3">
    <w:name w:val="Puce 3"/>
    <w:basedOn w:val="Puce2"/>
    <w:qFormat/>
    <w:pPr>
      <w:numPr>
        <w:ilvl w:val="2"/>
      </w:numPr>
      <w:ind w:left="1276"/>
    </w:pPr>
  </w:style>
  <w:style w:type="character" w:customStyle="1" w:styleId="Titre3Car">
    <w:name w:val="Titre 3 Car"/>
    <w:basedOn w:val="Policepardfaut"/>
    <w:link w:val="Titre3"/>
    <w:uiPriority w:val="9"/>
    <w:rPr>
      <w:rFonts w:asciiTheme="majorHAnsi" w:eastAsiaTheme="majorEastAsia" w:hAnsiTheme="majorHAnsi" w:cstheme="majorBidi"/>
      <w:color w:val="1F4D78" w:themeColor="accent1" w:themeShade="7F"/>
      <w:sz w:val="24"/>
      <w:szCs w:val="24"/>
      <w:lang w:eastAsia="ar-SA"/>
    </w:rPr>
  </w:style>
  <w:style w:type="paragraph" w:styleId="TM1">
    <w:name w:val="toc 1"/>
    <w:basedOn w:val="Normal"/>
    <w:next w:val="Normal"/>
    <w:autoRedefine/>
    <w:uiPriority w:val="39"/>
    <w:unhideWhenUsed/>
    <w:pPr>
      <w:spacing w:after="100"/>
    </w:pPr>
  </w:style>
  <w:style w:type="paragraph" w:styleId="TM2">
    <w:name w:val="toc 2"/>
    <w:basedOn w:val="Normal"/>
    <w:next w:val="Normal"/>
    <w:autoRedefine/>
    <w:uiPriority w:val="39"/>
    <w:unhideWhenUsed/>
    <w:pPr>
      <w:spacing w:after="100"/>
      <w:ind w:left="200"/>
    </w:pPr>
  </w:style>
  <w:style w:type="paragraph" w:styleId="TM3">
    <w:name w:val="toc 3"/>
    <w:basedOn w:val="Normal"/>
    <w:next w:val="Normal"/>
    <w:autoRedefine/>
    <w:uiPriority w:val="39"/>
    <w:unhideWhenUsed/>
    <w:pPr>
      <w:spacing w:after="100"/>
      <w:ind w:left="400"/>
    </w:pPr>
  </w:style>
  <w:style w:type="character" w:styleId="Lienhypertexte">
    <w:name w:val="Hyperlink"/>
    <w:basedOn w:val="Policepardfaut"/>
    <w:uiPriority w:val="99"/>
    <w:unhideWhenUsed/>
    <w:rPr>
      <w:color w:val="0563C1" w:themeColor="hyperlink"/>
      <w:u w:val="single"/>
    </w:rPr>
  </w:style>
  <w:style w:type="paragraph" w:styleId="En-tte">
    <w:name w:val="header"/>
    <w:aliases w:val="En-tête1,E.e,E,En-tête11,E.e1,E1,En-tête-1,En-tête-2"/>
    <w:basedOn w:val="Normal"/>
    <w:link w:val="En-tteCar"/>
    <w:uiPriority w:val="99"/>
    <w:unhideWhenUsed/>
    <w:pPr>
      <w:tabs>
        <w:tab w:val="center" w:pos="4536"/>
        <w:tab w:val="right" w:pos="9072"/>
      </w:tabs>
      <w:spacing w:before="0" w:after="0"/>
    </w:pPr>
  </w:style>
  <w:style w:type="character" w:customStyle="1" w:styleId="En-tteCar">
    <w:name w:val="En-tête Car"/>
    <w:aliases w:val="En-tête1 Car,E.e Car,E Car,En-tête11 Car,E.e1 Car,E1 Car,En-tête-1 Car,En-tête-2 Car"/>
    <w:basedOn w:val="Policepardfaut"/>
    <w:link w:val="En-tte"/>
    <w:uiPriority w:val="99"/>
    <w:rPr>
      <w:rFonts w:ascii="Arial" w:eastAsia="Times New Roman" w:hAnsi="Arial" w:cs="Arial"/>
      <w:sz w:val="20"/>
      <w:szCs w:val="24"/>
      <w:lang w:eastAsia="ar-SA"/>
    </w:rPr>
  </w:style>
  <w:style w:type="paragraph" w:styleId="Pieddepage">
    <w:name w:val="footer"/>
    <w:basedOn w:val="Normal"/>
    <w:link w:val="PieddepageCar"/>
    <w:uiPriority w:val="99"/>
    <w:unhideWhenUsed/>
    <w:pPr>
      <w:tabs>
        <w:tab w:val="center" w:pos="4536"/>
        <w:tab w:val="right" w:pos="9072"/>
      </w:tabs>
      <w:spacing w:before="0" w:after="0"/>
    </w:pPr>
  </w:style>
  <w:style w:type="character" w:customStyle="1" w:styleId="PieddepageCar">
    <w:name w:val="Pied de page Car"/>
    <w:basedOn w:val="Policepardfaut"/>
    <w:link w:val="Pieddepage"/>
    <w:uiPriority w:val="99"/>
    <w:rPr>
      <w:rFonts w:ascii="Arial" w:eastAsia="Times New Roman" w:hAnsi="Arial" w:cs="Arial"/>
      <w:sz w:val="20"/>
      <w:szCs w:val="24"/>
      <w:lang w:eastAsia="ar-SA"/>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pPr>
      <w:suppressAutoHyphens w:val="0"/>
      <w:spacing w:before="0" w:after="160" w:line="259" w:lineRule="auto"/>
      <w:ind w:left="72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5387">
      <w:bodyDiv w:val="1"/>
      <w:marLeft w:val="0"/>
      <w:marRight w:val="0"/>
      <w:marTop w:val="0"/>
      <w:marBottom w:val="0"/>
      <w:divBdr>
        <w:top w:val="none" w:sz="0" w:space="0" w:color="auto"/>
        <w:left w:val="none" w:sz="0" w:space="0" w:color="auto"/>
        <w:bottom w:val="none" w:sz="0" w:space="0" w:color="auto"/>
        <w:right w:val="none" w:sz="0" w:space="0" w:color="auto"/>
      </w:divBdr>
    </w:div>
    <w:div w:id="96647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file:///C:\Users\mponthiaux-adc\Desktop\Intranet\Logo%20Charte%20graphique\www.economie.gouv.fr\cisirh"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906B2-1F7B-46CA-A3C6-78877A9A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1555</Words>
  <Characters>8555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FROMENT Isabelle</dc:creator>
  <cp:keywords/>
  <dc:description/>
  <cp:lastModifiedBy>FROMENT Isabelle</cp:lastModifiedBy>
  <cp:revision>20</cp:revision>
  <cp:lastPrinted>2023-03-30T14:11:00Z</cp:lastPrinted>
  <dcterms:created xsi:type="dcterms:W3CDTF">2025-02-20T15:06:00Z</dcterms:created>
  <dcterms:modified xsi:type="dcterms:W3CDTF">2026-01-13T13:58:00Z</dcterms:modified>
</cp:coreProperties>
</file>