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11EC8" w14:textId="4FDDD412" w:rsidR="00716297" w:rsidRDefault="00716297" w:rsidP="00716297">
      <w:pPr>
        <w:rPr>
          <w:bdr w:val="nil"/>
          <w:lang w:eastAsia="fr-FR"/>
        </w:rPr>
      </w:pPr>
      <w:r w:rsidRPr="00880948">
        <w:rPr>
          <w:noProof/>
          <w:lang w:eastAsia="fr-FR"/>
        </w:rPr>
        <w:drawing>
          <wp:anchor distT="0" distB="0" distL="114300" distR="114300" simplePos="0" relativeHeight="251659264" behindDoc="0" locked="0" layoutInCell="1" allowOverlap="1" wp14:anchorId="09918B38" wp14:editId="4D3EB3D3">
            <wp:simplePos x="0" y="0"/>
            <wp:positionH relativeFrom="margin">
              <wp:posOffset>3600450</wp:posOffset>
            </wp:positionH>
            <wp:positionV relativeFrom="paragraph">
              <wp:posOffset>3175</wp:posOffset>
            </wp:positionV>
            <wp:extent cx="2514600" cy="243840"/>
            <wp:effectExtent l="0" t="0" r="0" b="3810"/>
            <wp:wrapThrough wrapText="bothSides">
              <wp:wrapPolygon edited="0">
                <wp:start x="0" y="0"/>
                <wp:lineTo x="0" y="20250"/>
                <wp:lineTo x="21436" y="20250"/>
                <wp:lineTo x="21436" y="0"/>
                <wp:lineTo x="0" y="0"/>
              </wp:wrapPolygon>
            </wp:wrapThrough>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243840"/>
                    </a:xfrm>
                    <a:prstGeom prst="rect">
                      <a:avLst/>
                    </a:prstGeom>
                  </pic:spPr>
                </pic:pic>
              </a:graphicData>
            </a:graphic>
          </wp:anchor>
        </w:drawing>
      </w:r>
      <w:r w:rsidRPr="00880948">
        <w:rPr>
          <w:noProof/>
          <w:lang w:eastAsia="fr-FR"/>
        </w:rPr>
        <w:drawing>
          <wp:inline distT="0" distB="0" distL="0" distR="0" wp14:anchorId="10BCF1A5" wp14:editId="3B8EF6D2">
            <wp:extent cx="3025402" cy="1036410"/>
            <wp:effectExtent l="0" t="0" r="381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9"/>
                    <a:stretch>
                      <a:fillRect/>
                    </a:stretch>
                  </pic:blipFill>
                  <pic:spPr>
                    <a:xfrm>
                      <a:off x="0" y="0"/>
                      <a:ext cx="3025402" cy="1036410"/>
                    </a:xfrm>
                    <a:prstGeom prst="rect">
                      <a:avLst/>
                    </a:prstGeom>
                  </pic:spPr>
                </pic:pic>
              </a:graphicData>
            </a:graphic>
          </wp:inline>
        </w:drawing>
      </w:r>
    </w:p>
    <w:p w14:paraId="3982DB23" w14:textId="00756F35" w:rsidR="00716297" w:rsidRDefault="00716297" w:rsidP="00716297">
      <w:pPr>
        <w:rPr>
          <w:bdr w:val="nil"/>
          <w:lang w:eastAsia="fr-FR"/>
        </w:rPr>
      </w:pPr>
    </w:p>
    <w:p w14:paraId="3437E692" w14:textId="5F955038" w:rsidR="00716297" w:rsidRDefault="00716297" w:rsidP="00716297">
      <w:pPr>
        <w:rPr>
          <w:bdr w:val="nil"/>
          <w:lang w:eastAsia="fr-FR"/>
        </w:rPr>
      </w:pPr>
    </w:p>
    <w:p w14:paraId="7E33703C" w14:textId="6F1ADFF3" w:rsidR="00716297" w:rsidRDefault="00716297" w:rsidP="00716297">
      <w:pPr>
        <w:rPr>
          <w:bdr w:val="nil"/>
          <w:lang w:eastAsia="fr-FR"/>
        </w:rPr>
      </w:pPr>
    </w:p>
    <w:p w14:paraId="54E8324C" w14:textId="6ADE6978" w:rsidR="00716297" w:rsidRDefault="00716297" w:rsidP="00716297">
      <w:pPr>
        <w:rPr>
          <w:bdr w:val="nil"/>
          <w:lang w:eastAsia="fr-FR"/>
        </w:rPr>
      </w:pPr>
    </w:p>
    <w:p w14:paraId="718114F4" w14:textId="000DD84B" w:rsidR="00716297" w:rsidRDefault="00716297" w:rsidP="00716297">
      <w:pPr>
        <w:rPr>
          <w:bdr w:val="nil"/>
          <w:lang w:eastAsia="fr-FR"/>
        </w:rPr>
      </w:pPr>
    </w:p>
    <w:p w14:paraId="2E2F6E45" w14:textId="6CA6094F" w:rsidR="00716297" w:rsidRDefault="00716297" w:rsidP="00716297">
      <w:pPr>
        <w:rPr>
          <w:bdr w:val="nil"/>
          <w:lang w:eastAsia="fr-FR"/>
        </w:rPr>
      </w:pPr>
    </w:p>
    <w:p w14:paraId="176ADAAF" w14:textId="22F5EEFB" w:rsidR="00716297" w:rsidRDefault="00716297" w:rsidP="00716297">
      <w:pPr>
        <w:rPr>
          <w:bdr w:val="nil"/>
          <w:lang w:eastAsia="fr-FR"/>
        </w:rPr>
      </w:pPr>
    </w:p>
    <w:p w14:paraId="2D267127" w14:textId="36CFAC6D" w:rsidR="00716297" w:rsidRDefault="00716297" w:rsidP="00716297">
      <w:pPr>
        <w:rPr>
          <w:bdr w:val="nil"/>
          <w:lang w:eastAsia="fr-FR"/>
        </w:rPr>
      </w:pPr>
    </w:p>
    <w:p w14:paraId="5816A178" w14:textId="773D6A8E" w:rsidR="00716297" w:rsidRDefault="00716297" w:rsidP="00716297">
      <w:pPr>
        <w:rPr>
          <w:bdr w:val="nil"/>
          <w:lang w:eastAsia="fr-FR"/>
        </w:rPr>
      </w:pPr>
    </w:p>
    <w:p w14:paraId="0A2DD45B" w14:textId="1B3869D3" w:rsidR="00716297" w:rsidRDefault="00716297" w:rsidP="00716297">
      <w:pPr>
        <w:rPr>
          <w:bdr w:val="nil"/>
          <w:lang w:eastAsia="fr-FR"/>
        </w:rPr>
      </w:pPr>
    </w:p>
    <w:p w14:paraId="5E40710F" w14:textId="77777777" w:rsidR="00716297" w:rsidRDefault="00716297" w:rsidP="00716297">
      <w:pPr>
        <w:rPr>
          <w:bdr w:val="nil"/>
          <w:lang w:eastAsia="fr-FR"/>
        </w:rPr>
      </w:pPr>
    </w:p>
    <w:p w14:paraId="481C4AFC" w14:textId="77777777" w:rsidR="00716297" w:rsidRDefault="00716297" w:rsidP="00716297">
      <w:pPr>
        <w:rPr>
          <w:bdr w:val="nil"/>
          <w:lang w:eastAsia="fr-FR"/>
        </w:rPr>
      </w:pPr>
    </w:p>
    <w:p w14:paraId="3AFEFD1F" w14:textId="3C60FEFF" w:rsidR="005F5935" w:rsidRDefault="00800ABD" w:rsidP="00716297">
      <w:pPr>
        <w:spacing w:after="160" w:line="259" w:lineRule="auto"/>
        <w:jc w:val="left"/>
        <w:rPr>
          <w:rFonts w:eastAsia="Arial Unicode MS" w:cs="Arial"/>
          <w:color w:val="002060"/>
          <w:kern w:val="0"/>
          <w:sz w:val="56"/>
          <w:szCs w:val="56"/>
          <w:bdr w:val="nil"/>
          <w:lang w:eastAsia="fr-FR"/>
          <w14:ligatures w14:val="none"/>
        </w:rPr>
      </w:pPr>
      <w:r>
        <w:rPr>
          <w:rFonts w:eastAsia="Arial Unicode MS" w:cs="Arial"/>
          <w:color w:val="002060"/>
          <w:kern w:val="0"/>
          <w:sz w:val="56"/>
          <w:szCs w:val="56"/>
          <w:bdr w:val="nil"/>
          <w:lang w:eastAsia="fr-FR"/>
          <w14:ligatures w14:val="none"/>
        </w:rPr>
        <w:t xml:space="preserve">NOTE DE PRESENTATION DU BESOIN </w:t>
      </w:r>
    </w:p>
    <w:p w14:paraId="10BE5310" w14:textId="3F124B6B" w:rsidR="00716297" w:rsidRPr="00716297" w:rsidRDefault="00716297" w:rsidP="00716297">
      <w:pPr>
        <w:spacing w:after="160" w:line="259" w:lineRule="auto"/>
        <w:jc w:val="left"/>
        <w:rPr>
          <w:rFonts w:eastAsia="Arial Unicode MS" w:cs="Arial"/>
          <w:color w:val="002060"/>
          <w:kern w:val="0"/>
          <w:sz w:val="56"/>
          <w:szCs w:val="56"/>
          <w:bdr w:val="nil"/>
          <w:lang w:eastAsia="fr-FR"/>
          <w14:ligatures w14:val="none"/>
        </w:rPr>
      </w:pPr>
      <w:r w:rsidRPr="00880948">
        <w:rPr>
          <w:noProof/>
          <w:lang w:eastAsia="fr-FR"/>
        </w:rPr>
        <w:drawing>
          <wp:inline distT="0" distB="0" distL="0" distR="0" wp14:anchorId="3BE42AB4" wp14:editId="1DC6458E">
            <wp:extent cx="5760720" cy="41910"/>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0"/>
                    <a:stretch>
                      <a:fillRect/>
                    </a:stretch>
                  </pic:blipFill>
                  <pic:spPr>
                    <a:xfrm>
                      <a:off x="0" y="0"/>
                      <a:ext cx="5760720" cy="41910"/>
                    </a:xfrm>
                    <a:prstGeom prst="rect">
                      <a:avLst/>
                    </a:prstGeom>
                  </pic:spPr>
                </pic:pic>
              </a:graphicData>
            </a:graphic>
          </wp:inline>
        </w:drawing>
      </w:r>
    </w:p>
    <w:p w14:paraId="6341525F" w14:textId="424C126A" w:rsidR="005F5935" w:rsidRDefault="005F5935" w:rsidP="005F5935">
      <w:pPr>
        <w:jc w:val="left"/>
        <w:rPr>
          <w:color w:val="FF0000"/>
          <w:sz w:val="40"/>
          <w:szCs w:val="40"/>
        </w:rPr>
      </w:pPr>
      <w:r w:rsidRPr="00716297">
        <w:rPr>
          <w:color w:val="FF0000"/>
          <w:sz w:val="40"/>
          <w:szCs w:val="40"/>
        </w:rPr>
        <w:t xml:space="preserve">Acquisition </w:t>
      </w:r>
      <w:r w:rsidR="00AC7264">
        <w:rPr>
          <w:color w:val="FF0000"/>
          <w:sz w:val="40"/>
          <w:szCs w:val="40"/>
        </w:rPr>
        <w:t>d’une plateforme applicative de dépôt et de contrôle</w:t>
      </w:r>
      <w:r w:rsidRPr="00716297">
        <w:rPr>
          <w:color w:val="FF0000"/>
          <w:sz w:val="40"/>
          <w:szCs w:val="40"/>
        </w:rPr>
        <w:t xml:space="preserve"> des comptes de campagne</w:t>
      </w:r>
      <w:r w:rsidR="00AC7264">
        <w:rPr>
          <w:color w:val="FF0000"/>
          <w:sz w:val="40"/>
          <w:szCs w:val="40"/>
        </w:rPr>
        <w:t xml:space="preserve"> et des comptes</w:t>
      </w:r>
      <w:r w:rsidRPr="00716297">
        <w:rPr>
          <w:color w:val="FF0000"/>
          <w:sz w:val="40"/>
          <w:szCs w:val="40"/>
        </w:rPr>
        <w:t xml:space="preserve"> des partis politiques </w:t>
      </w:r>
    </w:p>
    <w:p w14:paraId="7B6B3B1B" w14:textId="36C98B16" w:rsidR="00514137" w:rsidRDefault="00514137" w:rsidP="005F5935">
      <w:pPr>
        <w:jc w:val="left"/>
        <w:rPr>
          <w:color w:val="FF0000"/>
          <w:sz w:val="40"/>
          <w:szCs w:val="40"/>
        </w:rPr>
      </w:pPr>
    </w:p>
    <w:p w14:paraId="6CE99252" w14:textId="579F50FE" w:rsidR="00945323" w:rsidRDefault="00945323" w:rsidP="005F5935">
      <w:pPr>
        <w:jc w:val="left"/>
        <w:rPr>
          <w:color w:val="FF0000"/>
          <w:sz w:val="40"/>
          <w:szCs w:val="40"/>
        </w:rPr>
      </w:pPr>
    </w:p>
    <w:p w14:paraId="15F30E32" w14:textId="2874598D" w:rsidR="00945323" w:rsidRDefault="00945323" w:rsidP="005F5935">
      <w:pPr>
        <w:jc w:val="left"/>
        <w:rPr>
          <w:color w:val="FF0000"/>
          <w:sz w:val="40"/>
          <w:szCs w:val="40"/>
        </w:rPr>
      </w:pPr>
    </w:p>
    <w:p w14:paraId="129C3158" w14:textId="0D1DBC83" w:rsidR="00945323" w:rsidRDefault="00945323" w:rsidP="005F5935">
      <w:pPr>
        <w:jc w:val="left"/>
        <w:rPr>
          <w:color w:val="FF0000"/>
          <w:sz w:val="40"/>
          <w:szCs w:val="40"/>
        </w:rPr>
      </w:pPr>
    </w:p>
    <w:p w14:paraId="48D5A244" w14:textId="46BED8C7" w:rsidR="00945323" w:rsidRDefault="00945323" w:rsidP="005F5935">
      <w:pPr>
        <w:jc w:val="left"/>
        <w:rPr>
          <w:color w:val="FF0000"/>
          <w:sz w:val="40"/>
          <w:szCs w:val="40"/>
        </w:rPr>
      </w:pPr>
    </w:p>
    <w:p w14:paraId="228F2E79" w14:textId="77777777" w:rsidR="00945323" w:rsidRDefault="00945323" w:rsidP="005F5935">
      <w:pPr>
        <w:jc w:val="left"/>
        <w:rPr>
          <w:color w:val="FF0000"/>
          <w:sz w:val="40"/>
          <w:szCs w:val="40"/>
        </w:rPr>
      </w:pPr>
    </w:p>
    <w:p w14:paraId="68B0EEFF" w14:textId="66CD96E2" w:rsidR="00945323" w:rsidRDefault="00945323" w:rsidP="005F5935">
      <w:pPr>
        <w:jc w:val="left"/>
        <w:rPr>
          <w:color w:val="FF0000"/>
          <w:sz w:val="40"/>
          <w:szCs w:val="40"/>
        </w:rPr>
      </w:pPr>
    </w:p>
    <w:tbl>
      <w:tblPr>
        <w:tblStyle w:val="Grilledutableau"/>
        <w:tblW w:w="9498" w:type="dxa"/>
        <w:tblInd w:w="-147" w:type="dxa"/>
        <w:tblBorders>
          <w:top w:val="none" w:sz="0" w:space="0" w:color="auto"/>
          <w:left w:val="none" w:sz="0" w:space="0" w:color="auto"/>
          <w:bottom w:val="none" w:sz="0" w:space="0" w:color="auto"/>
          <w:right w:val="none" w:sz="0" w:space="0" w:color="auto"/>
          <w:insideH w:val="single" w:sz="18" w:space="0" w:color="002060"/>
          <w:insideV w:val="single" w:sz="18" w:space="0" w:color="002060"/>
        </w:tblBorders>
        <w:tblLook w:val="04A0" w:firstRow="1" w:lastRow="0" w:firstColumn="1" w:lastColumn="0" w:noHBand="0" w:noVBand="1"/>
      </w:tblPr>
      <w:tblGrid>
        <w:gridCol w:w="9498"/>
      </w:tblGrid>
      <w:tr w:rsidR="00945323" w14:paraId="5CA5DCE0" w14:textId="77777777" w:rsidTr="00AE32A5">
        <w:tc>
          <w:tcPr>
            <w:tcW w:w="9498" w:type="dxa"/>
          </w:tcPr>
          <w:p w14:paraId="32B4C993" w14:textId="315C2378" w:rsidR="00945323" w:rsidRPr="00AE32A5" w:rsidRDefault="00945323" w:rsidP="00945323">
            <w:pPr>
              <w:rPr>
                <w:i/>
                <w:iCs/>
                <w:color w:val="000000" w:themeColor="text1"/>
                <w:sz w:val="28"/>
                <w:szCs w:val="28"/>
              </w:rPr>
            </w:pPr>
            <w:r w:rsidRPr="00AE32A5">
              <w:rPr>
                <w:i/>
                <w:iCs/>
                <w:color w:val="000000" w:themeColor="text1"/>
                <w:sz w:val="28"/>
                <w:szCs w:val="28"/>
              </w:rPr>
              <w:t>Les éléments figurant dans la présente note ont vocation à décrire le contexte et les objectifs du projet. Les exigences contractuelles opposables seront précisées dans le CCTP et pourront être ajustées dans le cadre de la procédure avec négociation.</w:t>
            </w:r>
          </w:p>
        </w:tc>
      </w:tr>
    </w:tbl>
    <w:p w14:paraId="78224BAB" w14:textId="77777777" w:rsidR="00945323" w:rsidRDefault="00945323" w:rsidP="005F5935">
      <w:pPr>
        <w:jc w:val="left"/>
        <w:rPr>
          <w:color w:val="FF0000"/>
          <w:sz w:val="40"/>
          <w:szCs w:val="40"/>
        </w:rPr>
      </w:pPr>
    </w:p>
    <w:p w14:paraId="5C01E49F" w14:textId="77777777" w:rsidR="005F5935" w:rsidRPr="00EB4B80" w:rsidRDefault="005F5935">
      <w:pPr>
        <w:jc w:val="left"/>
        <w:rPr>
          <w:color w:val="000000" w:themeColor="text1"/>
        </w:rPr>
      </w:pPr>
      <w:r w:rsidRPr="00EB4B80">
        <w:rPr>
          <w:color w:val="000000" w:themeColor="text1"/>
        </w:rPr>
        <w:br w:type="page"/>
      </w:r>
    </w:p>
    <w:sdt>
      <w:sdtPr>
        <w:rPr>
          <w:rFonts w:ascii="Arial" w:eastAsiaTheme="minorHAnsi" w:hAnsi="Arial" w:cstheme="minorBidi"/>
          <w:b w:val="0"/>
          <w:bCs w:val="0"/>
          <w:color w:val="000000"/>
          <w:kern w:val="2"/>
          <w:sz w:val="20"/>
          <w:szCs w:val="24"/>
          <w:lang w:eastAsia="en-US"/>
          <w14:textFill>
            <w14:solidFill>
              <w14:srgbClr w14:val="000000">
                <w14:lumMod w14:val="50000"/>
              </w14:srgbClr>
            </w14:solidFill>
          </w14:textFill>
          <w14:ligatures w14:val="standardContextual"/>
        </w:rPr>
        <w:id w:val="1262570018"/>
        <w:docPartObj>
          <w:docPartGallery w:val="Table of Contents"/>
          <w:docPartUnique/>
        </w:docPartObj>
      </w:sdtPr>
      <w:sdtEndPr>
        <w:rPr>
          <w:noProof/>
          <w:sz w:val="21"/>
        </w:rPr>
      </w:sdtEndPr>
      <w:sdtContent>
        <w:p w14:paraId="4FAC86FF" w14:textId="77777777" w:rsidR="005A7AA1" w:rsidRDefault="005A7AA1" w:rsidP="00716297">
          <w:pPr>
            <w:pStyle w:val="En-ttedetabledesmatires"/>
          </w:pPr>
          <w:r>
            <w:t>Table des matières</w:t>
          </w:r>
        </w:p>
        <w:p w14:paraId="585BAC1D" w14:textId="23324467" w:rsidR="00E71FAF" w:rsidRDefault="005A7AA1">
          <w:pPr>
            <w:pStyle w:val="TM1"/>
            <w:tabs>
              <w:tab w:val="left" w:pos="600"/>
              <w:tab w:val="right" w:leader="dot" w:pos="9062"/>
            </w:tabs>
            <w:rPr>
              <w:rFonts w:eastAsiaTheme="minorEastAsia" w:cstheme="minorBidi"/>
              <w:b w:val="0"/>
              <w:bCs w:val="0"/>
              <w:i w:val="0"/>
              <w:iCs w:val="0"/>
              <w:noProof/>
              <w:kern w:val="0"/>
              <w:sz w:val="22"/>
              <w:szCs w:val="22"/>
              <w:lang w:eastAsia="fr-FR"/>
              <w14:ligatures w14:val="none"/>
            </w:rPr>
          </w:pPr>
          <w:r>
            <w:rPr>
              <w:b w:val="0"/>
              <w:bCs w:val="0"/>
            </w:rPr>
            <w:fldChar w:fldCharType="begin"/>
          </w:r>
          <w:r>
            <w:instrText>TOC \o "1-3" \h \z \u</w:instrText>
          </w:r>
          <w:r>
            <w:rPr>
              <w:b w:val="0"/>
              <w:bCs w:val="0"/>
            </w:rPr>
            <w:fldChar w:fldCharType="separate"/>
          </w:r>
          <w:hyperlink w:anchor="_Toc218852693" w:history="1">
            <w:r w:rsidR="00E71FAF" w:rsidRPr="00AC6874">
              <w:rPr>
                <w:rStyle w:val="Lienhypertexte"/>
                <w:noProof/>
              </w:rPr>
              <w:t>1.</w:t>
            </w:r>
            <w:r w:rsidR="00E71FAF">
              <w:rPr>
                <w:rFonts w:eastAsiaTheme="minorEastAsia" w:cstheme="minorBidi"/>
                <w:b w:val="0"/>
                <w:bCs w:val="0"/>
                <w:i w:val="0"/>
                <w:iCs w:val="0"/>
                <w:noProof/>
                <w:kern w:val="0"/>
                <w:sz w:val="22"/>
                <w:szCs w:val="22"/>
                <w:lang w:eastAsia="fr-FR"/>
                <w14:ligatures w14:val="none"/>
              </w:rPr>
              <w:tab/>
            </w:r>
            <w:r w:rsidR="00E71FAF" w:rsidRPr="00AC6874">
              <w:rPr>
                <w:rStyle w:val="Lienhypertexte"/>
                <w:noProof/>
              </w:rPr>
              <w:t>Contexte et enjeux du projet pour la CNCCFP</w:t>
            </w:r>
            <w:r w:rsidR="00E71FAF">
              <w:rPr>
                <w:noProof/>
                <w:webHidden/>
              </w:rPr>
              <w:tab/>
            </w:r>
            <w:r w:rsidR="00E71FAF">
              <w:rPr>
                <w:noProof/>
                <w:webHidden/>
              </w:rPr>
              <w:fldChar w:fldCharType="begin"/>
            </w:r>
            <w:r w:rsidR="00E71FAF">
              <w:rPr>
                <w:noProof/>
                <w:webHidden/>
              </w:rPr>
              <w:instrText xml:space="preserve"> PAGEREF _Toc218852693 \h </w:instrText>
            </w:r>
            <w:r w:rsidR="00E71FAF">
              <w:rPr>
                <w:noProof/>
                <w:webHidden/>
              </w:rPr>
            </w:r>
            <w:r w:rsidR="00E71FAF">
              <w:rPr>
                <w:noProof/>
                <w:webHidden/>
              </w:rPr>
              <w:fldChar w:fldCharType="separate"/>
            </w:r>
            <w:r w:rsidR="00E71FAF">
              <w:rPr>
                <w:noProof/>
                <w:webHidden/>
              </w:rPr>
              <w:t>3</w:t>
            </w:r>
            <w:r w:rsidR="00E71FAF">
              <w:rPr>
                <w:noProof/>
                <w:webHidden/>
              </w:rPr>
              <w:fldChar w:fldCharType="end"/>
            </w:r>
          </w:hyperlink>
        </w:p>
        <w:p w14:paraId="4FE6B917" w14:textId="629DF01A"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694" w:history="1">
            <w:r w:rsidR="00E71FAF" w:rsidRPr="00AC6874">
              <w:rPr>
                <w:rStyle w:val="Lienhypertexte"/>
                <w:noProof/>
              </w:rPr>
              <w:t>1.1.</w:t>
            </w:r>
            <w:r w:rsidR="00E71FAF">
              <w:rPr>
                <w:rFonts w:eastAsiaTheme="minorEastAsia" w:cstheme="minorBidi"/>
                <w:b w:val="0"/>
                <w:bCs w:val="0"/>
                <w:noProof/>
                <w:kern w:val="0"/>
                <w:lang w:eastAsia="fr-FR"/>
                <w14:ligatures w14:val="none"/>
              </w:rPr>
              <w:tab/>
            </w:r>
            <w:r w:rsidR="00E71FAF" w:rsidRPr="00AC6874">
              <w:rPr>
                <w:rStyle w:val="Lienhypertexte"/>
                <w:noProof/>
              </w:rPr>
              <w:t>Présentation de la CNCCFP et de ses missions</w:t>
            </w:r>
            <w:r w:rsidR="00E71FAF">
              <w:rPr>
                <w:noProof/>
                <w:webHidden/>
              </w:rPr>
              <w:tab/>
            </w:r>
            <w:r w:rsidR="00E71FAF">
              <w:rPr>
                <w:noProof/>
                <w:webHidden/>
              </w:rPr>
              <w:fldChar w:fldCharType="begin"/>
            </w:r>
            <w:r w:rsidR="00E71FAF">
              <w:rPr>
                <w:noProof/>
                <w:webHidden/>
              </w:rPr>
              <w:instrText xml:space="preserve"> PAGEREF _Toc218852694 \h </w:instrText>
            </w:r>
            <w:r w:rsidR="00E71FAF">
              <w:rPr>
                <w:noProof/>
                <w:webHidden/>
              </w:rPr>
            </w:r>
            <w:r w:rsidR="00E71FAF">
              <w:rPr>
                <w:noProof/>
                <w:webHidden/>
              </w:rPr>
              <w:fldChar w:fldCharType="separate"/>
            </w:r>
            <w:r w:rsidR="00E71FAF">
              <w:rPr>
                <w:noProof/>
                <w:webHidden/>
              </w:rPr>
              <w:t>3</w:t>
            </w:r>
            <w:r w:rsidR="00E71FAF">
              <w:rPr>
                <w:noProof/>
                <w:webHidden/>
              </w:rPr>
              <w:fldChar w:fldCharType="end"/>
            </w:r>
          </w:hyperlink>
        </w:p>
        <w:p w14:paraId="6157780D" w14:textId="44EF9F19"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695" w:history="1">
            <w:r w:rsidR="00E71FAF" w:rsidRPr="00AC6874">
              <w:rPr>
                <w:rStyle w:val="Lienhypertexte"/>
                <w:noProof/>
              </w:rPr>
              <w:t>1.2.</w:t>
            </w:r>
            <w:r w:rsidR="00E71FAF">
              <w:rPr>
                <w:rFonts w:eastAsiaTheme="minorEastAsia" w:cstheme="minorBidi"/>
                <w:b w:val="0"/>
                <w:bCs w:val="0"/>
                <w:noProof/>
                <w:kern w:val="0"/>
                <w:lang w:eastAsia="fr-FR"/>
                <w14:ligatures w14:val="none"/>
              </w:rPr>
              <w:tab/>
            </w:r>
            <w:r w:rsidR="00E71FAF" w:rsidRPr="00AC6874">
              <w:rPr>
                <w:rStyle w:val="Lienhypertexte"/>
                <w:noProof/>
              </w:rPr>
              <w:t>Contexte du projet</w:t>
            </w:r>
            <w:r w:rsidR="00E71FAF">
              <w:rPr>
                <w:noProof/>
                <w:webHidden/>
              </w:rPr>
              <w:tab/>
            </w:r>
            <w:r w:rsidR="00E71FAF">
              <w:rPr>
                <w:noProof/>
                <w:webHidden/>
              </w:rPr>
              <w:fldChar w:fldCharType="begin"/>
            </w:r>
            <w:r w:rsidR="00E71FAF">
              <w:rPr>
                <w:noProof/>
                <w:webHidden/>
              </w:rPr>
              <w:instrText xml:space="preserve"> PAGEREF _Toc218852695 \h </w:instrText>
            </w:r>
            <w:r w:rsidR="00E71FAF">
              <w:rPr>
                <w:noProof/>
                <w:webHidden/>
              </w:rPr>
            </w:r>
            <w:r w:rsidR="00E71FAF">
              <w:rPr>
                <w:noProof/>
                <w:webHidden/>
              </w:rPr>
              <w:fldChar w:fldCharType="separate"/>
            </w:r>
            <w:r w:rsidR="00E71FAF">
              <w:rPr>
                <w:noProof/>
                <w:webHidden/>
              </w:rPr>
              <w:t>3</w:t>
            </w:r>
            <w:r w:rsidR="00E71FAF">
              <w:rPr>
                <w:noProof/>
                <w:webHidden/>
              </w:rPr>
              <w:fldChar w:fldCharType="end"/>
            </w:r>
          </w:hyperlink>
        </w:p>
        <w:p w14:paraId="73A57C9C" w14:textId="63F22A77"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696" w:history="1">
            <w:r w:rsidR="00E71FAF" w:rsidRPr="00AC6874">
              <w:rPr>
                <w:rStyle w:val="Lienhypertexte"/>
                <w:noProof/>
              </w:rPr>
              <w:t>1.3.</w:t>
            </w:r>
            <w:r w:rsidR="00E71FAF">
              <w:rPr>
                <w:rFonts w:eastAsiaTheme="minorEastAsia" w:cstheme="minorBidi"/>
                <w:b w:val="0"/>
                <w:bCs w:val="0"/>
                <w:noProof/>
                <w:kern w:val="0"/>
                <w:lang w:eastAsia="fr-FR"/>
                <w14:ligatures w14:val="none"/>
              </w:rPr>
              <w:tab/>
            </w:r>
            <w:r w:rsidR="00E71FAF" w:rsidRPr="00AC6874">
              <w:rPr>
                <w:rStyle w:val="Lienhypertexte"/>
                <w:noProof/>
              </w:rPr>
              <w:t>Objet de la consultation</w:t>
            </w:r>
            <w:r w:rsidR="00E71FAF">
              <w:rPr>
                <w:noProof/>
                <w:webHidden/>
              </w:rPr>
              <w:tab/>
            </w:r>
            <w:r w:rsidR="00E71FAF">
              <w:rPr>
                <w:noProof/>
                <w:webHidden/>
              </w:rPr>
              <w:fldChar w:fldCharType="begin"/>
            </w:r>
            <w:r w:rsidR="00E71FAF">
              <w:rPr>
                <w:noProof/>
                <w:webHidden/>
              </w:rPr>
              <w:instrText xml:space="preserve"> PAGEREF _Toc218852696 \h </w:instrText>
            </w:r>
            <w:r w:rsidR="00E71FAF">
              <w:rPr>
                <w:noProof/>
                <w:webHidden/>
              </w:rPr>
            </w:r>
            <w:r w:rsidR="00E71FAF">
              <w:rPr>
                <w:noProof/>
                <w:webHidden/>
              </w:rPr>
              <w:fldChar w:fldCharType="separate"/>
            </w:r>
            <w:r w:rsidR="00E71FAF">
              <w:rPr>
                <w:noProof/>
                <w:webHidden/>
              </w:rPr>
              <w:t>4</w:t>
            </w:r>
            <w:r w:rsidR="00E71FAF">
              <w:rPr>
                <w:noProof/>
                <w:webHidden/>
              </w:rPr>
              <w:fldChar w:fldCharType="end"/>
            </w:r>
          </w:hyperlink>
        </w:p>
        <w:p w14:paraId="2EAA7079" w14:textId="252FEC35"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697" w:history="1">
            <w:r w:rsidR="00E71FAF" w:rsidRPr="00AC6874">
              <w:rPr>
                <w:rStyle w:val="Lienhypertexte"/>
                <w:noProof/>
              </w:rPr>
              <w:t>1.4.</w:t>
            </w:r>
            <w:r w:rsidR="00E71FAF">
              <w:rPr>
                <w:rFonts w:eastAsiaTheme="minorEastAsia" w:cstheme="minorBidi"/>
                <w:b w:val="0"/>
                <w:bCs w:val="0"/>
                <w:noProof/>
                <w:kern w:val="0"/>
                <w:lang w:eastAsia="fr-FR"/>
                <w14:ligatures w14:val="none"/>
              </w:rPr>
              <w:tab/>
            </w:r>
            <w:r w:rsidR="00E71FAF" w:rsidRPr="00AC6874">
              <w:rPr>
                <w:rStyle w:val="Lienhypertexte"/>
                <w:noProof/>
              </w:rPr>
              <w:t>Objectifs et enjeux du projet</w:t>
            </w:r>
            <w:r w:rsidR="00E71FAF">
              <w:rPr>
                <w:noProof/>
                <w:webHidden/>
              </w:rPr>
              <w:tab/>
            </w:r>
            <w:r w:rsidR="00E71FAF">
              <w:rPr>
                <w:noProof/>
                <w:webHidden/>
              </w:rPr>
              <w:fldChar w:fldCharType="begin"/>
            </w:r>
            <w:r w:rsidR="00E71FAF">
              <w:rPr>
                <w:noProof/>
                <w:webHidden/>
              </w:rPr>
              <w:instrText xml:space="preserve"> PAGEREF _Toc218852697 \h </w:instrText>
            </w:r>
            <w:r w:rsidR="00E71FAF">
              <w:rPr>
                <w:noProof/>
                <w:webHidden/>
              </w:rPr>
            </w:r>
            <w:r w:rsidR="00E71FAF">
              <w:rPr>
                <w:noProof/>
                <w:webHidden/>
              </w:rPr>
              <w:fldChar w:fldCharType="separate"/>
            </w:r>
            <w:r w:rsidR="00E71FAF">
              <w:rPr>
                <w:noProof/>
                <w:webHidden/>
              </w:rPr>
              <w:t>5</w:t>
            </w:r>
            <w:r w:rsidR="00E71FAF">
              <w:rPr>
                <w:noProof/>
                <w:webHidden/>
              </w:rPr>
              <w:fldChar w:fldCharType="end"/>
            </w:r>
          </w:hyperlink>
        </w:p>
        <w:p w14:paraId="5BA998EA" w14:textId="2ABADADA" w:rsidR="00E71FAF" w:rsidRDefault="001D4AA8">
          <w:pPr>
            <w:pStyle w:val="TM1"/>
            <w:tabs>
              <w:tab w:val="left" w:pos="600"/>
              <w:tab w:val="right" w:leader="dot" w:pos="9062"/>
            </w:tabs>
            <w:rPr>
              <w:rFonts w:eastAsiaTheme="minorEastAsia" w:cstheme="minorBidi"/>
              <w:b w:val="0"/>
              <w:bCs w:val="0"/>
              <w:i w:val="0"/>
              <w:iCs w:val="0"/>
              <w:noProof/>
              <w:kern w:val="0"/>
              <w:sz w:val="22"/>
              <w:szCs w:val="22"/>
              <w:lang w:eastAsia="fr-FR"/>
              <w14:ligatures w14:val="none"/>
            </w:rPr>
          </w:pPr>
          <w:hyperlink w:anchor="_Toc218852819" w:history="1">
            <w:r w:rsidR="00E71FAF" w:rsidRPr="00AC6874">
              <w:rPr>
                <w:rStyle w:val="Lienhypertexte"/>
                <w:noProof/>
              </w:rPr>
              <w:t>2.</w:t>
            </w:r>
            <w:r w:rsidR="00E71FAF">
              <w:rPr>
                <w:rFonts w:eastAsiaTheme="minorEastAsia" w:cstheme="minorBidi"/>
                <w:b w:val="0"/>
                <w:bCs w:val="0"/>
                <w:i w:val="0"/>
                <w:iCs w:val="0"/>
                <w:noProof/>
                <w:kern w:val="0"/>
                <w:sz w:val="22"/>
                <w:szCs w:val="22"/>
                <w:lang w:eastAsia="fr-FR"/>
                <w14:ligatures w14:val="none"/>
              </w:rPr>
              <w:tab/>
            </w:r>
            <w:r w:rsidR="00E71FAF" w:rsidRPr="00AC6874">
              <w:rPr>
                <w:rStyle w:val="Lienhypertexte"/>
                <w:noProof/>
              </w:rPr>
              <w:t>Cartographies applicatives</w:t>
            </w:r>
            <w:r w:rsidR="00E71FAF">
              <w:rPr>
                <w:noProof/>
                <w:webHidden/>
              </w:rPr>
              <w:tab/>
            </w:r>
            <w:r w:rsidR="00E71FAF">
              <w:rPr>
                <w:noProof/>
                <w:webHidden/>
              </w:rPr>
              <w:fldChar w:fldCharType="begin"/>
            </w:r>
            <w:r w:rsidR="00E71FAF">
              <w:rPr>
                <w:noProof/>
                <w:webHidden/>
              </w:rPr>
              <w:instrText xml:space="preserve"> PAGEREF _Toc218852819 \h </w:instrText>
            </w:r>
            <w:r w:rsidR="00E71FAF">
              <w:rPr>
                <w:noProof/>
                <w:webHidden/>
              </w:rPr>
            </w:r>
            <w:r w:rsidR="00E71FAF">
              <w:rPr>
                <w:noProof/>
                <w:webHidden/>
              </w:rPr>
              <w:fldChar w:fldCharType="separate"/>
            </w:r>
            <w:r w:rsidR="00E71FAF">
              <w:rPr>
                <w:noProof/>
                <w:webHidden/>
              </w:rPr>
              <w:t>6</w:t>
            </w:r>
            <w:r w:rsidR="00E71FAF">
              <w:rPr>
                <w:noProof/>
                <w:webHidden/>
              </w:rPr>
              <w:fldChar w:fldCharType="end"/>
            </w:r>
          </w:hyperlink>
        </w:p>
        <w:p w14:paraId="145C2360" w14:textId="7F04431F"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20" w:history="1">
            <w:r w:rsidR="00E71FAF" w:rsidRPr="00AC6874">
              <w:rPr>
                <w:rStyle w:val="Lienhypertexte"/>
                <w:noProof/>
              </w:rPr>
              <w:t>2.1.</w:t>
            </w:r>
            <w:r w:rsidR="00E71FAF">
              <w:rPr>
                <w:rFonts w:eastAsiaTheme="minorEastAsia" w:cstheme="minorBidi"/>
                <w:b w:val="0"/>
                <w:bCs w:val="0"/>
                <w:noProof/>
                <w:kern w:val="0"/>
                <w:lang w:eastAsia="fr-FR"/>
                <w14:ligatures w14:val="none"/>
              </w:rPr>
              <w:tab/>
            </w:r>
            <w:r w:rsidR="00E71FAF" w:rsidRPr="00AC6874">
              <w:rPr>
                <w:rStyle w:val="Lienhypertexte"/>
                <w:noProof/>
              </w:rPr>
              <w:t>Cartographie fonctionnelle et applicative globale cible</w:t>
            </w:r>
            <w:r w:rsidR="00E71FAF">
              <w:rPr>
                <w:noProof/>
                <w:webHidden/>
              </w:rPr>
              <w:tab/>
            </w:r>
            <w:r w:rsidR="00E71FAF">
              <w:rPr>
                <w:noProof/>
                <w:webHidden/>
              </w:rPr>
              <w:fldChar w:fldCharType="begin"/>
            </w:r>
            <w:r w:rsidR="00E71FAF">
              <w:rPr>
                <w:noProof/>
                <w:webHidden/>
              </w:rPr>
              <w:instrText xml:space="preserve"> PAGEREF _Toc218852820 \h </w:instrText>
            </w:r>
            <w:r w:rsidR="00E71FAF">
              <w:rPr>
                <w:noProof/>
                <w:webHidden/>
              </w:rPr>
            </w:r>
            <w:r w:rsidR="00E71FAF">
              <w:rPr>
                <w:noProof/>
                <w:webHidden/>
              </w:rPr>
              <w:fldChar w:fldCharType="separate"/>
            </w:r>
            <w:r w:rsidR="00E71FAF">
              <w:rPr>
                <w:noProof/>
                <w:webHidden/>
              </w:rPr>
              <w:t>6</w:t>
            </w:r>
            <w:r w:rsidR="00E71FAF">
              <w:rPr>
                <w:noProof/>
                <w:webHidden/>
              </w:rPr>
              <w:fldChar w:fldCharType="end"/>
            </w:r>
          </w:hyperlink>
        </w:p>
        <w:p w14:paraId="2DC5CF9A" w14:textId="788DD289"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21" w:history="1">
            <w:r w:rsidR="00E71FAF" w:rsidRPr="00AC6874">
              <w:rPr>
                <w:rStyle w:val="Lienhypertexte"/>
                <w:noProof/>
              </w:rPr>
              <w:t>2.2.</w:t>
            </w:r>
            <w:r w:rsidR="00E71FAF">
              <w:rPr>
                <w:rFonts w:eastAsiaTheme="minorEastAsia" w:cstheme="minorBidi"/>
                <w:b w:val="0"/>
                <w:bCs w:val="0"/>
                <w:noProof/>
                <w:kern w:val="0"/>
                <w:lang w:eastAsia="fr-FR"/>
                <w14:ligatures w14:val="none"/>
              </w:rPr>
              <w:tab/>
            </w:r>
            <w:r w:rsidR="00E71FAF" w:rsidRPr="00AC6874">
              <w:rPr>
                <w:rStyle w:val="Lienhypertexte"/>
                <w:noProof/>
              </w:rPr>
              <w:t>Découpage en palier et planning prévisionnel du projet</w:t>
            </w:r>
            <w:r w:rsidR="00E71FAF">
              <w:rPr>
                <w:noProof/>
                <w:webHidden/>
              </w:rPr>
              <w:tab/>
            </w:r>
            <w:r w:rsidR="00E71FAF">
              <w:rPr>
                <w:noProof/>
                <w:webHidden/>
              </w:rPr>
              <w:fldChar w:fldCharType="begin"/>
            </w:r>
            <w:r w:rsidR="00E71FAF">
              <w:rPr>
                <w:noProof/>
                <w:webHidden/>
              </w:rPr>
              <w:instrText xml:space="preserve"> PAGEREF _Toc218852821 \h </w:instrText>
            </w:r>
            <w:r w:rsidR="00E71FAF">
              <w:rPr>
                <w:noProof/>
                <w:webHidden/>
              </w:rPr>
            </w:r>
            <w:r w:rsidR="00E71FAF">
              <w:rPr>
                <w:noProof/>
                <w:webHidden/>
              </w:rPr>
              <w:fldChar w:fldCharType="separate"/>
            </w:r>
            <w:r w:rsidR="00E71FAF">
              <w:rPr>
                <w:noProof/>
                <w:webHidden/>
              </w:rPr>
              <w:t>7</w:t>
            </w:r>
            <w:r w:rsidR="00E71FAF">
              <w:rPr>
                <w:noProof/>
                <w:webHidden/>
              </w:rPr>
              <w:fldChar w:fldCharType="end"/>
            </w:r>
          </w:hyperlink>
        </w:p>
        <w:p w14:paraId="18BA037D" w14:textId="7CC490F8"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2" w:history="1">
            <w:r w:rsidR="00E71FAF" w:rsidRPr="00AC6874">
              <w:rPr>
                <w:rStyle w:val="Lienhypertexte"/>
                <w:rFonts w:cs="Arial"/>
                <w:noProof/>
              </w:rPr>
              <w:t>2.2.1.</w:t>
            </w:r>
            <w:r w:rsidR="00E71FAF">
              <w:rPr>
                <w:rFonts w:eastAsiaTheme="minorEastAsia" w:cstheme="minorBidi"/>
                <w:noProof/>
                <w:kern w:val="0"/>
                <w:sz w:val="22"/>
                <w:szCs w:val="22"/>
                <w:lang w:eastAsia="fr-FR"/>
                <w14:ligatures w14:val="none"/>
              </w:rPr>
              <w:tab/>
            </w:r>
            <w:r w:rsidR="00E71FAF" w:rsidRPr="00AC6874">
              <w:rPr>
                <w:rStyle w:val="Lienhypertexte"/>
                <w:noProof/>
              </w:rPr>
              <w:t>Palier 1 - Reprise de l’existant Fin’pol : le dépôt des comptes de campagne et l’émission des reçus fiscaux pour les donateurs et cotisants</w:t>
            </w:r>
            <w:r w:rsidR="00E71FAF">
              <w:rPr>
                <w:noProof/>
                <w:webHidden/>
              </w:rPr>
              <w:tab/>
            </w:r>
            <w:r w:rsidR="00E71FAF">
              <w:rPr>
                <w:noProof/>
                <w:webHidden/>
              </w:rPr>
              <w:fldChar w:fldCharType="begin"/>
            </w:r>
            <w:r w:rsidR="00E71FAF">
              <w:rPr>
                <w:noProof/>
                <w:webHidden/>
              </w:rPr>
              <w:instrText xml:space="preserve"> PAGEREF _Toc218852822 \h </w:instrText>
            </w:r>
            <w:r w:rsidR="00E71FAF">
              <w:rPr>
                <w:noProof/>
                <w:webHidden/>
              </w:rPr>
            </w:r>
            <w:r w:rsidR="00E71FAF">
              <w:rPr>
                <w:noProof/>
                <w:webHidden/>
              </w:rPr>
              <w:fldChar w:fldCharType="separate"/>
            </w:r>
            <w:r w:rsidR="00E71FAF">
              <w:rPr>
                <w:noProof/>
                <w:webHidden/>
              </w:rPr>
              <w:t>8</w:t>
            </w:r>
            <w:r w:rsidR="00E71FAF">
              <w:rPr>
                <w:noProof/>
                <w:webHidden/>
              </w:rPr>
              <w:fldChar w:fldCharType="end"/>
            </w:r>
          </w:hyperlink>
        </w:p>
        <w:p w14:paraId="3324A342" w14:textId="5FF6507D"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3" w:history="1">
            <w:r w:rsidR="00E71FAF" w:rsidRPr="00AC6874">
              <w:rPr>
                <w:rStyle w:val="Lienhypertexte"/>
                <w:noProof/>
              </w:rPr>
              <w:t>2.2.2.</w:t>
            </w:r>
            <w:r w:rsidR="00E71FAF">
              <w:rPr>
                <w:rFonts w:eastAsiaTheme="minorEastAsia" w:cstheme="minorBidi"/>
                <w:noProof/>
                <w:kern w:val="0"/>
                <w:sz w:val="22"/>
                <w:szCs w:val="22"/>
                <w:lang w:eastAsia="fr-FR"/>
                <w14:ligatures w14:val="none"/>
              </w:rPr>
              <w:tab/>
            </w:r>
            <w:r w:rsidR="00E71FAF" w:rsidRPr="00AC6874">
              <w:rPr>
                <w:rStyle w:val="Lienhypertexte"/>
                <w:noProof/>
              </w:rPr>
              <w:t>Palier 2 – L’instruction des comptes de campagne</w:t>
            </w:r>
            <w:r w:rsidR="00E71FAF">
              <w:rPr>
                <w:noProof/>
                <w:webHidden/>
              </w:rPr>
              <w:tab/>
            </w:r>
            <w:r w:rsidR="00E71FAF">
              <w:rPr>
                <w:noProof/>
                <w:webHidden/>
              </w:rPr>
              <w:fldChar w:fldCharType="begin"/>
            </w:r>
            <w:r w:rsidR="00E71FAF">
              <w:rPr>
                <w:noProof/>
                <w:webHidden/>
              </w:rPr>
              <w:instrText xml:space="preserve"> PAGEREF _Toc218852823 \h </w:instrText>
            </w:r>
            <w:r w:rsidR="00E71FAF">
              <w:rPr>
                <w:noProof/>
                <w:webHidden/>
              </w:rPr>
            </w:r>
            <w:r w:rsidR="00E71FAF">
              <w:rPr>
                <w:noProof/>
                <w:webHidden/>
              </w:rPr>
              <w:fldChar w:fldCharType="separate"/>
            </w:r>
            <w:r w:rsidR="00E71FAF">
              <w:rPr>
                <w:noProof/>
                <w:webHidden/>
              </w:rPr>
              <w:t>13</w:t>
            </w:r>
            <w:r w:rsidR="00E71FAF">
              <w:rPr>
                <w:noProof/>
                <w:webHidden/>
              </w:rPr>
              <w:fldChar w:fldCharType="end"/>
            </w:r>
          </w:hyperlink>
        </w:p>
        <w:p w14:paraId="1F97F471" w14:textId="15FA51AF"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4" w:history="1">
            <w:r w:rsidR="00E71FAF" w:rsidRPr="00AC6874">
              <w:rPr>
                <w:rStyle w:val="Lienhypertexte"/>
                <w:noProof/>
              </w:rPr>
              <w:t>2.2.3.</w:t>
            </w:r>
            <w:r w:rsidR="00E71FAF">
              <w:rPr>
                <w:rFonts w:eastAsiaTheme="minorEastAsia" w:cstheme="minorBidi"/>
                <w:noProof/>
                <w:kern w:val="0"/>
                <w:sz w:val="22"/>
                <w:szCs w:val="22"/>
                <w:lang w:eastAsia="fr-FR"/>
                <w14:ligatures w14:val="none"/>
              </w:rPr>
              <w:tab/>
            </w:r>
            <w:r w:rsidR="00E71FAF" w:rsidRPr="00AC6874">
              <w:rPr>
                <w:rStyle w:val="Lienhypertexte"/>
                <w:noProof/>
              </w:rPr>
              <w:t>Palier 3 – Le dépôt et le contrôle des comptes d’ensemble des partis politiques (susceptible d’évoluer)</w:t>
            </w:r>
            <w:r w:rsidR="00E71FAF">
              <w:rPr>
                <w:noProof/>
                <w:webHidden/>
              </w:rPr>
              <w:tab/>
            </w:r>
            <w:r w:rsidR="00E71FAF">
              <w:rPr>
                <w:noProof/>
                <w:webHidden/>
              </w:rPr>
              <w:fldChar w:fldCharType="begin"/>
            </w:r>
            <w:r w:rsidR="00E71FAF">
              <w:rPr>
                <w:noProof/>
                <w:webHidden/>
              </w:rPr>
              <w:instrText xml:space="preserve"> PAGEREF _Toc218852824 \h </w:instrText>
            </w:r>
            <w:r w:rsidR="00E71FAF">
              <w:rPr>
                <w:noProof/>
                <w:webHidden/>
              </w:rPr>
            </w:r>
            <w:r w:rsidR="00E71FAF">
              <w:rPr>
                <w:noProof/>
                <w:webHidden/>
              </w:rPr>
              <w:fldChar w:fldCharType="separate"/>
            </w:r>
            <w:r w:rsidR="00E71FAF">
              <w:rPr>
                <w:noProof/>
                <w:webHidden/>
              </w:rPr>
              <w:t>15</w:t>
            </w:r>
            <w:r w:rsidR="00E71FAF">
              <w:rPr>
                <w:noProof/>
                <w:webHidden/>
              </w:rPr>
              <w:fldChar w:fldCharType="end"/>
            </w:r>
          </w:hyperlink>
        </w:p>
        <w:p w14:paraId="2389683F" w14:textId="7CB5B5CF"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5" w:history="1">
            <w:r w:rsidR="00E71FAF" w:rsidRPr="00AC6874">
              <w:rPr>
                <w:rStyle w:val="Lienhypertexte"/>
                <w:noProof/>
              </w:rPr>
              <w:t>2.2.4.</w:t>
            </w:r>
            <w:r w:rsidR="00E71FAF">
              <w:rPr>
                <w:rFonts w:eastAsiaTheme="minorEastAsia" w:cstheme="minorBidi"/>
                <w:noProof/>
                <w:kern w:val="0"/>
                <w:sz w:val="22"/>
                <w:szCs w:val="22"/>
                <w:lang w:eastAsia="fr-FR"/>
                <w14:ligatures w14:val="none"/>
              </w:rPr>
              <w:tab/>
            </w:r>
            <w:r w:rsidR="00E71FAF" w:rsidRPr="00AC6874">
              <w:rPr>
                <w:rStyle w:val="Lienhypertexte"/>
                <w:noProof/>
              </w:rPr>
              <w:t>Palier 4 - Finalisation du projet (susceptible d’évoluer)</w:t>
            </w:r>
            <w:r w:rsidR="00E71FAF">
              <w:rPr>
                <w:noProof/>
                <w:webHidden/>
              </w:rPr>
              <w:tab/>
            </w:r>
            <w:r w:rsidR="00E71FAF">
              <w:rPr>
                <w:noProof/>
                <w:webHidden/>
              </w:rPr>
              <w:fldChar w:fldCharType="begin"/>
            </w:r>
            <w:r w:rsidR="00E71FAF">
              <w:rPr>
                <w:noProof/>
                <w:webHidden/>
              </w:rPr>
              <w:instrText xml:space="preserve"> PAGEREF _Toc218852825 \h </w:instrText>
            </w:r>
            <w:r w:rsidR="00E71FAF">
              <w:rPr>
                <w:noProof/>
                <w:webHidden/>
              </w:rPr>
            </w:r>
            <w:r w:rsidR="00E71FAF">
              <w:rPr>
                <w:noProof/>
                <w:webHidden/>
              </w:rPr>
              <w:fldChar w:fldCharType="separate"/>
            </w:r>
            <w:r w:rsidR="00E71FAF">
              <w:rPr>
                <w:noProof/>
                <w:webHidden/>
              </w:rPr>
              <w:t>17</w:t>
            </w:r>
            <w:r w:rsidR="00E71FAF">
              <w:rPr>
                <w:noProof/>
                <w:webHidden/>
              </w:rPr>
              <w:fldChar w:fldCharType="end"/>
            </w:r>
          </w:hyperlink>
        </w:p>
        <w:p w14:paraId="69710084" w14:textId="10E84300"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26" w:history="1">
            <w:r w:rsidR="00E71FAF" w:rsidRPr="00AC6874">
              <w:rPr>
                <w:rStyle w:val="Lienhypertexte"/>
                <w:noProof/>
              </w:rPr>
              <w:t>2.3.</w:t>
            </w:r>
            <w:r w:rsidR="00E71FAF">
              <w:rPr>
                <w:rFonts w:eastAsiaTheme="minorEastAsia" w:cstheme="minorBidi"/>
                <w:b w:val="0"/>
                <w:bCs w:val="0"/>
                <w:noProof/>
                <w:kern w:val="0"/>
                <w:lang w:eastAsia="fr-FR"/>
                <w14:ligatures w14:val="none"/>
              </w:rPr>
              <w:tab/>
            </w:r>
            <w:r w:rsidR="00E71FAF" w:rsidRPr="00AC6874">
              <w:rPr>
                <w:rStyle w:val="Lienhypertexte"/>
                <w:noProof/>
              </w:rPr>
              <w:t>Métriques et principaux flux documentaires que la solution doit gérer</w:t>
            </w:r>
            <w:r w:rsidR="00E71FAF">
              <w:rPr>
                <w:noProof/>
                <w:webHidden/>
              </w:rPr>
              <w:tab/>
            </w:r>
            <w:r w:rsidR="00E71FAF">
              <w:rPr>
                <w:noProof/>
                <w:webHidden/>
              </w:rPr>
              <w:fldChar w:fldCharType="begin"/>
            </w:r>
            <w:r w:rsidR="00E71FAF">
              <w:rPr>
                <w:noProof/>
                <w:webHidden/>
              </w:rPr>
              <w:instrText xml:space="preserve"> PAGEREF _Toc218852826 \h </w:instrText>
            </w:r>
            <w:r w:rsidR="00E71FAF">
              <w:rPr>
                <w:noProof/>
                <w:webHidden/>
              </w:rPr>
            </w:r>
            <w:r w:rsidR="00E71FAF">
              <w:rPr>
                <w:noProof/>
                <w:webHidden/>
              </w:rPr>
              <w:fldChar w:fldCharType="separate"/>
            </w:r>
            <w:r w:rsidR="00E71FAF">
              <w:rPr>
                <w:noProof/>
                <w:webHidden/>
              </w:rPr>
              <w:t>18</w:t>
            </w:r>
            <w:r w:rsidR="00E71FAF">
              <w:rPr>
                <w:noProof/>
                <w:webHidden/>
              </w:rPr>
              <w:fldChar w:fldCharType="end"/>
            </w:r>
          </w:hyperlink>
        </w:p>
        <w:p w14:paraId="2F2DBAAB" w14:textId="0B42AA80"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7" w:history="1">
            <w:r w:rsidR="00E71FAF" w:rsidRPr="00AC6874">
              <w:rPr>
                <w:rStyle w:val="Lienhypertexte"/>
                <w:noProof/>
              </w:rPr>
              <w:t>2.3.1.</w:t>
            </w:r>
            <w:r w:rsidR="00E71FAF">
              <w:rPr>
                <w:rFonts w:eastAsiaTheme="minorEastAsia" w:cstheme="minorBidi"/>
                <w:noProof/>
                <w:kern w:val="0"/>
                <w:sz w:val="22"/>
                <w:szCs w:val="22"/>
                <w:lang w:eastAsia="fr-FR"/>
                <w14:ligatures w14:val="none"/>
              </w:rPr>
              <w:tab/>
            </w:r>
            <w:r w:rsidR="00E71FAF" w:rsidRPr="00AC6874">
              <w:rPr>
                <w:rStyle w:val="Lienhypertexte"/>
                <w:noProof/>
              </w:rPr>
              <w:t>Typologie des principaux flux documentaires entrants et sortants</w:t>
            </w:r>
            <w:r w:rsidR="00E71FAF">
              <w:rPr>
                <w:noProof/>
                <w:webHidden/>
              </w:rPr>
              <w:tab/>
            </w:r>
            <w:r w:rsidR="00E71FAF">
              <w:rPr>
                <w:noProof/>
                <w:webHidden/>
              </w:rPr>
              <w:fldChar w:fldCharType="begin"/>
            </w:r>
            <w:r w:rsidR="00E71FAF">
              <w:rPr>
                <w:noProof/>
                <w:webHidden/>
              </w:rPr>
              <w:instrText xml:space="preserve"> PAGEREF _Toc218852827 \h </w:instrText>
            </w:r>
            <w:r w:rsidR="00E71FAF">
              <w:rPr>
                <w:noProof/>
                <w:webHidden/>
              </w:rPr>
            </w:r>
            <w:r w:rsidR="00E71FAF">
              <w:rPr>
                <w:noProof/>
                <w:webHidden/>
              </w:rPr>
              <w:fldChar w:fldCharType="separate"/>
            </w:r>
            <w:r w:rsidR="00E71FAF">
              <w:rPr>
                <w:noProof/>
                <w:webHidden/>
              </w:rPr>
              <w:t>18</w:t>
            </w:r>
            <w:r w:rsidR="00E71FAF">
              <w:rPr>
                <w:noProof/>
                <w:webHidden/>
              </w:rPr>
              <w:fldChar w:fldCharType="end"/>
            </w:r>
          </w:hyperlink>
        </w:p>
        <w:p w14:paraId="085F0F7C" w14:textId="06C0E436"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8" w:history="1">
            <w:r w:rsidR="00E71FAF" w:rsidRPr="00AC6874">
              <w:rPr>
                <w:rStyle w:val="Lienhypertexte"/>
                <w:noProof/>
              </w:rPr>
              <w:t>2.3.2.</w:t>
            </w:r>
            <w:r w:rsidR="00E71FAF">
              <w:rPr>
                <w:rFonts w:eastAsiaTheme="minorEastAsia" w:cstheme="minorBidi"/>
                <w:noProof/>
                <w:kern w:val="0"/>
                <w:sz w:val="22"/>
                <w:szCs w:val="22"/>
                <w:lang w:eastAsia="fr-FR"/>
                <w14:ligatures w14:val="none"/>
              </w:rPr>
              <w:tab/>
            </w:r>
            <w:r w:rsidR="00E71FAF" w:rsidRPr="00AC6874">
              <w:rPr>
                <w:rStyle w:val="Lienhypertexte"/>
                <w:noProof/>
              </w:rPr>
              <w:t>Métriques partis politiques</w:t>
            </w:r>
            <w:r w:rsidR="00E71FAF">
              <w:rPr>
                <w:noProof/>
                <w:webHidden/>
              </w:rPr>
              <w:tab/>
            </w:r>
            <w:r w:rsidR="00E71FAF">
              <w:rPr>
                <w:noProof/>
                <w:webHidden/>
              </w:rPr>
              <w:fldChar w:fldCharType="begin"/>
            </w:r>
            <w:r w:rsidR="00E71FAF">
              <w:rPr>
                <w:noProof/>
                <w:webHidden/>
              </w:rPr>
              <w:instrText xml:space="preserve"> PAGEREF _Toc218852828 \h </w:instrText>
            </w:r>
            <w:r w:rsidR="00E71FAF">
              <w:rPr>
                <w:noProof/>
                <w:webHidden/>
              </w:rPr>
            </w:r>
            <w:r w:rsidR="00E71FAF">
              <w:rPr>
                <w:noProof/>
                <w:webHidden/>
              </w:rPr>
              <w:fldChar w:fldCharType="separate"/>
            </w:r>
            <w:r w:rsidR="00E71FAF">
              <w:rPr>
                <w:noProof/>
                <w:webHidden/>
              </w:rPr>
              <w:t>19</w:t>
            </w:r>
            <w:r w:rsidR="00E71FAF">
              <w:rPr>
                <w:noProof/>
                <w:webHidden/>
              </w:rPr>
              <w:fldChar w:fldCharType="end"/>
            </w:r>
          </w:hyperlink>
        </w:p>
        <w:p w14:paraId="41E1C7F6" w14:textId="677D1162"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29" w:history="1">
            <w:r w:rsidR="00E71FAF" w:rsidRPr="00AC6874">
              <w:rPr>
                <w:rStyle w:val="Lienhypertexte"/>
                <w:noProof/>
              </w:rPr>
              <w:t>2.3.3.</w:t>
            </w:r>
            <w:r w:rsidR="00E71FAF">
              <w:rPr>
                <w:rFonts w:eastAsiaTheme="minorEastAsia" w:cstheme="minorBidi"/>
                <w:noProof/>
                <w:kern w:val="0"/>
                <w:sz w:val="22"/>
                <w:szCs w:val="22"/>
                <w:lang w:eastAsia="fr-FR"/>
                <w14:ligatures w14:val="none"/>
              </w:rPr>
              <w:tab/>
            </w:r>
            <w:r w:rsidR="00E71FAF" w:rsidRPr="00AC6874">
              <w:rPr>
                <w:rStyle w:val="Lienhypertexte"/>
                <w:noProof/>
              </w:rPr>
              <w:t>Métriques comptes de campagne</w:t>
            </w:r>
            <w:r w:rsidR="00E71FAF">
              <w:rPr>
                <w:noProof/>
                <w:webHidden/>
              </w:rPr>
              <w:tab/>
            </w:r>
            <w:r w:rsidR="00E71FAF">
              <w:rPr>
                <w:noProof/>
                <w:webHidden/>
              </w:rPr>
              <w:fldChar w:fldCharType="begin"/>
            </w:r>
            <w:r w:rsidR="00E71FAF">
              <w:rPr>
                <w:noProof/>
                <w:webHidden/>
              </w:rPr>
              <w:instrText xml:space="preserve"> PAGEREF _Toc218852829 \h </w:instrText>
            </w:r>
            <w:r w:rsidR="00E71FAF">
              <w:rPr>
                <w:noProof/>
                <w:webHidden/>
              </w:rPr>
            </w:r>
            <w:r w:rsidR="00E71FAF">
              <w:rPr>
                <w:noProof/>
                <w:webHidden/>
              </w:rPr>
              <w:fldChar w:fldCharType="separate"/>
            </w:r>
            <w:r w:rsidR="00E71FAF">
              <w:rPr>
                <w:noProof/>
                <w:webHidden/>
              </w:rPr>
              <w:t>21</w:t>
            </w:r>
            <w:r w:rsidR="00E71FAF">
              <w:rPr>
                <w:noProof/>
                <w:webHidden/>
              </w:rPr>
              <w:fldChar w:fldCharType="end"/>
            </w:r>
          </w:hyperlink>
        </w:p>
        <w:p w14:paraId="0DC0FFE3" w14:textId="72221EE2" w:rsidR="00E71FAF" w:rsidRDefault="001D4AA8">
          <w:pPr>
            <w:pStyle w:val="TM1"/>
            <w:tabs>
              <w:tab w:val="left" w:pos="600"/>
              <w:tab w:val="right" w:leader="dot" w:pos="9062"/>
            </w:tabs>
            <w:rPr>
              <w:rFonts w:eastAsiaTheme="minorEastAsia" w:cstheme="minorBidi"/>
              <w:b w:val="0"/>
              <w:bCs w:val="0"/>
              <w:i w:val="0"/>
              <w:iCs w:val="0"/>
              <w:noProof/>
              <w:kern w:val="0"/>
              <w:sz w:val="22"/>
              <w:szCs w:val="22"/>
              <w:lang w:eastAsia="fr-FR"/>
              <w14:ligatures w14:val="none"/>
            </w:rPr>
          </w:pPr>
          <w:hyperlink w:anchor="_Toc218852830" w:history="1">
            <w:r w:rsidR="00E71FAF" w:rsidRPr="00AC6874">
              <w:rPr>
                <w:rStyle w:val="Lienhypertexte"/>
                <w:noProof/>
              </w:rPr>
              <w:t>3.</w:t>
            </w:r>
            <w:r w:rsidR="00E71FAF">
              <w:rPr>
                <w:rFonts w:eastAsiaTheme="minorEastAsia" w:cstheme="minorBidi"/>
                <w:b w:val="0"/>
                <w:bCs w:val="0"/>
                <w:i w:val="0"/>
                <w:iCs w:val="0"/>
                <w:noProof/>
                <w:kern w:val="0"/>
                <w:sz w:val="22"/>
                <w:szCs w:val="22"/>
                <w:lang w:eastAsia="fr-FR"/>
                <w14:ligatures w14:val="none"/>
              </w:rPr>
              <w:tab/>
            </w:r>
            <w:r w:rsidR="00E71FAF" w:rsidRPr="00AC6874">
              <w:rPr>
                <w:rStyle w:val="Lienhypertexte"/>
                <w:noProof/>
              </w:rPr>
              <w:t>Prestations attendues dans le cadre de la consultation</w:t>
            </w:r>
            <w:r w:rsidR="00E71FAF">
              <w:rPr>
                <w:noProof/>
                <w:webHidden/>
              </w:rPr>
              <w:tab/>
            </w:r>
            <w:r w:rsidR="00E71FAF">
              <w:rPr>
                <w:noProof/>
                <w:webHidden/>
              </w:rPr>
              <w:fldChar w:fldCharType="begin"/>
            </w:r>
            <w:r w:rsidR="00E71FAF">
              <w:rPr>
                <w:noProof/>
                <w:webHidden/>
              </w:rPr>
              <w:instrText xml:space="preserve"> PAGEREF _Toc218852830 \h </w:instrText>
            </w:r>
            <w:r w:rsidR="00E71FAF">
              <w:rPr>
                <w:noProof/>
                <w:webHidden/>
              </w:rPr>
            </w:r>
            <w:r w:rsidR="00E71FAF">
              <w:rPr>
                <w:noProof/>
                <w:webHidden/>
              </w:rPr>
              <w:fldChar w:fldCharType="separate"/>
            </w:r>
            <w:r w:rsidR="00E71FAF">
              <w:rPr>
                <w:noProof/>
                <w:webHidden/>
              </w:rPr>
              <w:t>22</w:t>
            </w:r>
            <w:r w:rsidR="00E71FAF">
              <w:rPr>
                <w:noProof/>
                <w:webHidden/>
              </w:rPr>
              <w:fldChar w:fldCharType="end"/>
            </w:r>
          </w:hyperlink>
        </w:p>
        <w:p w14:paraId="402560EF" w14:textId="6128E5CC" w:rsidR="00E71FAF" w:rsidRDefault="001D4AA8">
          <w:pPr>
            <w:pStyle w:val="TM1"/>
            <w:tabs>
              <w:tab w:val="left" w:pos="600"/>
              <w:tab w:val="right" w:leader="dot" w:pos="9062"/>
            </w:tabs>
            <w:rPr>
              <w:rFonts w:eastAsiaTheme="minorEastAsia" w:cstheme="minorBidi"/>
              <w:b w:val="0"/>
              <w:bCs w:val="0"/>
              <w:i w:val="0"/>
              <w:iCs w:val="0"/>
              <w:noProof/>
              <w:kern w:val="0"/>
              <w:sz w:val="22"/>
              <w:szCs w:val="22"/>
              <w:lang w:eastAsia="fr-FR"/>
              <w14:ligatures w14:val="none"/>
            </w:rPr>
          </w:pPr>
          <w:hyperlink w:anchor="_Toc218852831" w:history="1">
            <w:r w:rsidR="00E71FAF" w:rsidRPr="00AC6874">
              <w:rPr>
                <w:rStyle w:val="Lienhypertexte"/>
                <w:noProof/>
              </w:rPr>
              <w:t>4.</w:t>
            </w:r>
            <w:r w:rsidR="00E71FAF">
              <w:rPr>
                <w:rFonts w:eastAsiaTheme="minorEastAsia" w:cstheme="minorBidi"/>
                <w:b w:val="0"/>
                <w:bCs w:val="0"/>
                <w:i w:val="0"/>
                <w:iCs w:val="0"/>
                <w:noProof/>
                <w:kern w:val="0"/>
                <w:sz w:val="22"/>
                <w:szCs w:val="22"/>
                <w:lang w:eastAsia="fr-FR"/>
                <w14:ligatures w14:val="none"/>
              </w:rPr>
              <w:tab/>
            </w:r>
            <w:r w:rsidR="00E71FAF" w:rsidRPr="00AC6874">
              <w:rPr>
                <w:rStyle w:val="Lienhypertexte"/>
                <w:noProof/>
              </w:rPr>
              <w:t>Les exigences spécifiques du projet</w:t>
            </w:r>
            <w:r w:rsidR="00E71FAF">
              <w:rPr>
                <w:noProof/>
                <w:webHidden/>
              </w:rPr>
              <w:tab/>
            </w:r>
            <w:r w:rsidR="00E71FAF">
              <w:rPr>
                <w:noProof/>
                <w:webHidden/>
              </w:rPr>
              <w:fldChar w:fldCharType="begin"/>
            </w:r>
            <w:r w:rsidR="00E71FAF">
              <w:rPr>
                <w:noProof/>
                <w:webHidden/>
              </w:rPr>
              <w:instrText xml:space="preserve"> PAGEREF _Toc218852831 \h </w:instrText>
            </w:r>
            <w:r w:rsidR="00E71FAF">
              <w:rPr>
                <w:noProof/>
                <w:webHidden/>
              </w:rPr>
            </w:r>
            <w:r w:rsidR="00E71FAF">
              <w:rPr>
                <w:noProof/>
                <w:webHidden/>
              </w:rPr>
              <w:fldChar w:fldCharType="separate"/>
            </w:r>
            <w:r w:rsidR="00E71FAF">
              <w:rPr>
                <w:noProof/>
                <w:webHidden/>
              </w:rPr>
              <w:t>23</w:t>
            </w:r>
            <w:r w:rsidR="00E71FAF">
              <w:rPr>
                <w:noProof/>
                <w:webHidden/>
              </w:rPr>
              <w:fldChar w:fldCharType="end"/>
            </w:r>
          </w:hyperlink>
        </w:p>
        <w:p w14:paraId="750496E0" w14:textId="62C9333C"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32" w:history="1">
            <w:r w:rsidR="00E71FAF" w:rsidRPr="00AC6874">
              <w:rPr>
                <w:rStyle w:val="Lienhypertexte"/>
                <w:noProof/>
              </w:rPr>
              <w:t>4.1.</w:t>
            </w:r>
            <w:r w:rsidR="00E71FAF">
              <w:rPr>
                <w:rFonts w:eastAsiaTheme="minorEastAsia" w:cstheme="minorBidi"/>
                <w:b w:val="0"/>
                <w:bCs w:val="0"/>
                <w:noProof/>
                <w:kern w:val="0"/>
                <w:lang w:eastAsia="fr-FR"/>
                <w14:ligatures w14:val="none"/>
              </w:rPr>
              <w:tab/>
            </w:r>
            <w:r w:rsidR="00E71FAF" w:rsidRPr="00AC6874">
              <w:rPr>
                <w:rStyle w:val="Lienhypertexte"/>
                <w:noProof/>
              </w:rPr>
              <w:t>Exigences techniques</w:t>
            </w:r>
            <w:r w:rsidR="00E71FAF">
              <w:rPr>
                <w:noProof/>
                <w:webHidden/>
              </w:rPr>
              <w:tab/>
            </w:r>
            <w:r w:rsidR="00E71FAF">
              <w:rPr>
                <w:noProof/>
                <w:webHidden/>
              </w:rPr>
              <w:fldChar w:fldCharType="begin"/>
            </w:r>
            <w:r w:rsidR="00E71FAF">
              <w:rPr>
                <w:noProof/>
                <w:webHidden/>
              </w:rPr>
              <w:instrText xml:space="preserve"> PAGEREF _Toc218852832 \h </w:instrText>
            </w:r>
            <w:r w:rsidR="00E71FAF">
              <w:rPr>
                <w:noProof/>
                <w:webHidden/>
              </w:rPr>
            </w:r>
            <w:r w:rsidR="00E71FAF">
              <w:rPr>
                <w:noProof/>
                <w:webHidden/>
              </w:rPr>
              <w:fldChar w:fldCharType="separate"/>
            </w:r>
            <w:r w:rsidR="00E71FAF">
              <w:rPr>
                <w:noProof/>
                <w:webHidden/>
              </w:rPr>
              <w:t>24</w:t>
            </w:r>
            <w:r w:rsidR="00E71FAF">
              <w:rPr>
                <w:noProof/>
                <w:webHidden/>
              </w:rPr>
              <w:fldChar w:fldCharType="end"/>
            </w:r>
          </w:hyperlink>
        </w:p>
        <w:p w14:paraId="4C1CF859" w14:textId="046A99ED"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3" w:history="1">
            <w:r w:rsidR="00E71FAF" w:rsidRPr="00AC6874">
              <w:rPr>
                <w:rStyle w:val="Lienhypertexte"/>
                <w:noProof/>
              </w:rPr>
              <w:t>4.1.1.</w:t>
            </w:r>
            <w:r w:rsidR="00E71FAF">
              <w:rPr>
                <w:rFonts w:eastAsiaTheme="minorEastAsia" w:cstheme="minorBidi"/>
                <w:noProof/>
                <w:kern w:val="0"/>
                <w:sz w:val="22"/>
                <w:szCs w:val="22"/>
                <w:lang w:eastAsia="fr-FR"/>
                <w14:ligatures w14:val="none"/>
              </w:rPr>
              <w:tab/>
            </w:r>
            <w:r w:rsidR="00E71FAF" w:rsidRPr="00AC6874">
              <w:rPr>
                <w:rStyle w:val="Lienhypertexte"/>
                <w:noProof/>
              </w:rPr>
              <w:t>Contraintes liées aux conditions d’hébergement</w:t>
            </w:r>
            <w:r w:rsidR="00E71FAF">
              <w:rPr>
                <w:noProof/>
                <w:webHidden/>
              </w:rPr>
              <w:tab/>
            </w:r>
            <w:r w:rsidR="00E71FAF">
              <w:rPr>
                <w:noProof/>
                <w:webHidden/>
              </w:rPr>
              <w:fldChar w:fldCharType="begin"/>
            </w:r>
            <w:r w:rsidR="00E71FAF">
              <w:rPr>
                <w:noProof/>
                <w:webHidden/>
              </w:rPr>
              <w:instrText xml:space="preserve"> PAGEREF _Toc218852833 \h </w:instrText>
            </w:r>
            <w:r w:rsidR="00E71FAF">
              <w:rPr>
                <w:noProof/>
                <w:webHidden/>
              </w:rPr>
            </w:r>
            <w:r w:rsidR="00E71FAF">
              <w:rPr>
                <w:noProof/>
                <w:webHidden/>
              </w:rPr>
              <w:fldChar w:fldCharType="separate"/>
            </w:r>
            <w:r w:rsidR="00E71FAF">
              <w:rPr>
                <w:noProof/>
                <w:webHidden/>
              </w:rPr>
              <w:t>24</w:t>
            </w:r>
            <w:r w:rsidR="00E71FAF">
              <w:rPr>
                <w:noProof/>
                <w:webHidden/>
              </w:rPr>
              <w:fldChar w:fldCharType="end"/>
            </w:r>
          </w:hyperlink>
        </w:p>
        <w:p w14:paraId="0E705A9B" w14:textId="7788A079"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4" w:history="1">
            <w:r w:rsidR="00E71FAF" w:rsidRPr="00AC6874">
              <w:rPr>
                <w:rStyle w:val="Lienhypertexte"/>
                <w:noProof/>
              </w:rPr>
              <w:t>4.1.2.</w:t>
            </w:r>
            <w:r w:rsidR="00E71FAF">
              <w:rPr>
                <w:rFonts w:eastAsiaTheme="minorEastAsia" w:cstheme="minorBidi"/>
                <w:noProof/>
                <w:kern w:val="0"/>
                <w:sz w:val="22"/>
                <w:szCs w:val="22"/>
                <w:lang w:eastAsia="fr-FR"/>
                <w14:ligatures w14:val="none"/>
              </w:rPr>
              <w:tab/>
            </w:r>
            <w:r w:rsidR="00E71FAF" w:rsidRPr="00AC6874">
              <w:rPr>
                <w:rStyle w:val="Lienhypertexte"/>
                <w:noProof/>
              </w:rPr>
              <w:t>Conception technique</w:t>
            </w:r>
            <w:r w:rsidR="00E71FAF">
              <w:rPr>
                <w:noProof/>
                <w:webHidden/>
              </w:rPr>
              <w:tab/>
            </w:r>
            <w:r w:rsidR="00E71FAF">
              <w:rPr>
                <w:noProof/>
                <w:webHidden/>
              </w:rPr>
              <w:fldChar w:fldCharType="begin"/>
            </w:r>
            <w:r w:rsidR="00E71FAF">
              <w:rPr>
                <w:noProof/>
                <w:webHidden/>
              </w:rPr>
              <w:instrText xml:space="preserve"> PAGEREF _Toc218852834 \h </w:instrText>
            </w:r>
            <w:r w:rsidR="00E71FAF">
              <w:rPr>
                <w:noProof/>
                <w:webHidden/>
              </w:rPr>
            </w:r>
            <w:r w:rsidR="00E71FAF">
              <w:rPr>
                <w:noProof/>
                <w:webHidden/>
              </w:rPr>
              <w:fldChar w:fldCharType="separate"/>
            </w:r>
            <w:r w:rsidR="00E71FAF">
              <w:rPr>
                <w:noProof/>
                <w:webHidden/>
              </w:rPr>
              <w:t>24</w:t>
            </w:r>
            <w:r w:rsidR="00E71FAF">
              <w:rPr>
                <w:noProof/>
                <w:webHidden/>
              </w:rPr>
              <w:fldChar w:fldCharType="end"/>
            </w:r>
          </w:hyperlink>
        </w:p>
        <w:p w14:paraId="0750B1D9" w14:textId="6BA5EAF9"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5" w:history="1">
            <w:r w:rsidR="00E71FAF" w:rsidRPr="00AC6874">
              <w:rPr>
                <w:rStyle w:val="Lienhypertexte"/>
                <w:noProof/>
              </w:rPr>
              <w:t>4.1.3.</w:t>
            </w:r>
            <w:r w:rsidR="00E71FAF">
              <w:rPr>
                <w:rFonts w:eastAsiaTheme="minorEastAsia" w:cstheme="minorBidi"/>
                <w:noProof/>
                <w:kern w:val="0"/>
                <w:sz w:val="22"/>
                <w:szCs w:val="22"/>
                <w:lang w:eastAsia="fr-FR"/>
                <w14:ligatures w14:val="none"/>
              </w:rPr>
              <w:tab/>
            </w:r>
            <w:r w:rsidR="00E71FAF" w:rsidRPr="00AC6874">
              <w:rPr>
                <w:rStyle w:val="Lienhypertexte"/>
                <w:noProof/>
              </w:rPr>
              <w:t>Disponibilité et continuité d’activité</w:t>
            </w:r>
            <w:r w:rsidR="00E71FAF">
              <w:rPr>
                <w:noProof/>
                <w:webHidden/>
              </w:rPr>
              <w:tab/>
            </w:r>
            <w:r w:rsidR="00E71FAF">
              <w:rPr>
                <w:noProof/>
                <w:webHidden/>
              </w:rPr>
              <w:fldChar w:fldCharType="begin"/>
            </w:r>
            <w:r w:rsidR="00E71FAF">
              <w:rPr>
                <w:noProof/>
                <w:webHidden/>
              </w:rPr>
              <w:instrText xml:space="preserve"> PAGEREF _Toc218852835 \h </w:instrText>
            </w:r>
            <w:r w:rsidR="00E71FAF">
              <w:rPr>
                <w:noProof/>
                <w:webHidden/>
              </w:rPr>
            </w:r>
            <w:r w:rsidR="00E71FAF">
              <w:rPr>
                <w:noProof/>
                <w:webHidden/>
              </w:rPr>
              <w:fldChar w:fldCharType="separate"/>
            </w:r>
            <w:r w:rsidR="00E71FAF">
              <w:rPr>
                <w:noProof/>
                <w:webHidden/>
              </w:rPr>
              <w:t>25</w:t>
            </w:r>
            <w:r w:rsidR="00E71FAF">
              <w:rPr>
                <w:noProof/>
                <w:webHidden/>
              </w:rPr>
              <w:fldChar w:fldCharType="end"/>
            </w:r>
          </w:hyperlink>
        </w:p>
        <w:p w14:paraId="3DC37486" w14:textId="794B0D2A"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6" w:history="1">
            <w:r w:rsidR="00E71FAF" w:rsidRPr="00AC6874">
              <w:rPr>
                <w:rStyle w:val="Lienhypertexte"/>
                <w:noProof/>
              </w:rPr>
              <w:t>4.1.4.</w:t>
            </w:r>
            <w:r w:rsidR="00E71FAF">
              <w:rPr>
                <w:rFonts w:eastAsiaTheme="minorEastAsia" w:cstheme="minorBidi"/>
                <w:noProof/>
                <w:kern w:val="0"/>
                <w:sz w:val="22"/>
                <w:szCs w:val="22"/>
                <w:lang w:eastAsia="fr-FR"/>
                <w14:ligatures w14:val="none"/>
              </w:rPr>
              <w:tab/>
            </w:r>
            <w:r w:rsidR="00E71FAF" w:rsidRPr="00AC6874">
              <w:rPr>
                <w:rStyle w:val="Lienhypertexte"/>
                <w:noProof/>
              </w:rPr>
              <w:t>Performance et scalabilité</w:t>
            </w:r>
            <w:r w:rsidR="00E71FAF">
              <w:rPr>
                <w:noProof/>
                <w:webHidden/>
              </w:rPr>
              <w:tab/>
            </w:r>
            <w:r w:rsidR="00E71FAF">
              <w:rPr>
                <w:noProof/>
                <w:webHidden/>
              </w:rPr>
              <w:fldChar w:fldCharType="begin"/>
            </w:r>
            <w:r w:rsidR="00E71FAF">
              <w:rPr>
                <w:noProof/>
                <w:webHidden/>
              </w:rPr>
              <w:instrText xml:space="preserve"> PAGEREF _Toc218852836 \h </w:instrText>
            </w:r>
            <w:r w:rsidR="00E71FAF">
              <w:rPr>
                <w:noProof/>
                <w:webHidden/>
              </w:rPr>
            </w:r>
            <w:r w:rsidR="00E71FAF">
              <w:rPr>
                <w:noProof/>
                <w:webHidden/>
              </w:rPr>
              <w:fldChar w:fldCharType="separate"/>
            </w:r>
            <w:r w:rsidR="00E71FAF">
              <w:rPr>
                <w:noProof/>
                <w:webHidden/>
              </w:rPr>
              <w:t>25</w:t>
            </w:r>
            <w:r w:rsidR="00E71FAF">
              <w:rPr>
                <w:noProof/>
                <w:webHidden/>
              </w:rPr>
              <w:fldChar w:fldCharType="end"/>
            </w:r>
          </w:hyperlink>
        </w:p>
        <w:p w14:paraId="0E5A1658" w14:textId="1F15D072"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7" w:history="1">
            <w:r w:rsidR="00E71FAF" w:rsidRPr="00AC6874">
              <w:rPr>
                <w:rStyle w:val="Lienhypertexte"/>
                <w:noProof/>
              </w:rPr>
              <w:t>4.1.5.</w:t>
            </w:r>
            <w:r w:rsidR="00E71FAF">
              <w:rPr>
                <w:rFonts w:eastAsiaTheme="minorEastAsia" w:cstheme="minorBidi"/>
                <w:noProof/>
                <w:kern w:val="0"/>
                <w:sz w:val="22"/>
                <w:szCs w:val="22"/>
                <w:lang w:eastAsia="fr-FR"/>
                <w14:ligatures w14:val="none"/>
              </w:rPr>
              <w:tab/>
            </w:r>
            <w:r w:rsidR="00E71FAF" w:rsidRPr="00AC6874">
              <w:rPr>
                <w:rStyle w:val="Lienhypertexte"/>
                <w:noProof/>
              </w:rPr>
              <w:t>Exigences de sécurité et de conformité</w:t>
            </w:r>
            <w:r w:rsidR="00E71FAF">
              <w:rPr>
                <w:noProof/>
                <w:webHidden/>
              </w:rPr>
              <w:tab/>
            </w:r>
            <w:r w:rsidR="00E71FAF">
              <w:rPr>
                <w:noProof/>
                <w:webHidden/>
              </w:rPr>
              <w:fldChar w:fldCharType="begin"/>
            </w:r>
            <w:r w:rsidR="00E71FAF">
              <w:rPr>
                <w:noProof/>
                <w:webHidden/>
              </w:rPr>
              <w:instrText xml:space="preserve"> PAGEREF _Toc218852837 \h </w:instrText>
            </w:r>
            <w:r w:rsidR="00E71FAF">
              <w:rPr>
                <w:noProof/>
                <w:webHidden/>
              </w:rPr>
            </w:r>
            <w:r w:rsidR="00E71FAF">
              <w:rPr>
                <w:noProof/>
                <w:webHidden/>
              </w:rPr>
              <w:fldChar w:fldCharType="separate"/>
            </w:r>
            <w:r w:rsidR="00E71FAF">
              <w:rPr>
                <w:noProof/>
                <w:webHidden/>
              </w:rPr>
              <w:t>25</w:t>
            </w:r>
            <w:r w:rsidR="00E71FAF">
              <w:rPr>
                <w:noProof/>
                <w:webHidden/>
              </w:rPr>
              <w:fldChar w:fldCharType="end"/>
            </w:r>
          </w:hyperlink>
        </w:p>
        <w:p w14:paraId="3117E365" w14:textId="7D8FA112"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38" w:history="1">
            <w:r w:rsidR="00E71FAF" w:rsidRPr="00AC6874">
              <w:rPr>
                <w:rStyle w:val="Lienhypertexte"/>
                <w:noProof/>
              </w:rPr>
              <w:t>4.2.</w:t>
            </w:r>
            <w:r w:rsidR="00E71FAF">
              <w:rPr>
                <w:rFonts w:eastAsiaTheme="minorEastAsia" w:cstheme="minorBidi"/>
                <w:b w:val="0"/>
                <w:bCs w:val="0"/>
                <w:noProof/>
                <w:kern w:val="0"/>
                <w:lang w:eastAsia="fr-FR"/>
                <w14:ligatures w14:val="none"/>
              </w:rPr>
              <w:tab/>
            </w:r>
            <w:r w:rsidR="00E71FAF" w:rsidRPr="00AC6874">
              <w:rPr>
                <w:rStyle w:val="Lienhypertexte"/>
                <w:noProof/>
              </w:rPr>
              <w:t>Exigences globales de développement</w:t>
            </w:r>
            <w:r w:rsidR="00E71FAF">
              <w:rPr>
                <w:noProof/>
                <w:webHidden/>
              </w:rPr>
              <w:tab/>
            </w:r>
            <w:r w:rsidR="00E71FAF">
              <w:rPr>
                <w:noProof/>
                <w:webHidden/>
              </w:rPr>
              <w:fldChar w:fldCharType="begin"/>
            </w:r>
            <w:r w:rsidR="00E71FAF">
              <w:rPr>
                <w:noProof/>
                <w:webHidden/>
              </w:rPr>
              <w:instrText xml:space="preserve"> PAGEREF _Toc218852838 \h </w:instrText>
            </w:r>
            <w:r w:rsidR="00E71FAF">
              <w:rPr>
                <w:noProof/>
                <w:webHidden/>
              </w:rPr>
            </w:r>
            <w:r w:rsidR="00E71FAF">
              <w:rPr>
                <w:noProof/>
                <w:webHidden/>
              </w:rPr>
              <w:fldChar w:fldCharType="separate"/>
            </w:r>
            <w:r w:rsidR="00E71FAF">
              <w:rPr>
                <w:noProof/>
                <w:webHidden/>
              </w:rPr>
              <w:t>26</w:t>
            </w:r>
            <w:r w:rsidR="00E71FAF">
              <w:rPr>
                <w:noProof/>
                <w:webHidden/>
              </w:rPr>
              <w:fldChar w:fldCharType="end"/>
            </w:r>
          </w:hyperlink>
        </w:p>
        <w:p w14:paraId="7C7B60B8" w14:textId="507EF854"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39" w:history="1">
            <w:r w:rsidR="00E71FAF" w:rsidRPr="00AC6874">
              <w:rPr>
                <w:rStyle w:val="Lienhypertexte"/>
                <w:noProof/>
              </w:rPr>
              <w:t>4.2.1.</w:t>
            </w:r>
            <w:r w:rsidR="00E71FAF">
              <w:rPr>
                <w:rFonts w:eastAsiaTheme="minorEastAsia" w:cstheme="minorBidi"/>
                <w:noProof/>
                <w:kern w:val="0"/>
                <w:sz w:val="22"/>
                <w:szCs w:val="22"/>
                <w:lang w:eastAsia="fr-FR"/>
                <w14:ligatures w14:val="none"/>
              </w:rPr>
              <w:tab/>
            </w:r>
            <w:r w:rsidR="00E71FAF" w:rsidRPr="00AC6874">
              <w:rPr>
                <w:rStyle w:val="Lienhypertexte"/>
                <w:noProof/>
              </w:rPr>
              <w:t>Architecture de l’application</w:t>
            </w:r>
            <w:r w:rsidR="00E71FAF">
              <w:rPr>
                <w:noProof/>
                <w:webHidden/>
              </w:rPr>
              <w:tab/>
            </w:r>
            <w:r w:rsidR="00E71FAF">
              <w:rPr>
                <w:noProof/>
                <w:webHidden/>
              </w:rPr>
              <w:fldChar w:fldCharType="begin"/>
            </w:r>
            <w:r w:rsidR="00E71FAF">
              <w:rPr>
                <w:noProof/>
                <w:webHidden/>
              </w:rPr>
              <w:instrText xml:space="preserve"> PAGEREF _Toc218852839 \h </w:instrText>
            </w:r>
            <w:r w:rsidR="00E71FAF">
              <w:rPr>
                <w:noProof/>
                <w:webHidden/>
              </w:rPr>
            </w:r>
            <w:r w:rsidR="00E71FAF">
              <w:rPr>
                <w:noProof/>
                <w:webHidden/>
              </w:rPr>
              <w:fldChar w:fldCharType="separate"/>
            </w:r>
            <w:r w:rsidR="00E71FAF">
              <w:rPr>
                <w:noProof/>
                <w:webHidden/>
              </w:rPr>
              <w:t>26</w:t>
            </w:r>
            <w:r w:rsidR="00E71FAF">
              <w:rPr>
                <w:noProof/>
                <w:webHidden/>
              </w:rPr>
              <w:fldChar w:fldCharType="end"/>
            </w:r>
          </w:hyperlink>
        </w:p>
        <w:p w14:paraId="243A7A8A" w14:textId="1E3EE1C0"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40" w:history="1">
            <w:r w:rsidR="00E71FAF" w:rsidRPr="00AC6874">
              <w:rPr>
                <w:rStyle w:val="Lienhypertexte"/>
                <w:noProof/>
              </w:rPr>
              <w:t>4.2.2.</w:t>
            </w:r>
            <w:r w:rsidR="00E71FAF">
              <w:rPr>
                <w:rFonts w:eastAsiaTheme="minorEastAsia" w:cstheme="minorBidi"/>
                <w:noProof/>
                <w:kern w:val="0"/>
                <w:sz w:val="22"/>
                <w:szCs w:val="22"/>
                <w:lang w:eastAsia="fr-FR"/>
                <w14:ligatures w14:val="none"/>
              </w:rPr>
              <w:tab/>
            </w:r>
            <w:r w:rsidR="00E71FAF" w:rsidRPr="00AC6874">
              <w:rPr>
                <w:rStyle w:val="Lienhypertexte"/>
                <w:noProof/>
              </w:rPr>
              <w:t>Technologies préconisées</w:t>
            </w:r>
            <w:r w:rsidR="00E71FAF">
              <w:rPr>
                <w:noProof/>
                <w:webHidden/>
              </w:rPr>
              <w:tab/>
            </w:r>
            <w:r w:rsidR="00E71FAF">
              <w:rPr>
                <w:noProof/>
                <w:webHidden/>
              </w:rPr>
              <w:fldChar w:fldCharType="begin"/>
            </w:r>
            <w:r w:rsidR="00E71FAF">
              <w:rPr>
                <w:noProof/>
                <w:webHidden/>
              </w:rPr>
              <w:instrText xml:space="preserve"> PAGEREF _Toc218852840 \h </w:instrText>
            </w:r>
            <w:r w:rsidR="00E71FAF">
              <w:rPr>
                <w:noProof/>
                <w:webHidden/>
              </w:rPr>
            </w:r>
            <w:r w:rsidR="00E71FAF">
              <w:rPr>
                <w:noProof/>
                <w:webHidden/>
              </w:rPr>
              <w:fldChar w:fldCharType="separate"/>
            </w:r>
            <w:r w:rsidR="00E71FAF">
              <w:rPr>
                <w:noProof/>
                <w:webHidden/>
              </w:rPr>
              <w:t>27</w:t>
            </w:r>
            <w:r w:rsidR="00E71FAF">
              <w:rPr>
                <w:noProof/>
                <w:webHidden/>
              </w:rPr>
              <w:fldChar w:fldCharType="end"/>
            </w:r>
          </w:hyperlink>
        </w:p>
        <w:p w14:paraId="727BD82C" w14:textId="22B8DB7C"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41" w:history="1">
            <w:r w:rsidR="00E71FAF" w:rsidRPr="00AC6874">
              <w:rPr>
                <w:rStyle w:val="Lienhypertexte"/>
                <w:noProof/>
              </w:rPr>
              <w:t>4.2.3.</w:t>
            </w:r>
            <w:r w:rsidR="00E71FAF">
              <w:rPr>
                <w:rFonts w:eastAsiaTheme="minorEastAsia" w:cstheme="minorBidi"/>
                <w:noProof/>
                <w:kern w:val="0"/>
                <w:sz w:val="22"/>
                <w:szCs w:val="22"/>
                <w:lang w:eastAsia="fr-FR"/>
                <w14:ligatures w14:val="none"/>
              </w:rPr>
              <w:tab/>
            </w:r>
            <w:r w:rsidR="00E71FAF" w:rsidRPr="00AC6874">
              <w:rPr>
                <w:rStyle w:val="Lienhypertexte"/>
                <w:noProof/>
              </w:rPr>
              <w:t>Environnement et outils de développement</w:t>
            </w:r>
            <w:r w:rsidR="00E71FAF">
              <w:rPr>
                <w:noProof/>
                <w:webHidden/>
              </w:rPr>
              <w:tab/>
            </w:r>
            <w:r w:rsidR="00E71FAF">
              <w:rPr>
                <w:noProof/>
                <w:webHidden/>
              </w:rPr>
              <w:fldChar w:fldCharType="begin"/>
            </w:r>
            <w:r w:rsidR="00E71FAF">
              <w:rPr>
                <w:noProof/>
                <w:webHidden/>
              </w:rPr>
              <w:instrText xml:space="preserve"> PAGEREF _Toc218852841 \h </w:instrText>
            </w:r>
            <w:r w:rsidR="00E71FAF">
              <w:rPr>
                <w:noProof/>
                <w:webHidden/>
              </w:rPr>
            </w:r>
            <w:r w:rsidR="00E71FAF">
              <w:rPr>
                <w:noProof/>
                <w:webHidden/>
              </w:rPr>
              <w:fldChar w:fldCharType="separate"/>
            </w:r>
            <w:r w:rsidR="00E71FAF">
              <w:rPr>
                <w:noProof/>
                <w:webHidden/>
              </w:rPr>
              <w:t>27</w:t>
            </w:r>
            <w:r w:rsidR="00E71FAF">
              <w:rPr>
                <w:noProof/>
                <w:webHidden/>
              </w:rPr>
              <w:fldChar w:fldCharType="end"/>
            </w:r>
          </w:hyperlink>
        </w:p>
        <w:p w14:paraId="1420FA3C" w14:textId="0CE672A4"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42" w:history="1">
            <w:r w:rsidR="00E71FAF" w:rsidRPr="00AC6874">
              <w:rPr>
                <w:rStyle w:val="Lienhypertexte"/>
                <w:noProof/>
              </w:rPr>
              <w:t>4.2.4.</w:t>
            </w:r>
            <w:r w:rsidR="00E71FAF">
              <w:rPr>
                <w:rFonts w:eastAsiaTheme="minorEastAsia" w:cstheme="minorBidi"/>
                <w:noProof/>
                <w:kern w:val="0"/>
                <w:sz w:val="22"/>
                <w:szCs w:val="22"/>
                <w:lang w:eastAsia="fr-FR"/>
                <w14:ligatures w14:val="none"/>
              </w:rPr>
              <w:tab/>
            </w:r>
            <w:r w:rsidR="00E71FAF" w:rsidRPr="00AC6874">
              <w:rPr>
                <w:rStyle w:val="Lienhypertexte"/>
                <w:noProof/>
              </w:rPr>
              <w:t>Contrôle qualité du code</w:t>
            </w:r>
            <w:r w:rsidR="00E71FAF">
              <w:rPr>
                <w:noProof/>
                <w:webHidden/>
              </w:rPr>
              <w:tab/>
            </w:r>
            <w:r w:rsidR="00E71FAF">
              <w:rPr>
                <w:noProof/>
                <w:webHidden/>
              </w:rPr>
              <w:fldChar w:fldCharType="begin"/>
            </w:r>
            <w:r w:rsidR="00E71FAF">
              <w:rPr>
                <w:noProof/>
                <w:webHidden/>
              </w:rPr>
              <w:instrText xml:space="preserve"> PAGEREF _Toc218852842 \h </w:instrText>
            </w:r>
            <w:r w:rsidR="00E71FAF">
              <w:rPr>
                <w:noProof/>
                <w:webHidden/>
              </w:rPr>
            </w:r>
            <w:r w:rsidR="00E71FAF">
              <w:rPr>
                <w:noProof/>
                <w:webHidden/>
              </w:rPr>
              <w:fldChar w:fldCharType="separate"/>
            </w:r>
            <w:r w:rsidR="00E71FAF">
              <w:rPr>
                <w:noProof/>
                <w:webHidden/>
              </w:rPr>
              <w:t>28</w:t>
            </w:r>
            <w:r w:rsidR="00E71FAF">
              <w:rPr>
                <w:noProof/>
                <w:webHidden/>
              </w:rPr>
              <w:fldChar w:fldCharType="end"/>
            </w:r>
          </w:hyperlink>
        </w:p>
        <w:p w14:paraId="502C9927" w14:textId="235A38BA" w:rsidR="00E71FAF" w:rsidRDefault="001D4AA8">
          <w:pPr>
            <w:pStyle w:val="TM3"/>
            <w:tabs>
              <w:tab w:val="left" w:pos="1200"/>
              <w:tab w:val="right" w:leader="dot" w:pos="9062"/>
            </w:tabs>
            <w:rPr>
              <w:rFonts w:eastAsiaTheme="minorEastAsia" w:cstheme="minorBidi"/>
              <w:noProof/>
              <w:kern w:val="0"/>
              <w:sz w:val="22"/>
              <w:szCs w:val="22"/>
              <w:lang w:eastAsia="fr-FR"/>
              <w14:ligatures w14:val="none"/>
            </w:rPr>
          </w:pPr>
          <w:hyperlink w:anchor="_Toc218852843" w:history="1">
            <w:r w:rsidR="00E71FAF" w:rsidRPr="00AC6874">
              <w:rPr>
                <w:rStyle w:val="Lienhypertexte"/>
                <w:noProof/>
              </w:rPr>
              <w:t>4.2.5.</w:t>
            </w:r>
            <w:r w:rsidR="00E71FAF">
              <w:rPr>
                <w:rFonts w:eastAsiaTheme="minorEastAsia" w:cstheme="minorBidi"/>
                <w:noProof/>
                <w:kern w:val="0"/>
                <w:sz w:val="22"/>
                <w:szCs w:val="22"/>
                <w:lang w:eastAsia="fr-FR"/>
                <w14:ligatures w14:val="none"/>
              </w:rPr>
              <w:tab/>
            </w:r>
            <w:r w:rsidR="00E71FAF" w:rsidRPr="00AC6874">
              <w:rPr>
                <w:rStyle w:val="Lienhypertexte"/>
                <w:noProof/>
              </w:rPr>
              <w:t>Documentation attendue</w:t>
            </w:r>
            <w:r w:rsidR="00E71FAF">
              <w:rPr>
                <w:noProof/>
                <w:webHidden/>
              </w:rPr>
              <w:tab/>
            </w:r>
            <w:r w:rsidR="00E71FAF">
              <w:rPr>
                <w:noProof/>
                <w:webHidden/>
              </w:rPr>
              <w:fldChar w:fldCharType="begin"/>
            </w:r>
            <w:r w:rsidR="00E71FAF">
              <w:rPr>
                <w:noProof/>
                <w:webHidden/>
              </w:rPr>
              <w:instrText xml:space="preserve"> PAGEREF _Toc218852843 \h </w:instrText>
            </w:r>
            <w:r w:rsidR="00E71FAF">
              <w:rPr>
                <w:noProof/>
                <w:webHidden/>
              </w:rPr>
            </w:r>
            <w:r w:rsidR="00E71FAF">
              <w:rPr>
                <w:noProof/>
                <w:webHidden/>
              </w:rPr>
              <w:fldChar w:fldCharType="separate"/>
            </w:r>
            <w:r w:rsidR="00E71FAF">
              <w:rPr>
                <w:noProof/>
                <w:webHidden/>
              </w:rPr>
              <w:t>28</w:t>
            </w:r>
            <w:r w:rsidR="00E71FAF">
              <w:rPr>
                <w:noProof/>
                <w:webHidden/>
              </w:rPr>
              <w:fldChar w:fldCharType="end"/>
            </w:r>
          </w:hyperlink>
        </w:p>
        <w:p w14:paraId="59FC4056" w14:textId="1CD17D67" w:rsidR="00E71FAF" w:rsidRDefault="001D4AA8">
          <w:pPr>
            <w:pStyle w:val="TM2"/>
            <w:tabs>
              <w:tab w:val="left" w:pos="800"/>
              <w:tab w:val="right" w:leader="dot" w:pos="9062"/>
            </w:tabs>
            <w:rPr>
              <w:rFonts w:eastAsiaTheme="minorEastAsia" w:cstheme="minorBidi"/>
              <w:b w:val="0"/>
              <w:bCs w:val="0"/>
              <w:noProof/>
              <w:kern w:val="0"/>
              <w:lang w:eastAsia="fr-FR"/>
              <w14:ligatures w14:val="none"/>
            </w:rPr>
          </w:pPr>
          <w:hyperlink w:anchor="_Toc218852844" w:history="1">
            <w:r w:rsidR="00E71FAF" w:rsidRPr="00AC6874">
              <w:rPr>
                <w:rStyle w:val="Lienhypertexte"/>
                <w:noProof/>
              </w:rPr>
              <w:t>4.3.</w:t>
            </w:r>
            <w:r w:rsidR="00E71FAF">
              <w:rPr>
                <w:rFonts w:eastAsiaTheme="minorEastAsia" w:cstheme="minorBidi"/>
                <w:b w:val="0"/>
                <w:bCs w:val="0"/>
                <w:noProof/>
                <w:kern w:val="0"/>
                <w:lang w:eastAsia="fr-FR"/>
                <w14:ligatures w14:val="none"/>
              </w:rPr>
              <w:tab/>
            </w:r>
            <w:r w:rsidR="00E71FAF" w:rsidRPr="00AC6874">
              <w:rPr>
                <w:rStyle w:val="Lienhypertexte"/>
                <w:noProof/>
              </w:rPr>
              <w:t>Exigences UX/UI design</w:t>
            </w:r>
            <w:r w:rsidR="00E71FAF">
              <w:rPr>
                <w:noProof/>
                <w:webHidden/>
              </w:rPr>
              <w:tab/>
            </w:r>
            <w:r w:rsidR="00E71FAF">
              <w:rPr>
                <w:noProof/>
                <w:webHidden/>
              </w:rPr>
              <w:fldChar w:fldCharType="begin"/>
            </w:r>
            <w:r w:rsidR="00E71FAF">
              <w:rPr>
                <w:noProof/>
                <w:webHidden/>
              </w:rPr>
              <w:instrText xml:space="preserve"> PAGEREF _Toc218852844 \h </w:instrText>
            </w:r>
            <w:r w:rsidR="00E71FAF">
              <w:rPr>
                <w:noProof/>
                <w:webHidden/>
              </w:rPr>
            </w:r>
            <w:r w:rsidR="00E71FAF">
              <w:rPr>
                <w:noProof/>
                <w:webHidden/>
              </w:rPr>
              <w:fldChar w:fldCharType="separate"/>
            </w:r>
            <w:r w:rsidR="00E71FAF">
              <w:rPr>
                <w:noProof/>
                <w:webHidden/>
              </w:rPr>
              <w:t>29</w:t>
            </w:r>
            <w:r w:rsidR="00E71FAF">
              <w:rPr>
                <w:noProof/>
                <w:webHidden/>
              </w:rPr>
              <w:fldChar w:fldCharType="end"/>
            </w:r>
          </w:hyperlink>
        </w:p>
        <w:p w14:paraId="3D3D14E9" w14:textId="6FA70124" w:rsidR="00E71FAF" w:rsidRDefault="001D4AA8">
          <w:pPr>
            <w:pStyle w:val="TM2"/>
            <w:tabs>
              <w:tab w:val="right" w:leader="dot" w:pos="9062"/>
            </w:tabs>
            <w:rPr>
              <w:rFonts w:eastAsiaTheme="minorEastAsia" w:cstheme="minorBidi"/>
              <w:b w:val="0"/>
              <w:bCs w:val="0"/>
              <w:noProof/>
              <w:kern w:val="0"/>
              <w:lang w:eastAsia="fr-FR"/>
              <w14:ligatures w14:val="none"/>
            </w:rPr>
          </w:pPr>
          <w:hyperlink w:anchor="_Toc218852845" w:history="1">
            <w:r w:rsidR="00E71FAF" w:rsidRPr="00AC6874">
              <w:rPr>
                <w:rStyle w:val="Lienhypertexte"/>
                <w:noProof/>
              </w:rPr>
              <w:t>Annexe 1 : Définition des principaux termes « métier »</w:t>
            </w:r>
            <w:r w:rsidR="00E71FAF">
              <w:rPr>
                <w:noProof/>
                <w:webHidden/>
              </w:rPr>
              <w:tab/>
            </w:r>
            <w:r w:rsidR="00E71FAF">
              <w:rPr>
                <w:noProof/>
                <w:webHidden/>
              </w:rPr>
              <w:fldChar w:fldCharType="begin"/>
            </w:r>
            <w:r w:rsidR="00E71FAF">
              <w:rPr>
                <w:noProof/>
                <w:webHidden/>
              </w:rPr>
              <w:instrText xml:space="preserve"> PAGEREF _Toc218852845 \h </w:instrText>
            </w:r>
            <w:r w:rsidR="00E71FAF">
              <w:rPr>
                <w:noProof/>
                <w:webHidden/>
              </w:rPr>
            </w:r>
            <w:r w:rsidR="00E71FAF">
              <w:rPr>
                <w:noProof/>
                <w:webHidden/>
              </w:rPr>
              <w:fldChar w:fldCharType="separate"/>
            </w:r>
            <w:r w:rsidR="00E71FAF">
              <w:rPr>
                <w:noProof/>
                <w:webHidden/>
              </w:rPr>
              <w:t>30</w:t>
            </w:r>
            <w:r w:rsidR="00E71FAF">
              <w:rPr>
                <w:noProof/>
                <w:webHidden/>
              </w:rPr>
              <w:fldChar w:fldCharType="end"/>
            </w:r>
          </w:hyperlink>
        </w:p>
        <w:p w14:paraId="6B57F72C" w14:textId="560FB485" w:rsidR="00E71FAF" w:rsidRDefault="001D4AA8">
          <w:pPr>
            <w:pStyle w:val="TM2"/>
            <w:tabs>
              <w:tab w:val="right" w:leader="dot" w:pos="9062"/>
            </w:tabs>
            <w:rPr>
              <w:rFonts w:eastAsiaTheme="minorEastAsia" w:cstheme="minorBidi"/>
              <w:b w:val="0"/>
              <w:bCs w:val="0"/>
              <w:noProof/>
              <w:kern w:val="0"/>
              <w:lang w:eastAsia="fr-FR"/>
              <w14:ligatures w14:val="none"/>
            </w:rPr>
          </w:pPr>
          <w:hyperlink w:anchor="_Toc218852846" w:history="1">
            <w:r w:rsidR="00E71FAF" w:rsidRPr="00AC6874">
              <w:rPr>
                <w:rStyle w:val="Lienhypertexte"/>
                <w:noProof/>
              </w:rPr>
              <w:t>Annexe 2 : Cartographie des applications et traitements existants</w:t>
            </w:r>
            <w:r w:rsidR="00E71FAF">
              <w:rPr>
                <w:noProof/>
                <w:webHidden/>
              </w:rPr>
              <w:tab/>
            </w:r>
            <w:r w:rsidR="00E71FAF">
              <w:rPr>
                <w:noProof/>
                <w:webHidden/>
              </w:rPr>
              <w:fldChar w:fldCharType="begin"/>
            </w:r>
            <w:r w:rsidR="00E71FAF">
              <w:rPr>
                <w:noProof/>
                <w:webHidden/>
              </w:rPr>
              <w:instrText xml:space="preserve"> PAGEREF _Toc218852846 \h </w:instrText>
            </w:r>
            <w:r w:rsidR="00E71FAF">
              <w:rPr>
                <w:noProof/>
                <w:webHidden/>
              </w:rPr>
            </w:r>
            <w:r w:rsidR="00E71FAF">
              <w:rPr>
                <w:noProof/>
                <w:webHidden/>
              </w:rPr>
              <w:fldChar w:fldCharType="separate"/>
            </w:r>
            <w:r w:rsidR="00E71FAF">
              <w:rPr>
                <w:noProof/>
                <w:webHidden/>
              </w:rPr>
              <w:t>33</w:t>
            </w:r>
            <w:r w:rsidR="00E71FAF">
              <w:rPr>
                <w:noProof/>
                <w:webHidden/>
              </w:rPr>
              <w:fldChar w:fldCharType="end"/>
            </w:r>
          </w:hyperlink>
        </w:p>
        <w:p w14:paraId="28B24C98" w14:textId="32F52E8E" w:rsidR="00E71FAF" w:rsidRDefault="001D4AA8">
          <w:pPr>
            <w:pStyle w:val="TM3"/>
            <w:tabs>
              <w:tab w:val="right" w:leader="dot" w:pos="9062"/>
            </w:tabs>
            <w:rPr>
              <w:rFonts w:eastAsiaTheme="minorEastAsia" w:cstheme="minorBidi"/>
              <w:noProof/>
              <w:kern w:val="0"/>
              <w:sz w:val="22"/>
              <w:szCs w:val="22"/>
              <w:lang w:eastAsia="fr-FR"/>
              <w14:ligatures w14:val="none"/>
            </w:rPr>
          </w:pPr>
          <w:hyperlink w:anchor="_Toc218852847" w:history="1">
            <w:r w:rsidR="00E71FAF" w:rsidRPr="00AC6874">
              <w:rPr>
                <w:rStyle w:val="Lienhypertexte"/>
                <w:noProof/>
              </w:rPr>
              <w:t>Les applications et outils communs aux enjeux liés aux partis politiques et aux élections</w:t>
            </w:r>
            <w:r w:rsidR="00E71FAF">
              <w:rPr>
                <w:noProof/>
                <w:webHidden/>
              </w:rPr>
              <w:tab/>
            </w:r>
            <w:r w:rsidR="00E71FAF">
              <w:rPr>
                <w:noProof/>
                <w:webHidden/>
              </w:rPr>
              <w:fldChar w:fldCharType="begin"/>
            </w:r>
            <w:r w:rsidR="00E71FAF">
              <w:rPr>
                <w:noProof/>
                <w:webHidden/>
              </w:rPr>
              <w:instrText xml:space="preserve"> PAGEREF _Toc218852847 \h </w:instrText>
            </w:r>
            <w:r w:rsidR="00E71FAF">
              <w:rPr>
                <w:noProof/>
                <w:webHidden/>
              </w:rPr>
            </w:r>
            <w:r w:rsidR="00E71FAF">
              <w:rPr>
                <w:noProof/>
                <w:webHidden/>
              </w:rPr>
              <w:fldChar w:fldCharType="separate"/>
            </w:r>
            <w:r w:rsidR="00E71FAF">
              <w:rPr>
                <w:noProof/>
                <w:webHidden/>
              </w:rPr>
              <w:t>33</w:t>
            </w:r>
            <w:r w:rsidR="00E71FAF">
              <w:rPr>
                <w:noProof/>
                <w:webHidden/>
              </w:rPr>
              <w:fldChar w:fldCharType="end"/>
            </w:r>
          </w:hyperlink>
        </w:p>
        <w:p w14:paraId="5B313590" w14:textId="0D64D256" w:rsidR="00E71FAF" w:rsidRDefault="001D4AA8">
          <w:pPr>
            <w:pStyle w:val="TM3"/>
            <w:tabs>
              <w:tab w:val="right" w:leader="dot" w:pos="9062"/>
            </w:tabs>
            <w:rPr>
              <w:rFonts w:eastAsiaTheme="minorEastAsia" w:cstheme="minorBidi"/>
              <w:noProof/>
              <w:kern w:val="0"/>
              <w:sz w:val="22"/>
              <w:szCs w:val="22"/>
              <w:lang w:eastAsia="fr-FR"/>
              <w14:ligatures w14:val="none"/>
            </w:rPr>
          </w:pPr>
          <w:hyperlink w:anchor="_Toc218852848" w:history="1">
            <w:r w:rsidR="00E71FAF" w:rsidRPr="00AC6874">
              <w:rPr>
                <w:rStyle w:val="Lienhypertexte"/>
                <w:noProof/>
              </w:rPr>
              <w:t>Les applications et outils spécifiques au contrôle des comptes de campagne</w:t>
            </w:r>
            <w:r w:rsidR="00E71FAF">
              <w:rPr>
                <w:noProof/>
                <w:webHidden/>
              </w:rPr>
              <w:tab/>
            </w:r>
            <w:r w:rsidR="00E71FAF">
              <w:rPr>
                <w:noProof/>
                <w:webHidden/>
              </w:rPr>
              <w:fldChar w:fldCharType="begin"/>
            </w:r>
            <w:r w:rsidR="00E71FAF">
              <w:rPr>
                <w:noProof/>
                <w:webHidden/>
              </w:rPr>
              <w:instrText xml:space="preserve"> PAGEREF _Toc218852848 \h </w:instrText>
            </w:r>
            <w:r w:rsidR="00E71FAF">
              <w:rPr>
                <w:noProof/>
                <w:webHidden/>
              </w:rPr>
            </w:r>
            <w:r w:rsidR="00E71FAF">
              <w:rPr>
                <w:noProof/>
                <w:webHidden/>
              </w:rPr>
              <w:fldChar w:fldCharType="separate"/>
            </w:r>
            <w:r w:rsidR="00E71FAF">
              <w:rPr>
                <w:noProof/>
                <w:webHidden/>
              </w:rPr>
              <w:t>34</w:t>
            </w:r>
            <w:r w:rsidR="00E71FAF">
              <w:rPr>
                <w:noProof/>
                <w:webHidden/>
              </w:rPr>
              <w:fldChar w:fldCharType="end"/>
            </w:r>
          </w:hyperlink>
        </w:p>
        <w:p w14:paraId="09E0C70F" w14:textId="25C4785D" w:rsidR="00E71FAF" w:rsidRDefault="001D4AA8">
          <w:pPr>
            <w:pStyle w:val="TM3"/>
            <w:tabs>
              <w:tab w:val="right" w:leader="dot" w:pos="9062"/>
            </w:tabs>
            <w:rPr>
              <w:rFonts w:eastAsiaTheme="minorEastAsia" w:cstheme="minorBidi"/>
              <w:noProof/>
              <w:kern w:val="0"/>
              <w:sz w:val="22"/>
              <w:szCs w:val="22"/>
              <w:lang w:eastAsia="fr-FR"/>
              <w14:ligatures w14:val="none"/>
            </w:rPr>
          </w:pPr>
          <w:hyperlink w:anchor="_Toc218852849" w:history="1">
            <w:r w:rsidR="00E71FAF" w:rsidRPr="00AC6874">
              <w:rPr>
                <w:rStyle w:val="Lienhypertexte"/>
                <w:noProof/>
              </w:rPr>
              <w:t>Les applications et outils relatifs aux partis politiques</w:t>
            </w:r>
            <w:r w:rsidR="00E71FAF">
              <w:rPr>
                <w:noProof/>
                <w:webHidden/>
              </w:rPr>
              <w:tab/>
            </w:r>
            <w:r w:rsidR="00E71FAF">
              <w:rPr>
                <w:noProof/>
                <w:webHidden/>
              </w:rPr>
              <w:fldChar w:fldCharType="begin"/>
            </w:r>
            <w:r w:rsidR="00E71FAF">
              <w:rPr>
                <w:noProof/>
                <w:webHidden/>
              </w:rPr>
              <w:instrText xml:space="preserve"> PAGEREF _Toc218852849 \h </w:instrText>
            </w:r>
            <w:r w:rsidR="00E71FAF">
              <w:rPr>
                <w:noProof/>
                <w:webHidden/>
              </w:rPr>
            </w:r>
            <w:r w:rsidR="00E71FAF">
              <w:rPr>
                <w:noProof/>
                <w:webHidden/>
              </w:rPr>
              <w:fldChar w:fldCharType="separate"/>
            </w:r>
            <w:r w:rsidR="00E71FAF">
              <w:rPr>
                <w:noProof/>
                <w:webHidden/>
              </w:rPr>
              <w:t>35</w:t>
            </w:r>
            <w:r w:rsidR="00E71FAF">
              <w:rPr>
                <w:noProof/>
                <w:webHidden/>
              </w:rPr>
              <w:fldChar w:fldCharType="end"/>
            </w:r>
          </w:hyperlink>
        </w:p>
        <w:p w14:paraId="34019031" w14:textId="0F413397" w:rsidR="005A7AA1" w:rsidRDefault="005A7AA1">
          <w:r>
            <w:rPr>
              <w:b/>
              <w:bCs/>
              <w:noProof/>
            </w:rPr>
            <w:fldChar w:fldCharType="end"/>
          </w:r>
        </w:p>
      </w:sdtContent>
    </w:sdt>
    <w:p w14:paraId="63D37568" w14:textId="69F6AC2D" w:rsidR="00514137" w:rsidRPr="00945323" w:rsidRDefault="005F5935" w:rsidP="001D4AA8">
      <w:pPr>
        <w:jc w:val="left"/>
        <w:rPr>
          <w:color w:val="2F5496" w:themeColor="accent1" w:themeShade="BF"/>
          <w:sz w:val="32"/>
          <w:szCs w:val="32"/>
        </w:rPr>
      </w:pPr>
      <w:r>
        <w:br w:type="page"/>
      </w:r>
    </w:p>
    <w:p w14:paraId="11CA0F8C" w14:textId="438F1989" w:rsidR="00087282" w:rsidRDefault="00087282" w:rsidP="00A13E81">
      <w:pPr>
        <w:pStyle w:val="Titre1"/>
      </w:pPr>
      <w:bookmarkStart w:id="0" w:name="_Toc218852693"/>
      <w:r>
        <w:t>Contexte et enjeux du projet</w:t>
      </w:r>
      <w:r w:rsidR="003B0716">
        <w:t xml:space="preserve"> pour la CNCCFP</w:t>
      </w:r>
      <w:bookmarkEnd w:id="0"/>
    </w:p>
    <w:p w14:paraId="6F00B1BD" w14:textId="281F120F" w:rsidR="00B86F15" w:rsidRPr="003F3864" w:rsidRDefault="00B86F15" w:rsidP="00A13E81"/>
    <w:p w14:paraId="148F28B8" w14:textId="4EA65633" w:rsidR="002F4628" w:rsidRDefault="002F4628" w:rsidP="00A13E81">
      <w:pPr>
        <w:pStyle w:val="Titre2"/>
      </w:pPr>
      <w:bookmarkStart w:id="1" w:name="_Toc218465027"/>
      <w:bookmarkStart w:id="2" w:name="_Toc218465068"/>
      <w:bookmarkStart w:id="3" w:name="_Toc218329746"/>
      <w:bookmarkStart w:id="4" w:name="_Toc218437048"/>
      <w:bookmarkStart w:id="5" w:name="_Toc218437077"/>
      <w:bookmarkStart w:id="6" w:name="_Toc218437105"/>
      <w:bookmarkStart w:id="7" w:name="_Toc218439724"/>
      <w:bookmarkStart w:id="8" w:name="_Toc218447570"/>
      <w:bookmarkStart w:id="9" w:name="_Toc218447861"/>
      <w:bookmarkStart w:id="10" w:name="_Toc218458620"/>
      <w:bookmarkStart w:id="11" w:name="_Toc218464892"/>
      <w:bookmarkStart w:id="12" w:name="_Toc218464936"/>
      <w:bookmarkStart w:id="13" w:name="_Toc218465028"/>
      <w:bookmarkStart w:id="14" w:name="_Toc218465069"/>
      <w:bookmarkStart w:id="15" w:name="_Toc218465029"/>
      <w:bookmarkStart w:id="16" w:name="_Toc218465070"/>
      <w:bookmarkStart w:id="17" w:name="_Toc2188526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t>Présentation de la CNCCFP et de ses missions</w:t>
      </w:r>
      <w:bookmarkEnd w:id="17"/>
    </w:p>
    <w:p w14:paraId="210FC061" w14:textId="77777777" w:rsidR="00A96534" w:rsidRDefault="00A96534" w:rsidP="00640A2D">
      <w:pPr>
        <w:rPr>
          <w:rFonts w:cs="Arial"/>
        </w:rPr>
      </w:pPr>
    </w:p>
    <w:p w14:paraId="44FDD9CD" w14:textId="2077CF0E" w:rsidR="00640A2D" w:rsidRPr="001356E3" w:rsidRDefault="00640A2D" w:rsidP="00640A2D">
      <w:r w:rsidRPr="001356E3">
        <w:t>La C</w:t>
      </w:r>
      <w:r w:rsidR="00434C94">
        <w:t>ommission nationale des comptes de campagne et des financements politiques (C</w:t>
      </w:r>
      <w:r w:rsidRPr="001356E3">
        <w:t>NCCFP</w:t>
      </w:r>
      <w:r w:rsidR="00434C94">
        <w:t>)</w:t>
      </w:r>
      <w:r w:rsidRPr="001356E3">
        <w:t xml:space="preserve"> a </w:t>
      </w:r>
      <w:r w:rsidR="00121B7C" w:rsidRPr="001356E3">
        <w:t>été</w:t>
      </w:r>
      <w:r w:rsidRPr="001356E3">
        <w:t xml:space="preserve"> créée par la loi n°90-55 du 15 janvier 1990 relative à la limitation des dépenses électorales et à la clarification du financement des activités politiques.</w:t>
      </w:r>
      <w:r w:rsidR="00FC0DE8">
        <w:t xml:space="preserve"> </w:t>
      </w:r>
      <w:r w:rsidR="00A96534">
        <w:t>A</w:t>
      </w:r>
      <w:r w:rsidRPr="001356E3">
        <w:t>utorité́ administrative indépendante</w:t>
      </w:r>
      <w:r w:rsidR="00A96534">
        <w:t>, elle</w:t>
      </w:r>
      <w:r w:rsidR="003D1791">
        <w:t xml:space="preserve"> </w:t>
      </w:r>
      <w:r w:rsidRPr="001356E3">
        <w:t>dispose d’une autonomie de recrutement et de gestion de ses agents (ordonnance n° 2003-1165 du 8 décembre 2003)</w:t>
      </w:r>
      <w:r w:rsidR="00A96534">
        <w:t>.</w:t>
      </w:r>
    </w:p>
    <w:p w14:paraId="5999631D" w14:textId="77777777" w:rsidR="00640A2D" w:rsidRDefault="00640A2D" w:rsidP="00640A2D"/>
    <w:p w14:paraId="6C7C40F9" w14:textId="68A0A9B3" w:rsidR="00640A2D" w:rsidRDefault="009A72C8" w:rsidP="00640A2D">
      <w:r>
        <w:t>La Commission est un o</w:t>
      </w:r>
      <w:r w:rsidR="00640A2D" w:rsidRPr="001356E3">
        <w:t>rgane collégial composé de neuf magistrats</w:t>
      </w:r>
      <w:r>
        <w:t xml:space="preserve"> désignés pour un mandat de 5 ans. Le dernier renouvellement est intervenu en mai 2025. </w:t>
      </w:r>
      <w:r w:rsidR="00434C94">
        <w:t xml:space="preserve">Elle </w:t>
      </w:r>
      <w:r w:rsidR="00434C94" w:rsidRPr="001356E3">
        <w:t xml:space="preserve">est présidée par M. </w:t>
      </w:r>
      <w:r w:rsidR="00434C94">
        <w:t>Christian</w:t>
      </w:r>
      <w:r w:rsidR="00434C94" w:rsidRPr="001356E3">
        <w:t xml:space="preserve"> </w:t>
      </w:r>
      <w:r w:rsidR="00434C94">
        <w:t>Charpy depuis le 20 mai 2025</w:t>
      </w:r>
      <w:r w:rsidR="00434C94" w:rsidRPr="001356E3">
        <w:t>.</w:t>
      </w:r>
      <w:r w:rsidR="00434C94">
        <w:t xml:space="preserve"> </w:t>
      </w:r>
      <w:r>
        <w:t xml:space="preserve">Elle </w:t>
      </w:r>
      <w:r w:rsidR="00640A2D" w:rsidRPr="001356E3">
        <w:t xml:space="preserve">a deux missions principales : </w:t>
      </w:r>
    </w:p>
    <w:p w14:paraId="75D590CE" w14:textId="77777777" w:rsidR="00640A2D" w:rsidRPr="001356E3" w:rsidRDefault="00640A2D" w:rsidP="00640A2D"/>
    <w:p w14:paraId="1D2134E3" w14:textId="796C25CF" w:rsidR="00640A2D" w:rsidRDefault="00640A2D" w:rsidP="006B51B4">
      <w:pPr>
        <w:pStyle w:val="Paragraphedeliste"/>
        <w:numPr>
          <w:ilvl w:val="0"/>
          <w:numId w:val="2"/>
        </w:numPr>
      </w:pPr>
      <w:r w:rsidRPr="001356E3">
        <w:t xml:space="preserve">d’une part, </w:t>
      </w:r>
      <w:r w:rsidR="00434C94">
        <w:t xml:space="preserve">à l’issue des élections, </w:t>
      </w:r>
      <w:r w:rsidRPr="001356E3">
        <w:t xml:space="preserve">contrôler les comptes de campagne des candidats aux élections </w:t>
      </w:r>
      <w:r w:rsidR="009A72C8">
        <w:t xml:space="preserve">politiques : </w:t>
      </w:r>
      <w:r w:rsidRPr="001356E3">
        <w:t>présidentielle, européennes, législatives, sénatoriales, régionales, départementales, municipales</w:t>
      </w:r>
      <w:r w:rsidR="003A2049">
        <w:t xml:space="preserve"> (pour les communes de 9000 habitants</w:t>
      </w:r>
      <w:r w:rsidR="009A72C8">
        <w:t xml:space="preserve"> et plus</w:t>
      </w:r>
      <w:r w:rsidR="003A2049">
        <w:t>)</w:t>
      </w:r>
      <w:r w:rsidRPr="001356E3">
        <w:t>, provinciales et territoriales (Outre-Mer), et fixer le montant d</w:t>
      </w:r>
      <w:r w:rsidR="009A72C8">
        <w:t>u</w:t>
      </w:r>
      <w:r w:rsidRPr="001356E3">
        <w:t xml:space="preserve"> remboursement forfaitaire dû par l’État</w:t>
      </w:r>
      <w:r w:rsidR="009A72C8">
        <w:t xml:space="preserve"> aux candidats sous certaines conditions prévues par le chapitre V bis du Titre Ier du Livre Ier du code électoral</w:t>
      </w:r>
      <w:r w:rsidRPr="001356E3">
        <w:t xml:space="preserve"> ; </w:t>
      </w:r>
    </w:p>
    <w:p w14:paraId="1DF69A4B" w14:textId="77777777" w:rsidR="00640A2D" w:rsidRPr="001356E3" w:rsidRDefault="00640A2D" w:rsidP="00640A2D">
      <w:pPr>
        <w:pStyle w:val="Paragraphedeliste"/>
      </w:pPr>
    </w:p>
    <w:p w14:paraId="188A0112" w14:textId="44F37368" w:rsidR="00640A2D" w:rsidRPr="001356E3" w:rsidRDefault="00640A2D" w:rsidP="006B51B4">
      <w:pPr>
        <w:pStyle w:val="Paragraphedeliste"/>
        <w:numPr>
          <w:ilvl w:val="0"/>
          <w:numId w:val="2"/>
        </w:numPr>
      </w:pPr>
      <w:r w:rsidRPr="001356E3">
        <w:t>d’autre</w:t>
      </w:r>
      <w:r w:rsidR="002F4628">
        <w:t xml:space="preserve"> </w:t>
      </w:r>
      <w:r w:rsidRPr="001356E3">
        <w:t xml:space="preserve">part, vérifier </w:t>
      </w:r>
      <w:r w:rsidR="00434C94">
        <w:t xml:space="preserve">chaque année </w:t>
      </w:r>
      <w:r w:rsidRPr="001356E3">
        <w:t>que les partis politiques respectent la</w:t>
      </w:r>
      <w:r w:rsidR="003D75E6">
        <w:t xml:space="preserve"> législation et</w:t>
      </w:r>
      <w:r w:rsidRPr="001356E3">
        <w:t xml:space="preserve"> </w:t>
      </w:r>
      <w:r w:rsidR="009A72C8">
        <w:t xml:space="preserve">la </w:t>
      </w:r>
      <w:r w:rsidRPr="001356E3">
        <w:t>règlementation applicable</w:t>
      </w:r>
      <w:r w:rsidR="003D75E6">
        <w:t>s</w:t>
      </w:r>
      <w:r w:rsidRPr="001356E3">
        <w:t xml:space="preserve"> à leur financement et leurs obligations comptables</w:t>
      </w:r>
      <w:r w:rsidR="009A72C8">
        <w:t xml:space="preserve">, </w:t>
      </w:r>
      <w:r w:rsidR="00434C94">
        <w:t xml:space="preserve">prévues par </w:t>
      </w:r>
      <w:r w:rsidR="009A72C8">
        <w:t>la loi n°88-227 du 11 mars 1988 relative à la transparence financière de la vie politique</w:t>
      </w:r>
      <w:r w:rsidRPr="001356E3">
        <w:t xml:space="preserve">. </w:t>
      </w:r>
    </w:p>
    <w:p w14:paraId="0157D082" w14:textId="77777777" w:rsidR="00640A2D" w:rsidRDefault="00640A2D" w:rsidP="00640A2D"/>
    <w:p w14:paraId="48A5723B" w14:textId="6702601B" w:rsidR="00A96534" w:rsidRDefault="00A96534" w:rsidP="00640A2D">
      <w:r>
        <w:t xml:space="preserve">La Commission veille à ce que les règles fixées pour accéder au financement public pour les candidats (remboursement des dépenses de campagne pour les élections) et les partis politiques (accès à l’aide publique et à la possibilité pour les donateurs de bénéficier d’une défiscalisation de 66% de leur don </w:t>
      </w:r>
      <w:r w:rsidR="00397EFA">
        <w:t xml:space="preserve">aux </w:t>
      </w:r>
      <w:r>
        <w:t xml:space="preserve">partis) soient bien respectées. </w:t>
      </w:r>
    </w:p>
    <w:p w14:paraId="08CD2725" w14:textId="77777777" w:rsidR="00A96534" w:rsidRDefault="00A96534" w:rsidP="00640A2D"/>
    <w:p w14:paraId="2B339AAE" w14:textId="463B62EF" w:rsidR="001356E3" w:rsidRDefault="00640A2D" w:rsidP="00640A2D">
      <w:r w:rsidRPr="001356E3">
        <w:t xml:space="preserve">Elle est assistée dans son fonctionnement par un secrétariat général, dont les </w:t>
      </w:r>
      <w:r w:rsidR="00397EFA">
        <w:t>équipes</w:t>
      </w:r>
      <w:r w:rsidR="00397EFA" w:rsidRPr="001356E3">
        <w:t xml:space="preserve"> </w:t>
      </w:r>
      <w:r w:rsidRPr="001356E3">
        <w:t>se composent</w:t>
      </w:r>
      <w:r w:rsidR="00906A63">
        <w:t xml:space="preserve"> </w:t>
      </w:r>
      <w:r w:rsidRPr="001356E3">
        <w:t>de 4</w:t>
      </w:r>
      <w:r>
        <w:t>8</w:t>
      </w:r>
      <w:r w:rsidRPr="001356E3">
        <w:t xml:space="preserve"> collaborateurs permanents r</w:t>
      </w:r>
      <w:r w:rsidR="009A72C8">
        <w:t>é</w:t>
      </w:r>
      <w:r w:rsidRPr="001356E3">
        <w:t xml:space="preserve">partis en </w:t>
      </w:r>
      <w:r>
        <w:t>quat</w:t>
      </w:r>
      <w:r w:rsidR="009A72C8">
        <w:t>r</w:t>
      </w:r>
      <w:r>
        <w:t>e</w:t>
      </w:r>
      <w:r w:rsidRPr="001356E3">
        <w:t xml:space="preserve"> services</w:t>
      </w:r>
      <w:r w:rsidR="009A72C8">
        <w:t xml:space="preserve">. Elle a également </w:t>
      </w:r>
      <w:r w:rsidRPr="001356E3">
        <w:t>recours à des renforts de personnels vacataires, en particulier en période d</w:t>
      </w:r>
      <w:r w:rsidR="009A72C8">
        <w:t xml:space="preserve">’examen </w:t>
      </w:r>
      <w:r w:rsidRPr="001356E3">
        <w:t>des comptes lors des élections générales ou pour le contrôle du respect des obligations légales des partis politiques. Elle travaille avec un réseau de plus de deux cents rapporteurs chargés de l’instruction initiale des comptes de campagne.</w:t>
      </w:r>
      <w:r w:rsidR="009A72C8">
        <w:t xml:space="preserve"> Budgétairement, la CNCCFP est rattachée au programme budgétaire 232 « Vie Politique », qui relève du secrétariat général ministère de l’intérieur</w:t>
      </w:r>
      <w:r w:rsidR="00397EFA">
        <w:t xml:space="preserve">. Ce programme prend en charge l’ensemble des dépenses liées à </w:t>
      </w:r>
      <w:r w:rsidR="009A72C8">
        <w:t>l’organisation des élections politiques.</w:t>
      </w:r>
    </w:p>
    <w:p w14:paraId="77A646C7" w14:textId="77777777" w:rsidR="005E4A10" w:rsidRDefault="005E4A10" w:rsidP="00640A2D"/>
    <w:p w14:paraId="26A88927" w14:textId="77777777" w:rsidR="00640A2D" w:rsidRDefault="00640A2D" w:rsidP="00640A2D"/>
    <w:p w14:paraId="2AA251B2" w14:textId="77777777" w:rsidR="00450BE9" w:rsidRPr="00CB0C0A" w:rsidRDefault="00450BE9" w:rsidP="003F3864">
      <w:pPr>
        <w:pStyle w:val="Titre2"/>
      </w:pPr>
      <w:bookmarkStart w:id="18" w:name="_Toc218852695"/>
      <w:r w:rsidRPr="00CB0C0A">
        <w:t>Contexte du projet</w:t>
      </w:r>
      <w:bookmarkEnd w:id="18"/>
    </w:p>
    <w:p w14:paraId="3024D9CE" w14:textId="77777777" w:rsidR="00450BE9" w:rsidRDefault="00450BE9" w:rsidP="00450BE9">
      <w:pPr>
        <w:rPr>
          <w:rFonts w:cs="Arial"/>
        </w:rPr>
      </w:pPr>
    </w:p>
    <w:p w14:paraId="63AB3A9F" w14:textId="39577F53" w:rsidR="006D2A8E" w:rsidRDefault="00450BE9" w:rsidP="00450BE9">
      <w:pPr>
        <w:rPr>
          <w:rFonts w:cs="Arial"/>
        </w:rPr>
      </w:pPr>
      <w:r>
        <w:rPr>
          <w:rFonts w:cs="Arial"/>
        </w:rPr>
        <w:t xml:space="preserve">La CNCCFP </w:t>
      </w:r>
      <w:r w:rsidR="00F94DCA">
        <w:rPr>
          <w:rFonts w:cs="Arial"/>
        </w:rPr>
        <w:t xml:space="preserve">a développé </w:t>
      </w:r>
      <w:r w:rsidR="00A96534">
        <w:rPr>
          <w:rFonts w:cs="Arial"/>
        </w:rPr>
        <w:t xml:space="preserve">l’application Fin’pol entre </w:t>
      </w:r>
      <w:r>
        <w:rPr>
          <w:rFonts w:cs="Arial"/>
        </w:rPr>
        <w:t xml:space="preserve">2020 </w:t>
      </w:r>
      <w:r w:rsidR="00A96534">
        <w:rPr>
          <w:rFonts w:cs="Arial"/>
        </w:rPr>
        <w:t xml:space="preserve">et </w:t>
      </w:r>
      <w:r>
        <w:rPr>
          <w:rFonts w:cs="Arial"/>
        </w:rPr>
        <w:t xml:space="preserve">2025 </w:t>
      </w:r>
      <w:bookmarkStart w:id="19" w:name="_Hlk214203201"/>
      <w:r w:rsidR="00397EFA">
        <w:rPr>
          <w:rFonts w:cs="Arial"/>
        </w:rPr>
        <w:t xml:space="preserve">avec l’objectif de </w:t>
      </w:r>
      <w:r w:rsidR="003A2049" w:rsidRPr="001356E3">
        <w:rPr>
          <w:rFonts w:cs="Arial"/>
        </w:rPr>
        <w:t>dématérialis</w:t>
      </w:r>
      <w:r w:rsidR="003A2049">
        <w:rPr>
          <w:rFonts w:cs="Arial"/>
        </w:rPr>
        <w:t>er</w:t>
      </w:r>
      <w:r w:rsidR="003A2049" w:rsidRPr="001356E3">
        <w:rPr>
          <w:rFonts w:cs="Arial"/>
        </w:rPr>
        <w:t xml:space="preserve"> </w:t>
      </w:r>
      <w:r w:rsidRPr="001356E3">
        <w:rPr>
          <w:rFonts w:cs="Arial"/>
        </w:rPr>
        <w:t>l’ensemble des processus li</w:t>
      </w:r>
      <w:r>
        <w:rPr>
          <w:rFonts w:cs="Arial"/>
        </w:rPr>
        <w:t>é</w:t>
      </w:r>
      <w:r w:rsidRPr="001356E3">
        <w:rPr>
          <w:rFonts w:cs="Arial"/>
        </w:rPr>
        <w:t xml:space="preserve">s </w:t>
      </w:r>
      <w:r>
        <w:rPr>
          <w:rFonts w:cs="Arial"/>
        </w:rPr>
        <w:t>à ses activités de contrôle</w:t>
      </w:r>
      <w:bookmarkEnd w:id="19"/>
      <w:r w:rsidRPr="001356E3">
        <w:rPr>
          <w:rFonts w:cs="Arial"/>
        </w:rPr>
        <w:t>.</w:t>
      </w:r>
      <w:r>
        <w:rPr>
          <w:rFonts w:cs="Arial"/>
        </w:rPr>
        <w:t xml:space="preserve"> Bien que les comptes de campagne </w:t>
      </w:r>
      <w:r w:rsidR="00A96534">
        <w:rPr>
          <w:rFonts w:cs="Arial"/>
        </w:rPr>
        <w:t>des candidat</w:t>
      </w:r>
      <w:r w:rsidR="00397EFA">
        <w:rPr>
          <w:rFonts w:cs="Arial"/>
        </w:rPr>
        <w:t>s</w:t>
      </w:r>
      <w:r w:rsidR="00A96534">
        <w:rPr>
          <w:rFonts w:cs="Arial"/>
        </w:rPr>
        <w:t xml:space="preserve"> à l’élection </w:t>
      </w:r>
      <w:r>
        <w:rPr>
          <w:rFonts w:cs="Arial"/>
        </w:rPr>
        <w:t xml:space="preserve">présidentielle de 2022 et aux élections européennes de 2024 aient été déposés dans l’application Fin’pol, celle-ci n’a toutefois pas donné satisfaction </w:t>
      </w:r>
      <w:r w:rsidR="004D50A1" w:rsidRPr="004D50A1">
        <w:rPr>
          <w:rFonts w:cs="Arial"/>
        </w:rPr>
        <w:t>s’agissant tant du dépôt des comptes que des phases d’instruction</w:t>
      </w:r>
      <w:r>
        <w:rPr>
          <w:rFonts w:cs="Arial"/>
        </w:rPr>
        <w:t>, de contrôle et de communication des comptes de campagne et des décisions de la Commission.</w:t>
      </w:r>
      <w:r w:rsidR="006D2A8E">
        <w:rPr>
          <w:rFonts w:cs="Arial"/>
        </w:rPr>
        <w:t xml:space="preserve"> De plus, si l’élection présidentielle et les élections européennes sont des élections nationales avec peu de candidats, les élections locales sont des élections avec plusieurs centaines (sénatoriales, régionales) voire milliers de candidats (municipales, départementales) soumis à l’obligation de déposer un compte de campagne</w:t>
      </w:r>
      <w:r w:rsidR="00F94DCA">
        <w:rPr>
          <w:rFonts w:cs="Arial"/>
        </w:rPr>
        <w:t>, ce qui impose des contraintes particulières en termes de performance et de dimensionnement, contraintes pour lesquelles l’application Fin’Pol n’apportait pas de garanties suffisantes</w:t>
      </w:r>
      <w:r w:rsidR="006D2A8E">
        <w:rPr>
          <w:rFonts w:cs="Arial"/>
        </w:rPr>
        <w:t xml:space="preserve">. </w:t>
      </w:r>
    </w:p>
    <w:p w14:paraId="44309712" w14:textId="77777777" w:rsidR="006D2A8E" w:rsidRDefault="006D2A8E" w:rsidP="00450BE9">
      <w:pPr>
        <w:rPr>
          <w:rFonts w:cs="Arial"/>
        </w:rPr>
      </w:pPr>
    </w:p>
    <w:p w14:paraId="10C479E6" w14:textId="125BDAE0" w:rsidR="00450BE9" w:rsidRDefault="006D2A8E" w:rsidP="00450BE9">
      <w:pPr>
        <w:rPr>
          <w:rFonts w:cs="Arial"/>
        </w:rPr>
      </w:pPr>
      <w:r>
        <w:rPr>
          <w:rFonts w:cs="Arial"/>
        </w:rPr>
        <w:t>Ainsi, p</w:t>
      </w:r>
      <w:r w:rsidRPr="00CB0C0A">
        <w:rPr>
          <w:rFonts w:cs="Arial"/>
        </w:rPr>
        <w:t xml:space="preserve">our </w:t>
      </w:r>
      <w:r w:rsidR="00F94DCA">
        <w:rPr>
          <w:rFonts w:cs="Arial"/>
        </w:rPr>
        <w:t>contrôler</w:t>
      </w:r>
      <w:r w:rsidR="00F94DCA" w:rsidRPr="00CB0C0A">
        <w:rPr>
          <w:rFonts w:cs="Arial"/>
        </w:rPr>
        <w:t xml:space="preserve"> </w:t>
      </w:r>
      <w:r w:rsidRPr="00CB0C0A">
        <w:rPr>
          <w:rFonts w:cs="Arial"/>
        </w:rPr>
        <w:t>les comptes de campagne</w:t>
      </w:r>
      <w:r w:rsidR="00496D32">
        <w:rPr>
          <w:rFonts w:cs="Arial"/>
        </w:rPr>
        <w:t xml:space="preserve"> hors élection présidentielle et élections européennes</w:t>
      </w:r>
      <w:r w:rsidRPr="00CB0C0A">
        <w:rPr>
          <w:rFonts w:cs="Arial"/>
        </w:rPr>
        <w:t xml:space="preserve">, et toutes les actions qui y sont attachées, la CNCCFP </w:t>
      </w:r>
      <w:r>
        <w:rPr>
          <w:rFonts w:cs="Arial"/>
        </w:rPr>
        <w:t xml:space="preserve">continue à </w:t>
      </w:r>
      <w:r w:rsidRPr="00CB0C0A">
        <w:rPr>
          <w:rFonts w:cs="Arial"/>
        </w:rPr>
        <w:t>utilise</w:t>
      </w:r>
      <w:r>
        <w:rPr>
          <w:rFonts w:cs="Arial"/>
        </w:rPr>
        <w:t>r</w:t>
      </w:r>
      <w:r w:rsidR="003D1791">
        <w:rPr>
          <w:rFonts w:cs="Arial"/>
        </w:rPr>
        <w:t xml:space="preserve"> </w:t>
      </w:r>
      <w:r w:rsidRPr="00CB0C0A">
        <w:rPr>
          <w:rFonts w:cs="Arial"/>
        </w:rPr>
        <w:t xml:space="preserve">divers outils et applications dont certains sont développés </w:t>
      </w:r>
      <w:r>
        <w:rPr>
          <w:rFonts w:cs="Arial"/>
        </w:rPr>
        <w:t xml:space="preserve">et maintenus </w:t>
      </w:r>
      <w:r w:rsidRPr="00CB0C0A">
        <w:rPr>
          <w:rFonts w:cs="Arial"/>
        </w:rPr>
        <w:t>en interne.</w:t>
      </w:r>
      <w:r>
        <w:rPr>
          <w:rFonts w:cs="Arial"/>
        </w:rPr>
        <w:t xml:space="preserve"> De plus, le dépôt des comptes pour les élections « de masse » </w:t>
      </w:r>
      <w:r w:rsidR="00496D32">
        <w:rPr>
          <w:rFonts w:cs="Arial"/>
        </w:rPr>
        <w:t>se fait</w:t>
      </w:r>
      <w:r>
        <w:rPr>
          <w:rFonts w:cs="Arial"/>
        </w:rPr>
        <w:t xml:space="preserve"> essentiellement </w:t>
      </w:r>
      <w:r w:rsidR="00496D32">
        <w:rPr>
          <w:rFonts w:cs="Arial"/>
        </w:rPr>
        <w:t xml:space="preserve">sous </w:t>
      </w:r>
      <w:r>
        <w:rPr>
          <w:rFonts w:cs="Arial"/>
        </w:rPr>
        <w:t xml:space="preserve">des </w:t>
      </w:r>
      <w:r w:rsidR="00496D32">
        <w:rPr>
          <w:rFonts w:cs="Arial"/>
        </w:rPr>
        <w:t xml:space="preserve">format </w:t>
      </w:r>
      <w:r>
        <w:rPr>
          <w:rFonts w:cs="Arial"/>
        </w:rPr>
        <w:t>papiers, avec la nécessité de maîtriser les circuits logistiques afférents.</w:t>
      </w:r>
    </w:p>
    <w:p w14:paraId="5C8519A9" w14:textId="77777777" w:rsidR="00450BE9" w:rsidRDefault="00450BE9" w:rsidP="00450BE9">
      <w:pPr>
        <w:rPr>
          <w:rFonts w:cs="Arial"/>
        </w:rPr>
      </w:pPr>
    </w:p>
    <w:p w14:paraId="45551E31" w14:textId="2FC02CEB" w:rsidR="00A96534" w:rsidRDefault="00A96534" w:rsidP="00450BE9">
      <w:pPr>
        <w:rPr>
          <w:rFonts w:cs="Arial"/>
        </w:rPr>
      </w:pPr>
      <w:r>
        <w:rPr>
          <w:rFonts w:cs="Arial"/>
        </w:rPr>
        <w:t xml:space="preserve">S’agissant des partis politiques, </w:t>
      </w:r>
      <w:r w:rsidR="006D2A8E">
        <w:rPr>
          <w:rFonts w:cs="Arial"/>
        </w:rPr>
        <w:t xml:space="preserve">seule une partie du contrôle exercé par la Commission est pris en charge </w:t>
      </w:r>
      <w:r>
        <w:rPr>
          <w:rFonts w:cs="Arial"/>
        </w:rPr>
        <w:t xml:space="preserve">à </w:t>
      </w:r>
      <w:r w:rsidR="00450BE9">
        <w:rPr>
          <w:rFonts w:cs="Arial"/>
        </w:rPr>
        <w:t>ce jour</w:t>
      </w:r>
      <w:r w:rsidR="006D2A8E">
        <w:rPr>
          <w:rFonts w:cs="Arial"/>
        </w:rPr>
        <w:t xml:space="preserve"> par l’application Fin’Pol</w:t>
      </w:r>
      <w:r w:rsidR="00350584">
        <w:rPr>
          <w:rFonts w:cs="Arial"/>
        </w:rPr>
        <w:t xml:space="preserve">. Il s’agit du </w:t>
      </w:r>
      <w:r w:rsidR="00450BE9">
        <w:rPr>
          <w:rFonts w:cs="Arial"/>
        </w:rPr>
        <w:t xml:space="preserve">module de dépôt des justificatifs de recettes, des listes de donateurs et cotisants </w:t>
      </w:r>
      <w:r w:rsidR="003D75E6">
        <w:rPr>
          <w:rFonts w:cs="Arial"/>
        </w:rPr>
        <w:t xml:space="preserve">et des fichiers nécessaires à </w:t>
      </w:r>
      <w:r w:rsidR="00450BE9">
        <w:rPr>
          <w:rFonts w:cs="Arial"/>
        </w:rPr>
        <w:t xml:space="preserve">la génération des </w:t>
      </w:r>
      <w:r w:rsidR="002603D3">
        <w:rPr>
          <w:rFonts w:cs="Arial"/>
        </w:rPr>
        <w:t>reçus</w:t>
      </w:r>
      <w:r w:rsidR="00450BE9">
        <w:rPr>
          <w:rFonts w:cs="Arial"/>
        </w:rPr>
        <w:t xml:space="preserve"> </w:t>
      </w:r>
      <w:r w:rsidR="003D75E6">
        <w:rPr>
          <w:rFonts w:cs="Arial"/>
        </w:rPr>
        <w:t>des</w:t>
      </w:r>
      <w:r w:rsidR="00450BE9">
        <w:rPr>
          <w:rFonts w:cs="Arial"/>
        </w:rPr>
        <w:t xml:space="preserve"> partis politiques.</w:t>
      </w:r>
      <w:r w:rsidR="006D2A8E">
        <w:rPr>
          <w:rFonts w:cs="Arial"/>
        </w:rPr>
        <w:t xml:space="preserve"> Les comptes d’ensemble des partis politiques demeurent déposés en dehors de l’application.</w:t>
      </w:r>
      <w:r w:rsidR="00450BE9">
        <w:rPr>
          <w:rFonts w:cs="Arial"/>
        </w:rPr>
        <w:t xml:space="preserve"> </w:t>
      </w:r>
    </w:p>
    <w:p w14:paraId="70C8B250" w14:textId="77777777" w:rsidR="00A96534" w:rsidRDefault="00A96534" w:rsidP="00450BE9">
      <w:pPr>
        <w:rPr>
          <w:rFonts w:cs="Arial"/>
        </w:rPr>
      </w:pPr>
    </w:p>
    <w:p w14:paraId="540E7A85" w14:textId="796C2F1C" w:rsidR="00450BE9" w:rsidRPr="00A13E81" w:rsidRDefault="006D2A8E" w:rsidP="00450BE9">
      <w:pPr>
        <w:rPr>
          <w:rFonts w:cs="Arial"/>
          <w:b/>
        </w:rPr>
      </w:pPr>
      <w:r w:rsidRPr="00A13E81">
        <w:rPr>
          <w:rFonts w:cs="Arial"/>
          <w:b/>
        </w:rPr>
        <w:t>Dans ce contexte, l</w:t>
      </w:r>
      <w:r w:rsidR="00450BE9" w:rsidRPr="00A13E81">
        <w:rPr>
          <w:rFonts w:cs="Arial"/>
          <w:b/>
        </w:rPr>
        <w:t xml:space="preserve">a CNCCFP souhaite relancer un projet pour se doter d’une </w:t>
      </w:r>
      <w:r w:rsidRPr="00A13E81">
        <w:rPr>
          <w:rFonts w:cs="Arial"/>
          <w:b/>
        </w:rPr>
        <w:t xml:space="preserve">solution </w:t>
      </w:r>
      <w:r w:rsidR="00450BE9" w:rsidRPr="00A13E81">
        <w:rPr>
          <w:rFonts w:cs="Arial"/>
          <w:b/>
        </w:rPr>
        <w:t>applicati</w:t>
      </w:r>
      <w:r w:rsidRPr="00A13E81">
        <w:rPr>
          <w:rFonts w:cs="Arial"/>
          <w:b/>
        </w:rPr>
        <w:t>ve couvrant l’ensemble de son champ de compétences</w:t>
      </w:r>
      <w:r w:rsidR="00350584" w:rsidRPr="00A13E81">
        <w:rPr>
          <w:rFonts w:cs="Arial"/>
          <w:b/>
        </w:rPr>
        <w:t xml:space="preserve">, </w:t>
      </w:r>
      <w:r w:rsidR="000D17EA" w:rsidRPr="00A13E81">
        <w:rPr>
          <w:rFonts w:cs="Arial"/>
          <w:b/>
        </w:rPr>
        <w:t xml:space="preserve">être </w:t>
      </w:r>
      <w:r w:rsidRPr="00A13E81">
        <w:rPr>
          <w:rFonts w:cs="Arial"/>
          <w:b/>
        </w:rPr>
        <w:t xml:space="preserve">propriétaire </w:t>
      </w:r>
      <w:r w:rsidR="008E67EE" w:rsidRPr="00A13E81">
        <w:rPr>
          <w:rFonts w:cs="Arial"/>
          <w:b/>
        </w:rPr>
        <w:t>de</w:t>
      </w:r>
      <w:r w:rsidR="003661A7" w:rsidRPr="00A13E81">
        <w:rPr>
          <w:rFonts w:cs="Arial"/>
          <w:b/>
        </w:rPr>
        <w:t xml:space="preserve"> l’intégralité des codes sources</w:t>
      </w:r>
      <w:r w:rsidR="008E67EE" w:rsidRPr="00A13E81">
        <w:rPr>
          <w:rFonts w:cs="Arial"/>
          <w:b/>
        </w:rPr>
        <w:t xml:space="preserve"> </w:t>
      </w:r>
      <w:r w:rsidR="00DD576A">
        <w:rPr>
          <w:rFonts w:cs="Arial"/>
          <w:b/>
        </w:rPr>
        <w:t>de la solution</w:t>
      </w:r>
      <w:r w:rsidR="000627FC">
        <w:rPr>
          <w:rFonts w:cs="Arial"/>
          <w:b/>
        </w:rPr>
        <w:t xml:space="preserve"> (hors briques logicielles propriétaires)</w:t>
      </w:r>
      <w:r w:rsidR="00DD576A">
        <w:rPr>
          <w:rFonts w:cs="Arial"/>
          <w:b/>
        </w:rPr>
        <w:t xml:space="preserve"> </w:t>
      </w:r>
      <w:r w:rsidR="008E67EE" w:rsidRPr="00A13E81">
        <w:rPr>
          <w:rFonts w:cs="Arial"/>
          <w:b/>
        </w:rPr>
        <w:t xml:space="preserve">et </w:t>
      </w:r>
      <w:r w:rsidR="00496D32">
        <w:rPr>
          <w:rFonts w:cs="Arial"/>
          <w:b/>
        </w:rPr>
        <w:t>disposer de</w:t>
      </w:r>
      <w:r w:rsidR="00496D32" w:rsidRPr="00A13E81">
        <w:rPr>
          <w:rFonts w:cs="Arial"/>
          <w:b/>
        </w:rPr>
        <w:t xml:space="preserve"> </w:t>
      </w:r>
      <w:r w:rsidR="008E67EE" w:rsidRPr="00A13E81">
        <w:rPr>
          <w:rFonts w:cs="Arial"/>
          <w:b/>
        </w:rPr>
        <w:t>la maitrise technique de l’ensemble des composantes applicatives</w:t>
      </w:r>
      <w:r w:rsidR="00450BE9" w:rsidRPr="00A13E81">
        <w:rPr>
          <w:rFonts w:cs="Arial"/>
          <w:b/>
        </w:rPr>
        <w:t>.</w:t>
      </w:r>
      <w:r w:rsidR="00441412" w:rsidRPr="00A13E81">
        <w:rPr>
          <w:rFonts w:cs="Arial"/>
          <w:b/>
        </w:rPr>
        <w:t xml:space="preserve"> </w:t>
      </w:r>
    </w:p>
    <w:p w14:paraId="4A7F2ADD" w14:textId="77777777" w:rsidR="00450BE9" w:rsidRPr="00A13E81" w:rsidRDefault="00450BE9" w:rsidP="00450BE9">
      <w:pPr>
        <w:rPr>
          <w:rFonts w:cs="Arial"/>
          <w:b/>
        </w:rPr>
      </w:pPr>
    </w:p>
    <w:p w14:paraId="6589DB99" w14:textId="097FEFA2" w:rsidR="00450BE9" w:rsidRPr="00A13E81" w:rsidRDefault="000D17EA" w:rsidP="00640A2D">
      <w:pPr>
        <w:rPr>
          <w:rFonts w:cs="Arial"/>
          <w:b/>
        </w:rPr>
      </w:pPr>
      <w:r w:rsidRPr="00A13E81">
        <w:rPr>
          <w:rFonts w:cs="Arial"/>
          <w:b/>
        </w:rPr>
        <w:t xml:space="preserve">La présente consultation s’inscrit par ailleurs dans un calendrier spécifique et contraint. La solution applicative doit être opérationnelle pour permettre le dépôt et l’instruction des comptes de campagne de la prochaine élection présidentielle, prévue en avril 2027, ainsi que reprendre, à la même échéance, le module existant pour les partis politiques. </w:t>
      </w:r>
    </w:p>
    <w:p w14:paraId="2C80D42C" w14:textId="416CBE5D" w:rsidR="0049173E" w:rsidRDefault="0049173E">
      <w:pPr>
        <w:jc w:val="left"/>
        <w:rPr>
          <w:rFonts w:eastAsiaTheme="majorEastAsia" w:cstheme="majorBidi"/>
          <w:color w:val="2F5496" w:themeColor="accent1" w:themeShade="BF"/>
          <w:sz w:val="26"/>
          <w:szCs w:val="26"/>
        </w:rPr>
      </w:pPr>
    </w:p>
    <w:p w14:paraId="655878AB" w14:textId="2FAC3420" w:rsidR="001356E3" w:rsidRPr="00190B96" w:rsidRDefault="001356E3" w:rsidP="003F3864">
      <w:pPr>
        <w:pStyle w:val="Titre2"/>
      </w:pPr>
      <w:bookmarkStart w:id="20" w:name="_Toc218852696"/>
      <w:r w:rsidRPr="00190B96">
        <w:t>Objet d</w:t>
      </w:r>
      <w:r w:rsidR="000D17EA">
        <w:t>e la consultation</w:t>
      </w:r>
      <w:bookmarkEnd w:id="20"/>
      <w:r w:rsidR="000D17EA">
        <w:t xml:space="preserve"> </w:t>
      </w:r>
      <w:r w:rsidRPr="00190B96">
        <w:t xml:space="preserve"> </w:t>
      </w:r>
    </w:p>
    <w:p w14:paraId="0E1A2C6A" w14:textId="77777777" w:rsidR="00190B96" w:rsidRPr="00190B96" w:rsidRDefault="00190B96" w:rsidP="00190B96">
      <w:pPr>
        <w:pStyle w:val="Paragraphedeliste"/>
        <w:ind w:left="1080"/>
      </w:pPr>
    </w:p>
    <w:p w14:paraId="313058B0" w14:textId="4A7F3CFC" w:rsidR="00A46357" w:rsidRDefault="000D17EA" w:rsidP="001356E3">
      <w:pPr>
        <w:rPr>
          <w:rFonts w:cs="Arial"/>
        </w:rPr>
      </w:pPr>
      <w:r>
        <w:rPr>
          <w:rFonts w:cs="Arial"/>
        </w:rPr>
        <w:t xml:space="preserve">La </w:t>
      </w:r>
      <w:r w:rsidR="001356E3" w:rsidRPr="001356E3">
        <w:rPr>
          <w:rFonts w:cs="Arial"/>
        </w:rPr>
        <w:t xml:space="preserve">consultation par </w:t>
      </w:r>
      <w:r>
        <w:rPr>
          <w:rFonts w:cs="Arial"/>
        </w:rPr>
        <w:t>une procédure concurrentielle avec négociation</w:t>
      </w:r>
      <w:r w:rsidR="001356E3" w:rsidRPr="001356E3">
        <w:rPr>
          <w:rFonts w:cs="Arial"/>
        </w:rPr>
        <w:t xml:space="preserve"> est </w:t>
      </w:r>
      <w:r w:rsidR="00640A2D" w:rsidRPr="001356E3">
        <w:rPr>
          <w:rFonts w:cs="Arial"/>
        </w:rPr>
        <w:t>réalisée</w:t>
      </w:r>
      <w:r w:rsidR="001356E3" w:rsidRPr="001356E3">
        <w:rPr>
          <w:rFonts w:cs="Arial"/>
        </w:rPr>
        <w:t xml:space="preserve"> par la </w:t>
      </w:r>
      <w:r>
        <w:rPr>
          <w:rFonts w:cs="Arial"/>
        </w:rPr>
        <w:t>C</w:t>
      </w:r>
      <w:r w:rsidR="001356E3" w:rsidRPr="001356E3">
        <w:rPr>
          <w:rFonts w:cs="Arial"/>
        </w:rPr>
        <w:t xml:space="preserve">NCCFP pour la </w:t>
      </w:r>
      <w:r w:rsidR="00640A2D" w:rsidRPr="001356E3">
        <w:rPr>
          <w:rFonts w:cs="Arial"/>
        </w:rPr>
        <w:t>dématérialisation</w:t>
      </w:r>
      <w:r w:rsidR="001356E3" w:rsidRPr="001356E3">
        <w:rPr>
          <w:rFonts w:cs="Arial"/>
        </w:rPr>
        <w:t xml:space="preserve"> de l’ensemble des processus </w:t>
      </w:r>
      <w:r w:rsidR="00640A2D" w:rsidRPr="001356E3">
        <w:rPr>
          <w:rFonts w:cs="Arial"/>
        </w:rPr>
        <w:t>li</w:t>
      </w:r>
      <w:r w:rsidR="00640A2D">
        <w:rPr>
          <w:rFonts w:cs="Arial"/>
        </w:rPr>
        <w:t>é</w:t>
      </w:r>
      <w:r w:rsidR="00640A2D" w:rsidRPr="001356E3">
        <w:rPr>
          <w:rFonts w:cs="Arial"/>
        </w:rPr>
        <w:t>s</w:t>
      </w:r>
      <w:r w:rsidR="001356E3" w:rsidRPr="001356E3">
        <w:rPr>
          <w:rFonts w:cs="Arial"/>
        </w:rPr>
        <w:t xml:space="preserve"> aux </w:t>
      </w:r>
      <w:r w:rsidR="00640A2D" w:rsidRPr="001356E3">
        <w:rPr>
          <w:rFonts w:cs="Arial"/>
        </w:rPr>
        <w:t>contrôles</w:t>
      </w:r>
      <w:r w:rsidR="001356E3" w:rsidRPr="001356E3">
        <w:rPr>
          <w:rFonts w:cs="Arial"/>
        </w:rPr>
        <w:t xml:space="preserve"> des </w:t>
      </w:r>
      <w:r w:rsidR="00640A2D" w:rsidRPr="001356E3">
        <w:rPr>
          <w:rFonts w:cs="Arial"/>
        </w:rPr>
        <w:t>dépenses</w:t>
      </w:r>
      <w:r w:rsidR="001356E3" w:rsidRPr="001356E3">
        <w:rPr>
          <w:rFonts w:cs="Arial"/>
        </w:rPr>
        <w:t xml:space="preserve"> de campagne </w:t>
      </w:r>
      <w:r w:rsidR="00640A2D" w:rsidRPr="001356E3">
        <w:rPr>
          <w:rFonts w:cs="Arial"/>
        </w:rPr>
        <w:t>électorale</w:t>
      </w:r>
      <w:r w:rsidR="001356E3" w:rsidRPr="001356E3">
        <w:rPr>
          <w:rFonts w:cs="Arial"/>
        </w:rPr>
        <w:t xml:space="preserve"> et </w:t>
      </w:r>
      <w:r w:rsidR="00395DB3">
        <w:rPr>
          <w:rFonts w:cs="Arial"/>
        </w:rPr>
        <w:t>au contrôle des obligations financières et comptables</w:t>
      </w:r>
      <w:r w:rsidR="00395DB3" w:rsidRPr="001356E3">
        <w:rPr>
          <w:rFonts w:cs="Arial"/>
        </w:rPr>
        <w:t xml:space="preserve"> </w:t>
      </w:r>
      <w:r w:rsidR="001356E3" w:rsidRPr="001356E3">
        <w:rPr>
          <w:rFonts w:cs="Arial"/>
        </w:rPr>
        <w:t>des partis politiques.</w:t>
      </w:r>
      <w:r w:rsidR="008E67EE">
        <w:rPr>
          <w:rFonts w:cs="Arial"/>
        </w:rPr>
        <w:t xml:space="preserve"> </w:t>
      </w:r>
    </w:p>
    <w:p w14:paraId="6B31486D" w14:textId="609C145D" w:rsidR="00190B96" w:rsidRDefault="00190B96" w:rsidP="001356E3">
      <w:pPr>
        <w:rPr>
          <w:rFonts w:cs="Arial"/>
        </w:rPr>
      </w:pPr>
    </w:p>
    <w:p w14:paraId="5EC62E5E" w14:textId="769B1AA1" w:rsidR="00A46357" w:rsidRDefault="00A46357" w:rsidP="001356E3">
      <w:pPr>
        <w:rPr>
          <w:rFonts w:cs="Arial"/>
        </w:rPr>
      </w:pPr>
      <w:r w:rsidRPr="00A13E81">
        <w:rPr>
          <w:rFonts w:cs="Arial"/>
          <w:b/>
        </w:rPr>
        <w:t xml:space="preserve">Le projet </w:t>
      </w:r>
      <w:r w:rsidR="000D17EA" w:rsidRPr="00A13E81">
        <w:rPr>
          <w:rFonts w:cs="Arial"/>
          <w:b/>
        </w:rPr>
        <w:t xml:space="preserve">est </w:t>
      </w:r>
      <w:r w:rsidRPr="00A13E81">
        <w:rPr>
          <w:rFonts w:cs="Arial"/>
          <w:b/>
        </w:rPr>
        <w:t>découpé en 4</w:t>
      </w:r>
      <w:r>
        <w:rPr>
          <w:rFonts w:cs="Arial"/>
        </w:rPr>
        <w:t xml:space="preserve"> paliers</w:t>
      </w:r>
      <w:r w:rsidR="00B51322">
        <w:rPr>
          <w:rFonts w:cs="Arial"/>
        </w:rPr>
        <w:t xml:space="preserve"> dont la réalisation est prévu</w:t>
      </w:r>
      <w:r w:rsidR="00496D32">
        <w:rPr>
          <w:rFonts w:cs="Arial"/>
        </w:rPr>
        <w:t>e</w:t>
      </w:r>
      <w:r w:rsidR="00B51322">
        <w:rPr>
          <w:rFonts w:cs="Arial"/>
        </w:rPr>
        <w:t xml:space="preserve"> dans le cadre d’un accord-cadre composite combinant marché ordinaire et accord-cadre à marchés subséquents</w:t>
      </w:r>
      <w:r>
        <w:rPr>
          <w:rFonts w:cs="Arial"/>
        </w:rPr>
        <w:t xml:space="preserve">. Les deux premiers </w:t>
      </w:r>
      <w:r w:rsidR="00AC5295">
        <w:rPr>
          <w:rFonts w:cs="Arial"/>
        </w:rPr>
        <w:t xml:space="preserve">paliers </w:t>
      </w:r>
      <w:r>
        <w:rPr>
          <w:rFonts w:cs="Arial"/>
        </w:rPr>
        <w:t xml:space="preserve">font </w:t>
      </w:r>
      <w:r w:rsidR="000D17EA">
        <w:rPr>
          <w:rFonts w:cs="Arial"/>
        </w:rPr>
        <w:t xml:space="preserve">l’objet </w:t>
      </w:r>
      <w:r w:rsidR="00B51322">
        <w:rPr>
          <w:rFonts w:cs="Arial"/>
        </w:rPr>
        <w:t>du marché ordinaire correspondant aux fonctionnalités essentielles atten</w:t>
      </w:r>
      <w:r w:rsidR="00496D32">
        <w:rPr>
          <w:rFonts w:cs="Arial"/>
        </w:rPr>
        <w:t>d</w:t>
      </w:r>
      <w:r w:rsidR="00B51322">
        <w:rPr>
          <w:rFonts w:cs="Arial"/>
        </w:rPr>
        <w:t>ues pour l’élection présidentielle de 2027. Ces fonctionnalités</w:t>
      </w:r>
      <w:r w:rsidR="00485A64">
        <w:rPr>
          <w:rFonts w:cs="Arial"/>
        </w:rPr>
        <w:t xml:space="preserve">, dont les grandes lignes sont présentées dans la section </w:t>
      </w:r>
      <w:r w:rsidR="00DD576A">
        <w:rPr>
          <w:rFonts w:cs="Arial"/>
        </w:rPr>
        <w:t>2.2</w:t>
      </w:r>
      <w:r w:rsidR="00485A64">
        <w:rPr>
          <w:rFonts w:cs="Arial"/>
        </w:rPr>
        <w:t>,</w:t>
      </w:r>
      <w:r w:rsidR="00B51322">
        <w:rPr>
          <w:rFonts w:cs="Arial"/>
        </w:rPr>
        <w:t xml:space="preserve"> seront très précisément décrites dans le CCTP</w:t>
      </w:r>
      <w:r>
        <w:rPr>
          <w:rFonts w:cs="Arial"/>
        </w:rPr>
        <w:t xml:space="preserve">. Les deux </w:t>
      </w:r>
      <w:r w:rsidR="001A0AEB">
        <w:rPr>
          <w:rFonts w:cs="Arial"/>
        </w:rPr>
        <w:t xml:space="preserve">paliers </w:t>
      </w:r>
      <w:r>
        <w:rPr>
          <w:rFonts w:cs="Arial"/>
        </w:rPr>
        <w:t>suivants</w:t>
      </w:r>
      <w:r w:rsidR="00485A64">
        <w:rPr>
          <w:rFonts w:cs="Arial"/>
        </w:rPr>
        <w:t xml:space="preserve">, également présentés dans la section </w:t>
      </w:r>
      <w:r w:rsidR="00DD576A">
        <w:rPr>
          <w:rFonts w:cs="Arial"/>
        </w:rPr>
        <w:t>2.2</w:t>
      </w:r>
      <w:r w:rsidR="00485A64">
        <w:rPr>
          <w:rFonts w:cs="Arial"/>
        </w:rPr>
        <w:t>,</w:t>
      </w:r>
      <w:r>
        <w:rPr>
          <w:rFonts w:cs="Arial"/>
        </w:rPr>
        <w:t xml:space="preserve"> f</w:t>
      </w:r>
      <w:r w:rsidR="00B51322">
        <w:rPr>
          <w:rFonts w:cs="Arial"/>
        </w:rPr>
        <w:t>ont l’objet d’un accord-cadre mono-attributaire à marchés subséquents</w:t>
      </w:r>
      <w:r w:rsidR="00485A64">
        <w:rPr>
          <w:rFonts w:cs="Arial"/>
        </w:rPr>
        <w:t>. L</w:t>
      </w:r>
      <w:r w:rsidR="00B51322">
        <w:rPr>
          <w:rFonts w:cs="Arial"/>
        </w:rPr>
        <w:t xml:space="preserve">es </w:t>
      </w:r>
      <w:r>
        <w:rPr>
          <w:rFonts w:cs="Arial"/>
        </w:rPr>
        <w:t xml:space="preserve">spécifications et clauses techniques détaillées </w:t>
      </w:r>
      <w:r w:rsidR="00485A64">
        <w:rPr>
          <w:rFonts w:cs="Arial"/>
        </w:rPr>
        <w:t>seront précisées dans les CCTP</w:t>
      </w:r>
      <w:r w:rsidR="00B51322">
        <w:rPr>
          <w:rFonts w:cs="Arial"/>
        </w:rPr>
        <w:t xml:space="preserve"> de chaque marché subséquent</w:t>
      </w:r>
      <w:r w:rsidR="00485A64">
        <w:rPr>
          <w:rFonts w:cs="Arial"/>
        </w:rPr>
        <w:t>, dans le respect du périmètre fonctionnel et du montant maximum fixés par l’accord cadre</w:t>
      </w:r>
      <w:r w:rsidR="00B51322">
        <w:rPr>
          <w:rFonts w:cs="Arial"/>
        </w:rPr>
        <w:t>.</w:t>
      </w:r>
    </w:p>
    <w:p w14:paraId="701B7C1B" w14:textId="436B247D" w:rsidR="00A46357" w:rsidRDefault="00A46357" w:rsidP="001356E3">
      <w:pPr>
        <w:rPr>
          <w:rFonts w:cs="Arial"/>
        </w:rPr>
      </w:pPr>
    </w:p>
    <w:p w14:paraId="0063A92E" w14:textId="75BAB88E" w:rsidR="00CA2811" w:rsidRDefault="00CA2811" w:rsidP="001356E3">
      <w:pPr>
        <w:rPr>
          <w:rFonts w:cs="Arial"/>
        </w:rPr>
      </w:pPr>
      <w:r>
        <w:rPr>
          <w:rFonts w:cs="Arial"/>
        </w:rPr>
        <w:t>Les deux premiers paliers sont articulés autour de deux objectifs primordiaux :</w:t>
      </w:r>
    </w:p>
    <w:p w14:paraId="2FCEB1C8" w14:textId="27871515" w:rsidR="00CA2811" w:rsidRDefault="00CA2811" w:rsidP="001356E3">
      <w:pPr>
        <w:rPr>
          <w:rFonts w:cs="Arial"/>
        </w:rPr>
      </w:pPr>
    </w:p>
    <w:p w14:paraId="04408ECA" w14:textId="6CB0E7C1" w:rsidR="00CA2811" w:rsidRDefault="00CA2811" w:rsidP="00913438">
      <w:pPr>
        <w:pStyle w:val="Paragraphedeliste"/>
        <w:numPr>
          <w:ilvl w:val="0"/>
          <w:numId w:val="47"/>
        </w:numPr>
        <w:rPr>
          <w:rFonts w:cs="Arial"/>
        </w:rPr>
      </w:pPr>
      <w:r>
        <w:rPr>
          <w:rFonts w:cs="Arial"/>
        </w:rPr>
        <w:t>le dépôt dématérialisé et le contrôle des comptes de campagne des candidats</w:t>
      </w:r>
      <w:r w:rsidR="00030F39">
        <w:rPr>
          <w:rFonts w:cs="Arial"/>
        </w:rPr>
        <w:t xml:space="preserve"> </w:t>
      </w:r>
      <w:r w:rsidR="00743CF4">
        <w:rPr>
          <w:rFonts w:cs="Arial"/>
        </w:rPr>
        <w:t>aux élections</w:t>
      </w:r>
      <w:r w:rsidR="00030F39">
        <w:rPr>
          <w:rFonts w:cs="Arial"/>
        </w:rPr>
        <w:t xml:space="preserve"> (avec un enjeu </w:t>
      </w:r>
      <w:r w:rsidR="00B51322">
        <w:rPr>
          <w:rFonts w:cs="Arial"/>
        </w:rPr>
        <w:t xml:space="preserve">calendaire </w:t>
      </w:r>
      <w:r w:rsidR="00B51322" w:rsidRPr="00A13E81">
        <w:rPr>
          <w:rFonts w:cs="Arial"/>
          <w:b/>
        </w:rPr>
        <w:t>impératif</w:t>
      </w:r>
      <w:r w:rsidR="00B51322">
        <w:rPr>
          <w:rFonts w:cs="Arial"/>
        </w:rPr>
        <w:t xml:space="preserve"> sur l’élection </w:t>
      </w:r>
      <w:r w:rsidR="00030F39">
        <w:rPr>
          <w:rFonts w:cs="Arial"/>
        </w:rPr>
        <w:t xml:space="preserve">présidentielle </w:t>
      </w:r>
      <w:r w:rsidR="00B51322">
        <w:rPr>
          <w:rFonts w:cs="Arial"/>
        </w:rPr>
        <w:t xml:space="preserve">de </w:t>
      </w:r>
      <w:r w:rsidR="00030F39">
        <w:rPr>
          <w:rFonts w:cs="Arial"/>
        </w:rPr>
        <w:t>2027)</w:t>
      </w:r>
      <w:r>
        <w:rPr>
          <w:rFonts w:cs="Arial"/>
        </w:rPr>
        <w:t> ;</w:t>
      </w:r>
    </w:p>
    <w:p w14:paraId="5C4625F5" w14:textId="59B7C661" w:rsidR="00CA2811" w:rsidRPr="00CA2811" w:rsidRDefault="00CA2811" w:rsidP="00913438">
      <w:pPr>
        <w:pStyle w:val="Paragraphedeliste"/>
        <w:numPr>
          <w:ilvl w:val="0"/>
          <w:numId w:val="47"/>
        </w:numPr>
        <w:rPr>
          <w:rFonts w:cs="Arial"/>
        </w:rPr>
      </w:pPr>
      <w:r>
        <w:rPr>
          <w:rFonts w:cs="Arial"/>
        </w:rPr>
        <w:t>le dépôt des justificatifs de recettes, des listes de donateurs et cotisants ainsi que la génération des reçus délivrés aux donateurs et cotisants des partis politiques, à partir du mois de février 2027.</w:t>
      </w:r>
    </w:p>
    <w:p w14:paraId="4C4663B0" w14:textId="77777777" w:rsidR="00CA2811" w:rsidRPr="001356E3" w:rsidRDefault="00CA2811" w:rsidP="001356E3">
      <w:pPr>
        <w:rPr>
          <w:rFonts w:cs="Arial"/>
        </w:rPr>
      </w:pPr>
    </w:p>
    <w:p w14:paraId="5CB45CFB" w14:textId="26C1C184" w:rsidR="001356E3" w:rsidRDefault="00BE6918" w:rsidP="001356E3">
      <w:pPr>
        <w:rPr>
          <w:rFonts w:cs="Arial"/>
        </w:rPr>
      </w:pPr>
      <w:r>
        <w:rPr>
          <w:rFonts w:cs="Arial"/>
        </w:rPr>
        <w:t xml:space="preserve">La </w:t>
      </w:r>
      <w:r w:rsidR="001356E3" w:rsidRPr="001356E3">
        <w:rPr>
          <w:rFonts w:cs="Arial"/>
        </w:rPr>
        <w:t xml:space="preserve">plateforme de </w:t>
      </w:r>
      <w:r w:rsidR="00640A2D" w:rsidRPr="001356E3">
        <w:rPr>
          <w:rFonts w:cs="Arial"/>
        </w:rPr>
        <w:t>dématérialisation</w:t>
      </w:r>
      <w:r w:rsidR="001356E3" w:rsidRPr="001356E3">
        <w:rPr>
          <w:rFonts w:cs="Arial"/>
        </w:rPr>
        <w:t xml:space="preserve"> </w:t>
      </w:r>
      <w:r>
        <w:rPr>
          <w:rFonts w:cs="Arial"/>
        </w:rPr>
        <w:t xml:space="preserve">doit être développée </w:t>
      </w:r>
      <w:r w:rsidR="00FB5825">
        <w:rPr>
          <w:rFonts w:cs="Arial"/>
        </w:rPr>
        <w:t>dans le respect des plannings, de l’environnement technique et des spécification</w:t>
      </w:r>
      <w:r w:rsidR="001A7492">
        <w:rPr>
          <w:rFonts w:cs="Arial"/>
        </w:rPr>
        <w:t>s</w:t>
      </w:r>
      <w:r w:rsidR="00FB5825">
        <w:rPr>
          <w:rFonts w:cs="Arial"/>
        </w:rPr>
        <w:t xml:space="preserve"> fonctionnelles </w:t>
      </w:r>
      <w:r w:rsidR="003C3367">
        <w:rPr>
          <w:rFonts w:cs="Arial"/>
        </w:rPr>
        <w:t xml:space="preserve">qui seront précisément </w:t>
      </w:r>
      <w:r w:rsidR="00FB5825">
        <w:rPr>
          <w:rFonts w:cs="Arial"/>
        </w:rPr>
        <w:t xml:space="preserve">fournis </w:t>
      </w:r>
      <w:r w:rsidR="003C3367">
        <w:rPr>
          <w:rFonts w:cs="Arial"/>
        </w:rPr>
        <w:t xml:space="preserve">dans le </w:t>
      </w:r>
      <w:r w:rsidR="00FB5825">
        <w:rPr>
          <w:rFonts w:cs="Arial"/>
        </w:rPr>
        <w:t>CCTP</w:t>
      </w:r>
      <w:r>
        <w:rPr>
          <w:rFonts w:cs="Arial"/>
        </w:rPr>
        <w:t>. L’o</w:t>
      </w:r>
      <w:r w:rsidR="001356E3" w:rsidRPr="001356E3">
        <w:rPr>
          <w:rFonts w:cs="Arial"/>
        </w:rPr>
        <w:t xml:space="preserve">bjectif est de mettre à disposition des utilisateurs un outil </w:t>
      </w:r>
      <w:r w:rsidR="00640A2D" w:rsidRPr="001356E3">
        <w:rPr>
          <w:rFonts w:cs="Arial"/>
        </w:rPr>
        <w:t>intégrant</w:t>
      </w:r>
      <w:r w:rsidR="001356E3" w:rsidRPr="001356E3">
        <w:rPr>
          <w:rFonts w:cs="Arial"/>
        </w:rPr>
        <w:t xml:space="preserve"> </w:t>
      </w:r>
      <w:r w:rsidR="00190B96">
        <w:rPr>
          <w:rFonts w:cs="Arial"/>
        </w:rPr>
        <w:t>plusieurs</w:t>
      </w:r>
      <w:r w:rsidR="001356E3" w:rsidRPr="001356E3">
        <w:rPr>
          <w:rFonts w:cs="Arial"/>
        </w:rPr>
        <w:t xml:space="preserve"> interfaces principales : </w:t>
      </w:r>
    </w:p>
    <w:p w14:paraId="0E5FEBDE" w14:textId="77777777" w:rsidR="001A59AC" w:rsidRPr="001356E3" w:rsidRDefault="001A59AC" w:rsidP="001356E3">
      <w:pPr>
        <w:rPr>
          <w:rFonts w:cs="Arial"/>
        </w:rPr>
      </w:pPr>
    </w:p>
    <w:p w14:paraId="10E85F98" w14:textId="09B3EC8F" w:rsidR="00085F38" w:rsidRDefault="001356E3" w:rsidP="003A2049">
      <w:pPr>
        <w:numPr>
          <w:ilvl w:val="0"/>
          <w:numId w:val="1"/>
        </w:numPr>
        <w:rPr>
          <w:rFonts w:cs="Arial"/>
        </w:rPr>
      </w:pPr>
      <w:r w:rsidRPr="00085F38">
        <w:rPr>
          <w:rFonts w:cs="Arial"/>
        </w:rPr>
        <w:t xml:space="preserve">une </w:t>
      </w:r>
      <w:r w:rsidR="0014127C">
        <w:rPr>
          <w:rFonts w:cs="Arial"/>
        </w:rPr>
        <w:t>interface de</w:t>
      </w:r>
      <w:r w:rsidRPr="00085F38">
        <w:rPr>
          <w:rFonts w:cs="Arial"/>
        </w:rPr>
        <w:t xml:space="preserve"> </w:t>
      </w:r>
      <w:r w:rsidR="00513885" w:rsidRPr="00085F38">
        <w:rPr>
          <w:rFonts w:cs="Arial"/>
        </w:rPr>
        <w:t xml:space="preserve">« FrontOffice » </w:t>
      </w:r>
      <w:r w:rsidRPr="00085F38">
        <w:rPr>
          <w:rFonts w:cs="Arial"/>
        </w:rPr>
        <w:t xml:space="preserve">à destination </w:t>
      </w:r>
      <w:r w:rsidR="00D32FEC" w:rsidRPr="00085F38">
        <w:rPr>
          <w:rFonts w:cs="Arial"/>
        </w:rPr>
        <w:t>d’un panel varié d’</w:t>
      </w:r>
      <w:r w:rsidR="00E020EB" w:rsidRPr="00085F38">
        <w:rPr>
          <w:rFonts w:cs="Arial"/>
        </w:rPr>
        <w:t xml:space="preserve">usagers </w:t>
      </w:r>
      <w:r w:rsidR="00BE6918">
        <w:rPr>
          <w:rFonts w:cs="Arial"/>
        </w:rPr>
        <w:t xml:space="preserve">et maîtrisant de manière très hétérogène les exercices de dépôts attendus </w:t>
      </w:r>
      <w:r w:rsidR="00E020EB" w:rsidRPr="00085F38">
        <w:rPr>
          <w:rFonts w:cs="Arial"/>
        </w:rPr>
        <w:t>(</w:t>
      </w:r>
      <w:r w:rsidRPr="00085F38">
        <w:rPr>
          <w:rFonts w:cs="Arial"/>
        </w:rPr>
        <w:t xml:space="preserve">candidats aux </w:t>
      </w:r>
      <w:r w:rsidR="00640A2D" w:rsidRPr="00085F38">
        <w:rPr>
          <w:rFonts w:cs="Arial"/>
        </w:rPr>
        <w:t>élections</w:t>
      </w:r>
      <w:r w:rsidR="00E020EB" w:rsidRPr="00085F38">
        <w:rPr>
          <w:rFonts w:cs="Arial"/>
        </w:rPr>
        <w:t>, mandataires</w:t>
      </w:r>
      <w:r w:rsidR="00BE6918">
        <w:rPr>
          <w:rFonts w:cs="Arial"/>
        </w:rPr>
        <w:t xml:space="preserve"> de candidats ou de partis politiques</w:t>
      </w:r>
      <w:r w:rsidR="00E020EB" w:rsidRPr="00085F38">
        <w:rPr>
          <w:rFonts w:cs="Arial"/>
        </w:rPr>
        <w:t>,</w:t>
      </w:r>
      <w:r w:rsidR="001A59AC" w:rsidRPr="00085F38">
        <w:rPr>
          <w:rFonts w:cs="Arial"/>
        </w:rPr>
        <w:t xml:space="preserve"> </w:t>
      </w:r>
      <w:r w:rsidR="00BE6918">
        <w:rPr>
          <w:rFonts w:cs="Arial"/>
        </w:rPr>
        <w:t xml:space="preserve">dirigeants de </w:t>
      </w:r>
      <w:r w:rsidRPr="00085F38">
        <w:rPr>
          <w:rFonts w:cs="Arial"/>
        </w:rPr>
        <w:t>partis politiques</w:t>
      </w:r>
      <w:r w:rsidR="00E020EB" w:rsidRPr="00085F38">
        <w:rPr>
          <w:rFonts w:cs="Arial"/>
        </w:rPr>
        <w:t xml:space="preserve">, </w:t>
      </w:r>
      <w:r w:rsidR="00513885" w:rsidRPr="00085F38">
        <w:rPr>
          <w:rFonts w:cs="Arial"/>
        </w:rPr>
        <w:t>experts</w:t>
      </w:r>
      <w:r w:rsidR="00395DB3">
        <w:rPr>
          <w:rFonts w:cs="Arial"/>
        </w:rPr>
        <w:t>-</w:t>
      </w:r>
      <w:r w:rsidR="00513885" w:rsidRPr="00085F38">
        <w:rPr>
          <w:rFonts w:cs="Arial"/>
        </w:rPr>
        <w:t xml:space="preserve">comptables, commissaires aux comptes, </w:t>
      </w:r>
      <w:r w:rsidR="00E020EB" w:rsidRPr="00085F38">
        <w:rPr>
          <w:rFonts w:cs="Arial"/>
        </w:rPr>
        <w:t>etc…)</w:t>
      </w:r>
      <w:r w:rsidR="00BE6918">
        <w:rPr>
          <w:rFonts w:cs="Arial"/>
        </w:rPr>
        <w:t xml:space="preserve">. Le </w:t>
      </w:r>
      <w:r w:rsidR="00640A2D" w:rsidRPr="00085F38">
        <w:rPr>
          <w:rFonts w:cs="Arial"/>
        </w:rPr>
        <w:t>dépôt</w:t>
      </w:r>
      <w:r w:rsidRPr="00085F38">
        <w:rPr>
          <w:rFonts w:cs="Arial"/>
        </w:rPr>
        <w:t xml:space="preserve"> des comptes </w:t>
      </w:r>
      <w:r w:rsidR="00485A64">
        <w:rPr>
          <w:rFonts w:cs="Arial"/>
        </w:rPr>
        <w:t>doit se faire</w:t>
      </w:r>
      <w:r w:rsidR="00BE6918">
        <w:rPr>
          <w:rFonts w:cs="Arial"/>
        </w:rPr>
        <w:t xml:space="preserve"> </w:t>
      </w:r>
      <w:r w:rsidR="001A59AC" w:rsidRPr="00085F38">
        <w:rPr>
          <w:rFonts w:cs="Arial"/>
        </w:rPr>
        <w:t>selon plusieurs modes :</w:t>
      </w:r>
      <w:r w:rsidR="00E020EB" w:rsidRPr="00085F38">
        <w:rPr>
          <w:rFonts w:cs="Arial"/>
        </w:rPr>
        <w:t xml:space="preserve"> </w:t>
      </w:r>
      <w:r w:rsidR="001A59AC" w:rsidRPr="00085F38">
        <w:rPr>
          <w:rFonts w:cs="Arial"/>
        </w:rPr>
        <w:t xml:space="preserve">dépôt par </w:t>
      </w:r>
      <w:r w:rsidR="00947F44" w:rsidRPr="00085F38">
        <w:rPr>
          <w:rFonts w:cs="Arial"/>
        </w:rPr>
        <w:t>flux (</w:t>
      </w:r>
      <w:r w:rsidR="00E020EB" w:rsidRPr="00085F38">
        <w:rPr>
          <w:rFonts w:cs="Arial"/>
        </w:rPr>
        <w:t>webservices /</w:t>
      </w:r>
      <w:r w:rsidR="00947F44" w:rsidRPr="00085F38">
        <w:rPr>
          <w:rFonts w:cs="Arial"/>
        </w:rPr>
        <w:t xml:space="preserve"> flux XML)</w:t>
      </w:r>
      <w:r w:rsidR="00E020EB" w:rsidRPr="00085F38">
        <w:rPr>
          <w:rFonts w:cs="Arial"/>
        </w:rPr>
        <w:t>,</w:t>
      </w:r>
      <w:r w:rsidR="00947F44" w:rsidRPr="00085F38">
        <w:rPr>
          <w:rFonts w:cs="Arial"/>
        </w:rPr>
        <w:t xml:space="preserve"> par </w:t>
      </w:r>
      <w:r w:rsidR="00FD3530">
        <w:rPr>
          <w:rFonts w:cs="Arial"/>
        </w:rPr>
        <w:t xml:space="preserve">import de </w:t>
      </w:r>
      <w:r w:rsidR="00947F44" w:rsidRPr="00085F38">
        <w:rPr>
          <w:rFonts w:cs="Arial"/>
        </w:rPr>
        <w:t>fichier</w:t>
      </w:r>
      <w:r w:rsidR="00E020EB" w:rsidRPr="00085F38">
        <w:rPr>
          <w:rFonts w:cs="Arial"/>
        </w:rPr>
        <w:t>s</w:t>
      </w:r>
      <w:r w:rsidR="00FD3530">
        <w:rPr>
          <w:rFonts w:cs="Arial"/>
        </w:rPr>
        <w:t xml:space="preserve"> de données structurées</w:t>
      </w:r>
      <w:r w:rsidR="00E020EB" w:rsidRPr="00085F38">
        <w:rPr>
          <w:rFonts w:cs="Arial"/>
        </w:rPr>
        <w:t>,</w:t>
      </w:r>
      <w:r w:rsidR="00947F44" w:rsidRPr="00085F38">
        <w:rPr>
          <w:rFonts w:cs="Arial"/>
        </w:rPr>
        <w:t xml:space="preserve"> par saisie</w:t>
      </w:r>
      <w:r w:rsidR="00E020EB" w:rsidRPr="00085F38">
        <w:rPr>
          <w:rFonts w:cs="Arial"/>
        </w:rPr>
        <w:t xml:space="preserve">s et en mode mixte </w:t>
      </w:r>
      <w:r w:rsidR="009A20D2" w:rsidRPr="00085F38">
        <w:rPr>
          <w:rFonts w:cs="Arial"/>
        </w:rPr>
        <w:t>(fichier</w:t>
      </w:r>
      <w:r w:rsidR="00E020EB" w:rsidRPr="00085F38">
        <w:rPr>
          <w:rFonts w:cs="Arial"/>
        </w:rPr>
        <w:t>s</w:t>
      </w:r>
      <w:r w:rsidR="009A20D2" w:rsidRPr="00085F38">
        <w:rPr>
          <w:rFonts w:cs="Arial"/>
        </w:rPr>
        <w:t xml:space="preserve"> / saisie)</w:t>
      </w:r>
      <w:r w:rsidR="00E020EB" w:rsidRPr="00085F38">
        <w:rPr>
          <w:rFonts w:cs="Arial"/>
        </w:rPr>
        <w:t>.</w:t>
      </w:r>
      <w:r w:rsidR="005A7AA1" w:rsidRPr="00085F38">
        <w:rPr>
          <w:rFonts w:cs="Arial"/>
        </w:rPr>
        <w:t xml:space="preserve"> </w:t>
      </w:r>
    </w:p>
    <w:p w14:paraId="3DA809AF" w14:textId="1496D043" w:rsidR="009A20D2" w:rsidRPr="00085F38" w:rsidRDefault="005A7AA1" w:rsidP="00085F38">
      <w:pPr>
        <w:ind w:left="720"/>
        <w:rPr>
          <w:rFonts w:cs="Arial"/>
        </w:rPr>
      </w:pPr>
      <w:r w:rsidRPr="00085F38">
        <w:rPr>
          <w:rFonts w:cs="Arial"/>
        </w:rPr>
        <w:t>L</w:t>
      </w:r>
      <w:r w:rsidR="003E46C3" w:rsidRPr="00085F38">
        <w:rPr>
          <w:rFonts w:cs="Arial"/>
        </w:rPr>
        <w:t>a conception de l’</w:t>
      </w:r>
      <w:r w:rsidRPr="00085F38">
        <w:rPr>
          <w:rFonts w:cs="Arial"/>
        </w:rPr>
        <w:t>architecture technique et applicative du « FrontOffice » d</w:t>
      </w:r>
      <w:r w:rsidR="00BE6918">
        <w:rPr>
          <w:rFonts w:cs="Arial"/>
        </w:rPr>
        <w:t xml:space="preserve">oit </w:t>
      </w:r>
      <w:r w:rsidRPr="00085F38">
        <w:rPr>
          <w:rFonts w:cs="Arial"/>
        </w:rPr>
        <w:t xml:space="preserve">impérativement </w:t>
      </w:r>
      <w:r w:rsidR="003E46C3" w:rsidRPr="00085F38">
        <w:rPr>
          <w:rFonts w:cs="Arial"/>
        </w:rPr>
        <w:t xml:space="preserve">répondre à une nécessité de dimensionnement afin de </w:t>
      </w:r>
      <w:r w:rsidRPr="00085F38">
        <w:rPr>
          <w:rFonts w:cs="Arial"/>
        </w:rPr>
        <w:t xml:space="preserve">s’adapter </w:t>
      </w:r>
      <w:r w:rsidR="003E46C3" w:rsidRPr="00085F38">
        <w:rPr>
          <w:rFonts w:cs="Arial"/>
        </w:rPr>
        <w:t xml:space="preserve">à de fortes amplitudes de fréquentation </w:t>
      </w:r>
      <w:r w:rsidR="0015625F" w:rsidRPr="00085F38">
        <w:rPr>
          <w:rFonts w:cs="Arial"/>
        </w:rPr>
        <w:t xml:space="preserve">allant </w:t>
      </w:r>
      <w:r w:rsidR="003E46C3" w:rsidRPr="00085F38">
        <w:rPr>
          <w:rFonts w:cs="Arial"/>
        </w:rPr>
        <w:t xml:space="preserve">de quelques dizaines à plusieurs </w:t>
      </w:r>
      <w:r w:rsidR="0015625F" w:rsidRPr="00085F38">
        <w:rPr>
          <w:rFonts w:cs="Arial"/>
        </w:rPr>
        <w:t xml:space="preserve">dizaines de </w:t>
      </w:r>
      <w:r w:rsidR="003E46C3" w:rsidRPr="00085F38">
        <w:rPr>
          <w:rFonts w:cs="Arial"/>
        </w:rPr>
        <w:t>milliers de connexions et de dépôts/jour</w:t>
      </w:r>
      <w:r w:rsidR="0015625F" w:rsidRPr="00085F38">
        <w:rPr>
          <w:rFonts w:cs="Arial"/>
        </w:rPr>
        <w:t xml:space="preserve">. Ces amplitudes sont directement liées à l’actualité électorale et aux calendriers fixant les </w:t>
      </w:r>
      <w:r w:rsidR="00BE6918">
        <w:rPr>
          <w:rFonts w:cs="Arial"/>
        </w:rPr>
        <w:t xml:space="preserve">dates limites </w:t>
      </w:r>
      <w:r w:rsidR="0015625F" w:rsidRPr="00085F38">
        <w:rPr>
          <w:rFonts w:cs="Arial"/>
        </w:rPr>
        <w:t>de dépôt des</w:t>
      </w:r>
      <w:r w:rsidR="00085F38">
        <w:rPr>
          <w:rFonts w:cs="Arial"/>
        </w:rPr>
        <w:t xml:space="preserve"> comptes des</w:t>
      </w:r>
      <w:r w:rsidR="0015625F" w:rsidRPr="00085F38">
        <w:rPr>
          <w:rFonts w:cs="Arial"/>
        </w:rPr>
        <w:t xml:space="preserve"> candidats et </w:t>
      </w:r>
      <w:r w:rsidR="00395DB3">
        <w:rPr>
          <w:rFonts w:cs="Arial"/>
        </w:rPr>
        <w:t xml:space="preserve">des </w:t>
      </w:r>
      <w:r w:rsidR="0015625F" w:rsidRPr="00085F38">
        <w:rPr>
          <w:rFonts w:cs="Arial"/>
        </w:rPr>
        <w:t>partis politiques</w:t>
      </w:r>
      <w:r w:rsidR="003E46C3" w:rsidRPr="00085F38">
        <w:rPr>
          <w:rFonts w:cs="Arial"/>
        </w:rPr>
        <w:t> ;</w:t>
      </w:r>
    </w:p>
    <w:p w14:paraId="728852A4" w14:textId="77777777" w:rsidR="00947F44" w:rsidRDefault="00947F44" w:rsidP="00947F44">
      <w:pPr>
        <w:ind w:left="720"/>
        <w:rPr>
          <w:rFonts w:cs="Arial"/>
        </w:rPr>
      </w:pPr>
    </w:p>
    <w:p w14:paraId="72D75623" w14:textId="78C054DB" w:rsidR="001356E3" w:rsidRDefault="001356E3" w:rsidP="001356E3">
      <w:pPr>
        <w:numPr>
          <w:ilvl w:val="0"/>
          <w:numId w:val="1"/>
        </w:numPr>
        <w:rPr>
          <w:rFonts w:cs="Arial"/>
        </w:rPr>
      </w:pPr>
      <w:r w:rsidRPr="001356E3">
        <w:rPr>
          <w:rFonts w:cs="Arial"/>
        </w:rPr>
        <w:t xml:space="preserve">une </w:t>
      </w:r>
      <w:r w:rsidR="0014127C">
        <w:rPr>
          <w:rFonts w:cs="Arial"/>
        </w:rPr>
        <w:t>interface de</w:t>
      </w:r>
      <w:r w:rsidRPr="001356E3">
        <w:rPr>
          <w:rFonts w:cs="Arial"/>
        </w:rPr>
        <w:t xml:space="preserve"> </w:t>
      </w:r>
      <w:r w:rsidR="00513885">
        <w:rPr>
          <w:rFonts w:cs="Arial"/>
        </w:rPr>
        <w:t xml:space="preserve">« MiddleOffice » </w:t>
      </w:r>
      <w:r w:rsidRPr="001356E3">
        <w:rPr>
          <w:rFonts w:cs="Arial"/>
        </w:rPr>
        <w:t xml:space="preserve">à destination des utilisateurs de la CNCCFP pour les processus des </w:t>
      </w:r>
      <w:r w:rsidR="00CB0C0A" w:rsidRPr="001356E3">
        <w:rPr>
          <w:rFonts w:cs="Arial"/>
        </w:rPr>
        <w:t>contrôles</w:t>
      </w:r>
      <w:r w:rsidR="00640A2D">
        <w:rPr>
          <w:rFonts w:cs="Arial"/>
        </w:rPr>
        <w:t>, d’instruction et de publication</w:t>
      </w:r>
      <w:r w:rsidR="009A20D2">
        <w:rPr>
          <w:rFonts w:cs="Arial"/>
        </w:rPr>
        <w:t xml:space="preserve">. Cette interface devra également </w:t>
      </w:r>
      <w:r w:rsidR="004909DD">
        <w:rPr>
          <w:rFonts w:cs="Arial"/>
        </w:rPr>
        <w:t>communiquer avec</w:t>
      </w:r>
      <w:r w:rsidR="009A20D2">
        <w:rPr>
          <w:rFonts w:cs="Arial"/>
        </w:rPr>
        <w:t xml:space="preserve"> certains sous-systèmes de la Commission tels que son </w:t>
      </w:r>
      <w:r w:rsidR="004909DD">
        <w:rPr>
          <w:rFonts w:cs="Arial"/>
        </w:rPr>
        <w:t xml:space="preserve">système </w:t>
      </w:r>
      <w:r w:rsidR="009A20D2">
        <w:rPr>
          <w:rFonts w:cs="Arial"/>
        </w:rPr>
        <w:t>Sharepoint, sa GED</w:t>
      </w:r>
      <w:r w:rsidR="004909DD">
        <w:rPr>
          <w:rFonts w:cs="Arial"/>
        </w:rPr>
        <w:t>/GEC</w:t>
      </w:r>
      <w:r w:rsidR="00734626">
        <w:rPr>
          <w:rFonts w:cs="Arial"/>
        </w:rPr>
        <w:t xml:space="preserve">, </w:t>
      </w:r>
      <w:r w:rsidR="00BE6918">
        <w:rPr>
          <w:rFonts w:cs="Arial"/>
        </w:rPr>
        <w:t>l</w:t>
      </w:r>
      <w:r w:rsidR="00CF6A78">
        <w:rPr>
          <w:rFonts w:cs="Arial"/>
        </w:rPr>
        <w:t>es services de</w:t>
      </w:r>
      <w:r w:rsidR="00734626">
        <w:rPr>
          <w:rFonts w:cs="Arial"/>
        </w:rPr>
        <w:t xml:space="preserve"> messagerie et </w:t>
      </w:r>
      <w:r w:rsidR="00BE6918">
        <w:rPr>
          <w:rFonts w:cs="Arial"/>
        </w:rPr>
        <w:t>l</w:t>
      </w:r>
      <w:r w:rsidR="00734626">
        <w:rPr>
          <w:rFonts w:cs="Arial"/>
        </w:rPr>
        <w:t xml:space="preserve">es applications et/ou </w:t>
      </w:r>
      <w:r w:rsidR="00CF6A78">
        <w:rPr>
          <w:rFonts w:cs="Arial"/>
        </w:rPr>
        <w:t>micro-services</w:t>
      </w:r>
      <w:r w:rsidR="00734626">
        <w:rPr>
          <w:rFonts w:cs="Arial"/>
        </w:rPr>
        <w:t xml:space="preserve"> développés en interne</w:t>
      </w:r>
      <w:r w:rsidR="003E46C3">
        <w:rPr>
          <w:rFonts w:cs="Arial"/>
        </w:rPr>
        <w:t>.</w:t>
      </w:r>
    </w:p>
    <w:p w14:paraId="4A106098" w14:textId="54186B12" w:rsidR="003E46C3" w:rsidRDefault="003E46C3" w:rsidP="003E46C3">
      <w:pPr>
        <w:ind w:left="720"/>
        <w:rPr>
          <w:rFonts w:cs="Arial"/>
        </w:rPr>
      </w:pPr>
      <w:r>
        <w:rPr>
          <w:rFonts w:cs="Arial"/>
        </w:rPr>
        <w:t>Comme pour le « FrontOffice » il est à not</w:t>
      </w:r>
      <w:r w:rsidR="0015625F">
        <w:rPr>
          <w:rFonts w:cs="Arial"/>
        </w:rPr>
        <w:t>er</w:t>
      </w:r>
      <w:r>
        <w:rPr>
          <w:rFonts w:cs="Arial"/>
        </w:rPr>
        <w:t xml:space="preserve"> que </w:t>
      </w:r>
      <w:r w:rsidR="0015625F">
        <w:rPr>
          <w:rFonts w:cs="Arial"/>
        </w:rPr>
        <w:t xml:space="preserve">le niveau de sollicitation du « MiddleOffice » est amené à varier </w:t>
      </w:r>
      <w:r w:rsidR="00D32FEC">
        <w:rPr>
          <w:rFonts w:cs="Arial"/>
        </w:rPr>
        <w:t xml:space="preserve">significativement </w:t>
      </w:r>
      <w:r w:rsidR="0015625F">
        <w:rPr>
          <w:rFonts w:cs="Arial"/>
        </w:rPr>
        <w:t>de quelques dizaines à plusieurs centaines d’utilisateurs connectés</w:t>
      </w:r>
      <w:r w:rsidR="00792FC9">
        <w:rPr>
          <w:rFonts w:cs="Arial"/>
        </w:rPr>
        <w:t>, avec plusieurs centaines, voire milliers d’actes métiers simultanés</w:t>
      </w:r>
      <w:r w:rsidR="005F28FA">
        <w:rPr>
          <w:rFonts w:cs="Arial"/>
        </w:rPr>
        <w:t> ;</w:t>
      </w:r>
    </w:p>
    <w:p w14:paraId="71568600" w14:textId="77777777" w:rsidR="00947F44" w:rsidRPr="001356E3" w:rsidRDefault="00947F44" w:rsidP="00947F44">
      <w:pPr>
        <w:ind w:left="720"/>
        <w:rPr>
          <w:rFonts w:cs="Arial"/>
        </w:rPr>
      </w:pPr>
    </w:p>
    <w:p w14:paraId="1F5FA596" w14:textId="242652E2" w:rsidR="001356E3" w:rsidRDefault="001356E3" w:rsidP="001356E3">
      <w:pPr>
        <w:numPr>
          <w:ilvl w:val="0"/>
          <w:numId w:val="1"/>
        </w:numPr>
        <w:rPr>
          <w:rFonts w:cs="Arial"/>
        </w:rPr>
      </w:pPr>
      <w:r w:rsidRPr="001356E3">
        <w:rPr>
          <w:rFonts w:cs="Arial"/>
        </w:rPr>
        <w:t xml:space="preserve">une </w:t>
      </w:r>
      <w:r w:rsidR="0014127C">
        <w:rPr>
          <w:rFonts w:cs="Arial"/>
        </w:rPr>
        <w:t>interface de</w:t>
      </w:r>
      <w:r w:rsidRPr="001356E3">
        <w:rPr>
          <w:rFonts w:cs="Arial"/>
        </w:rPr>
        <w:t xml:space="preserve"> </w:t>
      </w:r>
      <w:r w:rsidR="00513885">
        <w:rPr>
          <w:rFonts w:cs="Arial"/>
        </w:rPr>
        <w:t xml:space="preserve">« BackOffice » </w:t>
      </w:r>
      <w:r w:rsidRPr="001356E3">
        <w:rPr>
          <w:rFonts w:cs="Arial"/>
        </w:rPr>
        <w:t xml:space="preserve">à destination des administrateurs pour </w:t>
      </w:r>
      <w:r w:rsidR="00513885">
        <w:rPr>
          <w:rFonts w:cs="Arial"/>
        </w:rPr>
        <w:t xml:space="preserve">le paramétrage et </w:t>
      </w:r>
      <w:r w:rsidRPr="001356E3">
        <w:rPr>
          <w:rFonts w:cs="Arial"/>
        </w:rPr>
        <w:t>la supervision de l’application</w:t>
      </w:r>
      <w:r w:rsidR="00513885">
        <w:rPr>
          <w:rFonts w:cs="Arial"/>
        </w:rPr>
        <w:t>, de ses microservices</w:t>
      </w:r>
      <w:r w:rsidR="003E46C3">
        <w:rPr>
          <w:rFonts w:cs="Arial"/>
        </w:rPr>
        <w:t xml:space="preserve">, de ses traitements </w:t>
      </w:r>
      <w:r w:rsidR="0015625F">
        <w:rPr>
          <w:rFonts w:cs="Arial"/>
        </w:rPr>
        <w:t>d’</w:t>
      </w:r>
      <w:r w:rsidR="00D32FEC">
        <w:rPr>
          <w:rFonts w:cs="Arial"/>
        </w:rPr>
        <w:t>arrière-plan</w:t>
      </w:r>
      <w:r w:rsidR="0015625F">
        <w:rPr>
          <w:rFonts w:cs="Arial"/>
        </w:rPr>
        <w:t xml:space="preserve"> (jobs et </w:t>
      </w:r>
      <w:r w:rsidR="003E46C3">
        <w:rPr>
          <w:rFonts w:cs="Arial"/>
        </w:rPr>
        <w:t>batch</w:t>
      </w:r>
      <w:r w:rsidR="0015625F">
        <w:rPr>
          <w:rFonts w:cs="Arial"/>
        </w:rPr>
        <w:t>s)</w:t>
      </w:r>
      <w:r w:rsidR="003E46C3">
        <w:rPr>
          <w:rFonts w:cs="Arial"/>
        </w:rPr>
        <w:t>,</w:t>
      </w:r>
      <w:r w:rsidR="00513885">
        <w:rPr>
          <w:rFonts w:cs="Arial"/>
        </w:rPr>
        <w:t xml:space="preserve"> et des modules tiers (</w:t>
      </w:r>
      <w:r w:rsidR="00405D85">
        <w:rPr>
          <w:rFonts w:cs="Arial"/>
        </w:rPr>
        <w:t xml:space="preserve">prioritairement </w:t>
      </w:r>
      <w:r w:rsidR="00513885">
        <w:rPr>
          <w:rFonts w:cs="Arial"/>
        </w:rPr>
        <w:t>OpenSources) pouvant entrer dans les composantes de l’application</w:t>
      </w:r>
      <w:r w:rsidRPr="001356E3">
        <w:rPr>
          <w:rFonts w:cs="Arial"/>
        </w:rPr>
        <w:t xml:space="preserve">. </w:t>
      </w:r>
    </w:p>
    <w:p w14:paraId="33604170" w14:textId="73726732" w:rsidR="004A7AA5" w:rsidRDefault="004A7AA5" w:rsidP="00085F38">
      <w:pPr>
        <w:rPr>
          <w:rFonts w:cs="Arial"/>
        </w:rPr>
      </w:pPr>
    </w:p>
    <w:p w14:paraId="06EDE6AC" w14:textId="47D07DCF" w:rsidR="0014127C" w:rsidRDefault="0014127C" w:rsidP="00085F38">
      <w:pPr>
        <w:rPr>
          <w:rFonts w:cs="Arial"/>
        </w:rPr>
      </w:pPr>
      <w:r>
        <w:rPr>
          <w:rFonts w:cs="Arial"/>
        </w:rPr>
        <w:t>L’agrégation des trois interfaces forme l’application globale pour</w:t>
      </w:r>
      <w:r w:rsidRPr="001356E3">
        <w:rPr>
          <w:rFonts w:cs="Arial"/>
        </w:rPr>
        <w:t xml:space="preserve"> </w:t>
      </w:r>
      <w:r>
        <w:rPr>
          <w:rFonts w:cs="Arial"/>
        </w:rPr>
        <w:t xml:space="preserve">la </w:t>
      </w:r>
      <w:r w:rsidRPr="001356E3">
        <w:rPr>
          <w:rFonts w:cs="Arial"/>
        </w:rPr>
        <w:t>dématérialisation de l’ensemble des processus li</w:t>
      </w:r>
      <w:r>
        <w:rPr>
          <w:rFonts w:cs="Arial"/>
        </w:rPr>
        <w:t>é</w:t>
      </w:r>
      <w:r w:rsidRPr="001356E3">
        <w:rPr>
          <w:rFonts w:cs="Arial"/>
        </w:rPr>
        <w:t xml:space="preserve">s </w:t>
      </w:r>
      <w:r>
        <w:rPr>
          <w:rFonts w:cs="Arial"/>
        </w:rPr>
        <w:t>aux activités de contrôle de la Commission.</w:t>
      </w:r>
    </w:p>
    <w:p w14:paraId="5D0A6931" w14:textId="31354850" w:rsidR="0014127C" w:rsidRDefault="0014127C" w:rsidP="00085F38">
      <w:pPr>
        <w:rPr>
          <w:rFonts w:cs="Arial"/>
        </w:rPr>
      </w:pPr>
    </w:p>
    <w:p w14:paraId="3CB83B4C" w14:textId="69BC1672" w:rsidR="004A7AA5" w:rsidRPr="001356E3" w:rsidRDefault="00792FC9" w:rsidP="006F46B8">
      <w:pPr>
        <w:rPr>
          <w:rFonts w:cs="Arial"/>
        </w:rPr>
      </w:pPr>
      <w:r>
        <w:rPr>
          <w:rFonts w:cs="Arial"/>
        </w:rPr>
        <w:t>L</w:t>
      </w:r>
      <w:r w:rsidR="005F28FA" w:rsidRPr="005F28FA">
        <w:rPr>
          <w:rFonts w:cs="Arial"/>
        </w:rPr>
        <w:t xml:space="preserve">’hétérogénéité des compétences des usagers face aux outils du numérique étant très importante, l’ensemble des trois interfaces de la plateforme de dématérialisation devra faire l’objet d’un soin tout particulier quant à la conception </w:t>
      </w:r>
      <w:r w:rsidR="00AC5295">
        <w:rPr>
          <w:rFonts w:cs="Arial"/>
        </w:rPr>
        <w:t>et l’ergonomie des interfaces graphiques utilisateurs</w:t>
      </w:r>
      <w:r>
        <w:rPr>
          <w:rFonts w:cs="Arial"/>
        </w:rPr>
        <w:t xml:space="preserve"> afin d’en garantir</w:t>
      </w:r>
      <w:r w:rsidR="00F8031C">
        <w:rPr>
          <w:rFonts w:cs="Arial"/>
        </w:rPr>
        <w:t xml:space="preserve"> un niveau élevé d’</w:t>
      </w:r>
      <w:r w:rsidRPr="00A13E81">
        <w:rPr>
          <w:rFonts w:cs="Arial"/>
          <w:b/>
        </w:rPr>
        <w:t>accessibilité</w:t>
      </w:r>
      <w:r w:rsidR="00AC5295">
        <w:rPr>
          <w:rFonts w:cs="Arial"/>
        </w:rPr>
        <w:t xml:space="preserve">. </w:t>
      </w:r>
      <w:r>
        <w:rPr>
          <w:rFonts w:cs="Arial"/>
        </w:rPr>
        <w:t>U</w:t>
      </w:r>
      <w:r w:rsidR="00AC5295">
        <w:rPr>
          <w:rFonts w:cs="Arial"/>
        </w:rPr>
        <w:t>n dossier d’UX design</w:t>
      </w:r>
      <w:r>
        <w:rPr>
          <w:rFonts w:cs="Arial"/>
        </w:rPr>
        <w:t xml:space="preserve"> sera </w:t>
      </w:r>
      <w:r w:rsidR="009C6813">
        <w:rPr>
          <w:rFonts w:cs="Arial"/>
        </w:rPr>
        <w:t>annexé au CCTP</w:t>
      </w:r>
      <w:r>
        <w:rPr>
          <w:rFonts w:cs="Arial"/>
        </w:rPr>
        <w:t xml:space="preserve"> et </w:t>
      </w:r>
      <w:r w:rsidR="009C6813">
        <w:rPr>
          <w:rFonts w:cs="Arial"/>
        </w:rPr>
        <w:t xml:space="preserve">a été réalisé </w:t>
      </w:r>
      <w:r w:rsidR="00AC5295">
        <w:rPr>
          <w:rFonts w:cs="Arial"/>
        </w:rPr>
        <w:t xml:space="preserve">à l’attention </w:t>
      </w:r>
      <w:r w:rsidR="009C6813">
        <w:rPr>
          <w:rFonts w:cs="Arial"/>
        </w:rPr>
        <w:t xml:space="preserve">des équipes de </w:t>
      </w:r>
      <w:r w:rsidR="004909DD">
        <w:rPr>
          <w:rFonts w:cs="Arial"/>
        </w:rPr>
        <w:t>web-</w:t>
      </w:r>
      <w:r w:rsidR="009C6813">
        <w:rPr>
          <w:rFonts w:cs="Arial"/>
        </w:rPr>
        <w:t>designer du titulaire</w:t>
      </w:r>
      <w:r w:rsidR="003B0716">
        <w:rPr>
          <w:rFonts w:cs="Arial"/>
        </w:rPr>
        <w:t xml:space="preserve"> (voir 3.3)</w:t>
      </w:r>
      <w:r w:rsidR="005F28FA" w:rsidRPr="005F28FA">
        <w:rPr>
          <w:rFonts w:cs="Arial"/>
        </w:rPr>
        <w:t>.</w:t>
      </w:r>
    </w:p>
    <w:p w14:paraId="67B2E6B4" w14:textId="53B1EAC2" w:rsidR="00906A63" w:rsidRPr="00A50043" w:rsidRDefault="00906A63" w:rsidP="003661A7">
      <w:pPr>
        <w:jc w:val="left"/>
      </w:pPr>
    </w:p>
    <w:p w14:paraId="42465CE8" w14:textId="74A48C9A" w:rsidR="00CB0C0A" w:rsidRPr="00CB0C0A" w:rsidRDefault="00CB0C0A" w:rsidP="003F3864">
      <w:pPr>
        <w:pStyle w:val="Titre2"/>
      </w:pPr>
      <w:bookmarkStart w:id="21" w:name="_Toc218852697"/>
      <w:r w:rsidRPr="00CB0C0A">
        <w:t>Objectifs et enjeux du projet</w:t>
      </w:r>
      <w:bookmarkEnd w:id="21"/>
    </w:p>
    <w:p w14:paraId="2066F991" w14:textId="77777777" w:rsidR="00CB0C0A" w:rsidRDefault="00CB0C0A" w:rsidP="00CB0C0A">
      <w:pPr>
        <w:rPr>
          <w:rFonts w:cs="Arial"/>
        </w:rPr>
      </w:pPr>
    </w:p>
    <w:p w14:paraId="2980EC85" w14:textId="4B25F134" w:rsidR="00CB0C0A" w:rsidRDefault="00CB0C0A" w:rsidP="00CB0C0A">
      <w:pPr>
        <w:rPr>
          <w:rFonts w:cs="Arial"/>
        </w:rPr>
      </w:pPr>
      <w:r w:rsidRPr="00CB0C0A">
        <w:rPr>
          <w:rFonts w:cs="Arial"/>
        </w:rPr>
        <w:t>L</w:t>
      </w:r>
      <w:r w:rsidR="008F331C">
        <w:rPr>
          <w:rFonts w:cs="Arial"/>
        </w:rPr>
        <w:t xml:space="preserve">es </w:t>
      </w:r>
      <w:r w:rsidRPr="00A13E81">
        <w:rPr>
          <w:rFonts w:cs="Arial"/>
          <w:b/>
        </w:rPr>
        <w:t>objectif</w:t>
      </w:r>
      <w:r w:rsidR="008F331C" w:rsidRPr="00A13E81">
        <w:rPr>
          <w:rFonts w:cs="Arial"/>
          <w:b/>
        </w:rPr>
        <w:t>s</w:t>
      </w:r>
      <w:r w:rsidRPr="00A13E81">
        <w:rPr>
          <w:rFonts w:cs="Arial"/>
          <w:b/>
        </w:rPr>
        <w:t xml:space="preserve"> </w:t>
      </w:r>
      <w:r w:rsidR="00FC3707" w:rsidRPr="00A13E81">
        <w:rPr>
          <w:rFonts w:cs="Arial"/>
          <w:b/>
        </w:rPr>
        <w:t xml:space="preserve">pour la </w:t>
      </w:r>
      <w:r w:rsidRPr="00A13E81">
        <w:rPr>
          <w:rFonts w:cs="Arial"/>
          <w:b/>
        </w:rPr>
        <w:t>CNCCFP</w:t>
      </w:r>
      <w:r w:rsidRPr="00CB0C0A">
        <w:rPr>
          <w:rFonts w:cs="Arial"/>
        </w:rPr>
        <w:t xml:space="preserve"> e</w:t>
      </w:r>
      <w:r w:rsidR="00FC3707">
        <w:rPr>
          <w:rFonts w:cs="Arial"/>
        </w:rPr>
        <w:t xml:space="preserve">n lançant ce projet d’acquisition d’une nouvelle solution applicative permettant </w:t>
      </w:r>
      <w:r w:rsidRPr="00CB0C0A">
        <w:rPr>
          <w:rFonts w:cs="Arial"/>
        </w:rPr>
        <w:t xml:space="preserve">la dématérialisation de ses processus </w:t>
      </w:r>
      <w:r w:rsidR="00953A5B">
        <w:rPr>
          <w:rFonts w:cs="Arial"/>
        </w:rPr>
        <w:t xml:space="preserve">métier </w:t>
      </w:r>
      <w:r w:rsidR="00FC3707">
        <w:rPr>
          <w:rFonts w:cs="Arial"/>
        </w:rPr>
        <w:t>et ré</w:t>
      </w:r>
      <w:r w:rsidRPr="00CB0C0A">
        <w:rPr>
          <w:rFonts w:cs="Arial"/>
        </w:rPr>
        <w:t xml:space="preserve">pondant à l’ensemble des exigences </w:t>
      </w:r>
      <w:r w:rsidR="008F331C">
        <w:rPr>
          <w:rFonts w:cs="Arial"/>
        </w:rPr>
        <w:t>posée</w:t>
      </w:r>
      <w:r w:rsidR="006D4E2A">
        <w:rPr>
          <w:rFonts w:cs="Arial"/>
        </w:rPr>
        <w:t xml:space="preserve">s sont majeurs </w:t>
      </w:r>
      <w:r w:rsidR="003B0716">
        <w:rPr>
          <w:rFonts w:cs="Arial"/>
        </w:rPr>
        <w:t xml:space="preserve">dans le cadre de la </w:t>
      </w:r>
      <w:r w:rsidR="006D4E2A">
        <w:rPr>
          <w:rFonts w:cs="Arial"/>
        </w:rPr>
        <w:t xml:space="preserve">feuille de route </w:t>
      </w:r>
      <w:r w:rsidR="003B0716">
        <w:rPr>
          <w:rFonts w:cs="Arial"/>
        </w:rPr>
        <w:t xml:space="preserve">définie pour </w:t>
      </w:r>
      <w:r w:rsidR="006D4E2A">
        <w:rPr>
          <w:rFonts w:cs="Arial"/>
        </w:rPr>
        <w:t xml:space="preserve">les cinq prochaines années </w:t>
      </w:r>
      <w:r w:rsidR="008F331C">
        <w:rPr>
          <w:rFonts w:cs="Arial"/>
        </w:rPr>
        <w:t xml:space="preserve">: </w:t>
      </w:r>
    </w:p>
    <w:p w14:paraId="403B6DA7" w14:textId="48A9FAE2" w:rsidR="00FC3707" w:rsidRDefault="003B0716" w:rsidP="00A13E81">
      <w:pPr>
        <w:pStyle w:val="Paragraphedeliste"/>
        <w:numPr>
          <w:ilvl w:val="0"/>
          <w:numId w:val="50"/>
        </w:numPr>
        <w:rPr>
          <w:rFonts w:cs="Arial"/>
        </w:rPr>
      </w:pPr>
      <w:r>
        <w:rPr>
          <w:rFonts w:cs="Arial"/>
          <w:b/>
        </w:rPr>
        <w:t>Simplifier</w:t>
      </w:r>
      <w:r w:rsidR="008F331C">
        <w:rPr>
          <w:rFonts w:cs="Arial"/>
        </w:rPr>
        <w:t xml:space="preserve"> </w:t>
      </w:r>
      <w:r w:rsidR="008F331C" w:rsidRPr="00A13E81">
        <w:rPr>
          <w:rFonts w:cs="Arial"/>
          <w:b/>
        </w:rPr>
        <w:t>les échanges</w:t>
      </w:r>
      <w:r w:rsidR="008F331C">
        <w:rPr>
          <w:rFonts w:cs="Arial"/>
        </w:rPr>
        <w:t xml:space="preserve"> avec les candidats aux élections politiques et les représentants des partis politiques en mettant à disposition un outil </w:t>
      </w:r>
      <w:r w:rsidR="00F8031C">
        <w:rPr>
          <w:rFonts w:cs="Arial"/>
        </w:rPr>
        <w:t>fonctionnel, accessible et paramétrable par les équipes informatiques de la Commission</w:t>
      </w:r>
      <w:r w:rsidR="008F331C">
        <w:rPr>
          <w:rFonts w:cs="Arial"/>
        </w:rPr>
        <w:t> ;</w:t>
      </w:r>
    </w:p>
    <w:p w14:paraId="0FA12AC2" w14:textId="7806EE2F" w:rsidR="008F331C" w:rsidRDefault="008F331C" w:rsidP="00A13E81">
      <w:pPr>
        <w:pStyle w:val="Paragraphedeliste"/>
        <w:numPr>
          <w:ilvl w:val="0"/>
          <w:numId w:val="50"/>
        </w:numPr>
        <w:rPr>
          <w:rFonts w:cs="Arial"/>
        </w:rPr>
      </w:pPr>
      <w:r w:rsidRPr="001E5583">
        <w:rPr>
          <w:rFonts w:cs="Arial"/>
          <w:b/>
        </w:rPr>
        <w:t>Améliorer</w:t>
      </w:r>
      <w:r w:rsidRPr="00691395">
        <w:rPr>
          <w:rFonts w:cs="Arial"/>
          <w:b/>
        </w:rPr>
        <w:t xml:space="preserve"> et rationaliser</w:t>
      </w:r>
      <w:r>
        <w:rPr>
          <w:rFonts w:cs="Arial"/>
        </w:rPr>
        <w:t xml:space="preserve"> les modalités du contrôle opéré par les</w:t>
      </w:r>
      <w:r w:rsidR="00F8031C">
        <w:rPr>
          <w:rFonts w:cs="Arial"/>
        </w:rPr>
        <w:t xml:space="preserve"> rapporteurs et les </w:t>
      </w:r>
      <w:r>
        <w:rPr>
          <w:rFonts w:cs="Arial"/>
        </w:rPr>
        <w:t>agents de la Commission en charge du contrôle des comptes de campagne</w:t>
      </w:r>
      <w:r w:rsidR="003B0716">
        <w:rPr>
          <w:rFonts w:cs="Arial"/>
        </w:rPr>
        <w:t xml:space="preserve"> et des comptes des partis politiques</w:t>
      </w:r>
      <w:r w:rsidR="00F8031C">
        <w:rPr>
          <w:rFonts w:cs="Arial"/>
        </w:rPr>
        <w:t xml:space="preserve"> pour généraliser l</w:t>
      </w:r>
      <w:r w:rsidR="003B0716">
        <w:rPr>
          <w:rFonts w:cs="Arial"/>
        </w:rPr>
        <w:t xml:space="preserve">’automatisation d’un grand nombre de contrôles </w:t>
      </w:r>
      <w:r w:rsidR="00F8031C">
        <w:rPr>
          <w:rFonts w:cs="Arial"/>
        </w:rPr>
        <w:t xml:space="preserve">et concentrer les </w:t>
      </w:r>
      <w:r w:rsidR="003B0716">
        <w:rPr>
          <w:rFonts w:cs="Arial"/>
        </w:rPr>
        <w:t xml:space="preserve">investigations </w:t>
      </w:r>
      <w:r w:rsidR="00F8031C">
        <w:rPr>
          <w:rFonts w:cs="Arial"/>
        </w:rPr>
        <w:t xml:space="preserve">sur les enjeux financiers </w:t>
      </w:r>
      <w:r w:rsidR="003B0716">
        <w:rPr>
          <w:rFonts w:cs="Arial"/>
        </w:rPr>
        <w:t>majeurs et les enjeux de garantie d</w:t>
      </w:r>
      <w:r w:rsidR="00F8031C">
        <w:rPr>
          <w:rFonts w:cs="Arial"/>
        </w:rPr>
        <w:t xml:space="preserve">’équité </w:t>
      </w:r>
      <w:r w:rsidR="003B0716">
        <w:rPr>
          <w:rFonts w:cs="Arial"/>
        </w:rPr>
        <w:t>entre les candidats</w:t>
      </w:r>
      <w:r>
        <w:rPr>
          <w:rFonts w:cs="Arial"/>
        </w:rPr>
        <w:t xml:space="preserve"> ;</w:t>
      </w:r>
    </w:p>
    <w:p w14:paraId="45E01833" w14:textId="52B9049A" w:rsidR="008F331C" w:rsidRPr="008F331C" w:rsidRDefault="008F331C" w:rsidP="00A13E81">
      <w:pPr>
        <w:pStyle w:val="Paragraphedeliste"/>
        <w:numPr>
          <w:ilvl w:val="0"/>
          <w:numId w:val="50"/>
        </w:numPr>
        <w:rPr>
          <w:rFonts w:cs="Arial"/>
        </w:rPr>
      </w:pPr>
      <w:r w:rsidRPr="00A13E81">
        <w:rPr>
          <w:rFonts w:cs="Arial"/>
          <w:b/>
        </w:rPr>
        <w:t>Renforcer</w:t>
      </w:r>
      <w:r>
        <w:rPr>
          <w:rFonts w:cs="Arial"/>
        </w:rPr>
        <w:t xml:space="preserve"> </w:t>
      </w:r>
      <w:r w:rsidRPr="00A13E81">
        <w:rPr>
          <w:rFonts w:cs="Arial"/>
          <w:b/>
        </w:rPr>
        <w:t>la</w:t>
      </w:r>
      <w:r>
        <w:rPr>
          <w:rFonts w:cs="Arial"/>
        </w:rPr>
        <w:t xml:space="preserve"> </w:t>
      </w:r>
      <w:r w:rsidRPr="00A13E81">
        <w:rPr>
          <w:rFonts w:cs="Arial"/>
          <w:b/>
        </w:rPr>
        <w:t>transparence du processus démocratique</w:t>
      </w:r>
      <w:r>
        <w:rPr>
          <w:rFonts w:cs="Arial"/>
        </w:rPr>
        <w:t xml:space="preserve"> en mettant à la disposition du grand public des données consolidées, facilement exploitables</w:t>
      </w:r>
      <w:r w:rsidR="003B0716">
        <w:rPr>
          <w:rFonts w:cs="Arial"/>
        </w:rPr>
        <w:t>.</w:t>
      </w:r>
    </w:p>
    <w:p w14:paraId="4CA08E8B" w14:textId="45F464A4" w:rsidR="00FC3707" w:rsidRDefault="00FC3707" w:rsidP="00CB0C0A">
      <w:pPr>
        <w:rPr>
          <w:rFonts w:cs="Arial"/>
        </w:rPr>
      </w:pPr>
    </w:p>
    <w:p w14:paraId="51FE70AC" w14:textId="77777777" w:rsidR="00CB0C0A" w:rsidRDefault="00CB0C0A" w:rsidP="00CB0C0A">
      <w:pPr>
        <w:rPr>
          <w:rFonts w:cs="Arial"/>
        </w:rPr>
      </w:pPr>
    </w:p>
    <w:p w14:paraId="293565D4" w14:textId="6CC1A9FC" w:rsidR="00CB0C0A" w:rsidRPr="00CB0C0A" w:rsidRDefault="00CB0C0A" w:rsidP="00CB0C0A">
      <w:pPr>
        <w:rPr>
          <w:rFonts w:cs="Arial"/>
        </w:rPr>
      </w:pPr>
      <w:r w:rsidRPr="00CB0C0A">
        <w:rPr>
          <w:rFonts w:cs="Arial"/>
        </w:rPr>
        <w:t xml:space="preserve">Les </w:t>
      </w:r>
      <w:r w:rsidRPr="00A13E81">
        <w:rPr>
          <w:rFonts w:cs="Arial"/>
          <w:b/>
        </w:rPr>
        <w:t xml:space="preserve">enjeux </w:t>
      </w:r>
      <w:r w:rsidR="006D4E2A" w:rsidRPr="00A13E81">
        <w:rPr>
          <w:rFonts w:cs="Arial"/>
          <w:b/>
        </w:rPr>
        <w:t>internes</w:t>
      </w:r>
      <w:r w:rsidR="006D4E2A">
        <w:rPr>
          <w:rFonts w:cs="Arial"/>
        </w:rPr>
        <w:t xml:space="preserve"> </w:t>
      </w:r>
      <w:r w:rsidRPr="00CB0C0A">
        <w:rPr>
          <w:rFonts w:cs="Arial"/>
        </w:rPr>
        <w:t xml:space="preserve">sont </w:t>
      </w:r>
      <w:r w:rsidR="006D4E2A">
        <w:rPr>
          <w:rFonts w:cs="Arial"/>
        </w:rPr>
        <w:t xml:space="preserve">structurants </w:t>
      </w:r>
      <w:r w:rsidR="00221A74">
        <w:rPr>
          <w:rFonts w:cs="Arial"/>
        </w:rPr>
        <w:t>pour</w:t>
      </w:r>
      <w:r w:rsidR="003B0716">
        <w:rPr>
          <w:rFonts w:cs="Arial"/>
        </w:rPr>
        <w:t xml:space="preserve"> les services de la Commission au regard d</w:t>
      </w:r>
      <w:r w:rsidR="00221A74">
        <w:rPr>
          <w:rFonts w:cs="Arial"/>
        </w:rPr>
        <w:t>es évolutions attendues dans les activités de contrôle</w:t>
      </w:r>
      <w:r w:rsidRPr="00CB0C0A">
        <w:rPr>
          <w:rFonts w:cs="Arial"/>
        </w:rPr>
        <w:t xml:space="preserve">. Il s’agit </w:t>
      </w:r>
      <w:r w:rsidR="00221A74">
        <w:rPr>
          <w:rFonts w:cs="Arial"/>
        </w:rPr>
        <w:t xml:space="preserve">notamment </w:t>
      </w:r>
      <w:r w:rsidRPr="00CB0C0A">
        <w:rPr>
          <w:rFonts w:cs="Arial"/>
        </w:rPr>
        <w:t>de :</w:t>
      </w:r>
    </w:p>
    <w:p w14:paraId="00904CB6" w14:textId="77777777" w:rsidR="00CB0C0A" w:rsidRPr="00CB0C0A" w:rsidRDefault="00CB0C0A" w:rsidP="006B51B4">
      <w:pPr>
        <w:pStyle w:val="Paragraphedeliste"/>
        <w:numPr>
          <w:ilvl w:val="0"/>
          <w:numId w:val="3"/>
        </w:numPr>
        <w:rPr>
          <w:rFonts w:cs="Arial"/>
        </w:rPr>
      </w:pPr>
      <w:r w:rsidRPr="00CB0C0A">
        <w:rPr>
          <w:rFonts w:cs="Arial"/>
        </w:rPr>
        <w:t>faciliter le dépôt des comptes par les partis politiques et les candidats ;</w:t>
      </w:r>
    </w:p>
    <w:p w14:paraId="3ADB9BAA" w14:textId="763A6F4A" w:rsidR="00CB0C0A" w:rsidRPr="00CB0C0A" w:rsidRDefault="00CB0C0A" w:rsidP="006B51B4">
      <w:pPr>
        <w:pStyle w:val="Paragraphedeliste"/>
        <w:numPr>
          <w:ilvl w:val="0"/>
          <w:numId w:val="3"/>
        </w:numPr>
        <w:rPr>
          <w:rFonts w:cs="Arial"/>
        </w:rPr>
      </w:pPr>
      <w:r w:rsidRPr="00CB0C0A">
        <w:rPr>
          <w:rFonts w:cs="Arial"/>
        </w:rPr>
        <w:t xml:space="preserve">centraliser les informations dans un seul et même outil et </w:t>
      </w:r>
      <w:r w:rsidR="00221A74">
        <w:rPr>
          <w:rFonts w:cs="Arial"/>
        </w:rPr>
        <w:t>accélérer le traitement de l’</w:t>
      </w:r>
      <w:r w:rsidRPr="00CB0C0A">
        <w:rPr>
          <w:rFonts w:cs="Arial"/>
        </w:rPr>
        <w:t>information ;</w:t>
      </w:r>
    </w:p>
    <w:p w14:paraId="15EF8F6B" w14:textId="77777777" w:rsidR="00CB0C0A" w:rsidRDefault="00CB0C0A" w:rsidP="006B51B4">
      <w:pPr>
        <w:pStyle w:val="Paragraphedeliste"/>
        <w:numPr>
          <w:ilvl w:val="0"/>
          <w:numId w:val="3"/>
        </w:numPr>
        <w:rPr>
          <w:rFonts w:cs="Arial"/>
        </w:rPr>
      </w:pPr>
      <w:r w:rsidRPr="00CB0C0A">
        <w:rPr>
          <w:rFonts w:cs="Arial"/>
        </w:rPr>
        <w:t>sécuriser les données et documents ;</w:t>
      </w:r>
    </w:p>
    <w:p w14:paraId="225DC5D4" w14:textId="77777777" w:rsidR="00D32FEC" w:rsidRPr="00CB0C0A" w:rsidRDefault="00D32FEC" w:rsidP="006B51B4">
      <w:pPr>
        <w:pStyle w:val="Paragraphedeliste"/>
        <w:numPr>
          <w:ilvl w:val="0"/>
          <w:numId w:val="3"/>
        </w:numPr>
        <w:rPr>
          <w:rFonts w:cs="Arial"/>
        </w:rPr>
      </w:pPr>
      <w:r>
        <w:rPr>
          <w:rFonts w:cs="Arial"/>
        </w:rPr>
        <w:t>supporter d’importants pics d’activité</w:t>
      </w:r>
      <w:r w:rsidR="00796D5A">
        <w:rPr>
          <w:rFonts w:cs="Arial"/>
        </w:rPr>
        <w:t>s</w:t>
      </w:r>
      <w:r>
        <w:rPr>
          <w:rFonts w:cs="Arial"/>
        </w:rPr>
        <w:t xml:space="preserve"> et de sollicitation</w:t>
      </w:r>
      <w:r w:rsidR="00796D5A">
        <w:rPr>
          <w:rFonts w:cs="Arial"/>
        </w:rPr>
        <w:t>s</w:t>
      </w:r>
      <w:r>
        <w:rPr>
          <w:rFonts w:cs="Arial"/>
        </w:rPr>
        <w:t xml:space="preserve"> de </w:t>
      </w:r>
      <w:r w:rsidR="00796D5A">
        <w:rPr>
          <w:rFonts w:cs="Arial"/>
        </w:rPr>
        <w:t>l’application</w:t>
      </w:r>
      <w:r>
        <w:rPr>
          <w:rFonts w:cs="Arial"/>
        </w:rPr>
        <w:t> ;</w:t>
      </w:r>
    </w:p>
    <w:p w14:paraId="027B1436" w14:textId="77777777" w:rsidR="00CB0C0A" w:rsidRPr="00CB0C0A" w:rsidRDefault="00CB0C0A" w:rsidP="006B51B4">
      <w:pPr>
        <w:pStyle w:val="Paragraphedeliste"/>
        <w:numPr>
          <w:ilvl w:val="0"/>
          <w:numId w:val="3"/>
        </w:numPr>
        <w:rPr>
          <w:rFonts w:cs="Arial"/>
        </w:rPr>
      </w:pPr>
      <w:r w:rsidRPr="00CB0C0A">
        <w:rPr>
          <w:rFonts w:cs="Arial"/>
        </w:rPr>
        <w:t>sauvegarder automatiquement les données et documents ;</w:t>
      </w:r>
    </w:p>
    <w:p w14:paraId="42C82D2C" w14:textId="4AFC7CCA" w:rsidR="00CB0C0A" w:rsidRPr="00953A5B" w:rsidRDefault="00CB0C0A" w:rsidP="00953A5B">
      <w:pPr>
        <w:pStyle w:val="Paragraphedeliste"/>
        <w:numPr>
          <w:ilvl w:val="0"/>
          <w:numId w:val="3"/>
        </w:numPr>
        <w:rPr>
          <w:rFonts w:cs="Arial"/>
        </w:rPr>
      </w:pPr>
      <w:r w:rsidRPr="00CB0C0A">
        <w:rPr>
          <w:rFonts w:cs="Arial"/>
        </w:rPr>
        <w:t>pouvoir définir et organiser la destination finale des données et documents</w:t>
      </w:r>
      <w:r>
        <w:rPr>
          <w:rFonts w:cs="Arial"/>
        </w:rPr>
        <w:t xml:space="preserve"> : </w:t>
      </w:r>
      <w:r w:rsidRPr="00CB0C0A">
        <w:rPr>
          <w:rFonts w:cs="Arial"/>
        </w:rPr>
        <w:t>purge,</w:t>
      </w:r>
      <w:r w:rsidR="00953A5B">
        <w:rPr>
          <w:rFonts w:cs="Arial"/>
        </w:rPr>
        <w:t xml:space="preserve"> </w:t>
      </w:r>
      <w:r w:rsidRPr="00953A5B">
        <w:rPr>
          <w:rFonts w:cs="Arial"/>
        </w:rPr>
        <w:t>destruction et archivage numérique ;</w:t>
      </w:r>
    </w:p>
    <w:p w14:paraId="1479BF10" w14:textId="3ACC69B6" w:rsidR="00CB0C0A" w:rsidRPr="00CB0C0A" w:rsidRDefault="00CB0C0A" w:rsidP="006B51B4">
      <w:pPr>
        <w:pStyle w:val="Paragraphedeliste"/>
        <w:numPr>
          <w:ilvl w:val="0"/>
          <w:numId w:val="3"/>
        </w:numPr>
        <w:rPr>
          <w:rFonts w:cs="Arial"/>
        </w:rPr>
      </w:pPr>
      <w:r w:rsidRPr="00CB0C0A">
        <w:rPr>
          <w:rFonts w:cs="Arial"/>
        </w:rPr>
        <w:t xml:space="preserve">améliorer la circulation et le suivi de l’information </w:t>
      </w:r>
      <w:r w:rsidR="00221A74">
        <w:rPr>
          <w:rFonts w:cs="Arial"/>
        </w:rPr>
        <w:t xml:space="preserve">en interne à la </w:t>
      </w:r>
      <w:r w:rsidRPr="00CB0C0A">
        <w:rPr>
          <w:rFonts w:cs="Arial"/>
        </w:rPr>
        <w:t>CNCCFP et avec les acteurs externes ;</w:t>
      </w:r>
    </w:p>
    <w:p w14:paraId="1DA386A1" w14:textId="43ADB3AE" w:rsidR="00CB0C0A" w:rsidRPr="00CB0C0A" w:rsidRDefault="00CB0C0A" w:rsidP="006B51B4">
      <w:pPr>
        <w:pStyle w:val="Paragraphedeliste"/>
        <w:numPr>
          <w:ilvl w:val="0"/>
          <w:numId w:val="3"/>
        </w:numPr>
        <w:rPr>
          <w:rFonts w:cs="Arial"/>
        </w:rPr>
      </w:pPr>
      <w:r w:rsidRPr="00CB0C0A">
        <w:rPr>
          <w:rFonts w:cs="Arial"/>
        </w:rPr>
        <w:t>réaliser le traitement des dossiers et notamment les phases de contrôle de manière assisté</w:t>
      </w:r>
      <w:r w:rsidR="00221A74">
        <w:rPr>
          <w:rFonts w:cs="Arial"/>
        </w:rPr>
        <w:t>e</w:t>
      </w:r>
      <w:r w:rsidR="00953A5B">
        <w:rPr>
          <w:rFonts w:cs="Arial"/>
        </w:rPr>
        <w:t xml:space="preserve"> et</w:t>
      </w:r>
      <w:r>
        <w:rPr>
          <w:rFonts w:cs="Arial"/>
        </w:rPr>
        <w:t xml:space="preserve"> </w:t>
      </w:r>
      <w:r w:rsidRPr="00CB0C0A">
        <w:rPr>
          <w:rFonts w:cs="Arial"/>
        </w:rPr>
        <w:t>automatisé</w:t>
      </w:r>
      <w:r w:rsidR="00221A74">
        <w:rPr>
          <w:rFonts w:cs="Arial"/>
        </w:rPr>
        <w:t>e</w:t>
      </w:r>
      <w:r w:rsidRPr="00CB0C0A">
        <w:rPr>
          <w:rFonts w:cs="Arial"/>
        </w:rPr>
        <w:t xml:space="preserve"> ;</w:t>
      </w:r>
    </w:p>
    <w:p w14:paraId="53101737" w14:textId="4F004076" w:rsidR="00953A5B" w:rsidRDefault="00CB0C0A" w:rsidP="006B51B4">
      <w:pPr>
        <w:pStyle w:val="Paragraphedeliste"/>
        <w:numPr>
          <w:ilvl w:val="0"/>
          <w:numId w:val="3"/>
        </w:numPr>
        <w:rPr>
          <w:rFonts w:cs="Arial"/>
        </w:rPr>
      </w:pPr>
      <w:r w:rsidRPr="00CB0C0A">
        <w:rPr>
          <w:rFonts w:cs="Arial"/>
        </w:rPr>
        <w:t xml:space="preserve">générer des documents pour </w:t>
      </w:r>
      <w:r w:rsidR="003B0716">
        <w:rPr>
          <w:rFonts w:cs="Arial"/>
        </w:rPr>
        <w:t xml:space="preserve">la </w:t>
      </w:r>
      <w:r w:rsidRPr="00CB0C0A">
        <w:rPr>
          <w:rFonts w:cs="Arial"/>
        </w:rPr>
        <w:t>prise de décision</w:t>
      </w:r>
      <w:r w:rsidR="00221A74">
        <w:rPr>
          <w:rFonts w:cs="Arial"/>
        </w:rPr>
        <w:t> ;</w:t>
      </w:r>
    </w:p>
    <w:p w14:paraId="2570A2B6" w14:textId="20AE5899" w:rsidR="00CB0C0A" w:rsidRPr="00CB0C0A" w:rsidRDefault="00953A5B" w:rsidP="006B51B4">
      <w:pPr>
        <w:pStyle w:val="Paragraphedeliste"/>
        <w:numPr>
          <w:ilvl w:val="0"/>
          <w:numId w:val="3"/>
        </w:numPr>
        <w:rPr>
          <w:rFonts w:cs="Arial"/>
        </w:rPr>
      </w:pPr>
      <w:r>
        <w:rPr>
          <w:rFonts w:cs="Arial"/>
        </w:rPr>
        <w:t xml:space="preserve">gérer les agendas de séance pour les </w:t>
      </w:r>
      <w:r w:rsidR="00CB0C0A" w:rsidRPr="00CB0C0A">
        <w:rPr>
          <w:rFonts w:cs="Arial"/>
        </w:rPr>
        <w:t>passage</w:t>
      </w:r>
      <w:r>
        <w:rPr>
          <w:rFonts w:cs="Arial"/>
        </w:rPr>
        <w:t>s</w:t>
      </w:r>
      <w:r w:rsidR="00CB0C0A" w:rsidRPr="00CB0C0A">
        <w:rPr>
          <w:rFonts w:cs="Arial"/>
        </w:rPr>
        <w:t xml:space="preserve"> en commission ;</w:t>
      </w:r>
    </w:p>
    <w:p w14:paraId="6D1ED9E2" w14:textId="77777777" w:rsidR="00CB0C0A" w:rsidRPr="00CB0C0A" w:rsidRDefault="00CB0C0A" w:rsidP="006B51B4">
      <w:pPr>
        <w:pStyle w:val="Paragraphedeliste"/>
        <w:numPr>
          <w:ilvl w:val="0"/>
          <w:numId w:val="3"/>
        </w:numPr>
        <w:rPr>
          <w:rFonts w:cs="Arial"/>
        </w:rPr>
      </w:pPr>
      <w:r w:rsidRPr="00CB0C0A">
        <w:rPr>
          <w:rFonts w:cs="Arial"/>
        </w:rPr>
        <w:t>faciliter la communication et la publication des comptes et des données après anonymisation ;</w:t>
      </w:r>
    </w:p>
    <w:p w14:paraId="5399B507" w14:textId="57B5C46F" w:rsidR="00CB0C0A" w:rsidRPr="00CB0C0A" w:rsidRDefault="00CB0C0A" w:rsidP="006B51B4">
      <w:pPr>
        <w:pStyle w:val="Paragraphedeliste"/>
        <w:numPr>
          <w:ilvl w:val="0"/>
          <w:numId w:val="3"/>
        </w:numPr>
        <w:rPr>
          <w:rFonts w:cs="Arial"/>
        </w:rPr>
      </w:pPr>
      <w:r w:rsidRPr="00CB0C0A">
        <w:rPr>
          <w:rFonts w:cs="Arial"/>
        </w:rPr>
        <w:t>permettre l’historisation du traitement d</w:t>
      </w:r>
      <w:r w:rsidR="003B0716">
        <w:rPr>
          <w:rFonts w:cs="Arial"/>
        </w:rPr>
        <w:t>es</w:t>
      </w:r>
      <w:r w:rsidRPr="00CB0C0A">
        <w:rPr>
          <w:rFonts w:cs="Arial"/>
        </w:rPr>
        <w:t xml:space="preserve"> compte</w:t>
      </w:r>
      <w:r w:rsidR="003B0716">
        <w:rPr>
          <w:rFonts w:cs="Arial"/>
        </w:rPr>
        <w:t>s</w:t>
      </w:r>
      <w:r w:rsidRPr="00CB0C0A">
        <w:rPr>
          <w:rFonts w:cs="Arial"/>
        </w:rPr>
        <w:t xml:space="preserve"> ;</w:t>
      </w:r>
    </w:p>
    <w:p w14:paraId="4AC2A62F" w14:textId="4C3658EA" w:rsidR="00CB0C0A" w:rsidRPr="00CB0C0A" w:rsidRDefault="00CB0C0A" w:rsidP="006B51B4">
      <w:pPr>
        <w:pStyle w:val="Paragraphedeliste"/>
        <w:numPr>
          <w:ilvl w:val="0"/>
          <w:numId w:val="3"/>
        </w:numPr>
        <w:rPr>
          <w:rFonts w:cs="Arial"/>
        </w:rPr>
      </w:pPr>
      <w:r w:rsidRPr="00CB0C0A">
        <w:rPr>
          <w:rFonts w:cs="Arial"/>
        </w:rPr>
        <w:t>valoriser l’exploitation de</w:t>
      </w:r>
      <w:r w:rsidR="00221A74">
        <w:rPr>
          <w:rFonts w:cs="Arial"/>
        </w:rPr>
        <w:t>s</w:t>
      </w:r>
      <w:r w:rsidRPr="00CB0C0A">
        <w:rPr>
          <w:rFonts w:cs="Arial"/>
        </w:rPr>
        <w:t xml:space="preserve"> données ;</w:t>
      </w:r>
    </w:p>
    <w:p w14:paraId="286E2E58" w14:textId="77777777" w:rsidR="00CB0C0A" w:rsidRPr="00CB0C0A" w:rsidRDefault="00CB0C0A" w:rsidP="006B51B4">
      <w:pPr>
        <w:pStyle w:val="Paragraphedeliste"/>
        <w:numPr>
          <w:ilvl w:val="0"/>
          <w:numId w:val="3"/>
        </w:numPr>
        <w:rPr>
          <w:rFonts w:cs="Arial"/>
        </w:rPr>
      </w:pPr>
      <w:r w:rsidRPr="00CB0C0A">
        <w:rPr>
          <w:rFonts w:cs="Arial"/>
        </w:rPr>
        <w:t>gérer des flux de travail de validation de documents ;</w:t>
      </w:r>
    </w:p>
    <w:p w14:paraId="25F4B492" w14:textId="31F29F51" w:rsidR="00CB0C0A" w:rsidRPr="00CB0C0A" w:rsidRDefault="00CB0C0A" w:rsidP="006B51B4">
      <w:pPr>
        <w:pStyle w:val="Paragraphedeliste"/>
        <w:numPr>
          <w:ilvl w:val="0"/>
          <w:numId w:val="3"/>
        </w:numPr>
        <w:rPr>
          <w:rFonts w:cs="Arial"/>
        </w:rPr>
      </w:pPr>
      <w:r w:rsidRPr="00CB0C0A">
        <w:rPr>
          <w:rFonts w:cs="Arial"/>
        </w:rPr>
        <w:t>permettre le travail à distance</w:t>
      </w:r>
      <w:r w:rsidR="00953A5B">
        <w:rPr>
          <w:rFonts w:cs="Arial"/>
        </w:rPr>
        <w:t xml:space="preserve"> de manière sécurisé</w:t>
      </w:r>
      <w:r w:rsidR="00221A74">
        <w:rPr>
          <w:rFonts w:cs="Arial"/>
        </w:rPr>
        <w:t>e</w:t>
      </w:r>
      <w:r w:rsidRPr="00CB0C0A">
        <w:rPr>
          <w:rFonts w:cs="Arial"/>
        </w:rPr>
        <w:t xml:space="preserve"> ;</w:t>
      </w:r>
    </w:p>
    <w:p w14:paraId="37C00D45" w14:textId="77777777" w:rsidR="00CB0C0A" w:rsidRPr="00CB0C0A" w:rsidRDefault="00CB0C0A" w:rsidP="006B51B4">
      <w:pPr>
        <w:pStyle w:val="Paragraphedeliste"/>
        <w:numPr>
          <w:ilvl w:val="0"/>
          <w:numId w:val="3"/>
        </w:numPr>
        <w:rPr>
          <w:rFonts w:cs="Arial"/>
        </w:rPr>
      </w:pPr>
      <w:r w:rsidRPr="00CB0C0A">
        <w:rPr>
          <w:rFonts w:cs="Arial"/>
        </w:rPr>
        <w:t>normaliser la présentation des comptes ;</w:t>
      </w:r>
    </w:p>
    <w:p w14:paraId="5DC9EDCD" w14:textId="5E3EC70A" w:rsidR="00CB0C0A" w:rsidRPr="00CB0C0A" w:rsidRDefault="00CB0C0A" w:rsidP="006B51B4">
      <w:pPr>
        <w:pStyle w:val="Paragraphedeliste"/>
        <w:numPr>
          <w:ilvl w:val="0"/>
          <w:numId w:val="3"/>
        </w:numPr>
        <w:rPr>
          <w:rFonts w:cs="Arial"/>
        </w:rPr>
      </w:pPr>
      <w:r w:rsidRPr="00CB0C0A">
        <w:rPr>
          <w:rFonts w:cs="Arial"/>
        </w:rPr>
        <w:t xml:space="preserve">faciliter la recherche </w:t>
      </w:r>
      <w:r w:rsidR="001A7492">
        <w:rPr>
          <w:rFonts w:cs="Arial"/>
        </w:rPr>
        <w:t xml:space="preserve">d’information et </w:t>
      </w:r>
      <w:r w:rsidRPr="00CB0C0A">
        <w:rPr>
          <w:rFonts w:cs="Arial"/>
        </w:rPr>
        <w:t>de documents ;</w:t>
      </w:r>
    </w:p>
    <w:p w14:paraId="26B4B43B" w14:textId="733DC0CB" w:rsidR="00190B96" w:rsidRPr="00CB0C0A" w:rsidRDefault="00CB0C0A" w:rsidP="006B51B4">
      <w:pPr>
        <w:pStyle w:val="Paragraphedeliste"/>
        <w:numPr>
          <w:ilvl w:val="0"/>
          <w:numId w:val="3"/>
        </w:numPr>
        <w:rPr>
          <w:rFonts w:cs="Arial"/>
        </w:rPr>
      </w:pPr>
      <w:r w:rsidRPr="00CB0C0A">
        <w:rPr>
          <w:rFonts w:cs="Arial"/>
        </w:rPr>
        <w:t xml:space="preserve">réduire </w:t>
      </w:r>
      <w:r w:rsidR="00953A5B">
        <w:rPr>
          <w:rFonts w:cs="Arial"/>
        </w:rPr>
        <w:t xml:space="preserve">drastiquement </w:t>
      </w:r>
      <w:r w:rsidRPr="00CB0C0A">
        <w:rPr>
          <w:rFonts w:cs="Arial"/>
        </w:rPr>
        <w:t xml:space="preserve">la volumétrie papier et </w:t>
      </w:r>
      <w:r w:rsidR="003B0716">
        <w:rPr>
          <w:rFonts w:cs="Arial"/>
        </w:rPr>
        <w:t>les coûts liés à la logistique</w:t>
      </w:r>
      <w:r w:rsidRPr="00CB0C0A">
        <w:rPr>
          <w:rFonts w:cs="Arial"/>
        </w:rPr>
        <w:t>.</w:t>
      </w:r>
    </w:p>
    <w:p w14:paraId="7D72FE57" w14:textId="77777777" w:rsidR="00CB0C0A" w:rsidRDefault="00CB0C0A" w:rsidP="001356E3">
      <w:pPr>
        <w:rPr>
          <w:rFonts w:cs="Arial"/>
        </w:rPr>
      </w:pPr>
    </w:p>
    <w:p w14:paraId="3F9457AD" w14:textId="231A3039" w:rsidR="00CB0C0A" w:rsidRPr="00CB0C0A" w:rsidRDefault="006D4E2A" w:rsidP="00CB0C0A">
      <w:pPr>
        <w:rPr>
          <w:rFonts w:cs="Arial"/>
        </w:rPr>
      </w:pPr>
      <w:r>
        <w:rPr>
          <w:rFonts w:cs="Arial"/>
        </w:rPr>
        <w:t xml:space="preserve">Les </w:t>
      </w:r>
      <w:r w:rsidRPr="00A13E81">
        <w:rPr>
          <w:rFonts w:cs="Arial"/>
          <w:b/>
        </w:rPr>
        <w:t xml:space="preserve">enjeux </w:t>
      </w:r>
      <w:r w:rsidR="003B0716" w:rsidRPr="00A13E81">
        <w:rPr>
          <w:rFonts w:cs="Arial"/>
          <w:b/>
        </w:rPr>
        <w:t>internes</w:t>
      </w:r>
      <w:r w:rsidR="003B0716">
        <w:rPr>
          <w:rFonts w:cs="Arial"/>
        </w:rPr>
        <w:t xml:space="preserve"> </w:t>
      </w:r>
      <w:r>
        <w:rPr>
          <w:rFonts w:cs="Arial"/>
        </w:rPr>
        <w:t xml:space="preserve">sont également </w:t>
      </w:r>
      <w:r w:rsidR="003B0716">
        <w:rPr>
          <w:rFonts w:cs="Arial"/>
        </w:rPr>
        <w:t xml:space="preserve">forts s’agissant du </w:t>
      </w:r>
      <w:r w:rsidR="003B0716" w:rsidRPr="00A13E81">
        <w:rPr>
          <w:rFonts w:cs="Arial"/>
          <w:b/>
        </w:rPr>
        <w:t>pilotage du projet</w:t>
      </w:r>
      <w:r>
        <w:rPr>
          <w:rFonts w:cs="Arial"/>
        </w:rPr>
        <w:t xml:space="preserve"> pour les services informatiques de la commission </w:t>
      </w:r>
      <w:r w:rsidR="003B0716">
        <w:rPr>
          <w:rFonts w:cs="Arial"/>
        </w:rPr>
        <w:t xml:space="preserve">(SSIS) </w:t>
      </w:r>
      <w:r>
        <w:rPr>
          <w:rFonts w:cs="Arial"/>
        </w:rPr>
        <w:t xml:space="preserve">et sont les suivants </w:t>
      </w:r>
      <w:r w:rsidR="00CB0C0A" w:rsidRPr="00CB0C0A">
        <w:rPr>
          <w:rFonts w:cs="Arial"/>
        </w:rPr>
        <w:t>:</w:t>
      </w:r>
    </w:p>
    <w:p w14:paraId="38F45C4B" w14:textId="6B240CB2" w:rsidR="003419BB" w:rsidRDefault="003419BB" w:rsidP="00691395">
      <w:pPr>
        <w:pStyle w:val="Paragraphedeliste"/>
        <w:rPr>
          <w:rFonts w:cs="Arial"/>
        </w:rPr>
      </w:pPr>
    </w:p>
    <w:p w14:paraId="118577ED" w14:textId="4ECE096F" w:rsidR="00CB0C0A" w:rsidRPr="00CB0C0A" w:rsidRDefault="00CB0C0A" w:rsidP="006B51B4">
      <w:pPr>
        <w:pStyle w:val="Paragraphedeliste"/>
        <w:numPr>
          <w:ilvl w:val="0"/>
          <w:numId w:val="4"/>
        </w:numPr>
        <w:rPr>
          <w:rFonts w:cs="Arial"/>
        </w:rPr>
      </w:pPr>
      <w:r w:rsidRPr="00CB0C0A">
        <w:rPr>
          <w:rFonts w:cs="Arial"/>
        </w:rPr>
        <w:t>offr</w:t>
      </w:r>
      <w:r w:rsidR="006D4E2A">
        <w:rPr>
          <w:rFonts w:cs="Arial"/>
        </w:rPr>
        <w:t>ir</w:t>
      </w:r>
      <w:r w:rsidRPr="00CB0C0A">
        <w:rPr>
          <w:rFonts w:cs="Arial"/>
        </w:rPr>
        <w:t xml:space="preserve"> de hauts niveaux de service de manière pérenne (performances, disponibilité, sécurité, traçabilité, qualité...) ;</w:t>
      </w:r>
    </w:p>
    <w:p w14:paraId="485667EF" w14:textId="785FF73B" w:rsidR="00CB0C0A" w:rsidRPr="00CB0C0A" w:rsidRDefault="00CB0C0A" w:rsidP="006B51B4">
      <w:pPr>
        <w:pStyle w:val="Paragraphedeliste"/>
        <w:numPr>
          <w:ilvl w:val="0"/>
          <w:numId w:val="4"/>
        </w:numPr>
        <w:rPr>
          <w:rFonts w:cs="Arial"/>
        </w:rPr>
      </w:pPr>
      <w:r w:rsidRPr="00CB0C0A">
        <w:rPr>
          <w:rFonts w:cs="Arial"/>
        </w:rPr>
        <w:t>assur</w:t>
      </w:r>
      <w:r w:rsidR="006D4E2A">
        <w:rPr>
          <w:rFonts w:cs="Arial"/>
        </w:rPr>
        <w:t>er</w:t>
      </w:r>
      <w:r w:rsidRPr="00CB0C0A">
        <w:rPr>
          <w:rFonts w:cs="Arial"/>
        </w:rPr>
        <w:t xml:space="preserve"> une industrialisation forte des fonctions nécessaires au titre du maintien en condition opérationnelle</w:t>
      </w:r>
      <w:r w:rsidR="001E5583">
        <w:rPr>
          <w:rFonts w:cs="Arial"/>
        </w:rPr>
        <w:t>,</w:t>
      </w:r>
      <w:r w:rsidRPr="00CB0C0A">
        <w:rPr>
          <w:rFonts w:cs="Arial"/>
        </w:rPr>
        <w:t xml:space="preserve"> en cohérence avec la volumétrie des documents transitant par la plateforme (supervision, métrologie, </w:t>
      </w:r>
      <w:r w:rsidR="00D32FEC">
        <w:rPr>
          <w:rFonts w:cs="Arial"/>
        </w:rPr>
        <w:t>flexibilité de dimensionnement,</w:t>
      </w:r>
      <w:r w:rsidR="00D32FEC" w:rsidRPr="00CB0C0A">
        <w:rPr>
          <w:rFonts w:cs="Arial"/>
        </w:rPr>
        <w:t xml:space="preserve"> </w:t>
      </w:r>
      <w:r w:rsidRPr="00CB0C0A">
        <w:rPr>
          <w:rFonts w:cs="Arial"/>
        </w:rPr>
        <w:t>support, etc.) ;</w:t>
      </w:r>
    </w:p>
    <w:p w14:paraId="35DE1570" w14:textId="45CBFEA3" w:rsidR="00CB0C0A" w:rsidRPr="00CB0C0A" w:rsidRDefault="00CB0C0A" w:rsidP="006B51B4">
      <w:pPr>
        <w:pStyle w:val="Paragraphedeliste"/>
        <w:numPr>
          <w:ilvl w:val="0"/>
          <w:numId w:val="4"/>
        </w:numPr>
        <w:rPr>
          <w:rFonts w:cs="Arial"/>
        </w:rPr>
      </w:pPr>
      <w:r w:rsidRPr="00CB0C0A">
        <w:rPr>
          <w:rFonts w:cs="Arial"/>
        </w:rPr>
        <w:t>simplifi</w:t>
      </w:r>
      <w:r w:rsidR="006D4E2A">
        <w:rPr>
          <w:rFonts w:cs="Arial"/>
        </w:rPr>
        <w:t>er</w:t>
      </w:r>
      <w:r w:rsidRPr="00CB0C0A">
        <w:rPr>
          <w:rFonts w:cs="Arial"/>
        </w:rPr>
        <w:t xml:space="preserve"> et amélior</w:t>
      </w:r>
      <w:r w:rsidR="006D4E2A">
        <w:rPr>
          <w:rFonts w:cs="Arial"/>
        </w:rPr>
        <w:t xml:space="preserve">er </w:t>
      </w:r>
      <w:r w:rsidRPr="00CB0C0A">
        <w:rPr>
          <w:rFonts w:cs="Arial"/>
        </w:rPr>
        <w:t xml:space="preserve">l’efficience des processus tant pour les utilisateurs externes à la Commission (candidat, représentant de partis politiques, mandataire etc.) que pour les </w:t>
      </w:r>
      <w:r w:rsidR="00953A5B">
        <w:rPr>
          <w:rFonts w:cs="Arial"/>
        </w:rPr>
        <w:t xml:space="preserve">utilisateurs et </w:t>
      </w:r>
      <w:r w:rsidRPr="00CB0C0A">
        <w:rPr>
          <w:rFonts w:cs="Arial"/>
        </w:rPr>
        <w:t>agents de la Commission ;</w:t>
      </w:r>
    </w:p>
    <w:p w14:paraId="23E94CD2" w14:textId="3DF48BC8" w:rsidR="00CB0C0A" w:rsidRPr="00CB0C0A" w:rsidRDefault="00CB0C0A" w:rsidP="006B51B4">
      <w:pPr>
        <w:pStyle w:val="Paragraphedeliste"/>
        <w:numPr>
          <w:ilvl w:val="0"/>
          <w:numId w:val="4"/>
        </w:numPr>
        <w:rPr>
          <w:rFonts w:cs="Arial"/>
        </w:rPr>
      </w:pPr>
      <w:r w:rsidRPr="00CB0C0A">
        <w:rPr>
          <w:rFonts w:cs="Arial"/>
        </w:rPr>
        <w:t>s’intégr</w:t>
      </w:r>
      <w:r w:rsidR="006D4E2A">
        <w:rPr>
          <w:rFonts w:cs="Arial"/>
        </w:rPr>
        <w:t>er</w:t>
      </w:r>
      <w:r w:rsidRPr="00CB0C0A">
        <w:rPr>
          <w:rFonts w:cs="Arial"/>
        </w:rPr>
        <w:t xml:space="preserve"> avec </w:t>
      </w:r>
      <w:r w:rsidR="00D32FEC">
        <w:rPr>
          <w:rFonts w:cs="Arial"/>
        </w:rPr>
        <w:t>d’a</w:t>
      </w:r>
      <w:r w:rsidRPr="00CB0C0A">
        <w:rPr>
          <w:rFonts w:cs="Arial"/>
        </w:rPr>
        <w:t>utres systèmes d’information ;</w:t>
      </w:r>
    </w:p>
    <w:p w14:paraId="4834D3AE" w14:textId="709F9769" w:rsidR="00CB0C0A" w:rsidRDefault="00DD576A" w:rsidP="006B51B4">
      <w:pPr>
        <w:pStyle w:val="Paragraphedeliste"/>
        <w:numPr>
          <w:ilvl w:val="0"/>
          <w:numId w:val="4"/>
        </w:numPr>
        <w:rPr>
          <w:rFonts w:cs="Arial"/>
        </w:rPr>
      </w:pPr>
      <w:r>
        <w:rPr>
          <w:rFonts w:cs="Arial"/>
        </w:rPr>
        <w:t xml:space="preserve">garantir </w:t>
      </w:r>
      <w:r w:rsidR="00C46A54">
        <w:rPr>
          <w:rFonts w:cs="Arial"/>
        </w:rPr>
        <w:t xml:space="preserve">la maîtrise des coûts globaux d’investissement </w:t>
      </w:r>
      <w:r w:rsidR="00CB0C0A" w:rsidRPr="004A7AA5">
        <w:rPr>
          <w:rFonts w:cs="Arial"/>
        </w:rPr>
        <w:t xml:space="preserve"> (construction, déploiement</w:t>
      </w:r>
      <w:r w:rsidR="004A7AA5">
        <w:rPr>
          <w:rFonts w:cs="Arial"/>
        </w:rPr>
        <w:t xml:space="preserve"> </w:t>
      </w:r>
      <w:r w:rsidR="00CB0C0A" w:rsidRPr="004A7AA5">
        <w:rPr>
          <w:rFonts w:cs="Arial"/>
        </w:rPr>
        <w:t xml:space="preserve">auprès des utilisateurs, etc.) </w:t>
      </w:r>
      <w:r w:rsidR="00C46A54">
        <w:rPr>
          <w:rFonts w:cs="Arial"/>
        </w:rPr>
        <w:t xml:space="preserve">et de fonctionnement </w:t>
      </w:r>
      <w:r w:rsidR="00CB0C0A" w:rsidRPr="004A7AA5">
        <w:rPr>
          <w:rFonts w:cs="Arial"/>
        </w:rPr>
        <w:t xml:space="preserve"> (exploitation, maintien en condition opérationnelle, support, adaptations liées à la réglementation</w:t>
      </w:r>
      <w:r w:rsidR="00D32FEC">
        <w:rPr>
          <w:rFonts w:cs="Arial"/>
        </w:rPr>
        <w:t xml:space="preserve"> et aux pics d’activité</w:t>
      </w:r>
      <w:r w:rsidR="00CB0C0A" w:rsidRPr="004A7AA5">
        <w:rPr>
          <w:rFonts w:cs="Arial"/>
        </w:rPr>
        <w:t>, etc.).</w:t>
      </w:r>
    </w:p>
    <w:p w14:paraId="0BDA04EA" w14:textId="1D1DA4B9" w:rsidR="003B0716" w:rsidRPr="004A7AA5" w:rsidRDefault="003B0716" w:rsidP="006B51B4">
      <w:pPr>
        <w:pStyle w:val="Paragraphedeliste"/>
        <w:numPr>
          <w:ilvl w:val="0"/>
          <w:numId w:val="4"/>
        </w:numPr>
        <w:rPr>
          <w:rFonts w:cs="Arial"/>
        </w:rPr>
      </w:pPr>
      <w:r>
        <w:rPr>
          <w:rFonts w:cs="Arial"/>
        </w:rPr>
        <w:t>garantir la réversibilité de l’application.</w:t>
      </w:r>
    </w:p>
    <w:p w14:paraId="2DA98750" w14:textId="77777777" w:rsidR="00CB0C0A" w:rsidRDefault="00CB0C0A" w:rsidP="00CB0C0A">
      <w:pPr>
        <w:rPr>
          <w:rFonts w:cs="Arial"/>
        </w:rPr>
      </w:pPr>
    </w:p>
    <w:p w14:paraId="5BB8DE61" w14:textId="2035120E" w:rsidR="00CB0C0A" w:rsidRDefault="00CB0C0A" w:rsidP="00CB0C0A">
      <w:pPr>
        <w:rPr>
          <w:rFonts w:cs="Arial"/>
        </w:rPr>
      </w:pPr>
      <w:r w:rsidRPr="00CB0C0A">
        <w:rPr>
          <w:rFonts w:cs="Arial"/>
        </w:rPr>
        <w:t xml:space="preserve">Compte tenu du périmètre </w:t>
      </w:r>
      <w:r w:rsidR="006D4E2A">
        <w:rPr>
          <w:rFonts w:cs="Arial"/>
        </w:rPr>
        <w:t xml:space="preserve">dimensionnant du projet pour la CNCCFP, </w:t>
      </w:r>
      <w:r w:rsidRPr="00CB0C0A">
        <w:rPr>
          <w:rFonts w:cs="Arial"/>
        </w:rPr>
        <w:t xml:space="preserve">de </w:t>
      </w:r>
      <w:r w:rsidR="006D4E2A">
        <w:rPr>
          <w:rFonts w:cs="Arial"/>
        </w:rPr>
        <w:t>l</w:t>
      </w:r>
      <w:r w:rsidR="00FC3707">
        <w:rPr>
          <w:rFonts w:cs="Arial"/>
        </w:rPr>
        <w:t>a sensibilité</w:t>
      </w:r>
      <w:r w:rsidR="006D4E2A">
        <w:rPr>
          <w:rFonts w:cs="Arial"/>
        </w:rPr>
        <w:t xml:space="preserve"> des dossiers traités et du calendrier impératif des deux premiers paliers de développement</w:t>
      </w:r>
      <w:r w:rsidR="00FC3707">
        <w:rPr>
          <w:rFonts w:cs="Arial"/>
        </w:rPr>
        <w:t xml:space="preserve">, </w:t>
      </w:r>
      <w:r w:rsidR="006D4E2A">
        <w:rPr>
          <w:rFonts w:cs="Arial"/>
        </w:rPr>
        <w:t>il est attendu</w:t>
      </w:r>
      <w:r w:rsidRPr="00CB0C0A">
        <w:rPr>
          <w:rFonts w:cs="Arial"/>
        </w:rPr>
        <w:t xml:space="preserve"> </w:t>
      </w:r>
      <w:r w:rsidR="006D4E2A">
        <w:rPr>
          <w:rFonts w:cs="Arial"/>
        </w:rPr>
        <w:t xml:space="preserve">du titulaire </w:t>
      </w:r>
      <w:r w:rsidRPr="00CB0C0A">
        <w:rPr>
          <w:rFonts w:cs="Arial"/>
        </w:rPr>
        <w:t xml:space="preserve">une </w:t>
      </w:r>
      <w:r w:rsidRPr="00A13E81">
        <w:rPr>
          <w:rFonts w:cs="Arial"/>
          <w:b/>
        </w:rPr>
        <w:t>expérience significative</w:t>
      </w:r>
      <w:r w:rsidRPr="00CB0C0A">
        <w:rPr>
          <w:rFonts w:cs="Arial"/>
        </w:rPr>
        <w:t xml:space="preserve"> tant technique que juridique </w:t>
      </w:r>
      <w:r w:rsidR="00F8031C">
        <w:rPr>
          <w:rFonts w:cs="Arial"/>
        </w:rPr>
        <w:t xml:space="preserve">dans la gestion des documents et </w:t>
      </w:r>
      <w:r w:rsidRPr="00CB0C0A">
        <w:rPr>
          <w:rFonts w:cs="Arial"/>
        </w:rPr>
        <w:t xml:space="preserve">dans la dématérialisation des pièces </w:t>
      </w:r>
      <w:r w:rsidR="00FC3707">
        <w:rPr>
          <w:rFonts w:cs="Arial"/>
        </w:rPr>
        <w:t xml:space="preserve">et des procédures </w:t>
      </w:r>
      <w:r w:rsidRPr="00CB0C0A">
        <w:rPr>
          <w:rFonts w:cs="Arial"/>
        </w:rPr>
        <w:t>dans le secteur public</w:t>
      </w:r>
      <w:r w:rsidR="006D4E2A">
        <w:rPr>
          <w:rFonts w:cs="Arial"/>
        </w:rPr>
        <w:t xml:space="preserve"> et une </w:t>
      </w:r>
      <w:r w:rsidR="006D4E2A" w:rsidRPr="00A13E81">
        <w:rPr>
          <w:rFonts w:cs="Arial"/>
          <w:b/>
        </w:rPr>
        <w:t>transparence totale entre les équipes du titulaire et de la Commission lors des phases de développement</w:t>
      </w:r>
      <w:r w:rsidR="006D4E2A">
        <w:rPr>
          <w:rFonts w:cs="Arial"/>
        </w:rPr>
        <w:t xml:space="preserve"> pour garantir un pilotage souple</w:t>
      </w:r>
      <w:r w:rsidR="003B0716">
        <w:rPr>
          <w:rFonts w:cs="Arial"/>
        </w:rPr>
        <w:t xml:space="preserve">, </w:t>
      </w:r>
      <w:r w:rsidR="003C3367">
        <w:rPr>
          <w:rFonts w:cs="Arial"/>
        </w:rPr>
        <w:t xml:space="preserve">réactif </w:t>
      </w:r>
      <w:r w:rsidR="006D4E2A">
        <w:rPr>
          <w:rFonts w:cs="Arial"/>
        </w:rPr>
        <w:t>et des arbitrages rapides.</w:t>
      </w:r>
    </w:p>
    <w:p w14:paraId="2F02688C" w14:textId="77777777" w:rsidR="0042596E" w:rsidRPr="00CB0C0A" w:rsidRDefault="0042596E" w:rsidP="00CB0C0A">
      <w:pPr>
        <w:rPr>
          <w:rFonts w:cs="Arial"/>
        </w:rPr>
      </w:pPr>
    </w:p>
    <w:p w14:paraId="23417080" w14:textId="77777777" w:rsidR="00B82B77" w:rsidRDefault="00B82B77" w:rsidP="00B82B77">
      <w:pPr>
        <w:pStyle w:val="Titre1"/>
      </w:pPr>
      <w:bookmarkStart w:id="22" w:name="_Toc218550074"/>
      <w:bookmarkStart w:id="23" w:name="_Toc218550529"/>
      <w:bookmarkStart w:id="24" w:name="_Toc218550075"/>
      <w:bookmarkStart w:id="25" w:name="_Toc218550530"/>
      <w:bookmarkStart w:id="26" w:name="_Toc218550076"/>
      <w:bookmarkStart w:id="27" w:name="_Toc218550531"/>
      <w:bookmarkStart w:id="28" w:name="_Toc218550077"/>
      <w:bookmarkStart w:id="29" w:name="_Toc218550532"/>
      <w:bookmarkStart w:id="30" w:name="_Toc218550131"/>
      <w:bookmarkStart w:id="31" w:name="_Toc218550586"/>
      <w:bookmarkStart w:id="32" w:name="_Toc218852540"/>
      <w:bookmarkStart w:id="33" w:name="_Toc218852698"/>
      <w:bookmarkStart w:id="34" w:name="_Toc218852541"/>
      <w:bookmarkStart w:id="35" w:name="_Toc218852699"/>
      <w:bookmarkStart w:id="36" w:name="_Toc218852542"/>
      <w:bookmarkStart w:id="37" w:name="_Toc218852700"/>
      <w:bookmarkStart w:id="38" w:name="_Toc218852543"/>
      <w:bookmarkStart w:id="39" w:name="_Toc218852701"/>
      <w:bookmarkStart w:id="40" w:name="_Toc218852544"/>
      <w:bookmarkStart w:id="41" w:name="_Toc218852702"/>
      <w:bookmarkStart w:id="42" w:name="_Toc218852545"/>
      <w:bookmarkStart w:id="43" w:name="_Toc218852703"/>
      <w:bookmarkStart w:id="44" w:name="_Toc218852546"/>
      <w:bookmarkStart w:id="45" w:name="_Toc218852704"/>
      <w:bookmarkStart w:id="46" w:name="_Toc218852547"/>
      <w:bookmarkStart w:id="47" w:name="_Toc218852705"/>
      <w:bookmarkStart w:id="48" w:name="_Toc218852548"/>
      <w:bookmarkStart w:id="49" w:name="_Toc218852706"/>
      <w:bookmarkStart w:id="50" w:name="_Toc218852549"/>
      <w:bookmarkStart w:id="51" w:name="_Toc218852707"/>
      <w:bookmarkStart w:id="52" w:name="_Toc218852582"/>
      <w:bookmarkStart w:id="53" w:name="_Toc218852740"/>
      <w:bookmarkStart w:id="54" w:name="_Toc218852583"/>
      <w:bookmarkStart w:id="55" w:name="_Toc218852741"/>
      <w:bookmarkStart w:id="56" w:name="_Toc218852584"/>
      <w:bookmarkStart w:id="57" w:name="_Toc218852742"/>
      <w:bookmarkStart w:id="58" w:name="_Toc218852585"/>
      <w:bookmarkStart w:id="59" w:name="_Toc218852743"/>
      <w:bookmarkStart w:id="60" w:name="_Toc218852601"/>
      <w:bookmarkStart w:id="61" w:name="_Toc218852759"/>
      <w:bookmarkStart w:id="62" w:name="_Toc218852602"/>
      <w:bookmarkStart w:id="63" w:name="_Toc218852760"/>
      <w:bookmarkStart w:id="64" w:name="_Toc218852603"/>
      <w:bookmarkStart w:id="65" w:name="_Toc218852761"/>
      <w:bookmarkStart w:id="66" w:name="_Toc218852604"/>
      <w:bookmarkStart w:id="67" w:name="_Toc218852762"/>
      <w:bookmarkStart w:id="68" w:name="_Toc218852609"/>
      <w:bookmarkStart w:id="69" w:name="_Toc218852767"/>
      <w:bookmarkStart w:id="70" w:name="_Toc218852621"/>
      <w:bookmarkStart w:id="71" w:name="_Toc218852779"/>
      <w:bookmarkStart w:id="72" w:name="_Toc218852622"/>
      <w:bookmarkStart w:id="73" w:name="_Toc218852780"/>
      <w:bookmarkStart w:id="74" w:name="_Toc218852623"/>
      <w:bookmarkStart w:id="75" w:name="_Toc218852781"/>
      <w:bookmarkStart w:id="76" w:name="_Toc218852624"/>
      <w:bookmarkStart w:id="77" w:name="_Toc218852782"/>
      <w:bookmarkStart w:id="78" w:name="_Toc218852660"/>
      <w:bookmarkStart w:id="79" w:name="_Toc218852818"/>
      <w:bookmarkStart w:id="80" w:name="_Toc218550592"/>
      <w:bookmarkStart w:id="81" w:name="_Toc218550593"/>
      <w:bookmarkStart w:id="82" w:name="_Toc218550594"/>
      <w:bookmarkStart w:id="83" w:name="_Toc218550595"/>
      <w:bookmarkStart w:id="84" w:name="_Toc218550628"/>
      <w:bookmarkStart w:id="85" w:name="_Toc2188528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 xml:space="preserve">Cartographies </w:t>
      </w:r>
      <w:r w:rsidRPr="00206994">
        <w:t>applicatives</w:t>
      </w:r>
      <w:bookmarkEnd w:id="85"/>
    </w:p>
    <w:p w14:paraId="2085A349" w14:textId="77777777" w:rsidR="00B82B77" w:rsidRPr="003F3864" w:rsidRDefault="00B82B77" w:rsidP="00B82B77"/>
    <w:p w14:paraId="41D5F79E" w14:textId="77777777" w:rsidR="00B82B77" w:rsidRDefault="00B82B77" w:rsidP="00B82B77">
      <w:pPr>
        <w:pStyle w:val="Titre2"/>
      </w:pPr>
      <w:bookmarkStart w:id="86" w:name="_Toc218852820"/>
      <w:r>
        <w:t>Cartographie fonctionnelle et applicative globale cible</w:t>
      </w:r>
      <w:bookmarkEnd w:id="86"/>
    </w:p>
    <w:p w14:paraId="488948E8" w14:textId="77777777" w:rsidR="00B82B77" w:rsidRPr="003F3864" w:rsidRDefault="00B82B77" w:rsidP="00B82B77"/>
    <w:p w14:paraId="55BEC452" w14:textId="77777777" w:rsidR="00B82B77" w:rsidRDefault="00B82B77" w:rsidP="00B82B77"/>
    <w:p w14:paraId="127E680A" w14:textId="77777777" w:rsidR="00B82B77" w:rsidRDefault="00B82B77" w:rsidP="00B82B77">
      <w:pPr>
        <w:rPr>
          <w:rFonts w:cs="Arial"/>
        </w:rPr>
      </w:pPr>
      <w:r w:rsidRPr="004D50A1">
        <w:rPr>
          <w:rFonts w:cs="Arial"/>
        </w:rPr>
        <w:t xml:space="preserve">Compte tenu des spécificités des métiers de la CNCCFP et des exigences de réversibilité permanente, la </w:t>
      </w:r>
      <w:r>
        <w:rPr>
          <w:rFonts w:cs="Arial"/>
        </w:rPr>
        <w:t>C</w:t>
      </w:r>
      <w:r w:rsidRPr="004D50A1">
        <w:rPr>
          <w:rFonts w:cs="Arial"/>
        </w:rPr>
        <w:t>ommission souhaite recourir de manière privilégiée à des</w:t>
      </w:r>
      <w:r>
        <w:rPr>
          <w:rFonts w:cs="Arial"/>
        </w:rPr>
        <w:t xml:space="preserve"> développements applicatifs sur mesure qui peuvent, si besoin, intégrer des</w:t>
      </w:r>
      <w:r w:rsidRPr="004D50A1">
        <w:rPr>
          <w:rFonts w:cs="Arial"/>
        </w:rPr>
        <w:t xml:space="preserve"> </w:t>
      </w:r>
      <w:r>
        <w:rPr>
          <w:rFonts w:cs="Arial"/>
        </w:rPr>
        <w:t>briques/</w:t>
      </w:r>
      <w:r w:rsidRPr="004D50A1">
        <w:rPr>
          <w:rFonts w:cs="Arial"/>
        </w:rPr>
        <w:t xml:space="preserve">solutions </w:t>
      </w:r>
      <w:r>
        <w:rPr>
          <w:rFonts w:cs="Arial"/>
        </w:rPr>
        <w:t xml:space="preserve">tierces </w:t>
      </w:r>
      <w:r w:rsidRPr="004D50A1">
        <w:rPr>
          <w:rFonts w:cs="Arial"/>
        </w:rPr>
        <w:t>qui ne soient pas propriétaire</w:t>
      </w:r>
      <w:r>
        <w:rPr>
          <w:rFonts w:cs="Arial"/>
        </w:rPr>
        <w:t>s</w:t>
      </w:r>
      <w:r w:rsidRPr="004D50A1">
        <w:rPr>
          <w:rFonts w:cs="Arial"/>
        </w:rPr>
        <w:t xml:space="preserve">. </w:t>
      </w:r>
      <w:r w:rsidRPr="00A13E81">
        <w:rPr>
          <w:rFonts w:cs="Arial"/>
          <w:b/>
        </w:rPr>
        <w:t>L’intégration de briques applicatives OpenSource visant à soutenir ou répondre à certains besoins fonctionnels cartographiés ci-après est privilégiée</w:t>
      </w:r>
      <w:r w:rsidRPr="004D50A1">
        <w:rPr>
          <w:rFonts w:cs="Arial"/>
        </w:rPr>
        <w:t>. Toutefois certaines solutions éditeurs, pour les briques nécessitant une forte spécialisation technologique sans équivalent OpenSource, ne sont pas exclues</w:t>
      </w:r>
      <w:r>
        <w:rPr>
          <w:rFonts w:cs="Arial"/>
        </w:rPr>
        <w:t>. Quelle qu’elle soit, l’intégration de telles briques applicatives tierces, celles-ci devront être compatibles et conformes aux exigences d’hébergement du Cloud Pi Native.</w:t>
      </w:r>
    </w:p>
    <w:p w14:paraId="166A10D7" w14:textId="77777777" w:rsidR="00B82B77" w:rsidRDefault="00B82B77" w:rsidP="00B82B77"/>
    <w:p w14:paraId="7E14CD56" w14:textId="77777777" w:rsidR="00B82B77" w:rsidRDefault="00B82B77" w:rsidP="00B82B77">
      <w:pPr>
        <w:jc w:val="left"/>
      </w:pPr>
      <w:r>
        <w:t>La cartographie fonctionnelle et applicative globale des principaux modules métiers identifiés à ce jour par la Commission sont schématisés de la manière suivante :</w:t>
      </w:r>
    </w:p>
    <w:p w14:paraId="7F165626" w14:textId="77777777" w:rsidR="00B82B77" w:rsidRDefault="00B82B77" w:rsidP="00B82B77">
      <w:pPr>
        <w:jc w:val="left"/>
      </w:pPr>
    </w:p>
    <w:p w14:paraId="16F3DE07" w14:textId="77777777" w:rsidR="00B82B77" w:rsidRPr="00640A2D" w:rsidRDefault="00B82B77" w:rsidP="00B82B77"/>
    <w:p w14:paraId="24996D83" w14:textId="77777777" w:rsidR="00B82B77" w:rsidRDefault="00B82B77" w:rsidP="00B82B77">
      <w:pPr>
        <w:rPr>
          <w:rFonts w:cs="Arial"/>
        </w:rPr>
      </w:pPr>
      <w:r w:rsidRPr="00C50436">
        <w:rPr>
          <w:rFonts w:cs="Arial"/>
          <w:noProof/>
          <w:lang w:eastAsia="fr-FR"/>
        </w:rPr>
        <w:drawing>
          <wp:inline distT="0" distB="0" distL="0" distR="0" wp14:anchorId="0DC56F44" wp14:editId="6A4A2F62">
            <wp:extent cx="5760720" cy="28930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93060"/>
                    </a:xfrm>
                    <a:prstGeom prst="rect">
                      <a:avLst/>
                    </a:prstGeom>
                  </pic:spPr>
                </pic:pic>
              </a:graphicData>
            </a:graphic>
          </wp:inline>
        </w:drawing>
      </w:r>
    </w:p>
    <w:p w14:paraId="2D0B128F" w14:textId="77777777" w:rsidR="00B82B77" w:rsidRDefault="00B82B77" w:rsidP="00B82B77">
      <w:pPr>
        <w:rPr>
          <w:rFonts w:cs="Arial"/>
        </w:rPr>
      </w:pPr>
    </w:p>
    <w:p w14:paraId="1CD3B4DE" w14:textId="77777777" w:rsidR="00B82B77" w:rsidRDefault="00B82B77" w:rsidP="00B82B77">
      <w:pPr>
        <w:rPr>
          <w:rFonts w:cs="Arial"/>
        </w:rPr>
      </w:pPr>
    </w:p>
    <w:p w14:paraId="00CE75FB" w14:textId="77777777" w:rsidR="00B82B77" w:rsidRPr="006F46B8" w:rsidRDefault="00B82B77" w:rsidP="00B82B77">
      <w:pPr>
        <w:rPr>
          <w:rFonts w:eastAsiaTheme="majorEastAsia" w:cstheme="majorBidi"/>
          <w:color w:val="2F5496" w:themeColor="accent1" w:themeShade="BF"/>
          <w:sz w:val="26"/>
          <w:szCs w:val="26"/>
        </w:rPr>
      </w:pPr>
      <w:r>
        <w:t>Les besoins fonctionnels de chacun des modules référencés ci-dessus seront spécifiés de manière plus détaillée dans le CCTP. Ils se répartissent entre le front, le middle et le back-office de l’application, eux-mêmes composés de multiples bases de données, de micro-services (backend) et d’interfaces utilisateurs (front-end) communiquant entre eux via des API restful.</w:t>
      </w:r>
    </w:p>
    <w:p w14:paraId="0B90BCAF" w14:textId="77777777" w:rsidR="00B82B77" w:rsidRPr="000D75F3" w:rsidRDefault="00B82B77" w:rsidP="00B82B77">
      <w:pPr>
        <w:jc w:val="left"/>
      </w:pPr>
    </w:p>
    <w:p w14:paraId="4AA33647" w14:textId="77777777" w:rsidR="00B82B77" w:rsidRPr="00716297" w:rsidRDefault="00B82B77" w:rsidP="00B82B77">
      <w:pPr>
        <w:pStyle w:val="Titre2"/>
      </w:pPr>
      <w:bookmarkStart w:id="87" w:name="_Toc218852821"/>
      <w:r w:rsidRPr="00716297">
        <w:t>Découpage en palier et planning prévisionnel du projet</w:t>
      </w:r>
      <w:bookmarkEnd w:id="87"/>
    </w:p>
    <w:p w14:paraId="726629AE" w14:textId="77777777" w:rsidR="00B82B77" w:rsidRDefault="00B82B77" w:rsidP="00B82B77">
      <w:pPr>
        <w:rPr>
          <w:rFonts w:cs="Arial"/>
        </w:rPr>
      </w:pPr>
    </w:p>
    <w:p w14:paraId="5459DF50" w14:textId="77777777" w:rsidR="00B82B77" w:rsidRDefault="00B82B77" w:rsidP="00B82B77">
      <w:pPr>
        <w:rPr>
          <w:rFonts w:cs="Arial"/>
        </w:rPr>
      </w:pPr>
      <w:r w:rsidRPr="001356E3">
        <w:rPr>
          <w:rFonts w:cs="Arial"/>
        </w:rPr>
        <w:t xml:space="preserve">Le présent projet s’inscrit dans </w:t>
      </w:r>
      <w:r>
        <w:rPr>
          <w:rFonts w:cs="Arial"/>
        </w:rPr>
        <w:t xml:space="preserve">une feuille de route progressive, respectant les priorités métier et la logique applicative. Il est constitué de 4 paliers </w:t>
      </w:r>
      <w:r w:rsidRPr="00460C23">
        <w:rPr>
          <w:rFonts w:cs="Arial"/>
        </w:rPr>
        <w:t>construit</w:t>
      </w:r>
      <w:r>
        <w:rPr>
          <w:rFonts w:cs="Arial"/>
        </w:rPr>
        <w:t>s</w:t>
      </w:r>
      <w:r w:rsidRPr="00460C23">
        <w:rPr>
          <w:rFonts w:cs="Arial"/>
        </w:rPr>
        <w:t xml:space="preserve"> en priorisant pour chaque palier de service un produit minimum viable de son périmètre, destiné à être complété et amélioré dans les versions suivantes de l’application, en prenant en compte les retours </w:t>
      </w:r>
      <w:r>
        <w:rPr>
          <w:rFonts w:cs="Arial"/>
        </w:rPr>
        <w:t xml:space="preserve">d’expérience </w:t>
      </w:r>
      <w:r w:rsidRPr="00460C23">
        <w:rPr>
          <w:rFonts w:cs="Arial"/>
        </w:rPr>
        <w:t>des utilisateurs internes et externes.</w:t>
      </w:r>
      <w:r>
        <w:rPr>
          <w:rFonts w:cs="Arial"/>
        </w:rPr>
        <w:t xml:space="preserve"> </w:t>
      </w:r>
    </w:p>
    <w:p w14:paraId="16D8D782" w14:textId="77777777" w:rsidR="00B82B77" w:rsidRDefault="00B82B77" w:rsidP="00B82B77">
      <w:pPr>
        <w:rPr>
          <w:rFonts w:cs="Arial"/>
        </w:rPr>
      </w:pPr>
    </w:p>
    <w:p w14:paraId="17D048BB" w14:textId="77777777" w:rsidR="00B82B77" w:rsidRDefault="00B82B77" w:rsidP="00B82B77">
      <w:pPr>
        <w:rPr>
          <w:rFonts w:cs="Arial"/>
        </w:rPr>
      </w:pPr>
      <w:r>
        <w:rPr>
          <w:rFonts w:cs="Arial"/>
        </w:rPr>
        <w:t xml:space="preserve">Les deux premiers paliers font l’objet de la tranche ferme, exécutée sous la forme d’un marché ordinaire. </w:t>
      </w:r>
      <w:r w:rsidRPr="001744EC">
        <w:rPr>
          <w:rFonts w:cs="Arial"/>
        </w:rPr>
        <w:t>Ces prestations constituent le socle opérationnel prioritaire du projet. Elles font l’objet de spécifications définies dès la conclusion du marché, compte tenu des contraintes calendaires et réglementaires propres aux échéances électorales.</w:t>
      </w:r>
    </w:p>
    <w:p w14:paraId="2C82F1BF" w14:textId="77777777" w:rsidR="00B82B77" w:rsidRDefault="00B82B77" w:rsidP="00B82B77">
      <w:pPr>
        <w:rPr>
          <w:rFonts w:cs="Arial"/>
        </w:rPr>
      </w:pPr>
    </w:p>
    <w:p w14:paraId="3680EEA0" w14:textId="6371C80B" w:rsidR="00B82B77" w:rsidRDefault="00B82B77" w:rsidP="00B82B77">
      <w:pPr>
        <w:rPr>
          <w:rFonts w:cs="Arial"/>
        </w:rPr>
      </w:pPr>
      <w:r>
        <w:rPr>
          <w:rFonts w:cs="Arial"/>
        </w:rPr>
        <w:t xml:space="preserve">Les paliers 3 et 4 feront l’objet d’un accord cadre mono-attributaire. </w:t>
      </w:r>
      <w:r w:rsidRPr="001744EC">
        <w:rPr>
          <w:rFonts w:cs="Arial"/>
        </w:rPr>
        <w:t>Les spécifications</w:t>
      </w:r>
      <w:r w:rsidR="00FD3530">
        <w:rPr>
          <w:rFonts w:cs="Arial"/>
        </w:rPr>
        <w:t xml:space="preserve"> fonctionnelles et</w:t>
      </w:r>
      <w:r w:rsidRPr="001744EC">
        <w:rPr>
          <w:rFonts w:cs="Arial"/>
        </w:rPr>
        <w:t xml:space="preserve"> techniques détaillées de ces prestations seront précisées lors de la conclusion de chaque marché subséquent, dans le respect du périmètre fonctionnel et du montant maximum fixés par l’accord-cadre.</w:t>
      </w:r>
    </w:p>
    <w:p w14:paraId="0B4F397C" w14:textId="77777777" w:rsidR="00B82B77" w:rsidRDefault="00B82B77" w:rsidP="00B82B77">
      <w:pPr>
        <w:rPr>
          <w:rFonts w:cs="Arial"/>
        </w:rPr>
      </w:pPr>
    </w:p>
    <w:p w14:paraId="7E76FADC" w14:textId="77777777" w:rsidR="00B82B77" w:rsidRPr="00A13E81" w:rsidRDefault="00B82B77" w:rsidP="00B82B77">
      <w:pPr>
        <w:rPr>
          <w:rFonts w:cs="Arial"/>
          <w:b/>
        </w:rPr>
      </w:pPr>
      <w:r w:rsidRPr="00A13E81">
        <w:rPr>
          <w:rFonts w:cs="Arial"/>
          <w:b/>
        </w:rPr>
        <w:t>L’échéance majeure et impérative pour la mise en œuvre des deux premiers paliers de la solution est l’élection présidentielle d’avril 2027. Le découpage par paliers est donc conditionné à cet objectif qui doit être pleinement intégré par les candidats tant sur le plan des moyens déployés pour répondre à cet enjeu calendaire que du résultat attendu.</w:t>
      </w:r>
    </w:p>
    <w:p w14:paraId="3582B8E4" w14:textId="77777777" w:rsidR="00B82B77" w:rsidRDefault="00B82B77" w:rsidP="00B82B77">
      <w:pPr>
        <w:rPr>
          <w:rFonts w:cs="Arial"/>
        </w:rPr>
      </w:pPr>
    </w:p>
    <w:p w14:paraId="72FBDD1D" w14:textId="77777777" w:rsidR="00B82B77" w:rsidRDefault="00B82B77" w:rsidP="00B82B77">
      <w:pPr>
        <w:rPr>
          <w:rFonts w:cs="Arial"/>
        </w:rPr>
      </w:pPr>
      <w:r>
        <w:rPr>
          <w:rFonts w:cs="Arial"/>
        </w:rPr>
        <w:t>Voici comment s’articulent les 4 paliers identifiés :</w:t>
      </w:r>
    </w:p>
    <w:p w14:paraId="435E9D04" w14:textId="77777777" w:rsidR="00B82B77" w:rsidRDefault="00B82B77" w:rsidP="00B82B77">
      <w:pPr>
        <w:rPr>
          <w:rFonts w:cs="Arial"/>
        </w:rPr>
      </w:pPr>
    </w:p>
    <w:p w14:paraId="1FBA897B" w14:textId="77777777" w:rsidR="00B82B77" w:rsidRDefault="00B82B77" w:rsidP="00B82B77">
      <w:pPr>
        <w:rPr>
          <w:rFonts w:cs="Arial"/>
        </w:rPr>
      </w:pPr>
    </w:p>
    <w:p w14:paraId="52390428" w14:textId="77777777" w:rsidR="00B82B77" w:rsidRDefault="00B82B77" w:rsidP="00B82B77">
      <w:pPr>
        <w:rPr>
          <w:rFonts w:cs="Arial"/>
        </w:rPr>
      </w:pPr>
      <w:r>
        <w:rPr>
          <w:rFonts w:cs="Arial"/>
          <w:noProof/>
          <w:lang w:eastAsia="fr-FR"/>
        </w:rPr>
        <w:drawing>
          <wp:inline distT="0" distB="0" distL="0" distR="0" wp14:anchorId="3B08BED5" wp14:editId="598DD15C">
            <wp:extent cx="5760720" cy="2307590"/>
            <wp:effectExtent l="0" t="0" r="5080" b="381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1610" name="Image 11051716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07590"/>
                    </a:xfrm>
                    <a:prstGeom prst="rect">
                      <a:avLst/>
                    </a:prstGeom>
                  </pic:spPr>
                </pic:pic>
              </a:graphicData>
            </a:graphic>
          </wp:inline>
        </w:drawing>
      </w:r>
    </w:p>
    <w:p w14:paraId="70614F84" w14:textId="77777777" w:rsidR="00B82B77" w:rsidRDefault="00B82B77" w:rsidP="00B82B77">
      <w:pPr>
        <w:rPr>
          <w:rFonts w:cs="Arial"/>
        </w:rPr>
      </w:pPr>
    </w:p>
    <w:p w14:paraId="603464C0" w14:textId="77777777" w:rsidR="00B82B77" w:rsidRDefault="00B82B77" w:rsidP="00B82B77">
      <w:pPr>
        <w:rPr>
          <w:rFonts w:cs="Arial"/>
        </w:rPr>
      </w:pPr>
    </w:p>
    <w:p w14:paraId="550A05DF" w14:textId="77777777" w:rsidR="00B82B77" w:rsidRDefault="00B82B77" w:rsidP="00B82B77">
      <w:pPr>
        <w:rPr>
          <w:rFonts w:cs="Arial"/>
        </w:rPr>
      </w:pPr>
    </w:p>
    <w:p w14:paraId="7C9019F8" w14:textId="77777777" w:rsidR="00B82B77" w:rsidRDefault="00B82B77" w:rsidP="00B82B77">
      <w:pPr>
        <w:rPr>
          <w:rFonts w:cs="Arial"/>
        </w:rPr>
      </w:pPr>
      <w:r>
        <w:rPr>
          <w:rFonts w:cs="Arial"/>
        </w:rPr>
        <w:t>Il est prévu que les contenus et les mises en service des 4 paliers s’échelonnent de la manière suivante :</w:t>
      </w:r>
    </w:p>
    <w:p w14:paraId="3F4136C1" w14:textId="77777777" w:rsidR="00B82B77" w:rsidRDefault="00B82B77" w:rsidP="00B82B77">
      <w:pPr>
        <w:rPr>
          <w:rFonts w:cs="Arial"/>
        </w:rPr>
      </w:pPr>
    </w:p>
    <w:p w14:paraId="43DE6719" w14:textId="77777777" w:rsidR="00B82B77" w:rsidRDefault="00B82B77" w:rsidP="00B82B77">
      <w:pPr>
        <w:rPr>
          <w:rFonts w:cs="Arial"/>
        </w:rPr>
      </w:pPr>
      <w:r>
        <w:rPr>
          <w:rFonts w:cs="Arial"/>
          <w:noProof/>
          <w:lang w:eastAsia="fr-FR"/>
        </w:rPr>
        <w:drawing>
          <wp:inline distT="0" distB="0" distL="0" distR="0" wp14:anchorId="30A5AA6A" wp14:editId="5E875EE0">
            <wp:extent cx="5760720" cy="1525270"/>
            <wp:effectExtent l="0" t="0" r="508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7342" name="Image 2620973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525270"/>
                    </a:xfrm>
                    <a:prstGeom prst="rect">
                      <a:avLst/>
                    </a:prstGeom>
                  </pic:spPr>
                </pic:pic>
              </a:graphicData>
            </a:graphic>
          </wp:inline>
        </w:drawing>
      </w:r>
    </w:p>
    <w:p w14:paraId="462613E1" w14:textId="77777777" w:rsidR="00B82B77" w:rsidRDefault="00B82B77" w:rsidP="00B82B77">
      <w:pPr>
        <w:rPr>
          <w:rFonts w:cs="Arial"/>
        </w:rPr>
      </w:pPr>
    </w:p>
    <w:p w14:paraId="3DD58ADC" w14:textId="77777777" w:rsidR="00B82B77" w:rsidRDefault="00B82B77" w:rsidP="00B82B77">
      <w:pPr>
        <w:rPr>
          <w:rFonts w:cs="Arial"/>
        </w:rPr>
      </w:pPr>
    </w:p>
    <w:p w14:paraId="443CF7E2" w14:textId="77777777" w:rsidR="00B82B77" w:rsidRDefault="00B82B77" w:rsidP="00B82B77">
      <w:pPr>
        <w:jc w:val="left"/>
        <w:rPr>
          <w:rFonts w:eastAsiaTheme="majorEastAsia" w:cstheme="majorBidi"/>
          <w:color w:val="1F3763" w:themeColor="accent1" w:themeShade="7F"/>
          <w:sz w:val="24"/>
        </w:rPr>
      </w:pPr>
    </w:p>
    <w:p w14:paraId="4844A7F7" w14:textId="2AB2B8DB" w:rsidR="00B82B77" w:rsidRPr="0042596E" w:rsidRDefault="00B82B77" w:rsidP="00691395">
      <w:pPr>
        <w:pStyle w:val="Titre3"/>
        <w:rPr>
          <w:rFonts w:cs="Arial"/>
        </w:rPr>
      </w:pPr>
      <w:bookmarkStart w:id="88" w:name="_Toc218852822"/>
      <w:r w:rsidRPr="00716297">
        <w:t>Palier 1 - Reprise de l’existant Fin’pol</w:t>
      </w:r>
      <w:r>
        <w:t> : le dépôt des comptes de campagne et l’émission des reçus fiscaux pour les donateurs et cotisants</w:t>
      </w:r>
      <w:bookmarkEnd w:id="88"/>
    </w:p>
    <w:p w14:paraId="7CBD2F05" w14:textId="77777777" w:rsidR="0042596E" w:rsidRDefault="0042596E" w:rsidP="00B82B77">
      <w:pPr>
        <w:rPr>
          <w:rFonts w:cs="Arial"/>
        </w:rPr>
      </w:pPr>
    </w:p>
    <w:p w14:paraId="0CEC9190" w14:textId="14DCFC06" w:rsidR="00B82B77" w:rsidRDefault="00B82B77" w:rsidP="00B82B77">
      <w:pPr>
        <w:rPr>
          <w:rFonts w:cs="Arial"/>
        </w:rPr>
      </w:pPr>
      <w:r>
        <w:rPr>
          <w:rFonts w:cs="Arial"/>
        </w:rPr>
        <w:t>Ce premier palier, fixé en décembre 2026</w:t>
      </w:r>
      <w:r w:rsidRPr="00CB0C0A">
        <w:rPr>
          <w:rFonts w:cs="Arial"/>
        </w:rPr>
        <w:t xml:space="preserve">, </w:t>
      </w:r>
      <w:r>
        <w:rPr>
          <w:rFonts w:cs="Arial"/>
        </w:rPr>
        <w:t xml:space="preserve">a pour principaux </w:t>
      </w:r>
      <w:r w:rsidRPr="00CB0C0A">
        <w:rPr>
          <w:rFonts w:cs="Arial"/>
        </w:rPr>
        <w:t>objectif</w:t>
      </w:r>
      <w:r>
        <w:rPr>
          <w:rFonts w:cs="Arial"/>
        </w:rPr>
        <w:t>s</w:t>
      </w:r>
      <w:r w:rsidRPr="00CB0C0A">
        <w:rPr>
          <w:rFonts w:cs="Arial"/>
        </w:rPr>
        <w:t xml:space="preserve"> </w:t>
      </w:r>
      <w:r>
        <w:rPr>
          <w:rFonts w:cs="Arial"/>
        </w:rPr>
        <w:t xml:space="preserve">de proposer un front-office de dépôt pour les partis politiques et les candidats ; d’un middle-office permettant la consultation/récupération des éléments déposés et enfin d’un back-office permettant d’administrer les fonctionnalités du front et du middle-office. </w:t>
      </w:r>
    </w:p>
    <w:p w14:paraId="6A990B31" w14:textId="77777777" w:rsidR="00B82B77" w:rsidRDefault="00B82B77" w:rsidP="00B82B77">
      <w:pPr>
        <w:rPr>
          <w:rFonts w:cs="Arial"/>
        </w:rPr>
      </w:pPr>
    </w:p>
    <w:p w14:paraId="0C4F3464" w14:textId="77777777" w:rsidR="00B82B77" w:rsidRDefault="00B82B77" w:rsidP="00B82B77">
      <w:r>
        <w:rPr>
          <w:rFonts w:cs="Arial"/>
        </w:rPr>
        <w:t xml:space="preserve">Par rapport à la cartographie globale voici les </w:t>
      </w:r>
      <w:r>
        <w:t>principaux modules métiers attendus :</w:t>
      </w:r>
    </w:p>
    <w:p w14:paraId="55998EC8" w14:textId="77777777" w:rsidR="00B82B77" w:rsidRDefault="00B82B77" w:rsidP="00B82B77"/>
    <w:p w14:paraId="7F07802B" w14:textId="77777777" w:rsidR="00B82B77" w:rsidRDefault="00B82B77" w:rsidP="00B82B77">
      <w:r w:rsidRPr="00C50436">
        <w:rPr>
          <w:noProof/>
          <w:lang w:eastAsia="fr-FR"/>
        </w:rPr>
        <w:drawing>
          <wp:inline distT="0" distB="0" distL="0" distR="0" wp14:anchorId="0A4FA453" wp14:editId="2C5FBBAD">
            <wp:extent cx="5760720" cy="28892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89250"/>
                    </a:xfrm>
                    <a:prstGeom prst="rect">
                      <a:avLst/>
                    </a:prstGeom>
                  </pic:spPr>
                </pic:pic>
              </a:graphicData>
            </a:graphic>
          </wp:inline>
        </w:drawing>
      </w:r>
    </w:p>
    <w:p w14:paraId="5DCCF8F1" w14:textId="77777777" w:rsidR="00B82B77" w:rsidRDefault="00B82B77" w:rsidP="00B82B77">
      <w:pPr>
        <w:rPr>
          <w:rFonts w:cs="Arial"/>
        </w:rPr>
      </w:pPr>
    </w:p>
    <w:p w14:paraId="1B771131" w14:textId="77777777" w:rsidR="00B82B77" w:rsidRDefault="00B82B77" w:rsidP="00B82B77">
      <w:pPr>
        <w:rPr>
          <w:rFonts w:cs="Arial"/>
        </w:rPr>
      </w:pPr>
      <w:r>
        <w:rPr>
          <w:rFonts w:cs="Arial"/>
        </w:rPr>
        <w:t xml:space="preserve">Pour chacun des 3 niveaux (front / middle et back-office) ce premier palier fournira à la Commission et à ses usagers </w:t>
      </w:r>
      <w:r w:rsidRPr="00CB0C0A">
        <w:rPr>
          <w:rFonts w:cs="Arial"/>
        </w:rPr>
        <w:t xml:space="preserve">un outil </w:t>
      </w:r>
      <w:r>
        <w:rPr>
          <w:rFonts w:cs="Arial"/>
        </w:rPr>
        <w:t>fonctionnel</w:t>
      </w:r>
      <w:r w:rsidRPr="00CB0C0A">
        <w:rPr>
          <w:rFonts w:cs="Arial"/>
        </w:rPr>
        <w:t xml:space="preserve"> </w:t>
      </w:r>
      <w:r>
        <w:rPr>
          <w:rFonts w:cs="Arial"/>
        </w:rPr>
        <w:t>proposant :</w:t>
      </w:r>
    </w:p>
    <w:p w14:paraId="41DB3DE5" w14:textId="77777777" w:rsidR="00B82B77" w:rsidRDefault="00B82B77" w:rsidP="00B82B77">
      <w:pPr>
        <w:rPr>
          <w:rFonts w:cs="Arial"/>
        </w:rPr>
      </w:pPr>
    </w:p>
    <w:p w14:paraId="12E263C5" w14:textId="77777777" w:rsidR="00B82B77" w:rsidRPr="007E2869" w:rsidRDefault="00B82B77" w:rsidP="00B82B77">
      <w:pPr>
        <w:pStyle w:val="Paragraphedeliste"/>
        <w:numPr>
          <w:ilvl w:val="0"/>
          <w:numId w:val="7"/>
        </w:numPr>
        <w:rPr>
          <w:rFonts w:cs="Arial"/>
        </w:rPr>
      </w:pPr>
      <w:r>
        <w:rPr>
          <w:rFonts w:cs="Arial"/>
        </w:rPr>
        <w:t xml:space="preserve">au niveau du front-office, </w:t>
      </w:r>
      <w:r w:rsidRPr="00431EBD">
        <w:rPr>
          <w:rFonts w:cs="Arial"/>
        </w:rPr>
        <w:t>un portail applicatif et des webservices permettant :</w:t>
      </w:r>
    </w:p>
    <w:p w14:paraId="121A2D6C" w14:textId="77777777" w:rsidR="00B82B77" w:rsidRPr="00F87CA6" w:rsidRDefault="00B82B77" w:rsidP="00B82B77">
      <w:pPr>
        <w:pStyle w:val="Paragraphedeliste"/>
        <w:numPr>
          <w:ilvl w:val="0"/>
          <w:numId w:val="25"/>
        </w:numPr>
        <w:rPr>
          <w:rFonts w:cs="Arial"/>
        </w:rPr>
      </w:pPr>
      <w:r w:rsidRPr="00F87CA6">
        <w:rPr>
          <w:rFonts w:cs="Arial"/>
        </w:rPr>
        <w:t>le dépôt</w:t>
      </w:r>
      <w:r>
        <w:rPr>
          <w:rFonts w:cs="Arial"/>
        </w:rPr>
        <w:t> </w:t>
      </w:r>
      <w:r w:rsidRPr="00F87CA6">
        <w:rPr>
          <w:rFonts w:cs="Arial"/>
        </w:rPr>
        <w:t>des justificatifs de recettes</w:t>
      </w:r>
      <w:r>
        <w:rPr>
          <w:rFonts w:cs="Arial"/>
        </w:rPr>
        <w:t xml:space="preserve"> et</w:t>
      </w:r>
      <w:r w:rsidRPr="00F87CA6">
        <w:rPr>
          <w:rFonts w:cs="Arial"/>
        </w:rPr>
        <w:t xml:space="preserve"> des listes de donateurs et cotisants </w:t>
      </w:r>
      <w:r>
        <w:rPr>
          <w:rFonts w:cs="Arial"/>
        </w:rPr>
        <w:t>des partis politiques</w:t>
      </w:r>
      <w:r w:rsidRPr="00A07798">
        <w:rPr>
          <w:rFonts w:cs="Arial"/>
        </w:rPr>
        <w:t xml:space="preserve"> </w:t>
      </w:r>
      <w:r>
        <w:rPr>
          <w:rFonts w:cs="Arial"/>
        </w:rPr>
        <w:t>en mode flux (webservices), fichier ou saisie ;</w:t>
      </w:r>
    </w:p>
    <w:p w14:paraId="114D4C33" w14:textId="77777777" w:rsidR="00B82B77" w:rsidRDefault="00B82B77" w:rsidP="00B82B77">
      <w:pPr>
        <w:pStyle w:val="Paragraphedeliste"/>
        <w:numPr>
          <w:ilvl w:val="0"/>
          <w:numId w:val="25"/>
        </w:numPr>
        <w:rPr>
          <w:rFonts w:cs="Arial"/>
        </w:rPr>
      </w:pPr>
      <w:r w:rsidRPr="00A07798">
        <w:rPr>
          <w:rFonts w:cs="Arial"/>
        </w:rPr>
        <w:t xml:space="preserve">le dépôt des comptes de campagne, annexes et autres documents </w:t>
      </w:r>
      <w:r>
        <w:rPr>
          <w:rFonts w:cs="Arial"/>
        </w:rPr>
        <w:t>en mode flux (webservices), fichier ou saisie ;</w:t>
      </w:r>
    </w:p>
    <w:p w14:paraId="5D70EA56" w14:textId="77777777" w:rsidR="00B82B77" w:rsidRDefault="00B82B77" w:rsidP="00B82B77">
      <w:pPr>
        <w:pStyle w:val="Paragraphedeliste"/>
        <w:numPr>
          <w:ilvl w:val="0"/>
          <w:numId w:val="25"/>
        </w:numPr>
        <w:rPr>
          <w:rFonts w:cs="Arial"/>
        </w:rPr>
      </w:pPr>
      <w:r w:rsidRPr="00A07798">
        <w:rPr>
          <w:rFonts w:cs="Arial"/>
        </w:rPr>
        <w:t xml:space="preserve">la génération des </w:t>
      </w:r>
      <w:r>
        <w:rPr>
          <w:rFonts w:cs="Arial"/>
        </w:rPr>
        <w:t>reçus</w:t>
      </w:r>
      <w:r w:rsidRPr="00A07798">
        <w:rPr>
          <w:rFonts w:cs="Arial"/>
        </w:rPr>
        <w:t xml:space="preserve"> tant pour les partis politiques que pour les candidats aux élections</w:t>
      </w:r>
      <w:r>
        <w:rPr>
          <w:rFonts w:cs="Arial"/>
        </w:rPr>
        <w:t> ;</w:t>
      </w:r>
    </w:p>
    <w:p w14:paraId="4FDACCB8" w14:textId="77777777" w:rsidR="00B82B77" w:rsidRPr="00A365E1" w:rsidRDefault="00B82B77" w:rsidP="00B82B77">
      <w:pPr>
        <w:pStyle w:val="Paragraphedeliste"/>
        <w:numPr>
          <w:ilvl w:val="0"/>
          <w:numId w:val="25"/>
        </w:numPr>
        <w:rPr>
          <w:rFonts w:cs="Arial"/>
        </w:rPr>
      </w:pPr>
      <w:r>
        <w:rPr>
          <w:rFonts w:cs="Arial"/>
        </w:rPr>
        <w:t>la génération des rapports de dépôt aux usagers (partis politiques et élections) ;</w:t>
      </w:r>
    </w:p>
    <w:p w14:paraId="17EC82C4" w14:textId="77777777" w:rsidR="00B82B77" w:rsidRDefault="00B82B77" w:rsidP="00B82B77">
      <w:pPr>
        <w:pStyle w:val="Paragraphedeliste"/>
        <w:numPr>
          <w:ilvl w:val="0"/>
          <w:numId w:val="25"/>
        </w:numPr>
        <w:rPr>
          <w:rFonts w:cs="Arial"/>
        </w:rPr>
      </w:pPr>
      <w:r>
        <w:rPr>
          <w:rFonts w:cs="Arial"/>
        </w:rPr>
        <w:t>des fonctionnalités d’échange sécurisé de messages et de documents entre les usagers et la CNCCFP ;</w:t>
      </w:r>
    </w:p>
    <w:p w14:paraId="67615D76" w14:textId="77777777" w:rsidR="00B82B77" w:rsidRDefault="00B82B77" w:rsidP="00B82B77">
      <w:pPr>
        <w:pStyle w:val="Paragraphedeliste"/>
        <w:numPr>
          <w:ilvl w:val="0"/>
          <w:numId w:val="25"/>
        </w:numPr>
        <w:rPr>
          <w:rFonts w:cs="Arial"/>
        </w:rPr>
      </w:pPr>
      <w:r>
        <w:rPr>
          <w:rFonts w:cs="Arial"/>
        </w:rPr>
        <w:t>un module d’enregistrement des sollicitations proposant des fonctionnalités de helpdesk, documentation, e-learning, chatbot…</w:t>
      </w:r>
    </w:p>
    <w:p w14:paraId="1D4B63EB" w14:textId="77777777" w:rsidR="00B82B77" w:rsidRDefault="00B82B77" w:rsidP="00B82B77">
      <w:pPr>
        <w:pStyle w:val="Paragraphedeliste"/>
        <w:ind w:left="1776"/>
        <w:rPr>
          <w:rFonts w:cs="Arial"/>
        </w:rPr>
      </w:pPr>
    </w:p>
    <w:p w14:paraId="7044DEFF" w14:textId="77777777" w:rsidR="00B82B77" w:rsidRDefault="00B82B77" w:rsidP="00B82B77">
      <w:pPr>
        <w:pStyle w:val="Paragraphedeliste"/>
        <w:ind w:left="1776"/>
        <w:rPr>
          <w:rFonts w:cs="Arial"/>
        </w:rPr>
      </w:pPr>
    </w:p>
    <w:p w14:paraId="1D2BD86C" w14:textId="77777777" w:rsidR="00B82B77" w:rsidRPr="007E2869" w:rsidRDefault="00B82B77" w:rsidP="00B82B77">
      <w:pPr>
        <w:pStyle w:val="Paragraphedeliste"/>
        <w:numPr>
          <w:ilvl w:val="0"/>
          <w:numId w:val="7"/>
        </w:numPr>
        <w:rPr>
          <w:rFonts w:cs="Arial"/>
        </w:rPr>
      </w:pPr>
      <w:r>
        <w:rPr>
          <w:rFonts w:cs="Arial"/>
        </w:rPr>
        <w:t xml:space="preserve">au niveau du middle-office, un </w:t>
      </w:r>
      <w:r w:rsidRPr="00431EBD">
        <w:rPr>
          <w:rFonts w:cs="Arial"/>
        </w:rPr>
        <w:t xml:space="preserve">portail applicatif </w:t>
      </w:r>
      <w:r>
        <w:rPr>
          <w:rFonts w:cs="Arial"/>
        </w:rPr>
        <w:t>proposant :</w:t>
      </w:r>
    </w:p>
    <w:p w14:paraId="361A5D69" w14:textId="77777777" w:rsidR="00B82B77" w:rsidRDefault="00B82B77" w:rsidP="00B82B77">
      <w:pPr>
        <w:pStyle w:val="Paragraphedeliste"/>
        <w:numPr>
          <w:ilvl w:val="0"/>
          <w:numId w:val="8"/>
        </w:numPr>
        <w:rPr>
          <w:rFonts w:cs="Arial"/>
        </w:rPr>
      </w:pPr>
      <w:r>
        <w:rPr>
          <w:rFonts w:cs="Arial"/>
        </w:rPr>
        <w:t>un module de gestion des candidats, mandataires, associations de financements, partis politiques, experts-comptables, commissaires aux comptes et autres tiers mandatés ;</w:t>
      </w:r>
    </w:p>
    <w:p w14:paraId="2C7E4523" w14:textId="5BAD1ACC" w:rsidR="00B82B77" w:rsidRDefault="00786720" w:rsidP="00B82B77">
      <w:pPr>
        <w:pStyle w:val="Paragraphedeliste"/>
        <w:numPr>
          <w:ilvl w:val="0"/>
          <w:numId w:val="8"/>
        </w:numPr>
        <w:rPr>
          <w:rFonts w:cs="Arial"/>
        </w:rPr>
      </w:pPr>
      <w:r>
        <w:t>un module de dépôt des dossiers par des agents de la CNCCFP, à la place de certains usagers</w:t>
      </w:r>
      <w:r w:rsidR="00B82B77">
        <w:rPr>
          <w:rFonts w:cs="Arial"/>
        </w:rPr>
        <w:t> ;</w:t>
      </w:r>
    </w:p>
    <w:p w14:paraId="032F07D7" w14:textId="77777777" w:rsidR="00B82B77" w:rsidRDefault="00B82B77" w:rsidP="00B82B77">
      <w:pPr>
        <w:pStyle w:val="Paragraphedeliste"/>
        <w:numPr>
          <w:ilvl w:val="0"/>
          <w:numId w:val="8"/>
        </w:numPr>
        <w:rPr>
          <w:rFonts w:cs="Arial"/>
        </w:rPr>
      </w:pPr>
      <w:r w:rsidRPr="00431EBD">
        <w:rPr>
          <w:rFonts w:cs="Arial"/>
        </w:rPr>
        <w:t>la recherche, la consultation et la récupération des dépôts réalisés en front-office par les partis politiques et candidats ;</w:t>
      </w:r>
    </w:p>
    <w:p w14:paraId="3E4C7874" w14:textId="77777777" w:rsidR="00B82B77" w:rsidRPr="00431EBD" w:rsidRDefault="00B82B77" w:rsidP="00B82B77">
      <w:pPr>
        <w:pStyle w:val="Paragraphedeliste"/>
        <w:numPr>
          <w:ilvl w:val="0"/>
          <w:numId w:val="8"/>
        </w:numPr>
        <w:rPr>
          <w:rFonts w:cs="Arial"/>
        </w:rPr>
      </w:pPr>
      <w:r>
        <w:rPr>
          <w:rFonts w:cs="Arial"/>
        </w:rPr>
        <w:t>un module de validation des demandes de génération des reçus, celle-ci étant conditionnée par une vérification préalable du pôle partis politiques ;</w:t>
      </w:r>
    </w:p>
    <w:p w14:paraId="16B5E093" w14:textId="77777777" w:rsidR="00B82B77" w:rsidRDefault="00B82B77" w:rsidP="00B82B77">
      <w:pPr>
        <w:pStyle w:val="Paragraphedeliste"/>
        <w:numPr>
          <w:ilvl w:val="0"/>
          <w:numId w:val="8"/>
        </w:numPr>
        <w:rPr>
          <w:rFonts w:cs="Arial"/>
        </w:rPr>
      </w:pPr>
      <w:r w:rsidRPr="00A365E1">
        <w:rPr>
          <w:rFonts w:cs="Arial"/>
        </w:rPr>
        <w:t>des fonctionnalités d’échange sécurisé de messages et de documents entre les usagers et la CNCCFP</w:t>
      </w:r>
      <w:r>
        <w:rPr>
          <w:rFonts w:cs="Arial"/>
        </w:rPr>
        <w:t> ;</w:t>
      </w:r>
    </w:p>
    <w:p w14:paraId="5A751721" w14:textId="77777777" w:rsidR="00B82B77" w:rsidRDefault="00B82B77" w:rsidP="00B82B77">
      <w:pPr>
        <w:pStyle w:val="Paragraphedeliste"/>
        <w:numPr>
          <w:ilvl w:val="0"/>
          <w:numId w:val="8"/>
        </w:numPr>
        <w:rPr>
          <w:rFonts w:cs="Arial"/>
        </w:rPr>
      </w:pPr>
      <w:r>
        <w:rPr>
          <w:rFonts w:cs="Arial"/>
        </w:rPr>
        <w:t>un module de gestion et de réponse aux sollicitations faites sur le helpdesk ;</w:t>
      </w:r>
    </w:p>
    <w:p w14:paraId="590541E0" w14:textId="77777777" w:rsidR="00B82B77" w:rsidRDefault="00B82B77" w:rsidP="00B82B77">
      <w:pPr>
        <w:pStyle w:val="Paragraphedeliste"/>
        <w:rPr>
          <w:rFonts w:cs="Arial"/>
        </w:rPr>
      </w:pPr>
    </w:p>
    <w:p w14:paraId="39BD1600" w14:textId="77777777" w:rsidR="00B82B77" w:rsidRDefault="00B82B77" w:rsidP="00B82B77">
      <w:pPr>
        <w:pStyle w:val="Paragraphedeliste"/>
        <w:rPr>
          <w:rFonts w:cs="Arial"/>
        </w:rPr>
      </w:pPr>
    </w:p>
    <w:p w14:paraId="2601DFDC" w14:textId="77777777" w:rsidR="00B82B77" w:rsidRPr="007E2869" w:rsidRDefault="00B82B77" w:rsidP="00B82B77">
      <w:pPr>
        <w:pStyle w:val="Paragraphedeliste"/>
        <w:numPr>
          <w:ilvl w:val="0"/>
          <w:numId w:val="7"/>
        </w:numPr>
        <w:rPr>
          <w:rFonts w:cs="Arial"/>
        </w:rPr>
      </w:pPr>
      <w:r>
        <w:rPr>
          <w:rFonts w:cs="Arial"/>
        </w:rPr>
        <w:t xml:space="preserve">au niveau du back-office, </w:t>
      </w:r>
      <w:r w:rsidRPr="00431EBD">
        <w:rPr>
          <w:rFonts w:cs="Arial"/>
        </w:rPr>
        <w:t>un portail applicatif permettant</w:t>
      </w:r>
      <w:r>
        <w:rPr>
          <w:rFonts w:cs="Arial"/>
        </w:rPr>
        <w:t> :</w:t>
      </w:r>
    </w:p>
    <w:p w14:paraId="30F5B6F1" w14:textId="77777777" w:rsidR="00B82B77" w:rsidRDefault="00B82B77" w:rsidP="00B82B77">
      <w:pPr>
        <w:pStyle w:val="Paragraphedeliste"/>
        <w:numPr>
          <w:ilvl w:val="0"/>
          <w:numId w:val="8"/>
        </w:numPr>
        <w:rPr>
          <w:rFonts w:cs="Arial"/>
        </w:rPr>
      </w:pPr>
      <w:r>
        <w:rPr>
          <w:rFonts w:cs="Arial"/>
        </w:rPr>
        <w:t>d’administrer et de paramétrer l’application globale et des solutions tierces qu’elle pourrait intégrer ;</w:t>
      </w:r>
    </w:p>
    <w:p w14:paraId="5D7801FB" w14:textId="77777777" w:rsidR="00B82B77" w:rsidRDefault="00B82B77" w:rsidP="00B82B77">
      <w:pPr>
        <w:pStyle w:val="Paragraphedeliste"/>
        <w:numPr>
          <w:ilvl w:val="0"/>
          <w:numId w:val="8"/>
        </w:numPr>
        <w:rPr>
          <w:rFonts w:cs="Arial"/>
        </w:rPr>
      </w:pPr>
      <w:r w:rsidRPr="00431EBD">
        <w:rPr>
          <w:rFonts w:cs="Arial"/>
        </w:rPr>
        <w:t xml:space="preserve">de constituer/gérer </w:t>
      </w:r>
      <w:r>
        <w:rPr>
          <w:rFonts w:cs="Arial"/>
        </w:rPr>
        <w:t xml:space="preserve">ou d’intégrer </w:t>
      </w:r>
      <w:r w:rsidRPr="00431EBD">
        <w:rPr>
          <w:rFonts w:cs="Arial"/>
        </w:rPr>
        <w:t>les principaux référentiels</w:t>
      </w:r>
      <w:r>
        <w:rPr>
          <w:rFonts w:cs="Arial"/>
        </w:rPr>
        <w:t xml:space="preserve"> nécessaires :</w:t>
      </w:r>
      <w:r w:rsidRPr="00431EBD">
        <w:rPr>
          <w:rFonts w:cs="Arial"/>
        </w:rPr>
        <w:t xml:space="preserve"> </w:t>
      </w:r>
    </w:p>
    <w:p w14:paraId="5FF0F07E" w14:textId="77777777" w:rsidR="00B82B77" w:rsidRDefault="00B82B77" w:rsidP="00B82B77">
      <w:pPr>
        <w:pStyle w:val="Paragraphedeliste"/>
        <w:numPr>
          <w:ilvl w:val="0"/>
          <w:numId w:val="26"/>
        </w:numPr>
        <w:rPr>
          <w:rFonts w:cs="Arial"/>
        </w:rPr>
      </w:pPr>
      <w:r>
        <w:rPr>
          <w:rFonts w:cs="Arial"/>
        </w:rPr>
        <w:t>les référentiels des partis politiques ;</w:t>
      </w:r>
    </w:p>
    <w:p w14:paraId="39470AB5" w14:textId="77777777" w:rsidR="00B82B77" w:rsidRDefault="00B82B77" w:rsidP="00B82B77">
      <w:pPr>
        <w:pStyle w:val="Paragraphedeliste"/>
        <w:numPr>
          <w:ilvl w:val="0"/>
          <w:numId w:val="26"/>
        </w:numPr>
        <w:rPr>
          <w:rFonts w:cs="Arial"/>
        </w:rPr>
      </w:pPr>
      <w:r>
        <w:rPr>
          <w:rFonts w:cs="Arial"/>
        </w:rPr>
        <w:t>les référentiels des élections ;</w:t>
      </w:r>
    </w:p>
    <w:p w14:paraId="7572A209" w14:textId="77777777" w:rsidR="00B82B77" w:rsidRPr="0069271D" w:rsidRDefault="00B82B77" w:rsidP="00B82B77">
      <w:pPr>
        <w:pStyle w:val="Paragraphedeliste"/>
        <w:numPr>
          <w:ilvl w:val="0"/>
          <w:numId w:val="26"/>
        </w:numPr>
        <w:rPr>
          <w:rFonts w:cs="Arial"/>
        </w:rPr>
      </w:pPr>
      <w:r>
        <w:rPr>
          <w:rFonts w:cs="Arial"/>
        </w:rPr>
        <w:t>des référentiels tiers tels que la BAN,  RNA, Répertoire SIREN…</w:t>
      </w:r>
    </w:p>
    <w:p w14:paraId="49BF1CC5" w14:textId="77777777" w:rsidR="00B82B77" w:rsidRDefault="00B82B77" w:rsidP="00B82B77">
      <w:pPr>
        <w:pStyle w:val="Paragraphedeliste"/>
        <w:numPr>
          <w:ilvl w:val="0"/>
          <w:numId w:val="8"/>
        </w:numPr>
        <w:rPr>
          <w:rFonts w:cs="Arial"/>
        </w:rPr>
      </w:pPr>
      <w:r w:rsidRPr="00431EBD">
        <w:rPr>
          <w:rFonts w:cs="Arial"/>
        </w:rPr>
        <w:t>d</w:t>
      </w:r>
      <w:r>
        <w:rPr>
          <w:rFonts w:cs="Arial"/>
        </w:rPr>
        <w:t>’</w:t>
      </w:r>
      <w:r w:rsidRPr="00431EBD">
        <w:rPr>
          <w:rFonts w:cs="Arial"/>
        </w:rPr>
        <w:t xml:space="preserve">interconnecter </w:t>
      </w:r>
      <w:r>
        <w:rPr>
          <w:rFonts w:cs="Arial"/>
        </w:rPr>
        <w:t xml:space="preserve">l’application à des référentiels externes : </w:t>
      </w:r>
    </w:p>
    <w:p w14:paraId="43BF81D1" w14:textId="77777777" w:rsidR="00B82B77" w:rsidRDefault="00B82B77" w:rsidP="00B82B77">
      <w:pPr>
        <w:pStyle w:val="Paragraphedeliste"/>
        <w:numPr>
          <w:ilvl w:val="0"/>
          <w:numId w:val="26"/>
        </w:numPr>
        <w:rPr>
          <w:rFonts w:cs="Arial"/>
        </w:rPr>
      </w:pPr>
      <w:r>
        <w:rPr>
          <w:rFonts w:cs="Arial"/>
        </w:rPr>
        <w:t>l’annuaire des experts comptables ;</w:t>
      </w:r>
    </w:p>
    <w:p w14:paraId="24E3F702" w14:textId="77777777" w:rsidR="00B82B77" w:rsidRDefault="00B82B77" w:rsidP="00B82B77">
      <w:pPr>
        <w:pStyle w:val="Paragraphedeliste"/>
        <w:numPr>
          <w:ilvl w:val="0"/>
          <w:numId w:val="26"/>
        </w:numPr>
        <w:rPr>
          <w:rFonts w:cs="Arial"/>
        </w:rPr>
      </w:pPr>
      <w:r>
        <w:rPr>
          <w:rFonts w:cs="Arial"/>
        </w:rPr>
        <w:t>FranceConnect+ ;</w:t>
      </w:r>
    </w:p>
    <w:p w14:paraId="5887D786" w14:textId="77777777" w:rsidR="00B82B77" w:rsidRDefault="00B82B77" w:rsidP="00B82B77">
      <w:pPr>
        <w:pStyle w:val="Paragraphedeliste"/>
        <w:numPr>
          <w:ilvl w:val="0"/>
          <w:numId w:val="26"/>
        </w:numPr>
        <w:rPr>
          <w:rFonts w:cs="Arial"/>
        </w:rPr>
      </w:pPr>
      <w:r>
        <w:rPr>
          <w:rFonts w:cs="Arial"/>
        </w:rPr>
        <w:t>l’active directory de la Commission</w:t>
      </w:r>
    </w:p>
    <w:p w14:paraId="6E641AAD" w14:textId="77777777" w:rsidR="00B82B77" w:rsidRPr="009D26E3" w:rsidRDefault="00B82B77" w:rsidP="00B82B77">
      <w:pPr>
        <w:pStyle w:val="Paragraphedeliste"/>
        <w:numPr>
          <w:ilvl w:val="0"/>
          <w:numId w:val="8"/>
        </w:numPr>
        <w:rPr>
          <w:rFonts w:cs="Arial"/>
        </w:rPr>
      </w:pPr>
      <w:r>
        <w:rPr>
          <w:rFonts w:cs="Arial"/>
        </w:rPr>
        <w:t xml:space="preserve">de gérer les utilisateurs, leurs profils, rôles et permissions au niveau du front, du middle, du back-Office et aussi au niveau des solutions tierces intégrées à l’application (gestion documentaire, des journaux de logs, du helpdesk, de messagerie, etc…). La gestion des utilisateurs est une fonctionnalité transverse qui peut être partagée de manière restreinte au niveau du front et du middle-office. Il doit par exemple </w:t>
      </w:r>
      <w:r w:rsidRPr="009D26E3">
        <w:rPr>
          <w:rFonts w:cs="Arial"/>
        </w:rPr>
        <w:t>permett</w:t>
      </w:r>
      <w:r>
        <w:rPr>
          <w:rFonts w:cs="Arial"/>
        </w:rPr>
        <w:t>re</w:t>
      </w:r>
      <w:r w:rsidRPr="009D26E3">
        <w:rPr>
          <w:rFonts w:cs="Arial"/>
        </w:rPr>
        <w:t xml:space="preserve"> aux utilisateurs du front-office de mettre à jour leur propre profil</w:t>
      </w:r>
      <w:r>
        <w:rPr>
          <w:rFonts w:cs="Arial"/>
        </w:rPr>
        <w:t xml:space="preserve"> ou de permettre à un candidat ou un parti politique de créer un accès pour leurs mandataires.</w:t>
      </w:r>
      <w:r w:rsidRPr="009D26E3">
        <w:rPr>
          <w:rFonts w:cs="Arial"/>
        </w:rPr>
        <w:t xml:space="preserve"> </w:t>
      </w:r>
      <w:r>
        <w:rPr>
          <w:rFonts w:cs="Arial"/>
        </w:rPr>
        <w:t xml:space="preserve">Par ailleurs, </w:t>
      </w:r>
      <w:r w:rsidRPr="009D26E3">
        <w:rPr>
          <w:rFonts w:cs="Arial"/>
        </w:rPr>
        <w:t xml:space="preserve">certains services de la Commission </w:t>
      </w:r>
      <w:r>
        <w:rPr>
          <w:rFonts w:cs="Arial"/>
        </w:rPr>
        <w:t>sont amenés à</w:t>
      </w:r>
      <w:r w:rsidRPr="009D26E3">
        <w:rPr>
          <w:rFonts w:cs="Arial"/>
        </w:rPr>
        <w:t xml:space="preserve"> </w:t>
      </w:r>
      <w:r>
        <w:rPr>
          <w:rFonts w:cs="Arial"/>
        </w:rPr>
        <w:t>gérer</w:t>
      </w:r>
      <w:r w:rsidRPr="009D26E3">
        <w:rPr>
          <w:rFonts w:cs="Arial"/>
        </w:rPr>
        <w:t xml:space="preserve"> </w:t>
      </w:r>
      <w:r>
        <w:rPr>
          <w:rFonts w:cs="Arial"/>
        </w:rPr>
        <w:t xml:space="preserve">certains comptes et </w:t>
      </w:r>
      <w:r w:rsidRPr="009D26E3">
        <w:rPr>
          <w:rFonts w:cs="Arial"/>
        </w:rPr>
        <w:t>le</w:t>
      </w:r>
      <w:r>
        <w:rPr>
          <w:rFonts w:cs="Arial"/>
        </w:rPr>
        <w:t>ur</w:t>
      </w:r>
      <w:r w:rsidRPr="009D26E3">
        <w:rPr>
          <w:rFonts w:cs="Arial"/>
        </w:rPr>
        <w:t>s</w:t>
      </w:r>
      <w:r>
        <w:rPr>
          <w:rFonts w:cs="Arial"/>
        </w:rPr>
        <w:t xml:space="preserve"> attributs en middle-office. L’activation, la désactivation, l’affectation des rôles et permissions, la suppression ou tout autre action relevant d’un acte d’administration des comptes resteront, elles, centralisées dans le back-office.</w:t>
      </w:r>
    </w:p>
    <w:p w14:paraId="11604760" w14:textId="77777777" w:rsidR="00B82B77" w:rsidRDefault="00B82B77" w:rsidP="00B82B77">
      <w:pPr>
        <w:rPr>
          <w:rFonts w:cs="Arial"/>
        </w:rPr>
      </w:pPr>
    </w:p>
    <w:p w14:paraId="359EF056" w14:textId="77777777" w:rsidR="00B82B77" w:rsidRDefault="00B82B77" w:rsidP="00B82B77">
      <w:pPr>
        <w:rPr>
          <w:rFonts w:cs="Arial"/>
        </w:rPr>
      </w:pPr>
      <w:r>
        <w:rPr>
          <w:rFonts w:cs="Arial"/>
        </w:rPr>
        <w:t xml:space="preserve">Ce premier palier sera, de fait, particulièrement structurant pour les trois paliers suivants. </w:t>
      </w:r>
      <w:r w:rsidRPr="00A13E81">
        <w:rPr>
          <w:rFonts w:cs="Arial"/>
          <w:b/>
        </w:rPr>
        <w:t>Il est donc attendu du titulaire qu’il fasse intervenir dès la phase de conception initiale, ses meilleurs experts en architecture applicative, en développement, en web-design, en bases de données, en cybersécurité et en gestion de projet, afin de fournir à la CNCCFP un socle applicatif technologiquement robuste, durable, conteneurisable, dimensionnable, ouvert et évolutif.</w:t>
      </w:r>
      <w:r>
        <w:rPr>
          <w:rFonts w:cs="Arial"/>
        </w:rPr>
        <w:t xml:space="preserve"> </w:t>
      </w:r>
    </w:p>
    <w:p w14:paraId="2D76F181" w14:textId="77777777" w:rsidR="00B82B77" w:rsidRDefault="00B82B77" w:rsidP="00B82B77">
      <w:pPr>
        <w:rPr>
          <w:rFonts w:cs="Arial"/>
        </w:rPr>
      </w:pPr>
      <w:r>
        <w:rPr>
          <w:rFonts w:cs="Arial"/>
        </w:rPr>
        <w:t xml:space="preserve">Au premier stade de livraison, l’application sera déjà soumise à de fortes contraintes et </w:t>
      </w:r>
      <w:r w:rsidRPr="00085F38">
        <w:rPr>
          <w:rFonts w:cs="Arial"/>
        </w:rPr>
        <w:t>amplitudes de fréquentation</w:t>
      </w:r>
      <w:r>
        <w:rPr>
          <w:rFonts w:cs="Arial"/>
        </w:rPr>
        <w:t xml:space="preserve">, c’est pourquoi la conception technique initiale devra être en mesure de répondre d’emblée à toutes ces problématiques et de tirer parti des avantages offerts par l’environnement technique du « CloudPi Native ». </w:t>
      </w:r>
    </w:p>
    <w:p w14:paraId="471BA8AC" w14:textId="77777777" w:rsidR="00B82B77" w:rsidRDefault="00B82B77" w:rsidP="00B82B77">
      <w:pPr>
        <w:rPr>
          <w:rFonts w:cs="Arial"/>
        </w:rPr>
      </w:pPr>
    </w:p>
    <w:p w14:paraId="0B229AEA" w14:textId="77777777" w:rsidR="00B82B77" w:rsidRDefault="00B82B77" w:rsidP="00B82B77">
      <w:pPr>
        <w:rPr>
          <w:rFonts w:cs="Arial"/>
        </w:rPr>
      </w:pPr>
      <w:r>
        <w:rPr>
          <w:rFonts w:cs="Arial"/>
        </w:rPr>
        <w:t>Outre les fonctionnalités de supervision et d’administration de l’application (traçabilité et preuve, gestion du contenu, des utilisateurs, des droits et paramétrage applicatif), cette première version de l’application doit proposer quelques fonctionnalités transverses fondamentales telles que le stockage et l’extraction de documents et de dossiers ainsi qu’un moteur de recherche capable d’indexer les métadonnées et les contenus des documents déposés. Par ailleurs, il convient de souligner, pour quelques composants transverses, les attendus suivants :</w:t>
      </w:r>
    </w:p>
    <w:p w14:paraId="499DC0F9" w14:textId="77777777" w:rsidR="00B82B77" w:rsidRDefault="00B82B77" w:rsidP="00B82B77">
      <w:pPr>
        <w:rPr>
          <w:rFonts w:cs="Arial"/>
        </w:rPr>
      </w:pPr>
    </w:p>
    <w:p w14:paraId="4400F29D" w14:textId="77777777" w:rsidR="00B82B77" w:rsidRDefault="00B82B77" w:rsidP="00B82B77">
      <w:pPr>
        <w:rPr>
          <w:rFonts w:cs="Arial"/>
        </w:rPr>
      </w:pPr>
    </w:p>
    <w:p w14:paraId="736848EC" w14:textId="77777777" w:rsidR="00B82B77" w:rsidRPr="00AB50E7" w:rsidRDefault="00B82B77" w:rsidP="00B82B77">
      <w:pPr>
        <w:pStyle w:val="Paragraphedeliste"/>
        <w:numPr>
          <w:ilvl w:val="0"/>
          <w:numId w:val="16"/>
        </w:numPr>
        <w:rPr>
          <w:rFonts w:cs="Arial"/>
        </w:rPr>
      </w:pPr>
      <w:r w:rsidRPr="00AB50E7">
        <w:rPr>
          <w:rFonts w:cs="Arial"/>
          <w:b/>
          <w:bCs/>
        </w:rPr>
        <w:t>Gestion des utilisateurs et droits</w:t>
      </w:r>
      <w:r w:rsidRPr="00AB50E7">
        <w:rPr>
          <w:rFonts w:cs="Arial"/>
        </w:rPr>
        <w:t xml:space="preserve"> : </w:t>
      </w:r>
      <w:r>
        <w:rPr>
          <w:rFonts w:cs="Arial"/>
        </w:rPr>
        <w:t>qu’il s’agisse d’un développement ad-hoc ou de l’intégration d’un module de type OpenSource, c</w:t>
      </w:r>
      <w:r w:rsidRPr="00AB50E7">
        <w:rPr>
          <w:rFonts w:cs="Arial"/>
        </w:rPr>
        <w:t>ette brique IAM</w:t>
      </w:r>
      <w:r>
        <w:rPr>
          <w:rFonts w:cs="Arial"/>
        </w:rPr>
        <w:t xml:space="preserve"> (Identity Access Management)</w:t>
      </w:r>
      <w:r w:rsidRPr="00AB50E7">
        <w:rPr>
          <w:rFonts w:cs="Arial"/>
        </w:rPr>
        <w:t xml:space="preserve"> repose sur plusieurs composantes fonctionnelles interconnectées : </w:t>
      </w:r>
    </w:p>
    <w:p w14:paraId="02C2886A" w14:textId="77777777" w:rsidR="00B82B77" w:rsidRPr="0045523F" w:rsidRDefault="00B82B77" w:rsidP="00B82B77">
      <w:pPr>
        <w:pStyle w:val="Paragraphedeliste"/>
        <w:numPr>
          <w:ilvl w:val="0"/>
          <w:numId w:val="17"/>
        </w:numPr>
        <w:rPr>
          <w:rFonts w:cs="Arial"/>
        </w:rPr>
      </w:pPr>
      <w:r w:rsidRPr="0045523F">
        <w:rPr>
          <w:rFonts w:cs="Arial"/>
        </w:rPr>
        <w:t xml:space="preserve">l'identification, qui initie l'identité de l'utilisateur ; </w:t>
      </w:r>
    </w:p>
    <w:p w14:paraId="7BF7F597" w14:textId="77777777" w:rsidR="00B82B77" w:rsidRPr="0045523F" w:rsidRDefault="00B82B77" w:rsidP="00B82B77">
      <w:pPr>
        <w:pStyle w:val="Paragraphedeliste"/>
        <w:numPr>
          <w:ilvl w:val="0"/>
          <w:numId w:val="17"/>
        </w:numPr>
        <w:rPr>
          <w:rFonts w:cs="Arial"/>
        </w:rPr>
      </w:pPr>
      <w:r w:rsidRPr="0045523F">
        <w:rPr>
          <w:rFonts w:cs="Arial"/>
        </w:rPr>
        <w:t>l'authentification, qui vérifie cette identité</w:t>
      </w:r>
      <w:r>
        <w:rPr>
          <w:rFonts w:cs="Arial"/>
        </w:rPr>
        <w:t xml:space="preserve"> et permet la mise en place d’une authentification multi facteur (MFA)</w:t>
      </w:r>
      <w:r w:rsidRPr="0045523F">
        <w:rPr>
          <w:rFonts w:cs="Arial"/>
        </w:rPr>
        <w:t xml:space="preserve"> ; </w:t>
      </w:r>
    </w:p>
    <w:p w14:paraId="72958CB4" w14:textId="77777777" w:rsidR="00B82B77" w:rsidRPr="0045523F" w:rsidRDefault="00B82B77" w:rsidP="00B82B77">
      <w:pPr>
        <w:pStyle w:val="Paragraphedeliste"/>
        <w:numPr>
          <w:ilvl w:val="0"/>
          <w:numId w:val="17"/>
        </w:numPr>
        <w:rPr>
          <w:rFonts w:cs="Arial"/>
        </w:rPr>
      </w:pPr>
      <w:r>
        <w:rPr>
          <w:rFonts w:cs="Arial"/>
        </w:rPr>
        <w:t>la gestion des droits applicatifs</w:t>
      </w:r>
      <w:r w:rsidRPr="0045523F">
        <w:rPr>
          <w:rFonts w:cs="Arial"/>
        </w:rPr>
        <w:t xml:space="preserve">, qui détermine les </w:t>
      </w:r>
      <w:r>
        <w:rPr>
          <w:rFonts w:cs="Arial"/>
        </w:rPr>
        <w:t xml:space="preserve">profils, les rôles et les </w:t>
      </w:r>
      <w:r w:rsidRPr="0045523F">
        <w:rPr>
          <w:rFonts w:cs="Arial"/>
        </w:rPr>
        <w:t xml:space="preserve">droits d'accès </w:t>
      </w:r>
      <w:r>
        <w:rPr>
          <w:rFonts w:cs="Arial"/>
        </w:rPr>
        <w:t xml:space="preserve">des utilisateurs </w:t>
      </w:r>
      <w:r w:rsidRPr="0045523F">
        <w:rPr>
          <w:rFonts w:cs="Arial"/>
        </w:rPr>
        <w:t>aux ressources de l’application</w:t>
      </w:r>
      <w:r>
        <w:rPr>
          <w:rFonts w:cs="Arial"/>
        </w:rPr>
        <w:t xml:space="preserve">, </w:t>
      </w:r>
      <w:r w:rsidRPr="00AB50E7">
        <w:rPr>
          <w:rFonts w:cs="Arial"/>
        </w:rPr>
        <w:t xml:space="preserve">y compris </w:t>
      </w:r>
      <w:r>
        <w:rPr>
          <w:rFonts w:cs="Arial"/>
        </w:rPr>
        <w:t xml:space="preserve">par </w:t>
      </w:r>
      <w:r w:rsidRPr="00AB50E7">
        <w:rPr>
          <w:rFonts w:cs="Arial"/>
        </w:rPr>
        <w:t xml:space="preserve">délégation de droits </w:t>
      </w:r>
      <w:r>
        <w:rPr>
          <w:rFonts w:cs="Arial"/>
        </w:rPr>
        <w:t>donnés par les</w:t>
      </w:r>
      <w:r w:rsidRPr="00AB50E7">
        <w:rPr>
          <w:rFonts w:cs="Arial"/>
        </w:rPr>
        <w:t xml:space="preserve"> responsables des </w:t>
      </w:r>
      <w:r>
        <w:rPr>
          <w:rFonts w:cs="Arial"/>
        </w:rPr>
        <w:t>partis politiques</w:t>
      </w:r>
      <w:r w:rsidRPr="00AB50E7">
        <w:rPr>
          <w:rFonts w:cs="Arial"/>
        </w:rPr>
        <w:t xml:space="preserve"> et </w:t>
      </w:r>
      <w:r>
        <w:rPr>
          <w:rFonts w:cs="Arial"/>
        </w:rPr>
        <w:t xml:space="preserve">les </w:t>
      </w:r>
      <w:r w:rsidRPr="00AB50E7">
        <w:rPr>
          <w:rFonts w:cs="Arial"/>
        </w:rPr>
        <w:t>candidats</w:t>
      </w:r>
      <w:r w:rsidRPr="0045523F">
        <w:rPr>
          <w:rFonts w:cs="Arial"/>
        </w:rPr>
        <w:t xml:space="preserve"> </w:t>
      </w:r>
      <w:r>
        <w:rPr>
          <w:rFonts w:cs="Arial"/>
        </w:rPr>
        <w:t>à leurs mandataires ;</w:t>
      </w:r>
    </w:p>
    <w:p w14:paraId="6E43C70E" w14:textId="77777777" w:rsidR="00B82B77" w:rsidRPr="0045523F" w:rsidRDefault="00B82B77" w:rsidP="00B82B77">
      <w:pPr>
        <w:pStyle w:val="Paragraphedeliste"/>
        <w:numPr>
          <w:ilvl w:val="0"/>
          <w:numId w:val="17"/>
        </w:numPr>
        <w:rPr>
          <w:rFonts w:cs="Arial"/>
        </w:rPr>
      </w:pPr>
      <w:r w:rsidRPr="0045523F">
        <w:rPr>
          <w:rFonts w:cs="Arial"/>
        </w:rPr>
        <w:t xml:space="preserve">la gestion du cycle de vie des utilisateurs, incluant la création, la modification et la suppression des comptes ; </w:t>
      </w:r>
    </w:p>
    <w:p w14:paraId="3938530E" w14:textId="77777777" w:rsidR="00B82B77" w:rsidRPr="0045523F" w:rsidRDefault="00B82B77" w:rsidP="00B82B77">
      <w:pPr>
        <w:pStyle w:val="Paragraphedeliste"/>
        <w:numPr>
          <w:ilvl w:val="0"/>
          <w:numId w:val="17"/>
        </w:numPr>
        <w:rPr>
          <w:rFonts w:cs="Arial"/>
        </w:rPr>
      </w:pPr>
      <w:r w:rsidRPr="0045523F">
        <w:rPr>
          <w:rFonts w:cs="Arial"/>
        </w:rPr>
        <w:t>l’intégration d</w:t>
      </w:r>
      <w:r>
        <w:rPr>
          <w:rFonts w:cs="Arial"/>
        </w:rPr>
        <w:t>’</w:t>
      </w:r>
      <w:r w:rsidRPr="0045523F">
        <w:rPr>
          <w:rFonts w:cs="Arial"/>
        </w:rPr>
        <w:t>annuaires d'utilisateurs pour stocker et partager les informations d'identité.</w:t>
      </w:r>
    </w:p>
    <w:p w14:paraId="40D71A60" w14:textId="77777777" w:rsidR="00B82B77" w:rsidRDefault="00B82B77" w:rsidP="00B82B77">
      <w:pPr>
        <w:rPr>
          <w:rFonts w:cs="Arial"/>
        </w:rPr>
      </w:pPr>
    </w:p>
    <w:p w14:paraId="171BA9FF" w14:textId="1AE9FA0D" w:rsidR="00B82B77" w:rsidRDefault="00B82B77" w:rsidP="00B82B77">
      <w:pPr>
        <w:pStyle w:val="Paragraphedeliste"/>
        <w:rPr>
          <w:rFonts w:cs="Arial"/>
        </w:rPr>
      </w:pPr>
      <w:r>
        <w:rPr>
          <w:rFonts w:cs="Arial"/>
        </w:rPr>
        <w:t>L</w:t>
      </w:r>
      <w:r w:rsidRPr="00AB50E7">
        <w:rPr>
          <w:rFonts w:cs="Arial"/>
        </w:rPr>
        <w:t xml:space="preserve">a solution devra s’interconnecter à plusieurs </w:t>
      </w:r>
      <w:r>
        <w:rPr>
          <w:rFonts w:cs="Arial"/>
        </w:rPr>
        <w:t>« </w:t>
      </w:r>
      <w:r w:rsidRPr="00562B0D">
        <w:rPr>
          <w:rFonts w:cs="Arial"/>
          <w:i/>
          <w:iCs/>
        </w:rPr>
        <w:t>annuaires</w:t>
      </w:r>
      <w:r>
        <w:rPr>
          <w:rFonts w:cs="Arial"/>
        </w:rPr>
        <w:t> »</w:t>
      </w:r>
      <w:r w:rsidRPr="00AB50E7">
        <w:rPr>
          <w:rFonts w:cs="Arial"/>
        </w:rPr>
        <w:t> </w:t>
      </w:r>
      <w:r>
        <w:rPr>
          <w:rFonts w:cs="Arial"/>
        </w:rPr>
        <w:t>tels que</w:t>
      </w:r>
      <w:r w:rsidRPr="00AB50E7">
        <w:rPr>
          <w:rFonts w:cs="Arial"/>
        </w:rPr>
        <w:t xml:space="preserve"> : </w:t>
      </w:r>
      <w:r w:rsidRPr="00006D74">
        <w:rPr>
          <w:rFonts w:cs="Arial"/>
          <w:b/>
          <w:bCs/>
        </w:rPr>
        <w:t>FranceConnect</w:t>
      </w:r>
      <w:r>
        <w:rPr>
          <w:rFonts w:cs="Arial"/>
          <w:b/>
          <w:bCs/>
        </w:rPr>
        <w:t>+ (Pro)</w:t>
      </w:r>
      <w:r w:rsidRPr="00AB50E7">
        <w:rPr>
          <w:rFonts w:cs="Arial"/>
        </w:rPr>
        <w:t xml:space="preserve">, </w:t>
      </w:r>
      <w:r w:rsidR="00FD3530">
        <w:rPr>
          <w:rFonts w:cs="Arial"/>
        </w:rPr>
        <w:t xml:space="preserve">le service d’authentification ComptExpert, </w:t>
      </w:r>
      <w:r w:rsidRPr="00AB50E7">
        <w:rPr>
          <w:rFonts w:cs="Arial"/>
        </w:rPr>
        <w:t xml:space="preserve">l’annuaire des </w:t>
      </w:r>
      <w:r w:rsidRPr="00006D74">
        <w:rPr>
          <w:rFonts w:cs="Arial"/>
          <w:b/>
          <w:bCs/>
        </w:rPr>
        <w:t>experts-comptables</w:t>
      </w:r>
      <w:r>
        <w:rPr>
          <w:rFonts w:cs="Arial"/>
        </w:rPr>
        <w:t xml:space="preserve"> et</w:t>
      </w:r>
      <w:r w:rsidRPr="00AB50E7">
        <w:rPr>
          <w:rFonts w:cs="Arial"/>
        </w:rPr>
        <w:t xml:space="preserve"> l’annuaire interne (</w:t>
      </w:r>
      <w:r w:rsidRPr="00006D74">
        <w:rPr>
          <w:rFonts w:cs="Arial"/>
          <w:b/>
          <w:bCs/>
        </w:rPr>
        <w:t>Active Directory</w:t>
      </w:r>
      <w:r w:rsidRPr="00AB50E7">
        <w:rPr>
          <w:rFonts w:cs="Arial"/>
        </w:rPr>
        <w:t>) de la Commission qui permettra le SSO pour les agents de la Commission.</w:t>
      </w:r>
      <w:r>
        <w:rPr>
          <w:rFonts w:cs="Arial"/>
        </w:rPr>
        <w:t xml:space="preserve"> D’autres type d’accès devront également permettre d’ouvrir l’application à des utilisateurs externes tels que le Conseil Constitutionnel pour l’élection présidentielle, etc…</w:t>
      </w:r>
    </w:p>
    <w:p w14:paraId="1B555C4D" w14:textId="77777777" w:rsidR="00B82B77" w:rsidRDefault="00B82B77" w:rsidP="00B82B77">
      <w:pPr>
        <w:pStyle w:val="Paragraphedeliste"/>
        <w:rPr>
          <w:rFonts w:cs="Arial"/>
        </w:rPr>
      </w:pPr>
    </w:p>
    <w:p w14:paraId="34C2C672" w14:textId="77777777" w:rsidR="00B82B77" w:rsidRDefault="00B82B77" w:rsidP="00B82B77">
      <w:pPr>
        <w:pStyle w:val="Paragraphedeliste"/>
        <w:rPr>
          <w:rFonts w:cs="Arial"/>
        </w:rPr>
      </w:pPr>
    </w:p>
    <w:p w14:paraId="2F43E067" w14:textId="77777777" w:rsidR="00B82B77" w:rsidRDefault="00B82B77" w:rsidP="00B82B77">
      <w:pPr>
        <w:pStyle w:val="Paragraphedeliste"/>
        <w:numPr>
          <w:ilvl w:val="0"/>
          <w:numId w:val="16"/>
        </w:numPr>
        <w:rPr>
          <w:rFonts w:cs="Arial"/>
        </w:rPr>
      </w:pPr>
      <w:r w:rsidRPr="00907ACA">
        <w:rPr>
          <w:rFonts w:cs="Arial"/>
          <w:b/>
          <w:bCs/>
        </w:rPr>
        <w:t>Gestion documentaire</w:t>
      </w:r>
      <w:r>
        <w:rPr>
          <w:rFonts w:cs="Arial"/>
        </w:rPr>
        <w:t> : c’est l’un des composants essentiels et critiques de l’application et des enjeux de dématérialisation de la CNCCFP. Il centralise tous les types de documents afin d’en faciliter la traçabilité, le versioning, l’indexation, la recherche et la consultation grâce, entre autre, à une gestion automatisée ou semi-automatisée de métadonnées. Qu’il s’agisse de traitements unitaires ou par lots, les caractéristiques principales de la gestion documentaire sont :</w:t>
      </w:r>
    </w:p>
    <w:p w14:paraId="5A0492DA" w14:textId="77777777" w:rsidR="00B82B77" w:rsidRDefault="00B82B77" w:rsidP="00B82B77">
      <w:pPr>
        <w:pStyle w:val="Paragraphedeliste"/>
        <w:numPr>
          <w:ilvl w:val="0"/>
          <w:numId w:val="19"/>
        </w:numPr>
        <w:rPr>
          <w:rFonts w:cs="Arial"/>
        </w:rPr>
      </w:pPr>
      <w:r>
        <w:rPr>
          <w:rFonts w:cs="Arial"/>
        </w:rPr>
        <w:t>la numérisation, l’importation/exportation, le s</w:t>
      </w:r>
      <w:r w:rsidRPr="003C4D68">
        <w:rPr>
          <w:rFonts w:cs="Arial"/>
        </w:rPr>
        <w:t>tockage</w:t>
      </w:r>
      <w:r>
        <w:rPr>
          <w:rFonts w:cs="Arial"/>
        </w:rPr>
        <w:t xml:space="preserve">, la consultation, l’extraction et la suppression </w:t>
      </w:r>
      <w:r w:rsidRPr="003C4D68">
        <w:rPr>
          <w:rFonts w:cs="Arial"/>
        </w:rPr>
        <w:t>des documents</w:t>
      </w:r>
      <w:r>
        <w:rPr>
          <w:rFonts w:cs="Arial"/>
        </w:rPr>
        <w:t> ;</w:t>
      </w:r>
    </w:p>
    <w:p w14:paraId="7C82A150" w14:textId="77777777" w:rsidR="00B82B77" w:rsidRPr="003C4D68" w:rsidRDefault="00B82B77" w:rsidP="00B82B77">
      <w:pPr>
        <w:pStyle w:val="Paragraphedeliste"/>
        <w:numPr>
          <w:ilvl w:val="0"/>
          <w:numId w:val="19"/>
        </w:numPr>
        <w:rPr>
          <w:rFonts w:cs="Arial"/>
        </w:rPr>
      </w:pPr>
      <w:r>
        <w:rPr>
          <w:rFonts w:cs="Arial"/>
        </w:rPr>
        <w:t>la g</w:t>
      </w:r>
      <w:r w:rsidRPr="003C4D68">
        <w:rPr>
          <w:rFonts w:cs="Arial"/>
        </w:rPr>
        <w:t>estion des métadonnées</w:t>
      </w:r>
      <w:r>
        <w:rPr>
          <w:rFonts w:cs="Arial"/>
        </w:rPr>
        <w:t>,</w:t>
      </w:r>
      <w:r w:rsidRPr="003C4D68">
        <w:rPr>
          <w:rFonts w:cs="Arial"/>
        </w:rPr>
        <w:t xml:space="preserve"> des données liées</w:t>
      </w:r>
      <w:r>
        <w:rPr>
          <w:rFonts w:cs="Arial"/>
        </w:rPr>
        <w:t xml:space="preserve"> et de l’archivage ;</w:t>
      </w:r>
    </w:p>
    <w:p w14:paraId="3A737E63" w14:textId="77777777" w:rsidR="00B82B77" w:rsidRDefault="00B82B77" w:rsidP="00B82B77">
      <w:pPr>
        <w:pStyle w:val="Paragraphedeliste"/>
        <w:numPr>
          <w:ilvl w:val="0"/>
          <w:numId w:val="19"/>
        </w:numPr>
        <w:rPr>
          <w:rFonts w:cs="Arial"/>
        </w:rPr>
      </w:pPr>
      <w:r>
        <w:rPr>
          <w:rFonts w:cs="Arial"/>
        </w:rPr>
        <w:t>la g</w:t>
      </w:r>
      <w:r w:rsidRPr="003C4D68">
        <w:rPr>
          <w:rFonts w:cs="Arial"/>
        </w:rPr>
        <w:t>estion de</w:t>
      </w:r>
      <w:r>
        <w:rPr>
          <w:rFonts w:cs="Arial"/>
        </w:rPr>
        <w:t>s</w:t>
      </w:r>
      <w:r w:rsidRPr="003C4D68">
        <w:rPr>
          <w:rFonts w:cs="Arial"/>
        </w:rPr>
        <w:t xml:space="preserve"> dossiers </w:t>
      </w:r>
      <w:r>
        <w:rPr>
          <w:rFonts w:cs="Arial"/>
        </w:rPr>
        <w:t xml:space="preserve">et </w:t>
      </w:r>
      <w:r w:rsidRPr="003C4D68">
        <w:rPr>
          <w:rFonts w:cs="Arial"/>
        </w:rPr>
        <w:t>des typologies de documents</w:t>
      </w:r>
      <w:r>
        <w:rPr>
          <w:rFonts w:cs="Arial"/>
        </w:rPr>
        <w:t> ;</w:t>
      </w:r>
    </w:p>
    <w:p w14:paraId="7BC46D69" w14:textId="77777777" w:rsidR="00B82B77" w:rsidRPr="00006D74" w:rsidRDefault="00B82B77" w:rsidP="00B82B77">
      <w:pPr>
        <w:pStyle w:val="Paragraphedeliste"/>
        <w:numPr>
          <w:ilvl w:val="0"/>
          <w:numId w:val="19"/>
        </w:numPr>
        <w:rPr>
          <w:rFonts w:cs="Arial"/>
        </w:rPr>
      </w:pPr>
      <w:r>
        <w:rPr>
          <w:rFonts w:cs="Arial"/>
        </w:rPr>
        <w:t>la g</w:t>
      </w:r>
      <w:r w:rsidRPr="003C4D68">
        <w:rPr>
          <w:rFonts w:cs="Arial"/>
        </w:rPr>
        <w:t>estion de versions</w:t>
      </w:r>
      <w:r>
        <w:rPr>
          <w:rFonts w:cs="Arial"/>
        </w:rPr>
        <w:t> ;</w:t>
      </w:r>
    </w:p>
    <w:p w14:paraId="39A63FFE" w14:textId="77777777" w:rsidR="00B82B77" w:rsidRPr="003C4D68" w:rsidRDefault="00B82B77" w:rsidP="00B82B77">
      <w:pPr>
        <w:pStyle w:val="Paragraphedeliste"/>
        <w:numPr>
          <w:ilvl w:val="0"/>
          <w:numId w:val="19"/>
        </w:numPr>
        <w:rPr>
          <w:rFonts w:cs="Arial"/>
        </w:rPr>
      </w:pPr>
      <w:r>
        <w:rPr>
          <w:rFonts w:cs="Arial"/>
        </w:rPr>
        <w:t>la g</w:t>
      </w:r>
      <w:r w:rsidRPr="003C4D68">
        <w:rPr>
          <w:rFonts w:cs="Arial"/>
        </w:rPr>
        <w:t>estion des droits</w:t>
      </w:r>
      <w:r>
        <w:rPr>
          <w:rFonts w:cs="Arial"/>
        </w:rPr>
        <w:t> ;</w:t>
      </w:r>
    </w:p>
    <w:p w14:paraId="39F1CE03" w14:textId="77777777" w:rsidR="00B82B77" w:rsidRPr="003C4D68" w:rsidRDefault="00B82B77" w:rsidP="00B82B77">
      <w:pPr>
        <w:pStyle w:val="Paragraphedeliste"/>
        <w:numPr>
          <w:ilvl w:val="0"/>
          <w:numId w:val="19"/>
        </w:numPr>
        <w:rPr>
          <w:rFonts w:cs="Arial"/>
        </w:rPr>
      </w:pPr>
      <w:r>
        <w:rPr>
          <w:rFonts w:cs="Arial"/>
        </w:rPr>
        <w:t>l’indexation, r</w:t>
      </w:r>
      <w:r w:rsidRPr="003C4D68">
        <w:rPr>
          <w:rFonts w:cs="Arial"/>
        </w:rPr>
        <w:t>echerche et navigation</w:t>
      </w:r>
      <w:r>
        <w:rPr>
          <w:rFonts w:cs="Arial"/>
        </w:rPr>
        <w:t xml:space="preserve"> des contenus y compris pour des éléments multimédias ;</w:t>
      </w:r>
    </w:p>
    <w:p w14:paraId="0C7921A9" w14:textId="77777777" w:rsidR="00B82B77" w:rsidRPr="003C4D68" w:rsidRDefault="00B82B77" w:rsidP="00B82B77">
      <w:pPr>
        <w:pStyle w:val="Paragraphedeliste"/>
        <w:numPr>
          <w:ilvl w:val="0"/>
          <w:numId w:val="19"/>
        </w:numPr>
        <w:rPr>
          <w:rFonts w:cs="Arial"/>
        </w:rPr>
      </w:pPr>
      <w:r>
        <w:rPr>
          <w:rFonts w:cs="Arial"/>
        </w:rPr>
        <w:t>l’interfaçage (entrant/sortant) avec des systèmes externes.</w:t>
      </w:r>
    </w:p>
    <w:p w14:paraId="1E0CF855" w14:textId="77777777" w:rsidR="00B82B77" w:rsidRDefault="00B82B77" w:rsidP="00B82B77">
      <w:pPr>
        <w:pStyle w:val="Paragraphedeliste"/>
        <w:rPr>
          <w:rFonts w:cs="Arial"/>
        </w:rPr>
      </w:pPr>
    </w:p>
    <w:p w14:paraId="729FA799" w14:textId="77777777" w:rsidR="00B82B77" w:rsidRDefault="00B82B77" w:rsidP="00B82B77">
      <w:pPr>
        <w:pStyle w:val="Paragraphedeliste"/>
        <w:rPr>
          <w:rFonts w:cs="Arial"/>
        </w:rPr>
      </w:pPr>
      <w:r>
        <w:rPr>
          <w:rFonts w:cs="Arial"/>
        </w:rPr>
        <w:t xml:space="preserve">Pour la gestion documentaire, il conviendra d’anticiper dès le début de projet les exigences relatives aux besoins de stockage et d’indexation d’éléments multimédia mais aussi d’interfaçage/d’intégration avec des systèmes tiers tels que : </w:t>
      </w:r>
    </w:p>
    <w:p w14:paraId="71ED86CD" w14:textId="77777777" w:rsidR="00B82B77" w:rsidRDefault="00B82B77" w:rsidP="00B82B77">
      <w:pPr>
        <w:pStyle w:val="Paragraphedeliste"/>
        <w:numPr>
          <w:ilvl w:val="0"/>
          <w:numId w:val="22"/>
        </w:numPr>
        <w:rPr>
          <w:rFonts w:cs="Arial"/>
        </w:rPr>
      </w:pPr>
      <w:r>
        <w:rPr>
          <w:rFonts w:cs="Arial"/>
        </w:rPr>
        <w:t>la GED/GEC Filedirector Efalia de la Commission ;</w:t>
      </w:r>
    </w:p>
    <w:p w14:paraId="405947CE" w14:textId="542A2CA7" w:rsidR="00B82B77" w:rsidRDefault="00B82B77" w:rsidP="00B82B77">
      <w:pPr>
        <w:pStyle w:val="Paragraphedeliste"/>
        <w:numPr>
          <w:ilvl w:val="0"/>
          <w:numId w:val="22"/>
        </w:numPr>
        <w:rPr>
          <w:rFonts w:cs="Arial"/>
        </w:rPr>
      </w:pPr>
      <w:r>
        <w:rPr>
          <w:rFonts w:cs="Arial"/>
        </w:rPr>
        <w:t>un dispositif d’OCR / LAD / RAD </w:t>
      </w:r>
      <w:r w:rsidR="00FD3530">
        <w:rPr>
          <w:rFonts w:cs="Arial"/>
        </w:rPr>
        <w:t xml:space="preserve">/ RAG </w:t>
      </w:r>
      <w:r>
        <w:rPr>
          <w:rFonts w:cs="Arial"/>
        </w:rPr>
        <w:t>pour la reconnaissance, l’indexation et le traitement automatisé des documents ;</w:t>
      </w:r>
    </w:p>
    <w:p w14:paraId="3C2481E1" w14:textId="77777777" w:rsidR="00B82B77" w:rsidRDefault="00B82B77" w:rsidP="00B82B77">
      <w:pPr>
        <w:pStyle w:val="Paragraphedeliste"/>
        <w:numPr>
          <w:ilvl w:val="0"/>
          <w:numId w:val="22"/>
        </w:numPr>
        <w:rPr>
          <w:rFonts w:cs="Arial"/>
        </w:rPr>
      </w:pPr>
      <w:r>
        <w:rPr>
          <w:rFonts w:cs="Arial"/>
        </w:rPr>
        <w:t>un outil de parapheurs, de correction de document et workflow de signature et d’envoi électronique ;</w:t>
      </w:r>
    </w:p>
    <w:p w14:paraId="5F97589F" w14:textId="77777777" w:rsidR="00B82B77" w:rsidRDefault="00B82B77" w:rsidP="00B82B77">
      <w:pPr>
        <w:pStyle w:val="Paragraphedeliste"/>
        <w:numPr>
          <w:ilvl w:val="0"/>
          <w:numId w:val="22"/>
        </w:numPr>
        <w:rPr>
          <w:rFonts w:cs="Arial"/>
        </w:rPr>
      </w:pPr>
      <w:r>
        <w:rPr>
          <w:rFonts w:cs="Arial"/>
        </w:rPr>
        <w:t>une solution d’anonymisation des contenus ;</w:t>
      </w:r>
    </w:p>
    <w:p w14:paraId="4C2FBB54" w14:textId="77777777" w:rsidR="00B82B77" w:rsidRDefault="00B82B77" w:rsidP="00B82B77">
      <w:pPr>
        <w:pStyle w:val="Paragraphedeliste"/>
        <w:numPr>
          <w:ilvl w:val="0"/>
          <w:numId w:val="22"/>
        </w:numPr>
        <w:rPr>
          <w:rFonts w:cs="Arial"/>
        </w:rPr>
      </w:pPr>
      <w:r>
        <w:rPr>
          <w:rFonts w:cs="Arial"/>
        </w:rPr>
        <w:t>le serveur SharePoint de la Commission pour le référencement et l’indexation des décisions (portail de consultation des décisions) ;</w:t>
      </w:r>
    </w:p>
    <w:p w14:paraId="5E32711C" w14:textId="77777777" w:rsidR="00B82B77" w:rsidRPr="00283998" w:rsidRDefault="00B82B77" w:rsidP="00B82B77">
      <w:pPr>
        <w:pStyle w:val="Paragraphedeliste"/>
        <w:numPr>
          <w:ilvl w:val="0"/>
          <w:numId w:val="22"/>
        </w:numPr>
        <w:rPr>
          <w:rFonts w:cs="Arial"/>
        </w:rPr>
      </w:pPr>
      <w:r>
        <w:rPr>
          <w:rFonts w:cs="Arial"/>
        </w:rPr>
        <w:t>une gestion des durées de rétentions réglementaires des données et des documents ;</w:t>
      </w:r>
    </w:p>
    <w:p w14:paraId="502A3914" w14:textId="77777777" w:rsidR="00B82B77" w:rsidRDefault="00B82B77" w:rsidP="00B82B77">
      <w:pPr>
        <w:pStyle w:val="Paragraphedeliste"/>
        <w:numPr>
          <w:ilvl w:val="0"/>
          <w:numId w:val="22"/>
        </w:numPr>
        <w:rPr>
          <w:rFonts w:cs="Arial"/>
        </w:rPr>
      </w:pPr>
      <w:r>
        <w:rPr>
          <w:rFonts w:cs="Arial"/>
        </w:rPr>
        <w:t>un système d’archivage électronique (SAE au format SEDA) ;</w:t>
      </w:r>
    </w:p>
    <w:p w14:paraId="7EDCA268" w14:textId="77777777" w:rsidR="00B82B77" w:rsidRDefault="00B82B77" w:rsidP="00B82B77">
      <w:pPr>
        <w:pStyle w:val="Paragraphedeliste"/>
        <w:rPr>
          <w:rFonts w:cs="Arial"/>
        </w:rPr>
      </w:pPr>
    </w:p>
    <w:p w14:paraId="714F706E" w14:textId="77777777" w:rsidR="00B82B77" w:rsidRDefault="00B82B77" w:rsidP="00B82B77">
      <w:pPr>
        <w:pStyle w:val="Paragraphedeliste"/>
        <w:rPr>
          <w:rFonts w:cs="Arial"/>
        </w:rPr>
      </w:pPr>
      <w:r>
        <w:rPr>
          <w:rFonts w:cs="Arial"/>
        </w:rPr>
        <w:t>Si le titulaire faisait le choix d’intégrer une solution tierce plutôt qu’un développement spécifique, il devra considérer prioritairement la recherche d’une technologie OpenSource inter-opérable, interconnectée et disposant d’une base installée importante afin d’éviter une situation de type « vendor lock-in » sur ce type de module.</w:t>
      </w:r>
    </w:p>
    <w:p w14:paraId="0F992785" w14:textId="77777777" w:rsidR="00B82B77" w:rsidRDefault="00B82B77" w:rsidP="00B82B77">
      <w:pPr>
        <w:pStyle w:val="Paragraphedeliste"/>
        <w:rPr>
          <w:rFonts w:cs="Arial"/>
        </w:rPr>
      </w:pPr>
    </w:p>
    <w:p w14:paraId="018DE107" w14:textId="77777777" w:rsidR="00B82B77" w:rsidRPr="00283998" w:rsidRDefault="00B82B77" w:rsidP="00B82B77">
      <w:pPr>
        <w:pStyle w:val="Paragraphedeliste"/>
        <w:rPr>
          <w:rFonts w:cs="Arial"/>
        </w:rPr>
      </w:pPr>
    </w:p>
    <w:p w14:paraId="3AFE7680" w14:textId="77777777" w:rsidR="00B82B77" w:rsidRDefault="00B82B77" w:rsidP="00B82B77">
      <w:pPr>
        <w:pStyle w:val="Paragraphedeliste"/>
        <w:numPr>
          <w:ilvl w:val="0"/>
          <w:numId w:val="16"/>
        </w:numPr>
        <w:rPr>
          <w:rFonts w:cs="Arial"/>
        </w:rPr>
      </w:pPr>
      <w:r>
        <w:rPr>
          <w:rFonts w:cs="Arial"/>
          <w:b/>
          <w:bCs/>
        </w:rPr>
        <w:t>Messagerie et é</w:t>
      </w:r>
      <w:r w:rsidRPr="00907ACA">
        <w:rPr>
          <w:rFonts w:cs="Arial"/>
          <w:b/>
          <w:bCs/>
        </w:rPr>
        <w:t>change de contenus sécurisés et tracés</w:t>
      </w:r>
      <w:r>
        <w:rPr>
          <w:rFonts w:cs="Arial"/>
        </w:rPr>
        <w:t xml:space="preserve"> : quelle qu’en soit la source (jobs/batchs, usagers, agents ou collaborateurs de la Commission), toute action d’échange d’information (ie. : messagerie) ou de dépôt, modification ou suppression de contenu (essentiellement des fichiers mais aussi des saisies ou flux de données) doit être parfaitement sécurisée et précisément tracée tout en proposant une réelle simplicité de consultation de l’historique des échanges et actions réalisées sur un contenu tant pour les usagers que pour les collaborateurs de la CNCCFP. Compte tenu de la sensibilité et de la confidentialité des informations transmises, la sécurisation et le cryptage des messages et données échangées est en effet indispensable et certaines actions telles que la validation d’un dépôt doivent pouvoir bénéficier d’un horodatage certifié et juridiquement opposable, afin d’être source de preuve compte tenu des échéances et des délais légaux auxquels les candidats et partis politiques sont astreints. </w:t>
      </w:r>
    </w:p>
    <w:p w14:paraId="4F14E5BD" w14:textId="77777777" w:rsidR="00B82B77" w:rsidRDefault="00B82B77" w:rsidP="00B82B77">
      <w:pPr>
        <w:pStyle w:val="Paragraphedeliste"/>
        <w:rPr>
          <w:rFonts w:cs="Arial"/>
          <w:b/>
          <w:bCs/>
        </w:rPr>
      </w:pPr>
    </w:p>
    <w:p w14:paraId="6FBE75C6" w14:textId="77777777" w:rsidR="00B82B77" w:rsidRDefault="00B82B77" w:rsidP="00B82B77">
      <w:pPr>
        <w:pStyle w:val="Paragraphedeliste"/>
        <w:rPr>
          <w:rFonts w:cs="Arial"/>
        </w:rPr>
      </w:pPr>
      <w:r>
        <w:rPr>
          <w:rFonts w:cs="Arial"/>
        </w:rPr>
        <w:t>Ce module devra donc proposer :</w:t>
      </w:r>
    </w:p>
    <w:p w14:paraId="78B91F44" w14:textId="77777777" w:rsidR="00B82B77" w:rsidRDefault="00B82B77" w:rsidP="00B82B77">
      <w:pPr>
        <w:pStyle w:val="Paragraphedeliste"/>
        <w:numPr>
          <w:ilvl w:val="0"/>
          <w:numId w:val="20"/>
        </w:numPr>
        <w:rPr>
          <w:rFonts w:cs="Arial"/>
        </w:rPr>
      </w:pPr>
      <w:r>
        <w:rPr>
          <w:rFonts w:cs="Arial"/>
        </w:rPr>
        <w:t>un mécanisme de cryptage et de sécurisation des informations échangées (messages et contenus) ;</w:t>
      </w:r>
    </w:p>
    <w:p w14:paraId="70F17B19" w14:textId="77777777" w:rsidR="00B82B77" w:rsidRPr="00907ACA" w:rsidRDefault="00B82B77" w:rsidP="00B82B77">
      <w:pPr>
        <w:pStyle w:val="Paragraphedeliste"/>
        <w:numPr>
          <w:ilvl w:val="0"/>
          <w:numId w:val="20"/>
        </w:numPr>
        <w:rPr>
          <w:rFonts w:cs="Arial"/>
        </w:rPr>
      </w:pPr>
      <w:r>
        <w:rPr>
          <w:rFonts w:cs="Arial"/>
        </w:rPr>
        <w:t xml:space="preserve">la </w:t>
      </w:r>
      <w:r w:rsidRPr="00907ACA">
        <w:rPr>
          <w:rFonts w:cs="Arial"/>
        </w:rPr>
        <w:t xml:space="preserve">gestion et </w:t>
      </w:r>
      <w:r>
        <w:rPr>
          <w:rFonts w:cs="Arial"/>
        </w:rPr>
        <w:t>la</w:t>
      </w:r>
      <w:r w:rsidRPr="00907ACA">
        <w:rPr>
          <w:rFonts w:cs="Arial"/>
        </w:rPr>
        <w:t xml:space="preserve"> traçabilité </w:t>
      </w:r>
      <w:r>
        <w:rPr>
          <w:rFonts w:cs="Arial"/>
        </w:rPr>
        <w:t>des échanges et actions réalisées sur les</w:t>
      </w:r>
      <w:r w:rsidRPr="00907ACA">
        <w:rPr>
          <w:rFonts w:cs="Arial"/>
        </w:rPr>
        <w:t xml:space="preserve"> </w:t>
      </w:r>
      <w:r>
        <w:rPr>
          <w:rFonts w:cs="Arial"/>
        </w:rPr>
        <w:t xml:space="preserve">contenus / </w:t>
      </w:r>
      <w:r w:rsidRPr="00907ACA">
        <w:rPr>
          <w:rFonts w:cs="Arial"/>
        </w:rPr>
        <w:t>fichiers entre la CNCCFP et les usagers</w:t>
      </w:r>
      <w:r>
        <w:rPr>
          <w:rFonts w:cs="Arial"/>
        </w:rPr>
        <w:t> ;</w:t>
      </w:r>
    </w:p>
    <w:p w14:paraId="7B0C509C" w14:textId="77777777" w:rsidR="00B82B77" w:rsidRPr="00907ACA" w:rsidRDefault="00B82B77" w:rsidP="00B82B77">
      <w:pPr>
        <w:pStyle w:val="Paragraphedeliste"/>
        <w:numPr>
          <w:ilvl w:val="0"/>
          <w:numId w:val="20"/>
        </w:numPr>
        <w:rPr>
          <w:rFonts w:cs="Arial"/>
        </w:rPr>
      </w:pPr>
      <w:r>
        <w:rPr>
          <w:rFonts w:cs="Arial"/>
        </w:rPr>
        <w:t>la garantie de</w:t>
      </w:r>
      <w:r w:rsidRPr="00907ACA">
        <w:rPr>
          <w:rFonts w:cs="Arial"/>
        </w:rPr>
        <w:t xml:space="preserve"> l'authenticité et la date certaine de </w:t>
      </w:r>
      <w:r>
        <w:rPr>
          <w:rFonts w:cs="Arial"/>
        </w:rPr>
        <w:t>certaines actions (principalement au niveau du dépôt légal).</w:t>
      </w:r>
    </w:p>
    <w:p w14:paraId="227D6B7B" w14:textId="77777777" w:rsidR="00B82B77" w:rsidRDefault="00B82B77" w:rsidP="00B82B77">
      <w:pPr>
        <w:pStyle w:val="Paragraphedeliste"/>
        <w:rPr>
          <w:rFonts w:cs="Arial"/>
        </w:rPr>
      </w:pPr>
    </w:p>
    <w:p w14:paraId="40911C6F" w14:textId="77777777" w:rsidR="00B82B77" w:rsidRDefault="00B82B77" w:rsidP="00B82B77">
      <w:pPr>
        <w:pStyle w:val="Paragraphedeliste"/>
        <w:rPr>
          <w:rFonts w:cs="Arial"/>
        </w:rPr>
      </w:pPr>
      <w:r>
        <w:rPr>
          <w:rFonts w:cs="Arial"/>
        </w:rPr>
        <w:t>Même s’il est complémentaire d’un module plus global de journalisation et de traçabilité centralisée sur l’ensemble du périmètre fonctionnel de l’application, ce module doit apporter des mécanismes de sécurisation et de preuves horodatées irréfutables des messages et actions réalisées sur les contenus échangés (qui, quoi, quand et comment).</w:t>
      </w:r>
    </w:p>
    <w:p w14:paraId="19FCA47F" w14:textId="77777777" w:rsidR="00B82B77" w:rsidRDefault="00B82B77" w:rsidP="00B82B77">
      <w:pPr>
        <w:pStyle w:val="Paragraphedeliste"/>
        <w:rPr>
          <w:rFonts w:cs="Arial"/>
        </w:rPr>
      </w:pPr>
    </w:p>
    <w:p w14:paraId="0C3F4B45" w14:textId="77777777" w:rsidR="00B82B77" w:rsidRDefault="00B82B77" w:rsidP="00B82B77">
      <w:pPr>
        <w:pStyle w:val="Paragraphedeliste"/>
        <w:rPr>
          <w:rFonts w:cs="Arial"/>
        </w:rPr>
      </w:pPr>
    </w:p>
    <w:p w14:paraId="73375335" w14:textId="77777777" w:rsidR="00B82B77" w:rsidRPr="00E36DFB" w:rsidRDefault="00B82B77" w:rsidP="00B82B77">
      <w:pPr>
        <w:pStyle w:val="Paragraphedeliste"/>
        <w:numPr>
          <w:ilvl w:val="0"/>
          <w:numId w:val="16"/>
        </w:numPr>
        <w:rPr>
          <w:rFonts w:cs="Arial"/>
        </w:rPr>
      </w:pPr>
      <w:r w:rsidRPr="00E36DFB">
        <w:rPr>
          <w:rFonts w:cs="Arial"/>
          <w:b/>
          <w:bCs/>
        </w:rPr>
        <w:t>Gestion de la j</w:t>
      </w:r>
      <w:r w:rsidRPr="00C94AF7">
        <w:rPr>
          <w:rFonts w:cs="Arial"/>
          <w:b/>
          <w:bCs/>
        </w:rPr>
        <w:t>ournalisation / traçabilité</w:t>
      </w:r>
      <w:r>
        <w:rPr>
          <w:rFonts w:cs="Arial"/>
        </w:rPr>
        <w:t> : ce composant vient compléter et élargir le module précédent sous forme d’un puit de « log » c</w:t>
      </w:r>
      <w:r w:rsidRPr="00E36DFB">
        <w:rPr>
          <w:rFonts w:cs="Arial"/>
        </w:rPr>
        <w:t>entralisa</w:t>
      </w:r>
      <w:r>
        <w:rPr>
          <w:rFonts w:cs="Arial"/>
        </w:rPr>
        <w:t>nt toute</w:t>
      </w:r>
      <w:r w:rsidRPr="00E36DFB">
        <w:rPr>
          <w:rFonts w:cs="Arial"/>
        </w:rPr>
        <w:t xml:space="preserve"> la journalisation des actions et traitement</w:t>
      </w:r>
      <w:r>
        <w:rPr>
          <w:rFonts w:cs="Arial"/>
        </w:rPr>
        <w:t>s</w:t>
      </w:r>
      <w:r w:rsidRPr="00E36DFB">
        <w:rPr>
          <w:rFonts w:cs="Arial"/>
        </w:rPr>
        <w:t xml:space="preserve"> pour assurer la traçabilité </w:t>
      </w:r>
      <w:r>
        <w:rPr>
          <w:rFonts w:cs="Arial"/>
        </w:rPr>
        <w:t>de l’application et de tous ses composants, y compris ceux des modules tiers intégrés. Souvent utilisé lors d’investigations ou de recherche de preuves, il doit proposer un moteur et des filtres de recherche qui permettront aux administrateurs de rapidement trouver, identifier et isoler des traitements ou des actions.</w:t>
      </w:r>
    </w:p>
    <w:p w14:paraId="2C7FFA7D" w14:textId="77777777" w:rsidR="00B82B77" w:rsidRDefault="00B82B77" w:rsidP="00B82B77">
      <w:pPr>
        <w:pStyle w:val="Paragraphedeliste"/>
        <w:rPr>
          <w:rFonts w:cs="Arial"/>
        </w:rPr>
      </w:pPr>
    </w:p>
    <w:p w14:paraId="44B945FB" w14:textId="77777777" w:rsidR="00B82B77" w:rsidRDefault="00B82B77" w:rsidP="00B82B77">
      <w:pPr>
        <w:pStyle w:val="Paragraphedeliste"/>
        <w:rPr>
          <w:rFonts w:cs="Arial"/>
        </w:rPr>
      </w:pPr>
    </w:p>
    <w:p w14:paraId="12BE8D58" w14:textId="77777777" w:rsidR="00B82B77" w:rsidRDefault="00B82B77" w:rsidP="00B82B77">
      <w:pPr>
        <w:pStyle w:val="Paragraphedeliste"/>
        <w:numPr>
          <w:ilvl w:val="0"/>
          <w:numId w:val="16"/>
        </w:numPr>
        <w:rPr>
          <w:rFonts w:cs="Arial"/>
        </w:rPr>
      </w:pPr>
      <w:r w:rsidRPr="000A2A06">
        <w:rPr>
          <w:rFonts w:cs="Arial"/>
          <w:b/>
          <w:bCs/>
        </w:rPr>
        <w:t>Gestion des sollicitations</w:t>
      </w:r>
      <w:r>
        <w:rPr>
          <w:rFonts w:cs="Arial"/>
        </w:rPr>
        <w:t> : compte tenu des équipes support restreintes de la CNCCFP et du nombre important d’usagers de l’application, un module de gestion des sollicitations doit être immédiatement mis en œuvre dans la solution afin de traiter et/ou sous-traiter efficacement les sollicitations et demandes de support, tant métier que technique, générées par les usagers. Les attentes sur ce type de module intégré à l’application sont les suivantes :</w:t>
      </w:r>
    </w:p>
    <w:p w14:paraId="334136AC" w14:textId="77777777" w:rsidR="00B82B77" w:rsidRDefault="00B82B77" w:rsidP="00B82B77">
      <w:pPr>
        <w:pStyle w:val="Paragraphedeliste"/>
        <w:numPr>
          <w:ilvl w:val="0"/>
          <w:numId w:val="18"/>
        </w:numPr>
        <w:rPr>
          <w:rFonts w:cs="Arial"/>
        </w:rPr>
      </w:pPr>
      <w:r>
        <w:rPr>
          <w:rFonts w:cs="Arial"/>
        </w:rPr>
        <w:t>g</w:t>
      </w:r>
      <w:r w:rsidRPr="00AB50E7">
        <w:rPr>
          <w:rFonts w:cs="Arial"/>
        </w:rPr>
        <w:t xml:space="preserve">estion </w:t>
      </w:r>
      <w:r>
        <w:rPr>
          <w:rFonts w:cs="Arial"/>
        </w:rPr>
        <w:t xml:space="preserve">interactive automatisée </w:t>
      </w:r>
      <w:r w:rsidRPr="00AB50E7">
        <w:rPr>
          <w:rFonts w:cs="Arial"/>
        </w:rPr>
        <w:t xml:space="preserve">des sollicitations </w:t>
      </w:r>
      <w:r>
        <w:rPr>
          <w:rFonts w:cs="Arial"/>
        </w:rPr>
        <w:t>proposant des solutions de chatbot, d’aide contextuelle, de mise à disposition d’une bibliothèque d’e-learnings et webinaires ciblés, de documentation en ligne, de FAQ, et, de manière ultime, de prise de rendez-vous pour un support en distanciel (helpdesk de type teams/téléphone, etc…)</w:t>
      </w:r>
    </w:p>
    <w:p w14:paraId="67DB25D2" w14:textId="77777777" w:rsidR="00B82B77" w:rsidRDefault="00B82B77" w:rsidP="00B82B77">
      <w:pPr>
        <w:pStyle w:val="Paragraphedeliste"/>
        <w:numPr>
          <w:ilvl w:val="0"/>
          <w:numId w:val="18"/>
        </w:numPr>
        <w:rPr>
          <w:rFonts w:cs="Arial"/>
        </w:rPr>
      </w:pPr>
      <w:r>
        <w:rPr>
          <w:rFonts w:cs="Arial"/>
        </w:rPr>
        <w:t>gestion</w:t>
      </w:r>
      <w:r w:rsidRPr="00AB50E7">
        <w:rPr>
          <w:rFonts w:cs="Arial"/>
        </w:rPr>
        <w:t xml:space="preserve"> de tickets (internautes, </w:t>
      </w:r>
      <w:r>
        <w:rPr>
          <w:rFonts w:cs="Arial"/>
        </w:rPr>
        <w:t>partis politique</w:t>
      </w:r>
      <w:r w:rsidRPr="00AB50E7">
        <w:rPr>
          <w:rFonts w:cs="Arial"/>
        </w:rPr>
        <w:t>/élection, interne métier et informatique)</w:t>
      </w:r>
      <w:r>
        <w:rPr>
          <w:rFonts w:cs="Arial"/>
        </w:rPr>
        <w:t xml:space="preserve"> p</w:t>
      </w:r>
      <w:r w:rsidRPr="00432B70">
        <w:rPr>
          <w:rFonts w:cs="Arial"/>
        </w:rPr>
        <w:t>ermet</w:t>
      </w:r>
      <w:r>
        <w:rPr>
          <w:rFonts w:cs="Arial"/>
        </w:rPr>
        <w:t>tant</w:t>
      </w:r>
      <w:r w:rsidRPr="00432B70">
        <w:rPr>
          <w:rFonts w:cs="Arial"/>
        </w:rPr>
        <w:t xml:space="preserve"> la qualification et l'aiguillage à plusieurs niveaux</w:t>
      </w:r>
      <w:r>
        <w:rPr>
          <w:rFonts w:cs="Arial"/>
        </w:rPr>
        <w:t xml:space="preserve"> comprenant :</w:t>
      </w:r>
    </w:p>
    <w:p w14:paraId="5D46D21D" w14:textId="77777777" w:rsidR="00B82B77" w:rsidRDefault="00B82B77" w:rsidP="00B82B77">
      <w:pPr>
        <w:pStyle w:val="Paragraphedeliste"/>
        <w:numPr>
          <w:ilvl w:val="1"/>
          <w:numId w:val="21"/>
        </w:numPr>
        <w:rPr>
          <w:rFonts w:cs="Arial"/>
        </w:rPr>
      </w:pPr>
      <w:r>
        <w:rPr>
          <w:rFonts w:cs="Arial"/>
        </w:rPr>
        <w:t>des f</w:t>
      </w:r>
      <w:r w:rsidRPr="00432B70">
        <w:rPr>
          <w:rFonts w:cs="Arial"/>
        </w:rPr>
        <w:t>ormulaire</w:t>
      </w:r>
      <w:r>
        <w:rPr>
          <w:rFonts w:cs="Arial"/>
        </w:rPr>
        <w:t>s</w:t>
      </w:r>
      <w:r w:rsidRPr="00432B70">
        <w:rPr>
          <w:rFonts w:cs="Arial"/>
        </w:rPr>
        <w:t xml:space="preserve"> </w:t>
      </w:r>
      <w:r>
        <w:rPr>
          <w:rFonts w:cs="Arial"/>
        </w:rPr>
        <w:t>contextuels de demande d’assistance, de déclaration d’anomalies, etc…</w:t>
      </w:r>
    </w:p>
    <w:p w14:paraId="00F780CD" w14:textId="77777777" w:rsidR="00B82B77" w:rsidRDefault="00B82B77" w:rsidP="00B82B77">
      <w:pPr>
        <w:pStyle w:val="Paragraphedeliste"/>
        <w:numPr>
          <w:ilvl w:val="1"/>
          <w:numId w:val="21"/>
        </w:numPr>
        <w:rPr>
          <w:rFonts w:cs="Arial"/>
        </w:rPr>
      </w:pPr>
      <w:r>
        <w:rPr>
          <w:rFonts w:cs="Arial"/>
        </w:rPr>
        <w:t xml:space="preserve">un </w:t>
      </w:r>
      <w:r w:rsidRPr="00432B70">
        <w:rPr>
          <w:rFonts w:cs="Arial"/>
        </w:rPr>
        <w:t xml:space="preserve">aiguillage </w:t>
      </w:r>
      <w:r>
        <w:rPr>
          <w:rFonts w:cs="Arial"/>
        </w:rPr>
        <w:t>niveau 1 (N1)</w:t>
      </w:r>
    </w:p>
    <w:p w14:paraId="3214D8EB" w14:textId="77777777" w:rsidR="00B82B77" w:rsidRDefault="00B82B77" w:rsidP="00B82B77">
      <w:pPr>
        <w:pStyle w:val="Paragraphedeliste"/>
        <w:numPr>
          <w:ilvl w:val="1"/>
          <w:numId w:val="21"/>
        </w:numPr>
        <w:rPr>
          <w:rFonts w:cs="Arial"/>
        </w:rPr>
      </w:pPr>
      <w:r>
        <w:rPr>
          <w:rFonts w:cs="Arial"/>
        </w:rPr>
        <w:t xml:space="preserve">un suivi des </w:t>
      </w:r>
      <w:r w:rsidRPr="00432B70">
        <w:rPr>
          <w:rFonts w:cs="Arial"/>
        </w:rPr>
        <w:t>traitement</w:t>
      </w:r>
      <w:r>
        <w:rPr>
          <w:rFonts w:cs="Arial"/>
        </w:rPr>
        <w:t>s</w:t>
      </w:r>
      <w:r w:rsidRPr="00432B70">
        <w:rPr>
          <w:rFonts w:cs="Arial"/>
        </w:rPr>
        <w:t xml:space="preserve"> N2/N3</w:t>
      </w:r>
    </w:p>
    <w:p w14:paraId="64D27BCC" w14:textId="77777777" w:rsidR="00B82B77" w:rsidRDefault="00B82B77" w:rsidP="00B82B77">
      <w:pPr>
        <w:pStyle w:val="Paragraphedeliste"/>
        <w:numPr>
          <w:ilvl w:val="1"/>
          <w:numId w:val="21"/>
        </w:numPr>
        <w:rPr>
          <w:rFonts w:cs="Arial"/>
        </w:rPr>
      </w:pPr>
      <w:r>
        <w:rPr>
          <w:rFonts w:cs="Arial"/>
        </w:rPr>
        <w:t xml:space="preserve">un </w:t>
      </w:r>
      <w:r w:rsidRPr="00432B70">
        <w:rPr>
          <w:rFonts w:cs="Arial"/>
        </w:rPr>
        <w:t>suivi c</w:t>
      </w:r>
      <w:r>
        <w:rPr>
          <w:rFonts w:cs="Arial"/>
        </w:rPr>
        <w:t>ô</w:t>
      </w:r>
      <w:r w:rsidRPr="00432B70">
        <w:rPr>
          <w:rFonts w:cs="Arial"/>
        </w:rPr>
        <w:t>té demandeur</w:t>
      </w:r>
    </w:p>
    <w:p w14:paraId="79E430F0" w14:textId="77777777" w:rsidR="00B82B77" w:rsidRDefault="00B82B77" w:rsidP="00B82B77">
      <w:pPr>
        <w:pStyle w:val="Paragraphedeliste"/>
        <w:numPr>
          <w:ilvl w:val="1"/>
          <w:numId w:val="21"/>
        </w:numPr>
        <w:rPr>
          <w:rFonts w:cs="Arial"/>
        </w:rPr>
      </w:pPr>
      <w:r>
        <w:rPr>
          <w:rFonts w:cs="Arial"/>
        </w:rPr>
        <w:t xml:space="preserve">des </w:t>
      </w:r>
      <w:r w:rsidRPr="00432B70">
        <w:rPr>
          <w:rFonts w:cs="Arial"/>
        </w:rPr>
        <w:t>échanges pour compléments si nécessaire</w:t>
      </w:r>
    </w:p>
    <w:p w14:paraId="42365808" w14:textId="77777777" w:rsidR="00B82B77" w:rsidRDefault="00B82B77" w:rsidP="00B82B77">
      <w:pPr>
        <w:pStyle w:val="Paragraphedeliste"/>
        <w:numPr>
          <w:ilvl w:val="1"/>
          <w:numId w:val="21"/>
        </w:numPr>
        <w:rPr>
          <w:rFonts w:cs="Arial"/>
        </w:rPr>
      </w:pPr>
      <w:r>
        <w:rPr>
          <w:rFonts w:cs="Arial"/>
        </w:rPr>
        <w:t xml:space="preserve">une </w:t>
      </w:r>
      <w:r w:rsidRPr="00432B70">
        <w:rPr>
          <w:rFonts w:cs="Arial"/>
        </w:rPr>
        <w:t>clôture par demandeur</w:t>
      </w:r>
      <w:r>
        <w:rPr>
          <w:rFonts w:cs="Arial"/>
        </w:rPr>
        <w:t>/équipe de support</w:t>
      </w:r>
    </w:p>
    <w:p w14:paraId="39DBF3AA" w14:textId="77777777" w:rsidR="00B82B77" w:rsidRPr="00432B70" w:rsidRDefault="00B82B77" w:rsidP="00B82B77">
      <w:pPr>
        <w:pStyle w:val="Paragraphedeliste"/>
        <w:numPr>
          <w:ilvl w:val="1"/>
          <w:numId w:val="21"/>
        </w:numPr>
        <w:rPr>
          <w:rFonts w:cs="Arial"/>
        </w:rPr>
      </w:pPr>
      <w:r>
        <w:rPr>
          <w:rFonts w:cs="Arial"/>
        </w:rPr>
        <w:t xml:space="preserve">un </w:t>
      </w:r>
      <w:r w:rsidRPr="00432B70">
        <w:rPr>
          <w:rFonts w:cs="Arial"/>
        </w:rPr>
        <w:t>pilotage c</w:t>
      </w:r>
      <w:r>
        <w:rPr>
          <w:rFonts w:cs="Arial"/>
        </w:rPr>
        <w:t>ô</w:t>
      </w:r>
      <w:r w:rsidRPr="00432B70">
        <w:rPr>
          <w:rFonts w:cs="Arial"/>
        </w:rPr>
        <w:t>té traitement + administration et paramétrage</w:t>
      </w:r>
    </w:p>
    <w:p w14:paraId="461F828B" w14:textId="77777777" w:rsidR="00B82B77" w:rsidRDefault="00B82B77" w:rsidP="00B82B77">
      <w:pPr>
        <w:pStyle w:val="Paragraphedeliste"/>
        <w:rPr>
          <w:rFonts w:cs="Arial"/>
        </w:rPr>
      </w:pPr>
    </w:p>
    <w:p w14:paraId="41DFFAC5" w14:textId="77777777" w:rsidR="00B82B77" w:rsidRDefault="00B82B77" w:rsidP="00B82B77">
      <w:pPr>
        <w:rPr>
          <w:rFonts w:cs="Arial"/>
        </w:rPr>
      </w:pPr>
      <w:r>
        <w:rPr>
          <w:rFonts w:cs="Arial"/>
        </w:rPr>
        <w:t>Ce module devra pouvoir être partagé et accessible de manière contrôlée avec un ou plusieurs tiers extérieurs. Un accès sera donc partagé avec le titulaire du marché pendant toute la phase de réalisation du projet puis avec un tiers mainteneur pendant la phase de TMA afin que ceux-ci puissent identifier, suivre et résoudre tous les problèmes techniques qui pourraient subvenir. Par ailleurs, la Commission devra également pouvoir ouvrir ce module à tout moment à une société spécialisée afin de répondre à des besoins de renfort du support applicatif aux utilisateurs pendant des périodes de pics d’activité.</w:t>
      </w:r>
    </w:p>
    <w:p w14:paraId="48A41D1A" w14:textId="77777777" w:rsidR="00B82B77" w:rsidRDefault="00B82B77" w:rsidP="00B82B77">
      <w:pPr>
        <w:rPr>
          <w:rFonts w:cs="Arial"/>
        </w:rPr>
      </w:pPr>
    </w:p>
    <w:p w14:paraId="5AFD3780" w14:textId="789891F3" w:rsidR="00B82B77" w:rsidRDefault="00B82B77" w:rsidP="00B82B77">
      <w:pPr>
        <w:rPr>
          <w:rFonts w:cs="Arial"/>
        </w:rPr>
      </w:pPr>
      <w:r>
        <w:rPr>
          <w:rFonts w:cs="Arial"/>
        </w:rPr>
        <w:t>Ces points feront l’objet de précisions dans le CCTP</w:t>
      </w:r>
      <w:r w:rsidR="00F53341">
        <w:rPr>
          <w:rFonts w:cs="Arial"/>
        </w:rPr>
        <w:t>.</w:t>
      </w:r>
    </w:p>
    <w:p w14:paraId="3F470729" w14:textId="45AC8CB4" w:rsidR="00B82B77" w:rsidRDefault="00B82B77" w:rsidP="00B82B77">
      <w:pPr>
        <w:jc w:val="left"/>
      </w:pPr>
    </w:p>
    <w:p w14:paraId="079EB035" w14:textId="6DDA9A6C" w:rsidR="009D45CB" w:rsidRDefault="009D45CB" w:rsidP="00B82B77">
      <w:pPr>
        <w:jc w:val="left"/>
      </w:pPr>
    </w:p>
    <w:p w14:paraId="766311C6" w14:textId="51ADD28A" w:rsidR="009D45CB" w:rsidRDefault="009D45CB" w:rsidP="00B82B77">
      <w:pPr>
        <w:jc w:val="left"/>
      </w:pPr>
    </w:p>
    <w:p w14:paraId="1472CA7B" w14:textId="77777777" w:rsidR="009D45CB" w:rsidRDefault="009D45CB" w:rsidP="00B82B77">
      <w:pPr>
        <w:jc w:val="left"/>
      </w:pPr>
    </w:p>
    <w:p w14:paraId="22EA8BAF" w14:textId="77777777" w:rsidR="00B82B77" w:rsidRDefault="00B82B77" w:rsidP="00B82B77">
      <w:pPr>
        <w:pStyle w:val="Titre3"/>
      </w:pPr>
      <w:r>
        <w:t xml:space="preserve"> </w:t>
      </w:r>
      <w:bookmarkStart w:id="89" w:name="_Toc218852823"/>
      <w:r w:rsidRPr="000D22BF">
        <w:t xml:space="preserve">Palier 2 </w:t>
      </w:r>
      <w:r>
        <w:t>– L’instruction des comptes de campagne</w:t>
      </w:r>
      <w:bookmarkEnd w:id="89"/>
    </w:p>
    <w:p w14:paraId="1AFD7F9C" w14:textId="77777777" w:rsidR="00B82B77" w:rsidRDefault="00B82B77" w:rsidP="00B82B77">
      <w:pPr>
        <w:rPr>
          <w:rFonts w:cs="Arial"/>
        </w:rPr>
      </w:pPr>
    </w:p>
    <w:p w14:paraId="0A153EA5" w14:textId="77777777" w:rsidR="00B82B77" w:rsidRDefault="00B82B77" w:rsidP="00B82B77">
      <w:pPr>
        <w:rPr>
          <w:rFonts w:cs="Arial"/>
        </w:rPr>
      </w:pPr>
      <w:r>
        <w:rPr>
          <w:rFonts w:cs="Arial"/>
        </w:rPr>
        <w:t>Ce second palier dont l’échéance est fixée</w:t>
      </w:r>
      <w:r w:rsidRPr="000D22BF">
        <w:rPr>
          <w:rFonts w:cs="Arial"/>
        </w:rPr>
        <w:t xml:space="preserve"> en </w:t>
      </w:r>
      <w:r>
        <w:rPr>
          <w:rFonts w:cs="Arial"/>
        </w:rPr>
        <w:t>mai 2027</w:t>
      </w:r>
      <w:r w:rsidRPr="000D22BF">
        <w:rPr>
          <w:rFonts w:cs="Arial"/>
        </w:rPr>
        <w:t> </w:t>
      </w:r>
      <w:r>
        <w:rPr>
          <w:rFonts w:cs="Arial"/>
        </w:rPr>
        <w:t>a pour principaux objectifs de permettre le contrôle, l’i</w:t>
      </w:r>
      <w:r w:rsidRPr="000D22BF">
        <w:rPr>
          <w:rFonts w:cs="Arial"/>
        </w:rPr>
        <w:t xml:space="preserve">nstruction et </w:t>
      </w:r>
      <w:r>
        <w:rPr>
          <w:rFonts w:cs="Arial"/>
        </w:rPr>
        <w:t xml:space="preserve">la génération des </w:t>
      </w:r>
      <w:r w:rsidRPr="000D22BF">
        <w:rPr>
          <w:rFonts w:cs="Arial"/>
        </w:rPr>
        <w:t>décision</w:t>
      </w:r>
      <w:r>
        <w:rPr>
          <w:rFonts w:cs="Arial"/>
        </w:rPr>
        <w:t>s</w:t>
      </w:r>
      <w:r w:rsidRPr="000D22BF">
        <w:rPr>
          <w:rFonts w:cs="Arial"/>
        </w:rPr>
        <w:t xml:space="preserve"> </w:t>
      </w:r>
      <w:r>
        <w:rPr>
          <w:rFonts w:cs="Arial"/>
        </w:rPr>
        <w:t>relatives aux</w:t>
      </w:r>
      <w:r w:rsidRPr="000D22BF">
        <w:rPr>
          <w:rFonts w:cs="Arial"/>
        </w:rPr>
        <w:t xml:space="preserve"> comptes de campagne</w:t>
      </w:r>
      <w:r>
        <w:rPr>
          <w:rFonts w:cs="Arial"/>
        </w:rPr>
        <w:t xml:space="preserve"> de </w:t>
      </w:r>
      <w:r w:rsidRPr="000D22BF">
        <w:rPr>
          <w:rFonts w:cs="Arial"/>
        </w:rPr>
        <w:t>l’élection présidentielle de 2027</w:t>
      </w:r>
      <w:r>
        <w:rPr>
          <w:rFonts w:cs="Arial"/>
        </w:rPr>
        <w:t xml:space="preserve"> avant la généralisation pour toutes les autres élections politiques</w:t>
      </w:r>
      <w:r w:rsidRPr="000D22BF">
        <w:rPr>
          <w:rFonts w:cs="Arial"/>
        </w:rPr>
        <w:t>.</w:t>
      </w:r>
      <w:r>
        <w:rPr>
          <w:rFonts w:cs="Arial"/>
        </w:rPr>
        <w:t xml:space="preserve"> Compte tenu des différences entre les élections, l’application doit être en mesure d’intégrer pour chaque type d’élection différents modèles de compte de campagne ou de niveau de dépenses, mais aussi de permettre aux administrateurs de les paramétrer en fonction des évolutions juridiques au niveau du back-office. </w:t>
      </w:r>
    </w:p>
    <w:p w14:paraId="6C10F18B" w14:textId="77777777" w:rsidR="00B82B77" w:rsidRDefault="00B82B77" w:rsidP="00B82B77">
      <w:pPr>
        <w:rPr>
          <w:rFonts w:cs="Arial"/>
        </w:rPr>
      </w:pPr>
    </w:p>
    <w:p w14:paraId="610F44C6" w14:textId="77777777" w:rsidR="00B82B77" w:rsidRDefault="00B82B77" w:rsidP="00B82B77">
      <w:pPr>
        <w:rPr>
          <w:rFonts w:cs="Arial"/>
        </w:rPr>
      </w:pPr>
    </w:p>
    <w:p w14:paraId="21CE53B2" w14:textId="77777777" w:rsidR="00B82B77" w:rsidRPr="00164436" w:rsidRDefault="00B82B77" w:rsidP="00B82B77">
      <w:r>
        <w:rPr>
          <w:rFonts w:cs="Arial"/>
        </w:rPr>
        <w:t xml:space="preserve">Par rapport à la cartographie globale voici les </w:t>
      </w:r>
      <w:r>
        <w:t>principaux modules métiers attendus :</w:t>
      </w:r>
    </w:p>
    <w:p w14:paraId="036D9F7F" w14:textId="77777777" w:rsidR="00B82B77" w:rsidRDefault="00B82B77" w:rsidP="00B82B77">
      <w:pPr>
        <w:rPr>
          <w:rFonts w:cs="Arial"/>
        </w:rPr>
      </w:pPr>
    </w:p>
    <w:p w14:paraId="1F8C77B9" w14:textId="77777777" w:rsidR="00B82B77" w:rsidRDefault="00B82B77" w:rsidP="00B82B77">
      <w:pPr>
        <w:rPr>
          <w:rFonts w:cs="Arial"/>
        </w:rPr>
      </w:pPr>
      <w:r w:rsidRPr="003D5514">
        <w:rPr>
          <w:noProof/>
        </w:rPr>
        <w:t xml:space="preserve"> </w:t>
      </w:r>
      <w:r w:rsidRPr="00B620C8">
        <w:rPr>
          <w:noProof/>
          <w:lang w:eastAsia="fr-FR"/>
        </w:rPr>
        <w:drawing>
          <wp:inline distT="0" distB="0" distL="0" distR="0" wp14:anchorId="6FAFA62D" wp14:editId="4086ED61">
            <wp:extent cx="5760720" cy="289496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94965"/>
                    </a:xfrm>
                    <a:prstGeom prst="rect">
                      <a:avLst/>
                    </a:prstGeom>
                  </pic:spPr>
                </pic:pic>
              </a:graphicData>
            </a:graphic>
          </wp:inline>
        </w:drawing>
      </w:r>
    </w:p>
    <w:p w14:paraId="6AD9AA9A" w14:textId="77777777" w:rsidR="00B82B77" w:rsidRDefault="00B82B77" w:rsidP="00B82B77">
      <w:pPr>
        <w:rPr>
          <w:rFonts w:cs="Arial"/>
        </w:rPr>
      </w:pPr>
    </w:p>
    <w:p w14:paraId="3B72D134" w14:textId="77777777" w:rsidR="00B82B77" w:rsidRDefault="00B82B77" w:rsidP="00B82B77">
      <w:pPr>
        <w:rPr>
          <w:rFonts w:cs="Arial"/>
        </w:rPr>
      </w:pPr>
    </w:p>
    <w:p w14:paraId="3ED08A16" w14:textId="77777777" w:rsidR="00B82B77" w:rsidRDefault="00B82B77" w:rsidP="00B82B77">
      <w:pPr>
        <w:rPr>
          <w:rFonts w:cs="Arial"/>
        </w:rPr>
      </w:pPr>
      <w:r>
        <w:rPr>
          <w:rFonts w:cs="Arial"/>
        </w:rPr>
        <w:t>Dans la continuité des développements et intégrations effectués au cours du premier palier, le palier n°2 porte principalement sur des évolutions du middle et du back-office. Il devra :</w:t>
      </w:r>
    </w:p>
    <w:p w14:paraId="614E51CC" w14:textId="77777777" w:rsidR="00B82B77" w:rsidRDefault="00B82B77" w:rsidP="00B82B77">
      <w:pPr>
        <w:rPr>
          <w:rFonts w:cs="Arial"/>
        </w:rPr>
      </w:pPr>
    </w:p>
    <w:p w14:paraId="14A4D6DA" w14:textId="77777777" w:rsidR="00B82B77" w:rsidRPr="00164436" w:rsidRDefault="00B82B77" w:rsidP="00B82B77">
      <w:pPr>
        <w:pStyle w:val="Paragraphedeliste"/>
        <w:numPr>
          <w:ilvl w:val="0"/>
          <w:numId w:val="23"/>
        </w:numPr>
        <w:rPr>
          <w:rFonts w:cs="Arial"/>
        </w:rPr>
      </w:pPr>
      <w:r>
        <w:rPr>
          <w:rFonts w:cs="Arial"/>
        </w:rPr>
        <w:t>permettre le pilotage opérationnel, méthodologique et transverse afin de gérer tous les processus nécessaires pour le traitement d’une élection. Il s’agit ici :</w:t>
      </w:r>
    </w:p>
    <w:p w14:paraId="12D33793" w14:textId="77777777" w:rsidR="00B82B77" w:rsidRPr="00164436" w:rsidRDefault="00B82B77" w:rsidP="00B82B77">
      <w:pPr>
        <w:pStyle w:val="Paragraphedeliste"/>
        <w:numPr>
          <w:ilvl w:val="0"/>
          <w:numId w:val="18"/>
        </w:numPr>
        <w:rPr>
          <w:rFonts w:cs="Arial"/>
        </w:rPr>
      </w:pPr>
      <w:r>
        <w:rPr>
          <w:rFonts w:cs="Arial"/>
        </w:rPr>
        <w:t>d’identifier / référencer (y compris informations bancaires/RH) les rapporteurs qui participeront à l’instruction des comptes afin de pouvoir gérer leurs vacations, calculer leurs indemnités et éditer pour chacun l’état financier de leurs interventions ;</w:t>
      </w:r>
    </w:p>
    <w:p w14:paraId="4C07B5BA" w14:textId="77777777" w:rsidR="00B82B77" w:rsidRDefault="00B82B77" w:rsidP="00B82B77">
      <w:pPr>
        <w:pStyle w:val="Paragraphedeliste"/>
        <w:numPr>
          <w:ilvl w:val="0"/>
          <w:numId w:val="18"/>
        </w:numPr>
        <w:rPr>
          <w:rFonts w:cs="Arial"/>
        </w:rPr>
      </w:pPr>
      <w:r>
        <w:rPr>
          <w:rFonts w:cs="Arial"/>
        </w:rPr>
        <w:t>de gérer les affectations et le suivi d’avancement de l’instruction des comptes à contrôler aux rapporteurs, chargés de mission et rapporteur généraux en vérifiant des critères de compatibilité et les niveaux d’urgence (comptes faisant l’objet de contentieux) ;</w:t>
      </w:r>
    </w:p>
    <w:p w14:paraId="5ED38AAB" w14:textId="77777777" w:rsidR="00B82B77" w:rsidRDefault="00B82B77" w:rsidP="00B82B77">
      <w:pPr>
        <w:pStyle w:val="Paragraphedeliste"/>
        <w:numPr>
          <w:ilvl w:val="0"/>
          <w:numId w:val="18"/>
        </w:numPr>
        <w:rPr>
          <w:rFonts w:cs="Arial"/>
        </w:rPr>
      </w:pPr>
      <w:r>
        <w:rPr>
          <w:rFonts w:cs="Arial"/>
        </w:rPr>
        <w:t>de définir et intégrer un parcours d’audit des comptes pour les rapporteurs et chargés de mission du pôle élections ;</w:t>
      </w:r>
    </w:p>
    <w:p w14:paraId="747BA3C0" w14:textId="77777777" w:rsidR="00B82B77" w:rsidRPr="00A762AD" w:rsidRDefault="00B82B77" w:rsidP="00B82B77">
      <w:pPr>
        <w:pStyle w:val="Paragraphedeliste"/>
        <w:numPr>
          <w:ilvl w:val="0"/>
          <w:numId w:val="18"/>
        </w:numPr>
        <w:rPr>
          <w:rFonts w:cs="Arial"/>
        </w:rPr>
      </w:pPr>
      <w:r>
        <w:rPr>
          <w:rFonts w:cs="Arial"/>
        </w:rPr>
        <w:t>de gérer le planning des séances du collège ;</w:t>
      </w:r>
    </w:p>
    <w:p w14:paraId="4645F097" w14:textId="77777777" w:rsidR="00B82B77" w:rsidRDefault="00B82B77" w:rsidP="00B82B77">
      <w:pPr>
        <w:pStyle w:val="Paragraphedeliste"/>
        <w:ind w:left="1068"/>
        <w:rPr>
          <w:rFonts w:cs="Arial"/>
        </w:rPr>
      </w:pPr>
    </w:p>
    <w:p w14:paraId="042BA3CE" w14:textId="77777777" w:rsidR="00B82B77" w:rsidRPr="00164436" w:rsidRDefault="00B82B77" w:rsidP="00B82B77">
      <w:pPr>
        <w:pStyle w:val="Paragraphedeliste"/>
        <w:numPr>
          <w:ilvl w:val="0"/>
          <w:numId w:val="23"/>
        </w:numPr>
        <w:rPr>
          <w:rFonts w:cs="Arial"/>
        </w:rPr>
      </w:pPr>
      <w:r>
        <w:rPr>
          <w:rFonts w:cs="Arial"/>
        </w:rPr>
        <w:t>fournir toutes les fonctionnalités nécessaires aux processus d’</w:t>
      </w:r>
      <w:r w:rsidRPr="00C47E3B">
        <w:rPr>
          <w:rFonts w:cs="Arial"/>
        </w:rPr>
        <w:t>instruction des comptes de campagne.</w:t>
      </w:r>
      <w:r>
        <w:rPr>
          <w:rFonts w:cs="Arial"/>
        </w:rPr>
        <w:t xml:space="preserve"> Pour cela l’application devra permettre de :</w:t>
      </w:r>
    </w:p>
    <w:p w14:paraId="1937CC3D" w14:textId="77777777" w:rsidR="00B82B77" w:rsidRPr="00164436" w:rsidRDefault="00B82B77" w:rsidP="00B82B77">
      <w:pPr>
        <w:pStyle w:val="Paragraphedeliste"/>
        <w:numPr>
          <w:ilvl w:val="0"/>
          <w:numId w:val="18"/>
        </w:numPr>
        <w:rPr>
          <w:rFonts w:cs="Arial"/>
        </w:rPr>
      </w:pPr>
      <w:r>
        <w:rPr>
          <w:rFonts w:cs="Arial"/>
        </w:rPr>
        <w:t xml:space="preserve">consulter l’ensemble des informations et documents composant un compte de campagne : </w:t>
      </w:r>
    </w:p>
    <w:p w14:paraId="0CA2EEB2" w14:textId="77777777" w:rsidR="00B82B77" w:rsidRDefault="00B82B77" w:rsidP="00B82B77">
      <w:pPr>
        <w:pStyle w:val="Paragraphedeliste"/>
        <w:numPr>
          <w:ilvl w:val="1"/>
          <w:numId w:val="21"/>
        </w:numPr>
        <w:rPr>
          <w:rFonts w:cs="Arial"/>
        </w:rPr>
      </w:pPr>
      <w:r>
        <w:rPr>
          <w:rFonts w:cs="Arial"/>
        </w:rPr>
        <w:t>les informations relatives à l’élection, aux scrutins, aux candidats, mandataires, experts comptables…</w:t>
      </w:r>
    </w:p>
    <w:p w14:paraId="61ABCE6C" w14:textId="77777777" w:rsidR="00B82B77" w:rsidRDefault="00B82B77" w:rsidP="00B82B77">
      <w:pPr>
        <w:pStyle w:val="Paragraphedeliste"/>
        <w:numPr>
          <w:ilvl w:val="1"/>
          <w:numId w:val="21"/>
        </w:numPr>
        <w:rPr>
          <w:rFonts w:cs="Arial"/>
        </w:rPr>
      </w:pPr>
      <w:r>
        <w:rPr>
          <w:rFonts w:cs="Arial"/>
        </w:rPr>
        <w:t>l’état du dépôt ;</w:t>
      </w:r>
    </w:p>
    <w:p w14:paraId="171AE213" w14:textId="269DA5C0" w:rsidR="00B82B77" w:rsidRDefault="00B82B77" w:rsidP="00B82B77">
      <w:pPr>
        <w:pStyle w:val="Paragraphedeliste"/>
        <w:numPr>
          <w:ilvl w:val="1"/>
          <w:numId w:val="21"/>
        </w:numPr>
        <w:rPr>
          <w:rFonts w:cs="Arial"/>
        </w:rPr>
      </w:pPr>
      <w:r>
        <w:rPr>
          <w:rFonts w:cs="Arial"/>
        </w:rPr>
        <w:t>les états des dépenses, des recettes, des mains courantes</w:t>
      </w:r>
      <w:r w:rsidR="00786720">
        <w:rPr>
          <w:rFonts w:cs="Arial"/>
        </w:rPr>
        <w:t xml:space="preserve">, </w:t>
      </w:r>
      <w:r w:rsidR="00FD3530">
        <w:rPr>
          <w:rFonts w:cs="Arial"/>
        </w:rPr>
        <w:t>le FEC (fichier des écritures comptables),</w:t>
      </w:r>
      <w:r>
        <w:rPr>
          <w:rFonts w:cs="Arial"/>
        </w:rPr>
        <w:t>, des annexes et autres pièces justificatives telles que les relevés de compte bancaire, factures, etc…) ;</w:t>
      </w:r>
    </w:p>
    <w:p w14:paraId="7D5FA866" w14:textId="77777777" w:rsidR="00B82B77" w:rsidRDefault="00B82B77" w:rsidP="00B82B77">
      <w:pPr>
        <w:pStyle w:val="Paragraphedeliste"/>
        <w:ind w:left="2496"/>
        <w:rPr>
          <w:rFonts w:cs="Arial"/>
        </w:rPr>
      </w:pPr>
    </w:p>
    <w:p w14:paraId="59CC456B" w14:textId="77777777" w:rsidR="00B82B77" w:rsidRDefault="00B82B77" w:rsidP="00B82B77">
      <w:pPr>
        <w:pStyle w:val="Paragraphedeliste"/>
        <w:numPr>
          <w:ilvl w:val="0"/>
          <w:numId w:val="18"/>
        </w:numPr>
        <w:rPr>
          <w:rFonts w:cs="Arial"/>
        </w:rPr>
      </w:pPr>
      <w:r>
        <w:rPr>
          <w:rFonts w:cs="Arial"/>
        </w:rPr>
        <w:t>générer les états synthétiques de dépenses et recettes ;</w:t>
      </w:r>
    </w:p>
    <w:p w14:paraId="0C8FF729" w14:textId="77777777" w:rsidR="00B82B77" w:rsidRPr="00164436" w:rsidRDefault="00B82B77" w:rsidP="00B82B77">
      <w:pPr>
        <w:pStyle w:val="Paragraphedeliste"/>
        <w:numPr>
          <w:ilvl w:val="0"/>
          <w:numId w:val="18"/>
        </w:numPr>
        <w:rPr>
          <w:rFonts w:cs="Arial"/>
        </w:rPr>
      </w:pPr>
      <w:r>
        <w:rPr>
          <w:rFonts w:cs="Arial"/>
        </w:rPr>
        <w:t>réaliser des contrôles de cohérence automatisés ;</w:t>
      </w:r>
      <w:r w:rsidRPr="00164436">
        <w:rPr>
          <w:rFonts w:cs="Arial"/>
        </w:rPr>
        <w:t xml:space="preserve"> </w:t>
      </w:r>
    </w:p>
    <w:p w14:paraId="0A0998D8" w14:textId="77777777" w:rsidR="00B82B77" w:rsidRDefault="00B82B77" w:rsidP="00B82B77">
      <w:pPr>
        <w:pStyle w:val="Paragraphedeliste"/>
        <w:numPr>
          <w:ilvl w:val="0"/>
          <w:numId w:val="18"/>
        </w:numPr>
        <w:rPr>
          <w:rFonts w:cs="Arial"/>
        </w:rPr>
      </w:pPr>
      <w:r>
        <w:rPr>
          <w:rFonts w:cs="Arial"/>
        </w:rPr>
        <w:t>rapprocher automatiquement les pièces justificatives avec les éléments comptables (mains courantes, annexes, fichier des écritures comptables) ;</w:t>
      </w:r>
    </w:p>
    <w:p w14:paraId="2D394BBF" w14:textId="77777777" w:rsidR="00B82B77" w:rsidRDefault="00B82B77" w:rsidP="00B82B77">
      <w:pPr>
        <w:pStyle w:val="Paragraphedeliste"/>
        <w:numPr>
          <w:ilvl w:val="0"/>
          <w:numId w:val="18"/>
        </w:numPr>
        <w:rPr>
          <w:rFonts w:cs="Arial"/>
        </w:rPr>
      </w:pPr>
      <w:r>
        <w:rPr>
          <w:rFonts w:cs="Arial"/>
        </w:rPr>
        <w:t>procéder de manière collaborative (équipe de plusieurs rapporteurs et chargés de mission) à l’examen des comptes :</w:t>
      </w:r>
    </w:p>
    <w:p w14:paraId="0A1B977C" w14:textId="77777777" w:rsidR="00B82B77" w:rsidRPr="00164436" w:rsidRDefault="00B82B77" w:rsidP="00B82B77">
      <w:pPr>
        <w:pStyle w:val="Paragraphedeliste"/>
        <w:numPr>
          <w:ilvl w:val="1"/>
          <w:numId w:val="31"/>
        </w:numPr>
        <w:rPr>
          <w:rFonts w:cs="Arial"/>
        </w:rPr>
      </w:pPr>
      <w:r>
        <w:rPr>
          <w:rFonts w:cs="Arial"/>
        </w:rPr>
        <w:t>réaliser des procédures contradictoires en interaction avec les candidats ;</w:t>
      </w:r>
    </w:p>
    <w:p w14:paraId="5F8F3342" w14:textId="1D2A7474" w:rsidR="00B82B77" w:rsidRPr="00164436" w:rsidRDefault="00B82B77" w:rsidP="00B82B77">
      <w:pPr>
        <w:pStyle w:val="Paragraphedeliste"/>
        <w:numPr>
          <w:ilvl w:val="1"/>
          <w:numId w:val="31"/>
        </w:numPr>
        <w:rPr>
          <w:rFonts w:cs="Arial"/>
        </w:rPr>
      </w:pPr>
      <w:r>
        <w:rPr>
          <w:rFonts w:cs="Arial"/>
        </w:rPr>
        <w:t>calculer les modulations de remboursement / réformations relatives aux comptes de campagne ;</w:t>
      </w:r>
    </w:p>
    <w:p w14:paraId="13AE4232" w14:textId="77777777" w:rsidR="00B82B77" w:rsidRDefault="00B82B77" w:rsidP="00B82B77">
      <w:pPr>
        <w:pStyle w:val="Paragraphedeliste"/>
        <w:numPr>
          <w:ilvl w:val="1"/>
          <w:numId w:val="31"/>
        </w:numPr>
        <w:rPr>
          <w:rFonts w:cs="Arial"/>
        </w:rPr>
      </w:pPr>
      <w:r>
        <w:rPr>
          <w:rFonts w:cs="Arial"/>
        </w:rPr>
        <w:t>assister les contrôleurs (rapporteurs, chargés de mission et rapporteurs généraux) dans la génération des rapports d’analyse et des projets de décision ;</w:t>
      </w:r>
    </w:p>
    <w:p w14:paraId="1F2E3C20" w14:textId="77777777" w:rsidR="00B82B77" w:rsidRPr="00FC2D46" w:rsidRDefault="00B82B77" w:rsidP="00B82B77">
      <w:pPr>
        <w:rPr>
          <w:rFonts w:cs="Arial"/>
        </w:rPr>
      </w:pPr>
    </w:p>
    <w:p w14:paraId="4BC567CC" w14:textId="77777777" w:rsidR="00B82B77" w:rsidRPr="002D331A" w:rsidRDefault="00B82B77" w:rsidP="00B82B77">
      <w:pPr>
        <w:pStyle w:val="Paragraphedeliste"/>
        <w:ind w:left="1776"/>
        <w:rPr>
          <w:rFonts w:cs="Arial"/>
        </w:rPr>
      </w:pPr>
    </w:p>
    <w:p w14:paraId="6F2BE495" w14:textId="77777777" w:rsidR="00B82B77" w:rsidRPr="00164436" w:rsidRDefault="00B82B77" w:rsidP="00B82B77">
      <w:pPr>
        <w:pStyle w:val="Paragraphedeliste"/>
        <w:numPr>
          <w:ilvl w:val="0"/>
          <w:numId w:val="23"/>
        </w:numPr>
        <w:rPr>
          <w:rFonts w:cs="Arial"/>
        </w:rPr>
      </w:pPr>
      <w:r w:rsidRPr="00FC2D46">
        <w:rPr>
          <w:rFonts w:cs="Arial"/>
        </w:rPr>
        <w:t>assurer le suivi et la gestion des processus de décision</w:t>
      </w:r>
      <w:r>
        <w:rPr>
          <w:rFonts w:cs="Arial"/>
        </w:rPr>
        <w:t>, ce</w:t>
      </w:r>
      <w:r w:rsidRPr="00FC2D46">
        <w:rPr>
          <w:rFonts w:cs="Arial"/>
        </w:rPr>
        <w:t xml:space="preserve"> </w:t>
      </w:r>
      <w:r>
        <w:rPr>
          <w:rFonts w:cs="Arial"/>
        </w:rPr>
        <w:t>qui consiste à :</w:t>
      </w:r>
    </w:p>
    <w:p w14:paraId="01ED226A" w14:textId="77777777" w:rsidR="00B82B77" w:rsidRDefault="00B82B77" w:rsidP="00B82B77">
      <w:pPr>
        <w:pStyle w:val="Paragraphedeliste"/>
        <w:numPr>
          <w:ilvl w:val="0"/>
          <w:numId w:val="18"/>
        </w:numPr>
        <w:rPr>
          <w:rFonts w:cs="Arial"/>
        </w:rPr>
      </w:pPr>
      <w:r w:rsidRPr="00FC2D46">
        <w:rPr>
          <w:rFonts w:cs="Arial"/>
        </w:rPr>
        <w:t>planifi</w:t>
      </w:r>
      <w:r>
        <w:rPr>
          <w:rFonts w:cs="Arial"/>
        </w:rPr>
        <w:t>er</w:t>
      </w:r>
      <w:r w:rsidRPr="00FC2D46">
        <w:rPr>
          <w:rFonts w:cs="Arial"/>
        </w:rPr>
        <w:t xml:space="preserve"> </w:t>
      </w:r>
      <w:r>
        <w:rPr>
          <w:rFonts w:cs="Arial"/>
        </w:rPr>
        <w:t>l</w:t>
      </w:r>
      <w:r w:rsidRPr="00FC2D46">
        <w:rPr>
          <w:rFonts w:cs="Arial"/>
        </w:rPr>
        <w:t>es agenda</w:t>
      </w:r>
      <w:r>
        <w:rPr>
          <w:rFonts w:cs="Arial"/>
        </w:rPr>
        <w:t>s</w:t>
      </w:r>
      <w:r w:rsidRPr="00FC2D46">
        <w:rPr>
          <w:rFonts w:cs="Arial"/>
        </w:rPr>
        <w:t xml:space="preserve"> de séances</w:t>
      </w:r>
      <w:r>
        <w:rPr>
          <w:rFonts w:cs="Arial"/>
        </w:rPr>
        <w:t xml:space="preserve"> pour chaque compte/scrutin/circonscription ;</w:t>
      </w:r>
    </w:p>
    <w:p w14:paraId="014E00C6" w14:textId="77777777" w:rsidR="00B82B77" w:rsidRPr="00164436" w:rsidRDefault="00B82B77" w:rsidP="00B82B77">
      <w:pPr>
        <w:pStyle w:val="Paragraphedeliste"/>
        <w:numPr>
          <w:ilvl w:val="0"/>
          <w:numId w:val="18"/>
        </w:numPr>
        <w:rPr>
          <w:rFonts w:cs="Arial"/>
        </w:rPr>
      </w:pPr>
      <w:r>
        <w:rPr>
          <w:rFonts w:cs="Arial"/>
        </w:rPr>
        <w:t xml:space="preserve">insérer dans l’agenda des séances, d’éventuels créneaux horaires supplémentaires dédiés par exemple au traitement des dépenses de sécurité de chaque compte (en interconnexion avec Sécu’pol) ; </w:t>
      </w:r>
    </w:p>
    <w:p w14:paraId="28804B41" w14:textId="77777777" w:rsidR="00B82B77" w:rsidRPr="00164436" w:rsidRDefault="00B82B77" w:rsidP="00B82B77">
      <w:pPr>
        <w:pStyle w:val="Paragraphedeliste"/>
        <w:numPr>
          <w:ilvl w:val="0"/>
          <w:numId w:val="18"/>
        </w:numPr>
        <w:rPr>
          <w:rFonts w:cs="Arial"/>
        </w:rPr>
      </w:pPr>
      <w:r>
        <w:rPr>
          <w:rFonts w:cs="Arial"/>
        </w:rPr>
        <w:t xml:space="preserve">produire </w:t>
      </w:r>
      <w:r w:rsidRPr="00FC2D46">
        <w:rPr>
          <w:rFonts w:cs="Arial"/>
        </w:rPr>
        <w:t xml:space="preserve">et </w:t>
      </w:r>
      <w:r>
        <w:rPr>
          <w:rFonts w:cs="Arial"/>
        </w:rPr>
        <w:t>notifier</w:t>
      </w:r>
      <w:r w:rsidRPr="00FC2D46">
        <w:rPr>
          <w:rFonts w:cs="Arial"/>
        </w:rPr>
        <w:t xml:space="preserve"> </w:t>
      </w:r>
      <w:r>
        <w:rPr>
          <w:rFonts w:cs="Arial"/>
        </w:rPr>
        <w:t>l</w:t>
      </w:r>
      <w:r w:rsidRPr="00FC2D46">
        <w:rPr>
          <w:rFonts w:cs="Arial"/>
        </w:rPr>
        <w:t>es décisions</w:t>
      </w:r>
      <w:r>
        <w:rPr>
          <w:rFonts w:cs="Arial"/>
        </w:rPr>
        <w:t xml:space="preserve"> du collège  ;</w:t>
      </w:r>
    </w:p>
    <w:p w14:paraId="5CD3C43D" w14:textId="77777777" w:rsidR="00B82B77" w:rsidRDefault="00B82B77" w:rsidP="00B82B77">
      <w:pPr>
        <w:pStyle w:val="Paragraphedeliste"/>
        <w:numPr>
          <w:ilvl w:val="0"/>
          <w:numId w:val="18"/>
        </w:numPr>
        <w:rPr>
          <w:rFonts w:cs="Arial"/>
        </w:rPr>
      </w:pPr>
      <w:r>
        <w:rPr>
          <w:rFonts w:cs="Arial"/>
        </w:rPr>
        <w:t>réaliser</w:t>
      </w:r>
      <w:r w:rsidRPr="00FC2D46">
        <w:rPr>
          <w:rFonts w:cs="Arial"/>
        </w:rPr>
        <w:t xml:space="preserve"> </w:t>
      </w:r>
      <w:r>
        <w:rPr>
          <w:rFonts w:cs="Arial"/>
        </w:rPr>
        <w:t>l</w:t>
      </w:r>
      <w:r w:rsidRPr="00FC2D46">
        <w:rPr>
          <w:rFonts w:cs="Arial"/>
        </w:rPr>
        <w:t xml:space="preserve">es </w:t>
      </w:r>
      <w:r>
        <w:rPr>
          <w:rFonts w:cs="Arial"/>
        </w:rPr>
        <w:t>saisines auprès du juge de l’élection ;</w:t>
      </w:r>
    </w:p>
    <w:p w14:paraId="431C37BB" w14:textId="77777777" w:rsidR="00B82B77" w:rsidRPr="00164436" w:rsidRDefault="00B82B77" w:rsidP="00B82B77">
      <w:pPr>
        <w:pStyle w:val="Paragraphedeliste"/>
        <w:numPr>
          <w:ilvl w:val="0"/>
          <w:numId w:val="18"/>
        </w:numPr>
        <w:rPr>
          <w:rFonts w:cs="Arial"/>
        </w:rPr>
      </w:pPr>
      <w:r>
        <w:rPr>
          <w:rFonts w:cs="Arial"/>
        </w:rPr>
        <w:t>publier les décisions dans la base de connaissance Sharepoint de la Commission (portail des décisions)</w:t>
      </w:r>
    </w:p>
    <w:p w14:paraId="2C92E1BE" w14:textId="77777777" w:rsidR="00B82B77" w:rsidRDefault="00B82B77" w:rsidP="00B82B77">
      <w:pPr>
        <w:rPr>
          <w:rFonts w:cs="Arial"/>
        </w:rPr>
      </w:pPr>
    </w:p>
    <w:p w14:paraId="19EB0394" w14:textId="77777777" w:rsidR="00B82B77" w:rsidRDefault="00B82B77" w:rsidP="00B82B77">
      <w:pPr>
        <w:rPr>
          <w:rFonts w:cs="Arial"/>
        </w:rPr>
      </w:pPr>
    </w:p>
    <w:p w14:paraId="67F4F82A" w14:textId="77777777" w:rsidR="00B82B77" w:rsidRDefault="00B82B77" w:rsidP="00B82B77">
      <w:pPr>
        <w:rPr>
          <w:rFonts w:cs="Arial"/>
        </w:rPr>
      </w:pPr>
      <w:r>
        <w:rPr>
          <w:rFonts w:cs="Arial"/>
        </w:rPr>
        <w:t xml:space="preserve">C’est à ce palier que doit intervenir la mise en œuvre d’un outil d’océrisation - LAD/RAD et d’un outil d’éditique et de production collaborative </w:t>
      </w:r>
      <w:r w:rsidRPr="00EC4976">
        <w:rPr>
          <w:rFonts w:cs="Arial"/>
          <w:b/>
          <w:bCs/>
        </w:rPr>
        <w:t xml:space="preserve">particulièrement </w:t>
      </w:r>
      <w:r>
        <w:rPr>
          <w:rFonts w:cs="Arial"/>
          <w:b/>
          <w:bCs/>
        </w:rPr>
        <w:t xml:space="preserve">important et </w:t>
      </w:r>
      <w:r w:rsidRPr="00EC4976">
        <w:rPr>
          <w:rFonts w:cs="Arial"/>
          <w:b/>
          <w:bCs/>
        </w:rPr>
        <w:t>stratégique</w:t>
      </w:r>
      <w:r>
        <w:rPr>
          <w:rFonts w:cs="Arial"/>
        </w:rPr>
        <w:t xml:space="preserve"> pour la Commission. </w:t>
      </w:r>
    </w:p>
    <w:p w14:paraId="3BE15453" w14:textId="77777777" w:rsidR="00B82B77" w:rsidRDefault="00B82B77" w:rsidP="00B82B77">
      <w:pPr>
        <w:rPr>
          <w:rFonts w:cs="Arial"/>
        </w:rPr>
      </w:pPr>
    </w:p>
    <w:p w14:paraId="4E6CD1AA" w14:textId="0F023754" w:rsidR="00B82B77" w:rsidRPr="00594B96" w:rsidRDefault="00B82B77" w:rsidP="00B82B77">
      <w:pPr>
        <w:rPr>
          <w:rFonts w:cs="Arial"/>
        </w:rPr>
      </w:pPr>
      <w:r>
        <w:rPr>
          <w:rFonts w:cs="Arial"/>
        </w:rPr>
        <w:t xml:space="preserve">L’océrisation et la </w:t>
      </w:r>
      <w:r w:rsidRPr="00594B96">
        <w:rPr>
          <w:rFonts w:cs="Arial"/>
        </w:rPr>
        <w:t>LAD/RAD</w:t>
      </w:r>
      <w:r w:rsidR="001B7ADB">
        <w:rPr>
          <w:rFonts w:cs="Arial"/>
        </w:rPr>
        <w:t>/RAG</w:t>
      </w:r>
      <w:r w:rsidRPr="00594B96">
        <w:rPr>
          <w:rFonts w:cs="Arial"/>
        </w:rPr>
        <w:t xml:space="preserve"> </w:t>
      </w:r>
      <w:r>
        <w:rPr>
          <w:rFonts w:cs="Arial"/>
        </w:rPr>
        <w:t>permettent</w:t>
      </w:r>
      <w:r w:rsidRPr="00594B96">
        <w:rPr>
          <w:rFonts w:cs="Arial"/>
        </w:rPr>
        <w:t xml:space="preserve"> l’analyse automatisée des documents par les usagers (candidats et partis) afin de faciliter les travaux de contrôle des agents de la Commission en rapproch</w:t>
      </w:r>
      <w:r>
        <w:rPr>
          <w:rFonts w:cs="Arial"/>
        </w:rPr>
        <w:t>ant</w:t>
      </w:r>
      <w:r w:rsidRPr="00594B96">
        <w:rPr>
          <w:rFonts w:cs="Arial"/>
        </w:rPr>
        <w:t xml:space="preserve"> documents et justificatifs (relevés bancaires, factures, etc…) </w:t>
      </w:r>
      <w:r>
        <w:rPr>
          <w:rFonts w:cs="Arial"/>
        </w:rPr>
        <w:t>des</w:t>
      </w:r>
      <w:r w:rsidRPr="00594B96">
        <w:rPr>
          <w:rFonts w:cs="Arial"/>
        </w:rPr>
        <w:t xml:space="preserve"> écrit</w:t>
      </w:r>
      <w:r>
        <w:rPr>
          <w:rFonts w:cs="Arial"/>
        </w:rPr>
        <w:t>ur</w:t>
      </w:r>
      <w:r w:rsidRPr="00594B96">
        <w:rPr>
          <w:rFonts w:cs="Arial"/>
        </w:rPr>
        <w:t xml:space="preserve">es comptables des comptes de campagne. Ce module d’analyse des documents devra permettre de traiter </w:t>
      </w:r>
      <w:r w:rsidRPr="00A13E81">
        <w:rPr>
          <w:rFonts w:cs="Arial"/>
          <w:i/>
        </w:rPr>
        <w:t>a posteriori</w:t>
      </w:r>
      <w:r w:rsidRPr="00594B96">
        <w:rPr>
          <w:rFonts w:cs="Arial"/>
        </w:rPr>
        <w:t xml:space="preserve"> de l’ensemble des documents ayant été stockés au palier n°1 de l’application ;</w:t>
      </w:r>
    </w:p>
    <w:p w14:paraId="3FB4349C" w14:textId="77777777" w:rsidR="00B82B77" w:rsidRDefault="00B82B77" w:rsidP="00B82B77">
      <w:pPr>
        <w:rPr>
          <w:rFonts w:cs="Arial"/>
        </w:rPr>
      </w:pPr>
    </w:p>
    <w:p w14:paraId="7F5313F1" w14:textId="3A36E562" w:rsidR="00B82B77" w:rsidRDefault="00B82B77" w:rsidP="00B82B77">
      <w:pPr>
        <w:rPr>
          <w:rFonts w:cs="Arial"/>
        </w:rPr>
      </w:pPr>
      <w:r>
        <w:rPr>
          <w:rFonts w:cs="Arial"/>
        </w:rPr>
        <w:t xml:space="preserve">Les outils d’éditique et de production collaborative à très forte valeur ajoutée ont pour objectif d’améliorer le travail collaboratif, la coédition et de faciliter la génération des rapports et synthèses de contrôle, des projets de décision et des décisions. Ces modules de contrôle et d’éditique collaboratifs induisent la mise en œuvre </w:t>
      </w:r>
      <w:r w:rsidR="00FD3530">
        <w:rPr>
          <w:rFonts w:cs="Arial"/>
        </w:rPr>
        <w:t>de nombreuses règles métier</w:t>
      </w:r>
      <w:r>
        <w:rPr>
          <w:rFonts w:cs="Arial"/>
        </w:rPr>
        <w:t xml:space="preserve"> capable de prendre en compte les particularités d’un compte de campagne et l’ensemble des travaux de modulation / réformation réalisés par les rapporteurs, chargés de mission et rapporteurs généraux</w:t>
      </w:r>
      <w:r w:rsidR="001B7ADB">
        <w:rPr>
          <w:rFonts w:cs="Arial"/>
        </w:rPr>
        <w:t xml:space="preserve">. </w:t>
      </w:r>
      <w:r w:rsidR="00DE3C6B">
        <w:rPr>
          <w:rFonts w:cs="Arial"/>
        </w:rPr>
        <w:t xml:space="preserve">La Commission devra être en mesure d’agir à tout moment sur </w:t>
      </w:r>
      <w:r w:rsidR="00041C04">
        <w:rPr>
          <w:rFonts w:cs="Arial"/>
        </w:rPr>
        <w:t>le paramétrage de l’</w:t>
      </w:r>
      <w:r w:rsidR="00DE3C6B">
        <w:rPr>
          <w:rFonts w:cs="Arial"/>
        </w:rPr>
        <w:t>outil d’automatisation et d’assistance à l’éditique afin d</w:t>
      </w:r>
      <w:r w:rsidR="00041C04">
        <w:rPr>
          <w:rFonts w:cs="Arial"/>
        </w:rPr>
        <w:t>’intégrer</w:t>
      </w:r>
      <w:r w:rsidR="00DE3C6B">
        <w:rPr>
          <w:rFonts w:cs="Arial"/>
        </w:rPr>
        <w:t xml:space="preserve">, modifier ou supprimer des règles métiers et d’en définir l’impact sur la génération </w:t>
      </w:r>
      <w:r w:rsidR="002954D2">
        <w:rPr>
          <w:rFonts w:cs="Arial"/>
        </w:rPr>
        <w:t xml:space="preserve">assistée et </w:t>
      </w:r>
      <w:r w:rsidR="00041C04">
        <w:rPr>
          <w:rFonts w:cs="Arial"/>
        </w:rPr>
        <w:t>semi-</w:t>
      </w:r>
      <w:r w:rsidR="00DE3C6B">
        <w:rPr>
          <w:rFonts w:cs="Arial"/>
        </w:rPr>
        <w:t>automati</w:t>
      </w:r>
      <w:r w:rsidR="00041C04">
        <w:rPr>
          <w:rFonts w:cs="Arial"/>
        </w:rPr>
        <w:t>sée</w:t>
      </w:r>
      <w:r w:rsidR="00DE3C6B">
        <w:rPr>
          <w:rFonts w:cs="Arial"/>
        </w:rPr>
        <w:t xml:space="preserve"> des documents</w:t>
      </w:r>
      <w:r w:rsidR="002954D2">
        <w:rPr>
          <w:rFonts w:cs="Arial"/>
        </w:rPr>
        <w:t> : ajouts, modifications suppression de paragraphes, de termes, de mentions, etc..</w:t>
      </w:r>
      <w:r w:rsidR="00041C04">
        <w:rPr>
          <w:rFonts w:cs="Arial"/>
        </w:rPr>
        <w:t>.</w:t>
      </w:r>
    </w:p>
    <w:p w14:paraId="31310B7F" w14:textId="77777777" w:rsidR="00B82B77" w:rsidRDefault="00B82B77" w:rsidP="00B82B77">
      <w:pPr>
        <w:rPr>
          <w:rFonts w:cs="Arial"/>
        </w:rPr>
      </w:pPr>
    </w:p>
    <w:p w14:paraId="4192E639" w14:textId="77777777" w:rsidR="00B82B77" w:rsidRDefault="00B82B77" w:rsidP="00B82B77">
      <w:pPr>
        <w:rPr>
          <w:rFonts w:cs="Arial"/>
        </w:rPr>
      </w:pPr>
      <w:r>
        <w:rPr>
          <w:rFonts w:cs="Arial"/>
        </w:rPr>
        <w:t xml:space="preserve">A ce stade, l’application doit impérativement s’interconnecter et échanger des données et documents avec d’autres applications internes à la Commission qui sont : </w:t>
      </w:r>
    </w:p>
    <w:p w14:paraId="3B96DF71" w14:textId="77777777" w:rsidR="00B82B77" w:rsidRPr="00486B21" w:rsidRDefault="00B82B77" w:rsidP="00B82B77">
      <w:pPr>
        <w:pStyle w:val="Paragraphedeliste"/>
        <w:numPr>
          <w:ilvl w:val="0"/>
          <w:numId w:val="33"/>
        </w:numPr>
        <w:rPr>
          <w:rFonts w:cs="Arial"/>
        </w:rPr>
      </w:pPr>
      <w:r>
        <w:rPr>
          <w:rFonts w:cs="Arial"/>
        </w:rPr>
        <w:t xml:space="preserve">l’application </w:t>
      </w:r>
      <w:r w:rsidRPr="00486B21">
        <w:rPr>
          <w:rFonts w:cs="Arial"/>
        </w:rPr>
        <w:t>Périclès qui permet d’initialiser les données relatives aux comptes de campagne avec la récupération des informations relatives aux candidats, mandataires, scrutins, circonscriptions, etc…</w:t>
      </w:r>
    </w:p>
    <w:p w14:paraId="2606B783" w14:textId="77777777" w:rsidR="00B82B77" w:rsidRDefault="00B82B77" w:rsidP="00B82B77">
      <w:pPr>
        <w:pStyle w:val="Paragraphedeliste"/>
        <w:numPr>
          <w:ilvl w:val="0"/>
          <w:numId w:val="33"/>
        </w:numPr>
        <w:rPr>
          <w:rFonts w:cs="Arial"/>
        </w:rPr>
      </w:pPr>
      <w:r>
        <w:rPr>
          <w:rFonts w:cs="Arial"/>
        </w:rPr>
        <w:t xml:space="preserve">l’application </w:t>
      </w:r>
      <w:r w:rsidRPr="00486B21">
        <w:rPr>
          <w:rFonts w:cs="Arial"/>
        </w:rPr>
        <w:t>Sécu’pol qui permet de référencer et signaler les candidats en situation de menace avérée et bénéficiant d’un compte de dépense de sécurité</w:t>
      </w:r>
      <w:r>
        <w:rPr>
          <w:rFonts w:cs="Arial"/>
        </w:rPr>
        <w:t> ;</w:t>
      </w:r>
    </w:p>
    <w:p w14:paraId="6ABADEAD" w14:textId="77777777" w:rsidR="00B82B77" w:rsidRPr="00486B21" w:rsidRDefault="00B82B77" w:rsidP="00B82B77">
      <w:pPr>
        <w:pStyle w:val="Paragraphedeliste"/>
        <w:numPr>
          <w:ilvl w:val="0"/>
          <w:numId w:val="33"/>
        </w:numPr>
        <w:rPr>
          <w:rFonts w:cs="Arial"/>
        </w:rPr>
      </w:pPr>
      <w:r w:rsidRPr="00486B21">
        <w:rPr>
          <w:rFonts w:cs="Arial"/>
        </w:rPr>
        <w:t>la GEC</w:t>
      </w:r>
      <w:r>
        <w:rPr>
          <w:rFonts w:cs="Arial"/>
        </w:rPr>
        <w:t>/GED</w:t>
      </w:r>
      <w:r w:rsidRPr="00486B21">
        <w:rPr>
          <w:rFonts w:cs="Arial"/>
        </w:rPr>
        <w:t xml:space="preserve"> </w:t>
      </w:r>
      <w:r>
        <w:rPr>
          <w:rFonts w:cs="Arial"/>
        </w:rPr>
        <w:t xml:space="preserve">Filedirector </w:t>
      </w:r>
      <w:r w:rsidRPr="00486B21">
        <w:rPr>
          <w:rFonts w:cs="Arial"/>
        </w:rPr>
        <w:t>Efalia qui trace les échanges de courriers entre la commission et les candidats ;</w:t>
      </w:r>
    </w:p>
    <w:p w14:paraId="1DFD74A2" w14:textId="77777777" w:rsidR="00B82B77" w:rsidRPr="00486B21" w:rsidRDefault="00B82B77" w:rsidP="00B82B77">
      <w:pPr>
        <w:pStyle w:val="Paragraphedeliste"/>
        <w:numPr>
          <w:ilvl w:val="0"/>
          <w:numId w:val="33"/>
        </w:numPr>
        <w:rPr>
          <w:rFonts w:cs="Arial"/>
        </w:rPr>
      </w:pPr>
      <w:r w:rsidRPr="00486B21">
        <w:rPr>
          <w:rFonts w:cs="Arial"/>
        </w:rPr>
        <w:t xml:space="preserve">le serveur Sharepoint </w:t>
      </w:r>
      <w:r>
        <w:rPr>
          <w:rFonts w:cs="Arial"/>
        </w:rPr>
        <w:t xml:space="preserve">2019 </w:t>
      </w:r>
      <w:r w:rsidRPr="00486B21">
        <w:rPr>
          <w:rFonts w:cs="Arial"/>
        </w:rPr>
        <w:t xml:space="preserve">qui </w:t>
      </w:r>
      <w:r>
        <w:rPr>
          <w:rFonts w:cs="Arial"/>
        </w:rPr>
        <w:t>centralise</w:t>
      </w:r>
      <w:r w:rsidRPr="00486B21">
        <w:rPr>
          <w:rFonts w:cs="Arial"/>
        </w:rPr>
        <w:t xml:space="preserve"> l’ensemble des décisions prononcées par l</w:t>
      </w:r>
      <w:r>
        <w:rPr>
          <w:rFonts w:cs="Arial"/>
        </w:rPr>
        <w:t>a</w:t>
      </w:r>
      <w:r w:rsidRPr="00486B21">
        <w:rPr>
          <w:rFonts w:cs="Arial"/>
        </w:rPr>
        <w:t xml:space="preserve"> </w:t>
      </w:r>
      <w:r>
        <w:rPr>
          <w:rFonts w:cs="Arial"/>
        </w:rPr>
        <w:t>commission</w:t>
      </w:r>
      <w:r w:rsidRPr="00486B21">
        <w:rPr>
          <w:rFonts w:cs="Arial"/>
        </w:rPr>
        <w:t>.</w:t>
      </w:r>
    </w:p>
    <w:p w14:paraId="1F701FE7" w14:textId="77777777" w:rsidR="00B82B77" w:rsidRDefault="00B82B77" w:rsidP="00B82B77">
      <w:pPr>
        <w:rPr>
          <w:rFonts w:cs="Arial"/>
        </w:rPr>
      </w:pPr>
    </w:p>
    <w:p w14:paraId="2B84AB79" w14:textId="77777777" w:rsidR="00B82B77" w:rsidRDefault="00B82B77" w:rsidP="00B82B77">
      <w:r>
        <w:rPr>
          <w:rFonts w:cs="Arial"/>
        </w:rPr>
        <w:t>Toutes ces applications sont dotées d’API permettant de réaliser l’interconnexion et la synchronisation de données. Il conviendra toutefois de limiter au maximum la duplication de documents comme par exemple la duplication de courriers numérisés en GEC.</w:t>
      </w:r>
    </w:p>
    <w:p w14:paraId="1BB31089" w14:textId="77777777" w:rsidR="00B82B77" w:rsidRPr="00C3727C" w:rsidRDefault="00B82B77" w:rsidP="00B82B77">
      <w:pPr>
        <w:rPr>
          <w:rFonts w:cs="Arial"/>
        </w:rPr>
      </w:pPr>
    </w:p>
    <w:p w14:paraId="3F8E0780" w14:textId="53740BE8" w:rsidR="00B82B77" w:rsidRDefault="00B82B77" w:rsidP="00B82B77">
      <w:pPr>
        <w:pStyle w:val="Titre3"/>
      </w:pPr>
      <w:bookmarkStart w:id="90" w:name="_Toc218852824"/>
      <w:r w:rsidRPr="000D22BF">
        <w:t>Palier 3</w:t>
      </w:r>
      <w:r>
        <w:t xml:space="preserve"> – Le dépôt et le contrôle des comptes d’ensemble des partis politiques</w:t>
      </w:r>
      <w:r w:rsidR="008516E2">
        <w:t xml:space="preserve"> (susceptible d’évoluer)</w:t>
      </w:r>
      <w:bookmarkEnd w:id="90"/>
    </w:p>
    <w:p w14:paraId="46C28806" w14:textId="77777777" w:rsidR="00B82B77" w:rsidRPr="000D22BF" w:rsidRDefault="00B82B77" w:rsidP="00B82B77">
      <w:pPr>
        <w:rPr>
          <w:rFonts w:cs="Arial"/>
        </w:rPr>
      </w:pPr>
    </w:p>
    <w:p w14:paraId="2FE935CF" w14:textId="77777777" w:rsidR="00B82B77" w:rsidRDefault="00B82B77" w:rsidP="00B82B77">
      <w:pPr>
        <w:rPr>
          <w:rFonts w:cs="Arial"/>
        </w:rPr>
      </w:pPr>
      <w:r>
        <w:rPr>
          <w:rFonts w:cs="Arial"/>
        </w:rPr>
        <w:t>Ce troisième palier fixé</w:t>
      </w:r>
      <w:r w:rsidRPr="000D22BF">
        <w:rPr>
          <w:rFonts w:cs="Arial"/>
        </w:rPr>
        <w:t xml:space="preserve"> en </w:t>
      </w:r>
      <w:r>
        <w:rPr>
          <w:rFonts w:cs="Arial"/>
        </w:rPr>
        <w:t>janvier</w:t>
      </w:r>
      <w:r w:rsidRPr="000D22BF">
        <w:rPr>
          <w:rFonts w:cs="Arial"/>
        </w:rPr>
        <w:t xml:space="preserve"> 202</w:t>
      </w:r>
      <w:r>
        <w:rPr>
          <w:rFonts w:cs="Arial"/>
        </w:rPr>
        <w:t>8</w:t>
      </w:r>
      <w:r w:rsidRPr="000D22BF">
        <w:rPr>
          <w:rFonts w:cs="Arial"/>
        </w:rPr>
        <w:t> </w:t>
      </w:r>
      <w:r>
        <w:rPr>
          <w:rFonts w:cs="Arial"/>
        </w:rPr>
        <w:t>a pour principaux objectifs de finaliser les fonctionnalités relatives aux partis politiques et notamment de permettre le traitement des délivrances et retraits d’agrément pour les associations de financement et l’enregistrement des déclarations et fins de fonction des mandataires financiers ainsi que le dépôt, le contrôle, l’i</w:t>
      </w:r>
      <w:r w:rsidRPr="000D22BF">
        <w:rPr>
          <w:rFonts w:cs="Arial"/>
        </w:rPr>
        <w:t xml:space="preserve">nstruction et </w:t>
      </w:r>
      <w:r>
        <w:rPr>
          <w:rFonts w:cs="Arial"/>
        </w:rPr>
        <w:t xml:space="preserve">la génération des </w:t>
      </w:r>
      <w:r w:rsidRPr="000D22BF">
        <w:rPr>
          <w:rFonts w:cs="Arial"/>
        </w:rPr>
        <w:t>décision</w:t>
      </w:r>
      <w:r>
        <w:rPr>
          <w:rFonts w:cs="Arial"/>
        </w:rPr>
        <w:t>s</w:t>
      </w:r>
      <w:r w:rsidRPr="000D22BF">
        <w:rPr>
          <w:rFonts w:cs="Arial"/>
        </w:rPr>
        <w:t xml:space="preserve"> </w:t>
      </w:r>
      <w:r>
        <w:rPr>
          <w:rFonts w:cs="Arial"/>
        </w:rPr>
        <w:t>relatives aux</w:t>
      </w:r>
      <w:r w:rsidRPr="000D22BF">
        <w:rPr>
          <w:rFonts w:cs="Arial"/>
        </w:rPr>
        <w:t xml:space="preserve"> comptes</w:t>
      </w:r>
      <w:r>
        <w:rPr>
          <w:rFonts w:cs="Arial"/>
        </w:rPr>
        <w:t xml:space="preserve"> d’ensemble des partis politiques. </w:t>
      </w:r>
    </w:p>
    <w:p w14:paraId="20C201B2" w14:textId="77777777" w:rsidR="00B82B77" w:rsidRDefault="00B82B77" w:rsidP="00B82B77">
      <w:pPr>
        <w:rPr>
          <w:rFonts w:cs="Arial"/>
        </w:rPr>
      </w:pPr>
    </w:p>
    <w:p w14:paraId="4DC7C5AE" w14:textId="77777777" w:rsidR="00B82B77" w:rsidRDefault="00B82B77" w:rsidP="00B82B77">
      <w:pPr>
        <w:rPr>
          <w:rFonts w:cs="Arial"/>
        </w:rPr>
      </w:pPr>
      <w:r>
        <w:rPr>
          <w:rFonts w:cs="Arial"/>
        </w:rPr>
        <w:t>Ce palier vient étendre aux partis politiques, les fonctionnalités d’océrisation, de LAD/RAD et d’analyse automatisée des documents initialisées au palier n°2 pour les élections, et vient ajouter de nouveaux modules tels que la définition des stratégies d’audit, le module de parapheur, de signature et d’envoi électronique de document ainsi que le suivi des dossiers post-décision.</w:t>
      </w:r>
    </w:p>
    <w:p w14:paraId="03F79103" w14:textId="77777777" w:rsidR="00B82B77" w:rsidRDefault="00B82B77" w:rsidP="00B82B77">
      <w:pPr>
        <w:rPr>
          <w:rFonts w:cs="Arial"/>
        </w:rPr>
      </w:pPr>
    </w:p>
    <w:p w14:paraId="4B82C9AD" w14:textId="77777777" w:rsidR="00B82B77" w:rsidRDefault="00B82B77" w:rsidP="00B82B77">
      <w:pPr>
        <w:rPr>
          <w:rFonts w:cs="Arial"/>
        </w:rPr>
      </w:pPr>
    </w:p>
    <w:p w14:paraId="737FC46A" w14:textId="77777777" w:rsidR="00B82B77" w:rsidRPr="00164436" w:rsidRDefault="00B82B77" w:rsidP="00B82B77">
      <w:r>
        <w:rPr>
          <w:rFonts w:cs="Arial"/>
        </w:rPr>
        <w:t xml:space="preserve">Par rapport à la cartographie globale voici les </w:t>
      </w:r>
      <w:r>
        <w:t>principaux modules métiers attendus au palier 3 :</w:t>
      </w:r>
    </w:p>
    <w:p w14:paraId="079F1D28" w14:textId="77777777" w:rsidR="00B82B77" w:rsidRPr="000D22BF" w:rsidRDefault="00B82B77" w:rsidP="00B82B77">
      <w:pPr>
        <w:rPr>
          <w:rFonts w:cs="Arial"/>
        </w:rPr>
      </w:pPr>
    </w:p>
    <w:p w14:paraId="7E2E4ABD" w14:textId="77777777" w:rsidR="00B82B77" w:rsidRDefault="00B82B77" w:rsidP="00B82B77">
      <w:pPr>
        <w:rPr>
          <w:rFonts w:cs="Arial"/>
        </w:rPr>
      </w:pPr>
      <w:r w:rsidRPr="00C50436">
        <w:rPr>
          <w:rFonts w:cs="Arial"/>
          <w:noProof/>
          <w:lang w:eastAsia="fr-FR"/>
        </w:rPr>
        <w:drawing>
          <wp:inline distT="0" distB="0" distL="0" distR="0" wp14:anchorId="134D84C6" wp14:editId="1FEB4DF0">
            <wp:extent cx="5760720" cy="29032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03220"/>
                    </a:xfrm>
                    <a:prstGeom prst="rect">
                      <a:avLst/>
                    </a:prstGeom>
                  </pic:spPr>
                </pic:pic>
              </a:graphicData>
            </a:graphic>
          </wp:inline>
        </w:drawing>
      </w:r>
    </w:p>
    <w:p w14:paraId="50F6323D" w14:textId="77777777" w:rsidR="00B82B77" w:rsidRDefault="00B82B77" w:rsidP="00B82B77">
      <w:pPr>
        <w:rPr>
          <w:rFonts w:cs="Arial"/>
        </w:rPr>
      </w:pPr>
    </w:p>
    <w:p w14:paraId="0FF2387D" w14:textId="77777777" w:rsidR="00B82B77" w:rsidRDefault="00B82B77" w:rsidP="00B82B77">
      <w:pPr>
        <w:rPr>
          <w:rFonts w:cs="Arial"/>
        </w:rPr>
      </w:pPr>
    </w:p>
    <w:p w14:paraId="5A6DBD38" w14:textId="77777777" w:rsidR="00B82B77" w:rsidRDefault="00B82B77" w:rsidP="00B82B77">
      <w:pPr>
        <w:rPr>
          <w:rFonts w:cs="Arial"/>
        </w:rPr>
      </w:pPr>
      <w:r>
        <w:rPr>
          <w:rFonts w:cs="Arial"/>
        </w:rPr>
        <w:t>Ce troisième palier fournira les fonctionnalités suivantes :</w:t>
      </w:r>
    </w:p>
    <w:p w14:paraId="3F00F4D2" w14:textId="77777777" w:rsidR="00B82B77" w:rsidRDefault="00B82B77" w:rsidP="00B82B77">
      <w:pPr>
        <w:jc w:val="left"/>
      </w:pPr>
    </w:p>
    <w:p w14:paraId="22BCF036" w14:textId="77777777" w:rsidR="00B82B77" w:rsidRPr="007E2869" w:rsidRDefault="00B82B77" w:rsidP="00B82B77">
      <w:pPr>
        <w:pStyle w:val="Paragraphedeliste"/>
        <w:numPr>
          <w:ilvl w:val="0"/>
          <w:numId w:val="29"/>
        </w:numPr>
        <w:rPr>
          <w:rFonts w:cs="Arial"/>
        </w:rPr>
      </w:pPr>
      <w:r>
        <w:rPr>
          <w:rFonts w:cs="Arial"/>
        </w:rPr>
        <w:t>au niveau du front-office, les partis politiques pourront</w:t>
      </w:r>
      <w:r w:rsidRPr="00431EBD">
        <w:rPr>
          <w:rFonts w:cs="Arial"/>
        </w:rPr>
        <w:t> :</w:t>
      </w:r>
    </w:p>
    <w:p w14:paraId="45580BE0" w14:textId="0098D907" w:rsidR="00B82B77" w:rsidRDefault="00B82B77" w:rsidP="00B82B77">
      <w:pPr>
        <w:pStyle w:val="Paragraphedeliste"/>
        <w:numPr>
          <w:ilvl w:val="0"/>
          <w:numId w:val="25"/>
        </w:numPr>
        <w:rPr>
          <w:rFonts w:cs="Arial"/>
        </w:rPr>
      </w:pPr>
      <w:r>
        <w:rPr>
          <w:rFonts w:cs="Arial"/>
        </w:rPr>
        <w:t xml:space="preserve">procéder au dépôt de leurs comptes d’ensemble en mode flux (webservices), </w:t>
      </w:r>
      <w:r w:rsidR="00041C04">
        <w:rPr>
          <w:rFonts w:cs="Arial"/>
        </w:rPr>
        <w:t xml:space="preserve">import de </w:t>
      </w:r>
      <w:r>
        <w:rPr>
          <w:rFonts w:cs="Arial"/>
        </w:rPr>
        <w:t>fichier</w:t>
      </w:r>
      <w:r w:rsidR="00041C04">
        <w:rPr>
          <w:rFonts w:cs="Arial"/>
        </w:rPr>
        <w:t>s de données structurées</w:t>
      </w:r>
      <w:r>
        <w:rPr>
          <w:rFonts w:cs="Arial"/>
        </w:rPr>
        <w:t xml:space="preserve"> ou saisie ;</w:t>
      </w:r>
    </w:p>
    <w:p w14:paraId="5DCC7C6C" w14:textId="77777777" w:rsidR="00B82B77" w:rsidRDefault="00B82B77" w:rsidP="00B82B77">
      <w:pPr>
        <w:pStyle w:val="Paragraphedeliste"/>
        <w:numPr>
          <w:ilvl w:val="0"/>
          <w:numId w:val="25"/>
        </w:numPr>
        <w:rPr>
          <w:rFonts w:cs="Arial"/>
        </w:rPr>
      </w:pPr>
      <w:r>
        <w:rPr>
          <w:rFonts w:cs="Arial"/>
        </w:rPr>
        <w:t>déclarer/mettre à jour leurs mandataires ;</w:t>
      </w:r>
    </w:p>
    <w:p w14:paraId="08CE123B" w14:textId="77777777" w:rsidR="00B82B77" w:rsidRDefault="00B82B77" w:rsidP="00B82B77">
      <w:pPr>
        <w:pStyle w:val="Paragraphedeliste"/>
        <w:numPr>
          <w:ilvl w:val="0"/>
          <w:numId w:val="25"/>
        </w:numPr>
        <w:rPr>
          <w:rFonts w:cs="Arial"/>
        </w:rPr>
      </w:pPr>
      <w:r>
        <w:rPr>
          <w:rFonts w:cs="Arial"/>
        </w:rPr>
        <w:t>gérer leurs changements de statut de leur partis ou mandataires ;</w:t>
      </w:r>
    </w:p>
    <w:p w14:paraId="649E107D" w14:textId="77777777" w:rsidR="00B82B77" w:rsidRDefault="00B82B77" w:rsidP="00B82B77">
      <w:pPr>
        <w:pStyle w:val="Paragraphedeliste"/>
        <w:numPr>
          <w:ilvl w:val="0"/>
          <w:numId w:val="25"/>
        </w:numPr>
        <w:rPr>
          <w:rFonts w:cs="Arial"/>
        </w:rPr>
      </w:pPr>
      <w:r>
        <w:rPr>
          <w:rFonts w:cs="Arial"/>
        </w:rPr>
        <w:t>déposer leurs contrats de prêts ;</w:t>
      </w:r>
    </w:p>
    <w:p w14:paraId="1EEB67F3" w14:textId="77777777" w:rsidR="00B82B77" w:rsidRDefault="00B82B77" w:rsidP="00B82B77">
      <w:pPr>
        <w:pStyle w:val="Paragraphedeliste"/>
        <w:numPr>
          <w:ilvl w:val="0"/>
          <w:numId w:val="25"/>
        </w:numPr>
        <w:rPr>
          <w:rFonts w:cs="Arial"/>
        </w:rPr>
      </w:pPr>
      <w:r>
        <w:rPr>
          <w:rFonts w:cs="Arial"/>
        </w:rPr>
        <w:t>effectuer leurs demandes d’agrément ;</w:t>
      </w:r>
    </w:p>
    <w:p w14:paraId="47FF9544" w14:textId="77777777" w:rsidR="00B82B77" w:rsidRDefault="00B82B77" w:rsidP="00B82B77">
      <w:pPr>
        <w:pStyle w:val="Paragraphedeliste"/>
        <w:ind w:left="1776"/>
        <w:rPr>
          <w:rFonts w:cs="Arial"/>
        </w:rPr>
      </w:pPr>
    </w:p>
    <w:p w14:paraId="330E3030" w14:textId="77777777" w:rsidR="00B82B77" w:rsidRDefault="00B82B77" w:rsidP="00B82B77">
      <w:pPr>
        <w:pStyle w:val="Paragraphedeliste"/>
        <w:ind w:left="1776"/>
        <w:rPr>
          <w:rFonts w:cs="Arial"/>
        </w:rPr>
      </w:pPr>
    </w:p>
    <w:p w14:paraId="425B7D26" w14:textId="77777777" w:rsidR="00B82B77" w:rsidRPr="003D5060" w:rsidRDefault="00B82B77" w:rsidP="00B82B77">
      <w:pPr>
        <w:pStyle w:val="Paragraphedeliste"/>
        <w:numPr>
          <w:ilvl w:val="0"/>
          <w:numId w:val="29"/>
        </w:numPr>
        <w:rPr>
          <w:rFonts w:cs="Arial"/>
        </w:rPr>
      </w:pPr>
      <w:r w:rsidRPr="003D5060">
        <w:rPr>
          <w:rFonts w:cs="Arial"/>
        </w:rPr>
        <w:t>au niveau du middle-office, la Commission bénéficiera de toutes les fonctionnalités nécessaires aux processus d’instruction des comptes d’ensemble et de traitement des demandes d’agrément</w:t>
      </w:r>
      <w:r>
        <w:rPr>
          <w:rFonts w:cs="Arial"/>
        </w:rPr>
        <w:t xml:space="preserve"> des partis politiques</w:t>
      </w:r>
      <w:r w:rsidRPr="003D5060">
        <w:rPr>
          <w:rFonts w:cs="Arial"/>
        </w:rPr>
        <w:t>. Pour cela l’application devra permettre de :</w:t>
      </w:r>
    </w:p>
    <w:p w14:paraId="4ADD013B" w14:textId="77777777" w:rsidR="00B82B77" w:rsidRDefault="00B82B77" w:rsidP="00B82B77">
      <w:pPr>
        <w:pStyle w:val="Paragraphedeliste"/>
        <w:numPr>
          <w:ilvl w:val="0"/>
          <w:numId w:val="18"/>
        </w:numPr>
        <w:rPr>
          <w:rFonts w:cs="Arial"/>
        </w:rPr>
      </w:pPr>
      <w:r>
        <w:rPr>
          <w:rFonts w:cs="Arial"/>
        </w:rPr>
        <w:t>effectuer un tiers dépôt des comptes d’ensemble (cas d’une impossibilité de dépôt par le parti sur le front-office) ;</w:t>
      </w:r>
    </w:p>
    <w:p w14:paraId="1B8519E4" w14:textId="77777777" w:rsidR="00B82B77" w:rsidRPr="00164436" w:rsidRDefault="00B82B77" w:rsidP="00B82B77">
      <w:pPr>
        <w:pStyle w:val="Paragraphedeliste"/>
        <w:numPr>
          <w:ilvl w:val="0"/>
          <w:numId w:val="18"/>
        </w:numPr>
        <w:rPr>
          <w:rFonts w:cs="Arial"/>
        </w:rPr>
      </w:pPr>
      <w:r>
        <w:rPr>
          <w:rFonts w:cs="Arial"/>
        </w:rPr>
        <w:t xml:space="preserve">consulter l’ensemble des informations et documents composant les comptes d’ensemble : </w:t>
      </w:r>
    </w:p>
    <w:p w14:paraId="5C3EF10E" w14:textId="77777777" w:rsidR="00B82B77" w:rsidRDefault="00B82B77" w:rsidP="00B82B77">
      <w:pPr>
        <w:pStyle w:val="Paragraphedeliste"/>
        <w:numPr>
          <w:ilvl w:val="1"/>
          <w:numId w:val="21"/>
        </w:numPr>
        <w:rPr>
          <w:rFonts w:cs="Arial"/>
        </w:rPr>
      </w:pPr>
      <w:r>
        <w:rPr>
          <w:rFonts w:cs="Arial"/>
        </w:rPr>
        <w:t>les informations relatives aux partis politiques, aux mandataires, commissaires aux comptes…</w:t>
      </w:r>
    </w:p>
    <w:p w14:paraId="75B28CE2" w14:textId="77777777" w:rsidR="00B82B77" w:rsidRDefault="00B82B77" w:rsidP="00B82B77">
      <w:pPr>
        <w:pStyle w:val="Paragraphedeliste"/>
        <w:numPr>
          <w:ilvl w:val="1"/>
          <w:numId w:val="21"/>
        </w:numPr>
        <w:rPr>
          <w:rFonts w:cs="Arial"/>
        </w:rPr>
      </w:pPr>
      <w:r>
        <w:rPr>
          <w:rFonts w:cs="Arial"/>
        </w:rPr>
        <w:t>l’état des dépôts de chaque parti;</w:t>
      </w:r>
    </w:p>
    <w:p w14:paraId="5DD3C265" w14:textId="77777777" w:rsidR="00B82B77" w:rsidRDefault="00B82B77" w:rsidP="00B82B77">
      <w:pPr>
        <w:pStyle w:val="Paragraphedeliste"/>
        <w:numPr>
          <w:ilvl w:val="1"/>
          <w:numId w:val="21"/>
        </w:numPr>
        <w:rPr>
          <w:rFonts w:cs="Arial"/>
        </w:rPr>
      </w:pPr>
      <w:r>
        <w:rPr>
          <w:rFonts w:cs="Arial"/>
        </w:rPr>
        <w:t>les comptes d’ensemble, les contrats de prêt et toutes les pièces justificatives du mandataire telles que les relevés de compte bancaire, factures, etc… ;</w:t>
      </w:r>
    </w:p>
    <w:p w14:paraId="1FD5861E" w14:textId="77777777" w:rsidR="00B82B77" w:rsidRDefault="00B82B77" w:rsidP="00B82B77">
      <w:pPr>
        <w:pStyle w:val="Paragraphedeliste"/>
        <w:ind w:left="2496"/>
        <w:rPr>
          <w:rFonts w:cs="Arial"/>
        </w:rPr>
      </w:pPr>
    </w:p>
    <w:p w14:paraId="5D86F62D" w14:textId="77777777" w:rsidR="00B82B77" w:rsidRDefault="00B82B77" w:rsidP="00B82B77">
      <w:pPr>
        <w:pStyle w:val="Paragraphedeliste"/>
        <w:numPr>
          <w:ilvl w:val="0"/>
          <w:numId w:val="18"/>
        </w:numPr>
        <w:rPr>
          <w:rFonts w:cs="Arial"/>
        </w:rPr>
      </w:pPr>
      <w:r>
        <w:rPr>
          <w:rFonts w:cs="Arial"/>
        </w:rPr>
        <w:t>réaliser des contrôles de cohérence et des contrôles métiers automatisés ;</w:t>
      </w:r>
      <w:r w:rsidRPr="00164436">
        <w:rPr>
          <w:rFonts w:cs="Arial"/>
        </w:rPr>
        <w:t xml:space="preserve"> </w:t>
      </w:r>
    </w:p>
    <w:p w14:paraId="1D9F0EEA" w14:textId="77777777" w:rsidR="00B82B77" w:rsidRPr="00A762AD" w:rsidRDefault="00B82B77" w:rsidP="00B82B77">
      <w:pPr>
        <w:pStyle w:val="Paragraphedeliste"/>
        <w:numPr>
          <w:ilvl w:val="0"/>
          <w:numId w:val="18"/>
        </w:numPr>
        <w:rPr>
          <w:rFonts w:cs="Arial"/>
        </w:rPr>
      </w:pPr>
      <w:r>
        <w:rPr>
          <w:rFonts w:cs="Arial"/>
        </w:rPr>
        <w:t>assurer la numérisation, la lecture et la reconnaissance des documents déposés (continuité des travaux d’océrisation et LAD/RAD effectués au palier n°2) ;</w:t>
      </w:r>
    </w:p>
    <w:p w14:paraId="7A0BF66E" w14:textId="77777777" w:rsidR="00B82B77" w:rsidRPr="00164436" w:rsidRDefault="00B82B77" w:rsidP="00B82B77">
      <w:pPr>
        <w:pStyle w:val="Paragraphedeliste"/>
        <w:numPr>
          <w:ilvl w:val="0"/>
          <w:numId w:val="18"/>
        </w:numPr>
        <w:rPr>
          <w:rFonts w:cs="Arial"/>
        </w:rPr>
      </w:pPr>
      <w:r>
        <w:rPr>
          <w:rFonts w:cs="Arial"/>
        </w:rPr>
        <w:t>définir et intégrer un parcours d’audit des comptes pour les agents de la Commission ;</w:t>
      </w:r>
    </w:p>
    <w:p w14:paraId="37F9C87B" w14:textId="77777777" w:rsidR="00B82B77" w:rsidRPr="00164436" w:rsidRDefault="00B82B77" w:rsidP="00B82B77">
      <w:pPr>
        <w:pStyle w:val="Paragraphedeliste"/>
        <w:numPr>
          <w:ilvl w:val="0"/>
          <w:numId w:val="18"/>
        </w:numPr>
        <w:rPr>
          <w:rFonts w:cs="Arial"/>
        </w:rPr>
      </w:pPr>
      <w:r>
        <w:rPr>
          <w:rFonts w:cs="Arial"/>
        </w:rPr>
        <w:t>procéder à l’examen des comptes et réaliser des procédures contradictoires en interaction avec les partis politiques et leurs représentants ;</w:t>
      </w:r>
    </w:p>
    <w:p w14:paraId="048CED88" w14:textId="77777777" w:rsidR="00B82B77" w:rsidRDefault="00B82B77" w:rsidP="00B82B77">
      <w:pPr>
        <w:pStyle w:val="Paragraphedeliste"/>
        <w:numPr>
          <w:ilvl w:val="0"/>
          <w:numId w:val="18"/>
        </w:numPr>
        <w:rPr>
          <w:rFonts w:cs="Arial"/>
        </w:rPr>
      </w:pPr>
      <w:r>
        <w:rPr>
          <w:rFonts w:cs="Arial"/>
        </w:rPr>
        <w:t>assister les contrôleurs (chargés de mission et rapporteurs généraux) dans la génération des rapports d’analyse et des projets de décision ;</w:t>
      </w:r>
    </w:p>
    <w:p w14:paraId="2D811B87" w14:textId="77777777" w:rsidR="00B82B77" w:rsidRDefault="00B82B77" w:rsidP="00B82B77">
      <w:pPr>
        <w:pStyle w:val="Paragraphedeliste"/>
        <w:numPr>
          <w:ilvl w:val="0"/>
          <w:numId w:val="18"/>
        </w:numPr>
        <w:rPr>
          <w:rFonts w:cs="Arial"/>
        </w:rPr>
      </w:pPr>
      <w:r>
        <w:rPr>
          <w:rFonts w:cs="Arial"/>
        </w:rPr>
        <w:t>traiter les demandes de délivrance et de retrait d’agréments d’associations de financement ;</w:t>
      </w:r>
    </w:p>
    <w:p w14:paraId="4D09C875" w14:textId="77777777" w:rsidR="00B82B77" w:rsidRDefault="00B82B77" w:rsidP="00B82B77">
      <w:pPr>
        <w:pStyle w:val="Paragraphedeliste"/>
        <w:numPr>
          <w:ilvl w:val="0"/>
          <w:numId w:val="18"/>
        </w:numPr>
        <w:rPr>
          <w:rFonts w:cs="Arial"/>
        </w:rPr>
      </w:pPr>
      <w:r>
        <w:rPr>
          <w:rFonts w:cs="Arial"/>
        </w:rPr>
        <w:t>traiter les enregistrements et fin de fonction des mandataires financiers ;</w:t>
      </w:r>
    </w:p>
    <w:p w14:paraId="0B5C161C" w14:textId="77777777" w:rsidR="00B82B77" w:rsidRPr="003D5060" w:rsidRDefault="00B82B77" w:rsidP="00B82B77">
      <w:pPr>
        <w:pStyle w:val="Paragraphedeliste"/>
        <w:numPr>
          <w:ilvl w:val="0"/>
          <w:numId w:val="18"/>
        </w:numPr>
        <w:rPr>
          <w:rFonts w:cs="Arial"/>
        </w:rPr>
      </w:pPr>
      <w:r w:rsidRPr="003D5060">
        <w:rPr>
          <w:rFonts w:cs="Arial"/>
        </w:rPr>
        <w:t>assurer le suivi et la gestion des processus de décision</w:t>
      </w:r>
      <w:r>
        <w:rPr>
          <w:rFonts w:cs="Arial"/>
        </w:rPr>
        <w:t>, ce</w:t>
      </w:r>
      <w:r w:rsidRPr="003D5060">
        <w:rPr>
          <w:rFonts w:cs="Arial"/>
        </w:rPr>
        <w:t xml:space="preserve"> qui consiste à :</w:t>
      </w:r>
    </w:p>
    <w:p w14:paraId="66C8EF56" w14:textId="77777777" w:rsidR="00B82B77" w:rsidRPr="00164436" w:rsidRDefault="00B82B77" w:rsidP="00B82B77">
      <w:pPr>
        <w:pStyle w:val="Paragraphedeliste"/>
        <w:numPr>
          <w:ilvl w:val="1"/>
          <w:numId w:val="28"/>
        </w:numPr>
        <w:rPr>
          <w:rFonts w:cs="Arial"/>
        </w:rPr>
      </w:pPr>
      <w:r>
        <w:rPr>
          <w:rFonts w:cs="Arial"/>
        </w:rPr>
        <w:t>gérer</w:t>
      </w:r>
      <w:r w:rsidRPr="00FC2D46">
        <w:rPr>
          <w:rFonts w:cs="Arial"/>
        </w:rPr>
        <w:t xml:space="preserve"> et planifi</w:t>
      </w:r>
      <w:r>
        <w:rPr>
          <w:rFonts w:cs="Arial"/>
        </w:rPr>
        <w:t>er</w:t>
      </w:r>
      <w:r w:rsidRPr="00FC2D46">
        <w:rPr>
          <w:rFonts w:cs="Arial"/>
        </w:rPr>
        <w:t xml:space="preserve"> des agenda</w:t>
      </w:r>
      <w:r>
        <w:rPr>
          <w:rFonts w:cs="Arial"/>
        </w:rPr>
        <w:t>s</w:t>
      </w:r>
      <w:r w:rsidRPr="00FC2D46">
        <w:rPr>
          <w:rFonts w:cs="Arial"/>
        </w:rPr>
        <w:t xml:space="preserve"> de séances</w:t>
      </w:r>
      <w:r>
        <w:rPr>
          <w:rFonts w:cs="Arial"/>
        </w:rPr>
        <w:t xml:space="preserve"> pour chaque compte et demande d’agrément ;</w:t>
      </w:r>
    </w:p>
    <w:p w14:paraId="459294CD" w14:textId="77777777" w:rsidR="00B82B77" w:rsidRPr="00164436" w:rsidRDefault="00B82B77" w:rsidP="00B82B77">
      <w:pPr>
        <w:pStyle w:val="Paragraphedeliste"/>
        <w:numPr>
          <w:ilvl w:val="1"/>
          <w:numId w:val="28"/>
        </w:numPr>
        <w:rPr>
          <w:rFonts w:cs="Arial"/>
        </w:rPr>
      </w:pPr>
      <w:r>
        <w:rPr>
          <w:rFonts w:cs="Arial"/>
        </w:rPr>
        <w:t>produire, signer</w:t>
      </w:r>
      <w:r w:rsidRPr="00FC2D46">
        <w:rPr>
          <w:rFonts w:cs="Arial"/>
        </w:rPr>
        <w:t xml:space="preserve"> et </w:t>
      </w:r>
      <w:r>
        <w:rPr>
          <w:rFonts w:cs="Arial"/>
        </w:rPr>
        <w:t>notifier</w:t>
      </w:r>
      <w:r w:rsidRPr="00FC2D46">
        <w:rPr>
          <w:rFonts w:cs="Arial"/>
        </w:rPr>
        <w:t xml:space="preserve"> </w:t>
      </w:r>
      <w:r>
        <w:rPr>
          <w:rFonts w:cs="Arial"/>
        </w:rPr>
        <w:t>électroniquement l</w:t>
      </w:r>
      <w:r w:rsidRPr="00FC2D46">
        <w:rPr>
          <w:rFonts w:cs="Arial"/>
        </w:rPr>
        <w:t>es décisions</w:t>
      </w:r>
      <w:r>
        <w:rPr>
          <w:rFonts w:cs="Arial"/>
        </w:rPr>
        <w:t xml:space="preserve"> du collège des membres ;</w:t>
      </w:r>
    </w:p>
    <w:p w14:paraId="23635F28" w14:textId="77777777" w:rsidR="00B82B77" w:rsidRDefault="00B82B77" w:rsidP="00B82B77">
      <w:pPr>
        <w:pStyle w:val="Paragraphedeliste"/>
        <w:numPr>
          <w:ilvl w:val="1"/>
          <w:numId w:val="28"/>
        </w:numPr>
        <w:rPr>
          <w:rFonts w:cs="Arial"/>
        </w:rPr>
      </w:pPr>
      <w:r>
        <w:rPr>
          <w:rFonts w:cs="Arial"/>
        </w:rPr>
        <w:t>gérer</w:t>
      </w:r>
      <w:r w:rsidRPr="00FC2D46">
        <w:rPr>
          <w:rFonts w:cs="Arial"/>
        </w:rPr>
        <w:t xml:space="preserve"> </w:t>
      </w:r>
      <w:r>
        <w:rPr>
          <w:rFonts w:cs="Arial"/>
        </w:rPr>
        <w:t>l</w:t>
      </w:r>
      <w:r w:rsidRPr="00FC2D46">
        <w:rPr>
          <w:rFonts w:cs="Arial"/>
        </w:rPr>
        <w:t>es signalements</w:t>
      </w:r>
      <w:r>
        <w:rPr>
          <w:rFonts w:cs="Arial"/>
        </w:rPr>
        <w:t xml:space="preserve"> auprès d’autres autorités (parquet, administration fiscale, etc.) ;</w:t>
      </w:r>
    </w:p>
    <w:p w14:paraId="36463D7A" w14:textId="77777777" w:rsidR="00B82B77" w:rsidRPr="009D1F98" w:rsidRDefault="00B82B77" w:rsidP="00B82B77">
      <w:pPr>
        <w:pStyle w:val="Paragraphedeliste"/>
        <w:numPr>
          <w:ilvl w:val="1"/>
          <w:numId w:val="28"/>
        </w:numPr>
        <w:rPr>
          <w:rFonts w:cs="Arial"/>
        </w:rPr>
      </w:pPr>
      <w:r>
        <w:rPr>
          <w:rFonts w:cs="Arial"/>
        </w:rPr>
        <w:t>publier les décisions dans la base de connaissance Sharepoint de la Commission (portail des décisions) ;</w:t>
      </w:r>
    </w:p>
    <w:p w14:paraId="3FB130C9" w14:textId="77777777" w:rsidR="00B82B77" w:rsidRDefault="00B82B77" w:rsidP="00B82B77">
      <w:pPr>
        <w:pStyle w:val="Paragraphedeliste"/>
        <w:numPr>
          <w:ilvl w:val="1"/>
          <w:numId w:val="28"/>
        </w:numPr>
        <w:rPr>
          <w:rFonts w:cs="Arial"/>
        </w:rPr>
      </w:pPr>
      <w:r>
        <w:rPr>
          <w:rFonts w:cs="Arial"/>
        </w:rPr>
        <w:t>gérer</w:t>
      </w:r>
      <w:r w:rsidRPr="00FC2D46">
        <w:rPr>
          <w:rFonts w:cs="Arial"/>
        </w:rPr>
        <w:t xml:space="preserve"> </w:t>
      </w:r>
      <w:r>
        <w:rPr>
          <w:rFonts w:cs="Arial"/>
        </w:rPr>
        <w:t>l’enregistrement et le traitement d</w:t>
      </w:r>
      <w:r w:rsidRPr="00FC2D46">
        <w:rPr>
          <w:rFonts w:cs="Arial"/>
        </w:rPr>
        <w:t>es recours</w:t>
      </w:r>
      <w:r>
        <w:rPr>
          <w:rFonts w:cs="Arial"/>
        </w:rPr>
        <w:t xml:space="preserve"> gracieux et contentieux.</w:t>
      </w:r>
    </w:p>
    <w:p w14:paraId="0BA96318" w14:textId="77777777" w:rsidR="00B82B77" w:rsidRDefault="00B82B77" w:rsidP="00B82B77">
      <w:pPr>
        <w:pStyle w:val="Paragraphedeliste"/>
        <w:rPr>
          <w:rFonts w:cs="Arial"/>
        </w:rPr>
      </w:pPr>
    </w:p>
    <w:p w14:paraId="7C4B3B8C" w14:textId="77777777" w:rsidR="00B82B77" w:rsidRDefault="00B82B77" w:rsidP="00B82B77">
      <w:pPr>
        <w:pStyle w:val="Paragraphedeliste"/>
        <w:numPr>
          <w:ilvl w:val="0"/>
          <w:numId w:val="29"/>
        </w:numPr>
        <w:rPr>
          <w:rFonts w:cs="Arial"/>
        </w:rPr>
      </w:pPr>
      <w:r>
        <w:rPr>
          <w:rFonts w:cs="Arial"/>
        </w:rPr>
        <w:t>toujours dans le middle-office, le titulaire finalisera l’instruction des comptes de partis, réalisées au palier 2, avec l’ajout des fonctionnalités suivantes :</w:t>
      </w:r>
    </w:p>
    <w:p w14:paraId="6D387406" w14:textId="77777777" w:rsidR="00B82B77" w:rsidRDefault="00B82B77" w:rsidP="00B82B77">
      <w:pPr>
        <w:pStyle w:val="Paragraphedeliste"/>
        <w:numPr>
          <w:ilvl w:val="0"/>
          <w:numId w:val="48"/>
        </w:numPr>
        <w:rPr>
          <w:rFonts w:cs="Arial"/>
        </w:rPr>
      </w:pPr>
      <w:r>
        <w:rPr>
          <w:rFonts w:cs="Arial"/>
        </w:rPr>
        <w:t>la gestion</w:t>
      </w:r>
      <w:r w:rsidRPr="00FC2D46">
        <w:rPr>
          <w:rFonts w:cs="Arial"/>
        </w:rPr>
        <w:t xml:space="preserve"> </w:t>
      </w:r>
      <w:r>
        <w:rPr>
          <w:rFonts w:cs="Arial"/>
        </w:rPr>
        <w:t>d</w:t>
      </w:r>
      <w:r w:rsidRPr="00FC2D46">
        <w:rPr>
          <w:rFonts w:cs="Arial"/>
        </w:rPr>
        <w:t>es recours</w:t>
      </w:r>
      <w:r>
        <w:rPr>
          <w:rFonts w:cs="Arial"/>
        </w:rPr>
        <w:t> ;</w:t>
      </w:r>
    </w:p>
    <w:p w14:paraId="29C80849" w14:textId="77777777" w:rsidR="00B82B77" w:rsidRPr="00B35430" w:rsidRDefault="00B82B77" w:rsidP="00B82B77">
      <w:pPr>
        <w:pStyle w:val="Paragraphedeliste"/>
        <w:numPr>
          <w:ilvl w:val="0"/>
          <w:numId w:val="48"/>
        </w:numPr>
        <w:rPr>
          <w:rFonts w:cs="Arial"/>
        </w:rPr>
      </w:pPr>
      <w:r>
        <w:rPr>
          <w:rFonts w:cs="Arial"/>
        </w:rPr>
        <w:t xml:space="preserve">le suivi des </w:t>
      </w:r>
      <w:r w:rsidRPr="00B65892">
        <w:rPr>
          <w:rFonts w:cs="Arial"/>
        </w:rPr>
        <w:t>remboursements de</w:t>
      </w:r>
      <w:r>
        <w:rPr>
          <w:rFonts w:cs="Arial"/>
        </w:rPr>
        <w:t>s</w:t>
      </w:r>
      <w:r w:rsidRPr="00B65892">
        <w:rPr>
          <w:rFonts w:cs="Arial"/>
        </w:rPr>
        <w:t xml:space="preserve"> prêts</w:t>
      </w:r>
      <w:r>
        <w:rPr>
          <w:rFonts w:cs="Arial"/>
        </w:rPr>
        <w:t xml:space="preserve"> de personnes physiques aux candidats.</w:t>
      </w:r>
    </w:p>
    <w:p w14:paraId="79F2A6F7" w14:textId="77777777" w:rsidR="00B82B77" w:rsidRDefault="00B82B77" w:rsidP="00B82B77">
      <w:pPr>
        <w:pStyle w:val="Paragraphedeliste"/>
        <w:rPr>
          <w:rFonts w:cs="Arial"/>
        </w:rPr>
      </w:pPr>
    </w:p>
    <w:p w14:paraId="6CFC58C0" w14:textId="77777777" w:rsidR="00B82B77" w:rsidRPr="00164436" w:rsidRDefault="00B82B77" w:rsidP="00B82B77">
      <w:pPr>
        <w:pStyle w:val="Paragraphedeliste"/>
        <w:numPr>
          <w:ilvl w:val="0"/>
          <w:numId w:val="29"/>
        </w:numPr>
        <w:rPr>
          <w:rFonts w:cs="Arial"/>
        </w:rPr>
      </w:pPr>
      <w:r>
        <w:rPr>
          <w:rFonts w:cs="Arial"/>
        </w:rPr>
        <w:t>à un niveau plus transverse, l’application devra proposer de nouvelles fonctionnalités destinées à :</w:t>
      </w:r>
    </w:p>
    <w:p w14:paraId="27E5A3E1" w14:textId="77777777" w:rsidR="00B82B77" w:rsidRDefault="00B82B77" w:rsidP="00B82B77">
      <w:pPr>
        <w:pStyle w:val="Paragraphedeliste"/>
        <w:numPr>
          <w:ilvl w:val="0"/>
          <w:numId w:val="18"/>
        </w:numPr>
        <w:rPr>
          <w:rFonts w:cs="Arial"/>
        </w:rPr>
      </w:pPr>
      <w:r>
        <w:rPr>
          <w:rFonts w:cs="Arial"/>
        </w:rPr>
        <w:t>mettre en parapheur, signer et envoyer électroniquement certains échanges avec les candidats et partis politiques, comme par exemple procédures contradictoires et décisions du collège. Ce module</w:t>
      </w:r>
      <w:r w:rsidRPr="00AE5F6E">
        <w:rPr>
          <w:rFonts w:cs="Arial"/>
        </w:rPr>
        <w:t xml:space="preserve"> participe à l’optimisation de la dématérialisation des processus métier et doit permettre la prise en charge d’un </w:t>
      </w:r>
      <w:r>
        <w:rPr>
          <w:rFonts w:cs="Arial"/>
        </w:rPr>
        <w:t xml:space="preserve">grand nombre d’échanges liés à un volume </w:t>
      </w:r>
      <w:r w:rsidRPr="00AE5F6E">
        <w:rPr>
          <w:rFonts w:cs="Arial"/>
        </w:rPr>
        <w:t xml:space="preserve">de </w:t>
      </w:r>
      <w:r>
        <w:rPr>
          <w:rFonts w:cs="Arial"/>
        </w:rPr>
        <w:t xml:space="preserve">plusieurs milliers de </w:t>
      </w:r>
      <w:r w:rsidRPr="00AE5F6E">
        <w:rPr>
          <w:rFonts w:cs="Arial"/>
        </w:rPr>
        <w:t xml:space="preserve">comptes </w:t>
      </w:r>
      <w:r>
        <w:rPr>
          <w:rFonts w:cs="Arial"/>
        </w:rPr>
        <w:t>;</w:t>
      </w:r>
    </w:p>
    <w:p w14:paraId="2FCCB865" w14:textId="77777777" w:rsidR="00B82B77" w:rsidRPr="00164436" w:rsidRDefault="00B82B77" w:rsidP="00B82B77">
      <w:pPr>
        <w:pStyle w:val="Paragraphedeliste"/>
        <w:numPr>
          <w:ilvl w:val="0"/>
          <w:numId w:val="18"/>
        </w:numPr>
        <w:rPr>
          <w:rFonts w:cs="Arial"/>
        </w:rPr>
      </w:pPr>
      <w:r>
        <w:rPr>
          <w:rFonts w:cs="Arial"/>
        </w:rPr>
        <w:t>réaliser une stratification et une analyse du risque des comptes de campagne et des partis politiques ;</w:t>
      </w:r>
    </w:p>
    <w:p w14:paraId="5BCAC35F" w14:textId="77777777" w:rsidR="00B82B77" w:rsidRDefault="00B82B77" w:rsidP="00B82B77">
      <w:pPr>
        <w:pStyle w:val="Paragraphedeliste"/>
        <w:numPr>
          <w:ilvl w:val="0"/>
          <w:numId w:val="18"/>
        </w:numPr>
        <w:rPr>
          <w:rFonts w:cs="Arial"/>
        </w:rPr>
      </w:pPr>
      <w:r>
        <w:rPr>
          <w:rFonts w:cs="Arial"/>
        </w:rPr>
        <w:t>définir des stratégies d’audit qui permettront de générer les parcours d’audit des collaborateurs en charge de l’instruction et du contrôle ;</w:t>
      </w:r>
    </w:p>
    <w:p w14:paraId="0CB5F4B2" w14:textId="77777777" w:rsidR="00B82B77" w:rsidRDefault="00B82B77" w:rsidP="00B82B77">
      <w:pPr>
        <w:pStyle w:val="Paragraphedeliste"/>
        <w:numPr>
          <w:ilvl w:val="0"/>
          <w:numId w:val="18"/>
        </w:numPr>
      </w:pPr>
      <w:r w:rsidRPr="001D03CA">
        <w:rPr>
          <w:rFonts w:cs="Arial"/>
        </w:rPr>
        <w:t>gérer le suivi des dossiers post-décision (recours, signalement, etc…)</w:t>
      </w:r>
    </w:p>
    <w:p w14:paraId="3B791AB2" w14:textId="77777777" w:rsidR="00B82B77" w:rsidRPr="009D1F98" w:rsidRDefault="00B82B77" w:rsidP="00B82B77">
      <w:pPr>
        <w:rPr>
          <w:rFonts w:cs="Arial"/>
        </w:rPr>
      </w:pPr>
    </w:p>
    <w:p w14:paraId="3001E3D3" w14:textId="734DAAA0" w:rsidR="00B82B77" w:rsidRPr="000D22BF" w:rsidRDefault="00B82B77" w:rsidP="00B82B77">
      <w:pPr>
        <w:pStyle w:val="Titre3"/>
      </w:pPr>
      <w:bookmarkStart w:id="91" w:name="_Toc218852825"/>
      <w:r w:rsidRPr="000D22BF">
        <w:t>Palier 4</w:t>
      </w:r>
      <w:r>
        <w:t xml:space="preserve"> - Finalisation du projet</w:t>
      </w:r>
      <w:r w:rsidR="008516E2">
        <w:t xml:space="preserve"> (susceptible d’évoluer)</w:t>
      </w:r>
      <w:bookmarkEnd w:id="91"/>
    </w:p>
    <w:p w14:paraId="538DE23A" w14:textId="77777777" w:rsidR="00B82B77" w:rsidRDefault="00B82B77" w:rsidP="00B82B77">
      <w:pPr>
        <w:rPr>
          <w:rFonts w:cs="Arial"/>
        </w:rPr>
      </w:pPr>
    </w:p>
    <w:p w14:paraId="052CBD57" w14:textId="77777777" w:rsidR="00B82B77" w:rsidRDefault="00B82B77" w:rsidP="00B82B77">
      <w:pPr>
        <w:rPr>
          <w:rFonts w:cs="Arial"/>
        </w:rPr>
      </w:pPr>
      <w:r>
        <w:rPr>
          <w:rFonts w:cs="Arial"/>
        </w:rPr>
        <w:t>Ce quatrième palier fixé</w:t>
      </w:r>
      <w:r w:rsidRPr="000D22BF">
        <w:rPr>
          <w:rFonts w:cs="Arial"/>
        </w:rPr>
        <w:t xml:space="preserve"> en </w:t>
      </w:r>
      <w:r>
        <w:rPr>
          <w:rFonts w:cs="Arial"/>
        </w:rPr>
        <w:t>septembre</w:t>
      </w:r>
      <w:r w:rsidRPr="000D22BF">
        <w:rPr>
          <w:rFonts w:cs="Arial"/>
        </w:rPr>
        <w:t xml:space="preserve"> 202</w:t>
      </w:r>
      <w:r>
        <w:rPr>
          <w:rFonts w:cs="Arial"/>
        </w:rPr>
        <w:t>8</w:t>
      </w:r>
      <w:r w:rsidRPr="000D22BF">
        <w:rPr>
          <w:rFonts w:cs="Arial"/>
        </w:rPr>
        <w:t> </w:t>
      </w:r>
      <w:r>
        <w:rPr>
          <w:rFonts w:cs="Arial"/>
        </w:rPr>
        <w:t>a pour objectif de finaliser l’application en y apportant les derniers modules fonctionnels relatifs à l’anonymisation, la publication, l’archivage électronique de tous comptes et documents des comptes de campagne et des partis politiques.</w:t>
      </w:r>
    </w:p>
    <w:p w14:paraId="20686629" w14:textId="77777777" w:rsidR="00B82B77" w:rsidRDefault="00B82B77" w:rsidP="00B82B77">
      <w:pPr>
        <w:rPr>
          <w:rFonts w:cs="Arial"/>
        </w:rPr>
      </w:pPr>
    </w:p>
    <w:p w14:paraId="6023E52B" w14:textId="77777777" w:rsidR="00B82B77" w:rsidRDefault="00B82B77" w:rsidP="00B82B77">
      <w:pPr>
        <w:rPr>
          <w:rFonts w:cs="Arial"/>
        </w:rPr>
      </w:pPr>
    </w:p>
    <w:p w14:paraId="5C1B9E40" w14:textId="77777777" w:rsidR="00B82B77" w:rsidRPr="00C81770" w:rsidRDefault="00B82B77" w:rsidP="00B82B77">
      <w:r>
        <w:rPr>
          <w:rFonts w:cs="Arial"/>
        </w:rPr>
        <w:t xml:space="preserve">Par rapport à la cartographie globale voici les </w:t>
      </w:r>
      <w:r>
        <w:t>principaux modules métiers attendus :</w:t>
      </w:r>
    </w:p>
    <w:p w14:paraId="2A92F237" w14:textId="77777777" w:rsidR="00B82B77" w:rsidRDefault="00B82B77" w:rsidP="00B82B77">
      <w:pPr>
        <w:rPr>
          <w:rFonts w:cs="Arial"/>
        </w:rPr>
      </w:pPr>
      <w:r w:rsidRPr="001356E3">
        <w:rPr>
          <w:rFonts w:cs="Arial"/>
        </w:rPr>
        <w:t xml:space="preserve"> </w:t>
      </w:r>
      <w:r w:rsidRPr="00C50436">
        <w:rPr>
          <w:rFonts w:cs="Arial"/>
          <w:noProof/>
          <w:lang w:eastAsia="fr-FR"/>
        </w:rPr>
        <w:drawing>
          <wp:inline distT="0" distB="0" distL="0" distR="0" wp14:anchorId="2119B7E5" wp14:editId="72B09F82">
            <wp:extent cx="5760720" cy="288925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89250"/>
                    </a:xfrm>
                    <a:prstGeom prst="rect">
                      <a:avLst/>
                    </a:prstGeom>
                  </pic:spPr>
                </pic:pic>
              </a:graphicData>
            </a:graphic>
          </wp:inline>
        </w:drawing>
      </w:r>
    </w:p>
    <w:p w14:paraId="6262F036" w14:textId="77777777" w:rsidR="00B82B77" w:rsidRPr="001356E3" w:rsidRDefault="00B82B77" w:rsidP="00B82B77">
      <w:pPr>
        <w:rPr>
          <w:rFonts w:cs="Arial"/>
        </w:rPr>
      </w:pPr>
    </w:p>
    <w:p w14:paraId="08A6255B" w14:textId="77777777" w:rsidR="00B82B77" w:rsidRDefault="00B82B77" w:rsidP="00B82B77">
      <w:pPr>
        <w:jc w:val="left"/>
        <w:rPr>
          <w:rFonts w:cs="Arial"/>
        </w:rPr>
      </w:pPr>
    </w:p>
    <w:p w14:paraId="68F3D073" w14:textId="77777777" w:rsidR="00B82B77" w:rsidRDefault="00B82B77" w:rsidP="00B82B77">
      <w:r>
        <w:t>Ce dernier palier viendra finaliser le front et middle-office avec la prise en charge du dépôt par les usagers (candidats et partis) et la consultation (agents de la Commission) d’éléments multimédias (audios et vidéos) qui, sont de plus en plus fréquemment joint aux comptes en vue de justifier certaines dépenses. D’autres sources actuellement référencées dans la « Base de veille », tels que des articles de presse, des éléments multimédias ou en provenance de médias sociaux, devront également être intégrées à l’application afin de proposer aux rapporteurs un plus large panel d’information leur permettant une analyse plus précise des dossiers dont ils ont la charge.</w:t>
      </w:r>
    </w:p>
    <w:p w14:paraId="6C90B50D" w14:textId="77777777" w:rsidR="00B82B77" w:rsidRDefault="00B82B77" w:rsidP="00B82B77">
      <w:pPr>
        <w:jc w:val="left"/>
      </w:pPr>
    </w:p>
    <w:p w14:paraId="067E956F" w14:textId="77777777" w:rsidR="00B82B77" w:rsidRDefault="00B82B77" w:rsidP="00B82B77">
      <w:pPr>
        <w:jc w:val="left"/>
      </w:pPr>
      <w:r>
        <w:t>Le palier n°4 finalisera aussi le middle et back-office en proposant les fonctionnalités suivantes :</w:t>
      </w:r>
    </w:p>
    <w:p w14:paraId="41377168" w14:textId="77777777" w:rsidR="00B82B77" w:rsidRDefault="00B82B77" w:rsidP="00B82B77">
      <w:pPr>
        <w:jc w:val="left"/>
      </w:pPr>
    </w:p>
    <w:p w14:paraId="07067176" w14:textId="2A9DA94F" w:rsidR="00B82B77" w:rsidRDefault="00B82B77" w:rsidP="00B82B77">
      <w:pPr>
        <w:pStyle w:val="Paragraphedeliste"/>
        <w:numPr>
          <w:ilvl w:val="0"/>
          <w:numId w:val="40"/>
        </w:numPr>
        <w:rPr>
          <w:rFonts w:cs="Arial"/>
        </w:rPr>
      </w:pPr>
      <w:r>
        <w:rPr>
          <w:rFonts w:cs="Arial"/>
        </w:rPr>
        <w:t>l</w:t>
      </w:r>
      <w:r w:rsidRPr="006532AA">
        <w:rPr>
          <w:rFonts w:cs="Arial"/>
        </w:rPr>
        <w:t xml:space="preserve">’assistance à l’anonymisation des documents déposés par les usagers (candidats et partis politiques) ou générés par les agents de la Commission. Cette étape devrait normalement s’appuyer sur </w:t>
      </w:r>
      <w:r>
        <w:rPr>
          <w:rFonts w:cs="Arial"/>
        </w:rPr>
        <w:t>l</w:t>
      </w:r>
      <w:r w:rsidRPr="006532AA">
        <w:rPr>
          <w:rFonts w:cs="Arial"/>
        </w:rPr>
        <w:t xml:space="preserve">es processus </w:t>
      </w:r>
      <w:r>
        <w:rPr>
          <w:rFonts w:cs="Arial"/>
        </w:rPr>
        <w:t>d’océrisation et</w:t>
      </w:r>
      <w:r w:rsidRPr="006532AA">
        <w:rPr>
          <w:rFonts w:cs="Arial"/>
        </w:rPr>
        <w:t xml:space="preserve"> LAD/RAD</w:t>
      </w:r>
      <w:r>
        <w:rPr>
          <w:rFonts w:cs="Arial"/>
        </w:rPr>
        <w:t> »</w:t>
      </w:r>
      <w:r w:rsidRPr="006532AA">
        <w:rPr>
          <w:rFonts w:cs="Arial"/>
        </w:rPr>
        <w:t xml:space="preserve"> effectués sur comptes afin d’assister les agents </w:t>
      </w:r>
      <w:r>
        <w:rPr>
          <w:rFonts w:cs="Arial"/>
        </w:rPr>
        <w:t>de la Commission en charge de la p</w:t>
      </w:r>
      <w:r w:rsidRPr="006532AA">
        <w:rPr>
          <w:rFonts w:cs="Arial"/>
        </w:rPr>
        <w:t xml:space="preserve">rotection des </w:t>
      </w:r>
      <w:r>
        <w:rPr>
          <w:rFonts w:cs="Arial"/>
        </w:rPr>
        <w:t>d</w:t>
      </w:r>
      <w:r w:rsidRPr="006532AA">
        <w:rPr>
          <w:rFonts w:cs="Arial"/>
        </w:rPr>
        <w:t xml:space="preserve">onnées </w:t>
      </w:r>
      <w:r>
        <w:rPr>
          <w:rFonts w:cs="Arial"/>
        </w:rPr>
        <w:t>p</w:t>
      </w:r>
      <w:r w:rsidRPr="006532AA">
        <w:rPr>
          <w:rFonts w:cs="Arial"/>
        </w:rPr>
        <w:t xml:space="preserve">ersonnelles dans leurs travaux </w:t>
      </w:r>
      <w:r>
        <w:rPr>
          <w:rFonts w:cs="Arial"/>
        </w:rPr>
        <w:t xml:space="preserve">d’identification, de recherche et </w:t>
      </w:r>
      <w:r w:rsidRPr="006532AA">
        <w:rPr>
          <w:rFonts w:cs="Arial"/>
        </w:rPr>
        <w:t>d’anonymisation des</w:t>
      </w:r>
      <w:r>
        <w:rPr>
          <w:rFonts w:cs="Arial"/>
        </w:rPr>
        <w:t xml:space="preserve"> contenus des</w:t>
      </w:r>
      <w:r w:rsidRPr="006532AA">
        <w:rPr>
          <w:rFonts w:cs="Arial"/>
        </w:rPr>
        <w:t xml:space="preserve"> dossiers avant leur publication</w:t>
      </w:r>
      <w:r w:rsidR="002954D2">
        <w:rPr>
          <w:rFonts w:cs="Arial"/>
        </w:rPr>
        <w:t>. La Commission envisage sur ce point l’utilisation d’une IA pour accélérer et assister ces travaux d’anonymisation</w:t>
      </w:r>
      <w:r>
        <w:rPr>
          <w:rFonts w:cs="Arial"/>
        </w:rPr>
        <w:t> ;</w:t>
      </w:r>
    </w:p>
    <w:p w14:paraId="1D3B64B5" w14:textId="77777777" w:rsidR="00B82B77" w:rsidRDefault="00B82B77" w:rsidP="00B82B77">
      <w:pPr>
        <w:pStyle w:val="Paragraphedeliste"/>
        <w:rPr>
          <w:rFonts w:cs="Arial"/>
        </w:rPr>
      </w:pPr>
    </w:p>
    <w:p w14:paraId="0A932702" w14:textId="77777777" w:rsidR="00B82B77" w:rsidRDefault="00B82B77" w:rsidP="00B82B77">
      <w:pPr>
        <w:pStyle w:val="Paragraphedeliste"/>
        <w:numPr>
          <w:ilvl w:val="0"/>
          <w:numId w:val="40"/>
        </w:numPr>
        <w:rPr>
          <w:rFonts w:cs="Arial"/>
        </w:rPr>
      </w:pPr>
      <w:r>
        <w:rPr>
          <w:rFonts w:cs="Arial"/>
        </w:rPr>
        <w:t>la mise au point d’un référentiel « Open-data » des comptes anonymisés afin de permettre à certains organismes de statistiques et d’études de bénéficier d’un gisement de données nécessaires à leur mission ;</w:t>
      </w:r>
    </w:p>
    <w:p w14:paraId="4A4C347E" w14:textId="77777777" w:rsidR="00B82B77" w:rsidRDefault="00B82B77" w:rsidP="00B82B77">
      <w:pPr>
        <w:pStyle w:val="Paragraphedeliste"/>
        <w:rPr>
          <w:rFonts w:cs="Arial"/>
        </w:rPr>
      </w:pPr>
    </w:p>
    <w:p w14:paraId="6886AB86" w14:textId="77777777" w:rsidR="00B82B77" w:rsidRDefault="00B82B77" w:rsidP="00B82B77">
      <w:pPr>
        <w:pStyle w:val="Paragraphedeliste"/>
        <w:numPr>
          <w:ilvl w:val="0"/>
          <w:numId w:val="40"/>
        </w:numPr>
        <w:rPr>
          <w:rFonts w:cs="Arial"/>
        </w:rPr>
      </w:pPr>
      <w:r>
        <w:rPr>
          <w:rFonts w:cs="Arial"/>
        </w:rPr>
        <w:t>l’automatisation de la publication des décisions et des comptes (post-anonymisation), qui devront être traités et adaptés aux attentes de divers demandeurs ou sources de publications tels que : le site internet de la Commission, le logiciel de publication des textes officiels Solon, DataGouv et aussi dans un espace de diffusion propre à l’application et réservé aux médias et autres tierces personnes (officiers de police judiciaire, universitaires, chercheurs, etc…) ;</w:t>
      </w:r>
    </w:p>
    <w:p w14:paraId="116F2726" w14:textId="77777777" w:rsidR="00B82B77" w:rsidRPr="00E70549" w:rsidRDefault="00B82B77" w:rsidP="00B82B77">
      <w:pPr>
        <w:pStyle w:val="Paragraphedeliste"/>
        <w:rPr>
          <w:rFonts w:cs="Arial"/>
        </w:rPr>
      </w:pPr>
    </w:p>
    <w:p w14:paraId="703D8CC2" w14:textId="77777777" w:rsidR="00B82B77" w:rsidRDefault="00B82B77" w:rsidP="00B82B77">
      <w:pPr>
        <w:pStyle w:val="Paragraphedeliste"/>
        <w:numPr>
          <w:ilvl w:val="0"/>
          <w:numId w:val="40"/>
        </w:numPr>
        <w:rPr>
          <w:rFonts w:cs="Arial"/>
        </w:rPr>
      </w:pPr>
      <w:r>
        <w:rPr>
          <w:rFonts w:cs="Arial"/>
        </w:rPr>
        <w:t>la constitution automatique d’une « Base d’abaques » qui proposera à la Commission de constituer un fond de données et de réaliser divers calculs et statistiques sur les partis, les élections, les comptes, etc... Ces informations seront à la fois utiles lors de la publication du rapport d’activité de la Commission, mais aussi pour constituer des profils de comptes « standards » qui seront remontées dans l’application pour aider les agents à détecter d’éventuelles anomalies financières, juridiques ou comportementales relatives à une campagne ou un parti ;</w:t>
      </w:r>
    </w:p>
    <w:p w14:paraId="044DD1E9" w14:textId="77777777" w:rsidR="00B82B77" w:rsidRPr="004D0BBA" w:rsidRDefault="00B82B77" w:rsidP="00B82B77">
      <w:pPr>
        <w:pStyle w:val="Paragraphedeliste"/>
        <w:rPr>
          <w:rFonts w:cs="Arial"/>
        </w:rPr>
      </w:pPr>
    </w:p>
    <w:p w14:paraId="387A8C9F" w14:textId="77777777" w:rsidR="00B82B77" w:rsidRDefault="00B82B77" w:rsidP="00B82B77">
      <w:pPr>
        <w:pStyle w:val="Paragraphedeliste"/>
        <w:numPr>
          <w:ilvl w:val="0"/>
          <w:numId w:val="40"/>
        </w:numPr>
        <w:rPr>
          <w:rFonts w:cs="Arial"/>
        </w:rPr>
      </w:pPr>
      <w:r>
        <w:rPr>
          <w:rFonts w:cs="Arial"/>
        </w:rPr>
        <w:t>l’automatisation des processus d’archivage électronique des comptes, qui selon le type ou la nature des documents et des données sont soumis à des durées de conservation variables. Les informations, une fois poussées dans le SAE (Système d’Archivage Electronique) seront occultées et/ou purgées de l’application impactant de fait les systèmes de recherche, d’indexation et base de connaissance de l’application elle-même.</w:t>
      </w:r>
    </w:p>
    <w:p w14:paraId="50717359" w14:textId="77777777" w:rsidR="00B82B77" w:rsidRPr="00206994" w:rsidRDefault="00B82B77" w:rsidP="00B82B77">
      <w:pPr>
        <w:pStyle w:val="Paragraphedeliste"/>
        <w:rPr>
          <w:rFonts w:cs="Arial"/>
        </w:rPr>
      </w:pPr>
    </w:p>
    <w:p w14:paraId="2B62F107" w14:textId="77777777" w:rsidR="00B82B77" w:rsidRDefault="00B82B77" w:rsidP="00B82B77">
      <w:pPr>
        <w:jc w:val="left"/>
        <w:rPr>
          <w:rFonts w:eastAsiaTheme="majorEastAsia" w:cstheme="majorBidi"/>
          <w:color w:val="2F5496" w:themeColor="accent1" w:themeShade="BF"/>
          <w:sz w:val="26"/>
          <w:szCs w:val="26"/>
        </w:rPr>
      </w:pPr>
    </w:p>
    <w:p w14:paraId="2CE32DAB" w14:textId="77777777" w:rsidR="00F618F2" w:rsidRDefault="00F618F2" w:rsidP="00F618F2">
      <w:pPr>
        <w:pStyle w:val="Titre2"/>
      </w:pPr>
      <w:bookmarkStart w:id="92" w:name="_Toc218852826"/>
      <w:r w:rsidRPr="005F5935">
        <w:t xml:space="preserve">Métriques et </w:t>
      </w:r>
      <w:r>
        <w:t>principaux flux documentaires que la solution doit gérer</w:t>
      </w:r>
      <w:bookmarkEnd w:id="92"/>
    </w:p>
    <w:p w14:paraId="225BB3A4" w14:textId="77777777" w:rsidR="00F618F2" w:rsidRDefault="00F618F2" w:rsidP="00F618F2"/>
    <w:p w14:paraId="33076F19" w14:textId="77777777" w:rsidR="00F618F2" w:rsidRDefault="00F618F2" w:rsidP="00F618F2">
      <w:pPr>
        <w:spacing w:before="240" w:after="240"/>
      </w:pPr>
      <w:r>
        <w:t>Ce chapitre illustre le contexte dans lequel viendra s’intégrer la nouvelle application. Il donne les principales métriques des missions de la CNCCFP.</w:t>
      </w:r>
    </w:p>
    <w:p w14:paraId="3F3DE7BA" w14:textId="77777777" w:rsidR="00F618F2" w:rsidRDefault="00F618F2" w:rsidP="00F618F2">
      <w:pPr>
        <w:spacing w:before="240" w:after="240"/>
      </w:pPr>
      <w:r>
        <w:t>Il convient de préciser que les flux les plus importants en volume attendus dans la plateforme concernent le dépôt des comptes de campagne. Le dépôt et le traitement des documents suivront donc des pics très importants se concentrant quelques jours avant et quelques jours après la date limite de dépôt des comptes, la grande majorité des dépôts étant effectués au plus près de l’expiration du délai.</w:t>
      </w:r>
    </w:p>
    <w:p w14:paraId="44EF95A6" w14:textId="12CE9C11" w:rsidR="00F618F2" w:rsidRDefault="00F618F2" w:rsidP="00F618F2">
      <w:pPr>
        <w:spacing w:before="240" w:after="240"/>
      </w:pPr>
      <w:r>
        <w:t>En dehors de ces périodes, la volumétrie est bien moins importante. En ce qui concerne les partis politiques, deux pics de moindre importance sont à prévoir, le premier entre les mois de mars et d’avril pour le dépôt des justificatifs de recettes des mandataires, le second au cours du mois de juin à l’approche de la date limite du dépôt des comptes d’ensemble.</w:t>
      </w:r>
    </w:p>
    <w:p w14:paraId="1B45E150" w14:textId="77777777" w:rsidR="009D45CB" w:rsidRDefault="009D45CB" w:rsidP="00F618F2">
      <w:pPr>
        <w:spacing w:before="240" w:after="240"/>
      </w:pPr>
    </w:p>
    <w:p w14:paraId="364CDB4B" w14:textId="77777777" w:rsidR="00F618F2" w:rsidRPr="008257FC" w:rsidRDefault="00F618F2" w:rsidP="00F618F2">
      <w:pPr>
        <w:pStyle w:val="Titre3"/>
      </w:pPr>
      <w:bookmarkStart w:id="93" w:name="_Toc218852827"/>
      <w:r w:rsidRPr="008257FC">
        <w:t>Typologie des principaux flux documentaires entrants et sortants</w:t>
      </w:r>
      <w:bookmarkEnd w:id="93"/>
    </w:p>
    <w:p w14:paraId="3D85ABDB" w14:textId="77777777" w:rsidR="00F618F2" w:rsidRDefault="00F618F2" w:rsidP="00F618F2"/>
    <w:p w14:paraId="4C1EC1B5" w14:textId="77777777" w:rsidR="00F618F2" w:rsidRDefault="00F618F2" w:rsidP="00F618F2">
      <w:r>
        <w:t>Ce tableau présente les typologies des principaux flux entrants (entre les utilisateurs externes et la CNCCFP) et sortants (entre la CNCCFP et les utilisateurs externes, ou restants au sein de la CNCCFP). Ce tableau est donné à titre indicatif et ne représente pas l’exhaustivité des typologies documentaires.</w:t>
      </w:r>
    </w:p>
    <w:p w14:paraId="52FA0BBA" w14:textId="77777777" w:rsidR="00F618F2" w:rsidRDefault="00F618F2" w:rsidP="00F618F2"/>
    <w:tbl>
      <w:tblPr>
        <w:tblW w:w="90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1710"/>
        <w:gridCol w:w="3540"/>
        <w:gridCol w:w="3765"/>
      </w:tblGrid>
      <w:tr w:rsidR="00F618F2" w:rsidRPr="00A269A1" w14:paraId="1B7DEC5D" w14:textId="77777777" w:rsidTr="005C513F">
        <w:trPr>
          <w:trHeight w:val="480"/>
        </w:trPr>
        <w:tc>
          <w:tcPr>
            <w:tcW w:w="1710" w:type="dxa"/>
            <w:tcBorders>
              <w:top w:val="single" w:sz="4" w:space="0" w:color="8EAADB"/>
              <w:left w:val="single" w:sz="4" w:space="0" w:color="8EAADB"/>
              <w:bottom w:val="single" w:sz="4" w:space="0" w:color="8EAADB"/>
              <w:right w:val="single" w:sz="4" w:space="0" w:color="8EAADB"/>
            </w:tcBorders>
            <w:shd w:val="clear" w:color="auto" w:fill="B4C6E7" w:themeFill="accent1" w:themeFillTint="66"/>
          </w:tcPr>
          <w:p w14:paraId="5DA0C9A4" w14:textId="77777777" w:rsidR="00F618F2" w:rsidRPr="00A269A1" w:rsidRDefault="00F618F2" w:rsidP="005C513F">
            <w:pPr>
              <w:spacing w:before="240" w:after="240"/>
              <w:jc w:val="center"/>
              <w:rPr>
                <w:sz w:val="18"/>
                <w:szCs w:val="18"/>
              </w:rPr>
            </w:pPr>
          </w:p>
        </w:tc>
        <w:tc>
          <w:tcPr>
            <w:tcW w:w="3540" w:type="dxa"/>
            <w:tcBorders>
              <w:top w:val="single" w:sz="4" w:space="0" w:color="8EAADB"/>
              <w:left w:val="single" w:sz="4" w:space="0" w:color="8EAADB"/>
              <w:bottom w:val="single" w:sz="4" w:space="0" w:color="8EAADB"/>
              <w:right w:val="single" w:sz="4" w:space="0" w:color="8EAADB"/>
            </w:tcBorders>
            <w:shd w:val="clear" w:color="auto" w:fill="B4C6E7" w:themeFill="accent1" w:themeFillTint="66"/>
            <w:hideMark/>
          </w:tcPr>
          <w:p w14:paraId="7C648811" w14:textId="77777777" w:rsidR="00F618F2" w:rsidRPr="00A269A1" w:rsidRDefault="00F618F2" w:rsidP="005C513F">
            <w:pPr>
              <w:spacing w:before="240" w:after="240"/>
              <w:jc w:val="center"/>
              <w:rPr>
                <w:sz w:val="18"/>
                <w:szCs w:val="18"/>
              </w:rPr>
            </w:pPr>
            <w:r w:rsidRPr="00A269A1">
              <w:rPr>
                <w:sz w:val="18"/>
                <w:szCs w:val="18"/>
              </w:rPr>
              <w:t>Flux entrants</w:t>
            </w:r>
          </w:p>
        </w:tc>
        <w:tc>
          <w:tcPr>
            <w:tcW w:w="3765" w:type="dxa"/>
            <w:tcBorders>
              <w:top w:val="single" w:sz="4" w:space="0" w:color="8EAADB"/>
              <w:left w:val="single" w:sz="4" w:space="0" w:color="8EAADB"/>
              <w:bottom w:val="single" w:sz="4" w:space="0" w:color="8EAADB"/>
              <w:right w:val="single" w:sz="4" w:space="0" w:color="8EAADB"/>
            </w:tcBorders>
            <w:shd w:val="clear" w:color="auto" w:fill="B4C6E7" w:themeFill="accent1" w:themeFillTint="66"/>
            <w:hideMark/>
          </w:tcPr>
          <w:p w14:paraId="37C4FF2B" w14:textId="77777777" w:rsidR="00F618F2" w:rsidRPr="00A269A1" w:rsidRDefault="00F618F2" w:rsidP="005C513F">
            <w:pPr>
              <w:spacing w:before="240" w:after="240"/>
              <w:jc w:val="center"/>
              <w:rPr>
                <w:sz w:val="18"/>
                <w:szCs w:val="18"/>
              </w:rPr>
            </w:pPr>
            <w:r w:rsidRPr="00A269A1">
              <w:rPr>
                <w:sz w:val="18"/>
                <w:szCs w:val="18"/>
              </w:rPr>
              <w:t>Flux sortants</w:t>
            </w:r>
          </w:p>
        </w:tc>
      </w:tr>
      <w:tr w:rsidR="00F618F2" w14:paraId="0C73F600" w14:textId="77777777" w:rsidTr="005C513F">
        <w:trPr>
          <w:trHeight w:val="1220"/>
        </w:trPr>
        <w:tc>
          <w:tcPr>
            <w:tcW w:w="1710" w:type="dxa"/>
            <w:tcBorders>
              <w:top w:val="single" w:sz="4" w:space="0" w:color="8EAADB"/>
              <w:left w:val="single" w:sz="4" w:space="0" w:color="8EAADB"/>
              <w:bottom w:val="single" w:sz="4" w:space="0" w:color="8EAADB"/>
              <w:right w:val="single" w:sz="4" w:space="0" w:color="8EAADB"/>
            </w:tcBorders>
            <w:hideMark/>
          </w:tcPr>
          <w:p w14:paraId="48E17A29" w14:textId="77777777" w:rsidR="00F618F2" w:rsidRPr="003419A9" w:rsidRDefault="00F618F2" w:rsidP="005C513F">
            <w:pPr>
              <w:widowControl w:val="0"/>
              <w:spacing w:before="240" w:after="240"/>
              <w:rPr>
                <w:sz w:val="18"/>
                <w:szCs w:val="18"/>
              </w:rPr>
            </w:pPr>
            <w:r w:rsidRPr="003419A9">
              <w:rPr>
                <w:sz w:val="18"/>
                <w:szCs w:val="18"/>
              </w:rPr>
              <w:t>Élections</w:t>
            </w:r>
          </w:p>
        </w:tc>
        <w:tc>
          <w:tcPr>
            <w:tcW w:w="3540" w:type="dxa"/>
            <w:tcBorders>
              <w:top w:val="single" w:sz="4" w:space="0" w:color="8EAADB"/>
              <w:left w:val="single" w:sz="4" w:space="0" w:color="8EAADB"/>
              <w:bottom w:val="single" w:sz="4" w:space="0" w:color="8EAADB"/>
              <w:right w:val="single" w:sz="4" w:space="0" w:color="8EAADB"/>
            </w:tcBorders>
            <w:hideMark/>
          </w:tcPr>
          <w:p w14:paraId="0D185096" w14:textId="77777777" w:rsidR="00F618F2" w:rsidRPr="003419A9" w:rsidRDefault="00F618F2" w:rsidP="005C513F">
            <w:pPr>
              <w:numPr>
                <w:ilvl w:val="0"/>
                <w:numId w:val="36"/>
              </w:numPr>
              <w:spacing w:before="240" w:line="256" w:lineRule="auto"/>
              <w:rPr>
                <w:sz w:val="18"/>
                <w:szCs w:val="18"/>
              </w:rPr>
            </w:pPr>
            <w:r w:rsidRPr="003419A9">
              <w:rPr>
                <w:color w:val="000000"/>
                <w:sz w:val="18"/>
                <w:szCs w:val="18"/>
              </w:rPr>
              <w:t>comptes de campagne et ses annexes</w:t>
            </w:r>
          </w:p>
          <w:p w14:paraId="78D84E39" w14:textId="77777777" w:rsidR="00F618F2" w:rsidRPr="003419A9" w:rsidRDefault="00F618F2" w:rsidP="005C513F">
            <w:pPr>
              <w:numPr>
                <w:ilvl w:val="0"/>
                <w:numId w:val="36"/>
              </w:numPr>
              <w:spacing w:line="256" w:lineRule="auto"/>
              <w:rPr>
                <w:sz w:val="18"/>
                <w:szCs w:val="18"/>
              </w:rPr>
            </w:pPr>
            <w:r w:rsidRPr="003419A9">
              <w:rPr>
                <w:color w:val="000000"/>
                <w:sz w:val="18"/>
                <w:szCs w:val="18"/>
              </w:rPr>
              <w:t>documents comptables</w:t>
            </w:r>
          </w:p>
          <w:p w14:paraId="1D3DE8B4" w14:textId="77777777" w:rsidR="00F618F2" w:rsidRPr="003419A9" w:rsidRDefault="00F618F2" w:rsidP="005C513F">
            <w:pPr>
              <w:numPr>
                <w:ilvl w:val="0"/>
                <w:numId w:val="36"/>
              </w:numPr>
              <w:spacing w:line="256" w:lineRule="auto"/>
              <w:rPr>
                <w:sz w:val="18"/>
                <w:szCs w:val="18"/>
              </w:rPr>
            </w:pPr>
            <w:r w:rsidRPr="003419A9">
              <w:rPr>
                <w:color w:val="000000"/>
                <w:sz w:val="18"/>
                <w:szCs w:val="18"/>
              </w:rPr>
              <w:t>pièces justificatives (factures, notes, images, vidéos, relevés bancaires, copies de chèques, contrats de prêts etc.)</w:t>
            </w:r>
          </w:p>
          <w:p w14:paraId="6B150EF0" w14:textId="77777777" w:rsidR="00F618F2" w:rsidRPr="003419A9" w:rsidRDefault="00F618F2" w:rsidP="005C513F">
            <w:pPr>
              <w:numPr>
                <w:ilvl w:val="0"/>
                <w:numId w:val="36"/>
              </w:numPr>
              <w:spacing w:line="256" w:lineRule="auto"/>
              <w:rPr>
                <w:sz w:val="18"/>
                <w:szCs w:val="18"/>
              </w:rPr>
            </w:pPr>
            <w:r w:rsidRPr="003419A9">
              <w:rPr>
                <w:color w:val="000000"/>
                <w:sz w:val="18"/>
                <w:szCs w:val="18"/>
              </w:rPr>
              <w:t>courriers entrants provenant des candidats</w:t>
            </w:r>
          </w:p>
          <w:p w14:paraId="21EB0D51" w14:textId="77777777" w:rsidR="00F618F2" w:rsidRPr="003419A9" w:rsidRDefault="00F618F2" w:rsidP="005C513F">
            <w:pPr>
              <w:numPr>
                <w:ilvl w:val="0"/>
                <w:numId w:val="36"/>
              </w:numPr>
              <w:spacing w:line="256" w:lineRule="auto"/>
              <w:rPr>
                <w:sz w:val="18"/>
                <w:szCs w:val="18"/>
              </w:rPr>
            </w:pPr>
            <w:r w:rsidRPr="003419A9">
              <w:rPr>
                <w:color w:val="000000"/>
                <w:sz w:val="18"/>
                <w:szCs w:val="18"/>
              </w:rPr>
              <w:t>recours gracieux</w:t>
            </w:r>
          </w:p>
          <w:p w14:paraId="516AA747" w14:textId="77777777" w:rsidR="00F618F2" w:rsidRPr="003419A9" w:rsidRDefault="00F618F2" w:rsidP="005C513F">
            <w:pPr>
              <w:numPr>
                <w:ilvl w:val="0"/>
                <w:numId w:val="36"/>
              </w:numPr>
              <w:spacing w:after="240" w:line="256" w:lineRule="auto"/>
              <w:rPr>
                <w:sz w:val="18"/>
                <w:szCs w:val="18"/>
              </w:rPr>
            </w:pPr>
            <w:r w:rsidRPr="003419A9">
              <w:rPr>
                <w:color w:val="000000"/>
                <w:sz w:val="18"/>
                <w:szCs w:val="18"/>
              </w:rPr>
              <w:t>documents juridictionnels (recours contre l’élection, recours contentieux contre les décisions de la commission, mémoires, décisions juridictionnelles)</w:t>
            </w:r>
          </w:p>
        </w:tc>
        <w:tc>
          <w:tcPr>
            <w:tcW w:w="3765" w:type="dxa"/>
            <w:tcBorders>
              <w:top w:val="single" w:sz="4" w:space="0" w:color="8EAADB"/>
              <w:left w:val="single" w:sz="4" w:space="0" w:color="8EAADB"/>
              <w:bottom w:val="single" w:sz="4" w:space="0" w:color="8EAADB"/>
              <w:right w:val="single" w:sz="4" w:space="0" w:color="8EAADB"/>
            </w:tcBorders>
            <w:hideMark/>
          </w:tcPr>
          <w:p w14:paraId="03A03A3F" w14:textId="77777777" w:rsidR="00F618F2" w:rsidRPr="003419A9" w:rsidRDefault="00F618F2" w:rsidP="005C513F">
            <w:pPr>
              <w:numPr>
                <w:ilvl w:val="0"/>
                <w:numId w:val="36"/>
              </w:numPr>
              <w:spacing w:before="240" w:line="256" w:lineRule="auto"/>
              <w:rPr>
                <w:sz w:val="18"/>
                <w:szCs w:val="18"/>
              </w:rPr>
            </w:pPr>
            <w:r w:rsidRPr="003419A9">
              <w:rPr>
                <w:color w:val="000000"/>
                <w:sz w:val="18"/>
                <w:szCs w:val="18"/>
              </w:rPr>
              <w:t>rapports (document interne CNCCFP pour prise de décision)</w:t>
            </w:r>
          </w:p>
          <w:p w14:paraId="34E72222" w14:textId="77777777" w:rsidR="00F618F2" w:rsidRPr="003419A9" w:rsidRDefault="00F618F2" w:rsidP="005C513F">
            <w:pPr>
              <w:numPr>
                <w:ilvl w:val="0"/>
                <w:numId w:val="36"/>
              </w:numPr>
              <w:spacing w:line="256" w:lineRule="auto"/>
              <w:rPr>
                <w:sz w:val="18"/>
                <w:szCs w:val="18"/>
              </w:rPr>
            </w:pPr>
            <w:r w:rsidRPr="003419A9">
              <w:rPr>
                <w:color w:val="000000"/>
                <w:sz w:val="18"/>
                <w:szCs w:val="18"/>
              </w:rPr>
              <w:t>courriers sortants (CNCCFP vers les utilisateurs externes)</w:t>
            </w:r>
          </w:p>
          <w:p w14:paraId="22154261" w14:textId="77777777" w:rsidR="00F618F2" w:rsidRPr="003419A9" w:rsidRDefault="00F618F2" w:rsidP="005C513F">
            <w:pPr>
              <w:numPr>
                <w:ilvl w:val="0"/>
                <w:numId w:val="36"/>
              </w:numPr>
              <w:spacing w:line="256" w:lineRule="auto"/>
              <w:rPr>
                <w:sz w:val="18"/>
                <w:szCs w:val="18"/>
              </w:rPr>
            </w:pPr>
            <w:r w:rsidRPr="003419A9">
              <w:rPr>
                <w:color w:val="000000"/>
                <w:sz w:val="18"/>
                <w:szCs w:val="18"/>
              </w:rPr>
              <w:t>décisions (relatives au compte de campagne ou à un recours gracieux)</w:t>
            </w:r>
          </w:p>
          <w:p w14:paraId="24A0366B" w14:textId="77777777" w:rsidR="00F618F2" w:rsidRPr="003419A9" w:rsidRDefault="00F618F2" w:rsidP="005C513F">
            <w:pPr>
              <w:numPr>
                <w:ilvl w:val="0"/>
                <w:numId w:val="36"/>
              </w:numPr>
              <w:spacing w:line="256" w:lineRule="auto"/>
              <w:rPr>
                <w:sz w:val="18"/>
                <w:szCs w:val="18"/>
              </w:rPr>
            </w:pPr>
            <w:r w:rsidRPr="003419A9">
              <w:rPr>
                <w:color w:val="000000"/>
                <w:sz w:val="18"/>
                <w:szCs w:val="18"/>
              </w:rPr>
              <w:t>documents juridictionnels (mémoires, requêtes en appel)</w:t>
            </w:r>
          </w:p>
          <w:p w14:paraId="31545CAC" w14:textId="77777777" w:rsidR="00F618F2" w:rsidRPr="003419A9" w:rsidRDefault="00F618F2" w:rsidP="005C513F">
            <w:pPr>
              <w:numPr>
                <w:ilvl w:val="0"/>
                <w:numId w:val="36"/>
              </w:numPr>
              <w:spacing w:after="240" w:line="256" w:lineRule="auto"/>
              <w:rPr>
                <w:sz w:val="18"/>
                <w:szCs w:val="18"/>
              </w:rPr>
            </w:pPr>
            <w:r w:rsidRPr="003419A9">
              <w:rPr>
                <w:color w:val="000000"/>
                <w:sz w:val="18"/>
                <w:szCs w:val="18"/>
              </w:rPr>
              <w:t>publications (PDF et données structurés)</w:t>
            </w:r>
          </w:p>
        </w:tc>
      </w:tr>
      <w:tr w:rsidR="00F618F2" w14:paraId="0AA826DE" w14:textId="77777777" w:rsidTr="005C513F">
        <w:trPr>
          <w:trHeight w:val="1880"/>
        </w:trPr>
        <w:tc>
          <w:tcPr>
            <w:tcW w:w="1710" w:type="dxa"/>
            <w:tcBorders>
              <w:top w:val="single" w:sz="4" w:space="0" w:color="8EAADB"/>
              <w:left w:val="single" w:sz="4" w:space="0" w:color="8EAADB"/>
              <w:bottom w:val="single" w:sz="4" w:space="0" w:color="8EAADB"/>
              <w:right w:val="single" w:sz="4" w:space="0" w:color="8EAADB"/>
            </w:tcBorders>
            <w:hideMark/>
          </w:tcPr>
          <w:p w14:paraId="57B1045D" w14:textId="77777777" w:rsidR="00F618F2" w:rsidRPr="003419A9" w:rsidRDefault="00F618F2" w:rsidP="005C513F">
            <w:pPr>
              <w:widowControl w:val="0"/>
              <w:spacing w:before="240" w:after="240"/>
              <w:rPr>
                <w:sz w:val="18"/>
                <w:szCs w:val="18"/>
              </w:rPr>
            </w:pPr>
            <w:r w:rsidRPr="003419A9">
              <w:rPr>
                <w:sz w:val="18"/>
                <w:szCs w:val="18"/>
              </w:rPr>
              <w:t>Partis politiques</w:t>
            </w:r>
          </w:p>
        </w:tc>
        <w:tc>
          <w:tcPr>
            <w:tcW w:w="3540" w:type="dxa"/>
            <w:tcBorders>
              <w:top w:val="single" w:sz="4" w:space="0" w:color="8EAADB"/>
              <w:left w:val="single" w:sz="4" w:space="0" w:color="8EAADB"/>
              <w:bottom w:val="single" w:sz="4" w:space="0" w:color="8EAADB"/>
              <w:right w:val="single" w:sz="4" w:space="0" w:color="8EAADB"/>
            </w:tcBorders>
            <w:hideMark/>
          </w:tcPr>
          <w:p w14:paraId="3D013DA0" w14:textId="77777777" w:rsidR="00F618F2" w:rsidRPr="003419A9" w:rsidRDefault="00F618F2" w:rsidP="005C513F">
            <w:pPr>
              <w:numPr>
                <w:ilvl w:val="0"/>
                <w:numId w:val="36"/>
              </w:numPr>
              <w:spacing w:before="240" w:line="256" w:lineRule="auto"/>
              <w:rPr>
                <w:sz w:val="18"/>
                <w:szCs w:val="18"/>
              </w:rPr>
            </w:pPr>
            <w:r w:rsidRPr="003419A9">
              <w:rPr>
                <w:color w:val="000000"/>
                <w:sz w:val="18"/>
                <w:szCs w:val="18"/>
              </w:rPr>
              <w:t>comptes d’ensemble des partis (bilan, compte de résultat, annexe)</w:t>
            </w:r>
          </w:p>
          <w:p w14:paraId="73A5F4CB" w14:textId="77777777" w:rsidR="00F618F2" w:rsidRPr="003419A9" w:rsidRDefault="00F618F2" w:rsidP="005C513F">
            <w:pPr>
              <w:numPr>
                <w:ilvl w:val="0"/>
                <w:numId w:val="36"/>
              </w:numPr>
              <w:spacing w:line="256" w:lineRule="auto"/>
              <w:rPr>
                <w:sz w:val="18"/>
                <w:szCs w:val="18"/>
              </w:rPr>
            </w:pPr>
            <w:r w:rsidRPr="003419A9">
              <w:rPr>
                <w:color w:val="000000"/>
                <w:sz w:val="18"/>
                <w:szCs w:val="18"/>
              </w:rPr>
              <w:t>rapports des commissaires aux comptes</w:t>
            </w:r>
          </w:p>
          <w:p w14:paraId="40AD0F80" w14:textId="77777777" w:rsidR="00F618F2" w:rsidRPr="003419A9" w:rsidRDefault="00F618F2" w:rsidP="005C513F">
            <w:pPr>
              <w:numPr>
                <w:ilvl w:val="0"/>
                <w:numId w:val="36"/>
              </w:numPr>
              <w:spacing w:line="256" w:lineRule="auto"/>
              <w:rPr>
                <w:sz w:val="18"/>
                <w:szCs w:val="18"/>
              </w:rPr>
            </w:pPr>
            <w:r w:rsidRPr="003419A9">
              <w:rPr>
                <w:color w:val="000000"/>
                <w:sz w:val="18"/>
                <w:szCs w:val="18"/>
              </w:rPr>
              <w:t>courriers entrants provenant des représentants des partis politiques</w:t>
            </w:r>
          </w:p>
          <w:p w14:paraId="4A386FCD" w14:textId="77777777" w:rsidR="00F618F2" w:rsidRPr="003419A9" w:rsidRDefault="00F618F2" w:rsidP="005C513F">
            <w:pPr>
              <w:numPr>
                <w:ilvl w:val="0"/>
                <w:numId w:val="36"/>
              </w:numPr>
              <w:spacing w:line="256" w:lineRule="auto"/>
              <w:rPr>
                <w:sz w:val="18"/>
                <w:szCs w:val="18"/>
              </w:rPr>
            </w:pPr>
            <w:r w:rsidRPr="003419A9">
              <w:rPr>
                <w:color w:val="000000"/>
                <w:sz w:val="18"/>
                <w:szCs w:val="18"/>
              </w:rPr>
              <w:t>pièces justificatives des recettes déposées par les mandataire</w:t>
            </w:r>
          </w:p>
          <w:p w14:paraId="7225DE31" w14:textId="77777777" w:rsidR="00F618F2" w:rsidRPr="004E087F" w:rsidRDefault="00F618F2" w:rsidP="005C513F">
            <w:pPr>
              <w:numPr>
                <w:ilvl w:val="0"/>
                <w:numId w:val="36"/>
              </w:numPr>
              <w:spacing w:line="256" w:lineRule="auto"/>
              <w:rPr>
                <w:sz w:val="18"/>
                <w:szCs w:val="18"/>
              </w:rPr>
            </w:pPr>
            <w:r w:rsidRPr="003419A9">
              <w:rPr>
                <w:color w:val="000000"/>
                <w:sz w:val="18"/>
                <w:szCs w:val="18"/>
              </w:rPr>
              <w:t>liste des donateurs et cotisants transmise par les représentants des partis politiques</w:t>
            </w:r>
          </w:p>
          <w:p w14:paraId="31C9EC06" w14:textId="77777777" w:rsidR="00F618F2" w:rsidRPr="003419A9" w:rsidRDefault="00F618F2" w:rsidP="005C513F">
            <w:pPr>
              <w:numPr>
                <w:ilvl w:val="0"/>
                <w:numId w:val="36"/>
              </w:numPr>
              <w:spacing w:line="256" w:lineRule="auto"/>
              <w:rPr>
                <w:sz w:val="18"/>
                <w:szCs w:val="18"/>
              </w:rPr>
            </w:pPr>
            <w:r>
              <w:rPr>
                <w:color w:val="000000"/>
                <w:sz w:val="18"/>
                <w:szCs w:val="18"/>
              </w:rPr>
              <w:t>fichiers nécessaires à l’édition des reçus</w:t>
            </w:r>
          </w:p>
          <w:p w14:paraId="2A705D26" w14:textId="77777777" w:rsidR="00F618F2" w:rsidRPr="003419A9" w:rsidRDefault="00F618F2" w:rsidP="005C513F">
            <w:pPr>
              <w:numPr>
                <w:ilvl w:val="0"/>
                <w:numId w:val="36"/>
              </w:numPr>
              <w:spacing w:after="240" w:line="256" w:lineRule="auto"/>
              <w:rPr>
                <w:sz w:val="18"/>
                <w:szCs w:val="18"/>
              </w:rPr>
            </w:pPr>
            <w:r w:rsidRPr="003419A9">
              <w:rPr>
                <w:color w:val="000000"/>
                <w:sz w:val="18"/>
                <w:szCs w:val="18"/>
              </w:rPr>
              <w:t>Contrats de prêts</w:t>
            </w:r>
          </w:p>
        </w:tc>
        <w:tc>
          <w:tcPr>
            <w:tcW w:w="3765" w:type="dxa"/>
            <w:tcBorders>
              <w:top w:val="single" w:sz="4" w:space="0" w:color="8EAADB"/>
              <w:left w:val="single" w:sz="4" w:space="0" w:color="8EAADB"/>
              <w:bottom w:val="single" w:sz="4" w:space="0" w:color="8EAADB"/>
              <w:right w:val="single" w:sz="4" w:space="0" w:color="8EAADB"/>
            </w:tcBorders>
            <w:hideMark/>
          </w:tcPr>
          <w:p w14:paraId="33B252C6" w14:textId="77777777" w:rsidR="00F618F2" w:rsidRPr="003419A9" w:rsidRDefault="00F618F2" w:rsidP="005C513F">
            <w:pPr>
              <w:numPr>
                <w:ilvl w:val="0"/>
                <w:numId w:val="36"/>
              </w:numPr>
              <w:spacing w:before="240" w:line="256" w:lineRule="auto"/>
              <w:rPr>
                <w:sz w:val="18"/>
                <w:szCs w:val="18"/>
              </w:rPr>
            </w:pPr>
            <w:r w:rsidRPr="003419A9">
              <w:rPr>
                <w:color w:val="000000"/>
                <w:sz w:val="18"/>
                <w:szCs w:val="18"/>
              </w:rPr>
              <w:t>accusés de réception</w:t>
            </w:r>
          </w:p>
          <w:p w14:paraId="5B1E32D8" w14:textId="77777777" w:rsidR="00F618F2" w:rsidRPr="003419A9" w:rsidRDefault="00F618F2" w:rsidP="005C513F">
            <w:pPr>
              <w:numPr>
                <w:ilvl w:val="0"/>
                <w:numId w:val="36"/>
              </w:numPr>
              <w:spacing w:line="256" w:lineRule="auto"/>
              <w:rPr>
                <w:sz w:val="18"/>
                <w:szCs w:val="18"/>
              </w:rPr>
            </w:pPr>
            <w:r w:rsidRPr="003419A9">
              <w:rPr>
                <w:color w:val="000000"/>
                <w:sz w:val="18"/>
                <w:szCs w:val="18"/>
              </w:rPr>
              <w:t>reçus dons et cotisations</w:t>
            </w:r>
          </w:p>
          <w:p w14:paraId="30917C29" w14:textId="77777777" w:rsidR="00F618F2" w:rsidRPr="003419A9" w:rsidRDefault="00F618F2" w:rsidP="005C513F">
            <w:pPr>
              <w:numPr>
                <w:ilvl w:val="0"/>
                <w:numId w:val="36"/>
              </w:numPr>
              <w:spacing w:line="256" w:lineRule="auto"/>
              <w:rPr>
                <w:sz w:val="18"/>
                <w:szCs w:val="18"/>
              </w:rPr>
            </w:pPr>
            <w:r w:rsidRPr="003419A9">
              <w:rPr>
                <w:color w:val="000000"/>
                <w:sz w:val="18"/>
                <w:szCs w:val="18"/>
              </w:rPr>
              <w:t>courriers sortants</w:t>
            </w:r>
          </w:p>
          <w:p w14:paraId="5854F5C1" w14:textId="77777777" w:rsidR="00F618F2" w:rsidRPr="003419A9" w:rsidRDefault="00F618F2" w:rsidP="005C513F">
            <w:pPr>
              <w:numPr>
                <w:ilvl w:val="0"/>
                <w:numId w:val="36"/>
              </w:numPr>
              <w:spacing w:line="256" w:lineRule="auto"/>
              <w:rPr>
                <w:sz w:val="18"/>
                <w:szCs w:val="18"/>
              </w:rPr>
            </w:pPr>
            <w:r w:rsidRPr="003419A9">
              <w:rPr>
                <w:color w:val="000000"/>
                <w:sz w:val="18"/>
                <w:szCs w:val="18"/>
              </w:rPr>
              <w:t>décisions</w:t>
            </w:r>
          </w:p>
          <w:p w14:paraId="4E64C42E" w14:textId="77777777" w:rsidR="00F618F2" w:rsidRPr="003419A9" w:rsidRDefault="00F618F2" w:rsidP="005C513F">
            <w:pPr>
              <w:numPr>
                <w:ilvl w:val="0"/>
                <w:numId w:val="36"/>
              </w:numPr>
              <w:spacing w:line="256" w:lineRule="auto"/>
              <w:rPr>
                <w:sz w:val="18"/>
                <w:szCs w:val="18"/>
              </w:rPr>
            </w:pPr>
            <w:r w:rsidRPr="003419A9">
              <w:rPr>
                <w:color w:val="000000"/>
                <w:sz w:val="18"/>
                <w:szCs w:val="18"/>
              </w:rPr>
              <w:t>notes de synthèse (document interne CNCCFP pour prise de décision)</w:t>
            </w:r>
          </w:p>
          <w:p w14:paraId="0AC6F51A" w14:textId="77777777" w:rsidR="00F618F2" w:rsidRPr="003419A9" w:rsidRDefault="00F618F2" w:rsidP="005C513F">
            <w:pPr>
              <w:numPr>
                <w:ilvl w:val="0"/>
                <w:numId w:val="36"/>
              </w:numPr>
              <w:spacing w:line="256" w:lineRule="auto"/>
              <w:rPr>
                <w:sz w:val="18"/>
                <w:szCs w:val="18"/>
              </w:rPr>
            </w:pPr>
            <w:r w:rsidRPr="003419A9">
              <w:rPr>
                <w:color w:val="000000"/>
                <w:sz w:val="18"/>
                <w:szCs w:val="18"/>
              </w:rPr>
              <w:t>documents juridictionnels (mémoires, requêtes en appel)</w:t>
            </w:r>
          </w:p>
          <w:p w14:paraId="0DB59880" w14:textId="77777777" w:rsidR="00F618F2" w:rsidRPr="003419A9" w:rsidRDefault="00F618F2" w:rsidP="005C513F">
            <w:pPr>
              <w:numPr>
                <w:ilvl w:val="0"/>
                <w:numId w:val="36"/>
              </w:numPr>
              <w:spacing w:after="240" w:line="256" w:lineRule="auto"/>
              <w:rPr>
                <w:sz w:val="18"/>
                <w:szCs w:val="18"/>
              </w:rPr>
            </w:pPr>
            <w:r w:rsidRPr="003419A9">
              <w:rPr>
                <w:color w:val="000000"/>
                <w:sz w:val="18"/>
                <w:szCs w:val="18"/>
              </w:rPr>
              <w:t>publications (PDF et fichiers structurés)</w:t>
            </w:r>
          </w:p>
        </w:tc>
      </w:tr>
    </w:tbl>
    <w:p w14:paraId="6FE7C73F" w14:textId="77777777" w:rsidR="00F618F2" w:rsidRDefault="00F618F2" w:rsidP="00F618F2"/>
    <w:p w14:paraId="29D3A95C" w14:textId="77777777" w:rsidR="00F618F2" w:rsidRDefault="00F618F2" w:rsidP="00F618F2">
      <w:pPr>
        <w:pStyle w:val="Titre3"/>
        <w:numPr>
          <w:ilvl w:val="0"/>
          <w:numId w:val="0"/>
        </w:numPr>
        <w:ind w:left="720"/>
      </w:pPr>
    </w:p>
    <w:p w14:paraId="3814F06F" w14:textId="77777777" w:rsidR="00F618F2" w:rsidRPr="005D1A73" w:rsidRDefault="00F618F2" w:rsidP="00F618F2">
      <w:pPr>
        <w:pStyle w:val="Titre3"/>
      </w:pPr>
      <w:bookmarkStart w:id="94" w:name="_Toc218852828"/>
      <w:r w:rsidRPr="005D1A73">
        <w:t>Métriques partis politiques</w:t>
      </w:r>
      <w:bookmarkEnd w:id="94"/>
    </w:p>
    <w:p w14:paraId="1658AD24" w14:textId="77777777" w:rsidR="00F618F2" w:rsidRDefault="00F618F2" w:rsidP="00F618F2"/>
    <w:tbl>
      <w:tblPr>
        <w:tblW w:w="90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4531"/>
        <w:gridCol w:w="4531"/>
      </w:tblGrid>
      <w:tr w:rsidR="00F618F2" w:rsidRPr="003419A9" w14:paraId="15E77B0F" w14:textId="77777777" w:rsidTr="005C513F">
        <w:tc>
          <w:tcPr>
            <w:tcW w:w="4531" w:type="dxa"/>
            <w:shd w:val="clear" w:color="auto" w:fill="B4C6E7" w:themeFill="accent1" w:themeFillTint="66"/>
          </w:tcPr>
          <w:p w14:paraId="62F6F73F" w14:textId="77777777" w:rsidR="00F618F2" w:rsidRPr="003419A9" w:rsidRDefault="00F618F2" w:rsidP="005C513F">
            <w:pPr>
              <w:spacing w:before="240" w:after="240"/>
              <w:rPr>
                <w:sz w:val="18"/>
                <w:szCs w:val="18"/>
              </w:rPr>
            </w:pPr>
            <w:r w:rsidRPr="003419A9">
              <w:rPr>
                <w:sz w:val="18"/>
                <w:szCs w:val="18"/>
              </w:rPr>
              <w:t>Items</w:t>
            </w:r>
          </w:p>
        </w:tc>
        <w:tc>
          <w:tcPr>
            <w:tcW w:w="4531" w:type="dxa"/>
            <w:shd w:val="clear" w:color="auto" w:fill="B4C6E7" w:themeFill="accent1" w:themeFillTint="66"/>
          </w:tcPr>
          <w:p w14:paraId="37781C6E" w14:textId="77777777" w:rsidR="00F618F2" w:rsidRPr="003419A9" w:rsidRDefault="00F618F2" w:rsidP="005C513F">
            <w:pPr>
              <w:spacing w:before="240" w:after="240"/>
              <w:rPr>
                <w:sz w:val="18"/>
                <w:szCs w:val="18"/>
              </w:rPr>
            </w:pPr>
            <w:r w:rsidRPr="003419A9">
              <w:rPr>
                <w:sz w:val="18"/>
                <w:szCs w:val="18"/>
              </w:rPr>
              <w:t>Exercice 2024</w:t>
            </w:r>
          </w:p>
        </w:tc>
      </w:tr>
      <w:tr w:rsidR="00F618F2" w:rsidRPr="003419A9" w14:paraId="103DBA6F" w14:textId="77777777" w:rsidTr="005C513F">
        <w:trPr>
          <w:trHeight w:val="526"/>
        </w:trPr>
        <w:tc>
          <w:tcPr>
            <w:tcW w:w="4531" w:type="dxa"/>
          </w:tcPr>
          <w:p w14:paraId="6C68B2C8" w14:textId="77777777" w:rsidR="00F618F2" w:rsidRPr="003419A9" w:rsidRDefault="00F618F2" w:rsidP="005C513F">
            <w:pPr>
              <w:spacing w:before="240" w:after="240"/>
              <w:rPr>
                <w:sz w:val="18"/>
                <w:szCs w:val="18"/>
              </w:rPr>
            </w:pPr>
            <w:r w:rsidRPr="003419A9">
              <w:rPr>
                <w:sz w:val="18"/>
                <w:szCs w:val="18"/>
              </w:rPr>
              <w:t>Nb de partis soumis, aux obligations légales</w:t>
            </w:r>
          </w:p>
        </w:tc>
        <w:tc>
          <w:tcPr>
            <w:tcW w:w="4531" w:type="dxa"/>
          </w:tcPr>
          <w:p w14:paraId="079F95AD" w14:textId="77777777" w:rsidR="00F618F2" w:rsidRPr="003419A9" w:rsidRDefault="00F618F2" w:rsidP="005C513F">
            <w:pPr>
              <w:spacing w:before="240" w:after="240"/>
              <w:rPr>
                <w:sz w:val="18"/>
                <w:szCs w:val="18"/>
              </w:rPr>
            </w:pPr>
            <w:r w:rsidRPr="003419A9">
              <w:rPr>
                <w:sz w:val="18"/>
                <w:szCs w:val="18"/>
              </w:rPr>
              <w:t>636</w:t>
            </w:r>
          </w:p>
        </w:tc>
      </w:tr>
      <w:tr w:rsidR="00F618F2" w:rsidRPr="003419A9" w14:paraId="72670790" w14:textId="77777777" w:rsidTr="005C513F">
        <w:trPr>
          <w:trHeight w:val="420"/>
        </w:trPr>
        <w:tc>
          <w:tcPr>
            <w:tcW w:w="4531" w:type="dxa"/>
          </w:tcPr>
          <w:p w14:paraId="2B25EAB9" w14:textId="77777777" w:rsidR="00F618F2" w:rsidRPr="003419A9" w:rsidRDefault="00F618F2" w:rsidP="005C513F">
            <w:pPr>
              <w:spacing w:before="240" w:after="240"/>
              <w:rPr>
                <w:sz w:val="18"/>
                <w:szCs w:val="18"/>
              </w:rPr>
            </w:pPr>
            <w:r w:rsidRPr="003419A9">
              <w:rPr>
                <w:sz w:val="18"/>
                <w:szCs w:val="18"/>
              </w:rPr>
              <w:t>Nb de comptes déposés</w:t>
            </w:r>
          </w:p>
        </w:tc>
        <w:tc>
          <w:tcPr>
            <w:tcW w:w="4531" w:type="dxa"/>
          </w:tcPr>
          <w:p w14:paraId="68AA9019" w14:textId="77777777" w:rsidR="00F618F2" w:rsidRPr="003419A9" w:rsidRDefault="00F618F2" w:rsidP="005C513F">
            <w:pPr>
              <w:spacing w:before="240" w:after="240"/>
              <w:rPr>
                <w:sz w:val="18"/>
                <w:szCs w:val="18"/>
              </w:rPr>
            </w:pPr>
            <w:r w:rsidRPr="003419A9">
              <w:rPr>
                <w:sz w:val="18"/>
                <w:szCs w:val="18"/>
              </w:rPr>
              <w:t>574</w:t>
            </w:r>
          </w:p>
        </w:tc>
      </w:tr>
      <w:tr w:rsidR="00F618F2" w:rsidRPr="003419A9" w14:paraId="479B2B16" w14:textId="77777777" w:rsidTr="005C513F">
        <w:trPr>
          <w:trHeight w:val="573"/>
        </w:trPr>
        <w:tc>
          <w:tcPr>
            <w:tcW w:w="4531" w:type="dxa"/>
          </w:tcPr>
          <w:p w14:paraId="759A2282" w14:textId="77777777" w:rsidR="00F618F2" w:rsidRPr="003419A9" w:rsidRDefault="00F618F2" w:rsidP="005C513F">
            <w:pPr>
              <w:spacing w:before="240" w:after="240"/>
              <w:rPr>
                <w:sz w:val="18"/>
                <w:szCs w:val="18"/>
              </w:rPr>
            </w:pPr>
            <w:r w:rsidRPr="003419A9">
              <w:rPr>
                <w:sz w:val="18"/>
                <w:szCs w:val="18"/>
              </w:rPr>
              <w:t>Nb de reçus dématérialisés délivrés</w:t>
            </w:r>
          </w:p>
        </w:tc>
        <w:tc>
          <w:tcPr>
            <w:tcW w:w="4531" w:type="dxa"/>
          </w:tcPr>
          <w:p w14:paraId="352AD787" w14:textId="77777777" w:rsidR="00F618F2" w:rsidRPr="003419A9" w:rsidRDefault="00F618F2" w:rsidP="005C513F">
            <w:pPr>
              <w:spacing w:before="240" w:after="240"/>
              <w:rPr>
                <w:sz w:val="18"/>
                <w:szCs w:val="18"/>
              </w:rPr>
            </w:pPr>
            <w:r w:rsidRPr="003419A9">
              <w:rPr>
                <w:sz w:val="18"/>
                <w:szCs w:val="18"/>
              </w:rPr>
              <w:t>450 000</w:t>
            </w:r>
          </w:p>
        </w:tc>
      </w:tr>
      <w:tr w:rsidR="00F618F2" w:rsidRPr="003419A9" w14:paraId="35CFAE0A" w14:textId="77777777" w:rsidTr="005C513F">
        <w:trPr>
          <w:trHeight w:val="455"/>
        </w:trPr>
        <w:tc>
          <w:tcPr>
            <w:tcW w:w="4531" w:type="dxa"/>
          </w:tcPr>
          <w:p w14:paraId="26D0CB0D" w14:textId="77777777" w:rsidR="00F618F2" w:rsidRPr="003419A9" w:rsidRDefault="00F618F2" w:rsidP="005C513F">
            <w:pPr>
              <w:spacing w:before="240" w:after="240"/>
              <w:rPr>
                <w:sz w:val="18"/>
                <w:szCs w:val="18"/>
              </w:rPr>
            </w:pPr>
            <w:r w:rsidRPr="003419A9">
              <w:rPr>
                <w:sz w:val="18"/>
                <w:szCs w:val="18"/>
              </w:rPr>
              <w:t>Nb d’entrées GED archivage des comptes</w:t>
            </w:r>
          </w:p>
        </w:tc>
        <w:tc>
          <w:tcPr>
            <w:tcW w:w="4531" w:type="dxa"/>
          </w:tcPr>
          <w:p w14:paraId="330A8651" w14:textId="77777777" w:rsidR="00F618F2" w:rsidRPr="003419A9" w:rsidRDefault="00F618F2" w:rsidP="005C513F">
            <w:pPr>
              <w:spacing w:before="240" w:after="240"/>
              <w:rPr>
                <w:sz w:val="18"/>
                <w:szCs w:val="18"/>
              </w:rPr>
            </w:pPr>
            <w:r w:rsidRPr="003419A9">
              <w:rPr>
                <w:sz w:val="18"/>
                <w:szCs w:val="18"/>
              </w:rPr>
              <w:t>574</w:t>
            </w:r>
          </w:p>
        </w:tc>
      </w:tr>
    </w:tbl>
    <w:p w14:paraId="7B547C96" w14:textId="77777777" w:rsidR="00F618F2" w:rsidRDefault="00F618F2" w:rsidP="00F618F2"/>
    <w:p w14:paraId="733C8737" w14:textId="77777777" w:rsidR="00F618F2" w:rsidRDefault="00F618F2" w:rsidP="00F618F2">
      <w:pPr>
        <w:jc w:val="left"/>
      </w:pPr>
      <w:r>
        <w:t>Fichiers transmis à la CNCCFP et stockés au titre de :</w:t>
      </w:r>
    </w:p>
    <w:p w14:paraId="741C4B94" w14:textId="77777777" w:rsidR="00F618F2" w:rsidRDefault="00F618F2" w:rsidP="00F618F2">
      <w:pPr>
        <w:numPr>
          <w:ilvl w:val="0"/>
          <w:numId w:val="13"/>
        </w:numPr>
        <w:spacing w:before="240" w:after="240" w:line="264" w:lineRule="auto"/>
      </w:pPr>
      <w:r>
        <w:t>Application Listes uniques et dépôt des Justificatifs de recettes (JR)</w:t>
      </w:r>
    </w:p>
    <w:p w14:paraId="7C8C5DAE" w14:textId="77777777" w:rsidR="00F618F2" w:rsidRDefault="00F618F2" w:rsidP="00F618F2">
      <w:pPr>
        <w:numPr>
          <w:ilvl w:val="0"/>
          <w:numId w:val="13"/>
        </w:numPr>
        <w:spacing w:before="240" w:after="240" w:line="264" w:lineRule="auto"/>
      </w:pPr>
      <w:r>
        <w:t>Application de dématérialisation des reçus-dons (RD)</w:t>
      </w:r>
    </w:p>
    <w:tbl>
      <w:tblPr>
        <w:tblW w:w="906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810"/>
        <w:gridCol w:w="1812"/>
        <w:gridCol w:w="1813"/>
        <w:gridCol w:w="1813"/>
        <w:gridCol w:w="1813"/>
      </w:tblGrid>
      <w:tr w:rsidR="00F618F2" w:rsidRPr="003419A9" w14:paraId="533827FC" w14:textId="77777777" w:rsidTr="005C513F">
        <w:tc>
          <w:tcPr>
            <w:tcW w:w="1810" w:type="dxa"/>
            <w:shd w:val="clear" w:color="auto" w:fill="B4C6E7" w:themeFill="accent1" w:themeFillTint="66"/>
          </w:tcPr>
          <w:p w14:paraId="2FF2D239" w14:textId="77777777" w:rsidR="00F618F2" w:rsidRPr="003419A9" w:rsidRDefault="00F618F2" w:rsidP="005C513F">
            <w:pPr>
              <w:spacing w:before="240" w:after="240" w:line="264" w:lineRule="auto"/>
              <w:rPr>
                <w:sz w:val="18"/>
                <w:szCs w:val="18"/>
              </w:rPr>
            </w:pPr>
            <w:r w:rsidRPr="003419A9">
              <w:rPr>
                <w:sz w:val="18"/>
                <w:szCs w:val="18"/>
              </w:rPr>
              <w:t>Items</w:t>
            </w:r>
          </w:p>
        </w:tc>
        <w:tc>
          <w:tcPr>
            <w:tcW w:w="3625" w:type="dxa"/>
            <w:gridSpan w:val="2"/>
            <w:shd w:val="clear" w:color="auto" w:fill="B4C6E7" w:themeFill="accent1" w:themeFillTint="66"/>
          </w:tcPr>
          <w:p w14:paraId="1177B1D9" w14:textId="77777777" w:rsidR="00F618F2" w:rsidRPr="003419A9" w:rsidRDefault="00F618F2" w:rsidP="005C513F">
            <w:pPr>
              <w:spacing w:before="240" w:after="240" w:line="264" w:lineRule="auto"/>
              <w:rPr>
                <w:sz w:val="18"/>
                <w:szCs w:val="18"/>
              </w:rPr>
            </w:pPr>
            <w:r w:rsidRPr="003419A9">
              <w:rPr>
                <w:sz w:val="18"/>
                <w:szCs w:val="18"/>
              </w:rPr>
              <w:t>2023 (exercice 2022)</w:t>
            </w:r>
          </w:p>
        </w:tc>
        <w:tc>
          <w:tcPr>
            <w:tcW w:w="3626" w:type="dxa"/>
            <w:gridSpan w:val="2"/>
            <w:shd w:val="clear" w:color="auto" w:fill="B4C6E7" w:themeFill="accent1" w:themeFillTint="66"/>
          </w:tcPr>
          <w:p w14:paraId="37EE7CD7" w14:textId="77777777" w:rsidR="00F618F2" w:rsidRPr="003419A9" w:rsidRDefault="00F618F2" w:rsidP="005C513F">
            <w:pPr>
              <w:spacing w:before="240" w:after="240" w:line="264" w:lineRule="auto"/>
              <w:rPr>
                <w:sz w:val="18"/>
                <w:szCs w:val="18"/>
              </w:rPr>
            </w:pPr>
            <w:r w:rsidRPr="003419A9">
              <w:rPr>
                <w:sz w:val="18"/>
                <w:szCs w:val="18"/>
              </w:rPr>
              <w:t>2024 (exercice 2023)</w:t>
            </w:r>
          </w:p>
        </w:tc>
      </w:tr>
      <w:tr w:rsidR="00F618F2" w:rsidRPr="003419A9" w14:paraId="38392994" w14:textId="77777777" w:rsidTr="005C513F">
        <w:tc>
          <w:tcPr>
            <w:tcW w:w="1810" w:type="dxa"/>
            <w:shd w:val="clear" w:color="auto" w:fill="B4C6E7" w:themeFill="accent1" w:themeFillTint="66"/>
          </w:tcPr>
          <w:p w14:paraId="2C62CD42" w14:textId="77777777" w:rsidR="00F618F2" w:rsidRPr="003419A9" w:rsidRDefault="00F618F2" w:rsidP="005C513F">
            <w:pPr>
              <w:spacing w:before="240" w:after="240" w:line="264" w:lineRule="auto"/>
              <w:rPr>
                <w:sz w:val="18"/>
                <w:szCs w:val="18"/>
              </w:rPr>
            </w:pPr>
          </w:p>
        </w:tc>
        <w:tc>
          <w:tcPr>
            <w:tcW w:w="1812" w:type="dxa"/>
            <w:shd w:val="clear" w:color="auto" w:fill="B4C6E7" w:themeFill="accent1" w:themeFillTint="66"/>
          </w:tcPr>
          <w:p w14:paraId="6569273B" w14:textId="77777777" w:rsidR="00F618F2" w:rsidRPr="003419A9" w:rsidRDefault="00F618F2" w:rsidP="005C513F">
            <w:pPr>
              <w:spacing w:before="240" w:after="240" w:line="264" w:lineRule="auto"/>
              <w:rPr>
                <w:sz w:val="18"/>
                <w:szCs w:val="18"/>
              </w:rPr>
            </w:pPr>
            <w:r w:rsidRPr="003419A9">
              <w:rPr>
                <w:sz w:val="18"/>
                <w:szCs w:val="18"/>
              </w:rPr>
              <w:t>Nb fichiers</w:t>
            </w:r>
          </w:p>
        </w:tc>
        <w:tc>
          <w:tcPr>
            <w:tcW w:w="1813" w:type="dxa"/>
            <w:shd w:val="clear" w:color="auto" w:fill="B4C6E7" w:themeFill="accent1" w:themeFillTint="66"/>
          </w:tcPr>
          <w:p w14:paraId="0E12DC80" w14:textId="77777777" w:rsidR="00F618F2" w:rsidRPr="003419A9" w:rsidRDefault="00F618F2" w:rsidP="005C513F">
            <w:pPr>
              <w:spacing w:before="240" w:after="240" w:line="264" w:lineRule="auto"/>
              <w:rPr>
                <w:sz w:val="18"/>
                <w:szCs w:val="18"/>
              </w:rPr>
            </w:pPr>
            <w:r w:rsidRPr="003419A9">
              <w:rPr>
                <w:sz w:val="18"/>
                <w:szCs w:val="18"/>
              </w:rPr>
              <w:t>Taille (en Go)</w:t>
            </w:r>
          </w:p>
        </w:tc>
        <w:tc>
          <w:tcPr>
            <w:tcW w:w="1813" w:type="dxa"/>
            <w:shd w:val="clear" w:color="auto" w:fill="B4C6E7" w:themeFill="accent1" w:themeFillTint="66"/>
          </w:tcPr>
          <w:p w14:paraId="04A1DAB8" w14:textId="77777777" w:rsidR="00F618F2" w:rsidRPr="003419A9" w:rsidRDefault="00F618F2" w:rsidP="005C513F">
            <w:pPr>
              <w:spacing w:before="240" w:after="240" w:line="264" w:lineRule="auto"/>
              <w:rPr>
                <w:sz w:val="18"/>
                <w:szCs w:val="18"/>
              </w:rPr>
            </w:pPr>
            <w:r w:rsidRPr="003419A9">
              <w:rPr>
                <w:sz w:val="18"/>
                <w:szCs w:val="18"/>
              </w:rPr>
              <w:t>Nb fichiers</w:t>
            </w:r>
          </w:p>
        </w:tc>
        <w:tc>
          <w:tcPr>
            <w:tcW w:w="1813" w:type="dxa"/>
            <w:shd w:val="clear" w:color="auto" w:fill="B4C6E7" w:themeFill="accent1" w:themeFillTint="66"/>
          </w:tcPr>
          <w:p w14:paraId="50506B82" w14:textId="77777777" w:rsidR="00F618F2" w:rsidRPr="003419A9" w:rsidRDefault="00F618F2" w:rsidP="005C513F">
            <w:pPr>
              <w:spacing w:before="240" w:after="240" w:line="264" w:lineRule="auto"/>
              <w:rPr>
                <w:sz w:val="18"/>
                <w:szCs w:val="18"/>
              </w:rPr>
            </w:pPr>
            <w:r w:rsidRPr="003419A9">
              <w:rPr>
                <w:sz w:val="18"/>
                <w:szCs w:val="18"/>
              </w:rPr>
              <w:t>Taille (en Go)</w:t>
            </w:r>
          </w:p>
        </w:tc>
      </w:tr>
      <w:tr w:rsidR="00F618F2" w:rsidRPr="003419A9" w14:paraId="6D32D847" w14:textId="77777777" w:rsidTr="005C513F">
        <w:trPr>
          <w:trHeight w:val="975"/>
        </w:trPr>
        <w:tc>
          <w:tcPr>
            <w:tcW w:w="1810" w:type="dxa"/>
          </w:tcPr>
          <w:p w14:paraId="03FCD3F5" w14:textId="77777777" w:rsidR="00F618F2" w:rsidRPr="003419A9" w:rsidRDefault="00F618F2" w:rsidP="005C513F">
            <w:pPr>
              <w:spacing w:before="240" w:after="240" w:line="264" w:lineRule="auto"/>
              <w:rPr>
                <w:sz w:val="18"/>
                <w:szCs w:val="18"/>
              </w:rPr>
            </w:pPr>
            <w:r w:rsidRPr="003419A9">
              <w:rPr>
                <w:sz w:val="18"/>
                <w:szCs w:val="18"/>
              </w:rPr>
              <w:t xml:space="preserve">Application </w:t>
            </w:r>
            <w:r>
              <w:rPr>
                <w:sz w:val="18"/>
                <w:szCs w:val="18"/>
              </w:rPr>
              <w:t>Fin’pol Partis Politiques</w:t>
            </w:r>
          </w:p>
        </w:tc>
        <w:tc>
          <w:tcPr>
            <w:tcW w:w="1812" w:type="dxa"/>
          </w:tcPr>
          <w:p w14:paraId="155C1288" w14:textId="77777777" w:rsidR="00F618F2" w:rsidRPr="003419A9" w:rsidRDefault="00F618F2" w:rsidP="005C513F">
            <w:pPr>
              <w:spacing w:before="240" w:after="240" w:line="264" w:lineRule="auto"/>
              <w:rPr>
                <w:sz w:val="18"/>
                <w:szCs w:val="18"/>
              </w:rPr>
            </w:pPr>
            <w:r w:rsidRPr="003419A9">
              <w:rPr>
                <w:sz w:val="18"/>
                <w:szCs w:val="18"/>
              </w:rPr>
              <w:t>1037</w:t>
            </w:r>
          </w:p>
        </w:tc>
        <w:tc>
          <w:tcPr>
            <w:tcW w:w="1813" w:type="dxa"/>
          </w:tcPr>
          <w:p w14:paraId="083FAB8C" w14:textId="77777777" w:rsidR="00F618F2" w:rsidRPr="003419A9" w:rsidRDefault="00F618F2" w:rsidP="005C513F">
            <w:pPr>
              <w:spacing w:before="240" w:after="240" w:line="264" w:lineRule="auto"/>
              <w:rPr>
                <w:sz w:val="18"/>
                <w:szCs w:val="18"/>
              </w:rPr>
            </w:pPr>
            <w:r w:rsidRPr="003419A9">
              <w:rPr>
                <w:sz w:val="18"/>
                <w:szCs w:val="18"/>
              </w:rPr>
              <w:t>0.15</w:t>
            </w:r>
          </w:p>
        </w:tc>
        <w:tc>
          <w:tcPr>
            <w:tcW w:w="1813" w:type="dxa"/>
          </w:tcPr>
          <w:p w14:paraId="0DA4DFEC" w14:textId="77777777" w:rsidR="00F618F2" w:rsidRPr="003419A9" w:rsidRDefault="00F618F2" w:rsidP="005C513F">
            <w:pPr>
              <w:spacing w:before="240" w:after="240" w:line="264" w:lineRule="auto"/>
              <w:rPr>
                <w:sz w:val="18"/>
                <w:szCs w:val="18"/>
              </w:rPr>
            </w:pPr>
            <w:r w:rsidRPr="003419A9">
              <w:rPr>
                <w:sz w:val="18"/>
                <w:szCs w:val="18"/>
              </w:rPr>
              <w:t>1261</w:t>
            </w:r>
          </w:p>
        </w:tc>
        <w:tc>
          <w:tcPr>
            <w:tcW w:w="1813" w:type="dxa"/>
          </w:tcPr>
          <w:p w14:paraId="092F0DD8" w14:textId="77777777" w:rsidR="00F618F2" w:rsidRPr="003419A9" w:rsidRDefault="00F618F2" w:rsidP="005C513F">
            <w:pPr>
              <w:spacing w:before="240" w:after="240" w:line="264" w:lineRule="auto"/>
              <w:rPr>
                <w:sz w:val="18"/>
                <w:szCs w:val="18"/>
              </w:rPr>
            </w:pPr>
            <w:r w:rsidRPr="003419A9">
              <w:rPr>
                <w:sz w:val="18"/>
                <w:szCs w:val="18"/>
              </w:rPr>
              <w:t>0.28</w:t>
            </w:r>
          </w:p>
        </w:tc>
      </w:tr>
    </w:tbl>
    <w:p w14:paraId="52A02091" w14:textId="77777777" w:rsidR="00F618F2" w:rsidRDefault="00F618F2" w:rsidP="00F618F2"/>
    <w:p w14:paraId="640E2F6B" w14:textId="77777777" w:rsidR="00F618F2" w:rsidRDefault="00F618F2" w:rsidP="00F618F2"/>
    <w:p w14:paraId="0F3E066C" w14:textId="77777777" w:rsidR="00F618F2" w:rsidRDefault="00F618F2" w:rsidP="00F618F2">
      <w:pPr>
        <w:jc w:val="left"/>
        <w:rPr>
          <w:rFonts w:eastAsiaTheme="majorEastAsia" w:cstheme="majorBidi"/>
          <w:color w:val="1F3763" w:themeColor="accent1" w:themeShade="7F"/>
          <w:sz w:val="24"/>
        </w:rPr>
      </w:pPr>
      <w:r>
        <w:br w:type="page"/>
      </w:r>
    </w:p>
    <w:p w14:paraId="59891BF3" w14:textId="77777777" w:rsidR="00F618F2" w:rsidRPr="008257FC" w:rsidRDefault="00F618F2" w:rsidP="00F618F2">
      <w:pPr>
        <w:pStyle w:val="Titre3"/>
      </w:pPr>
      <w:bookmarkStart w:id="95" w:name="_Toc218852829"/>
      <w:r w:rsidRPr="008257FC">
        <w:t>Métriques comptes de campagne</w:t>
      </w:r>
      <w:bookmarkEnd w:id="95"/>
    </w:p>
    <w:p w14:paraId="7C021463" w14:textId="77777777" w:rsidR="00F618F2" w:rsidRDefault="00F618F2" w:rsidP="00F618F2">
      <w:pPr>
        <w:ind w:left="1224"/>
      </w:pPr>
    </w:p>
    <w:tbl>
      <w:tblPr>
        <w:tblW w:w="65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175"/>
        <w:gridCol w:w="2070"/>
      </w:tblGrid>
      <w:tr w:rsidR="00F618F2" w:rsidRPr="00A269A1" w14:paraId="556E9339" w14:textId="77777777" w:rsidTr="005C513F">
        <w:trPr>
          <w:trHeight w:val="684"/>
        </w:trPr>
        <w:tc>
          <w:tcPr>
            <w:tcW w:w="2340" w:type="dxa"/>
            <w:tcBorders>
              <w:top w:val="single" w:sz="8" w:space="0" w:color="7BA0CD"/>
              <w:left w:val="single" w:sz="8" w:space="0" w:color="7BA0CD"/>
              <w:bottom w:val="single" w:sz="8" w:space="0" w:color="7BA0CD"/>
              <w:right w:val="single" w:sz="6" w:space="0" w:color="000000"/>
            </w:tcBorders>
            <w:shd w:val="clear" w:color="auto" w:fill="B4C6E7" w:themeFill="accent1" w:themeFillTint="66"/>
            <w:tcMar>
              <w:top w:w="100" w:type="dxa"/>
              <w:left w:w="100" w:type="dxa"/>
              <w:bottom w:w="100" w:type="dxa"/>
              <w:right w:w="100" w:type="dxa"/>
            </w:tcMar>
            <w:hideMark/>
          </w:tcPr>
          <w:p w14:paraId="76D5155E" w14:textId="77777777" w:rsidR="00F618F2" w:rsidRPr="00A269A1" w:rsidRDefault="00F618F2" w:rsidP="005C513F">
            <w:pPr>
              <w:spacing w:line="276" w:lineRule="auto"/>
              <w:jc w:val="center"/>
              <w:rPr>
                <w:sz w:val="18"/>
                <w:szCs w:val="18"/>
              </w:rPr>
            </w:pPr>
            <w:r w:rsidRPr="00A269A1">
              <w:rPr>
                <w:sz w:val="18"/>
                <w:szCs w:val="18"/>
              </w:rPr>
              <w:t>Élection</w:t>
            </w:r>
          </w:p>
        </w:tc>
        <w:tc>
          <w:tcPr>
            <w:tcW w:w="2175" w:type="dxa"/>
            <w:tcBorders>
              <w:top w:val="single" w:sz="8" w:space="0" w:color="7BA0CD"/>
              <w:left w:val="single" w:sz="6" w:space="0" w:color="000000"/>
              <w:bottom w:val="single" w:sz="8" w:space="0" w:color="7BA0CD"/>
              <w:right w:val="single" w:sz="6" w:space="0" w:color="000000"/>
            </w:tcBorders>
            <w:shd w:val="clear" w:color="auto" w:fill="B4C6E7" w:themeFill="accent1" w:themeFillTint="66"/>
            <w:tcMar>
              <w:top w:w="100" w:type="dxa"/>
              <w:left w:w="100" w:type="dxa"/>
              <w:bottom w:w="100" w:type="dxa"/>
              <w:right w:w="100" w:type="dxa"/>
            </w:tcMar>
            <w:hideMark/>
          </w:tcPr>
          <w:p w14:paraId="67A1BDA5" w14:textId="77777777" w:rsidR="00F618F2" w:rsidRPr="00A269A1" w:rsidRDefault="00F618F2" w:rsidP="005C513F">
            <w:pPr>
              <w:spacing w:line="276" w:lineRule="auto"/>
              <w:jc w:val="center"/>
              <w:rPr>
                <w:sz w:val="18"/>
                <w:szCs w:val="18"/>
              </w:rPr>
            </w:pPr>
            <w:r w:rsidRPr="00A269A1">
              <w:rPr>
                <w:sz w:val="18"/>
                <w:szCs w:val="18"/>
              </w:rPr>
              <w:t>Nombre de comptes</w:t>
            </w:r>
          </w:p>
        </w:tc>
        <w:tc>
          <w:tcPr>
            <w:tcW w:w="2070" w:type="dxa"/>
            <w:tcBorders>
              <w:top w:val="single" w:sz="8" w:space="0" w:color="7BA0CD"/>
              <w:left w:val="single" w:sz="6" w:space="0" w:color="000000"/>
              <w:bottom w:val="single" w:sz="8" w:space="0" w:color="7BA0CD"/>
              <w:right w:val="single" w:sz="8" w:space="0" w:color="7BA0CD"/>
            </w:tcBorders>
            <w:shd w:val="clear" w:color="auto" w:fill="B4C6E7" w:themeFill="accent1" w:themeFillTint="66"/>
            <w:tcMar>
              <w:top w:w="100" w:type="dxa"/>
              <w:left w:w="100" w:type="dxa"/>
              <w:bottom w:w="100" w:type="dxa"/>
              <w:right w:w="100" w:type="dxa"/>
            </w:tcMar>
            <w:hideMark/>
          </w:tcPr>
          <w:p w14:paraId="42F53E94" w14:textId="77777777" w:rsidR="00F618F2" w:rsidRPr="00A269A1" w:rsidRDefault="00F618F2" w:rsidP="005C513F">
            <w:pPr>
              <w:spacing w:line="276" w:lineRule="auto"/>
              <w:jc w:val="center"/>
              <w:rPr>
                <w:sz w:val="18"/>
                <w:szCs w:val="18"/>
              </w:rPr>
            </w:pPr>
            <w:r w:rsidRPr="00A269A1">
              <w:rPr>
                <w:sz w:val="18"/>
                <w:szCs w:val="18"/>
              </w:rPr>
              <w:t>Nombre de pages estimé</w:t>
            </w:r>
          </w:p>
        </w:tc>
      </w:tr>
      <w:tr w:rsidR="00F618F2" w:rsidRPr="003419A9" w14:paraId="548E5FEA" w14:textId="77777777" w:rsidTr="005C513F">
        <w:trPr>
          <w:trHeight w:val="346"/>
        </w:trPr>
        <w:tc>
          <w:tcPr>
            <w:tcW w:w="2340" w:type="dxa"/>
            <w:tcBorders>
              <w:top w:val="single" w:sz="6" w:space="0" w:color="000000"/>
              <w:left w:val="single" w:sz="8" w:space="0" w:color="7BA0CD"/>
              <w:bottom w:val="single" w:sz="8" w:space="0" w:color="7BA0CD"/>
              <w:right w:val="single" w:sz="6" w:space="0" w:color="000000"/>
            </w:tcBorders>
            <w:shd w:val="clear" w:color="auto" w:fill="D3DFEE"/>
            <w:tcMar>
              <w:top w:w="100" w:type="dxa"/>
              <w:left w:w="100" w:type="dxa"/>
              <w:bottom w:w="100" w:type="dxa"/>
              <w:right w:w="100" w:type="dxa"/>
            </w:tcMar>
            <w:hideMark/>
          </w:tcPr>
          <w:p w14:paraId="0E12DB49" w14:textId="77777777" w:rsidR="00F618F2" w:rsidRPr="003419A9" w:rsidRDefault="00F618F2" w:rsidP="005C513F">
            <w:pPr>
              <w:spacing w:line="276" w:lineRule="auto"/>
              <w:rPr>
                <w:b/>
                <w:sz w:val="18"/>
                <w:szCs w:val="18"/>
              </w:rPr>
            </w:pPr>
            <w:r w:rsidRPr="003419A9">
              <w:rPr>
                <w:b/>
                <w:sz w:val="18"/>
                <w:szCs w:val="18"/>
              </w:rPr>
              <w:t>Municipales 20</w:t>
            </w:r>
            <w:r>
              <w:rPr>
                <w:b/>
                <w:sz w:val="18"/>
                <w:szCs w:val="18"/>
              </w:rPr>
              <w:t>20</w:t>
            </w:r>
          </w:p>
        </w:tc>
        <w:tc>
          <w:tcPr>
            <w:tcW w:w="2175" w:type="dxa"/>
            <w:tcBorders>
              <w:top w:val="single" w:sz="6" w:space="0" w:color="000000"/>
              <w:left w:val="single" w:sz="6" w:space="0" w:color="000000"/>
              <w:bottom w:val="single" w:sz="8" w:space="0" w:color="7BA0CD"/>
              <w:right w:val="single" w:sz="6" w:space="0" w:color="000000"/>
            </w:tcBorders>
            <w:shd w:val="clear" w:color="auto" w:fill="D3DFEE"/>
            <w:tcMar>
              <w:top w:w="100" w:type="dxa"/>
              <w:left w:w="100" w:type="dxa"/>
              <w:bottom w:w="100" w:type="dxa"/>
              <w:right w:w="100" w:type="dxa"/>
            </w:tcMar>
            <w:hideMark/>
          </w:tcPr>
          <w:p w14:paraId="04733060" w14:textId="77777777" w:rsidR="00F618F2" w:rsidRPr="003419A9" w:rsidRDefault="00F618F2" w:rsidP="005C513F">
            <w:pPr>
              <w:spacing w:line="276" w:lineRule="auto"/>
              <w:jc w:val="right"/>
              <w:rPr>
                <w:sz w:val="18"/>
                <w:szCs w:val="18"/>
              </w:rPr>
            </w:pPr>
            <w:r w:rsidRPr="003419A9">
              <w:rPr>
                <w:sz w:val="18"/>
                <w:szCs w:val="18"/>
              </w:rPr>
              <w:t xml:space="preserve">          </w:t>
            </w:r>
            <w:r w:rsidRPr="003419A9">
              <w:rPr>
                <w:sz w:val="18"/>
                <w:szCs w:val="18"/>
              </w:rPr>
              <w:tab/>
              <w:t xml:space="preserve"> </w:t>
            </w:r>
            <w:r>
              <w:rPr>
                <w:sz w:val="18"/>
                <w:szCs w:val="18"/>
              </w:rPr>
              <w:t>5111</w:t>
            </w:r>
          </w:p>
        </w:tc>
        <w:tc>
          <w:tcPr>
            <w:tcW w:w="2070" w:type="dxa"/>
            <w:tcBorders>
              <w:top w:val="single" w:sz="6" w:space="0" w:color="000000"/>
              <w:left w:val="single" w:sz="6" w:space="0" w:color="000000"/>
              <w:bottom w:val="single" w:sz="8" w:space="0" w:color="7BA0CD"/>
              <w:right w:val="single" w:sz="8" w:space="0" w:color="7BA0CD"/>
            </w:tcBorders>
            <w:shd w:val="clear" w:color="auto" w:fill="D3DFEE"/>
            <w:tcMar>
              <w:top w:w="100" w:type="dxa"/>
              <w:left w:w="100" w:type="dxa"/>
              <w:bottom w:w="100" w:type="dxa"/>
              <w:right w:w="100" w:type="dxa"/>
            </w:tcMar>
            <w:hideMark/>
          </w:tcPr>
          <w:p w14:paraId="521396D6" w14:textId="77777777" w:rsidR="00F618F2" w:rsidRPr="003419A9" w:rsidRDefault="00F618F2" w:rsidP="005C513F">
            <w:pPr>
              <w:spacing w:line="276" w:lineRule="auto"/>
              <w:jc w:val="right"/>
              <w:rPr>
                <w:sz w:val="18"/>
                <w:szCs w:val="18"/>
              </w:rPr>
            </w:pPr>
            <w:r>
              <w:rPr>
                <w:sz w:val="18"/>
                <w:szCs w:val="18"/>
              </w:rPr>
              <w:t>1630000</w:t>
            </w:r>
          </w:p>
        </w:tc>
      </w:tr>
      <w:tr w:rsidR="00F618F2" w:rsidRPr="003419A9" w14:paraId="1326EDD2" w14:textId="77777777" w:rsidTr="005C513F">
        <w:trPr>
          <w:trHeight w:val="354"/>
        </w:trPr>
        <w:tc>
          <w:tcPr>
            <w:tcW w:w="2340" w:type="dxa"/>
            <w:tcBorders>
              <w:top w:val="single" w:sz="6" w:space="0" w:color="000000"/>
              <w:left w:val="single" w:sz="8" w:space="0" w:color="7BA0CD"/>
              <w:bottom w:val="single" w:sz="8" w:space="0" w:color="7BA0CD"/>
              <w:right w:val="single" w:sz="6" w:space="0" w:color="000000"/>
            </w:tcBorders>
            <w:tcMar>
              <w:top w:w="100" w:type="dxa"/>
              <w:left w:w="100" w:type="dxa"/>
              <w:bottom w:w="100" w:type="dxa"/>
              <w:right w:w="100" w:type="dxa"/>
            </w:tcMar>
            <w:hideMark/>
          </w:tcPr>
          <w:p w14:paraId="75027B7B" w14:textId="77777777" w:rsidR="00F618F2" w:rsidRPr="003419A9" w:rsidRDefault="00F618F2" w:rsidP="005C513F">
            <w:pPr>
              <w:spacing w:line="276" w:lineRule="auto"/>
              <w:rPr>
                <w:b/>
                <w:sz w:val="18"/>
                <w:szCs w:val="18"/>
              </w:rPr>
            </w:pPr>
            <w:r w:rsidRPr="003419A9">
              <w:rPr>
                <w:b/>
                <w:sz w:val="18"/>
                <w:szCs w:val="18"/>
              </w:rPr>
              <w:t>Européennes 20</w:t>
            </w:r>
            <w:r>
              <w:rPr>
                <w:b/>
                <w:sz w:val="18"/>
                <w:szCs w:val="18"/>
              </w:rPr>
              <w:t>24</w:t>
            </w:r>
          </w:p>
        </w:tc>
        <w:tc>
          <w:tcPr>
            <w:tcW w:w="2175" w:type="dxa"/>
            <w:tcBorders>
              <w:top w:val="single" w:sz="6" w:space="0" w:color="000000"/>
              <w:left w:val="single" w:sz="6" w:space="0" w:color="000000"/>
              <w:bottom w:val="single" w:sz="8" w:space="0" w:color="7BA0CD"/>
              <w:right w:val="single" w:sz="6" w:space="0" w:color="000000"/>
            </w:tcBorders>
            <w:tcMar>
              <w:top w:w="100" w:type="dxa"/>
              <w:left w:w="100" w:type="dxa"/>
              <w:bottom w:w="100" w:type="dxa"/>
              <w:right w:w="100" w:type="dxa"/>
            </w:tcMar>
            <w:hideMark/>
          </w:tcPr>
          <w:p w14:paraId="7B4817F7" w14:textId="77777777" w:rsidR="00F618F2" w:rsidRPr="003419A9" w:rsidRDefault="00F618F2" w:rsidP="005C513F">
            <w:pPr>
              <w:spacing w:line="276" w:lineRule="auto"/>
              <w:jc w:val="right"/>
              <w:rPr>
                <w:sz w:val="18"/>
                <w:szCs w:val="18"/>
              </w:rPr>
            </w:pPr>
            <w:r w:rsidRPr="003419A9">
              <w:rPr>
                <w:sz w:val="18"/>
                <w:szCs w:val="18"/>
              </w:rPr>
              <w:t xml:space="preserve">        </w:t>
            </w:r>
            <w:r w:rsidRPr="003419A9">
              <w:rPr>
                <w:sz w:val="18"/>
                <w:szCs w:val="18"/>
              </w:rPr>
              <w:tab/>
              <w:t xml:space="preserve">       </w:t>
            </w:r>
            <w:r>
              <w:rPr>
                <w:sz w:val="18"/>
                <w:szCs w:val="18"/>
              </w:rPr>
              <w:t>38</w:t>
            </w:r>
            <w:r w:rsidRPr="003419A9">
              <w:rPr>
                <w:sz w:val="18"/>
                <w:szCs w:val="18"/>
              </w:rPr>
              <w:t xml:space="preserve">  </w:t>
            </w:r>
          </w:p>
        </w:tc>
        <w:tc>
          <w:tcPr>
            <w:tcW w:w="2070" w:type="dxa"/>
            <w:tcBorders>
              <w:top w:val="single" w:sz="6" w:space="0" w:color="000000"/>
              <w:left w:val="single" w:sz="6" w:space="0" w:color="000000"/>
              <w:bottom w:val="single" w:sz="8" w:space="0" w:color="7BA0CD"/>
              <w:right w:val="single" w:sz="8" w:space="0" w:color="7BA0CD"/>
            </w:tcBorders>
            <w:tcMar>
              <w:top w:w="100" w:type="dxa"/>
              <w:left w:w="100" w:type="dxa"/>
              <w:bottom w:w="100" w:type="dxa"/>
              <w:right w:w="100" w:type="dxa"/>
            </w:tcMar>
          </w:tcPr>
          <w:p w14:paraId="17CC495B" w14:textId="77777777" w:rsidR="00F618F2" w:rsidRPr="003419A9" w:rsidRDefault="00F618F2" w:rsidP="005C513F">
            <w:pPr>
              <w:spacing w:line="276" w:lineRule="auto"/>
              <w:jc w:val="right"/>
              <w:rPr>
                <w:sz w:val="18"/>
                <w:szCs w:val="18"/>
              </w:rPr>
            </w:pPr>
            <w:r>
              <w:rPr>
                <w:sz w:val="18"/>
                <w:szCs w:val="18"/>
              </w:rPr>
              <w:t>70000</w:t>
            </w:r>
          </w:p>
        </w:tc>
      </w:tr>
      <w:tr w:rsidR="00F618F2" w:rsidRPr="003419A9" w14:paraId="444EEE95" w14:textId="77777777" w:rsidTr="005C513F">
        <w:trPr>
          <w:trHeight w:val="362"/>
        </w:trPr>
        <w:tc>
          <w:tcPr>
            <w:tcW w:w="2340" w:type="dxa"/>
            <w:tcBorders>
              <w:top w:val="single" w:sz="6" w:space="0" w:color="000000"/>
              <w:left w:val="single" w:sz="8" w:space="0" w:color="7BA0CD"/>
              <w:bottom w:val="single" w:sz="8" w:space="0" w:color="7BA0CD"/>
              <w:right w:val="single" w:sz="6" w:space="0" w:color="000000"/>
            </w:tcBorders>
            <w:shd w:val="clear" w:color="auto" w:fill="D3DFEE"/>
            <w:tcMar>
              <w:top w:w="100" w:type="dxa"/>
              <w:left w:w="100" w:type="dxa"/>
              <w:bottom w:w="100" w:type="dxa"/>
              <w:right w:w="100" w:type="dxa"/>
            </w:tcMar>
            <w:hideMark/>
          </w:tcPr>
          <w:p w14:paraId="577E48E2" w14:textId="77777777" w:rsidR="00F618F2" w:rsidRPr="003419A9" w:rsidRDefault="00F618F2" w:rsidP="005C513F">
            <w:pPr>
              <w:spacing w:line="276" w:lineRule="auto"/>
              <w:rPr>
                <w:b/>
                <w:sz w:val="18"/>
                <w:szCs w:val="18"/>
              </w:rPr>
            </w:pPr>
            <w:r w:rsidRPr="003419A9">
              <w:rPr>
                <w:b/>
                <w:sz w:val="18"/>
                <w:szCs w:val="18"/>
              </w:rPr>
              <w:t>Sénatoriales 20</w:t>
            </w:r>
            <w:r>
              <w:rPr>
                <w:b/>
                <w:sz w:val="18"/>
                <w:szCs w:val="18"/>
              </w:rPr>
              <w:t>20</w:t>
            </w:r>
          </w:p>
        </w:tc>
        <w:tc>
          <w:tcPr>
            <w:tcW w:w="2175" w:type="dxa"/>
            <w:tcBorders>
              <w:top w:val="single" w:sz="6" w:space="0" w:color="000000"/>
              <w:left w:val="single" w:sz="6" w:space="0" w:color="000000"/>
              <w:bottom w:val="single" w:sz="8" w:space="0" w:color="7BA0CD"/>
              <w:right w:val="single" w:sz="6" w:space="0" w:color="000000"/>
            </w:tcBorders>
            <w:shd w:val="clear" w:color="auto" w:fill="D3DFEE"/>
            <w:tcMar>
              <w:top w:w="100" w:type="dxa"/>
              <w:left w:w="100" w:type="dxa"/>
              <w:bottom w:w="100" w:type="dxa"/>
              <w:right w:w="100" w:type="dxa"/>
            </w:tcMar>
            <w:hideMark/>
          </w:tcPr>
          <w:p w14:paraId="22BEFDC4" w14:textId="77777777" w:rsidR="00F618F2" w:rsidRPr="003419A9" w:rsidRDefault="00F618F2" w:rsidP="005C513F">
            <w:pPr>
              <w:spacing w:line="276" w:lineRule="auto"/>
              <w:jc w:val="right"/>
              <w:rPr>
                <w:sz w:val="18"/>
                <w:szCs w:val="18"/>
              </w:rPr>
            </w:pPr>
            <w:r>
              <w:rPr>
                <w:sz w:val="18"/>
                <w:szCs w:val="18"/>
              </w:rPr>
              <w:t>434</w:t>
            </w:r>
          </w:p>
        </w:tc>
        <w:tc>
          <w:tcPr>
            <w:tcW w:w="2070" w:type="dxa"/>
            <w:tcBorders>
              <w:top w:val="single" w:sz="6" w:space="0" w:color="000000"/>
              <w:left w:val="single" w:sz="6" w:space="0" w:color="000000"/>
              <w:bottom w:val="single" w:sz="8" w:space="0" w:color="7BA0CD"/>
              <w:right w:val="single" w:sz="8" w:space="0" w:color="7BA0CD"/>
            </w:tcBorders>
            <w:shd w:val="clear" w:color="auto" w:fill="D3DFEE"/>
            <w:tcMar>
              <w:top w:w="100" w:type="dxa"/>
              <w:left w:w="100" w:type="dxa"/>
              <w:bottom w:w="100" w:type="dxa"/>
              <w:right w:w="100" w:type="dxa"/>
            </w:tcMar>
            <w:hideMark/>
          </w:tcPr>
          <w:p w14:paraId="1419FEC1" w14:textId="77777777" w:rsidR="00F618F2" w:rsidRPr="003419A9" w:rsidRDefault="00F618F2" w:rsidP="005C513F">
            <w:pPr>
              <w:spacing w:line="276" w:lineRule="auto"/>
              <w:jc w:val="right"/>
              <w:rPr>
                <w:sz w:val="18"/>
                <w:szCs w:val="18"/>
              </w:rPr>
            </w:pPr>
            <w:r>
              <w:rPr>
                <w:sz w:val="18"/>
                <w:szCs w:val="18"/>
              </w:rPr>
              <w:t>66000</w:t>
            </w:r>
          </w:p>
        </w:tc>
      </w:tr>
      <w:tr w:rsidR="00F618F2" w:rsidRPr="003419A9" w14:paraId="64E27441" w14:textId="77777777" w:rsidTr="005C513F">
        <w:trPr>
          <w:trHeight w:val="342"/>
        </w:trPr>
        <w:tc>
          <w:tcPr>
            <w:tcW w:w="2340" w:type="dxa"/>
            <w:tcBorders>
              <w:top w:val="single" w:sz="6" w:space="0" w:color="000000"/>
              <w:left w:val="single" w:sz="8" w:space="0" w:color="7BA0CD"/>
              <w:bottom w:val="single" w:sz="8" w:space="0" w:color="7BA0CD"/>
              <w:right w:val="single" w:sz="6" w:space="0" w:color="000000"/>
            </w:tcBorders>
            <w:tcMar>
              <w:top w:w="100" w:type="dxa"/>
              <w:left w:w="100" w:type="dxa"/>
              <w:bottom w:w="100" w:type="dxa"/>
              <w:right w:w="100" w:type="dxa"/>
            </w:tcMar>
            <w:hideMark/>
          </w:tcPr>
          <w:p w14:paraId="23239403" w14:textId="77777777" w:rsidR="00F618F2" w:rsidRPr="003419A9" w:rsidRDefault="00F618F2" w:rsidP="005C513F">
            <w:pPr>
              <w:spacing w:line="276" w:lineRule="auto"/>
              <w:rPr>
                <w:b/>
                <w:sz w:val="18"/>
                <w:szCs w:val="18"/>
              </w:rPr>
            </w:pPr>
            <w:r w:rsidRPr="003419A9">
              <w:rPr>
                <w:b/>
                <w:sz w:val="18"/>
                <w:szCs w:val="18"/>
              </w:rPr>
              <w:t xml:space="preserve">Régionales </w:t>
            </w:r>
            <w:r>
              <w:rPr>
                <w:b/>
                <w:sz w:val="18"/>
                <w:szCs w:val="18"/>
              </w:rPr>
              <w:t>2021</w:t>
            </w:r>
          </w:p>
        </w:tc>
        <w:tc>
          <w:tcPr>
            <w:tcW w:w="2175" w:type="dxa"/>
            <w:tcBorders>
              <w:top w:val="single" w:sz="6" w:space="0" w:color="000000"/>
              <w:left w:val="single" w:sz="6" w:space="0" w:color="000000"/>
              <w:bottom w:val="single" w:sz="8" w:space="0" w:color="7BA0CD"/>
              <w:right w:val="single" w:sz="6" w:space="0" w:color="000000"/>
            </w:tcBorders>
            <w:tcMar>
              <w:top w:w="100" w:type="dxa"/>
              <w:left w:w="100" w:type="dxa"/>
              <w:bottom w:w="100" w:type="dxa"/>
              <w:right w:w="100" w:type="dxa"/>
            </w:tcMar>
            <w:hideMark/>
          </w:tcPr>
          <w:p w14:paraId="26F1EE50" w14:textId="77777777" w:rsidR="00F618F2" w:rsidRPr="003419A9" w:rsidRDefault="00F618F2" w:rsidP="005C513F">
            <w:pPr>
              <w:spacing w:line="276" w:lineRule="auto"/>
              <w:jc w:val="right"/>
              <w:rPr>
                <w:sz w:val="18"/>
                <w:szCs w:val="18"/>
              </w:rPr>
            </w:pPr>
            <w:r>
              <w:rPr>
                <w:sz w:val="18"/>
                <w:szCs w:val="18"/>
              </w:rPr>
              <w:t>151</w:t>
            </w:r>
          </w:p>
        </w:tc>
        <w:tc>
          <w:tcPr>
            <w:tcW w:w="2070" w:type="dxa"/>
            <w:tcBorders>
              <w:top w:val="single" w:sz="6" w:space="0" w:color="000000"/>
              <w:left w:val="single" w:sz="6" w:space="0" w:color="000000"/>
              <w:bottom w:val="single" w:sz="8" w:space="0" w:color="7BA0CD"/>
              <w:right w:val="single" w:sz="8" w:space="0" w:color="7BA0CD"/>
            </w:tcBorders>
            <w:tcMar>
              <w:top w:w="100" w:type="dxa"/>
              <w:left w:w="100" w:type="dxa"/>
              <w:bottom w:w="100" w:type="dxa"/>
              <w:right w:w="100" w:type="dxa"/>
            </w:tcMar>
            <w:hideMark/>
          </w:tcPr>
          <w:p w14:paraId="2A5047E2" w14:textId="77777777" w:rsidR="00F618F2" w:rsidRPr="003419A9" w:rsidRDefault="00F618F2" w:rsidP="005C513F">
            <w:pPr>
              <w:spacing w:line="276" w:lineRule="auto"/>
              <w:jc w:val="right"/>
              <w:rPr>
                <w:sz w:val="18"/>
                <w:szCs w:val="18"/>
              </w:rPr>
            </w:pPr>
            <w:r>
              <w:rPr>
                <w:sz w:val="18"/>
                <w:szCs w:val="18"/>
              </w:rPr>
              <w:t>280000</w:t>
            </w:r>
          </w:p>
        </w:tc>
      </w:tr>
      <w:tr w:rsidR="00F618F2" w:rsidRPr="003419A9" w14:paraId="7B6B4820" w14:textId="77777777" w:rsidTr="005C513F">
        <w:trPr>
          <w:trHeight w:val="350"/>
        </w:trPr>
        <w:tc>
          <w:tcPr>
            <w:tcW w:w="2340" w:type="dxa"/>
            <w:tcBorders>
              <w:top w:val="single" w:sz="6" w:space="0" w:color="000000"/>
              <w:left w:val="single" w:sz="8" w:space="0" w:color="7BA0CD"/>
              <w:bottom w:val="single" w:sz="8" w:space="0" w:color="7BA0CD"/>
              <w:right w:val="single" w:sz="6" w:space="0" w:color="000000"/>
            </w:tcBorders>
            <w:shd w:val="clear" w:color="auto" w:fill="D3DFEE"/>
            <w:tcMar>
              <w:top w:w="100" w:type="dxa"/>
              <w:left w:w="100" w:type="dxa"/>
              <w:bottom w:w="100" w:type="dxa"/>
              <w:right w:w="100" w:type="dxa"/>
            </w:tcMar>
            <w:hideMark/>
          </w:tcPr>
          <w:p w14:paraId="5E92C292" w14:textId="77777777" w:rsidR="00F618F2" w:rsidRPr="003419A9" w:rsidRDefault="00F618F2" w:rsidP="005C513F">
            <w:pPr>
              <w:spacing w:line="276" w:lineRule="auto"/>
              <w:rPr>
                <w:b/>
                <w:sz w:val="18"/>
                <w:szCs w:val="18"/>
              </w:rPr>
            </w:pPr>
            <w:r w:rsidRPr="003419A9">
              <w:rPr>
                <w:b/>
                <w:sz w:val="18"/>
                <w:szCs w:val="18"/>
              </w:rPr>
              <w:t>Départementales 20</w:t>
            </w:r>
            <w:r>
              <w:rPr>
                <w:b/>
                <w:sz w:val="18"/>
                <w:szCs w:val="18"/>
              </w:rPr>
              <w:t>21</w:t>
            </w:r>
          </w:p>
        </w:tc>
        <w:tc>
          <w:tcPr>
            <w:tcW w:w="2175" w:type="dxa"/>
            <w:tcBorders>
              <w:top w:val="single" w:sz="6" w:space="0" w:color="000000"/>
              <w:left w:val="single" w:sz="6" w:space="0" w:color="000000"/>
              <w:bottom w:val="single" w:sz="8" w:space="0" w:color="7BA0CD"/>
              <w:right w:val="single" w:sz="6" w:space="0" w:color="000000"/>
            </w:tcBorders>
            <w:shd w:val="clear" w:color="auto" w:fill="D3DFEE"/>
            <w:tcMar>
              <w:top w:w="100" w:type="dxa"/>
              <w:left w:w="100" w:type="dxa"/>
              <w:bottom w:w="100" w:type="dxa"/>
              <w:right w:w="100" w:type="dxa"/>
            </w:tcMar>
            <w:hideMark/>
          </w:tcPr>
          <w:p w14:paraId="3F3F3687" w14:textId="77777777" w:rsidR="00F618F2" w:rsidRPr="003419A9" w:rsidRDefault="00F618F2" w:rsidP="005C513F">
            <w:pPr>
              <w:spacing w:line="276" w:lineRule="auto"/>
              <w:jc w:val="right"/>
              <w:rPr>
                <w:sz w:val="18"/>
                <w:szCs w:val="18"/>
              </w:rPr>
            </w:pPr>
            <w:r>
              <w:rPr>
                <w:sz w:val="18"/>
                <w:szCs w:val="18"/>
              </w:rPr>
              <w:t>7870</w:t>
            </w:r>
          </w:p>
        </w:tc>
        <w:tc>
          <w:tcPr>
            <w:tcW w:w="2070" w:type="dxa"/>
            <w:tcBorders>
              <w:top w:val="single" w:sz="6" w:space="0" w:color="000000"/>
              <w:left w:val="single" w:sz="6" w:space="0" w:color="000000"/>
              <w:bottom w:val="single" w:sz="8" w:space="0" w:color="7BA0CD"/>
              <w:right w:val="single" w:sz="8" w:space="0" w:color="7BA0CD"/>
            </w:tcBorders>
            <w:shd w:val="clear" w:color="auto" w:fill="D3DFEE"/>
            <w:tcMar>
              <w:top w:w="100" w:type="dxa"/>
              <w:left w:w="100" w:type="dxa"/>
              <w:bottom w:w="100" w:type="dxa"/>
              <w:right w:w="100" w:type="dxa"/>
            </w:tcMar>
            <w:hideMark/>
          </w:tcPr>
          <w:p w14:paraId="771BAA90" w14:textId="6178F15D" w:rsidR="00F618F2" w:rsidRPr="003419A9" w:rsidRDefault="00F618F2" w:rsidP="005C513F">
            <w:pPr>
              <w:spacing w:line="276" w:lineRule="auto"/>
              <w:jc w:val="right"/>
              <w:rPr>
                <w:sz w:val="18"/>
                <w:szCs w:val="18"/>
              </w:rPr>
            </w:pPr>
            <w:r>
              <w:rPr>
                <w:sz w:val="18"/>
                <w:szCs w:val="18"/>
              </w:rPr>
              <w:t>1600000</w:t>
            </w:r>
          </w:p>
        </w:tc>
      </w:tr>
      <w:tr w:rsidR="00F618F2" w:rsidRPr="003419A9" w14:paraId="7E363FB5" w14:textId="77777777" w:rsidTr="005C513F">
        <w:trPr>
          <w:trHeight w:val="358"/>
        </w:trPr>
        <w:tc>
          <w:tcPr>
            <w:tcW w:w="2340" w:type="dxa"/>
            <w:tcBorders>
              <w:top w:val="single" w:sz="6" w:space="0" w:color="000000"/>
              <w:left w:val="single" w:sz="8" w:space="0" w:color="7BA0CD"/>
              <w:bottom w:val="single" w:sz="8" w:space="0" w:color="7BA0CD"/>
              <w:right w:val="single" w:sz="6" w:space="0" w:color="000000"/>
            </w:tcBorders>
            <w:tcMar>
              <w:top w:w="100" w:type="dxa"/>
              <w:left w:w="100" w:type="dxa"/>
              <w:bottom w:w="100" w:type="dxa"/>
              <w:right w:w="100" w:type="dxa"/>
            </w:tcMar>
            <w:hideMark/>
          </w:tcPr>
          <w:p w14:paraId="5DBAF087" w14:textId="77777777" w:rsidR="00F618F2" w:rsidRPr="003419A9" w:rsidRDefault="00F618F2" w:rsidP="005C513F">
            <w:pPr>
              <w:spacing w:line="276" w:lineRule="auto"/>
              <w:rPr>
                <w:b/>
                <w:sz w:val="18"/>
                <w:szCs w:val="18"/>
              </w:rPr>
            </w:pPr>
            <w:r w:rsidRPr="003419A9">
              <w:rPr>
                <w:b/>
                <w:sz w:val="18"/>
                <w:szCs w:val="18"/>
              </w:rPr>
              <w:t>Présidentielle 20</w:t>
            </w:r>
            <w:r>
              <w:rPr>
                <w:b/>
                <w:sz w:val="18"/>
                <w:szCs w:val="18"/>
              </w:rPr>
              <w:t>22</w:t>
            </w:r>
          </w:p>
        </w:tc>
        <w:tc>
          <w:tcPr>
            <w:tcW w:w="2175" w:type="dxa"/>
            <w:tcBorders>
              <w:top w:val="single" w:sz="6" w:space="0" w:color="000000"/>
              <w:left w:val="single" w:sz="6" w:space="0" w:color="000000"/>
              <w:bottom w:val="single" w:sz="8" w:space="0" w:color="7BA0CD"/>
              <w:right w:val="single" w:sz="6" w:space="0" w:color="000000"/>
            </w:tcBorders>
            <w:tcMar>
              <w:top w:w="100" w:type="dxa"/>
              <w:left w:w="100" w:type="dxa"/>
              <w:bottom w:w="100" w:type="dxa"/>
              <w:right w:w="100" w:type="dxa"/>
            </w:tcMar>
            <w:hideMark/>
          </w:tcPr>
          <w:p w14:paraId="67AA6373" w14:textId="77777777" w:rsidR="00F618F2" w:rsidRPr="003419A9" w:rsidRDefault="00F618F2" w:rsidP="005C513F">
            <w:pPr>
              <w:spacing w:line="276" w:lineRule="auto"/>
              <w:jc w:val="right"/>
              <w:rPr>
                <w:sz w:val="18"/>
                <w:szCs w:val="18"/>
              </w:rPr>
            </w:pPr>
            <w:r w:rsidRPr="003419A9">
              <w:rPr>
                <w:sz w:val="18"/>
                <w:szCs w:val="18"/>
              </w:rPr>
              <w:t xml:space="preserve">               </w:t>
            </w:r>
            <w:r w:rsidRPr="003419A9">
              <w:rPr>
                <w:sz w:val="18"/>
                <w:szCs w:val="18"/>
              </w:rPr>
              <w:tab/>
              <w:t>1</w:t>
            </w:r>
            <w:r>
              <w:rPr>
                <w:sz w:val="18"/>
                <w:szCs w:val="18"/>
              </w:rPr>
              <w:t>2</w:t>
            </w:r>
            <w:r w:rsidRPr="003419A9">
              <w:rPr>
                <w:sz w:val="18"/>
                <w:szCs w:val="18"/>
              </w:rPr>
              <w:t xml:space="preserve">  </w:t>
            </w:r>
          </w:p>
        </w:tc>
        <w:tc>
          <w:tcPr>
            <w:tcW w:w="2070" w:type="dxa"/>
            <w:tcBorders>
              <w:top w:val="single" w:sz="6" w:space="0" w:color="000000"/>
              <w:left w:val="single" w:sz="6" w:space="0" w:color="000000"/>
              <w:bottom w:val="single" w:sz="8" w:space="0" w:color="7BA0CD"/>
              <w:right w:val="single" w:sz="8" w:space="0" w:color="7BA0CD"/>
            </w:tcBorders>
            <w:tcMar>
              <w:top w:w="100" w:type="dxa"/>
              <w:left w:w="100" w:type="dxa"/>
              <w:bottom w:w="100" w:type="dxa"/>
              <w:right w:w="100" w:type="dxa"/>
            </w:tcMar>
            <w:hideMark/>
          </w:tcPr>
          <w:p w14:paraId="0EB62F03" w14:textId="77777777" w:rsidR="00F618F2" w:rsidRPr="003419A9" w:rsidRDefault="00F618F2" w:rsidP="005C513F">
            <w:pPr>
              <w:spacing w:line="276" w:lineRule="auto"/>
              <w:jc w:val="right"/>
              <w:rPr>
                <w:sz w:val="18"/>
                <w:szCs w:val="18"/>
              </w:rPr>
            </w:pPr>
            <w:r w:rsidRPr="003419A9">
              <w:rPr>
                <w:sz w:val="18"/>
                <w:szCs w:val="18"/>
              </w:rPr>
              <w:t xml:space="preserve">           </w:t>
            </w:r>
            <w:r w:rsidRPr="003419A9">
              <w:rPr>
                <w:sz w:val="18"/>
                <w:szCs w:val="18"/>
              </w:rPr>
              <w:tab/>
            </w:r>
            <w:r>
              <w:rPr>
                <w:sz w:val="18"/>
                <w:szCs w:val="18"/>
              </w:rPr>
              <w:t>404000</w:t>
            </w:r>
            <w:r w:rsidRPr="003419A9">
              <w:rPr>
                <w:sz w:val="18"/>
                <w:szCs w:val="18"/>
              </w:rPr>
              <w:t xml:space="preserve"> </w:t>
            </w:r>
          </w:p>
        </w:tc>
      </w:tr>
      <w:tr w:rsidR="00F618F2" w:rsidRPr="003419A9" w14:paraId="7130373E" w14:textId="77777777" w:rsidTr="005C513F">
        <w:trPr>
          <w:trHeight w:val="440"/>
        </w:trPr>
        <w:tc>
          <w:tcPr>
            <w:tcW w:w="2340" w:type="dxa"/>
            <w:tcBorders>
              <w:top w:val="single" w:sz="6" w:space="0" w:color="000000"/>
              <w:left w:val="single" w:sz="8" w:space="0" w:color="7BA0CD"/>
              <w:bottom w:val="single" w:sz="8" w:space="0" w:color="7BA0CD"/>
              <w:right w:val="single" w:sz="6" w:space="0" w:color="000000"/>
            </w:tcBorders>
            <w:shd w:val="clear" w:color="auto" w:fill="D3DFEE"/>
            <w:tcMar>
              <w:top w:w="100" w:type="dxa"/>
              <w:left w:w="100" w:type="dxa"/>
              <w:bottom w:w="100" w:type="dxa"/>
              <w:right w:w="100" w:type="dxa"/>
            </w:tcMar>
            <w:hideMark/>
          </w:tcPr>
          <w:p w14:paraId="0236F6BF" w14:textId="77777777" w:rsidR="00F618F2" w:rsidRDefault="00F618F2" w:rsidP="005C513F">
            <w:pPr>
              <w:spacing w:line="276" w:lineRule="auto"/>
              <w:rPr>
                <w:b/>
                <w:sz w:val="18"/>
                <w:szCs w:val="18"/>
              </w:rPr>
            </w:pPr>
            <w:r w:rsidRPr="003419A9">
              <w:rPr>
                <w:b/>
                <w:sz w:val="18"/>
                <w:szCs w:val="18"/>
              </w:rPr>
              <w:t>Législatives 20</w:t>
            </w:r>
            <w:r>
              <w:rPr>
                <w:b/>
                <w:sz w:val="18"/>
                <w:szCs w:val="18"/>
              </w:rPr>
              <w:t>22</w:t>
            </w:r>
          </w:p>
          <w:p w14:paraId="11A4B7C2" w14:textId="77777777" w:rsidR="00F618F2" w:rsidRPr="003419A9" w:rsidRDefault="00F618F2" w:rsidP="005C513F">
            <w:pPr>
              <w:spacing w:line="276" w:lineRule="auto"/>
              <w:rPr>
                <w:b/>
                <w:sz w:val="18"/>
                <w:szCs w:val="18"/>
              </w:rPr>
            </w:pPr>
            <w:r>
              <w:rPr>
                <w:b/>
                <w:sz w:val="18"/>
                <w:szCs w:val="18"/>
              </w:rPr>
              <w:t>Législatives 2024</w:t>
            </w:r>
          </w:p>
        </w:tc>
        <w:tc>
          <w:tcPr>
            <w:tcW w:w="2175" w:type="dxa"/>
            <w:tcBorders>
              <w:top w:val="single" w:sz="6" w:space="0" w:color="000000"/>
              <w:left w:val="single" w:sz="6" w:space="0" w:color="000000"/>
              <w:bottom w:val="single" w:sz="8" w:space="0" w:color="7BA0CD"/>
              <w:right w:val="single" w:sz="6" w:space="0" w:color="000000"/>
            </w:tcBorders>
            <w:shd w:val="clear" w:color="auto" w:fill="D3DFEE"/>
            <w:tcMar>
              <w:top w:w="100" w:type="dxa"/>
              <w:left w:w="100" w:type="dxa"/>
              <w:bottom w:w="100" w:type="dxa"/>
              <w:right w:w="100" w:type="dxa"/>
            </w:tcMar>
            <w:hideMark/>
          </w:tcPr>
          <w:p w14:paraId="772A540F" w14:textId="77777777" w:rsidR="00F618F2" w:rsidRDefault="00F618F2" w:rsidP="005C513F">
            <w:pPr>
              <w:spacing w:line="276" w:lineRule="auto"/>
              <w:jc w:val="right"/>
              <w:rPr>
                <w:sz w:val="18"/>
                <w:szCs w:val="18"/>
              </w:rPr>
            </w:pPr>
            <w:r w:rsidRPr="003419A9">
              <w:rPr>
                <w:sz w:val="18"/>
                <w:szCs w:val="18"/>
              </w:rPr>
              <w:t xml:space="preserve">          </w:t>
            </w:r>
            <w:r w:rsidRPr="003419A9">
              <w:rPr>
                <w:sz w:val="18"/>
                <w:szCs w:val="18"/>
              </w:rPr>
              <w:tab/>
            </w:r>
            <w:r>
              <w:rPr>
                <w:sz w:val="18"/>
                <w:szCs w:val="18"/>
              </w:rPr>
              <w:t>5297</w:t>
            </w:r>
            <w:r w:rsidRPr="003419A9">
              <w:rPr>
                <w:sz w:val="18"/>
                <w:szCs w:val="18"/>
              </w:rPr>
              <w:t xml:space="preserve">  </w:t>
            </w:r>
          </w:p>
          <w:p w14:paraId="2DE7B857" w14:textId="77777777" w:rsidR="00F618F2" w:rsidRPr="003419A9" w:rsidRDefault="00F618F2" w:rsidP="005C513F">
            <w:pPr>
              <w:spacing w:line="276" w:lineRule="auto"/>
              <w:jc w:val="right"/>
              <w:rPr>
                <w:sz w:val="18"/>
                <w:szCs w:val="18"/>
              </w:rPr>
            </w:pPr>
            <w:r>
              <w:rPr>
                <w:sz w:val="18"/>
                <w:szCs w:val="18"/>
              </w:rPr>
              <w:t>3197</w:t>
            </w:r>
          </w:p>
        </w:tc>
        <w:tc>
          <w:tcPr>
            <w:tcW w:w="2070" w:type="dxa"/>
            <w:tcBorders>
              <w:top w:val="single" w:sz="6" w:space="0" w:color="000000"/>
              <w:left w:val="single" w:sz="6" w:space="0" w:color="000000"/>
              <w:bottom w:val="single" w:sz="8" w:space="0" w:color="7BA0CD"/>
              <w:right w:val="single" w:sz="8" w:space="0" w:color="7BA0CD"/>
            </w:tcBorders>
            <w:shd w:val="clear" w:color="auto" w:fill="D3DFEE"/>
            <w:tcMar>
              <w:top w:w="100" w:type="dxa"/>
              <w:left w:w="100" w:type="dxa"/>
              <w:bottom w:w="100" w:type="dxa"/>
              <w:right w:w="100" w:type="dxa"/>
            </w:tcMar>
            <w:hideMark/>
          </w:tcPr>
          <w:p w14:paraId="2D97A2DF" w14:textId="77777777" w:rsidR="00F618F2" w:rsidRDefault="00F618F2" w:rsidP="005C513F">
            <w:pPr>
              <w:spacing w:line="276" w:lineRule="auto"/>
              <w:jc w:val="right"/>
              <w:rPr>
                <w:sz w:val="18"/>
                <w:szCs w:val="18"/>
              </w:rPr>
            </w:pPr>
            <w:r w:rsidRPr="003419A9">
              <w:rPr>
                <w:sz w:val="18"/>
                <w:szCs w:val="18"/>
              </w:rPr>
              <w:t xml:space="preserve">        </w:t>
            </w:r>
            <w:r w:rsidRPr="003419A9">
              <w:rPr>
                <w:sz w:val="18"/>
                <w:szCs w:val="18"/>
              </w:rPr>
              <w:tab/>
            </w:r>
            <w:r>
              <w:rPr>
                <w:sz w:val="18"/>
                <w:szCs w:val="18"/>
              </w:rPr>
              <w:t>2872000</w:t>
            </w:r>
          </w:p>
          <w:p w14:paraId="2D500082" w14:textId="77777777" w:rsidR="00F618F2" w:rsidRPr="003419A9" w:rsidRDefault="00F618F2" w:rsidP="005C513F">
            <w:pPr>
              <w:spacing w:line="276" w:lineRule="auto"/>
              <w:jc w:val="right"/>
              <w:rPr>
                <w:sz w:val="18"/>
                <w:szCs w:val="18"/>
              </w:rPr>
            </w:pPr>
            <w:r>
              <w:rPr>
                <w:sz w:val="18"/>
                <w:szCs w:val="18"/>
              </w:rPr>
              <w:t>1733500</w:t>
            </w:r>
            <w:r w:rsidRPr="003419A9">
              <w:rPr>
                <w:sz w:val="18"/>
                <w:szCs w:val="18"/>
              </w:rPr>
              <w:t xml:space="preserve"> </w:t>
            </w:r>
          </w:p>
        </w:tc>
      </w:tr>
    </w:tbl>
    <w:p w14:paraId="61C43251" w14:textId="77777777" w:rsidR="00F618F2" w:rsidRDefault="00F618F2" w:rsidP="00F618F2">
      <w:r>
        <w:t xml:space="preserve"> </w:t>
      </w:r>
    </w:p>
    <w:p w14:paraId="3ECB43BD" w14:textId="77777777" w:rsidR="00F618F2" w:rsidRDefault="00F618F2" w:rsidP="00F618F2">
      <w:pPr>
        <w:jc w:val="left"/>
        <w:rPr>
          <w:rFonts w:eastAsiaTheme="majorEastAsia" w:cstheme="majorBidi"/>
          <w:color w:val="1F3763" w:themeColor="accent1" w:themeShade="7F"/>
          <w:sz w:val="24"/>
        </w:rPr>
      </w:pPr>
      <w:r>
        <w:br w:type="page"/>
      </w:r>
    </w:p>
    <w:p w14:paraId="1656141B" w14:textId="5302F993" w:rsidR="00906A63" w:rsidRPr="00A13E81" w:rsidRDefault="00906A63">
      <w:pPr>
        <w:jc w:val="left"/>
      </w:pPr>
    </w:p>
    <w:p w14:paraId="7BA86394" w14:textId="1EAC7EDA" w:rsidR="00CB0C0A" w:rsidRDefault="00CB0C0A" w:rsidP="00A13E81">
      <w:pPr>
        <w:pStyle w:val="Titre1"/>
      </w:pPr>
      <w:bookmarkStart w:id="96" w:name="_Toc218852830"/>
      <w:r w:rsidRPr="00CB0C0A">
        <w:t>P</w:t>
      </w:r>
      <w:r w:rsidR="00B729D7">
        <w:t>restations attendues dans le cadre de la consultation</w:t>
      </w:r>
      <w:bookmarkEnd w:id="96"/>
    </w:p>
    <w:p w14:paraId="489022D8" w14:textId="77777777" w:rsidR="003C3367" w:rsidRDefault="003C3367" w:rsidP="00CB0C0A">
      <w:pPr>
        <w:rPr>
          <w:rFonts w:cs="Arial"/>
        </w:rPr>
      </w:pPr>
    </w:p>
    <w:p w14:paraId="74A67341" w14:textId="5A8B4018" w:rsidR="00CB0C0A" w:rsidRDefault="00CB0C0A" w:rsidP="00CB0C0A">
      <w:pPr>
        <w:rPr>
          <w:rFonts w:cs="Arial"/>
        </w:rPr>
      </w:pPr>
      <w:r w:rsidRPr="00CB0C0A">
        <w:rPr>
          <w:rFonts w:cs="Arial"/>
        </w:rPr>
        <w:t>L</w:t>
      </w:r>
      <w:r w:rsidR="000945FA">
        <w:rPr>
          <w:rFonts w:cs="Arial"/>
        </w:rPr>
        <w:t>’ensemble des exigences listées dans la présentation</w:t>
      </w:r>
      <w:r w:rsidR="00B729D7">
        <w:rPr>
          <w:rFonts w:cs="Arial"/>
        </w:rPr>
        <w:t xml:space="preserve"> et qui seront détaillées dans le CCTP</w:t>
      </w:r>
      <w:r w:rsidR="000945FA">
        <w:rPr>
          <w:rFonts w:cs="Arial"/>
        </w:rPr>
        <w:t xml:space="preserve"> </w:t>
      </w:r>
      <w:r w:rsidRPr="00CB0C0A">
        <w:rPr>
          <w:rFonts w:cs="Arial"/>
        </w:rPr>
        <w:t xml:space="preserve">concernent les prestations suivantes, toutes liées à la </w:t>
      </w:r>
      <w:r w:rsidR="00687CBB">
        <w:rPr>
          <w:rFonts w:cs="Arial"/>
        </w:rPr>
        <w:t>conception</w:t>
      </w:r>
      <w:r w:rsidRPr="00CB0C0A">
        <w:rPr>
          <w:rFonts w:cs="Arial"/>
        </w:rPr>
        <w:t xml:space="preserve"> puis à l’usage d’un système d’information de gestion des comptes de campagne et des comptes des partis politiques et de leurs financements :</w:t>
      </w:r>
    </w:p>
    <w:p w14:paraId="30A0808C" w14:textId="77777777" w:rsidR="00FB5825" w:rsidRPr="00CB0C0A" w:rsidRDefault="00FB5825" w:rsidP="00CB0C0A">
      <w:pPr>
        <w:rPr>
          <w:rFonts w:cs="Arial"/>
        </w:rPr>
      </w:pPr>
    </w:p>
    <w:p w14:paraId="18703F1F" w14:textId="77777777" w:rsidR="00CB0C0A" w:rsidRPr="00CB0C0A" w:rsidRDefault="00CB0C0A" w:rsidP="006B51B4">
      <w:pPr>
        <w:pStyle w:val="Paragraphedeliste"/>
        <w:numPr>
          <w:ilvl w:val="0"/>
          <w:numId w:val="5"/>
        </w:numPr>
        <w:rPr>
          <w:rFonts w:cs="Arial"/>
        </w:rPr>
      </w:pPr>
      <w:r w:rsidRPr="00CB0C0A">
        <w:rPr>
          <w:rFonts w:cs="Arial"/>
        </w:rPr>
        <w:t>pilotage du projet ;</w:t>
      </w:r>
    </w:p>
    <w:p w14:paraId="25324DF2" w14:textId="2B26BCD3" w:rsidR="00CB0C0A" w:rsidRDefault="00953A5B" w:rsidP="006B51B4">
      <w:pPr>
        <w:pStyle w:val="Paragraphedeliste"/>
        <w:numPr>
          <w:ilvl w:val="0"/>
          <w:numId w:val="5"/>
        </w:numPr>
        <w:rPr>
          <w:rFonts w:cs="Arial"/>
        </w:rPr>
      </w:pPr>
      <w:r>
        <w:rPr>
          <w:rFonts w:cs="Arial"/>
        </w:rPr>
        <w:t xml:space="preserve">développement et </w:t>
      </w:r>
      <w:r w:rsidR="00CB0C0A" w:rsidRPr="00CB0C0A">
        <w:rPr>
          <w:rFonts w:cs="Arial"/>
        </w:rPr>
        <w:t>m</w:t>
      </w:r>
      <w:r>
        <w:rPr>
          <w:rFonts w:cs="Arial"/>
        </w:rPr>
        <w:t>ise</w:t>
      </w:r>
      <w:r w:rsidR="00CB0C0A" w:rsidRPr="00CB0C0A">
        <w:rPr>
          <w:rFonts w:cs="Arial"/>
        </w:rPr>
        <w:t xml:space="preserve"> en œuvre du socle technique</w:t>
      </w:r>
      <w:r w:rsidR="004A7AA5">
        <w:rPr>
          <w:rFonts w:cs="Arial"/>
        </w:rPr>
        <w:t xml:space="preserve"> </w:t>
      </w:r>
      <w:r w:rsidR="007A4C09">
        <w:rPr>
          <w:rFonts w:cs="Arial"/>
        </w:rPr>
        <w:t>dans</w:t>
      </w:r>
      <w:r w:rsidR="00E020EB">
        <w:rPr>
          <w:rFonts w:cs="Arial"/>
        </w:rPr>
        <w:t xml:space="preserve"> </w:t>
      </w:r>
      <w:r w:rsidR="004D50A1">
        <w:rPr>
          <w:rFonts w:cs="Arial"/>
        </w:rPr>
        <w:t>l’environnement technique défini par</w:t>
      </w:r>
      <w:r w:rsidR="00E020EB">
        <w:rPr>
          <w:rFonts w:cs="Arial"/>
        </w:rPr>
        <w:t xml:space="preserve"> la Commission</w:t>
      </w:r>
      <w:r w:rsidR="007A4C09">
        <w:rPr>
          <w:rFonts w:cs="Arial"/>
        </w:rPr>
        <w:t xml:space="preserve"> (hébergement </w:t>
      </w:r>
      <w:r w:rsidR="00090E69">
        <w:rPr>
          <w:rFonts w:cs="Arial"/>
        </w:rPr>
        <w:t>« </w:t>
      </w:r>
      <w:r w:rsidR="007A4C09">
        <w:rPr>
          <w:rFonts w:cs="Arial"/>
        </w:rPr>
        <w:t>CloudPi Native</w:t>
      </w:r>
      <w:r w:rsidR="00090E69">
        <w:rPr>
          <w:rFonts w:cs="Arial"/>
        </w:rPr>
        <w:t> »</w:t>
      </w:r>
      <w:r w:rsidR="007A4C09">
        <w:rPr>
          <w:rFonts w:cs="Arial"/>
        </w:rPr>
        <w:t xml:space="preserve"> et stack technique)</w:t>
      </w:r>
      <w:r w:rsidR="00CB0C0A" w:rsidRPr="00CB0C0A">
        <w:rPr>
          <w:rFonts w:cs="Arial"/>
        </w:rPr>
        <w:t xml:space="preserve"> ;</w:t>
      </w:r>
    </w:p>
    <w:p w14:paraId="15E513E9" w14:textId="3CB11E4D" w:rsidR="00CB0C0A" w:rsidRDefault="00CB0C0A" w:rsidP="006B51B4">
      <w:pPr>
        <w:pStyle w:val="Paragraphedeliste"/>
        <w:numPr>
          <w:ilvl w:val="0"/>
          <w:numId w:val="5"/>
        </w:numPr>
        <w:rPr>
          <w:rFonts w:cs="Arial"/>
        </w:rPr>
      </w:pPr>
      <w:r w:rsidRPr="00CB0C0A">
        <w:rPr>
          <w:rFonts w:cs="Arial"/>
        </w:rPr>
        <w:t>construction cyclique de la solution (cycles de spécifications, développements, tests et mise</w:t>
      </w:r>
      <w:r>
        <w:rPr>
          <w:rFonts w:cs="Arial"/>
        </w:rPr>
        <w:t xml:space="preserve"> </w:t>
      </w:r>
      <w:r w:rsidRPr="00CB0C0A">
        <w:rPr>
          <w:rFonts w:cs="Arial"/>
        </w:rPr>
        <w:t>en production) ;</w:t>
      </w:r>
    </w:p>
    <w:p w14:paraId="71E44457" w14:textId="53544D11" w:rsidR="00A12C34" w:rsidRPr="00A12C34" w:rsidRDefault="00A12C34" w:rsidP="00A12C34">
      <w:pPr>
        <w:pStyle w:val="Paragraphedeliste"/>
        <w:numPr>
          <w:ilvl w:val="0"/>
          <w:numId w:val="5"/>
        </w:numPr>
        <w:rPr>
          <w:rFonts w:cs="Arial"/>
        </w:rPr>
      </w:pPr>
      <w:r>
        <w:rPr>
          <w:rFonts w:cs="Arial"/>
        </w:rPr>
        <w:t>conception d’</w:t>
      </w:r>
      <w:r w:rsidR="00070926">
        <w:rPr>
          <w:rFonts w:cs="Arial"/>
        </w:rPr>
        <w:t>UX/</w:t>
      </w:r>
      <w:r>
        <w:rPr>
          <w:rFonts w:cs="Arial"/>
        </w:rPr>
        <w:t>UI par des ergonomes spécialistes du web-design ;</w:t>
      </w:r>
    </w:p>
    <w:p w14:paraId="11E7D1B6" w14:textId="064B41D2" w:rsidR="005F28FA" w:rsidRDefault="004D50A1" w:rsidP="006B51B4">
      <w:pPr>
        <w:pStyle w:val="Paragraphedeliste"/>
        <w:numPr>
          <w:ilvl w:val="0"/>
          <w:numId w:val="5"/>
        </w:numPr>
        <w:rPr>
          <w:rFonts w:cs="Arial"/>
        </w:rPr>
      </w:pPr>
      <w:r>
        <w:rPr>
          <w:rFonts w:cs="Arial"/>
        </w:rPr>
        <w:t>production</w:t>
      </w:r>
      <w:r w:rsidR="007A4C09">
        <w:rPr>
          <w:rFonts w:cs="Arial"/>
        </w:rPr>
        <w:t xml:space="preserve"> et/ou maintien à jour</w:t>
      </w:r>
      <w:r>
        <w:rPr>
          <w:rFonts w:cs="Arial"/>
        </w:rPr>
        <w:t xml:space="preserve"> de</w:t>
      </w:r>
      <w:r w:rsidR="005F28FA">
        <w:rPr>
          <w:rFonts w:cs="Arial"/>
        </w:rPr>
        <w:t xml:space="preserve"> l’ensemble de la documentation</w:t>
      </w:r>
      <w:r w:rsidR="009E55D5">
        <w:rPr>
          <w:rFonts w:cs="Arial"/>
        </w:rPr>
        <w:t xml:space="preserve"> du projet</w:t>
      </w:r>
      <w:r w:rsidR="005F28FA">
        <w:rPr>
          <w:rFonts w:cs="Arial"/>
        </w:rPr>
        <w:t> :</w:t>
      </w:r>
    </w:p>
    <w:p w14:paraId="7184E71C" w14:textId="77777777" w:rsidR="009E55D5" w:rsidRDefault="009E55D5" w:rsidP="009E55D5">
      <w:pPr>
        <w:pStyle w:val="Paragraphedeliste"/>
        <w:rPr>
          <w:rFonts w:cs="Arial"/>
        </w:rPr>
      </w:pPr>
    </w:p>
    <w:p w14:paraId="66C527DA" w14:textId="256C7A94" w:rsidR="005F28FA" w:rsidRPr="005F28FA" w:rsidRDefault="007A4C09" w:rsidP="006B51B4">
      <w:pPr>
        <w:pStyle w:val="Paragraphedeliste"/>
        <w:numPr>
          <w:ilvl w:val="1"/>
          <w:numId w:val="5"/>
        </w:numPr>
        <w:rPr>
          <w:rFonts w:cs="Arial"/>
        </w:rPr>
      </w:pPr>
      <w:r>
        <w:rPr>
          <w:rFonts w:cs="Arial"/>
        </w:rPr>
        <w:t>d</w:t>
      </w:r>
      <w:r w:rsidR="005F28FA" w:rsidRPr="005F28FA">
        <w:rPr>
          <w:rFonts w:cs="Arial"/>
        </w:rPr>
        <w:t>ocumentation</w:t>
      </w:r>
      <w:r w:rsidR="0014127C">
        <w:rPr>
          <w:rFonts w:cs="Arial"/>
        </w:rPr>
        <w:t>s</w:t>
      </w:r>
      <w:r w:rsidR="005F28FA" w:rsidRPr="005F28FA">
        <w:rPr>
          <w:rFonts w:cs="Arial"/>
        </w:rPr>
        <w:t xml:space="preserve"> technique</w:t>
      </w:r>
      <w:r w:rsidR="0014127C">
        <w:rPr>
          <w:rFonts w:cs="Arial"/>
        </w:rPr>
        <w:t>s</w:t>
      </w:r>
      <w:r w:rsidR="005F28FA" w:rsidRPr="005F28FA">
        <w:rPr>
          <w:rFonts w:cs="Arial"/>
        </w:rPr>
        <w:t xml:space="preserve"> d</w:t>
      </w:r>
      <w:r w:rsidR="005F28FA">
        <w:rPr>
          <w:rFonts w:cs="Arial"/>
        </w:rPr>
        <w:t>u projet</w:t>
      </w:r>
      <w:r w:rsidR="009E55D5">
        <w:rPr>
          <w:rFonts w:cs="Arial"/>
        </w:rPr>
        <w:t> :</w:t>
      </w:r>
    </w:p>
    <w:p w14:paraId="15592A85" w14:textId="6F78BD9E" w:rsidR="005F28FA" w:rsidRPr="005F28FA" w:rsidRDefault="005F28FA" w:rsidP="006B51B4">
      <w:pPr>
        <w:pStyle w:val="Paragraphedeliste"/>
        <w:numPr>
          <w:ilvl w:val="2"/>
          <w:numId w:val="5"/>
        </w:numPr>
        <w:rPr>
          <w:rFonts w:cs="Arial"/>
        </w:rPr>
      </w:pPr>
      <w:r w:rsidRPr="005F28FA">
        <w:rPr>
          <w:rFonts w:cs="Arial"/>
        </w:rPr>
        <w:t xml:space="preserve">les </w:t>
      </w:r>
      <w:r w:rsidR="00C50436">
        <w:rPr>
          <w:rFonts w:cs="Arial"/>
        </w:rPr>
        <w:t xml:space="preserve">mises à jour des </w:t>
      </w:r>
      <w:r w:rsidRPr="005F28FA">
        <w:rPr>
          <w:rFonts w:cs="Arial"/>
        </w:rPr>
        <w:t xml:space="preserve">spécifications fonctionnelles détaillées </w:t>
      </w:r>
      <w:r w:rsidR="009E55D5">
        <w:rPr>
          <w:rFonts w:cs="Arial"/>
        </w:rPr>
        <w:t xml:space="preserve">(ajouts, précisions </w:t>
      </w:r>
      <w:r w:rsidR="00C50436">
        <w:rPr>
          <w:rFonts w:cs="Arial"/>
        </w:rPr>
        <w:t xml:space="preserve">et actualisations </w:t>
      </w:r>
      <w:r w:rsidR="009E55D5">
        <w:rPr>
          <w:rFonts w:cs="Arial"/>
        </w:rPr>
        <w:t xml:space="preserve">des spécifications annexés au présent CCTP) </w:t>
      </w:r>
      <w:r w:rsidRPr="005F28FA">
        <w:rPr>
          <w:rFonts w:cs="Arial"/>
        </w:rPr>
        <w:t>;</w:t>
      </w:r>
    </w:p>
    <w:p w14:paraId="18C0F10F" w14:textId="5933479E" w:rsidR="005F28FA" w:rsidRPr="005F28FA" w:rsidRDefault="005F28FA" w:rsidP="006B51B4">
      <w:pPr>
        <w:pStyle w:val="Paragraphedeliste"/>
        <w:numPr>
          <w:ilvl w:val="2"/>
          <w:numId w:val="5"/>
        </w:numPr>
        <w:rPr>
          <w:rFonts w:cs="Arial"/>
        </w:rPr>
      </w:pPr>
      <w:r w:rsidRPr="005F28FA">
        <w:rPr>
          <w:rFonts w:cs="Arial"/>
        </w:rPr>
        <w:t xml:space="preserve">les modèles de conception des bases de données </w:t>
      </w:r>
      <w:r w:rsidR="009E55D5">
        <w:rPr>
          <w:rFonts w:cs="Arial"/>
        </w:rPr>
        <w:t xml:space="preserve">(ajouts, précisions et maintien à jour du MCD et MPD annexés au présent CCTP) </w:t>
      </w:r>
      <w:r w:rsidRPr="005F28FA">
        <w:rPr>
          <w:rFonts w:cs="Arial"/>
        </w:rPr>
        <w:t>;</w:t>
      </w:r>
    </w:p>
    <w:p w14:paraId="3CEC7D87" w14:textId="3F73E6EA" w:rsidR="005F28FA" w:rsidRPr="005F28FA" w:rsidRDefault="005F28FA" w:rsidP="006B51B4">
      <w:pPr>
        <w:pStyle w:val="Paragraphedeliste"/>
        <w:numPr>
          <w:ilvl w:val="2"/>
          <w:numId w:val="5"/>
        </w:numPr>
        <w:rPr>
          <w:rFonts w:cs="Arial"/>
        </w:rPr>
      </w:pPr>
      <w:r w:rsidRPr="005F28FA">
        <w:rPr>
          <w:rFonts w:cs="Arial"/>
        </w:rPr>
        <w:t>le dossier d’architecture technique (DAT) ;</w:t>
      </w:r>
    </w:p>
    <w:p w14:paraId="57987CE8" w14:textId="1F4F4F64" w:rsidR="005F28FA" w:rsidRDefault="005F28FA" w:rsidP="006B51B4">
      <w:pPr>
        <w:pStyle w:val="Paragraphedeliste"/>
        <w:numPr>
          <w:ilvl w:val="2"/>
          <w:numId w:val="5"/>
        </w:numPr>
        <w:rPr>
          <w:rFonts w:cs="Arial"/>
        </w:rPr>
      </w:pPr>
      <w:r w:rsidRPr="005F28FA">
        <w:rPr>
          <w:rFonts w:cs="Arial"/>
        </w:rPr>
        <w:t>le dossier d’exploitation (DEX) ;</w:t>
      </w:r>
    </w:p>
    <w:p w14:paraId="389E6C84" w14:textId="53F225BE" w:rsidR="00C85F20" w:rsidRDefault="009E55D5" w:rsidP="006B51B4">
      <w:pPr>
        <w:pStyle w:val="Paragraphedeliste"/>
        <w:numPr>
          <w:ilvl w:val="2"/>
          <w:numId w:val="5"/>
        </w:numPr>
        <w:rPr>
          <w:rFonts w:cs="Arial"/>
        </w:rPr>
      </w:pPr>
      <w:r>
        <w:rPr>
          <w:rFonts w:cs="Arial"/>
        </w:rPr>
        <w:t xml:space="preserve">la documentation des </w:t>
      </w:r>
      <w:r w:rsidR="00953A5B">
        <w:rPr>
          <w:rFonts w:cs="Arial"/>
        </w:rPr>
        <w:t xml:space="preserve">environnements de </w:t>
      </w:r>
      <w:r>
        <w:rPr>
          <w:rFonts w:cs="Arial"/>
        </w:rPr>
        <w:t>développements</w:t>
      </w:r>
      <w:r w:rsidR="00C85F20">
        <w:rPr>
          <w:rFonts w:cs="Arial"/>
        </w:rPr>
        <w:t> ;</w:t>
      </w:r>
    </w:p>
    <w:p w14:paraId="40A584BF" w14:textId="1DBC58C6" w:rsidR="009E55D5" w:rsidRPr="005F28FA" w:rsidRDefault="00C85F20" w:rsidP="006B51B4">
      <w:pPr>
        <w:pStyle w:val="Paragraphedeliste"/>
        <w:numPr>
          <w:ilvl w:val="2"/>
          <w:numId w:val="5"/>
        </w:numPr>
        <w:rPr>
          <w:rFonts w:cs="Arial"/>
        </w:rPr>
      </w:pPr>
      <w:r>
        <w:rPr>
          <w:rFonts w:cs="Arial"/>
        </w:rPr>
        <w:t>la documentation</w:t>
      </w:r>
      <w:r w:rsidR="00953A5B">
        <w:rPr>
          <w:rFonts w:cs="Arial"/>
        </w:rPr>
        <w:t xml:space="preserve"> des développements</w:t>
      </w:r>
      <w:r w:rsidR="009E55D5">
        <w:rPr>
          <w:rFonts w:cs="Arial"/>
        </w:rPr>
        <w:t> ;</w:t>
      </w:r>
    </w:p>
    <w:p w14:paraId="0FFCBA75" w14:textId="1C6585E6" w:rsidR="005F28FA" w:rsidRPr="005F28FA" w:rsidRDefault="005F28FA" w:rsidP="006B51B4">
      <w:pPr>
        <w:pStyle w:val="Paragraphedeliste"/>
        <w:numPr>
          <w:ilvl w:val="2"/>
          <w:numId w:val="5"/>
        </w:numPr>
        <w:rPr>
          <w:rFonts w:cs="Arial"/>
        </w:rPr>
      </w:pPr>
      <w:r>
        <w:rPr>
          <w:rFonts w:cs="Arial"/>
        </w:rPr>
        <w:t>l</w:t>
      </w:r>
      <w:r w:rsidRPr="005F28FA">
        <w:rPr>
          <w:rFonts w:cs="Arial"/>
        </w:rPr>
        <w:t>e dossier des procédures de déploiements ;</w:t>
      </w:r>
    </w:p>
    <w:p w14:paraId="6D89DCBD" w14:textId="1D833667" w:rsidR="005F28FA" w:rsidRPr="005F28FA" w:rsidRDefault="005F28FA" w:rsidP="006B51B4">
      <w:pPr>
        <w:pStyle w:val="Paragraphedeliste"/>
        <w:numPr>
          <w:ilvl w:val="2"/>
          <w:numId w:val="5"/>
        </w:numPr>
        <w:rPr>
          <w:rFonts w:cs="Arial"/>
        </w:rPr>
      </w:pPr>
      <w:r w:rsidRPr="005F28FA">
        <w:rPr>
          <w:rFonts w:cs="Arial"/>
        </w:rPr>
        <w:t xml:space="preserve">le référentiel des traitements asynchrones et jobs </w:t>
      </w:r>
      <w:r w:rsidR="009E55D5">
        <w:rPr>
          <w:rFonts w:cs="Arial"/>
        </w:rPr>
        <w:t>de l’application</w:t>
      </w:r>
      <w:r w:rsidRPr="005F28FA">
        <w:rPr>
          <w:rFonts w:cs="Arial"/>
        </w:rPr>
        <w:t xml:space="preserve"> ;</w:t>
      </w:r>
    </w:p>
    <w:p w14:paraId="5CE62E60" w14:textId="7F813B70" w:rsidR="005F28FA" w:rsidRDefault="005F28FA" w:rsidP="006B51B4">
      <w:pPr>
        <w:pStyle w:val="Paragraphedeliste"/>
        <w:numPr>
          <w:ilvl w:val="2"/>
          <w:numId w:val="5"/>
        </w:numPr>
        <w:rPr>
          <w:rFonts w:cs="Arial"/>
        </w:rPr>
      </w:pPr>
      <w:r w:rsidRPr="005F28FA">
        <w:rPr>
          <w:rFonts w:cs="Arial"/>
        </w:rPr>
        <w:t xml:space="preserve">le référentiel de paramétrage front, middle et back-office </w:t>
      </w:r>
      <w:r w:rsidR="009E55D5">
        <w:rPr>
          <w:rFonts w:cs="Arial"/>
        </w:rPr>
        <w:t>de l’application</w:t>
      </w:r>
      <w:r w:rsidR="007A4C09">
        <w:rPr>
          <w:rFonts w:cs="Arial"/>
        </w:rPr>
        <w:t> ;</w:t>
      </w:r>
    </w:p>
    <w:p w14:paraId="7E26A214" w14:textId="77777777" w:rsidR="009E55D5" w:rsidRPr="005F28FA" w:rsidRDefault="009E55D5" w:rsidP="009E55D5">
      <w:pPr>
        <w:pStyle w:val="Paragraphedeliste"/>
        <w:ind w:left="2160"/>
        <w:rPr>
          <w:rFonts w:cs="Arial"/>
        </w:rPr>
      </w:pPr>
    </w:p>
    <w:p w14:paraId="058E127D" w14:textId="0D225C2D" w:rsidR="005F28FA" w:rsidRPr="005F28FA" w:rsidRDefault="00B729D7" w:rsidP="006B51B4">
      <w:pPr>
        <w:pStyle w:val="Paragraphedeliste"/>
        <w:numPr>
          <w:ilvl w:val="1"/>
          <w:numId w:val="5"/>
        </w:numPr>
        <w:rPr>
          <w:rFonts w:cs="Arial"/>
        </w:rPr>
      </w:pPr>
      <w:r>
        <w:rPr>
          <w:rFonts w:cs="Arial"/>
        </w:rPr>
        <w:t>documentations</w:t>
      </w:r>
      <w:r w:rsidR="005F28FA" w:rsidRPr="005F28FA">
        <w:rPr>
          <w:rFonts w:cs="Arial"/>
        </w:rPr>
        <w:t xml:space="preserve"> utilisateurs</w:t>
      </w:r>
      <w:r w:rsidR="009E55D5">
        <w:rPr>
          <w:rFonts w:cs="Arial"/>
        </w:rPr>
        <w:t> :</w:t>
      </w:r>
    </w:p>
    <w:p w14:paraId="6ECBC725" w14:textId="62FBF863" w:rsidR="005F28FA" w:rsidRPr="009E55D5" w:rsidRDefault="0014127C" w:rsidP="006B51B4">
      <w:pPr>
        <w:pStyle w:val="Paragraphedeliste"/>
        <w:numPr>
          <w:ilvl w:val="2"/>
          <w:numId w:val="5"/>
        </w:numPr>
        <w:rPr>
          <w:rFonts w:cs="Arial"/>
        </w:rPr>
      </w:pPr>
      <w:r>
        <w:rPr>
          <w:rFonts w:cs="Arial"/>
        </w:rPr>
        <w:t xml:space="preserve">la </w:t>
      </w:r>
      <w:r w:rsidR="005F28FA" w:rsidRPr="005F28FA">
        <w:rPr>
          <w:rFonts w:cs="Arial"/>
        </w:rPr>
        <w:t>documentation utilisateurs du front-office : déposants comptes de campagne, responsables</w:t>
      </w:r>
      <w:r w:rsidR="009E55D5">
        <w:rPr>
          <w:rFonts w:cs="Arial"/>
        </w:rPr>
        <w:t xml:space="preserve"> </w:t>
      </w:r>
      <w:r w:rsidR="005F28FA" w:rsidRPr="009E55D5">
        <w:rPr>
          <w:rFonts w:cs="Arial"/>
        </w:rPr>
        <w:t>des partis politiques et mandataires</w:t>
      </w:r>
      <w:r w:rsidR="009E55D5">
        <w:rPr>
          <w:rFonts w:cs="Arial"/>
        </w:rPr>
        <w:t> ;</w:t>
      </w:r>
    </w:p>
    <w:p w14:paraId="1AA3CB8F" w14:textId="1D33AFBB" w:rsidR="005F28FA" w:rsidRPr="005F28FA" w:rsidRDefault="0014127C" w:rsidP="006B51B4">
      <w:pPr>
        <w:pStyle w:val="Paragraphedeliste"/>
        <w:numPr>
          <w:ilvl w:val="2"/>
          <w:numId w:val="5"/>
        </w:numPr>
        <w:rPr>
          <w:rFonts w:cs="Arial"/>
        </w:rPr>
      </w:pPr>
      <w:r>
        <w:rPr>
          <w:rFonts w:cs="Arial"/>
        </w:rPr>
        <w:t xml:space="preserve">la </w:t>
      </w:r>
      <w:r w:rsidR="005F28FA" w:rsidRPr="005F28FA">
        <w:rPr>
          <w:rFonts w:cs="Arial"/>
        </w:rPr>
        <w:t>documentation utilisateurs du middle-office : Rapporteurs, Agents de la CNCCFP ;</w:t>
      </w:r>
    </w:p>
    <w:p w14:paraId="18C4DCD5" w14:textId="322EAFBD" w:rsidR="005F28FA" w:rsidRPr="005F28FA" w:rsidRDefault="0014127C" w:rsidP="006B51B4">
      <w:pPr>
        <w:pStyle w:val="Paragraphedeliste"/>
        <w:numPr>
          <w:ilvl w:val="2"/>
          <w:numId w:val="5"/>
        </w:numPr>
        <w:rPr>
          <w:rFonts w:cs="Arial"/>
        </w:rPr>
      </w:pPr>
      <w:r>
        <w:rPr>
          <w:rFonts w:cs="Arial"/>
        </w:rPr>
        <w:t xml:space="preserve">la </w:t>
      </w:r>
      <w:r w:rsidR="005F28FA" w:rsidRPr="005F28FA">
        <w:rPr>
          <w:rFonts w:cs="Arial"/>
        </w:rPr>
        <w:t>documentation utilisateurs du back-office : Administrateur technique et fonctionnel ;</w:t>
      </w:r>
    </w:p>
    <w:p w14:paraId="53588D7A" w14:textId="2EA1686E" w:rsidR="005F28FA" w:rsidRDefault="0014127C" w:rsidP="006B51B4">
      <w:pPr>
        <w:pStyle w:val="Paragraphedeliste"/>
        <w:numPr>
          <w:ilvl w:val="2"/>
          <w:numId w:val="5"/>
        </w:numPr>
        <w:rPr>
          <w:rFonts w:cs="Arial"/>
        </w:rPr>
      </w:pPr>
      <w:r>
        <w:rPr>
          <w:rFonts w:cs="Arial"/>
        </w:rPr>
        <w:t xml:space="preserve">la </w:t>
      </w:r>
      <w:r w:rsidR="005F28FA" w:rsidRPr="005F28FA">
        <w:rPr>
          <w:rFonts w:cs="Arial"/>
        </w:rPr>
        <w:t xml:space="preserve">documentation utilisateurs des API </w:t>
      </w:r>
      <w:r w:rsidR="009E55D5">
        <w:rPr>
          <w:rFonts w:cs="Arial"/>
        </w:rPr>
        <w:t>et autres webservices</w:t>
      </w:r>
      <w:r w:rsidR="007A4C09">
        <w:rPr>
          <w:rFonts w:cs="Arial"/>
        </w:rPr>
        <w:t> ;</w:t>
      </w:r>
    </w:p>
    <w:p w14:paraId="5530C17C" w14:textId="77777777" w:rsidR="009E55D5" w:rsidRPr="005F28FA" w:rsidRDefault="009E55D5" w:rsidP="009E55D5">
      <w:pPr>
        <w:pStyle w:val="Paragraphedeliste"/>
        <w:ind w:left="2160"/>
        <w:rPr>
          <w:rFonts w:cs="Arial"/>
        </w:rPr>
      </w:pPr>
    </w:p>
    <w:p w14:paraId="073860B5" w14:textId="0BCB4FDD" w:rsidR="005F28FA" w:rsidRPr="005F28FA" w:rsidRDefault="007A4C09" w:rsidP="006B51B4">
      <w:pPr>
        <w:pStyle w:val="Paragraphedeliste"/>
        <w:numPr>
          <w:ilvl w:val="1"/>
          <w:numId w:val="5"/>
        </w:numPr>
        <w:rPr>
          <w:rFonts w:cs="Arial"/>
        </w:rPr>
      </w:pPr>
      <w:r>
        <w:rPr>
          <w:rFonts w:cs="Arial"/>
        </w:rPr>
        <w:t>l</w:t>
      </w:r>
      <w:r w:rsidR="005F28FA" w:rsidRPr="005F28FA">
        <w:rPr>
          <w:rFonts w:cs="Arial"/>
        </w:rPr>
        <w:t xml:space="preserve">es autres documentations relatives </w:t>
      </w:r>
      <w:r w:rsidR="009E55D5">
        <w:rPr>
          <w:rFonts w:cs="Arial"/>
        </w:rPr>
        <w:t xml:space="preserve">à </w:t>
      </w:r>
      <w:r>
        <w:rPr>
          <w:rFonts w:cs="Arial"/>
        </w:rPr>
        <w:t xml:space="preserve">chaque </w:t>
      </w:r>
      <w:r w:rsidR="00090E69">
        <w:rPr>
          <w:rFonts w:cs="Arial"/>
        </w:rPr>
        <w:t>(</w:t>
      </w:r>
      <w:r w:rsidR="009E55D5">
        <w:rPr>
          <w:rFonts w:cs="Arial"/>
        </w:rPr>
        <w:t>éventuel</w:t>
      </w:r>
      <w:r w:rsidR="00090E69">
        <w:rPr>
          <w:rFonts w:cs="Arial"/>
        </w:rPr>
        <w:t>)</w:t>
      </w:r>
      <w:r w:rsidR="009E55D5">
        <w:rPr>
          <w:rFonts w:cs="Arial"/>
        </w:rPr>
        <w:t xml:space="preserve"> tiers composant</w:t>
      </w:r>
      <w:r w:rsidR="005F28FA">
        <w:rPr>
          <w:rFonts w:cs="Arial"/>
        </w:rPr>
        <w:t xml:space="preserve"> </w:t>
      </w:r>
      <w:r w:rsidR="009E55D5">
        <w:rPr>
          <w:rFonts w:cs="Arial"/>
        </w:rPr>
        <w:t xml:space="preserve">entrant dans la réalisation du </w:t>
      </w:r>
      <w:r w:rsidR="005F28FA">
        <w:rPr>
          <w:rFonts w:cs="Arial"/>
        </w:rPr>
        <w:t>projet</w:t>
      </w:r>
      <w:r w:rsidR="005F28FA" w:rsidRPr="005F28FA">
        <w:rPr>
          <w:rFonts w:cs="Arial"/>
        </w:rPr>
        <w:t xml:space="preserve"> :</w:t>
      </w:r>
    </w:p>
    <w:p w14:paraId="139180F2" w14:textId="09783764" w:rsidR="007A4C09" w:rsidRDefault="0014127C" w:rsidP="006B51B4">
      <w:pPr>
        <w:pStyle w:val="Paragraphedeliste"/>
        <w:numPr>
          <w:ilvl w:val="2"/>
          <w:numId w:val="5"/>
        </w:numPr>
        <w:rPr>
          <w:rFonts w:cs="Arial"/>
        </w:rPr>
      </w:pPr>
      <w:r>
        <w:rPr>
          <w:rFonts w:cs="Arial"/>
        </w:rPr>
        <w:t xml:space="preserve">la </w:t>
      </w:r>
      <w:r w:rsidR="005F28FA" w:rsidRPr="005F28FA">
        <w:rPr>
          <w:rFonts w:cs="Arial"/>
        </w:rPr>
        <w:t xml:space="preserve">documentation </w:t>
      </w:r>
      <w:r w:rsidR="007A4C09">
        <w:rPr>
          <w:rFonts w:cs="Arial"/>
        </w:rPr>
        <w:t>administrateurs/</w:t>
      </w:r>
      <w:r w:rsidR="005F28FA" w:rsidRPr="005F28FA">
        <w:rPr>
          <w:rFonts w:cs="Arial"/>
        </w:rPr>
        <w:t xml:space="preserve">utilisateurs </w:t>
      </w:r>
      <w:r w:rsidR="007A4C09">
        <w:rPr>
          <w:rFonts w:cs="Arial"/>
        </w:rPr>
        <w:t>de l’éditeur du composant ;</w:t>
      </w:r>
    </w:p>
    <w:p w14:paraId="18E2BC00" w14:textId="58F47CF0" w:rsidR="005F28FA" w:rsidRDefault="0014127C" w:rsidP="006B51B4">
      <w:pPr>
        <w:pStyle w:val="Paragraphedeliste"/>
        <w:numPr>
          <w:ilvl w:val="2"/>
          <w:numId w:val="5"/>
        </w:numPr>
        <w:rPr>
          <w:rFonts w:cs="Arial"/>
        </w:rPr>
      </w:pPr>
      <w:r>
        <w:rPr>
          <w:rFonts w:cs="Arial"/>
        </w:rPr>
        <w:t xml:space="preserve">la </w:t>
      </w:r>
      <w:r w:rsidR="007A4C09">
        <w:rPr>
          <w:rFonts w:cs="Arial"/>
        </w:rPr>
        <w:t xml:space="preserve">documentation </w:t>
      </w:r>
      <w:r w:rsidR="009E55D5">
        <w:rPr>
          <w:rFonts w:cs="Arial"/>
        </w:rPr>
        <w:t>d’installation et de paramétrage d</w:t>
      </w:r>
      <w:r w:rsidR="007A4C09">
        <w:rPr>
          <w:rFonts w:cs="Arial"/>
        </w:rPr>
        <w:t>u</w:t>
      </w:r>
      <w:r w:rsidR="009E55D5">
        <w:rPr>
          <w:rFonts w:cs="Arial"/>
        </w:rPr>
        <w:t xml:space="preserve"> composant </w:t>
      </w:r>
      <w:r w:rsidR="007A4C09">
        <w:rPr>
          <w:rFonts w:cs="Arial"/>
        </w:rPr>
        <w:t>dans le contexte projet</w:t>
      </w:r>
      <w:r w:rsidR="005F28FA" w:rsidRPr="005F28FA">
        <w:rPr>
          <w:rFonts w:cs="Arial"/>
        </w:rPr>
        <w:t xml:space="preserve"> ;</w:t>
      </w:r>
    </w:p>
    <w:p w14:paraId="7E455B90" w14:textId="28A7C4B0" w:rsidR="007A4C09" w:rsidRDefault="0014127C" w:rsidP="006B51B4">
      <w:pPr>
        <w:pStyle w:val="Paragraphedeliste"/>
        <w:numPr>
          <w:ilvl w:val="2"/>
          <w:numId w:val="5"/>
        </w:numPr>
        <w:rPr>
          <w:rFonts w:cs="Arial"/>
        </w:rPr>
      </w:pPr>
      <w:r>
        <w:rPr>
          <w:rFonts w:cs="Arial"/>
        </w:rPr>
        <w:t xml:space="preserve">la </w:t>
      </w:r>
      <w:r w:rsidR="007A4C09">
        <w:rPr>
          <w:rFonts w:cs="Arial"/>
        </w:rPr>
        <w:t>documentation d’intégration et d’exploitation du composants ;</w:t>
      </w:r>
    </w:p>
    <w:p w14:paraId="4A24CDF9" w14:textId="77777777" w:rsidR="007A4C09" w:rsidRPr="005F28FA" w:rsidRDefault="007A4C09" w:rsidP="007A4C09">
      <w:pPr>
        <w:pStyle w:val="Paragraphedeliste"/>
        <w:ind w:left="2160"/>
        <w:rPr>
          <w:rFonts w:cs="Arial"/>
        </w:rPr>
      </w:pPr>
    </w:p>
    <w:p w14:paraId="103980B4" w14:textId="31242FD4" w:rsidR="00CB0C0A" w:rsidRPr="00CB0C0A" w:rsidRDefault="00CB0C0A" w:rsidP="006B51B4">
      <w:pPr>
        <w:pStyle w:val="Paragraphedeliste"/>
        <w:numPr>
          <w:ilvl w:val="0"/>
          <w:numId w:val="5"/>
        </w:numPr>
        <w:rPr>
          <w:rFonts w:cs="Arial"/>
        </w:rPr>
      </w:pPr>
      <w:r w:rsidRPr="00CB0C0A">
        <w:rPr>
          <w:rFonts w:cs="Arial"/>
        </w:rPr>
        <w:t xml:space="preserve">formation, </w:t>
      </w:r>
      <w:r w:rsidR="00A50043">
        <w:rPr>
          <w:rFonts w:cs="Arial"/>
        </w:rPr>
        <w:t xml:space="preserve">conduite du </w:t>
      </w:r>
      <w:r w:rsidRPr="00CB0C0A">
        <w:rPr>
          <w:rFonts w:cs="Arial"/>
        </w:rPr>
        <w:t>changement et communication ;</w:t>
      </w:r>
    </w:p>
    <w:p w14:paraId="090B2F91" w14:textId="77777777" w:rsidR="00CB0C0A" w:rsidRPr="00CB0C0A" w:rsidRDefault="00CB0C0A" w:rsidP="006B51B4">
      <w:pPr>
        <w:pStyle w:val="Paragraphedeliste"/>
        <w:numPr>
          <w:ilvl w:val="0"/>
          <w:numId w:val="5"/>
        </w:numPr>
        <w:rPr>
          <w:rFonts w:cs="Arial"/>
        </w:rPr>
      </w:pPr>
      <w:r w:rsidRPr="00CB0C0A">
        <w:rPr>
          <w:rFonts w:cs="Arial"/>
        </w:rPr>
        <w:t>maintenance et support de la solution ;</w:t>
      </w:r>
    </w:p>
    <w:p w14:paraId="0D2C8DAB" w14:textId="24314B52" w:rsidR="00CB0C0A" w:rsidRPr="00CB0C0A" w:rsidRDefault="00CB0C0A" w:rsidP="006B51B4">
      <w:pPr>
        <w:pStyle w:val="Paragraphedeliste"/>
        <w:numPr>
          <w:ilvl w:val="0"/>
          <w:numId w:val="5"/>
        </w:numPr>
        <w:rPr>
          <w:rFonts w:cs="Arial"/>
        </w:rPr>
      </w:pPr>
      <w:r w:rsidRPr="00CB0C0A">
        <w:rPr>
          <w:rFonts w:cs="Arial"/>
        </w:rPr>
        <w:t>reprise de données</w:t>
      </w:r>
      <w:r w:rsidR="00C85F20">
        <w:rPr>
          <w:rFonts w:cs="Arial"/>
        </w:rPr>
        <w:t xml:space="preserve"> (le plus souvent par import de fichiers ou injection SQL)</w:t>
      </w:r>
      <w:r w:rsidRPr="00CB0C0A">
        <w:rPr>
          <w:rFonts w:cs="Arial"/>
        </w:rPr>
        <w:t xml:space="preserve"> ;</w:t>
      </w:r>
    </w:p>
    <w:p w14:paraId="0143913F" w14:textId="7A36DFFE" w:rsidR="00CB0C0A" w:rsidRDefault="00CB0C0A" w:rsidP="006B51B4">
      <w:pPr>
        <w:pStyle w:val="Paragraphedeliste"/>
        <w:numPr>
          <w:ilvl w:val="0"/>
          <w:numId w:val="5"/>
        </w:numPr>
        <w:rPr>
          <w:rFonts w:cs="Arial"/>
        </w:rPr>
      </w:pPr>
      <w:r w:rsidRPr="00CB0C0A">
        <w:rPr>
          <w:rFonts w:cs="Arial"/>
        </w:rPr>
        <w:t>réversibilité</w:t>
      </w:r>
      <w:r w:rsidR="004A7AA5">
        <w:rPr>
          <w:rFonts w:cs="Arial"/>
        </w:rPr>
        <w:t xml:space="preserve"> permanente</w:t>
      </w:r>
      <w:r w:rsidR="00090E69">
        <w:rPr>
          <w:rFonts w:cs="Arial"/>
        </w:rPr>
        <w:t xml:space="preserve"> auprès des équipes </w:t>
      </w:r>
      <w:r w:rsidR="00B729D7">
        <w:rPr>
          <w:rFonts w:cs="Arial"/>
        </w:rPr>
        <w:t xml:space="preserve">informatiques </w:t>
      </w:r>
      <w:r w:rsidR="00090E69">
        <w:rPr>
          <w:rFonts w:cs="Arial"/>
        </w:rPr>
        <w:t>de la Commission</w:t>
      </w:r>
      <w:r w:rsidR="000421AD">
        <w:rPr>
          <w:rFonts w:cs="Arial"/>
        </w:rPr>
        <w:t xml:space="preserve"> </w:t>
      </w:r>
      <w:r w:rsidR="00B729D7">
        <w:rPr>
          <w:rFonts w:cs="Arial"/>
        </w:rPr>
        <w:t xml:space="preserve">(SSIS) </w:t>
      </w:r>
      <w:r w:rsidR="000421AD">
        <w:rPr>
          <w:rFonts w:cs="Arial"/>
        </w:rPr>
        <w:t>et transférabilité de la maintenance à un tiers en fin de marché</w:t>
      </w:r>
      <w:r w:rsidRPr="00CB0C0A">
        <w:rPr>
          <w:rFonts w:cs="Arial"/>
        </w:rPr>
        <w:t>.</w:t>
      </w:r>
    </w:p>
    <w:p w14:paraId="1827D33D" w14:textId="77777777" w:rsidR="00CB0C0A" w:rsidRDefault="00CB0C0A" w:rsidP="00CB0C0A">
      <w:pPr>
        <w:rPr>
          <w:rFonts w:cs="Arial"/>
        </w:rPr>
      </w:pPr>
    </w:p>
    <w:p w14:paraId="55BFE1EF" w14:textId="77777777" w:rsidR="00B729D7" w:rsidRDefault="007A4C09" w:rsidP="00CB0C0A">
      <w:pPr>
        <w:rPr>
          <w:rFonts w:cs="Arial"/>
        </w:rPr>
      </w:pPr>
      <w:r>
        <w:rPr>
          <w:rFonts w:cs="Arial"/>
        </w:rPr>
        <w:t xml:space="preserve">L’hébergement </w:t>
      </w:r>
      <w:r w:rsidR="00090E69">
        <w:rPr>
          <w:rFonts w:cs="Arial"/>
        </w:rPr>
        <w:t xml:space="preserve">souverain </w:t>
      </w:r>
      <w:r>
        <w:rPr>
          <w:rFonts w:cs="Arial"/>
        </w:rPr>
        <w:t>et la mise à disposition des</w:t>
      </w:r>
      <w:r w:rsidR="00090E69">
        <w:rPr>
          <w:rFonts w:cs="Arial"/>
        </w:rPr>
        <w:t xml:space="preserve"> divers</w:t>
      </w:r>
      <w:r>
        <w:rPr>
          <w:rFonts w:cs="Arial"/>
        </w:rPr>
        <w:t xml:space="preserve"> environnement</w:t>
      </w:r>
      <w:r w:rsidR="00090E69">
        <w:rPr>
          <w:rFonts w:cs="Arial"/>
        </w:rPr>
        <w:t xml:space="preserve">s techniques (environnement de production, de préproduction, de performance, d’intégration, école, etc…) seront fournis par </w:t>
      </w:r>
      <w:r w:rsidR="00C85F20">
        <w:rPr>
          <w:rFonts w:cs="Arial"/>
        </w:rPr>
        <w:t>le</w:t>
      </w:r>
      <w:r w:rsidR="00090E69">
        <w:rPr>
          <w:rFonts w:cs="Arial"/>
        </w:rPr>
        <w:t xml:space="preserve"> ministère de l’intérieur. </w:t>
      </w:r>
    </w:p>
    <w:p w14:paraId="7EC4F10D" w14:textId="77777777" w:rsidR="00B729D7" w:rsidRDefault="00B729D7" w:rsidP="00CB0C0A">
      <w:pPr>
        <w:rPr>
          <w:rFonts w:cs="Arial"/>
        </w:rPr>
      </w:pPr>
    </w:p>
    <w:p w14:paraId="7CECFAA8" w14:textId="0D61D30A" w:rsidR="006F46B8" w:rsidRPr="00CB0C0A" w:rsidRDefault="00090E69" w:rsidP="00CB0C0A">
      <w:pPr>
        <w:rPr>
          <w:rFonts w:cs="Arial"/>
        </w:rPr>
      </w:pPr>
      <w:r>
        <w:rPr>
          <w:rFonts w:cs="Arial"/>
        </w:rPr>
        <w:t>Le titulaire devra s’assurer de la parfaite compatibilité de l’application et de ses éventuels composants tiers avec l’infrastructure technique du « CloudPi native » opérée par les équipes techniques de la DTNum</w:t>
      </w:r>
      <w:r w:rsidR="00B729D7">
        <w:rPr>
          <w:rFonts w:cs="Arial"/>
        </w:rPr>
        <w:t xml:space="preserve"> du ministère de l’intérieur</w:t>
      </w:r>
      <w:r>
        <w:rPr>
          <w:rFonts w:cs="Arial"/>
        </w:rPr>
        <w:t>.</w:t>
      </w:r>
      <w:r w:rsidR="00B729D7">
        <w:rPr>
          <w:rFonts w:cs="Arial"/>
        </w:rPr>
        <w:t xml:space="preserve"> Les spécifications techniques précises seront intégrées au CCTP.</w:t>
      </w:r>
    </w:p>
    <w:p w14:paraId="39FA4B73" w14:textId="4B019BF3" w:rsidR="00147D1C" w:rsidRDefault="00147D1C">
      <w:pPr>
        <w:jc w:val="left"/>
      </w:pPr>
    </w:p>
    <w:p w14:paraId="706FB7B3" w14:textId="7EAC1669" w:rsidR="00147D1C" w:rsidRDefault="00147D1C" w:rsidP="00A13E81">
      <w:pPr>
        <w:pStyle w:val="Titre1"/>
      </w:pPr>
      <w:bookmarkStart w:id="97" w:name="_Toc218852831"/>
      <w:r>
        <w:t>Les exigences spécifiques du projet</w:t>
      </w:r>
      <w:bookmarkEnd w:id="97"/>
    </w:p>
    <w:p w14:paraId="4AB7C425" w14:textId="77777777" w:rsidR="00147D1C" w:rsidRDefault="00147D1C" w:rsidP="00147D1C"/>
    <w:p w14:paraId="6B1DAEC7" w14:textId="5130B32C" w:rsidR="000D75F3" w:rsidRDefault="00F409E4" w:rsidP="00A13E81">
      <w:r>
        <w:t>L’ensemble des exigences relatives à la solution seront développées dans le CCTP. Il est toutefois d’ores et déjà décidé que l</w:t>
      </w:r>
      <w:r w:rsidR="00147D1C">
        <w:t>’application et les éventuelles intégrations de comp</w:t>
      </w:r>
      <w:r>
        <w:t>osants tiers devront respecter l</w:t>
      </w:r>
      <w:r w:rsidR="00147D1C">
        <w:t xml:space="preserve">es impératifs techniques imposés par l’environnement d’hébergement souverain « CloudPi Native » du ministère de l’intérieur. </w:t>
      </w:r>
    </w:p>
    <w:p w14:paraId="3E8F8FCC" w14:textId="77777777" w:rsidR="00147D1C" w:rsidRDefault="00147D1C" w:rsidP="00147D1C">
      <w:pPr>
        <w:jc w:val="left"/>
      </w:pPr>
    </w:p>
    <w:p w14:paraId="248C5AFB" w14:textId="77777777" w:rsidR="00147D1C" w:rsidRDefault="00147D1C" w:rsidP="00147D1C">
      <w:pPr>
        <w:jc w:val="left"/>
      </w:pPr>
      <w:r>
        <w:t>Quelques outils périphériques relatifs à la conception du projet devront également être impérativement utilisés :</w:t>
      </w:r>
    </w:p>
    <w:p w14:paraId="378B08CE" w14:textId="77777777" w:rsidR="00147D1C" w:rsidRDefault="00147D1C" w:rsidP="00147D1C">
      <w:pPr>
        <w:pStyle w:val="Paragraphedeliste"/>
        <w:numPr>
          <w:ilvl w:val="0"/>
          <w:numId w:val="24"/>
        </w:numPr>
        <w:jc w:val="left"/>
      </w:pPr>
      <w:r>
        <w:t>Outil de conception des modèles (ex : MCD / MPD) : Draw.io</w:t>
      </w:r>
    </w:p>
    <w:p w14:paraId="6BDD9476" w14:textId="77777777" w:rsidR="00147D1C" w:rsidRDefault="00147D1C" w:rsidP="00147D1C">
      <w:pPr>
        <w:pStyle w:val="Paragraphedeliste"/>
        <w:numPr>
          <w:ilvl w:val="0"/>
          <w:numId w:val="24"/>
        </w:numPr>
        <w:jc w:val="left"/>
      </w:pPr>
      <w:r>
        <w:t>Outils de conception graphique : Figma ;</w:t>
      </w:r>
    </w:p>
    <w:p w14:paraId="2E95539A" w14:textId="77777777" w:rsidR="00147D1C" w:rsidRDefault="00147D1C" w:rsidP="00147D1C">
      <w:pPr>
        <w:jc w:val="left"/>
      </w:pPr>
    </w:p>
    <w:p w14:paraId="31B5019B" w14:textId="77777777" w:rsidR="00147D1C" w:rsidRDefault="00147D1C" w:rsidP="00147D1C">
      <w:pPr>
        <w:jc w:val="left"/>
      </w:pPr>
      <w:r>
        <w:t xml:space="preserve">Par ailleurs, afin de satisfaire aux exigences de réversibilité et proposer des technologies et frameworks de développement en adéquation avec les compétences de ses développeurs internes, la Commission privilégie </w:t>
      </w:r>
      <w:r w:rsidRPr="009D74F1">
        <w:rPr>
          <w:i/>
        </w:rPr>
        <w:t>a priori</w:t>
      </w:r>
      <w:r>
        <w:t xml:space="preserve"> l’usage du stack de développement suivant :</w:t>
      </w:r>
    </w:p>
    <w:p w14:paraId="080B55CD" w14:textId="77777777" w:rsidR="00147D1C" w:rsidRDefault="00147D1C" w:rsidP="00147D1C">
      <w:pPr>
        <w:pStyle w:val="Paragraphedeliste"/>
        <w:numPr>
          <w:ilvl w:val="0"/>
          <w:numId w:val="24"/>
        </w:numPr>
        <w:jc w:val="left"/>
      </w:pPr>
      <w:r>
        <w:t>Architecture : micro-services stateless conteneurisés ;</w:t>
      </w:r>
    </w:p>
    <w:p w14:paraId="35E75FAE" w14:textId="77777777" w:rsidR="00147D1C" w:rsidRDefault="00147D1C" w:rsidP="00147D1C">
      <w:pPr>
        <w:pStyle w:val="Paragraphedeliste"/>
        <w:numPr>
          <w:ilvl w:val="0"/>
          <w:numId w:val="24"/>
        </w:numPr>
        <w:jc w:val="left"/>
      </w:pPr>
      <w:r w:rsidRPr="006743AD">
        <w:t xml:space="preserve">Frontend </w:t>
      </w:r>
      <w:r>
        <w:t xml:space="preserve">applicatif </w:t>
      </w:r>
      <w:r w:rsidRPr="006743AD">
        <w:t>: Vue.js, node.js</w:t>
      </w:r>
      <w:r>
        <w:t> (UI des micro-services des backends), CSS ;</w:t>
      </w:r>
    </w:p>
    <w:p w14:paraId="084E779F" w14:textId="77777777" w:rsidR="00147D1C" w:rsidRDefault="00147D1C" w:rsidP="00147D1C">
      <w:pPr>
        <w:pStyle w:val="Paragraphedeliste"/>
        <w:numPr>
          <w:ilvl w:val="0"/>
          <w:numId w:val="24"/>
        </w:numPr>
        <w:jc w:val="left"/>
      </w:pPr>
      <w:r>
        <w:t>Librairies des frontends</w:t>
      </w:r>
      <w:r w:rsidRPr="006743AD">
        <w:t xml:space="preserve"> : Tailwind CSS, Primevue,</w:t>
      </w:r>
      <w:r>
        <w:t xml:space="preserve"> Fontawsome ;</w:t>
      </w:r>
    </w:p>
    <w:p w14:paraId="454FC755" w14:textId="77777777" w:rsidR="00147D1C" w:rsidRDefault="00147D1C" w:rsidP="00147D1C">
      <w:pPr>
        <w:pStyle w:val="Paragraphedeliste"/>
        <w:numPr>
          <w:ilvl w:val="0"/>
          <w:numId w:val="24"/>
        </w:numPr>
        <w:jc w:val="left"/>
      </w:pPr>
      <w:r>
        <w:t>B</w:t>
      </w:r>
      <w:r w:rsidRPr="006743AD">
        <w:t>ackend</w:t>
      </w:r>
      <w:r>
        <w:t xml:space="preserve"> applicatif</w:t>
      </w:r>
      <w:r w:rsidRPr="006743AD">
        <w:t xml:space="preserve"> : Framework Laravel</w:t>
      </w:r>
      <w:r>
        <w:t xml:space="preserve"> entièrement interfacé en API restful, (UI séparées sur un ou plusieurs frontend Vue.js) ;</w:t>
      </w:r>
    </w:p>
    <w:p w14:paraId="209EE70A" w14:textId="77777777" w:rsidR="00147D1C" w:rsidRPr="006743AD" w:rsidRDefault="00147D1C" w:rsidP="00147D1C">
      <w:pPr>
        <w:pStyle w:val="Paragraphedeliste"/>
        <w:numPr>
          <w:ilvl w:val="0"/>
          <w:numId w:val="24"/>
        </w:numPr>
        <w:jc w:val="left"/>
      </w:pPr>
      <w:r>
        <w:t>Langages de développement : PHP, Javascript, Typescript, HTML,</w:t>
      </w:r>
      <w:r w:rsidRPr="008A1F06">
        <w:t xml:space="preserve"> JSON, XML, SQL</w:t>
      </w:r>
      <w:r>
        <w:t> ;</w:t>
      </w:r>
    </w:p>
    <w:p w14:paraId="0B123856" w14:textId="77777777" w:rsidR="00147D1C" w:rsidRDefault="00147D1C" w:rsidP="00147D1C">
      <w:pPr>
        <w:pStyle w:val="Paragraphedeliste"/>
        <w:numPr>
          <w:ilvl w:val="0"/>
          <w:numId w:val="24"/>
        </w:numPr>
        <w:jc w:val="left"/>
      </w:pPr>
      <w:r>
        <w:t>Modèle graphique préféré : Primevue Sakai ;</w:t>
      </w:r>
    </w:p>
    <w:p w14:paraId="5507FC94" w14:textId="77777777" w:rsidR="00147D1C" w:rsidRDefault="00147D1C" w:rsidP="00147D1C">
      <w:pPr>
        <w:pStyle w:val="Paragraphedeliste"/>
        <w:numPr>
          <w:ilvl w:val="0"/>
          <w:numId w:val="24"/>
        </w:numPr>
        <w:jc w:val="left"/>
      </w:pPr>
      <w:r>
        <w:t xml:space="preserve">IDE : Microsoft Visual Studio Code </w:t>
      </w:r>
    </w:p>
    <w:p w14:paraId="2E71A297" w14:textId="77777777" w:rsidR="00147D1C" w:rsidRDefault="00147D1C" w:rsidP="00147D1C">
      <w:pPr>
        <w:pStyle w:val="Paragraphedeliste"/>
        <w:numPr>
          <w:ilvl w:val="0"/>
          <w:numId w:val="24"/>
        </w:numPr>
        <w:jc w:val="left"/>
      </w:pPr>
      <w:r>
        <w:t>IDE plugins : SonarQube, Checkmarks… ;</w:t>
      </w:r>
    </w:p>
    <w:p w14:paraId="5877591D" w14:textId="77777777" w:rsidR="00147D1C" w:rsidRDefault="00147D1C" w:rsidP="00147D1C">
      <w:pPr>
        <w:pStyle w:val="Paragraphedeliste"/>
        <w:numPr>
          <w:ilvl w:val="0"/>
          <w:numId w:val="24"/>
        </w:numPr>
        <w:jc w:val="left"/>
      </w:pPr>
      <w:r>
        <w:t>Operating system : Linux Ubuntu 24.04 ;</w:t>
      </w:r>
    </w:p>
    <w:p w14:paraId="75A29AB4" w14:textId="77777777" w:rsidR="00147D1C" w:rsidRDefault="00147D1C" w:rsidP="00147D1C">
      <w:pPr>
        <w:jc w:val="left"/>
      </w:pPr>
    </w:p>
    <w:p w14:paraId="7A15DE2D" w14:textId="43B2F924" w:rsidR="00147D1C" w:rsidRDefault="00147D1C" w:rsidP="00147D1C">
      <w:r>
        <w:t>Tous les développements devront être partagés et accessibles à tout moment par les équipes du service informatique de la Commission (SSIS) qui réalisera des revues de code régulières.</w:t>
      </w:r>
    </w:p>
    <w:p w14:paraId="440CC5FA" w14:textId="77A1E6A2" w:rsidR="000D75F3" w:rsidRDefault="000D75F3" w:rsidP="00147D1C"/>
    <w:p w14:paraId="452BD4A7" w14:textId="642374C0" w:rsidR="000D75F3" w:rsidRDefault="000D75F3" w:rsidP="000D75F3">
      <w:r>
        <w:t xml:space="preserve">Il convient par ailleurs de noter que les prestations réalisées par le titulaire devront strictement respecter les préconisations du </w:t>
      </w:r>
      <w:hyperlink r:id="rId18">
        <w:r>
          <w:rPr>
            <w:color w:val="0563C1"/>
            <w:u w:val="single"/>
          </w:rPr>
          <w:t>référentiel général de sécurité</w:t>
        </w:r>
      </w:hyperlink>
      <w:r>
        <w:t xml:space="preserve"> (RGS) de l’agence nationale de sécurité des systèmes d’information ainsi que de la  </w:t>
      </w:r>
      <w:hyperlink r:id="rId19">
        <w:r>
          <w:rPr>
            <w:color w:val="0563C1"/>
            <w:u w:val="single"/>
          </w:rPr>
          <w:t>politique de sécurité des systèmes d'information de l'Etat</w:t>
        </w:r>
      </w:hyperlink>
      <w:r>
        <w:t>.</w:t>
      </w:r>
    </w:p>
    <w:p w14:paraId="3D89E69B" w14:textId="77777777" w:rsidR="000D75F3" w:rsidRDefault="000D75F3" w:rsidP="000D75F3">
      <w:pPr>
        <w:rPr>
          <w:color w:val="FF0000"/>
        </w:rPr>
      </w:pPr>
      <w:r>
        <w:t xml:space="preserve">Le titulaire devra également se conformer aux autres référentiels du système d’information de l’Etat : </w:t>
      </w:r>
      <w:hyperlink r:id="rId20">
        <w:r>
          <w:rPr>
            <w:color w:val="0563C1"/>
            <w:u w:val="single"/>
          </w:rPr>
          <w:t>référentiel général d'interopérabilité</w:t>
        </w:r>
      </w:hyperlink>
      <w:r>
        <w:t xml:space="preserve"> (RGI) et </w:t>
      </w:r>
      <w:hyperlink r:id="rId21">
        <w:r>
          <w:rPr>
            <w:color w:val="0563C1"/>
            <w:u w:val="single"/>
          </w:rPr>
          <w:t>référentiel général d'accessibilité</w:t>
        </w:r>
      </w:hyperlink>
      <w:r>
        <w:t xml:space="preserve">  (RGA). </w:t>
      </w:r>
    </w:p>
    <w:p w14:paraId="1919DA00" w14:textId="0568E576" w:rsidR="000D75F3" w:rsidRDefault="000D75F3" w:rsidP="00147D1C"/>
    <w:p w14:paraId="284C7752" w14:textId="5C0B3A68" w:rsidR="00597AA9" w:rsidRDefault="00597AA9" w:rsidP="00147D1C">
      <w:pPr>
        <w:rPr>
          <w:rFonts w:cs="Arial"/>
        </w:rPr>
      </w:pPr>
      <w:r>
        <w:t>Indépendamment des exigences techniques spécifiques</w:t>
      </w:r>
      <w:r w:rsidR="00EE1B1A">
        <w:t xml:space="preserve"> développées infra</w:t>
      </w:r>
      <w:r>
        <w:t>, il est attendu du titulaire une méthode claire et partagée de gouvernance afin de garantir le respect des délais</w:t>
      </w:r>
      <w:r w:rsidR="00EE1B1A">
        <w:t xml:space="preserve">. Le titulaire devra proposer une comitologie spécifique aux deux premiers paliers de développement pour permettre à la CNCCFP de s’assurer du respect des délais, du caractère pleinement opérationnel des fonctionnalités développées et, le cas échéant, prendre les arbitrages nécessaires à l’objectif </w:t>
      </w:r>
      <w:r w:rsidR="002D757D">
        <w:t xml:space="preserve">impératif d’assurer le </w:t>
      </w:r>
      <w:r w:rsidR="00EE1B1A">
        <w:t xml:space="preserve">dépôt </w:t>
      </w:r>
      <w:r w:rsidR="002D757D">
        <w:t xml:space="preserve">et l’instruction </w:t>
      </w:r>
      <w:r w:rsidR="00EE1B1A">
        <w:t xml:space="preserve">des comptes de campagne pour l’élection présidentielle de 2027. </w:t>
      </w:r>
    </w:p>
    <w:p w14:paraId="33F96F0A" w14:textId="62E1892F" w:rsidR="00147D1C" w:rsidRDefault="00147D1C" w:rsidP="00147D1C">
      <w:pPr>
        <w:rPr>
          <w:rFonts w:cs="Arial"/>
        </w:rPr>
      </w:pPr>
    </w:p>
    <w:p w14:paraId="0158C916" w14:textId="0187BCFD" w:rsidR="009D45CB" w:rsidRDefault="009D45CB">
      <w:pPr>
        <w:jc w:val="left"/>
        <w:rPr>
          <w:rFonts w:cs="Arial"/>
        </w:rPr>
      </w:pPr>
      <w:r>
        <w:rPr>
          <w:rFonts w:cs="Arial"/>
        </w:rPr>
        <w:br w:type="page"/>
      </w:r>
    </w:p>
    <w:p w14:paraId="4F69F274" w14:textId="77777777" w:rsidR="009D45CB" w:rsidRDefault="009D45CB" w:rsidP="00147D1C">
      <w:pPr>
        <w:rPr>
          <w:rFonts w:cs="Arial"/>
        </w:rPr>
      </w:pPr>
    </w:p>
    <w:p w14:paraId="5D815ED6" w14:textId="77777777" w:rsidR="00AF3D6B" w:rsidRDefault="00AF3D6B" w:rsidP="00A13E81">
      <w:pPr>
        <w:pStyle w:val="Titre2"/>
      </w:pPr>
      <w:bookmarkStart w:id="98" w:name="_Toc218852832"/>
      <w:r w:rsidRPr="00E85B0B">
        <w:t>Exigences techniques</w:t>
      </w:r>
      <w:bookmarkEnd w:id="98"/>
    </w:p>
    <w:p w14:paraId="47200E95" w14:textId="77777777" w:rsidR="00AF3D6B" w:rsidRPr="00E85B0B" w:rsidRDefault="00AF3D6B" w:rsidP="00AF3D6B"/>
    <w:p w14:paraId="3D6C7366" w14:textId="77777777" w:rsidR="00AF3D6B" w:rsidRPr="00E85B0B" w:rsidRDefault="00AF3D6B" w:rsidP="00A13E81">
      <w:pPr>
        <w:pStyle w:val="Titre3"/>
      </w:pPr>
      <w:bookmarkStart w:id="99" w:name="_Toc218852833"/>
      <w:r w:rsidRPr="00E85B0B">
        <w:t xml:space="preserve">Contraintes liées </w:t>
      </w:r>
      <w:r>
        <w:t>aux conditions d’hébergement</w:t>
      </w:r>
      <w:bookmarkEnd w:id="99"/>
    </w:p>
    <w:p w14:paraId="0493F596" w14:textId="77777777" w:rsidR="00AF3D6B" w:rsidRDefault="00AF3D6B" w:rsidP="00AF3D6B"/>
    <w:p w14:paraId="3B4133B0" w14:textId="77777777" w:rsidR="00AF3D6B" w:rsidRDefault="00AF3D6B" w:rsidP="00AF3D6B">
      <w:r>
        <w:t>La Commission a fait le choix stratégique d’héberger la future plateforme dans l’infrastructure Cloud Pi Native du ministère de l’intérieur.</w:t>
      </w:r>
    </w:p>
    <w:p w14:paraId="4F68C99E" w14:textId="77777777" w:rsidR="00AF3D6B" w:rsidRDefault="00AF3D6B" w:rsidP="00AF3D6B"/>
    <w:p w14:paraId="020B94B5" w14:textId="77777777" w:rsidR="00AF3D6B" w:rsidRDefault="00AF3D6B" w:rsidP="00AF3D6B">
      <w:r>
        <w:t>La solution, les outils et les méthodes de déploiement du candidat devront se conformer aux exigences liées à l’hébergement à ces conditions d’hébergement, qui sont consultables en suivant les liens ci-après :</w:t>
      </w:r>
    </w:p>
    <w:p w14:paraId="1154A339" w14:textId="77777777" w:rsidR="00AF3D6B" w:rsidRDefault="001D4AA8" w:rsidP="00AF3D6B">
      <w:pPr>
        <w:pStyle w:val="Paragraphedeliste"/>
        <w:numPr>
          <w:ilvl w:val="0"/>
          <w:numId w:val="52"/>
        </w:numPr>
        <w:spacing w:line="254" w:lineRule="auto"/>
        <w:rPr>
          <w:rFonts w:cs="Arial"/>
        </w:rPr>
      </w:pPr>
      <w:hyperlink r:id="rId22" w:history="1">
        <w:r w:rsidR="00AF3D6B">
          <w:rPr>
            <w:rStyle w:val="Lienhypertexte"/>
            <w:rFonts w:cs="Arial"/>
          </w:rPr>
          <w:t>https://cloud-pi-native.fr/agreement/introduction</w:t>
        </w:r>
      </w:hyperlink>
    </w:p>
    <w:p w14:paraId="77066F6A" w14:textId="77777777" w:rsidR="00AF3D6B" w:rsidRDefault="001D4AA8" w:rsidP="00AF3D6B">
      <w:pPr>
        <w:pStyle w:val="Paragraphedeliste"/>
        <w:numPr>
          <w:ilvl w:val="0"/>
          <w:numId w:val="52"/>
        </w:numPr>
        <w:spacing w:line="254" w:lineRule="auto"/>
        <w:rPr>
          <w:rFonts w:cs="Arial"/>
        </w:rPr>
      </w:pPr>
      <w:hyperlink r:id="rId23" w:history="1">
        <w:r w:rsidR="00AF3D6B">
          <w:rPr>
            <w:rStyle w:val="Lienhypertexte"/>
            <w:rFonts w:cs="Arial"/>
          </w:rPr>
          <w:t>https://github.com/cloud-pi-native/cct-cloud-native/tree/main</w:t>
        </w:r>
      </w:hyperlink>
    </w:p>
    <w:p w14:paraId="4CED1EB5" w14:textId="77777777" w:rsidR="00AF3D6B" w:rsidRDefault="001D4AA8" w:rsidP="00AF3D6B">
      <w:pPr>
        <w:pStyle w:val="Paragraphedeliste"/>
        <w:numPr>
          <w:ilvl w:val="0"/>
          <w:numId w:val="52"/>
        </w:numPr>
        <w:spacing w:line="254" w:lineRule="auto"/>
        <w:rPr>
          <w:rFonts w:cs="Arial"/>
          <w:color w:val="0563C1" w:themeColor="hyperlink"/>
          <w:u w:val="single"/>
        </w:rPr>
      </w:pPr>
      <w:hyperlink r:id="rId24" w:history="1">
        <w:r w:rsidR="00AF3D6B">
          <w:rPr>
            <w:rStyle w:val="Lienhypertexte"/>
            <w:rFonts w:cs="Arial"/>
          </w:rPr>
          <w:t>https://cloud-pi-native.fr/platform/skills-matrix</w:t>
        </w:r>
      </w:hyperlink>
    </w:p>
    <w:p w14:paraId="3FBFE07E" w14:textId="77777777" w:rsidR="00AF3D6B" w:rsidRDefault="00AF3D6B" w:rsidP="00AF3D6B"/>
    <w:p w14:paraId="3F141A57" w14:textId="77777777" w:rsidR="00AF3D6B" w:rsidRDefault="00AF3D6B" w:rsidP="00AF3D6B">
      <w:r>
        <w:t>Le candidat devra notamment, comme indiqué dans le corpus d’exigences cité ci-avant, être doté des compétences de base suivantes :</w:t>
      </w:r>
    </w:p>
    <w:p w14:paraId="014349E9" w14:textId="77777777" w:rsidR="00AF3D6B" w:rsidRDefault="00AF3D6B" w:rsidP="00AF3D6B"/>
    <w:tbl>
      <w:tblPr>
        <w:tblStyle w:val="TableauGrille4-Accentuation5"/>
        <w:tblW w:w="0" w:type="auto"/>
        <w:tblInd w:w="0" w:type="dxa"/>
        <w:tblLook w:val="04A0" w:firstRow="1" w:lastRow="0" w:firstColumn="1" w:lastColumn="0" w:noHBand="0" w:noVBand="1"/>
      </w:tblPr>
      <w:tblGrid>
        <w:gridCol w:w="2263"/>
        <w:gridCol w:w="6799"/>
      </w:tblGrid>
      <w:tr w:rsidR="00AF3D6B" w14:paraId="404CC31A" w14:textId="77777777" w:rsidTr="0039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D771C01" w14:textId="77777777" w:rsidR="00AF3D6B" w:rsidRDefault="00AF3D6B" w:rsidP="00397EFA">
            <w:r>
              <w:t>Technologie</w:t>
            </w:r>
          </w:p>
        </w:tc>
        <w:tc>
          <w:tcPr>
            <w:tcW w:w="6799" w:type="dxa"/>
            <w:hideMark/>
          </w:tcPr>
          <w:p w14:paraId="2D7A1A39" w14:textId="77777777" w:rsidR="00AF3D6B" w:rsidRDefault="00AF3D6B" w:rsidP="00397EFA">
            <w:pPr>
              <w:cnfStyle w:val="100000000000" w:firstRow="1" w:lastRow="0" w:firstColumn="0" w:lastColumn="0" w:oddVBand="0" w:evenVBand="0" w:oddHBand="0" w:evenHBand="0" w:firstRowFirstColumn="0" w:firstRowLastColumn="0" w:lastRowFirstColumn="0" w:lastRowLastColumn="0"/>
            </w:pPr>
            <w:r>
              <w:t>Commentaires</w:t>
            </w:r>
          </w:p>
        </w:tc>
      </w:tr>
      <w:tr w:rsidR="00AF3D6B" w14:paraId="3FFAAFB0" w14:textId="77777777" w:rsidTr="00397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BE59C17" w14:textId="77777777" w:rsidR="00AF3D6B" w:rsidRDefault="00AF3D6B" w:rsidP="00397EFA">
            <w:r>
              <w:t>Conteneurisation</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A20636"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Obligatoire</w:t>
            </w:r>
          </w:p>
          <w:p w14:paraId="6CD4EFA6"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Connaitre les principes de construction et de lancement d'images Docker</w:t>
            </w:r>
          </w:p>
        </w:tc>
      </w:tr>
      <w:tr w:rsidR="00AF3D6B" w14:paraId="496F4203" w14:textId="77777777" w:rsidTr="00397EF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F32BA7F" w14:textId="77777777" w:rsidR="00AF3D6B" w:rsidRDefault="00AF3D6B" w:rsidP="00397EFA">
            <w:r>
              <w:t>Kubernetes</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295F86"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Obligatoire</w:t>
            </w:r>
          </w:p>
          <w:p w14:paraId="564252CC"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Connaître et comprendre les principes et objets principaux de k8s et les manifest de déploiement</w:t>
            </w:r>
          </w:p>
        </w:tc>
      </w:tr>
      <w:tr w:rsidR="00AF3D6B" w14:paraId="7DDB9190" w14:textId="77777777" w:rsidTr="00397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444821" w14:textId="77777777" w:rsidR="00AF3D6B" w:rsidRDefault="00AF3D6B" w:rsidP="00397EFA">
            <w:r>
              <w:t>GitLab-CI</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8FE810"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Obligatoire</w:t>
            </w:r>
          </w:p>
          <w:p w14:paraId="15C691FF"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Connaître les pipelines de déploiements gitlab-ci</w:t>
            </w:r>
          </w:p>
        </w:tc>
      </w:tr>
      <w:tr w:rsidR="00AF3D6B" w14:paraId="7A0BF6EF" w14:textId="77777777" w:rsidTr="00397EF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B6C4EC6" w14:textId="77777777" w:rsidR="00AF3D6B" w:rsidRDefault="00AF3D6B" w:rsidP="00397EFA">
            <w:r>
              <w:t>Helm</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16FFBC"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Conseillé</w:t>
            </w:r>
          </w:p>
          <w:p w14:paraId="4E5DA83C"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Savoir utiliser et créer un chart HELM</w:t>
            </w:r>
          </w:p>
        </w:tc>
      </w:tr>
      <w:tr w:rsidR="00AF3D6B" w14:paraId="148C856C" w14:textId="77777777" w:rsidTr="00397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0D39AB" w14:textId="77777777" w:rsidR="00AF3D6B" w:rsidRDefault="00AF3D6B" w:rsidP="00397EFA">
            <w:r>
              <w:t>GitOps</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E6A1EEC"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Obligatoire</w:t>
            </w:r>
          </w:p>
          <w:p w14:paraId="783140B6"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Comprendre les principes de déploiement GitOps</w:t>
            </w:r>
          </w:p>
        </w:tc>
      </w:tr>
      <w:tr w:rsidR="00AF3D6B" w14:paraId="4820ED29" w14:textId="77777777" w:rsidTr="00397EF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E74B16" w14:textId="77777777" w:rsidR="00AF3D6B" w:rsidRDefault="00AF3D6B" w:rsidP="00397EFA">
            <w:r>
              <w:t>Openshift</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387670"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Conseillé</w:t>
            </w:r>
          </w:p>
          <w:p w14:paraId="5A2492CF" w14:textId="77777777" w:rsidR="00AF3D6B" w:rsidRDefault="00AF3D6B" w:rsidP="00397EFA">
            <w:pPr>
              <w:cnfStyle w:val="000000000000" w:firstRow="0" w:lastRow="0" w:firstColumn="0" w:lastColumn="0" w:oddVBand="0" w:evenVBand="0" w:oddHBand="0" w:evenHBand="0" w:firstRowFirstColumn="0" w:firstRowLastColumn="0" w:lastRowFirstColumn="0" w:lastRowLastColumn="0"/>
            </w:pPr>
            <w:r>
              <w:t>Comprendre les différences avec kubernetes</w:t>
            </w:r>
          </w:p>
        </w:tc>
      </w:tr>
      <w:tr w:rsidR="00AF3D6B" w14:paraId="43C3DB28" w14:textId="77777777" w:rsidTr="00397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2370F31" w14:textId="77777777" w:rsidR="00AF3D6B" w:rsidRDefault="00AF3D6B" w:rsidP="00397EFA">
            <w:r>
              <w:t>GitOps/ArgoCD</w:t>
            </w:r>
          </w:p>
        </w:tc>
        <w:tc>
          <w:tcPr>
            <w:tcW w:w="6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54EA7B7"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Conseillé</w:t>
            </w:r>
          </w:p>
          <w:p w14:paraId="3584D3F3" w14:textId="77777777" w:rsidR="00AF3D6B" w:rsidRDefault="00AF3D6B" w:rsidP="00397EFA">
            <w:pPr>
              <w:cnfStyle w:val="000000100000" w:firstRow="0" w:lastRow="0" w:firstColumn="0" w:lastColumn="0" w:oddVBand="0" w:evenVBand="0" w:oddHBand="1" w:evenHBand="0" w:firstRowFirstColumn="0" w:firstRowLastColumn="0" w:lastRowFirstColumn="0" w:lastRowLastColumn="0"/>
            </w:pPr>
            <w:r>
              <w:t>Connaitre l'utilisation d'ArgoCD</w:t>
            </w:r>
          </w:p>
        </w:tc>
      </w:tr>
    </w:tbl>
    <w:p w14:paraId="4BBB6B1E" w14:textId="77777777" w:rsidR="00AF3D6B" w:rsidRDefault="00AF3D6B" w:rsidP="00AF3D6B"/>
    <w:p w14:paraId="700932B7" w14:textId="77777777" w:rsidR="00AF3D6B" w:rsidRPr="00E85B0B" w:rsidRDefault="00AF3D6B" w:rsidP="00A13E81">
      <w:pPr>
        <w:pStyle w:val="Titre3"/>
      </w:pPr>
      <w:bookmarkStart w:id="100" w:name="_Toc218852834"/>
      <w:r w:rsidRPr="00E85B0B">
        <w:t>Conception techniqu</w:t>
      </w:r>
      <w:r>
        <w:t>e</w:t>
      </w:r>
      <w:bookmarkEnd w:id="100"/>
    </w:p>
    <w:p w14:paraId="2BEB8800" w14:textId="77777777" w:rsidR="00AF3D6B" w:rsidRDefault="00AF3D6B" w:rsidP="00AF3D6B"/>
    <w:p w14:paraId="05CD22AC" w14:textId="77777777" w:rsidR="00AF3D6B" w:rsidRDefault="00AF3D6B" w:rsidP="00AF3D6B">
      <w:r>
        <w:t>Le titulaire devra privilégier des patterns d’architecture assurant la modularité et le caractère remplaçable de chaque brique fonctionnelle, par opposition aux développements d’applications dites « monolithiques ».</w:t>
      </w:r>
    </w:p>
    <w:p w14:paraId="29B7DC94" w14:textId="77777777" w:rsidR="00AF3D6B" w:rsidRDefault="00AF3D6B" w:rsidP="00AF3D6B"/>
    <w:p w14:paraId="0D95E72C" w14:textId="77777777" w:rsidR="00AF3D6B" w:rsidRDefault="00AF3D6B" w:rsidP="00AF3D6B">
      <w:r>
        <w:t>De ce fait, une architecture micro-services et par API doit constituer le cadre de base de la conception de la solution. La configuration des appels à des services externes, comme par exemple à un service de signature électronique, devra être paramétrable par la CNCCFP dans une IHM et devra prendre en compte la contrainte du service INES SE lié à l’hébergement (passerelle vers les services externes).</w:t>
      </w:r>
    </w:p>
    <w:p w14:paraId="4AD22873" w14:textId="77777777" w:rsidR="00AF3D6B" w:rsidRDefault="00AF3D6B" w:rsidP="00AF3D6B"/>
    <w:p w14:paraId="7B6696B8" w14:textId="77777777" w:rsidR="00AF3D6B" w:rsidRDefault="00AF3D6B" w:rsidP="00AF3D6B">
      <w:r>
        <w:t>En conséquence des contraintes et exigences technique mentionnées ci-avant les prérequis suivants sont impératifs :</w:t>
      </w:r>
    </w:p>
    <w:p w14:paraId="29B113F8" w14:textId="77777777" w:rsidR="00AF3D6B" w:rsidRDefault="00AF3D6B" w:rsidP="00AF3D6B"/>
    <w:p w14:paraId="0957E624" w14:textId="77777777" w:rsidR="00AF3D6B" w:rsidRDefault="00AF3D6B" w:rsidP="00AF3D6B">
      <w:pPr>
        <w:pStyle w:val="Paragraphedeliste"/>
        <w:numPr>
          <w:ilvl w:val="1"/>
          <w:numId w:val="51"/>
        </w:numPr>
        <w:contextualSpacing w:val="0"/>
      </w:pPr>
      <w:r>
        <w:t>architectures orientée micro-services stateless conteneurisés ;</w:t>
      </w:r>
    </w:p>
    <w:p w14:paraId="0C24ACC7" w14:textId="77777777" w:rsidR="00AF3D6B" w:rsidRDefault="00AF3D6B" w:rsidP="00AF3D6B">
      <w:pPr>
        <w:pStyle w:val="Paragraphedeliste"/>
        <w:numPr>
          <w:ilvl w:val="1"/>
          <w:numId w:val="51"/>
        </w:numPr>
        <w:contextualSpacing w:val="0"/>
      </w:pPr>
      <w:r>
        <w:t>utilisation de l’orchestrateur Kubernetes ;</w:t>
      </w:r>
    </w:p>
    <w:p w14:paraId="7604FC85" w14:textId="77777777" w:rsidR="00AF3D6B" w:rsidRDefault="00AF3D6B" w:rsidP="00AF3D6B">
      <w:pPr>
        <w:pStyle w:val="Paragraphedeliste"/>
        <w:numPr>
          <w:ilvl w:val="1"/>
          <w:numId w:val="51"/>
        </w:numPr>
        <w:contextualSpacing w:val="0"/>
      </w:pPr>
      <w:r>
        <w:t>utilisation du SGBD Postgresql ;</w:t>
      </w:r>
    </w:p>
    <w:p w14:paraId="38587D4B" w14:textId="77777777" w:rsidR="00AF3D6B" w:rsidRDefault="00AF3D6B" w:rsidP="00AF3D6B">
      <w:pPr>
        <w:pStyle w:val="Paragraphedeliste"/>
        <w:numPr>
          <w:ilvl w:val="1"/>
          <w:numId w:val="51"/>
        </w:numPr>
        <w:contextualSpacing w:val="0"/>
      </w:pPr>
      <w:r>
        <w:t>OS : Linux Ubuntu 24.04.</w:t>
      </w:r>
    </w:p>
    <w:p w14:paraId="35CB6D34" w14:textId="77777777" w:rsidR="00AF3D6B" w:rsidRDefault="00AF3D6B" w:rsidP="00AF3D6B">
      <w:pPr>
        <w:pStyle w:val="Paragraphedeliste"/>
        <w:ind w:left="1440"/>
      </w:pPr>
    </w:p>
    <w:p w14:paraId="58293E41" w14:textId="77777777" w:rsidR="00AF3D6B" w:rsidRPr="00E85B0B" w:rsidRDefault="00AF3D6B" w:rsidP="00A13E81">
      <w:pPr>
        <w:pStyle w:val="Titre3"/>
      </w:pPr>
      <w:bookmarkStart w:id="101" w:name="_Toc218852835"/>
      <w:r>
        <w:t>D</w:t>
      </w:r>
      <w:r w:rsidRPr="00E85B0B">
        <w:t>isponibilité et continuité d’activité</w:t>
      </w:r>
      <w:bookmarkEnd w:id="101"/>
      <w:r w:rsidRPr="00E85B0B">
        <w:t> </w:t>
      </w:r>
    </w:p>
    <w:p w14:paraId="41461FB3" w14:textId="77777777" w:rsidR="00AF3D6B" w:rsidRDefault="00AF3D6B" w:rsidP="00AF3D6B">
      <w:pPr>
        <w:pStyle w:val="Paragraphedeliste"/>
      </w:pPr>
    </w:p>
    <w:p w14:paraId="3A3AF8EF" w14:textId="77777777" w:rsidR="00AF3D6B" w:rsidRDefault="00AF3D6B" w:rsidP="00AF3D6B">
      <w:r>
        <w:t>La solution devra garantir un taux élevé de disponibilité. Un PCA et un PRA devront être élaborés, en collaboration avec l’hébergeur, dans le cadre du marché.</w:t>
      </w:r>
    </w:p>
    <w:p w14:paraId="036CB9AD" w14:textId="77777777" w:rsidR="00AF3D6B" w:rsidRDefault="00AF3D6B" w:rsidP="00AF3D6B"/>
    <w:p w14:paraId="7D1BD4F2" w14:textId="77777777" w:rsidR="00AF3D6B" w:rsidRPr="00E85B0B" w:rsidRDefault="00AF3D6B" w:rsidP="00A13E81">
      <w:pPr>
        <w:pStyle w:val="Titre3"/>
      </w:pPr>
      <w:bookmarkStart w:id="102" w:name="_Toc218852836"/>
      <w:r w:rsidRPr="00E85B0B">
        <w:t>Performance et scalabilité</w:t>
      </w:r>
      <w:bookmarkEnd w:id="102"/>
    </w:p>
    <w:p w14:paraId="2FC54379" w14:textId="77777777" w:rsidR="00AF3D6B" w:rsidRDefault="00AF3D6B" w:rsidP="00AF3D6B">
      <w:pPr>
        <w:pStyle w:val="Paragraphedeliste"/>
      </w:pPr>
    </w:p>
    <w:p w14:paraId="3DBA40AA" w14:textId="6E90BD15" w:rsidR="00AF3D6B" w:rsidRDefault="00AF3D6B" w:rsidP="00AF3D6B">
      <w:r>
        <w:t>Compte tenu du caractère cyclique de l’activité de la CNCCFP, caractérisée par des pics de charge importants et prévisibles, notamment en l</w:t>
      </w:r>
      <w:r w:rsidR="00834D51">
        <w:t>ien avec le calendrier défini par le code électoral pour les élections et par la loi de 1988 pour les partis politiques</w:t>
      </w:r>
      <w:r>
        <w:t>, la solution devra être conçue pour supporter des montées en charge significatives sans dégradation des performances. Elle devra s’appuyer sur une architecture scalable permettant l’allocation dynamique des ressources, garantir des temps de réponse maîtrisés sous forte sollicitation et assurer une haute disponibilité du service.</w:t>
      </w:r>
    </w:p>
    <w:p w14:paraId="2D4F8D14" w14:textId="77777777" w:rsidR="00AF3D6B" w:rsidRDefault="00AF3D6B" w:rsidP="00AF3D6B"/>
    <w:p w14:paraId="5FE41181" w14:textId="77777777" w:rsidR="00AF3D6B" w:rsidRPr="00E85B0B" w:rsidRDefault="00AF3D6B" w:rsidP="00A13E81">
      <w:pPr>
        <w:pStyle w:val="Titre3"/>
      </w:pPr>
      <w:bookmarkStart w:id="103" w:name="_Toc218852837"/>
      <w:r w:rsidRPr="00E85B0B">
        <w:t>Exigences de sécurité et de conformité</w:t>
      </w:r>
      <w:bookmarkEnd w:id="103"/>
    </w:p>
    <w:p w14:paraId="4B806884" w14:textId="77777777" w:rsidR="00AF3D6B" w:rsidRDefault="00AF3D6B" w:rsidP="00AF3D6B"/>
    <w:p w14:paraId="183663F3" w14:textId="77777777" w:rsidR="00AF3D6B" w:rsidRDefault="00AF3D6B" w:rsidP="00AF3D6B">
      <w:r>
        <w:t xml:space="preserve">Compte tenu du caractère sensible de l’activité de la CNCCFP et des données qu’elle traite, la sécurité des systèmes d’information constitue une exigence primordiale du marché, au même titre que les aspects fonctionnels et techniques. Le titulaire est tenu de respecter des engagements forts en matière de disponibilité, d’intégrité, de confidentialité et de traçabilité. Il doit garantir l’intégrité de bout en bout des documents déposés sur la plateforme et permettre l’accès au document original tel qu’il a été transmis. </w:t>
      </w:r>
    </w:p>
    <w:p w14:paraId="79A52C81" w14:textId="77777777" w:rsidR="00AF3D6B" w:rsidRDefault="00AF3D6B" w:rsidP="00AF3D6B"/>
    <w:p w14:paraId="50A938CA" w14:textId="77777777" w:rsidR="00AF3D6B" w:rsidRDefault="00AF3D6B" w:rsidP="00AF3D6B">
      <w:r>
        <w:t>Le titulaire doit formaliser son dispositif de sécurité au travers d’une Politique de Sécurité des Systèmes d’Information (PSSI) ou d’un Plan d’Assurance Sécurité (PAS) spécifique au marché, dans le cadre d’une démarche conforme aux principes de la norme ISO 27001.</w:t>
      </w:r>
    </w:p>
    <w:p w14:paraId="06F474D4" w14:textId="77777777" w:rsidR="00AF3D6B" w:rsidRDefault="00AF3D6B" w:rsidP="00AF3D6B"/>
    <w:p w14:paraId="6B329B84" w14:textId="77777777" w:rsidR="00AF3D6B" w:rsidRDefault="00AF3D6B" w:rsidP="00AF3D6B">
      <w:pPr>
        <w:rPr>
          <w:rFonts w:cs="Arial"/>
        </w:rPr>
      </w:pPr>
      <w:r>
        <w:rPr>
          <w:rFonts w:cs="Arial"/>
        </w:rPr>
        <w:t>L’architecture doit garantir un niveau de sécurité élevé, elle doit notamment :</w:t>
      </w:r>
    </w:p>
    <w:p w14:paraId="0F850121" w14:textId="77777777" w:rsidR="00AF3D6B" w:rsidRDefault="00AF3D6B" w:rsidP="00AF3D6B">
      <w:pPr>
        <w:pStyle w:val="Paragraphedeliste"/>
        <w:numPr>
          <w:ilvl w:val="1"/>
          <w:numId w:val="51"/>
        </w:numPr>
        <w:contextualSpacing w:val="0"/>
      </w:pPr>
      <w:r>
        <w:t>être construite selon les principes de cloisonnement horizontal et vertical et de défense en profondeur.</w:t>
      </w:r>
    </w:p>
    <w:p w14:paraId="7C89114C" w14:textId="77777777" w:rsidR="00AF3D6B" w:rsidRDefault="00AF3D6B" w:rsidP="00AF3D6B">
      <w:pPr>
        <w:pStyle w:val="Paragraphedeliste"/>
        <w:numPr>
          <w:ilvl w:val="1"/>
          <w:numId w:val="51"/>
        </w:numPr>
        <w:contextualSpacing w:val="0"/>
      </w:pPr>
      <w:r>
        <w:t>s’intégrer à l’architecture de sécurité (authentification forte, signature électronique, archivage applicatif et technique, etc.).</w:t>
      </w:r>
    </w:p>
    <w:p w14:paraId="3169874C" w14:textId="77777777" w:rsidR="00AF3D6B" w:rsidRDefault="00AF3D6B" w:rsidP="00AF3D6B"/>
    <w:p w14:paraId="77E24812" w14:textId="4149601B" w:rsidR="00AF3D6B" w:rsidRDefault="00AF3D6B" w:rsidP="00AF3D6B">
      <w:r>
        <w:t>Les prestations réalisées par le titulaire devront strictement respecter les préconisations du référentiel général de sécurité (RGS) de l’agence nationale de sécurité des systèmes d’information ainsi que de la politique de sécurité des systèmes d'information de l'Etat.</w:t>
      </w:r>
      <w:r w:rsidR="00834D51">
        <w:t xml:space="preserve"> </w:t>
      </w:r>
      <w:r>
        <w:t>Le titulaire devra également se conformer au référentiel général d'interopérabilité (RGI).</w:t>
      </w:r>
    </w:p>
    <w:p w14:paraId="3EF3C5E9" w14:textId="77777777" w:rsidR="00AF3D6B" w:rsidRDefault="00AF3D6B" w:rsidP="00AF3D6B"/>
    <w:p w14:paraId="28FC60B9" w14:textId="35F98BF8" w:rsidR="00AF3D6B" w:rsidRDefault="00AF3D6B" w:rsidP="00AF3D6B">
      <w:r>
        <w:t xml:space="preserve">En outre, au regard du caractère sensible des données qui feront l’objet d’une collecte et de traitement dans la solution, celle-ci devra être parfaitement conforme aux dispositions communautaires (RGPD), législatives et réglementaires en la matière. Les traitements automatisés de données personnelles opérés par la Commission sont actuellement encadrés par le </w:t>
      </w:r>
      <w:r w:rsidR="00834D51">
        <w:t xml:space="preserve">décret </w:t>
      </w:r>
      <w:r w:rsidRPr="00FC1E93">
        <w:t>n° 2022-316 du 4 mars 2022 relatif au traitement automatisé de données à caractère personnel mis en œuvre par la C</w:t>
      </w:r>
      <w:r w:rsidR="00834D51">
        <w:t>NCCFP.</w:t>
      </w:r>
    </w:p>
    <w:p w14:paraId="10D40239" w14:textId="32F6D748" w:rsidR="009D45CB" w:rsidRDefault="009D45CB">
      <w:pPr>
        <w:jc w:val="left"/>
      </w:pPr>
      <w:r>
        <w:br w:type="page"/>
      </w:r>
    </w:p>
    <w:p w14:paraId="42ADC271" w14:textId="77777777" w:rsidR="00206994" w:rsidRDefault="00206994" w:rsidP="00AF3D6B"/>
    <w:p w14:paraId="75177451" w14:textId="16DC2B9E" w:rsidR="00AF3D6B" w:rsidRDefault="00AF3D6B" w:rsidP="00A13E81">
      <w:pPr>
        <w:pStyle w:val="Titre2"/>
      </w:pPr>
      <w:bookmarkStart w:id="104" w:name="_Toc218852838"/>
      <w:r w:rsidRPr="00E85B0B">
        <w:t xml:space="preserve">Exigences </w:t>
      </w:r>
      <w:r w:rsidR="00687265">
        <w:t xml:space="preserve">globales </w:t>
      </w:r>
      <w:r w:rsidRPr="00E85B0B">
        <w:t>de développement</w:t>
      </w:r>
      <w:bookmarkEnd w:id="104"/>
    </w:p>
    <w:p w14:paraId="1FD642D6" w14:textId="77777777" w:rsidR="00AF3D6B" w:rsidRPr="00A13E81" w:rsidRDefault="00AF3D6B" w:rsidP="00AF3D6B">
      <w:pPr>
        <w:rPr>
          <w:rFonts w:cs="Arial"/>
        </w:rPr>
      </w:pPr>
    </w:p>
    <w:p w14:paraId="417948D8" w14:textId="77777777" w:rsidR="00206994" w:rsidRPr="00A13E81" w:rsidRDefault="00206994" w:rsidP="00206994">
      <w:pPr>
        <w:rPr>
          <w:rFonts w:cs="Arial"/>
        </w:rPr>
      </w:pPr>
      <w:r w:rsidRPr="00A13E81">
        <w:rPr>
          <w:rFonts w:cs="Arial"/>
        </w:rPr>
        <w:t xml:space="preserve">Les exigences de développement visent à préciser les technologies, frameworks, outils et standards, afin de garantir la réversibilité, la cohérence, la maintenabilité et la performance de l’ensemble des composants logiciels. </w:t>
      </w:r>
    </w:p>
    <w:p w14:paraId="14EA76BE" w14:textId="77777777" w:rsidR="00206994" w:rsidRPr="00A13E81" w:rsidRDefault="00206994" w:rsidP="00206994">
      <w:pPr>
        <w:rPr>
          <w:rFonts w:cs="Arial"/>
        </w:rPr>
      </w:pPr>
    </w:p>
    <w:p w14:paraId="52AA77DF" w14:textId="3C9400AB" w:rsidR="00206994" w:rsidRPr="00A13E81" w:rsidRDefault="00206994" w:rsidP="00206994">
      <w:pPr>
        <w:rPr>
          <w:rFonts w:cs="Arial"/>
        </w:rPr>
      </w:pPr>
      <w:r w:rsidRPr="00A13E81">
        <w:rPr>
          <w:rFonts w:cs="Arial"/>
        </w:rPr>
        <w:t>L’objectif de la commission est de garantir :</w:t>
      </w:r>
    </w:p>
    <w:p w14:paraId="70C58CE3" w14:textId="6A3CF109" w:rsidR="00206994" w:rsidRPr="00A13E81" w:rsidRDefault="00206994" w:rsidP="00206994">
      <w:pPr>
        <w:pStyle w:val="Paragraphedeliste"/>
        <w:numPr>
          <w:ilvl w:val="0"/>
          <w:numId w:val="55"/>
        </w:numPr>
        <w:rPr>
          <w:rFonts w:cs="Arial"/>
        </w:rPr>
      </w:pPr>
      <w:r w:rsidRPr="00A13E81">
        <w:rPr>
          <w:rFonts w:cs="Arial"/>
        </w:rPr>
        <w:t>sa maîtrise totale du code source ;</w:t>
      </w:r>
    </w:p>
    <w:p w14:paraId="65BAC95D" w14:textId="77777777" w:rsidR="00206994" w:rsidRPr="00A13E81" w:rsidRDefault="00206994" w:rsidP="00206994">
      <w:pPr>
        <w:pStyle w:val="Paragraphedeliste"/>
        <w:numPr>
          <w:ilvl w:val="0"/>
          <w:numId w:val="55"/>
        </w:numPr>
        <w:rPr>
          <w:rFonts w:cs="Arial"/>
        </w:rPr>
      </w:pPr>
      <w:r w:rsidRPr="00A13E81">
        <w:rPr>
          <w:rFonts w:cs="Arial"/>
        </w:rPr>
        <w:t>la conformité aux standards techniques et de sécurité ;</w:t>
      </w:r>
    </w:p>
    <w:p w14:paraId="49CBDA03" w14:textId="77777777" w:rsidR="00206994" w:rsidRPr="00A13E81" w:rsidRDefault="00206994" w:rsidP="00206994">
      <w:pPr>
        <w:pStyle w:val="Paragraphedeliste"/>
        <w:numPr>
          <w:ilvl w:val="0"/>
          <w:numId w:val="55"/>
        </w:numPr>
        <w:rPr>
          <w:rFonts w:cs="Arial"/>
        </w:rPr>
      </w:pPr>
      <w:r w:rsidRPr="00A13E81">
        <w:rPr>
          <w:rFonts w:cs="Arial"/>
        </w:rPr>
        <w:t>une qualité logicielle irréprochable ;</w:t>
      </w:r>
    </w:p>
    <w:p w14:paraId="2C778E24" w14:textId="77777777" w:rsidR="00206994" w:rsidRPr="00A13E81" w:rsidRDefault="00206994" w:rsidP="00206994">
      <w:pPr>
        <w:pStyle w:val="Paragraphedeliste"/>
        <w:numPr>
          <w:ilvl w:val="0"/>
          <w:numId w:val="55"/>
        </w:numPr>
        <w:rPr>
          <w:rFonts w:cs="Arial"/>
        </w:rPr>
      </w:pPr>
      <w:r w:rsidRPr="00A13E81">
        <w:rPr>
          <w:rFonts w:cs="Arial"/>
        </w:rPr>
        <w:t>une transparence complète sur le cycle de développement ;</w:t>
      </w:r>
    </w:p>
    <w:p w14:paraId="0194C7E2" w14:textId="77777777" w:rsidR="00206994" w:rsidRPr="00A13E81" w:rsidRDefault="00206994" w:rsidP="00206994">
      <w:pPr>
        <w:pStyle w:val="Paragraphedeliste"/>
        <w:numPr>
          <w:ilvl w:val="0"/>
          <w:numId w:val="55"/>
        </w:numPr>
        <w:rPr>
          <w:rFonts w:cs="Arial"/>
        </w:rPr>
      </w:pPr>
      <w:r w:rsidRPr="00A13E81">
        <w:rPr>
          <w:rFonts w:cs="Arial"/>
        </w:rPr>
        <w:t>une maintenance long terme facilitée ;</w:t>
      </w:r>
    </w:p>
    <w:p w14:paraId="43C4E38C" w14:textId="77777777" w:rsidR="00206994" w:rsidRPr="00A13E81" w:rsidRDefault="00206994" w:rsidP="00206994">
      <w:pPr>
        <w:pStyle w:val="Paragraphedeliste"/>
        <w:numPr>
          <w:ilvl w:val="0"/>
          <w:numId w:val="55"/>
        </w:numPr>
        <w:rPr>
          <w:rFonts w:cs="Arial"/>
        </w:rPr>
      </w:pPr>
      <w:r w:rsidRPr="00A13E81">
        <w:rPr>
          <w:rFonts w:cs="Arial"/>
        </w:rPr>
        <w:t>la réduction maximale des risques techniques et opérationnels.</w:t>
      </w:r>
    </w:p>
    <w:p w14:paraId="735A3F69" w14:textId="77777777" w:rsidR="00206994" w:rsidRPr="00A13E81" w:rsidRDefault="00206994" w:rsidP="00206994">
      <w:pPr>
        <w:rPr>
          <w:rFonts w:cs="Arial"/>
        </w:rPr>
      </w:pPr>
    </w:p>
    <w:p w14:paraId="683F845F" w14:textId="118B38A3" w:rsidR="00206994" w:rsidRPr="00A13E81" w:rsidRDefault="00DD531F" w:rsidP="00206994">
      <w:pPr>
        <w:rPr>
          <w:rFonts w:cs="Arial"/>
        </w:rPr>
      </w:pPr>
      <w:r>
        <w:rPr>
          <w:rFonts w:cs="Arial"/>
        </w:rPr>
        <w:t>L</w:t>
      </w:r>
      <w:r w:rsidR="00206994" w:rsidRPr="00A13E81">
        <w:rPr>
          <w:rFonts w:cs="Arial"/>
        </w:rPr>
        <w:t xml:space="preserve">e cadre de développement </w:t>
      </w:r>
      <w:r>
        <w:rPr>
          <w:rFonts w:cs="Arial"/>
        </w:rPr>
        <w:t xml:space="preserve">qui sera précisément décrit dans le CCTP </w:t>
      </w:r>
      <w:r w:rsidR="00206994" w:rsidRPr="00A13E81">
        <w:rPr>
          <w:rFonts w:cs="Arial"/>
        </w:rPr>
        <w:t>doit servir de référence pour toutes les livraisons, décisions et validations liées au projet.</w:t>
      </w:r>
      <w:r w:rsidR="00F409E4">
        <w:rPr>
          <w:rFonts w:cs="Arial"/>
        </w:rPr>
        <w:t xml:space="preserve"> </w:t>
      </w:r>
      <w:r w:rsidR="00F409E4" w:rsidRPr="00A13E81">
        <w:rPr>
          <w:rFonts w:cs="Arial"/>
          <w:b/>
        </w:rPr>
        <w:t xml:space="preserve">Une méthode d’itération spécifique </w:t>
      </w:r>
      <w:r w:rsidR="00687265" w:rsidRPr="00A13E81">
        <w:rPr>
          <w:rFonts w:cs="Arial"/>
          <w:b/>
        </w:rPr>
        <w:t xml:space="preserve">permettant de sécuriser et garantir le respect du calendrier et des objectifs </w:t>
      </w:r>
      <w:r w:rsidR="00F409E4" w:rsidRPr="00A13E81">
        <w:rPr>
          <w:rFonts w:cs="Arial"/>
          <w:b/>
        </w:rPr>
        <w:t>devra être défin</w:t>
      </w:r>
      <w:r w:rsidR="00687265" w:rsidRPr="00A13E81">
        <w:rPr>
          <w:rFonts w:cs="Arial"/>
          <w:b/>
        </w:rPr>
        <w:t xml:space="preserve">ie </w:t>
      </w:r>
      <w:r w:rsidR="00597AA9">
        <w:rPr>
          <w:rFonts w:cs="Arial"/>
          <w:b/>
        </w:rPr>
        <w:t xml:space="preserve">conjointement par la CNCCFP et </w:t>
      </w:r>
      <w:r w:rsidR="00687265" w:rsidRPr="00A13E81">
        <w:rPr>
          <w:rFonts w:cs="Arial"/>
          <w:b/>
        </w:rPr>
        <w:t>le titulaire</w:t>
      </w:r>
      <w:r w:rsidR="00597AA9">
        <w:rPr>
          <w:rFonts w:cs="Arial"/>
          <w:b/>
        </w:rPr>
        <w:t>, elle sera spécifiquement définie</w:t>
      </w:r>
      <w:r w:rsidR="00687265" w:rsidRPr="00A13E81">
        <w:rPr>
          <w:rFonts w:cs="Arial"/>
          <w:b/>
        </w:rPr>
        <w:t xml:space="preserve"> pour les deux premiers paliers de développement.</w:t>
      </w:r>
    </w:p>
    <w:p w14:paraId="35AA8B63" w14:textId="57BA14CB" w:rsidR="00F409E4" w:rsidRPr="00A13E81" w:rsidRDefault="00F409E4" w:rsidP="00F409E4">
      <w:pPr>
        <w:rPr>
          <w:rFonts w:cs="Arial"/>
          <w:bCs/>
        </w:rPr>
      </w:pPr>
    </w:p>
    <w:p w14:paraId="6AB23459" w14:textId="0F649DB5" w:rsidR="00F409E4" w:rsidRPr="00A13E81" w:rsidRDefault="00F409E4" w:rsidP="00A13E81">
      <w:pPr>
        <w:pStyle w:val="Titre3"/>
      </w:pPr>
      <w:bookmarkStart w:id="105" w:name="_Toc218852839"/>
      <w:r w:rsidRPr="00A13E81">
        <w:t>Architecture de l’application</w:t>
      </w:r>
      <w:bookmarkEnd w:id="105"/>
    </w:p>
    <w:p w14:paraId="518F1CF0" w14:textId="77777777" w:rsidR="00F409E4" w:rsidRPr="00A13E81" w:rsidRDefault="00F409E4" w:rsidP="00F409E4">
      <w:pPr>
        <w:rPr>
          <w:rFonts w:cs="Arial"/>
          <w:bCs/>
        </w:rPr>
      </w:pPr>
    </w:p>
    <w:p w14:paraId="0D5B87DC" w14:textId="5CD2322C" w:rsidR="00C60F1A" w:rsidRDefault="00C60F1A" w:rsidP="00F409E4">
      <w:pPr>
        <w:rPr>
          <w:rFonts w:cs="Arial"/>
          <w:bCs/>
        </w:rPr>
      </w:pPr>
      <w:r>
        <w:rPr>
          <w:rFonts w:cs="Arial"/>
          <w:bCs/>
        </w:rPr>
        <w:t>L’application devra être découpée à minima en 3 blo</w:t>
      </w:r>
      <w:r w:rsidR="005D684E">
        <w:rPr>
          <w:rFonts w:cs="Arial"/>
          <w:bCs/>
        </w:rPr>
        <w:t>c</w:t>
      </w:r>
      <w:r>
        <w:rPr>
          <w:rFonts w:cs="Arial"/>
          <w:bCs/>
        </w:rPr>
        <w:t>s majeurs :</w:t>
      </w:r>
    </w:p>
    <w:p w14:paraId="76587698" w14:textId="07C24066" w:rsidR="00C60F1A" w:rsidRPr="006218F6" w:rsidRDefault="00C60F1A" w:rsidP="001D4AA8">
      <w:pPr>
        <w:pStyle w:val="Paragraphedeliste"/>
        <w:numPr>
          <w:ilvl w:val="0"/>
          <w:numId w:val="59"/>
        </w:numPr>
        <w:rPr>
          <w:rFonts w:cs="Arial"/>
          <w:bCs/>
        </w:rPr>
      </w:pPr>
      <w:r w:rsidRPr="006218F6">
        <w:rPr>
          <w:rFonts w:cs="Arial"/>
          <w:bCs/>
        </w:rPr>
        <w:t>Le FrontOffice </w:t>
      </w:r>
      <w:r w:rsidR="006218F6" w:rsidRPr="006218F6">
        <w:rPr>
          <w:rFonts w:cs="Arial"/>
          <w:bCs/>
        </w:rPr>
        <w:t xml:space="preserve">qui </w:t>
      </w:r>
      <w:r w:rsidR="005D684E">
        <w:rPr>
          <w:rFonts w:cs="Arial"/>
          <w:bCs/>
        </w:rPr>
        <w:t>est</w:t>
      </w:r>
      <w:r w:rsidR="006218F6" w:rsidRPr="006218F6">
        <w:rPr>
          <w:rFonts w:cs="Arial"/>
          <w:bCs/>
        </w:rPr>
        <w:t xml:space="preserve"> le</w:t>
      </w:r>
      <w:r w:rsidRPr="006218F6">
        <w:rPr>
          <w:rFonts w:cs="Arial"/>
          <w:bCs/>
        </w:rPr>
        <w:t xml:space="preserve"> portail </w:t>
      </w:r>
      <w:r w:rsidR="006218F6" w:rsidRPr="006218F6">
        <w:rPr>
          <w:rFonts w:cs="Arial"/>
          <w:bCs/>
        </w:rPr>
        <w:t xml:space="preserve">internet </w:t>
      </w:r>
      <w:r w:rsidRPr="006218F6">
        <w:rPr>
          <w:rFonts w:cs="Arial"/>
          <w:bCs/>
        </w:rPr>
        <w:t>des déposants</w:t>
      </w:r>
      <w:r w:rsidR="006218F6">
        <w:rPr>
          <w:rFonts w:cs="Arial"/>
          <w:bCs/>
        </w:rPr>
        <w:t xml:space="preserve"> et qui sera</w:t>
      </w:r>
      <w:r w:rsidR="006218F6" w:rsidRPr="006218F6">
        <w:rPr>
          <w:rFonts w:cs="Arial"/>
          <w:bCs/>
        </w:rPr>
        <w:t xml:space="preserve"> soumis à de fortes contraintes de scalabilité, </w:t>
      </w:r>
      <w:r w:rsidR="00432187">
        <w:rPr>
          <w:rFonts w:cs="Arial"/>
          <w:bCs/>
        </w:rPr>
        <w:t xml:space="preserve">de disponibilité, </w:t>
      </w:r>
      <w:r w:rsidR="006218F6" w:rsidRPr="006218F6">
        <w:rPr>
          <w:rFonts w:cs="Arial"/>
          <w:bCs/>
        </w:rPr>
        <w:t>de performance et d’ergon</w:t>
      </w:r>
      <w:r w:rsidR="006218F6" w:rsidRPr="005D684E">
        <w:rPr>
          <w:rFonts w:cs="Arial"/>
          <w:bCs/>
        </w:rPr>
        <w:t>omie</w:t>
      </w:r>
      <w:r w:rsidR="00432187">
        <w:rPr>
          <w:rFonts w:cs="Arial"/>
          <w:bCs/>
        </w:rPr>
        <w:t>. Les usagers devront pouvoir déposer leurs éléments de manière simple, intuitive et à tout moment</w:t>
      </w:r>
      <w:r w:rsidR="006218F6">
        <w:rPr>
          <w:rFonts w:cs="Arial"/>
          <w:bCs/>
        </w:rPr>
        <w:t> </w:t>
      </w:r>
      <w:r w:rsidR="00432187">
        <w:rPr>
          <w:rFonts w:cs="Arial"/>
          <w:bCs/>
        </w:rPr>
        <w:t xml:space="preserve">en ayant une parfaite visibilité de l’état d’avancement de leurs dépôts </w:t>
      </w:r>
      <w:r w:rsidR="006218F6">
        <w:rPr>
          <w:rFonts w:cs="Arial"/>
          <w:bCs/>
        </w:rPr>
        <w:t>;</w:t>
      </w:r>
    </w:p>
    <w:p w14:paraId="70E8AB32" w14:textId="6C72A7FB" w:rsidR="006218F6" w:rsidRPr="006218F6" w:rsidRDefault="006218F6" w:rsidP="001D4AA8">
      <w:pPr>
        <w:pStyle w:val="Paragraphedeliste"/>
        <w:numPr>
          <w:ilvl w:val="0"/>
          <w:numId w:val="59"/>
        </w:numPr>
        <w:rPr>
          <w:rFonts w:cs="Arial"/>
          <w:bCs/>
        </w:rPr>
      </w:pPr>
      <w:r w:rsidRPr="003D1791">
        <w:rPr>
          <w:rFonts w:cs="Arial"/>
          <w:bCs/>
        </w:rPr>
        <w:t xml:space="preserve">Le MiddleOffice qui constitue l’application </w:t>
      </w:r>
      <w:r>
        <w:rPr>
          <w:rFonts w:cs="Arial"/>
          <w:bCs/>
        </w:rPr>
        <w:t xml:space="preserve">métier dédiée aux agents et collaborateurs de la Commission afin de réaliser leurs missions </w:t>
      </w:r>
      <w:r w:rsidRPr="006218F6">
        <w:rPr>
          <w:rFonts w:cs="Arial"/>
          <w:bCs/>
        </w:rPr>
        <w:t>d’instruction, de contrôle, de décision et de publication des comptes et décisions</w:t>
      </w:r>
      <w:r w:rsidR="00E60820">
        <w:rPr>
          <w:rFonts w:cs="Arial"/>
          <w:bCs/>
        </w:rPr>
        <w:t xml:space="preserve">. Les </w:t>
      </w:r>
      <w:r w:rsidR="00432187">
        <w:rPr>
          <w:rFonts w:cs="Arial"/>
          <w:bCs/>
        </w:rPr>
        <w:t>principales attentes sur ce bloc sont relatives à l’assistance et à l’automatisation forte des processus de contrôle et d’édition des procédures contradictoires, des projets de décision et des décisions</w:t>
      </w:r>
      <w:r>
        <w:rPr>
          <w:rFonts w:cs="Arial"/>
          <w:bCs/>
        </w:rPr>
        <w:t> ;</w:t>
      </w:r>
    </w:p>
    <w:p w14:paraId="7D74390E" w14:textId="343BD07E" w:rsidR="006218F6" w:rsidRPr="006218F6" w:rsidRDefault="006218F6" w:rsidP="001D4AA8">
      <w:pPr>
        <w:pStyle w:val="Paragraphedeliste"/>
        <w:numPr>
          <w:ilvl w:val="0"/>
          <w:numId w:val="59"/>
        </w:numPr>
        <w:rPr>
          <w:rFonts w:cs="Arial"/>
          <w:bCs/>
        </w:rPr>
      </w:pPr>
      <w:r w:rsidRPr="006218F6">
        <w:rPr>
          <w:rFonts w:cs="Arial"/>
          <w:bCs/>
        </w:rPr>
        <w:t xml:space="preserve">Le BackOffice qui </w:t>
      </w:r>
      <w:r>
        <w:rPr>
          <w:rFonts w:cs="Arial"/>
          <w:bCs/>
        </w:rPr>
        <w:t>permettra l’administration</w:t>
      </w:r>
      <w:r w:rsidR="005D684E">
        <w:rPr>
          <w:rFonts w:cs="Arial"/>
          <w:bCs/>
        </w:rPr>
        <w:t>, la supervision</w:t>
      </w:r>
      <w:r>
        <w:rPr>
          <w:rFonts w:cs="Arial"/>
          <w:bCs/>
        </w:rPr>
        <w:t xml:space="preserve"> et le paramétrage technique et fonctionnelle globale de l’application et</w:t>
      </w:r>
      <w:r w:rsidR="005D684E">
        <w:rPr>
          <w:rFonts w:cs="Arial"/>
          <w:bCs/>
        </w:rPr>
        <w:t xml:space="preserve"> de ses composants tiers intégrés à la solution comme par exemple des modules d’IAM, de GED, d’Océrisation, de LAD/RAD, d’éditique, de signature électronique, etc…</w:t>
      </w:r>
    </w:p>
    <w:p w14:paraId="7FBA121B" w14:textId="77777777" w:rsidR="006218F6" w:rsidRDefault="006218F6" w:rsidP="00F409E4">
      <w:pPr>
        <w:rPr>
          <w:rFonts w:cs="Arial"/>
          <w:bCs/>
        </w:rPr>
      </w:pPr>
    </w:p>
    <w:p w14:paraId="7A55FE86" w14:textId="4CBF794C" w:rsidR="00F409E4" w:rsidRPr="00A13E81" w:rsidRDefault="005D684E" w:rsidP="00F409E4">
      <w:pPr>
        <w:rPr>
          <w:rFonts w:cs="Arial"/>
          <w:bCs/>
        </w:rPr>
      </w:pPr>
      <w:r>
        <w:rPr>
          <w:rFonts w:cs="Arial"/>
          <w:bCs/>
        </w:rPr>
        <w:t>Chacun de ces blocs de l</w:t>
      </w:r>
      <w:r w:rsidR="00F409E4" w:rsidRPr="00A13E81">
        <w:rPr>
          <w:rFonts w:cs="Arial"/>
          <w:bCs/>
        </w:rPr>
        <w:t>’application doit être conçue selon une architecture en micro</w:t>
      </w:r>
      <w:r w:rsidR="00F409E4" w:rsidRPr="00A13E81">
        <w:rPr>
          <w:rFonts w:ascii="Cambria Math" w:hAnsi="Cambria Math" w:cs="Cambria Math"/>
          <w:bCs/>
        </w:rPr>
        <w:t>‑</w:t>
      </w:r>
      <w:r w:rsidR="00F409E4" w:rsidRPr="00A13E81">
        <w:rPr>
          <w:rFonts w:cs="Arial"/>
          <w:bCs/>
        </w:rPr>
        <w:t>services, que ce soit pour le front, le middle ou le back</w:t>
      </w:r>
      <w:r w:rsidR="00F409E4" w:rsidRPr="00A13E81">
        <w:rPr>
          <w:rFonts w:ascii="Cambria Math" w:hAnsi="Cambria Math" w:cs="Cambria Math"/>
          <w:bCs/>
        </w:rPr>
        <w:t>‑</w:t>
      </w:r>
      <w:r w:rsidR="00F409E4" w:rsidRPr="00A13E81">
        <w:rPr>
          <w:rFonts w:cs="Arial"/>
          <w:bCs/>
        </w:rPr>
        <w:t>office. Chaque micro</w:t>
      </w:r>
      <w:r w:rsidR="00F409E4" w:rsidRPr="00A13E81">
        <w:rPr>
          <w:rFonts w:ascii="Cambria Math" w:hAnsi="Cambria Math" w:cs="Cambria Math"/>
          <w:bCs/>
        </w:rPr>
        <w:t>‑</w:t>
      </w:r>
      <w:r w:rsidR="00F409E4" w:rsidRPr="00A13E81">
        <w:rPr>
          <w:rFonts w:cs="Arial"/>
          <w:bCs/>
        </w:rPr>
        <w:t xml:space="preserve">service correspond à une unité autonome, faiblement couplée, dédiée à </w:t>
      </w:r>
      <w:r w:rsidR="0049630C">
        <w:rPr>
          <w:rFonts w:cs="Arial"/>
          <w:bCs/>
        </w:rPr>
        <w:t>un bloc fonctionnel</w:t>
      </w:r>
      <w:r w:rsidR="00F409E4" w:rsidRPr="00A13E81">
        <w:rPr>
          <w:rFonts w:cs="Arial"/>
          <w:bCs/>
        </w:rPr>
        <w:t xml:space="preserve"> métier, pouvant être développée, déployée, montée en charge et maintenue indépendamment des autres. Les micro</w:t>
      </w:r>
      <w:r w:rsidR="00F409E4" w:rsidRPr="00A13E81">
        <w:rPr>
          <w:rFonts w:ascii="Cambria Math" w:hAnsi="Cambria Math" w:cs="Cambria Math"/>
          <w:bCs/>
        </w:rPr>
        <w:t>‑</w:t>
      </w:r>
      <w:r w:rsidR="00F409E4" w:rsidRPr="00A13E81">
        <w:rPr>
          <w:rFonts w:cs="Arial"/>
          <w:bCs/>
        </w:rPr>
        <w:t>services sont conteneurisés et communiquent entre eux via des API légères de type REST, sur le protocole HTTP, avec des échanges au format JSON.</w:t>
      </w:r>
    </w:p>
    <w:p w14:paraId="501244A1" w14:textId="77777777" w:rsidR="00F409E4" w:rsidRPr="00A13E81" w:rsidRDefault="00F409E4" w:rsidP="00F409E4">
      <w:pPr>
        <w:rPr>
          <w:rFonts w:cs="Arial"/>
          <w:bCs/>
        </w:rPr>
      </w:pPr>
    </w:p>
    <w:p w14:paraId="060D8715" w14:textId="77777777" w:rsidR="00E60820" w:rsidRDefault="00F409E4" w:rsidP="00F409E4">
      <w:pPr>
        <w:rPr>
          <w:rFonts w:cs="Arial"/>
          <w:bCs/>
        </w:rPr>
      </w:pPr>
      <w:r w:rsidRPr="00A13E81">
        <w:rPr>
          <w:rFonts w:cs="Arial"/>
          <w:bCs/>
        </w:rPr>
        <w:t>Un micro</w:t>
      </w:r>
      <w:r w:rsidRPr="00A13E81">
        <w:rPr>
          <w:rFonts w:ascii="Cambria Math" w:hAnsi="Cambria Math" w:cs="Cambria Math"/>
          <w:bCs/>
        </w:rPr>
        <w:t>‑</w:t>
      </w:r>
      <w:r w:rsidRPr="00A13E81">
        <w:rPr>
          <w:rFonts w:cs="Arial"/>
          <w:bCs/>
        </w:rPr>
        <w:t xml:space="preserve">service </w:t>
      </w:r>
      <w:r w:rsidR="00D7296D">
        <w:rPr>
          <w:rFonts w:cs="Arial"/>
          <w:bCs/>
        </w:rPr>
        <w:t xml:space="preserve">s’articule autour d’un ou plusieurs </w:t>
      </w:r>
      <w:r w:rsidRPr="00A13E81">
        <w:rPr>
          <w:rFonts w:cs="Arial"/>
          <w:bCs/>
        </w:rPr>
        <w:t xml:space="preserve">: frontend, backend, bases de données et </w:t>
      </w:r>
      <w:r w:rsidR="00D7296D">
        <w:rPr>
          <w:rFonts w:cs="Arial"/>
          <w:bCs/>
        </w:rPr>
        <w:t>stateful filesystems (non conteneurisés)</w:t>
      </w:r>
      <w:r w:rsidR="00E60820">
        <w:rPr>
          <w:rFonts w:cs="Arial"/>
          <w:bCs/>
        </w:rPr>
        <w:t> :</w:t>
      </w:r>
    </w:p>
    <w:p w14:paraId="765FB397" w14:textId="7351842D" w:rsidR="00E60820" w:rsidRDefault="00F409E4" w:rsidP="00E60820">
      <w:pPr>
        <w:pStyle w:val="Paragraphedeliste"/>
        <w:numPr>
          <w:ilvl w:val="0"/>
          <w:numId w:val="60"/>
        </w:numPr>
        <w:rPr>
          <w:rFonts w:cs="Arial"/>
          <w:bCs/>
        </w:rPr>
      </w:pPr>
      <w:r w:rsidRPr="001D4AA8">
        <w:rPr>
          <w:rFonts w:cs="Arial"/>
          <w:bCs/>
        </w:rPr>
        <w:t xml:space="preserve">Le frontend correspond à l’interface graphique, développée avec </w:t>
      </w:r>
      <w:r w:rsidR="00827280" w:rsidRPr="001D4AA8">
        <w:rPr>
          <w:rFonts w:cs="Arial"/>
          <w:bCs/>
        </w:rPr>
        <w:t xml:space="preserve">des technologies de type </w:t>
      </w:r>
      <w:r w:rsidRPr="001D4AA8">
        <w:rPr>
          <w:rFonts w:cs="Arial"/>
          <w:bCs/>
        </w:rPr>
        <w:t xml:space="preserve">Vue.js, qui expose les fonctionnalités aux utilisateurs mais ne dialogue </w:t>
      </w:r>
      <w:r w:rsidR="00D7296D" w:rsidRPr="001D4AA8">
        <w:rPr>
          <w:rFonts w:cs="Arial"/>
          <w:bCs/>
        </w:rPr>
        <w:t xml:space="preserve">pas </w:t>
      </w:r>
      <w:r w:rsidRPr="001D4AA8">
        <w:rPr>
          <w:rFonts w:cs="Arial"/>
          <w:bCs/>
        </w:rPr>
        <w:t xml:space="preserve">directement avec les bases de données ou les filesystems. </w:t>
      </w:r>
    </w:p>
    <w:p w14:paraId="7472B6EC" w14:textId="7379DD4E" w:rsidR="00E60820" w:rsidRDefault="00F409E4" w:rsidP="00E60820">
      <w:pPr>
        <w:pStyle w:val="Paragraphedeliste"/>
        <w:numPr>
          <w:ilvl w:val="0"/>
          <w:numId w:val="60"/>
        </w:numPr>
        <w:rPr>
          <w:rFonts w:cs="Arial"/>
          <w:bCs/>
        </w:rPr>
      </w:pPr>
      <w:r w:rsidRPr="00E60820">
        <w:rPr>
          <w:rFonts w:cs="Arial"/>
          <w:bCs/>
        </w:rPr>
        <w:t xml:space="preserve">Le backend </w:t>
      </w:r>
      <w:r w:rsidR="00D7296D" w:rsidRPr="00E60820">
        <w:rPr>
          <w:rFonts w:cs="Arial"/>
          <w:bCs/>
        </w:rPr>
        <w:t xml:space="preserve">est le moteur de traitement des informations et données permettant d’exécuter actions et requêtes déclenchées au niveau du frontend. </w:t>
      </w:r>
      <w:r w:rsidR="00D7296D" w:rsidRPr="001D4AA8">
        <w:rPr>
          <w:rFonts w:cs="Arial"/>
          <w:bCs/>
        </w:rPr>
        <w:t>Le backend</w:t>
      </w:r>
      <w:r w:rsidRPr="001D4AA8">
        <w:rPr>
          <w:rFonts w:cs="Arial"/>
          <w:bCs/>
        </w:rPr>
        <w:t xml:space="preserve"> ne fournit pas d’interface graphique, mais expose des méthodes accessibles via des API RESTful. </w:t>
      </w:r>
    </w:p>
    <w:p w14:paraId="107E54CE" w14:textId="77777777" w:rsidR="00E60820" w:rsidRDefault="00F409E4" w:rsidP="00E60820">
      <w:pPr>
        <w:pStyle w:val="Paragraphedeliste"/>
        <w:numPr>
          <w:ilvl w:val="0"/>
          <w:numId w:val="60"/>
        </w:numPr>
        <w:rPr>
          <w:rFonts w:cs="Arial"/>
          <w:bCs/>
        </w:rPr>
      </w:pPr>
      <w:r w:rsidRPr="00E60820">
        <w:rPr>
          <w:rFonts w:cs="Arial"/>
          <w:bCs/>
        </w:rPr>
        <w:t>Les bases de données assurent le stockage structuré, l’intégrité et le modèle relationnel, tandis que les stateful filesystems non conteneurisés portent le stockage persistant des dossiers, sous</w:t>
      </w:r>
      <w:r w:rsidRPr="003D1791">
        <w:rPr>
          <w:rFonts w:ascii="Cambria Math" w:hAnsi="Cambria Math" w:cs="Cambria Math"/>
          <w:bCs/>
        </w:rPr>
        <w:t>‑</w:t>
      </w:r>
      <w:r w:rsidRPr="003D1791">
        <w:rPr>
          <w:rFonts w:cs="Arial"/>
          <w:bCs/>
        </w:rPr>
        <w:t xml:space="preserve">dossiers et fichiers sur l’infrastructure CloudPi Native. </w:t>
      </w:r>
    </w:p>
    <w:p w14:paraId="062D60B1" w14:textId="77777777" w:rsidR="00E60820" w:rsidRDefault="00E60820" w:rsidP="00E60820">
      <w:pPr>
        <w:rPr>
          <w:rFonts w:cs="Arial"/>
          <w:b/>
          <w:bCs/>
        </w:rPr>
      </w:pPr>
    </w:p>
    <w:p w14:paraId="67DFA855" w14:textId="358D56A8" w:rsidR="00F409E4" w:rsidRDefault="00F409E4" w:rsidP="00E60820">
      <w:pPr>
        <w:rPr>
          <w:rFonts w:cs="Arial"/>
          <w:b/>
          <w:bCs/>
        </w:rPr>
      </w:pPr>
      <w:r w:rsidRPr="001D4AA8">
        <w:rPr>
          <w:rFonts w:cs="Arial"/>
          <w:b/>
          <w:bCs/>
        </w:rPr>
        <w:t>Le prestataire doit respecter cette architecture dans tous ses développements.</w:t>
      </w:r>
    </w:p>
    <w:p w14:paraId="0A424519" w14:textId="2B61904C" w:rsidR="00E60820" w:rsidRDefault="00E60820" w:rsidP="00E60820">
      <w:pPr>
        <w:rPr>
          <w:rFonts w:cs="Arial"/>
          <w:b/>
          <w:bCs/>
        </w:rPr>
      </w:pPr>
    </w:p>
    <w:p w14:paraId="09343F75" w14:textId="6BE7999D" w:rsidR="00ED2EF6" w:rsidRDefault="00432187" w:rsidP="00E60820">
      <w:pPr>
        <w:rPr>
          <w:rFonts w:cs="Arial"/>
          <w:bCs/>
        </w:rPr>
      </w:pPr>
      <w:r>
        <w:rPr>
          <w:rFonts w:cs="Arial"/>
          <w:bCs/>
        </w:rPr>
        <w:t>La Commission réalisant une partie de ses applications</w:t>
      </w:r>
      <w:r w:rsidR="006C7FE7">
        <w:rPr>
          <w:rFonts w:cs="Arial"/>
          <w:bCs/>
        </w:rPr>
        <w:t xml:space="preserve"> métier</w:t>
      </w:r>
      <w:r w:rsidR="00B9234E">
        <w:rPr>
          <w:rFonts w:cs="Arial"/>
          <w:bCs/>
        </w:rPr>
        <w:t xml:space="preserve"> en</w:t>
      </w:r>
      <w:r>
        <w:rPr>
          <w:rFonts w:cs="Arial"/>
          <w:bCs/>
        </w:rPr>
        <w:t xml:space="preserve"> interne, elle a fait </w:t>
      </w:r>
      <w:r w:rsidR="00B9234E">
        <w:rPr>
          <w:rFonts w:cs="Arial"/>
          <w:bCs/>
        </w:rPr>
        <w:t>des</w:t>
      </w:r>
      <w:r>
        <w:rPr>
          <w:rFonts w:cs="Arial"/>
          <w:bCs/>
        </w:rPr>
        <w:t xml:space="preserve"> choix technologiques </w:t>
      </w:r>
      <w:r w:rsidR="00B9234E">
        <w:rPr>
          <w:rFonts w:cs="Arial"/>
          <w:bCs/>
        </w:rPr>
        <w:t>sur sa stack de développement</w:t>
      </w:r>
      <w:r w:rsidR="00ED2EF6">
        <w:rPr>
          <w:rFonts w:cs="Arial"/>
          <w:bCs/>
        </w:rPr>
        <w:t xml:space="preserve"> principalement basée autour de Vue.js et de PHP</w:t>
      </w:r>
      <w:r w:rsidR="00A247AF">
        <w:rPr>
          <w:rFonts w:cs="Arial"/>
          <w:bCs/>
        </w:rPr>
        <w:t xml:space="preserve"> Laravel. Cette stack de développement </w:t>
      </w:r>
      <w:r w:rsidR="00ED2EF6">
        <w:rPr>
          <w:rFonts w:cs="Arial"/>
          <w:bCs/>
        </w:rPr>
        <w:t>est</w:t>
      </w:r>
      <w:r w:rsidR="00A247AF">
        <w:rPr>
          <w:rFonts w:cs="Arial"/>
          <w:bCs/>
        </w:rPr>
        <w:t xml:space="preserve"> aujourd’hui</w:t>
      </w:r>
      <w:r w:rsidR="00B9234E">
        <w:rPr>
          <w:rFonts w:cs="Arial"/>
          <w:bCs/>
        </w:rPr>
        <w:t xml:space="preserve"> parfaitement maitrisé</w:t>
      </w:r>
      <w:r w:rsidR="00ED2EF6">
        <w:rPr>
          <w:rFonts w:cs="Arial"/>
          <w:bCs/>
        </w:rPr>
        <w:t>e</w:t>
      </w:r>
      <w:r w:rsidR="00B9234E">
        <w:rPr>
          <w:rFonts w:cs="Arial"/>
          <w:bCs/>
        </w:rPr>
        <w:t xml:space="preserve"> par ses équipes de développeurs et de chefs de projets. L’utilisation </w:t>
      </w:r>
      <w:r w:rsidR="001D4AA8">
        <w:rPr>
          <w:rFonts w:cs="Arial"/>
          <w:bCs/>
        </w:rPr>
        <w:t xml:space="preserve">de </w:t>
      </w:r>
      <w:r w:rsidR="00B9234E">
        <w:rPr>
          <w:rFonts w:cs="Arial"/>
          <w:bCs/>
        </w:rPr>
        <w:t xml:space="preserve">cette stack par le titulaire est </w:t>
      </w:r>
      <w:r w:rsidR="001D4AA8">
        <w:rPr>
          <w:rFonts w:cs="Arial"/>
          <w:bCs/>
        </w:rPr>
        <w:t>u</w:t>
      </w:r>
      <w:r w:rsidR="00B9234E">
        <w:rPr>
          <w:rFonts w:cs="Arial"/>
          <w:bCs/>
        </w:rPr>
        <w:t xml:space="preserve">n critère </w:t>
      </w:r>
      <w:r w:rsidR="00A247AF">
        <w:rPr>
          <w:rFonts w:cs="Arial"/>
          <w:bCs/>
        </w:rPr>
        <w:t>non négligeable</w:t>
      </w:r>
      <w:r w:rsidR="00B9234E">
        <w:rPr>
          <w:rFonts w:cs="Arial"/>
          <w:bCs/>
        </w:rPr>
        <w:t xml:space="preserve"> pour la Commission </w:t>
      </w:r>
      <w:r w:rsidR="00ED2EF6">
        <w:rPr>
          <w:rFonts w:cs="Arial"/>
          <w:bCs/>
        </w:rPr>
        <w:t>afin de</w:t>
      </w:r>
      <w:r w:rsidR="00B9234E">
        <w:rPr>
          <w:rFonts w:cs="Arial"/>
          <w:bCs/>
        </w:rPr>
        <w:t xml:space="preserve"> bénéficie</w:t>
      </w:r>
      <w:r w:rsidR="00ED2EF6">
        <w:rPr>
          <w:rFonts w:cs="Arial"/>
          <w:bCs/>
        </w:rPr>
        <w:t>r</w:t>
      </w:r>
      <w:r w:rsidR="00B9234E">
        <w:rPr>
          <w:rFonts w:cs="Arial"/>
          <w:bCs/>
        </w:rPr>
        <w:t xml:space="preserve"> d’une prise en main rapide des codes sources</w:t>
      </w:r>
      <w:r w:rsidR="00ED2EF6">
        <w:rPr>
          <w:rFonts w:cs="Arial"/>
          <w:bCs/>
        </w:rPr>
        <w:t>,</w:t>
      </w:r>
      <w:r w:rsidR="00B9234E">
        <w:rPr>
          <w:rFonts w:cs="Arial"/>
          <w:bCs/>
        </w:rPr>
        <w:t xml:space="preserve"> d’une réversibilité permanente du projet</w:t>
      </w:r>
      <w:r w:rsidR="00ED2EF6">
        <w:rPr>
          <w:rFonts w:cs="Arial"/>
          <w:bCs/>
        </w:rPr>
        <w:t xml:space="preserve"> et d’un cohérence technologique globale.</w:t>
      </w:r>
    </w:p>
    <w:p w14:paraId="50A3FB6C" w14:textId="4D24DBE7" w:rsidR="00ED2EF6" w:rsidRDefault="00ED2EF6" w:rsidP="00E60820">
      <w:pPr>
        <w:rPr>
          <w:rFonts w:cs="Arial"/>
          <w:bCs/>
        </w:rPr>
      </w:pPr>
      <w:r>
        <w:rPr>
          <w:rFonts w:cs="Arial"/>
          <w:bCs/>
        </w:rPr>
        <w:t xml:space="preserve">Toutefois, compte tenu des délais restreints et des contraintes spécifiques à chacun des blocs </w:t>
      </w:r>
      <w:r w:rsidR="00A247AF">
        <w:rPr>
          <w:rFonts w:cs="Arial"/>
          <w:bCs/>
        </w:rPr>
        <w:t>applicatifs</w:t>
      </w:r>
      <w:r w:rsidR="006C7FE7">
        <w:rPr>
          <w:rFonts w:cs="Arial"/>
          <w:bCs/>
        </w:rPr>
        <w:t xml:space="preserve"> </w:t>
      </w:r>
      <w:r w:rsidR="006C7FE7" w:rsidRPr="006C7FE7">
        <w:rPr>
          <w:rFonts w:cs="Arial"/>
          <w:bCs/>
        </w:rPr>
        <w:t>(F</w:t>
      </w:r>
      <w:r w:rsidR="001D4AA8">
        <w:rPr>
          <w:rFonts w:cs="Arial"/>
          <w:bCs/>
        </w:rPr>
        <w:t>r</w:t>
      </w:r>
      <w:r w:rsidR="006C7FE7" w:rsidRPr="006C7FE7">
        <w:rPr>
          <w:rFonts w:cs="Arial"/>
          <w:bCs/>
        </w:rPr>
        <w:t>ont, Middle et Back Office)</w:t>
      </w:r>
      <w:r>
        <w:rPr>
          <w:rFonts w:cs="Arial"/>
          <w:bCs/>
        </w:rPr>
        <w:t xml:space="preserve">, la Commission n’exclue pas </w:t>
      </w:r>
      <w:r w:rsidR="00A247AF">
        <w:rPr>
          <w:rFonts w:cs="Arial"/>
          <w:bCs/>
        </w:rPr>
        <w:t>pour</w:t>
      </w:r>
      <w:r>
        <w:rPr>
          <w:rFonts w:cs="Arial"/>
          <w:bCs/>
        </w:rPr>
        <w:t xml:space="preserve"> ce projet l’hybridation de cette stack de développement avec d’autres technologies </w:t>
      </w:r>
      <w:r w:rsidR="00A247AF">
        <w:rPr>
          <w:rFonts w:cs="Arial"/>
          <w:bCs/>
        </w:rPr>
        <w:t xml:space="preserve">(comme par exemple Java) </w:t>
      </w:r>
      <w:r w:rsidR="006C7FE7">
        <w:rPr>
          <w:rFonts w:cs="Arial"/>
          <w:bCs/>
        </w:rPr>
        <w:t xml:space="preserve">sous réserve d’une propriété par la Commission de la totalité des codes sources et d’une mise à disposition complète pour </w:t>
      </w:r>
      <w:r w:rsidR="00A247AF">
        <w:rPr>
          <w:rFonts w:cs="Arial"/>
          <w:bCs/>
        </w:rPr>
        <w:t>s</w:t>
      </w:r>
      <w:r w:rsidR="006C7FE7">
        <w:rPr>
          <w:rFonts w:cs="Arial"/>
          <w:bCs/>
        </w:rPr>
        <w:t xml:space="preserve">es développeurs des </w:t>
      </w:r>
      <w:r w:rsidR="00A247AF">
        <w:rPr>
          <w:rFonts w:cs="Arial"/>
          <w:bCs/>
        </w:rPr>
        <w:t xml:space="preserve">méthodes, des </w:t>
      </w:r>
      <w:r w:rsidR="006C7FE7">
        <w:rPr>
          <w:rFonts w:cs="Arial"/>
          <w:bCs/>
        </w:rPr>
        <w:t>environnements et outils de développement</w:t>
      </w:r>
      <w:r>
        <w:rPr>
          <w:rFonts w:cs="Arial"/>
          <w:bCs/>
        </w:rPr>
        <w:t>.</w:t>
      </w:r>
    </w:p>
    <w:p w14:paraId="185D4B1E" w14:textId="77777777" w:rsidR="006C7FE7" w:rsidRDefault="006C7FE7" w:rsidP="00E60820">
      <w:pPr>
        <w:rPr>
          <w:rFonts w:cs="Arial"/>
          <w:bCs/>
        </w:rPr>
      </w:pPr>
    </w:p>
    <w:p w14:paraId="58E980A2" w14:textId="5D62920F" w:rsidR="00E60820" w:rsidRPr="00E60820" w:rsidRDefault="00B9234E" w:rsidP="00E60820">
      <w:pPr>
        <w:rPr>
          <w:rFonts w:cs="Arial"/>
          <w:bCs/>
        </w:rPr>
      </w:pPr>
      <w:r>
        <w:rPr>
          <w:rFonts w:cs="Arial"/>
          <w:bCs/>
        </w:rPr>
        <w:t>Ci-après, les</w:t>
      </w:r>
      <w:r w:rsidR="00ED2EF6">
        <w:rPr>
          <w:rFonts w:cs="Arial"/>
          <w:bCs/>
        </w:rPr>
        <w:t xml:space="preserve"> technologies, les environnements et outils de développement couramment utilisés </w:t>
      </w:r>
      <w:r w:rsidR="006C7FE7">
        <w:rPr>
          <w:rFonts w:cs="Arial"/>
          <w:bCs/>
        </w:rPr>
        <w:t xml:space="preserve">et maitrisées </w:t>
      </w:r>
      <w:r w:rsidR="00ED2EF6">
        <w:rPr>
          <w:rFonts w:cs="Arial"/>
          <w:bCs/>
        </w:rPr>
        <w:t>au sein de la Commission.</w:t>
      </w:r>
    </w:p>
    <w:p w14:paraId="508F4B46" w14:textId="77777777" w:rsidR="00687265" w:rsidRDefault="00687265" w:rsidP="00F409E4">
      <w:pPr>
        <w:rPr>
          <w:rFonts w:cs="Arial"/>
          <w:bCs/>
        </w:rPr>
      </w:pPr>
    </w:p>
    <w:p w14:paraId="0A49A88A" w14:textId="252BE250" w:rsidR="00F409E4" w:rsidRPr="00A13E81" w:rsidRDefault="00F409E4" w:rsidP="00A13E81">
      <w:pPr>
        <w:pStyle w:val="Titre3"/>
      </w:pPr>
      <w:bookmarkStart w:id="106" w:name="_Toc218852840"/>
      <w:r w:rsidRPr="00A13E81">
        <w:t xml:space="preserve">Technologies </w:t>
      </w:r>
      <w:r w:rsidR="005D684E">
        <w:t>préconisées</w:t>
      </w:r>
      <w:bookmarkEnd w:id="106"/>
    </w:p>
    <w:p w14:paraId="46D35993" w14:textId="77777777" w:rsidR="00F409E4" w:rsidRPr="00A13E81" w:rsidRDefault="00F409E4" w:rsidP="00F409E4">
      <w:pPr>
        <w:rPr>
          <w:rFonts w:cs="Arial"/>
          <w:bCs/>
        </w:rPr>
      </w:pPr>
    </w:p>
    <w:p w14:paraId="5F504FAB" w14:textId="77777777" w:rsidR="005D684E" w:rsidRDefault="005D684E" w:rsidP="00F409E4">
      <w:pPr>
        <w:rPr>
          <w:rFonts w:cs="Arial"/>
          <w:bCs/>
        </w:rPr>
      </w:pPr>
    </w:p>
    <w:p w14:paraId="35203305" w14:textId="1B852E5C" w:rsidR="00F409E4" w:rsidRPr="00A13E81" w:rsidRDefault="00F409E4" w:rsidP="00F409E4">
      <w:pPr>
        <w:rPr>
          <w:rFonts w:cs="Arial"/>
          <w:bCs/>
        </w:rPr>
      </w:pPr>
      <w:r w:rsidRPr="00A13E81">
        <w:rPr>
          <w:rFonts w:cs="Arial"/>
          <w:bCs/>
        </w:rPr>
        <w:t>Les frontends sont l’interface principale avec les utilisateurs et doivent être modulaires, maintenables, performants et sécurisés, en conformité avec les standards modernes du web. Le développement s’effectue avec JavaScript (ES6+) ou TypeScript, HTML, le framework Vue.js 3, Vue Router pour le routage, Pinia pour la gestion d’état et PrimeVue pour la bibliothèque de composants. La police retenue est Arial, le style est géré avec Tailwind CSS et les icônes via FontAwesome ou les icônes PrimeVue, avec le template recommandé PrimeVue Sakai. Le frontend doit exploiter exclusivement la Composition API de Vue 3 afin de maximiser modularité, réutilisabilité et maintenabilité des composants.</w:t>
      </w:r>
    </w:p>
    <w:p w14:paraId="2F521FC2" w14:textId="77777777" w:rsidR="00F409E4" w:rsidRPr="00A13E81" w:rsidRDefault="00F409E4" w:rsidP="00F409E4">
      <w:pPr>
        <w:rPr>
          <w:rFonts w:cs="Arial"/>
          <w:bCs/>
        </w:rPr>
      </w:pPr>
    </w:p>
    <w:p w14:paraId="7C992040" w14:textId="77777777" w:rsidR="00F409E4" w:rsidRPr="00A13E81" w:rsidRDefault="00F409E4" w:rsidP="00F409E4">
      <w:pPr>
        <w:rPr>
          <w:rFonts w:cs="Arial"/>
          <w:bCs/>
        </w:rPr>
      </w:pPr>
      <w:r w:rsidRPr="00A13E81">
        <w:rPr>
          <w:rFonts w:cs="Arial"/>
          <w:bCs/>
        </w:rPr>
        <w:t>Les backends sont des modules sans interface graphique, exposant des API RESTful robustes et évolutives. Ils doivent être développés en PHP 8.2 ou supérieur, avec le framework Laravel 12, en respectant les standards HTTP et le format JSON pour les échanges. Les modules ou packages tiers seront définis en coordination avec la Commission. Les données sont stockées dans des bases PostgreSQL, avec un découpage du modèle global en plusieurs bases cohérentes, chacune regroupant un ensemble logique d’objets métier ou techniques pour respecter les principes micro</w:t>
      </w:r>
      <w:r w:rsidRPr="00A13E81">
        <w:rPr>
          <w:rFonts w:ascii="Cambria Math" w:hAnsi="Cambria Math" w:cs="Cambria Math"/>
          <w:bCs/>
        </w:rPr>
        <w:t>‑</w:t>
      </w:r>
      <w:r w:rsidRPr="00A13E81">
        <w:rPr>
          <w:rFonts w:cs="Arial"/>
          <w:bCs/>
        </w:rPr>
        <w:t>services. Les filesystems sont organisés en arborescences claires, structurées et facilement navigables, afin de faciliter exploitation, archivage et purges.</w:t>
      </w:r>
    </w:p>
    <w:p w14:paraId="19774218" w14:textId="77777777" w:rsidR="00F409E4" w:rsidRPr="00A13E81" w:rsidRDefault="00F409E4" w:rsidP="00F409E4">
      <w:pPr>
        <w:rPr>
          <w:rFonts w:cs="Arial"/>
          <w:bCs/>
        </w:rPr>
      </w:pPr>
    </w:p>
    <w:p w14:paraId="0F2F5C87" w14:textId="77777777" w:rsidR="00F409E4" w:rsidRPr="00A13E81" w:rsidRDefault="00F409E4" w:rsidP="00F409E4">
      <w:pPr>
        <w:rPr>
          <w:rFonts w:cs="Arial"/>
          <w:bCs/>
        </w:rPr>
      </w:pPr>
      <w:r w:rsidRPr="00A13E81">
        <w:rPr>
          <w:rFonts w:cs="Arial"/>
          <w:bCs/>
        </w:rPr>
        <w:t>La Commission a retenu des technologies et frameworks entièrement OpenSource, bénéficiant de larges communautés et d’un rythme d’évolution soutenu. Le prestataire doit s’engager à suivre ces évolutions pendant le projet, à adapter le code en cas de dépréciation de fonctions ou de changements d’architecture, et à réaliser ces mises à jour en coordination avec les équipes techniques de la Commission. L’utilisation de librairies, composants, modules ou autres ressources OpenSource complémentaires est autorisée, sous réserve d’une approbation préalable garantissant sécurité, maintenabilité, évolutivité et réversibilité.</w:t>
      </w:r>
    </w:p>
    <w:p w14:paraId="543B939D" w14:textId="77777777" w:rsidR="00DD531F" w:rsidRPr="00A13E81" w:rsidRDefault="00DD531F" w:rsidP="00F409E4">
      <w:pPr>
        <w:rPr>
          <w:rFonts w:cs="Arial"/>
          <w:bCs/>
        </w:rPr>
      </w:pPr>
    </w:p>
    <w:p w14:paraId="26FD574C" w14:textId="51E1886D" w:rsidR="00F409E4" w:rsidRPr="00A13E81" w:rsidRDefault="00F409E4" w:rsidP="00A13E81">
      <w:pPr>
        <w:pStyle w:val="Titre3"/>
      </w:pPr>
      <w:bookmarkStart w:id="107" w:name="_Toc218852841"/>
      <w:r w:rsidRPr="00A13E81">
        <w:t>Environnement et outils de développement</w:t>
      </w:r>
      <w:bookmarkEnd w:id="107"/>
    </w:p>
    <w:p w14:paraId="1C60844E" w14:textId="77777777" w:rsidR="007766B4" w:rsidRDefault="007766B4" w:rsidP="007766B4">
      <w:pPr>
        <w:rPr>
          <w:rFonts w:cs="Arial"/>
          <w:bCs/>
        </w:rPr>
      </w:pPr>
    </w:p>
    <w:p w14:paraId="54858ECE" w14:textId="00B23CAB" w:rsidR="007766B4" w:rsidRPr="007766B4" w:rsidRDefault="007766B4" w:rsidP="007766B4">
      <w:pPr>
        <w:rPr>
          <w:rFonts w:cs="Arial"/>
          <w:bCs/>
        </w:rPr>
      </w:pPr>
      <w:r w:rsidRPr="007766B4">
        <w:rPr>
          <w:rFonts w:cs="Arial"/>
          <w:bCs/>
        </w:rPr>
        <w:t>Afin de garantir une mise à disposition et un échange fluide des codes sources entre le titulaire et les équipes de développement de la Commission, les outils de développements préconisés</w:t>
      </w:r>
      <w:r>
        <w:rPr>
          <w:rFonts w:cs="Arial"/>
          <w:bCs/>
        </w:rPr>
        <w:t xml:space="preserve"> à ce stade par la CNCCFP</w:t>
      </w:r>
      <w:r w:rsidRPr="007766B4">
        <w:rPr>
          <w:rFonts w:cs="Arial"/>
          <w:bCs/>
        </w:rPr>
        <w:t xml:space="preserve"> sont les suivants :</w:t>
      </w:r>
    </w:p>
    <w:p w14:paraId="22C4533F" w14:textId="77777777" w:rsidR="007766B4" w:rsidRPr="007766B4" w:rsidRDefault="007766B4" w:rsidP="007766B4">
      <w:pPr>
        <w:rPr>
          <w:rFonts w:cs="Arial"/>
          <w:bCs/>
        </w:rPr>
      </w:pPr>
    </w:p>
    <w:p w14:paraId="60BA6CA1" w14:textId="77777777" w:rsidR="007766B4" w:rsidRPr="007766B4" w:rsidRDefault="007766B4" w:rsidP="007766B4">
      <w:pPr>
        <w:rPr>
          <w:rFonts w:cs="Arial"/>
          <w:bCs/>
        </w:rPr>
      </w:pPr>
      <w:r w:rsidRPr="007766B4">
        <w:rPr>
          <w:rFonts w:cs="Arial"/>
          <w:bCs/>
        </w:rPr>
        <w:t>•</w:t>
      </w:r>
      <w:r w:rsidRPr="007766B4">
        <w:rPr>
          <w:rFonts w:cs="Arial"/>
          <w:bCs/>
        </w:rPr>
        <w:tab/>
        <w:t>IDE : Microsoft Visual Studio Code (dernière version)</w:t>
      </w:r>
    </w:p>
    <w:p w14:paraId="4BE0206C" w14:textId="77777777" w:rsidR="007766B4" w:rsidRDefault="007766B4" w:rsidP="00A13E81">
      <w:pPr>
        <w:rPr>
          <w:rFonts w:cs="Arial"/>
          <w:bCs/>
        </w:rPr>
      </w:pPr>
      <w:r w:rsidRPr="007766B4">
        <w:rPr>
          <w:rFonts w:cs="Arial"/>
          <w:bCs/>
        </w:rPr>
        <w:t>•</w:t>
      </w:r>
      <w:r w:rsidRPr="007766B4">
        <w:rPr>
          <w:rFonts w:cs="Arial"/>
          <w:bCs/>
        </w:rPr>
        <w:tab/>
        <w:t xml:space="preserve">Plugins : </w:t>
      </w:r>
    </w:p>
    <w:p w14:paraId="1F40095A" w14:textId="37765CE5" w:rsidR="007766B4" w:rsidRDefault="007766B4" w:rsidP="00A13E81">
      <w:pPr>
        <w:pStyle w:val="Paragraphedeliste"/>
        <w:numPr>
          <w:ilvl w:val="0"/>
          <w:numId w:val="57"/>
        </w:numPr>
        <w:rPr>
          <w:rFonts w:cs="Arial"/>
          <w:bCs/>
        </w:rPr>
      </w:pPr>
      <w:r w:rsidRPr="00A13E81">
        <w:rPr>
          <w:rFonts w:cs="Arial"/>
          <w:bCs/>
        </w:rPr>
        <w:t>Checkmarks / SonarQube</w:t>
      </w:r>
    </w:p>
    <w:p w14:paraId="76B37684" w14:textId="7CE5196E" w:rsidR="007766B4" w:rsidRDefault="007766B4" w:rsidP="00A13E81">
      <w:pPr>
        <w:pStyle w:val="Paragraphedeliste"/>
        <w:numPr>
          <w:ilvl w:val="0"/>
          <w:numId w:val="57"/>
        </w:numPr>
        <w:rPr>
          <w:rFonts w:cs="Arial"/>
          <w:bCs/>
        </w:rPr>
      </w:pPr>
      <w:r w:rsidRPr="00A13E81">
        <w:rPr>
          <w:rFonts w:cs="Arial"/>
          <w:bCs/>
        </w:rPr>
        <w:t>Laravel</w:t>
      </w:r>
    </w:p>
    <w:p w14:paraId="0A2F6AEC" w14:textId="77777777" w:rsidR="007766B4" w:rsidRDefault="007766B4" w:rsidP="00A13E81">
      <w:pPr>
        <w:pStyle w:val="Paragraphedeliste"/>
        <w:numPr>
          <w:ilvl w:val="0"/>
          <w:numId w:val="57"/>
        </w:numPr>
        <w:rPr>
          <w:rFonts w:cs="Arial"/>
          <w:bCs/>
        </w:rPr>
      </w:pPr>
      <w:r w:rsidRPr="00A13E81">
        <w:rPr>
          <w:rFonts w:cs="Arial"/>
          <w:bCs/>
        </w:rPr>
        <w:t>Laravel intellisense</w:t>
      </w:r>
    </w:p>
    <w:p w14:paraId="0A6F32D8" w14:textId="77777777" w:rsidR="007766B4" w:rsidRDefault="007766B4" w:rsidP="00A13E81">
      <w:pPr>
        <w:pStyle w:val="Paragraphedeliste"/>
        <w:numPr>
          <w:ilvl w:val="0"/>
          <w:numId w:val="57"/>
        </w:numPr>
        <w:rPr>
          <w:rFonts w:cs="Arial"/>
          <w:bCs/>
        </w:rPr>
      </w:pPr>
      <w:r w:rsidRPr="00A13E81">
        <w:rPr>
          <w:rFonts w:cs="Arial"/>
          <w:bCs/>
        </w:rPr>
        <w:t>Vue</w:t>
      </w:r>
    </w:p>
    <w:p w14:paraId="497FFACE" w14:textId="77777777" w:rsidR="007766B4" w:rsidRDefault="007766B4" w:rsidP="00A13E81">
      <w:pPr>
        <w:pStyle w:val="Paragraphedeliste"/>
        <w:numPr>
          <w:ilvl w:val="0"/>
          <w:numId w:val="57"/>
        </w:numPr>
        <w:rPr>
          <w:rFonts w:cs="Arial"/>
          <w:bCs/>
        </w:rPr>
      </w:pPr>
      <w:r w:rsidRPr="00A13E81">
        <w:rPr>
          <w:rFonts w:cs="Arial"/>
          <w:bCs/>
        </w:rPr>
        <w:t>npm intellisense</w:t>
      </w:r>
    </w:p>
    <w:p w14:paraId="18E365FE" w14:textId="77777777" w:rsidR="007766B4" w:rsidRDefault="007766B4" w:rsidP="00A13E81">
      <w:pPr>
        <w:pStyle w:val="Paragraphedeliste"/>
        <w:numPr>
          <w:ilvl w:val="0"/>
          <w:numId w:val="57"/>
        </w:numPr>
        <w:rPr>
          <w:rFonts w:cs="Arial"/>
          <w:bCs/>
        </w:rPr>
      </w:pPr>
      <w:r w:rsidRPr="00A13E81">
        <w:rPr>
          <w:rFonts w:cs="Arial"/>
          <w:bCs/>
        </w:rPr>
        <w:t>ESLint</w:t>
      </w:r>
    </w:p>
    <w:p w14:paraId="5F887F03" w14:textId="77777777" w:rsidR="007766B4" w:rsidRDefault="007766B4" w:rsidP="00A13E81">
      <w:pPr>
        <w:pStyle w:val="Paragraphedeliste"/>
        <w:numPr>
          <w:ilvl w:val="0"/>
          <w:numId w:val="57"/>
        </w:numPr>
        <w:rPr>
          <w:rFonts w:cs="Arial"/>
          <w:bCs/>
        </w:rPr>
      </w:pPr>
      <w:r w:rsidRPr="00A13E81">
        <w:rPr>
          <w:rFonts w:cs="Arial"/>
          <w:bCs/>
        </w:rPr>
        <w:t>PHP</w:t>
      </w:r>
    </w:p>
    <w:p w14:paraId="77C703D2" w14:textId="77777777" w:rsidR="007766B4" w:rsidRDefault="007766B4" w:rsidP="00A13E81">
      <w:pPr>
        <w:pStyle w:val="Paragraphedeliste"/>
        <w:numPr>
          <w:ilvl w:val="0"/>
          <w:numId w:val="57"/>
        </w:numPr>
        <w:rPr>
          <w:rFonts w:cs="Arial"/>
          <w:bCs/>
        </w:rPr>
      </w:pPr>
      <w:r w:rsidRPr="00A13E81">
        <w:rPr>
          <w:rFonts w:cs="Arial"/>
          <w:bCs/>
        </w:rPr>
        <w:t>PHP Extension Pack</w:t>
      </w:r>
    </w:p>
    <w:p w14:paraId="7B2D266D" w14:textId="77777777" w:rsidR="007766B4" w:rsidRDefault="007766B4" w:rsidP="00A13E81">
      <w:pPr>
        <w:pStyle w:val="Paragraphedeliste"/>
        <w:numPr>
          <w:ilvl w:val="0"/>
          <w:numId w:val="57"/>
        </w:numPr>
        <w:rPr>
          <w:rFonts w:cs="Arial"/>
          <w:bCs/>
        </w:rPr>
      </w:pPr>
      <w:r w:rsidRPr="00A13E81">
        <w:rPr>
          <w:rFonts w:cs="Arial"/>
          <w:bCs/>
        </w:rPr>
        <w:t>PHP intellisense</w:t>
      </w:r>
    </w:p>
    <w:p w14:paraId="281EC5D3" w14:textId="77777777" w:rsidR="007766B4" w:rsidRDefault="007766B4" w:rsidP="00A13E81">
      <w:pPr>
        <w:pStyle w:val="Paragraphedeliste"/>
        <w:numPr>
          <w:ilvl w:val="0"/>
          <w:numId w:val="57"/>
        </w:numPr>
        <w:rPr>
          <w:rFonts w:cs="Arial"/>
          <w:bCs/>
        </w:rPr>
      </w:pPr>
      <w:r w:rsidRPr="00A13E81">
        <w:rPr>
          <w:rFonts w:cs="Arial"/>
          <w:bCs/>
        </w:rPr>
        <w:t>Pint</w:t>
      </w:r>
    </w:p>
    <w:p w14:paraId="2EA011CC" w14:textId="77777777" w:rsidR="007766B4" w:rsidRDefault="007766B4" w:rsidP="00A13E81">
      <w:pPr>
        <w:pStyle w:val="Paragraphedeliste"/>
        <w:numPr>
          <w:ilvl w:val="0"/>
          <w:numId w:val="57"/>
        </w:numPr>
        <w:rPr>
          <w:rFonts w:cs="Arial"/>
          <w:bCs/>
        </w:rPr>
      </w:pPr>
      <w:r w:rsidRPr="00A13E81">
        <w:rPr>
          <w:rFonts w:cs="Arial"/>
          <w:bCs/>
        </w:rPr>
        <w:t>TypeScript</w:t>
      </w:r>
    </w:p>
    <w:p w14:paraId="0E7A23A4" w14:textId="77777777" w:rsidR="007766B4" w:rsidRDefault="007766B4" w:rsidP="00A13E81">
      <w:pPr>
        <w:pStyle w:val="Paragraphedeliste"/>
        <w:numPr>
          <w:ilvl w:val="0"/>
          <w:numId w:val="57"/>
        </w:numPr>
        <w:rPr>
          <w:rFonts w:cs="Arial"/>
          <w:bCs/>
        </w:rPr>
      </w:pPr>
      <w:r w:rsidRPr="00A13E81">
        <w:rPr>
          <w:rFonts w:cs="Arial"/>
          <w:bCs/>
        </w:rPr>
        <w:t>Prettier</w:t>
      </w:r>
    </w:p>
    <w:p w14:paraId="509755CA" w14:textId="6579D8AC" w:rsidR="007766B4" w:rsidRPr="00A13E81" w:rsidRDefault="007766B4" w:rsidP="00A13E81">
      <w:pPr>
        <w:pStyle w:val="Paragraphedeliste"/>
        <w:numPr>
          <w:ilvl w:val="0"/>
          <w:numId w:val="57"/>
        </w:numPr>
        <w:rPr>
          <w:rFonts w:cs="Arial"/>
          <w:bCs/>
        </w:rPr>
      </w:pPr>
      <w:r w:rsidRPr="00A13E81">
        <w:rPr>
          <w:rFonts w:cs="Arial"/>
          <w:bCs/>
        </w:rPr>
        <w:t>PHPUnit,</w:t>
      </w:r>
    </w:p>
    <w:p w14:paraId="58C3083D" w14:textId="77777777" w:rsidR="007766B4" w:rsidRPr="007766B4" w:rsidRDefault="007766B4" w:rsidP="007766B4">
      <w:pPr>
        <w:rPr>
          <w:rFonts w:cs="Arial"/>
          <w:bCs/>
        </w:rPr>
      </w:pPr>
      <w:r w:rsidRPr="007766B4">
        <w:rPr>
          <w:rFonts w:cs="Arial"/>
          <w:bCs/>
        </w:rPr>
        <w:t>•</w:t>
      </w:r>
      <w:r w:rsidRPr="007766B4">
        <w:rPr>
          <w:rFonts w:cs="Arial"/>
          <w:bCs/>
        </w:rPr>
        <w:tab/>
        <w:t>Modules de frameworks complémentaires :</w:t>
      </w:r>
    </w:p>
    <w:p w14:paraId="4D1FEE8A" w14:textId="0193AEE2" w:rsidR="007766B4" w:rsidRDefault="007766B4" w:rsidP="00A13E81">
      <w:pPr>
        <w:pStyle w:val="Paragraphedeliste"/>
        <w:numPr>
          <w:ilvl w:val="0"/>
          <w:numId w:val="58"/>
        </w:numPr>
        <w:rPr>
          <w:rFonts w:cs="Arial"/>
          <w:bCs/>
        </w:rPr>
      </w:pPr>
      <w:r w:rsidRPr="00A13E81">
        <w:rPr>
          <w:rFonts w:cs="Arial"/>
          <w:bCs/>
        </w:rPr>
        <w:t>Pest et/ou PHPUnit</w:t>
      </w:r>
    </w:p>
    <w:p w14:paraId="5D0F10ED" w14:textId="46160FD4" w:rsidR="007766B4" w:rsidRPr="00A13E81" w:rsidRDefault="007766B4" w:rsidP="00A13E81">
      <w:pPr>
        <w:pStyle w:val="Paragraphedeliste"/>
        <w:numPr>
          <w:ilvl w:val="0"/>
          <w:numId w:val="58"/>
        </w:numPr>
        <w:rPr>
          <w:rFonts w:cs="Arial"/>
          <w:bCs/>
        </w:rPr>
      </w:pPr>
      <w:r w:rsidRPr="00A13E81">
        <w:rPr>
          <w:rFonts w:cs="Arial"/>
          <w:bCs/>
        </w:rPr>
        <w:t>Vitest, et/ou Cypress</w:t>
      </w:r>
    </w:p>
    <w:p w14:paraId="600AD78C" w14:textId="26094A69" w:rsidR="00F409E4" w:rsidRPr="00A13E81" w:rsidRDefault="007766B4" w:rsidP="007766B4">
      <w:pPr>
        <w:rPr>
          <w:rFonts w:cs="Arial"/>
          <w:bCs/>
        </w:rPr>
      </w:pPr>
      <w:r w:rsidRPr="007766B4">
        <w:rPr>
          <w:rFonts w:cs="Arial"/>
          <w:bCs/>
        </w:rPr>
        <w:t>•</w:t>
      </w:r>
      <w:r w:rsidRPr="007766B4">
        <w:rPr>
          <w:rFonts w:cs="Arial"/>
          <w:bCs/>
        </w:rPr>
        <w:tab/>
        <w:t>Dockers</w:t>
      </w:r>
    </w:p>
    <w:p w14:paraId="547C3062" w14:textId="77777777" w:rsidR="00DD531F" w:rsidRPr="00A13E81" w:rsidRDefault="00DD531F" w:rsidP="00F409E4">
      <w:pPr>
        <w:rPr>
          <w:rFonts w:cs="Arial"/>
          <w:bCs/>
        </w:rPr>
      </w:pPr>
    </w:p>
    <w:p w14:paraId="041E272E" w14:textId="5F33777F" w:rsidR="00F409E4" w:rsidRPr="00A13E81" w:rsidRDefault="00F409E4" w:rsidP="00A13E81">
      <w:pPr>
        <w:pStyle w:val="Titre3"/>
      </w:pPr>
      <w:bookmarkStart w:id="108" w:name="_Toc218852842"/>
      <w:r w:rsidRPr="00A13E81">
        <w:t>Contrôle qualité du code</w:t>
      </w:r>
      <w:bookmarkEnd w:id="108"/>
    </w:p>
    <w:p w14:paraId="13D1B720" w14:textId="77777777" w:rsidR="00F409E4" w:rsidRPr="00A13E81" w:rsidRDefault="00F409E4" w:rsidP="00F409E4">
      <w:pPr>
        <w:rPr>
          <w:rFonts w:cs="Arial"/>
          <w:bCs/>
        </w:rPr>
      </w:pPr>
    </w:p>
    <w:p w14:paraId="6F6B0EEE" w14:textId="7CC472EA" w:rsidR="00F409E4" w:rsidRPr="00A13E81" w:rsidRDefault="00F409E4" w:rsidP="00F409E4">
      <w:pPr>
        <w:rPr>
          <w:rFonts w:cs="Arial"/>
          <w:bCs/>
        </w:rPr>
      </w:pPr>
      <w:r w:rsidRPr="00A13E81">
        <w:rPr>
          <w:rFonts w:cs="Arial"/>
          <w:bCs/>
        </w:rPr>
        <w:t xml:space="preserve">La qualité, la sécurité et la maintenabilité du code font l’objet de contrôles systématiques de la part du titulaire et de la CNCCFP. Trois types de contrôle sont prévus : analyse complète du code, revues de code et inspections de code ciblées. </w:t>
      </w:r>
    </w:p>
    <w:p w14:paraId="7928A529" w14:textId="77777777" w:rsidR="00F409E4" w:rsidRPr="00A13E81" w:rsidRDefault="00F409E4" w:rsidP="00F409E4">
      <w:pPr>
        <w:rPr>
          <w:rFonts w:cs="Arial"/>
          <w:bCs/>
        </w:rPr>
      </w:pPr>
    </w:p>
    <w:p w14:paraId="27551AE5" w14:textId="2F41218B" w:rsidR="00F409E4" w:rsidRDefault="00F409E4" w:rsidP="00F409E4">
      <w:pPr>
        <w:rPr>
          <w:rFonts w:cs="Arial"/>
          <w:bCs/>
        </w:rPr>
      </w:pPr>
      <w:r w:rsidRPr="00A13E81">
        <w:rPr>
          <w:rFonts w:cs="Arial"/>
          <w:bCs/>
        </w:rPr>
        <w:t>La CNCCFP peut, à tout moment, effectuer ou faire effectuer des contrôles complémentaires, s’appuyant notamment sur la chaîne DevSecOps de CloudPi Native et sur ses propres outils (Checkmarx). Le code doit avoir été scanné au préalable par les outils du prestataire, qui fournit les rapports de scan à la CNCCFP. La qualité et la sécurité sont évaluées par campagnes successives, avec des indicateurs contractuels ; le niveau obtenu ne doit jamais être inférieur à celui de la campagne précédente. En cas de dégradations, vulnérabilités ou non</w:t>
      </w:r>
      <w:r w:rsidRPr="00A13E81">
        <w:rPr>
          <w:rFonts w:ascii="Cambria Math" w:hAnsi="Cambria Math" w:cs="Cambria Math"/>
          <w:bCs/>
        </w:rPr>
        <w:t>‑</w:t>
      </w:r>
      <w:r w:rsidRPr="00A13E81">
        <w:rPr>
          <w:rFonts w:cs="Arial"/>
          <w:bCs/>
        </w:rPr>
        <w:t>conformités, le titulaire doit proposer un plan d’actions et le mettre en œuvre, sous validation de la CNCCFP. Les développements présentant des non</w:t>
      </w:r>
      <w:r w:rsidRPr="00A13E81">
        <w:rPr>
          <w:rFonts w:ascii="Cambria Math" w:hAnsi="Cambria Math" w:cs="Cambria Math"/>
          <w:bCs/>
        </w:rPr>
        <w:t>‑</w:t>
      </w:r>
      <w:r w:rsidRPr="00A13E81">
        <w:rPr>
          <w:rFonts w:cs="Arial"/>
          <w:bCs/>
        </w:rPr>
        <w:t>conformités importantes ne peuvent pas être livrés en intégration, et le processus se répète à chaque re</w:t>
      </w:r>
      <w:r w:rsidRPr="00A13E81">
        <w:rPr>
          <w:rFonts w:ascii="Cambria Math" w:hAnsi="Cambria Math" w:cs="Cambria Math"/>
          <w:bCs/>
        </w:rPr>
        <w:t>‑</w:t>
      </w:r>
      <w:r w:rsidRPr="00A13E81">
        <w:rPr>
          <w:rFonts w:cs="Arial"/>
          <w:bCs/>
        </w:rPr>
        <w:t>livraison. Des revues de code mensuelles sont exigées.</w:t>
      </w:r>
    </w:p>
    <w:p w14:paraId="70B08FC2" w14:textId="77777777" w:rsidR="00DD531F" w:rsidRPr="00A13E81" w:rsidRDefault="00DD531F" w:rsidP="00F409E4">
      <w:pPr>
        <w:rPr>
          <w:rFonts w:cs="Arial"/>
          <w:bCs/>
        </w:rPr>
      </w:pPr>
    </w:p>
    <w:p w14:paraId="06F5868E" w14:textId="00E33551" w:rsidR="00F409E4" w:rsidRPr="00A13E81" w:rsidRDefault="00F409E4" w:rsidP="00A13E81">
      <w:pPr>
        <w:pStyle w:val="Titre3"/>
      </w:pPr>
      <w:bookmarkStart w:id="109" w:name="_Toc218852843"/>
      <w:r w:rsidRPr="00A13E81">
        <w:t>Documentation attendue</w:t>
      </w:r>
      <w:bookmarkEnd w:id="109"/>
    </w:p>
    <w:p w14:paraId="1437B461" w14:textId="77777777" w:rsidR="00F409E4" w:rsidRPr="00A13E81" w:rsidRDefault="00F409E4" w:rsidP="00F409E4">
      <w:pPr>
        <w:rPr>
          <w:rFonts w:cs="Arial"/>
          <w:bCs/>
        </w:rPr>
      </w:pPr>
    </w:p>
    <w:p w14:paraId="380FA8F5" w14:textId="77777777" w:rsidR="00F409E4" w:rsidRPr="00A13E81" w:rsidRDefault="00F409E4" w:rsidP="00F409E4">
      <w:pPr>
        <w:rPr>
          <w:rFonts w:cs="Arial"/>
          <w:bCs/>
        </w:rPr>
      </w:pPr>
      <w:r w:rsidRPr="00A13E81">
        <w:rPr>
          <w:rFonts w:cs="Arial"/>
          <w:bCs/>
        </w:rPr>
        <w:t>La documentation doit être complète, structurée et maintenue à jour durant tout le projet, afin d’assurer la compréhension, l’exploitation et l’évolutivité du système.</w:t>
      </w:r>
    </w:p>
    <w:p w14:paraId="4BD18FED" w14:textId="77777777" w:rsidR="00F409E4" w:rsidRPr="00A13E81" w:rsidRDefault="00F409E4" w:rsidP="00F409E4">
      <w:pPr>
        <w:rPr>
          <w:rFonts w:cs="Arial"/>
          <w:bCs/>
        </w:rPr>
      </w:pPr>
    </w:p>
    <w:p w14:paraId="418B5788" w14:textId="77777777" w:rsidR="00F409E4" w:rsidRPr="00A13E81" w:rsidRDefault="00F409E4" w:rsidP="00F409E4">
      <w:pPr>
        <w:rPr>
          <w:rFonts w:cs="Arial"/>
          <w:bCs/>
        </w:rPr>
      </w:pPr>
      <w:r w:rsidRPr="00A13E81">
        <w:rPr>
          <w:rFonts w:cs="Arial"/>
          <w:bCs/>
        </w:rPr>
        <w:t xml:space="preserve">La </w:t>
      </w:r>
      <w:r w:rsidRPr="00A13E81">
        <w:rPr>
          <w:rFonts w:cs="Arial"/>
          <w:b/>
          <w:bCs/>
        </w:rPr>
        <w:t>documentation technique</w:t>
      </w:r>
      <w:r w:rsidRPr="00A13E81">
        <w:rPr>
          <w:rFonts w:cs="Arial"/>
          <w:bCs/>
        </w:rPr>
        <w:t xml:space="preserve"> inclut le dossier d’architecture technique des développements (DAT DEV) décrivant l’architecture globale et les schémas applicatifs, le référentiel de paramétrage front/middle/back</w:t>
      </w:r>
      <w:r w:rsidRPr="00A13E81">
        <w:rPr>
          <w:rFonts w:ascii="Cambria Math" w:hAnsi="Cambria Math" w:cs="Cambria Math"/>
          <w:bCs/>
        </w:rPr>
        <w:t>‑</w:t>
      </w:r>
      <w:r w:rsidRPr="00A13E81">
        <w:rPr>
          <w:rFonts w:cs="Arial"/>
          <w:bCs/>
        </w:rPr>
        <w:t>office, la description détaillée de chaque composant (micro</w:t>
      </w:r>
      <w:r w:rsidRPr="00A13E81">
        <w:rPr>
          <w:rFonts w:ascii="Cambria Math" w:hAnsi="Cambria Math" w:cs="Cambria Math"/>
          <w:bCs/>
        </w:rPr>
        <w:t>‑</w:t>
      </w:r>
      <w:r w:rsidRPr="00A13E81">
        <w:rPr>
          <w:rFonts w:cs="Arial"/>
          <w:bCs/>
        </w:rPr>
        <w:t>service ou module tiers) et de ses dépendances, la matrice des flux entrants/sortants ainsi que le référentiel des traitements asynchrones et jobs. Sont également requis des diagrammes UML (classes, séquences, activités) et une documentation API au format OpenAPI/Swagger décrivant chaque endpoint, ses paramètres, ses réponses et ses codes d’erreur. Les schémas relationnels PostgreSQL fournis par la CNCCFP doivent être complétés (index, contraintes) et leurs évolutions doivent être validées préalablement.</w:t>
      </w:r>
    </w:p>
    <w:p w14:paraId="19A9CD7B" w14:textId="77777777" w:rsidR="00F409E4" w:rsidRPr="00A13E81" w:rsidRDefault="00F409E4" w:rsidP="00F409E4">
      <w:pPr>
        <w:rPr>
          <w:rFonts w:cs="Arial"/>
          <w:bCs/>
        </w:rPr>
      </w:pPr>
    </w:p>
    <w:p w14:paraId="223CAFB1" w14:textId="77777777" w:rsidR="00F409E4" w:rsidRPr="00A13E81" w:rsidRDefault="00F409E4" w:rsidP="00F409E4">
      <w:pPr>
        <w:rPr>
          <w:rFonts w:cs="Arial"/>
          <w:bCs/>
        </w:rPr>
      </w:pPr>
      <w:r w:rsidRPr="00A13E81">
        <w:rPr>
          <w:rFonts w:cs="Arial"/>
          <w:bCs/>
        </w:rPr>
        <w:t xml:space="preserve">La </w:t>
      </w:r>
      <w:r w:rsidRPr="00A13E81">
        <w:rPr>
          <w:rFonts w:cs="Arial"/>
          <w:b/>
          <w:bCs/>
        </w:rPr>
        <w:t>documentation opérationnelle</w:t>
      </w:r>
      <w:r w:rsidRPr="00A13E81">
        <w:rPr>
          <w:rFonts w:cs="Arial"/>
          <w:bCs/>
        </w:rPr>
        <w:t xml:space="preserve"> regroupe les procédures nécessaires à l’exploitation et à la maintenance : documentation des environnements des développeurs, procédures d’installation et de configuration des environnements de développement, préproduction et production, procédures de déploiement automatisées et manuelles (avec rollback et validation post</w:t>
      </w:r>
      <w:r w:rsidRPr="00A13E81">
        <w:rPr>
          <w:rFonts w:ascii="Cambria Math" w:hAnsi="Cambria Math" w:cs="Cambria Math"/>
          <w:bCs/>
        </w:rPr>
        <w:t>‑</w:t>
      </w:r>
      <w:r w:rsidRPr="00A13E81">
        <w:rPr>
          <w:rFonts w:cs="Arial"/>
          <w:bCs/>
        </w:rPr>
        <w:t>déploiement), ainsi que les procédures de sauvegarde et de restauration avec tests réguliers de restauration.</w:t>
      </w:r>
    </w:p>
    <w:p w14:paraId="0D2CE222" w14:textId="77777777" w:rsidR="00F409E4" w:rsidRPr="00A13E81" w:rsidRDefault="00F409E4" w:rsidP="00F409E4">
      <w:pPr>
        <w:rPr>
          <w:rFonts w:cs="Arial"/>
          <w:bCs/>
        </w:rPr>
      </w:pPr>
    </w:p>
    <w:p w14:paraId="5F1B04A9" w14:textId="093F64C3" w:rsidR="00F409E4" w:rsidRPr="00A13E81" w:rsidRDefault="00F409E4" w:rsidP="00A13E81">
      <w:pPr>
        <w:rPr>
          <w:rFonts w:cs="Arial"/>
          <w:bCs/>
        </w:rPr>
      </w:pPr>
      <w:r w:rsidRPr="00A13E81">
        <w:rPr>
          <w:rFonts w:cs="Arial"/>
          <w:bCs/>
        </w:rPr>
        <w:t xml:space="preserve">La </w:t>
      </w:r>
      <w:r w:rsidRPr="00A13E81">
        <w:rPr>
          <w:rFonts w:cs="Arial"/>
          <w:b/>
          <w:bCs/>
        </w:rPr>
        <w:t>documentation utilisateur</w:t>
      </w:r>
      <w:r w:rsidRPr="00A13E81">
        <w:rPr>
          <w:rFonts w:cs="Arial"/>
          <w:bCs/>
        </w:rPr>
        <w:t xml:space="preserve"> comprend un manuel d’utilisation détaillé et illustré, une F</w:t>
      </w:r>
      <w:r w:rsidR="00DD531F">
        <w:rPr>
          <w:rFonts w:cs="Arial"/>
          <w:bCs/>
        </w:rPr>
        <w:t xml:space="preserve">oire aux </w:t>
      </w:r>
      <w:r w:rsidRPr="00A13E81">
        <w:rPr>
          <w:rFonts w:cs="Arial"/>
          <w:bCs/>
        </w:rPr>
        <w:t>Q</w:t>
      </w:r>
      <w:r w:rsidR="00DD531F">
        <w:rPr>
          <w:rFonts w:cs="Arial"/>
          <w:bCs/>
        </w:rPr>
        <w:t>uestions (FAQ)</w:t>
      </w:r>
      <w:r w:rsidRPr="00A13E81">
        <w:rPr>
          <w:rFonts w:cs="Arial"/>
          <w:bCs/>
        </w:rPr>
        <w:t xml:space="preserve"> couvrant les questions fréquentes et les erreurs courantes, ainsi que des scénarios d’usage explicites, décrivant les parcours utilisateurs et les bonnes pratiques d’utilisation du système.</w:t>
      </w:r>
    </w:p>
    <w:p w14:paraId="7FEAC72C" w14:textId="77777777" w:rsidR="00F409E4" w:rsidRDefault="00F409E4" w:rsidP="00AF3D6B">
      <w:pPr>
        <w:rPr>
          <w:b/>
          <w:bCs/>
        </w:rPr>
      </w:pPr>
    </w:p>
    <w:p w14:paraId="06817C8F" w14:textId="77777777" w:rsidR="00206994" w:rsidRPr="00E85B0B" w:rsidRDefault="00206994" w:rsidP="00AF3D6B">
      <w:pPr>
        <w:rPr>
          <w:b/>
          <w:bCs/>
        </w:rPr>
      </w:pPr>
    </w:p>
    <w:p w14:paraId="0C7C0E28" w14:textId="77777777" w:rsidR="00AF3D6B" w:rsidRPr="00E85B0B" w:rsidRDefault="00AF3D6B" w:rsidP="00A13E81">
      <w:pPr>
        <w:pStyle w:val="Titre2"/>
      </w:pPr>
      <w:bookmarkStart w:id="110" w:name="_Toc218852844"/>
      <w:r w:rsidRPr="00E85B0B">
        <w:t>Exigences UX/UI</w:t>
      </w:r>
      <w:r>
        <w:t xml:space="preserve"> design</w:t>
      </w:r>
      <w:bookmarkEnd w:id="110"/>
    </w:p>
    <w:p w14:paraId="0CD2C879" w14:textId="5F4C0F46" w:rsidR="00AF3D6B" w:rsidRPr="00C34784" w:rsidRDefault="00AF3D6B" w:rsidP="00AF3D6B">
      <w:pPr>
        <w:rPr>
          <w:b/>
          <w:bCs/>
        </w:rPr>
      </w:pPr>
    </w:p>
    <w:p w14:paraId="0D617232" w14:textId="77777777" w:rsidR="00AF3D6B" w:rsidRDefault="00AF3D6B" w:rsidP="00AF3D6B"/>
    <w:p w14:paraId="6E66B064" w14:textId="26906FAF" w:rsidR="00AF3D6B" w:rsidRDefault="00AF3D6B" w:rsidP="00AF3D6B">
      <w:r>
        <w:t>La conception et la réalisation de la solution doit s’inscrire de bout en bout dans une démarche visant à optimiser l’ensemble du parcours utilisateur associé au dépôt de l’ensemble des pièces justificatives des comptes des partis politiques, à leur traitement, ainsi qu’aux opér</w:t>
      </w:r>
      <w:r w:rsidR="00597AA9">
        <w:t>ations de contrôle (instruction</w:t>
      </w:r>
      <w:r>
        <w:t xml:space="preserve">) des comptes de campagnes jusqu’à la prise de décision par la CNCCFP. </w:t>
      </w:r>
    </w:p>
    <w:p w14:paraId="7489F06C" w14:textId="77777777" w:rsidR="00AF3D6B" w:rsidRDefault="00AF3D6B" w:rsidP="00AF3D6B"/>
    <w:p w14:paraId="6AD9686D" w14:textId="77777777" w:rsidR="00AF3D6B" w:rsidRDefault="00AF3D6B" w:rsidP="00AF3D6B">
      <w:r>
        <w:t xml:space="preserve">Ces activités, essentielles au fonctionnement métier, exigent des interfaces fluides, ergonomiques, intuitives, adaptées à la grande diversité des profils utilisateurs et à leurs besoins spécifiques. </w:t>
      </w:r>
    </w:p>
    <w:p w14:paraId="31880DEB" w14:textId="77777777" w:rsidR="00AF3D6B" w:rsidRDefault="00AF3D6B" w:rsidP="00AF3D6B"/>
    <w:p w14:paraId="4B8AAEA3" w14:textId="60161DB9" w:rsidR="00AF3D6B" w:rsidRDefault="00AF3D6B" w:rsidP="00AF3D6B">
      <w:r>
        <w:t>Des travaux d’UX design ont été réalisés par la CNCCFP en amont de la publication du marché. Un dossier décrivant les principaux parcours cibles, définis avec des groupes d’utilisateurs finaux, sera annexé au</w:t>
      </w:r>
      <w:r w:rsidR="009F38DA">
        <w:t xml:space="preserve"> CCTP</w:t>
      </w:r>
      <w:r>
        <w:t>.</w:t>
      </w:r>
    </w:p>
    <w:p w14:paraId="225A7AE2" w14:textId="77777777" w:rsidR="00AF3D6B" w:rsidRDefault="00AF3D6B" w:rsidP="00AF3D6B"/>
    <w:p w14:paraId="0428F783" w14:textId="77777777" w:rsidR="00AF3D6B" w:rsidRDefault="00AF3D6B" w:rsidP="00AF3D6B">
      <w:r>
        <w:t xml:space="preserve">Le titulaire devra garantir : </w:t>
      </w:r>
    </w:p>
    <w:p w14:paraId="0E8986FF" w14:textId="6701E2EB" w:rsidR="00AF3D6B" w:rsidRDefault="00AF3D6B" w:rsidP="00AF3D6B">
      <w:pPr>
        <w:pStyle w:val="Paragraphedeliste"/>
        <w:numPr>
          <w:ilvl w:val="1"/>
          <w:numId w:val="51"/>
        </w:numPr>
        <w:contextualSpacing w:val="0"/>
      </w:pPr>
      <w:r>
        <w:t xml:space="preserve">la cohérence fonctionnelle et ergonomique de l’ensemble des wireframes fournis </w:t>
      </w:r>
      <w:r w:rsidR="009F38DA">
        <w:t xml:space="preserve">avec le CCTP </w:t>
      </w:r>
      <w:r>
        <w:t xml:space="preserve">lors de la phase de développement ; </w:t>
      </w:r>
    </w:p>
    <w:p w14:paraId="4D0CA36D" w14:textId="77777777" w:rsidR="00AF3D6B" w:rsidRDefault="00AF3D6B" w:rsidP="00AF3D6B">
      <w:pPr>
        <w:pStyle w:val="Paragraphedeliste"/>
        <w:numPr>
          <w:ilvl w:val="1"/>
          <w:numId w:val="51"/>
        </w:numPr>
        <w:contextualSpacing w:val="0"/>
      </w:pPr>
      <w:r>
        <w:t>la conformité aux normes d’accessibilité en vigueur (RGAA 5.0 / WCAG 2.2 niveau AA) ;</w:t>
      </w:r>
    </w:p>
    <w:p w14:paraId="78E66EAD" w14:textId="77777777" w:rsidR="00AF3D6B" w:rsidRDefault="00AF3D6B" w:rsidP="00AF3D6B">
      <w:pPr>
        <w:pStyle w:val="Paragraphedeliste"/>
        <w:numPr>
          <w:ilvl w:val="1"/>
          <w:numId w:val="51"/>
        </w:numPr>
        <w:contextualSpacing w:val="0"/>
      </w:pPr>
      <w:r>
        <w:t>l’utilisation et le respect du design system et des guidelines existants, incluant :</w:t>
      </w:r>
    </w:p>
    <w:p w14:paraId="3B30DA22" w14:textId="77777777" w:rsidR="00AF3D6B" w:rsidRDefault="00AF3D6B" w:rsidP="00AF3D6B">
      <w:pPr>
        <w:pStyle w:val="Paragraphedeliste"/>
        <w:numPr>
          <w:ilvl w:val="2"/>
          <w:numId w:val="51"/>
        </w:numPr>
        <w:contextualSpacing w:val="0"/>
      </w:pPr>
      <w:r>
        <w:t>des composants réutilisables ;</w:t>
      </w:r>
    </w:p>
    <w:p w14:paraId="5C2D2AC8" w14:textId="77777777" w:rsidR="00AF3D6B" w:rsidRDefault="00AF3D6B" w:rsidP="00AF3D6B">
      <w:pPr>
        <w:pStyle w:val="Paragraphedeliste"/>
        <w:numPr>
          <w:ilvl w:val="2"/>
          <w:numId w:val="51"/>
        </w:numPr>
        <w:contextualSpacing w:val="0"/>
      </w:pPr>
      <w:r>
        <w:t>les standards graphiques ;</w:t>
      </w:r>
    </w:p>
    <w:p w14:paraId="4BCF3217" w14:textId="77777777" w:rsidR="00AF3D6B" w:rsidRDefault="00AF3D6B" w:rsidP="00AF3D6B">
      <w:pPr>
        <w:pStyle w:val="Paragraphedeliste"/>
        <w:numPr>
          <w:ilvl w:val="2"/>
          <w:numId w:val="51"/>
        </w:numPr>
        <w:contextualSpacing w:val="0"/>
      </w:pPr>
      <w:r>
        <w:t>et les outils de conception et de développement associés.</w:t>
      </w:r>
    </w:p>
    <w:p w14:paraId="66C18AB9" w14:textId="77777777" w:rsidR="00AF3D6B" w:rsidRDefault="00AF3D6B" w:rsidP="00AF3D6B"/>
    <w:p w14:paraId="29F3CA67" w14:textId="77777777" w:rsidR="00AF3D6B" w:rsidRDefault="00AF3D6B" w:rsidP="00AF3D6B">
      <w:r>
        <w:t>Pour ce faire, il mobilisera des ressources spécialisées dans les domaines UX/UI lors des étapes de conception des parcours et des écrans.</w:t>
      </w:r>
    </w:p>
    <w:p w14:paraId="08A89A2D" w14:textId="77777777" w:rsidR="00AF3D6B" w:rsidRDefault="00AF3D6B" w:rsidP="00AF3D6B"/>
    <w:p w14:paraId="341A91C9" w14:textId="17C06571" w:rsidR="00AF3D6B" w:rsidRDefault="00AF3D6B" w:rsidP="00AF3D6B">
      <w:r>
        <w:t>En matière d’UI, le prestataire devra décliner dans chacun des écrans la charte graphique de la CNCCFP qui lui sera fournie.</w:t>
      </w:r>
    </w:p>
    <w:p w14:paraId="0325B4DE" w14:textId="77777777" w:rsidR="00147D1C" w:rsidRDefault="00147D1C" w:rsidP="00147D1C">
      <w:pPr>
        <w:rPr>
          <w:rFonts w:cs="Arial"/>
        </w:rPr>
      </w:pPr>
    </w:p>
    <w:p w14:paraId="1231D434" w14:textId="733CBF2F" w:rsidR="00B82B77" w:rsidRDefault="009D45CB" w:rsidP="00087377">
      <w:pPr>
        <w:jc w:val="left"/>
        <w:rPr>
          <w:rFonts w:cs="Arial"/>
        </w:rPr>
      </w:pPr>
      <w:r>
        <w:rPr>
          <w:rFonts w:cs="Arial"/>
        </w:rPr>
        <w:br w:type="page"/>
      </w:r>
    </w:p>
    <w:p w14:paraId="1CA686DD" w14:textId="7C7F5F96" w:rsidR="00B82B77" w:rsidRDefault="00B82B77">
      <w:pPr>
        <w:pStyle w:val="Titre2"/>
        <w:numPr>
          <w:ilvl w:val="0"/>
          <w:numId w:val="0"/>
        </w:numPr>
        <w:ind w:left="792"/>
      </w:pPr>
      <w:bookmarkStart w:id="111" w:name="_Toc218852845"/>
      <w:r w:rsidRPr="00691395">
        <w:t>Annexe 1 : Définition des principaux termes « métier »</w:t>
      </w:r>
      <w:bookmarkEnd w:id="111"/>
    </w:p>
    <w:p w14:paraId="3D8304E3" w14:textId="665F5AFE" w:rsidR="00087377" w:rsidRDefault="00087377" w:rsidP="00087377"/>
    <w:p w14:paraId="7332BD01" w14:textId="77777777" w:rsidR="00087377" w:rsidRPr="00087377" w:rsidRDefault="00087377" w:rsidP="00087377"/>
    <w:p w14:paraId="3E9A029D" w14:textId="77777777" w:rsidR="009D45CB" w:rsidRPr="009D45CB" w:rsidRDefault="009D45CB" w:rsidP="009D45CB"/>
    <w:tbl>
      <w:tblPr>
        <w:tblW w:w="904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40"/>
        <w:gridCol w:w="6405"/>
      </w:tblGrid>
      <w:tr w:rsidR="009D45CB" w14:paraId="5B2B0994" w14:textId="6D509A76" w:rsidTr="009D45CB">
        <w:trPr>
          <w:trHeight w:val="890"/>
        </w:trPr>
        <w:tc>
          <w:tcPr>
            <w:tcW w:w="2640" w:type="dxa"/>
            <w:shd w:val="clear" w:color="auto" w:fill="B4C6E7" w:themeFill="accent1" w:themeFillTint="66"/>
          </w:tcPr>
          <w:p w14:paraId="3573201F" w14:textId="77777777" w:rsidR="009D45CB" w:rsidRPr="003419A9" w:rsidRDefault="009D45CB" w:rsidP="0042596E">
            <w:pPr>
              <w:spacing w:before="240" w:after="240"/>
              <w:rPr>
                <w:sz w:val="18"/>
                <w:szCs w:val="18"/>
              </w:rPr>
            </w:pPr>
            <w:bookmarkStart w:id="112" w:name="_Toc218781192"/>
            <w:bookmarkEnd w:id="112"/>
            <w:r w:rsidRPr="003419A9">
              <w:rPr>
                <w:sz w:val="18"/>
                <w:szCs w:val="18"/>
              </w:rPr>
              <w:t>Terme métier</w:t>
            </w:r>
          </w:p>
        </w:tc>
        <w:tc>
          <w:tcPr>
            <w:tcW w:w="6405" w:type="dxa"/>
            <w:shd w:val="clear" w:color="auto" w:fill="B4C6E7" w:themeFill="accent1" w:themeFillTint="66"/>
          </w:tcPr>
          <w:p w14:paraId="1CA4039B" w14:textId="77777777" w:rsidR="009D45CB" w:rsidRPr="003419A9" w:rsidRDefault="009D45CB" w:rsidP="0042596E">
            <w:pPr>
              <w:spacing w:before="240" w:after="240"/>
              <w:rPr>
                <w:sz w:val="18"/>
                <w:szCs w:val="18"/>
              </w:rPr>
            </w:pPr>
            <w:r w:rsidRPr="003419A9">
              <w:rPr>
                <w:sz w:val="18"/>
                <w:szCs w:val="18"/>
              </w:rPr>
              <w:t>Définition</w:t>
            </w:r>
          </w:p>
        </w:tc>
      </w:tr>
      <w:tr w:rsidR="009D45CB" w14:paraId="745CD3F8" w14:textId="3E8068D7" w:rsidTr="009D45CB">
        <w:trPr>
          <w:trHeight w:val="5378"/>
        </w:trPr>
        <w:tc>
          <w:tcPr>
            <w:tcW w:w="2640" w:type="dxa"/>
          </w:tcPr>
          <w:p w14:paraId="1D1B5C6B"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 xml:space="preserve">Mandataire </w:t>
            </w:r>
          </w:p>
        </w:tc>
        <w:tc>
          <w:tcPr>
            <w:tcW w:w="6405" w:type="dxa"/>
          </w:tcPr>
          <w:p w14:paraId="3DB52CB1"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L’obligation de déclarer un mandataire p</w:t>
            </w:r>
            <w:r>
              <w:rPr>
                <w:rFonts w:eastAsia="Arial" w:cs="Arial"/>
                <w:sz w:val="18"/>
                <w:szCs w:val="18"/>
              </w:rPr>
              <w:t>ou</w:t>
            </w:r>
            <w:r w:rsidRPr="003419A9">
              <w:rPr>
                <w:rFonts w:eastAsia="Arial" w:cs="Arial"/>
                <w:sz w:val="18"/>
                <w:szCs w:val="18"/>
              </w:rPr>
              <w:t>r les candidats et les partis politiques répond à l’objectif de transparence et de traçabilité financière fixé par le législateur.</w:t>
            </w:r>
          </w:p>
          <w:p w14:paraId="6A806880" w14:textId="77777777" w:rsidR="009D45CB" w:rsidRPr="003419A9" w:rsidRDefault="009D45CB" w:rsidP="0042596E">
            <w:pPr>
              <w:numPr>
                <w:ilvl w:val="0"/>
                <w:numId w:val="12"/>
              </w:numPr>
              <w:spacing w:before="240" w:after="240"/>
              <w:rPr>
                <w:rFonts w:eastAsia="Arial" w:cs="Arial"/>
                <w:sz w:val="18"/>
                <w:szCs w:val="18"/>
              </w:rPr>
            </w:pPr>
            <w:r w:rsidRPr="003419A9">
              <w:rPr>
                <w:rFonts w:eastAsia="Arial" w:cs="Arial"/>
                <w:sz w:val="18"/>
                <w:szCs w:val="18"/>
              </w:rPr>
              <w:t>Chaque candidat, candidat tête de liste ou binôme de candidat à une élection politique (hormis les élections municipales dans les communes de moins de 9 000 habitants) doit déclarer en préfecture, au plus tard le jour du dépôt officiel de sa candidature, un mandataire qui est soit une personne physique, soit une association de financement électorale.</w:t>
            </w:r>
          </w:p>
          <w:p w14:paraId="5B35ED69" w14:textId="77777777" w:rsidR="009D45CB" w:rsidRPr="003419A9" w:rsidRDefault="009D45CB" w:rsidP="0042596E">
            <w:pPr>
              <w:spacing w:before="240" w:after="240"/>
              <w:ind w:left="720"/>
              <w:rPr>
                <w:rFonts w:eastAsia="Arial" w:cs="Arial"/>
                <w:sz w:val="18"/>
                <w:szCs w:val="18"/>
              </w:rPr>
            </w:pPr>
            <w:r w:rsidRPr="003419A9">
              <w:rPr>
                <w:rFonts w:eastAsia="Arial" w:cs="Arial"/>
                <w:sz w:val="18"/>
                <w:szCs w:val="18"/>
              </w:rPr>
              <w:t>Le mandataire du candidat doit percevoir les recettes et payer les dépenses qui seront retracées dans le compte de campagne sur un compte bancaire unique ouvert à son nom.</w:t>
            </w:r>
          </w:p>
          <w:p w14:paraId="3EE1B919" w14:textId="77777777" w:rsidR="009D45CB" w:rsidRPr="003419A9" w:rsidRDefault="009D45CB" w:rsidP="0042596E">
            <w:pPr>
              <w:numPr>
                <w:ilvl w:val="0"/>
                <w:numId w:val="11"/>
              </w:numPr>
              <w:spacing w:before="240" w:after="240"/>
              <w:rPr>
                <w:rFonts w:eastAsia="Arial" w:cs="Arial"/>
                <w:sz w:val="18"/>
                <w:szCs w:val="18"/>
              </w:rPr>
            </w:pPr>
            <w:r w:rsidRPr="003419A9">
              <w:rPr>
                <w:rFonts w:eastAsia="Arial" w:cs="Arial"/>
                <w:sz w:val="18"/>
                <w:szCs w:val="18"/>
              </w:rPr>
              <w:t xml:space="preserve">Pour être autorisé à participer au financement de la vie politique </w:t>
            </w:r>
            <w:r>
              <w:rPr>
                <w:rFonts w:eastAsia="Arial" w:cs="Arial"/>
                <w:sz w:val="18"/>
                <w:szCs w:val="18"/>
              </w:rPr>
              <w:t>et</w:t>
            </w:r>
            <w:r w:rsidRPr="003419A9">
              <w:rPr>
                <w:rFonts w:eastAsia="Arial" w:cs="Arial"/>
                <w:sz w:val="18"/>
                <w:szCs w:val="18"/>
              </w:rPr>
              <w:t xml:space="preserve"> faire bénéficier ses donateurs et cotisants d’un droit à réduction d'impôt, les partis et groupements politiques doivent désigner un mandataire qui est soit </w:t>
            </w:r>
            <w:r>
              <w:rPr>
                <w:rFonts w:eastAsia="Arial" w:cs="Arial"/>
                <w:sz w:val="18"/>
                <w:szCs w:val="18"/>
              </w:rPr>
              <w:t xml:space="preserve">un mandataire financier, </w:t>
            </w:r>
            <w:r w:rsidRPr="003419A9">
              <w:rPr>
                <w:rFonts w:eastAsia="Arial" w:cs="Arial"/>
                <w:sz w:val="18"/>
                <w:szCs w:val="18"/>
              </w:rPr>
              <w:t>personne physique,</w:t>
            </w:r>
            <w:r>
              <w:rPr>
                <w:rFonts w:eastAsia="Arial" w:cs="Arial"/>
                <w:sz w:val="18"/>
                <w:szCs w:val="18"/>
              </w:rPr>
              <w:t xml:space="preserve"> déclaré en préfecture,</w:t>
            </w:r>
            <w:r w:rsidRPr="003419A9">
              <w:rPr>
                <w:rFonts w:eastAsia="Arial" w:cs="Arial"/>
                <w:sz w:val="18"/>
                <w:szCs w:val="18"/>
              </w:rPr>
              <w:t xml:space="preserve"> soit une association de financement ayant reçu </w:t>
            </w:r>
            <w:r>
              <w:rPr>
                <w:rFonts w:eastAsia="Arial" w:cs="Arial"/>
                <w:sz w:val="18"/>
                <w:szCs w:val="18"/>
              </w:rPr>
              <w:t xml:space="preserve">un </w:t>
            </w:r>
            <w:r w:rsidRPr="003419A9">
              <w:rPr>
                <w:rFonts w:eastAsia="Arial" w:cs="Arial"/>
                <w:sz w:val="18"/>
                <w:szCs w:val="18"/>
              </w:rPr>
              <w:t>agrément de la commission.</w:t>
            </w:r>
          </w:p>
          <w:p w14:paraId="7486D9C2" w14:textId="77777777" w:rsidR="009D45CB" w:rsidRPr="003419A9" w:rsidRDefault="009D45CB" w:rsidP="0042596E">
            <w:pPr>
              <w:spacing w:before="240" w:after="240"/>
              <w:ind w:left="720"/>
              <w:rPr>
                <w:rFonts w:eastAsia="Arial" w:cs="Arial"/>
                <w:sz w:val="18"/>
                <w:szCs w:val="18"/>
              </w:rPr>
            </w:pPr>
            <w:r w:rsidRPr="003419A9">
              <w:rPr>
                <w:rFonts w:eastAsia="Arial" w:cs="Arial"/>
                <w:sz w:val="18"/>
                <w:szCs w:val="18"/>
              </w:rPr>
              <w:t>Le mandataire doit percevoir l’ensemble des ressources du parti sur un compte bancaire unique ouvert à son nom.</w:t>
            </w:r>
          </w:p>
        </w:tc>
      </w:tr>
      <w:tr w:rsidR="009D45CB" w14:paraId="196A9F5F" w14:textId="248FF4FE" w:rsidTr="009D45CB">
        <w:trPr>
          <w:trHeight w:val="6931"/>
        </w:trPr>
        <w:tc>
          <w:tcPr>
            <w:tcW w:w="2640" w:type="dxa"/>
          </w:tcPr>
          <w:p w14:paraId="283CD1E6"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Compte de campagne</w:t>
            </w:r>
          </w:p>
        </w:tc>
        <w:tc>
          <w:tcPr>
            <w:tcW w:w="6405" w:type="dxa"/>
          </w:tcPr>
          <w:p w14:paraId="404D2152"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Chaque candidat, candidat tête de liste ou binôme de candidat soumis à l’obligation de déclarer un mandataire doit déposer un compte de campagne au plus tard le 10e vendredi qui suit le premier tour de l’élection (11e vendredi pour l’élection présidentielle</w:t>
            </w:r>
            <w:r>
              <w:rPr>
                <w:rFonts w:eastAsia="Arial" w:cs="Arial"/>
                <w:sz w:val="18"/>
                <w:szCs w:val="18"/>
              </w:rPr>
              <w:t xml:space="preserve"> et 15</w:t>
            </w:r>
            <w:r w:rsidRPr="009D74F1">
              <w:rPr>
                <w:rFonts w:eastAsia="Arial" w:cs="Arial"/>
                <w:sz w:val="18"/>
                <w:szCs w:val="18"/>
                <w:vertAlign w:val="superscript"/>
              </w:rPr>
              <w:t>ème</w:t>
            </w:r>
            <w:r>
              <w:rPr>
                <w:rFonts w:eastAsia="Arial" w:cs="Arial"/>
                <w:sz w:val="18"/>
                <w:szCs w:val="18"/>
              </w:rPr>
              <w:t xml:space="preserve"> vendredi selon le tour de scrutin où l’élection a été acquise pour les députés et les sénateurs des français de l’étranger</w:t>
            </w:r>
            <w:r w:rsidRPr="003419A9">
              <w:rPr>
                <w:rFonts w:eastAsia="Arial" w:cs="Arial"/>
                <w:sz w:val="18"/>
                <w:szCs w:val="18"/>
              </w:rPr>
              <w:t>).</w:t>
            </w:r>
          </w:p>
          <w:p w14:paraId="6A042C8A"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Le compte doit retracer l’ensemble des dépenses engagées ou effectuées en vue de l’élection pendant une période débutant le 1er jour du 6e mois précédant le mois de l’élection (12e mois pour l’élection présidentielle), par nature, et les recettes par origine.</w:t>
            </w:r>
          </w:p>
          <w:p w14:paraId="3D2D9D99"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Dans la majorité des cas, il doit être présenté par un expert-comptable.</w:t>
            </w:r>
          </w:p>
          <w:p w14:paraId="1A03CCE7"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Il se compose principalement :</w:t>
            </w:r>
          </w:p>
          <w:p w14:paraId="1ED876FD"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de l’identification du candidat, de son mandataire et de l’expert-comptable chargé de présenter le compte ;</w:t>
            </w:r>
          </w:p>
          <w:p w14:paraId="71597CCF"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d’un état des dépenses et des recettes ;</w:t>
            </w:r>
          </w:p>
          <w:p w14:paraId="1115F42F"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d’annexes détaillant différents éléments des comptes ;</w:t>
            </w:r>
          </w:p>
          <w:p w14:paraId="1245609B"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de documents comptables (principalement journaux, bilan, compte de résultat, grands livres, bilan, rapprochement bancaire) ;</w:t>
            </w:r>
          </w:p>
          <w:p w14:paraId="0A97D043"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 xml:space="preserve">des relevés bancaires du compte bancaire ouvert par le mandataire pour la campagne </w:t>
            </w:r>
            <w:r>
              <w:rPr>
                <w:rFonts w:eastAsia="Arial" w:cs="Arial"/>
                <w:sz w:val="18"/>
                <w:szCs w:val="18"/>
              </w:rPr>
              <w:t xml:space="preserve">et de ceux du candidat pour justifier du paiement des menues dépenses et des frais financiers (intérêts par exemple) </w:t>
            </w:r>
            <w:r w:rsidRPr="003419A9">
              <w:rPr>
                <w:rFonts w:eastAsia="Arial" w:cs="Arial"/>
                <w:sz w:val="18"/>
                <w:szCs w:val="18"/>
              </w:rPr>
              <w:t>;</w:t>
            </w:r>
          </w:p>
          <w:p w14:paraId="7D1D456C"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des pièces justificatives des dépenses (principalement factures, mais également images diverses, vidéos, tableaux etc.) ;</w:t>
            </w:r>
          </w:p>
          <w:p w14:paraId="66FD2B15" w14:textId="77777777" w:rsidR="009D45CB" w:rsidRPr="003419A9" w:rsidRDefault="009D45CB" w:rsidP="0042596E">
            <w:pPr>
              <w:numPr>
                <w:ilvl w:val="0"/>
                <w:numId w:val="9"/>
              </w:numPr>
              <w:spacing w:before="120" w:after="120"/>
              <w:ind w:left="714" w:hanging="357"/>
              <w:rPr>
                <w:rFonts w:eastAsia="Arial" w:cs="Arial"/>
                <w:sz w:val="18"/>
                <w:szCs w:val="18"/>
              </w:rPr>
            </w:pPr>
            <w:r w:rsidRPr="003419A9">
              <w:rPr>
                <w:rFonts w:eastAsia="Arial" w:cs="Arial"/>
                <w:sz w:val="18"/>
                <w:szCs w:val="18"/>
              </w:rPr>
              <w:t>des pièces justificatives des recettes (copies/remises de chèque, ordre de virement, listes de versements par carte bancaire etc.).</w:t>
            </w:r>
          </w:p>
        </w:tc>
      </w:tr>
      <w:tr w:rsidR="009D45CB" w14:paraId="352A2A58" w14:textId="0DFEDF31" w:rsidTr="009D45CB">
        <w:trPr>
          <w:trHeight w:val="4521"/>
        </w:trPr>
        <w:tc>
          <w:tcPr>
            <w:tcW w:w="2640" w:type="dxa"/>
          </w:tcPr>
          <w:p w14:paraId="2A70B1B7"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Comptes d’ensemble des partis et groupements politiques</w:t>
            </w:r>
          </w:p>
        </w:tc>
        <w:tc>
          <w:tcPr>
            <w:tcW w:w="6405" w:type="dxa"/>
          </w:tcPr>
          <w:p w14:paraId="405E87C8"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Dès lors qu’un parti est éligible à l’aide publique ou a désigné un mandataire il est tenu de déposer annuellement à la commission des comptes d’ensemble certifiés par un ou deux commissaires aux comptes, au plus tard le 30 juin de l’année suivant celle de l’exercice comptable concerné.</w:t>
            </w:r>
          </w:p>
          <w:p w14:paraId="058BD662"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Les comptes sont présentés conformément à un règlement comptable établi par l’Autorité des normes comptables.</w:t>
            </w:r>
          </w:p>
          <w:p w14:paraId="60AC0F18"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 xml:space="preserve">Il ne s’agit pas de la production de la comptabilité complète </w:t>
            </w:r>
            <w:r>
              <w:rPr>
                <w:rFonts w:eastAsia="Arial" w:cs="Arial"/>
                <w:sz w:val="18"/>
                <w:szCs w:val="18"/>
              </w:rPr>
              <w:t xml:space="preserve">du parti politique mais </w:t>
            </w:r>
            <w:r w:rsidRPr="003419A9">
              <w:rPr>
                <w:rFonts w:eastAsia="Arial" w:cs="Arial"/>
                <w:sz w:val="18"/>
                <w:szCs w:val="18"/>
              </w:rPr>
              <w:t xml:space="preserve">des comptes </w:t>
            </w:r>
            <w:r>
              <w:rPr>
                <w:rFonts w:eastAsia="Arial" w:cs="Arial"/>
                <w:sz w:val="18"/>
                <w:szCs w:val="18"/>
              </w:rPr>
              <w:t>d’ensemble du parti au sein desquels sont consolidés et intégrés</w:t>
            </w:r>
            <w:r w:rsidRPr="003419A9">
              <w:rPr>
                <w:rFonts w:eastAsia="Arial" w:cs="Arial"/>
                <w:sz w:val="18"/>
                <w:szCs w:val="18"/>
              </w:rPr>
              <w:t xml:space="preserve"> toutes les entités entrant dans son périmètre comptable (différentes organisations territoriales, sociétés</w:t>
            </w:r>
            <w:r>
              <w:rPr>
                <w:rFonts w:eastAsia="Arial" w:cs="Arial"/>
                <w:sz w:val="18"/>
                <w:szCs w:val="18"/>
              </w:rPr>
              <w:t>, etc.</w:t>
            </w:r>
            <w:r w:rsidRPr="003419A9">
              <w:rPr>
                <w:rFonts w:eastAsia="Arial" w:cs="Arial"/>
                <w:sz w:val="18"/>
                <w:szCs w:val="18"/>
              </w:rPr>
              <w:t>).</w:t>
            </w:r>
          </w:p>
          <w:p w14:paraId="43CBECFA"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Ils se composent :</w:t>
            </w:r>
          </w:p>
          <w:p w14:paraId="014F03D2" w14:textId="77777777" w:rsidR="009D45CB" w:rsidRDefault="009D45CB" w:rsidP="0042596E">
            <w:pPr>
              <w:numPr>
                <w:ilvl w:val="0"/>
                <w:numId w:val="10"/>
              </w:numPr>
              <w:spacing w:before="120" w:after="120"/>
              <w:ind w:left="714" w:hanging="357"/>
              <w:rPr>
                <w:rFonts w:eastAsia="Arial" w:cs="Arial"/>
                <w:sz w:val="18"/>
                <w:szCs w:val="18"/>
              </w:rPr>
            </w:pPr>
            <w:r>
              <w:rPr>
                <w:rFonts w:eastAsia="Arial" w:cs="Arial"/>
                <w:sz w:val="18"/>
                <w:szCs w:val="18"/>
              </w:rPr>
              <w:t>du rapport du ou des commissaires aux comptes auquel sont joints les documents de synthèse suivant :</w:t>
            </w:r>
          </w:p>
          <w:p w14:paraId="4F525054" w14:textId="77777777" w:rsidR="009D45CB" w:rsidRPr="003419A9" w:rsidRDefault="009D45CB" w:rsidP="0042596E">
            <w:pPr>
              <w:numPr>
                <w:ilvl w:val="0"/>
                <w:numId w:val="10"/>
              </w:numPr>
              <w:spacing w:before="120" w:after="120"/>
              <w:ind w:left="714" w:hanging="357"/>
              <w:rPr>
                <w:rFonts w:eastAsia="Arial" w:cs="Arial"/>
                <w:sz w:val="18"/>
                <w:szCs w:val="18"/>
              </w:rPr>
            </w:pPr>
            <w:r w:rsidRPr="003419A9">
              <w:rPr>
                <w:rFonts w:eastAsia="Arial" w:cs="Arial"/>
                <w:sz w:val="18"/>
                <w:szCs w:val="18"/>
              </w:rPr>
              <w:t>un bilan ;</w:t>
            </w:r>
          </w:p>
          <w:p w14:paraId="23E07378" w14:textId="77777777" w:rsidR="009D45CB" w:rsidRPr="003419A9" w:rsidRDefault="009D45CB" w:rsidP="0042596E">
            <w:pPr>
              <w:numPr>
                <w:ilvl w:val="0"/>
                <w:numId w:val="10"/>
              </w:numPr>
              <w:spacing w:before="120" w:after="120"/>
              <w:ind w:left="714" w:hanging="357"/>
              <w:rPr>
                <w:rFonts w:eastAsia="Arial" w:cs="Arial"/>
                <w:sz w:val="18"/>
                <w:szCs w:val="18"/>
              </w:rPr>
            </w:pPr>
            <w:r w:rsidRPr="003419A9">
              <w:rPr>
                <w:rFonts w:eastAsia="Arial" w:cs="Arial"/>
                <w:sz w:val="18"/>
                <w:szCs w:val="18"/>
              </w:rPr>
              <w:t xml:space="preserve">un compte de résultat ; </w:t>
            </w:r>
          </w:p>
          <w:p w14:paraId="74BA9670" w14:textId="77777777" w:rsidR="009D45CB" w:rsidRPr="003419A9" w:rsidRDefault="009D45CB" w:rsidP="0042596E">
            <w:pPr>
              <w:numPr>
                <w:ilvl w:val="0"/>
                <w:numId w:val="10"/>
              </w:numPr>
              <w:spacing w:before="120" w:after="120"/>
              <w:ind w:left="714" w:hanging="357"/>
              <w:rPr>
                <w:rFonts w:eastAsia="Arial" w:cs="Arial"/>
                <w:sz w:val="18"/>
                <w:szCs w:val="18"/>
              </w:rPr>
            </w:pPr>
            <w:r w:rsidRPr="003419A9">
              <w:rPr>
                <w:rFonts w:eastAsia="Arial" w:cs="Arial"/>
                <w:sz w:val="18"/>
                <w:szCs w:val="18"/>
              </w:rPr>
              <w:t>une annexe comportant toute information de caractère significatif</w:t>
            </w:r>
          </w:p>
        </w:tc>
      </w:tr>
      <w:tr w:rsidR="009D45CB" w14:paraId="621603A8" w14:textId="757F176B" w:rsidTr="009D45CB">
        <w:trPr>
          <w:trHeight w:val="2112"/>
        </w:trPr>
        <w:tc>
          <w:tcPr>
            <w:tcW w:w="2640" w:type="dxa"/>
          </w:tcPr>
          <w:p w14:paraId="2DA73BED"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Justificatifs de recettes des mandataires des partis politiques</w:t>
            </w:r>
          </w:p>
        </w:tc>
        <w:tc>
          <w:tcPr>
            <w:tcW w:w="6405" w:type="dxa"/>
          </w:tcPr>
          <w:p w14:paraId="03B2B14B" w14:textId="77777777" w:rsidR="009D45CB" w:rsidRPr="003419A9" w:rsidRDefault="009D45CB" w:rsidP="0042596E">
            <w:pPr>
              <w:spacing w:before="240" w:after="240"/>
              <w:rPr>
                <w:rFonts w:eastAsia="Arial" w:cs="Arial"/>
                <w:sz w:val="18"/>
                <w:szCs w:val="18"/>
              </w:rPr>
            </w:pPr>
            <w:r>
              <w:rPr>
                <w:rFonts w:eastAsia="Arial" w:cs="Arial"/>
                <w:sz w:val="18"/>
                <w:szCs w:val="18"/>
              </w:rPr>
              <w:t>Il s’agit de la c</w:t>
            </w:r>
            <w:r w:rsidRPr="003419A9">
              <w:rPr>
                <w:rFonts w:eastAsia="Arial" w:cs="Arial"/>
                <w:sz w:val="18"/>
                <w:szCs w:val="18"/>
              </w:rPr>
              <w:t>opie des pièces justificatives déposé</w:t>
            </w:r>
            <w:r>
              <w:rPr>
                <w:rFonts w:eastAsia="Arial" w:cs="Arial"/>
                <w:sz w:val="18"/>
                <w:szCs w:val="18"/>
              </w:rPr>
              <w:t>e</w:t>
            </w:r>
            <w:r w:rsidRPr="003419A9">
              <w:rPr>
                <w:rFonts w:eastAsia="Arial" w:cs="Arial"/>
                <w:sz w:val="18"/>
                <w:szCs w:val="18"/>
              </w:rPr>
              <w:t>s annuellement à la commission par les mandataires des partis politiques pour permettre le contrôle de la régularité des dons et cotisations encaissées.</w:t>
            </w:r>
          </w:p>
          <w:p w14:paraId="79483494"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 xml:space="preserve">Ces pièces se composent principalement des relevés bancaires du compte bancaire ouvert par le mandataire, des bordereaux de remises de chèque et d’espèces, de </w:t>
            </w:r>
            <w:r>
              <w:rPr>
                <w:rFonts w:eastAsia="Arial" w:cs="Arial"/>
                <w:sz w:val="18"/>
                <w:szCs w:val="18"/>
              </w:rPr>
              <w:t xml:space="preserve">la </w:t>
            </w:r>
            <w:r w:rsidRPr="003419A9">
              <w:rPr>
                <w:rFonts w:eastAsia="Arial" w:cs="Arial"/>
                <w:sz w:val="18"/>
                <w:szCs w:val="18"/>
              </w:rPr>
              <w:t>liste des virements et prélèvements bancaire et de différents tableaux détaillant les éléments de la trésorerie.</w:t>
            </w:r>
          </w:p>
        </w:tc>
      </w:tr>
      <w:tr w:rsidR="009D45CB" w14:paraId="0CFA08A8" w14:textId="7DE78A6A" w:rsidTr="009D45CB">
        <w:trPr>
          <w:trHeight w:val="2341"/>
        </w:trPr>
        <w:tc>
          <w:tcPr>
            <w:tcW w:w="2640" w:type="dxa"/>
          </w:tcPr>
          <w:p w14:paraId="01972179"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Liste unique</w:t>
            </w:r>
          </w:p>
        </w:tc>
        <w:tc>
          <w:tcPr>
            <w:tcW w:w="6405" w:type="dxa"/>
          </w:tcPr>
          <w:p w14:paraId="1DEBBF7A"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 xml:space="preserve">Liste de tous les donateurs et cotisants pour une année donnée </w:t>
            </w:r>
            <w:r>
              <w:rPr>
                <w:rFonts w:eastAsia="Arial" w:cs="Arial"/>
                <w:sz w:val="18"/>
                <w:szCs w:val="18"/>
              </w:rPr>
              <w:t>ayant versé un don ou une cotisation à</w:t>
            </w:r>
            <w:r w:rsidRPr="003419A9">
              <w:rPr>
                <w:rFonts w:eastAsia="Arial" w:cs="Arial"/>
                <w:sz w:val="18"/>
                <w:szCs w:val="18"/>
              </w:rPr>
              <w:t xml:space="preserve"> un parti politique, selon un format normé.</w:t>
            </w:r>
          </w:p>
          <w:p w14:paraId="781D7EB7"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La production de cette liste par le parti politique est indépendante de la production des justificatifs de recettes par les mandataires.</w:t>
            </w:r>
          </w:p>
          <w:p w14:paraId="1E931E31" w14:textId="77777777" w:rsidR="009D45CB" w:rsidRPr="003419A9" w:rsidRDefault="009D45CB" w:rsidP="0042596E">
            <w:pPr>
              <w:spacing w:before="240" w:after="240"/>
              <w:rPr>
                <w:rFonts w:eastAsia="Arial" w:cs="Arial"/>
                <w:sz w:val="18"/>
                <w:szCs w:val="18"/>
              </w:rPr>
            </w:pPr>
            <w:r w:rsidRPr="003419A9">
              <w:rPr>
                <w:rFonts w:eastAsia="Arial" w:cs="Arial"/>
                <w:sz w:val="18"/>
                <w:szCs w:val="18"/>
              </w:rPr>
              <w:t>Elle a pour but de permettre le contrôle du respect du plafond des dons et des cotisations de personnes physiques aux partis sur l’ensemble des partis politiques pour une année donnée.</w:t>
            </w:r>
          </w:p>
        </w:tc>
      </w:tr>
      <w:tr w:rsidR="009D45CB" w14:paraId="50DF35A9" w14:textId="7C72D361" w:rsidTr="009D45CB">
        <w:trPr>
          <w:trHeight w:val="2332"/>
        </w:trPr>
        <w:tc>
          <w:tcPr>
            <w:tcW w:w="2640" w:type="dxa"/>
          </w:tcPr>
          <w:p w14:paraId="6F2ADA1D"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Procédure contradictoire</w:t>
            </w:r>
          </w:p>
        </w:tc>
        <w:tc>
          <w:tcPr>
            <w:tcW w:w="6405" w:type="dxa"/>
          </w:tcPr>
          <w:p w14:paraId="59FE7681"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Lors des différents contrôles effectués par la commission, elle est susceptible d’engager des échanges écrits avec les différents déposant (candidats aux élections politiques, partis politiques, mandataires des partis politiques etc.), afin de leur demander des précisions, des pièces complémentaires ou de les mettre en position de formuler des observations concernant des irrégularités susceptibles d’être relevées par la commission.</w:t>
            </w:r>
          </w:p>
          <w:p w14:paraId="12152954" w14:textId="77777777" w:rsidR="009D45CB" w:rsidRPr="003419A9" w:rsidRDefault="009D45CB" w:rsidP="0042596E">
            <w:pPr>
              <w:keepNext/>
              <w:keepLines/>
              <w:spacing w:before="240" w:line="276" w:lineRule="auto"/>
              <w:rPr>
                <w:rFonts w:eastAsia="Arial" w:cs="Arial"/>
                <w:sz w:val="18"/>
                <w:szCs w:val="18"/>
              </w:rPr>
            </w:pPr>
            <w:r w:rsidRPr="003419A9">
              <w:rPr>
                <w:rFonts w:eastAsia="Arial" w:cs="Arial"/>
                <w:sz w:val="18"/>
                <w:szCs w:val="18"/>
              </w:rPr>
              <w:t>Les réponses des déposants sont fréquemment accompagnées de la production de pièces</w:t>
            </w:r>
            <w:r>
              <w:rPr>
                <w:rFonts w:eastAsia="Arial" w:cs="Arial"/>
                <w:sz w:val="18"/>
                <w:szCs w:val="18"/>
              </w:rPr>
              <w:t xml:space="preserve"> complémentaires au dépôt initial</w:t>
            </w:r>
            <w:r w:rsidRPr="003419A9">
              <w:rPr>
                <w:rFonts w:eastAsia="Arial" w:cs="Arial"/>
                <w:sz w:val="18"/>
                <w:szCs w:val="18"/>
              </w:rPr>
              <w:t>.</w:t>
            </w:r>
          </w:p>
        </w:tc>
      </w:tr>
      <w:tr w:rsidR="009D45CB" w14:paraId="1021789C" w14:textId="740CC93D" w:rsidTr="009D45CB">
        <w:trPr>
          <w:trHeight w:val="1558"/>
        </w:trPr>
        <w:tc>
          <w:tcPr>
            <w:tcW w:w="2640" w:type="dxa"/>
          </w:tcPr>
          <w:p w14:paraId="1E1A6C70"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Formules numérotées de reçu</w:t>
            </w:r>
          </w:p>
        </w:tc>
        <w:tc>
          <w:tcPr>
            <w:tcW w:w="6405" w:type="dxa"/>
          </w:tcPr>
          <w:p w14:paraId="76BEC892"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Les différentes contributions versées par les personnes physiques pour financer une campagne électorale ou un parti politique doivent donner lieu à la délivrance d’une formule numérotée de reçu par le mandataire. Le contributeur doit être en mesure de produire le reçu délivré à l’administration fiscale pour bénéficier de l’avantage fiscal prévu à l’art. 200 du code général des impôts.</w:t>
            </w:r>
          </w:p>
        </w:tc>
      </w:tr>
      <w:tr w:rsidR="009D45CB" w14:paraId="247ED89A" w14:textId="4100C5B4" w:rsidTr="009D45CB">
        <w:trPr>
          <w:trHeight w:val="1963"/>
        </w:trPr>
        <w:tc>
          <w:tcPr>
            <w:tcW w:w="2640" w:type="dxa"/>
          </w:tcPr>
          <w:p w14:paraId="6F1CBDFA"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Séance</w:t>
            </w:r>
            <w:r>
              <w:rPr>
                <w:rFonts w:eastAsia="Arial" w:cs="Arial"/>
                <w:sz w:val="18"/>
                <w:szCs w:val="18"/>
              </w:rPr>
              <w:t>s</w:t>
            </w:r>
            <w:r w:rsidRPr="003419A9">
              <w:rPr>
                <w:rFonts w:eastAsia="Arial" w:cs="Arial"/>
                <w:sz w:val="18"/>
                <w:szCs w:val="18"/>
              </w:rPr>
              <w:t xml:space="preserve"> de </w:t>
            </w:r>
            <w:r>
              <w:rPr>
                <w:rFonts w:eastAsia="Arial" w:cs="Arial"/>
                <w:sz w:val="18"/>
                <w:szCs w:val="18"/>
              </w:rPr>
              <w:t xml:space="preserve">la </w:t>
            </w:r>
            <w:r w:rsidRPr="003419A9">
              <w:rPr>
                <w:rFonts w:eastAsia="Arial" w:cs="Arial"/>
                <w:sz w:val="18"/>
                <w:szCs w:val="18"/>
              </w:rPr>
              <w:t>commission</w:t>
            </w:r>
          </w:p>
        </w:tc>
        <w:tc>
          <w:tcPr>
            <w:tcW w:w="6405" w:type="dxa"/>
          </w:tcPr>
          <w:p w14:paraId="3CB120B3" w14:textId="77777777" w:rsidR="009D45CB" w:rsidRPr="003419A9" w:rsidRDefault="009D45CB" w:rsidP="0042596E">
            <w:pPr>
              <w:keepNext/>
              <w:keepLines/>
              <w:spacing w:line="276" w:lineRule="auto"/>
              <w:rPr>
                <w:rFonts w:eastAsia="Arial" w:cs="Arial"/>
                <w:sz w:val="18"/>
                <w:szCs w:val="18"/>
              </w:rPr>
            </w:pPr>
            <w:r w:rsidRPr="003419A9">
              <w:rPr>
                <w:rFonts w:eastAsia="Arial" w:cs="Arial"/>
                <w:sz w:val="18"/>
                <w:szCs w:val="18"/>
              </w:rPr>
              <w:t>Réunion</w:t>
            </w:r>
            <w:r>
              <w:rPr>
                <w:rFonts w:eastAsia="Arial" w:cs="Arial"/>
                <w:sz w:val="18"/>
                <w:szCs w:val="18"/>
              </w:rPr>
              <w:t>s</w:t>
            </w:r>
            <w:r w:rsidRPr="003419A9">
              <w:rPr>
                <w:rFonts w:eastAsia="Arial" w:cs="Arial"/>
                <w:sz w:val="18"/>
                <w:szCs w:val="18"/>
              </w:rPr>
              <w:t xml:space="preserve"> au cours desquelles les différents dossiers sont soumis à la décision de la commission qui statue collégialement (comptes de campagne, respect par les partis de leurs obligations légales, recours gracieux, demande d’agréments des associations de financement des partis politiques, retraits d’agrément).</w:t>
            </w:r>
          </w:p>
          <w:p w14:paraId="724036AF" w14:textId="77777777" w:rsidR="009D45CB" w:rsidRPr="003419A9" w:rsidRDefault="009D45CB" w:rsidP="0042596E">
            <w:pPr>
              <w:keepNext/>
              <w:keepLines/>
              <w:spacing w:before="240" w:line="276" w:lineRule="auto"/>
              <w:rPr>
                <w:rFonts w:eastAsia="Arial" w:cs="Arial"/>
                <w:sz w:val="18"/>
                <w:szCs w:val="18"/>
              </w:rPr>
            </w:pPr>
            <w:r w:rsidRPr="003419A9">
              <w:rPr>
                <w:rFonts w:eastAsia="Arial" w:cs="Arial"/>
                <w:sz w:val="18"/>
                <w:szCs w:val="18"/>
              </w:rPr>
              <w:t xml:space="preserve">L’ordre du jour ne se limite pas à l’examen des différents dossiers et peut également contenir </w:t>
            </w:r>
            <w:r>
              <w:rPr>
                <w:rFonts w:eastAsia="Arial" w:cs="Arial"/>
                <w:sz w:val="18"/>
                <w:szCs w:val="18"/>
              </w:rPr>
              <w:t>des</w:t>
            </w:r>
            <w:r w:rsidRPr="003419A9">
              <w:rPr>
                <w:rFonts w:eastAsia="Arial" w:cs="Arial"/>
                <w:sz w:val="18"/>
                <w:szCs w:val="18"/>
              </w:rPr>
              <w:t xml:space="preserve"> questions diverses.</w:t>
            </w:r>
          </w:p>
        </w:tc>
      </w:tr>
    </w:tbl>
    <w:p w14:paraId="31485DB1" w14:textId="77777777" w:rsidR="00B82B77" w:rsidRDefault="00B82B77" w:rsidP="00B82B77"/>
    <w:p w14:paraId="0528BFCA" w14:textId="77777777" w:rsidR="0042596E" w:rsidRDefault="0042596E">
      <w:pPr>
        <w:jc w:val="left"/>
        <w:rPr>
          <w:rFonts w:asciiTheme="majorHAnsi" w:eastAsiaTheme="majorEastAsia" w:hAnsiTheme="majorHAnsi" w:cstheme="majorBidi"/>
          <w:spacing w:val="-10"/>
          <w:kern w:val="28"/>
          <w:sz w:val="36"/>
          <w:szCs w:val="36"/>
        </w:rPr>
      </w:pPr>
      <w:r>
        <w:rPr>
          <w:sz w:val="36"/>
          <w:szCs w:val="36"/>
        </w:rPr>
        <w:br w:type="page"/>
      </w:r>
    </w:p>
    <w:p w14:paraId="2BEF8F4A" w14:textId="7AF0DBAF" w:rsidR="00C814DF" w:rsidRPr="00691395" w:rsidRDefault="0042596E" w:rsidP="001D4AA8">
      <w:pPr>
        <w:pStyle w:val="Titre2"/>
        <w:numPr>
          <w:ilvl w:val="0"/>
          <w:numId w:val="0"/>
        </w:numPr>
        <w:ind w:left="792" w:hanging="432"/>
      </w:pPr>
      <w:bookmarkStart w:id="113" w:name="_Toc218852846"/>
      <w:r w:rsidRPr="00691395">
        <w:t xml:space="preserve">Annexe 2 : </w:t>
      </w:r>
      <w:r w:rsidR="00C814DF" w:rsidRPr="00691395">
        <w:t>Cartographie des applications et traitements existants</w:t>
      </w:r>
      <w:bookmarkStart w:id="114" w:name="_GoBack"/>
      <w:bookmarkEnd w:id="113"/>
      <w:bookmarkEnd w:id="114"/>
    </w:p>
    <w:p w14:paraId="2755D608" w14:textId="77777777" w:rsidR="00C814DF" w:rsidRDefault="00C814DF" w:rsidP="00C814DF">
      <w:pPr>
        <w:jc w:val="left"/>
        <w:rPr>
          <w:rFonts w:cs="Arial"/>
        </w:rPr>
      </w:pPr>
    </w:p>
    <w:p w14:paraId="2058C77A" w14:textId="059B0654" w:rsidR="00C814DF" w:rsidRDefault="00C814DF" w:rsidP="00C814DF">
      <w:r w:rsidRPr="00C814DF">
        <w:t xml:space="preserve">Ce chapitre liste les applications actuellement utilisées par la commission pour remplir ses missions. Ces applications </w:t>
      </w:r>
      <w:r w:rsidR="00A55634">
        <w:t xml:space="preserve">ont vocation à être intégrées </w:t>
      </w:r>
      <w:r w:rsidRPr="00C814DF">
        <w:t>dans la plateforme de dématérialisation.</w:t>
      </w:r>
    </w:p>
    <w:p w14:paraId="0213BAF8" w14:textId="77777777" w:rsidR="006A1302" w:rsidRDefault="006A1302" w:rsidP="00C814DF"/>
    <w:p w14:paraId="6804FDEE" w14:textId="77777777" w:rsidR="00906A63" w:rsidRDefault="00906A63" w:rsidP="00C814DF"/>
    <w:p w14:paraId="7B5256A2" w14:textId="15D85300" w:rsidR="00906A63" w:rsidRPr="00CA7963" w:rsidRDefault="00906A63" w:rsidP="00691395">
      <w:pPr>
        <w:pStyle w:val="Titre3"/>
        <w:numPr>
          <w:ilvl w:val="0"/>
          <w:numId w:val="0"/>
        </w:numPr>
        <w:ind w:left="1224"/>
      </w:pPr>
      <w:bookmarkStart w:id="115" w:name="_Toc218852847"/>
      <w:r w:rsidRPr="00CA7963">
        <w:t xml:space="preserve">Les applications et outils communs </w:t>
      </w:r>
      <w:r w:rsidR="00BD0A7D">
        <w:t xml:space="preserve">aux enjeux liés aux </w:t>
      </w:r>
      <w:r w:rsidRPr="00CA7963">
        <w:t xml:space="preserve">partis politiques et </w:t>
      </w:r>
      <w:r w:rsidR="00BD0A7D">
        <w:t xml:space="preserve">aux </w:t>
      </w:r>
      <w:r w:rsidRPr="00CA7963">
        <w:t>élections</w:t>
      </w:r>
      <w:bookmarkEnd w:id="115"/>
    </w:p>
    <w:p w14:paraId="20D2765F" w14:textId="77777777" w:rsidR="00906A63" w:rsidRPr="00C814DF" w:rsidRDefault="00906A63" w:rsidP="00906A63"/>
    <w:p w14:paraId="65D2467D" w14:textId="0279A526" w:rsidR="00C64772" w:rsidRDefault="002B02FA" w:rsidP="00C64772">
      <w:r>
        <w:rPr>
          <w:b/>
          <w:bCs/>
        </w:rPr>
        <w:t>GEC/</w:t>
      </w:r>
      <w:r w:rsidR="00906A63" w:rsidRPr="00C814DF">
        <w:rPr>
          <w:b/>
          <w:bCs/>
        </w:rPr>
        <w:t>GE</w:t>
      </w:r>
      <w:r>
        <w:rPr>
          <w:b/>
          <w:bCs/>
        </w:rPr>
        <w:t>D</w:t>
      </w:r>
      <w:r w:rsidR="00906A63" w:rsidRPr="00C814DF">
        <w:rPr>
          <w:b/>
          <w:bCs/>
        </w:rPr>
        <w:t xml:space="preserve"> FileDirector</w:t>
      </w:r>
      <w:r w:rsidR="00906A63">
        <w:t xml:space="preserve"> </w:t>
      </w:r>
      <w:r w:rsidR="00312928" w:rsidRPr="00312928">
        <w:rPr>
          <w:b/>
          <w:bCs/>
        </w:rPr>
        <w:t>Efalia</w:t>
      </w:r>
      <w:r w:rsidR="00312928">
        <w:t xml:space="preserve"> </w:t>
      </w:r>
      <w:r w:rsidR="00906A63">
        <w:t xml:space="preserve">: principalement utilisée comme une gestion électronique du courrier (GEC), cet outil permet l’enregistrement, l’indexation et la sauvegarde de l’ensemble des courriers entrants et sortants de la commission. </w:t>
      </w:r>
      <w:r w:rsidR="00312928">
        <w:t>L</w:t>
      </w:r>
      <w:r w:rsidR="00312928" w:rsidRPr="006A1302">
        <w:t xml:space="preserve">a nouvelle </w:t>
      </w:r>
      <w:r w:rsidR="00B86BA9">
        <w:t>application</w:t>
      </w:r>
      <w:r w:rsidR="00312928" w:rsidRPr="006A1302">
        <w:t xml:space="preserve"> de dématérialisation</w:t>
      </w:r>
      <w:r w:rsidR="00312928">
        <w:t xml:space="preserve"> doit être interconnectée (API Restful) avec la GEC/GED de la Commission afin de référencer et tracer de manière </w:t>
      </w:r>
      <w:r w:rsidR="00C023FA">
        <w:t>exhaustive</w:t>
      </w:r>
      <w:r w:rsidR="00312928">
        <w:t xml:space="preserve"> l’ensemble des échanges</w:t>
      </w:r>
      <w:r w:rsidR="00B86BA9">
        <w:t xml:space="preserve"> courriers/emails</w:t>
      </w:r>
      <w:r w:rsidR="00312928">
        <w:t xml:space="preserve"> qui ont lieu </w:t>
      </w:r>
      <w:r w:rsidR="00B86BA9">
        <w:t xml:space="preserve">hors de l’application </w:t>
      </w:r>
      <w:r w:rsidR="00312928">
        <w:t>pour chaque compte de campagne ou de parti politique.</w:t>
      </w:r>
    </w:p>
    <w:p w14:paraId="24E6282B" w14:textId="77777777" w:rsidR="00906A63" w:rsidRDefault="00906A63" w:rsidP="00906A63"/>
    <w:p w14:paraId="2C9FC706" w14:textId="7F54A5DB" w:rsidR="00906A63" w:rsidRDefault="00906A63" w:rsidP="00906A63">
      <w:r w:rsidRPr="00C814DF">
        <w:rPr>
          <w:b/>
          <w:bCs/>
        </w:rPr>
        <w:t>SharePoint</w:t>
      </w:r>
      <w:r w:rsidRPr="00C814DF">
        <w:t xml:space="preserve"> : chaque service de la commission dispose d’une collection de sites dans SharePoint pour le travail collaboratif (coédition), le partage et l’archivage de documents. Les collections de sites SharePoint comprennent également un nombre important d’outils de suivi, de pilotage et de statistique (sous forme de tableaux Excel ou de listes) qui devront être </w:t>
      </w:r>
      <w:r w:rsidR="00B86BA9">
        <w:t>repris</w:t>
      </w:r>
      <w:r w:rsidRPr="00C814DF">
        <w:t xml:space="preserve"> </w:t>
      </w:r>
      <w:r w:rsidR="00B86BA9">
        <w:t>dans</w:t>
      </w:r>
      <w:r w:rsidRPr="00C814DF">
        <w:t xml:space="preserve"> la nouvelle </w:t>
      </w:r>
      <w:r w:rsidR="00B86BA9">
        <w:t>application</w:t>
      </w:r>
      <w:r w:rsidRPr="00C814DF">
        <w:t>.</w:t>
      </w:r>
    </w:p>
    <w:p w14:paraId="08A2FD03" w14:textId="77777777" w:rsidR="00906A63" w:rsidRDefault="00906A63" w:rsidP="00906A63"/>
    <w:p w14:paraId="6FD108AB" w14:textId="77777777" w:rsidR="00906A63" w:rsidRDefault="00906A63" w:rsidP="00906A63">
      <w:r w:rsidRPr="00C814DF">
        <w:rPr>
          <w:b/>
          <w:bCs/>
        </w:rPr>
        <w:t>Télérecours</w:t>
      </w:r>
      <w:r>
        <w:t xml:space="preserve"> : cette plateforme de télétransmission des juridictions administrative est utilisée pour l’envoi et la réception de la plupart des documents juridictionnels émis ou reçus par la commission. La CNCCFP l’utilise mais ce n’est pas une application de la CNCCFP.</w:t>
      </w:r>
    </w:p>
    <w:p w14:paraId="41468B3F" w14:textId="77777777" w:rsidR="00906A63" w:rsidRDefault="00906A63" w:rsidP="00906A63"/>
    <w:p w14:paraId="4A58C4EE" w14:textId="77777777" w:rsidR="00906A63" w:rsidRDefault="00906A63" w:rsidP="00906A63">
      <w:r w:rsidRPr="00C814DF">
        <w:rPr>
          <w:b/>
          <w:bCs/>
        </w:rPr>
        <w:t>Solon</w:t>
      </w:r>
      <w:r>
        <w:t xml:space="preserve"> : plateforme de télétransmission des documents destinés aux publications officielles. La CNCCFP l’utilise mais ce n’est pas une application de la CNCCFP.</w:t>
      </w:r>
    </w:p>
    <w:p w14:paraId="4A87BE85" w14:textId="77777777" w:rsidR="00906A63" w:rsidRDefault="00906A63" w:rsidP="00906A63"/>
    <w:p w14:paraId="54A4C8E9" w14:textId="69ABB2A2" w:rsidR="00906A63" w:rsidRDefault="00906A63" w:rsidP="00906A63">
      <w:r w:rsidRPr="00C814DF">
        <w:rPr>
          <w:b/>
          <w:bCs/>
        </w:rPr>
        <w:t xml:space="preserve">Téléservice “Démarche </w:t>
      </w:r>
      <w:r w:rsidR="0028421D">
        <w:rPr>
          <w:b/>
          <w:bCs/>
        </w:rPr>
        <w:t>numérique</w:t>
      </w:r>
      <w:r w:rsidRPr="00C814DF">
        <w:rPr>
          <w:b/>
          <w:bCs/>
        </w:rPr>
        <w:t>”</w:t>
      </w:r>
      <w:r w:rsidRPr="00C814DF">
        <w:t xml:space="preserve"> : ce site internet mis à la disposition des administrations par les services du Premier ministre </w:t>
      </w:r>
      <w:r w:rsidR="00BD0A7D">
        <w:t>permet</w:t>
      </w:r>
      <w:r w:rsidR="00BD0A7D" w:rsidRPr="00C814DF">
        <w:t xml:space="preserve"> </w:t>
      </w:r>
      <w:r w:rsidRPr="00C814DF">
        <w:t xml:space="preserve">la création de formulaires en ligne pour </w:t>
      </w:r>
      <w:r w:rsidR="00BD0A7D">
        <w:t xml:space="preserve">que les </w:t>
      </w:r>
      <w:r w:rsidRPr="00C814DF">
        <w:t>administrés effectue</w:t>
      </w:r>
      <w:r w:rsidR="00BD0A7D">
        <w:t>nt certaines</w:t>
      </w:r>
      <w:r w:rsidRPr="00C814DF">
        <w:t xml:space="preserve"> démarches en ligne. Actuellement, la commission utilise ce téléservice pour les demandes de formules numérotées </w:t>
      </w:r>
      <w:r w:rsidR="00FF2C47">
        <w:t xml:space="preserve">de reçus imprimés </w:t>
      </w:r>
      <w:r w:rsidRPr="00C814DF">
        <w:t>délivrées aux personnes physiques contribuant aux financement</w:t>
      </w:r>
      <w:r w:rsidR="002B02FA">
        <w:t>s</w:t>
      </w:r>
      <w:r w:rsidRPr="00C814DF">
        <w:t xml:space="preserve"> des partis politiques. Cette fonctionnalité devra être intégrée à la plateforme de dématérialisation.</w:t>
      </w:r>
      <w:r>
        <w:br w:type="page"/>
      </w:r>
    </w:p>
    <w:p w14:paraId="0A21D247" w14:textId="77777777" w:rsidR="00C814DF" w:rsidRPr="00C814DF" w:rsidRDefault="00C814DF" w:rsidP="00C814DF"/>
    <w:p w14:paraId="09EF5EAC" w14:textId="7AF0E151" w:rsidR="006A1302" w:rsidRPr="006A1302" w:rsidRDefault="006A1302" w:rsidP="00691395">
      <w:pPr>
        <w:pStyle w:val="Titre3"/>
        <w:numPr>
          <w:ilvl w:val="0"/>
          <w:numId w:val="0"/>
        </w:numPr>
        <w:ind w:left="720"/>
      </w:pPr>
      <w:bookmarkStart w:id="116" w:name="_Toc218852848"/>
      <w:r w:rsidRPr="006A1302">
        <w:t xml:space="preserve">Les applications et outils </w:t>
      </w:r>
      <w:r w:rsidR="00BD0A7D">
        <w:t>spécifiques</w:t>
      </w:r>
      <w:r w:rsidR="00BD0A7D" w:rsidRPr="006A1302">
        <w:t xml:space="preserve"> </w:t>
      </w:r>
      <w:r w:rsidRPr="006A1302">
        <w:t>au contrôle des comptes de campagne</w:t>
      </w:r>
      <w:bookmarkEnd w:id="116"/>
    </w:p>
    <w:p w14:paraId="5C9D7189" w14:textId="77777777" w:rsidR="006A1302" w:rsidRDefault="006A1302" w:rsidP="006A1302">
      <w:pPr>
        <w:jc w:val="left"/>
        <w:rPr>
          <w:rFonts w:cs="Arial"/>
        </w:rPr>
      </w:pPr>
    </w:p>
    <w:p w14:paraId="33FF3905" w14:textId="1EEE7103" w:rsidR="00906A63" w:rsidRDefault="006A1302" w:rsidP="006A1302">
      <w:r w:rsidRPr="006A1302">
        <w:rPr>
          <w:b/>
          <w:bCs/>
        </w:rPr>
        <w:t>Application “Périclès”</w:t>
      </w:r>
      <w:r w:rsidRPr="006A1302">
        <w:t xml:space="preserve"> : application de saisie par les préfectures des informations </w:t>
      </w:r>
      <w:r w:rsidR="00906A63" w:rsidRPr="00C814DF">
        <w:t xml:space="preserve">relatives aux candidats aux élections présidentielle, législatives, sénatoriales, européennes, régionales, provinciales, territoriales, départementales et municipales ainsi que l'enregistrement des déclarations des mandataires financiers personnes physiques ou des associations de financement électoral aux fins de suivi des opérations de contrôle de leurs comptes de campagne. </w:t>
      </w:r>
      <w:r w:rsidR="002F4628">
        <w:t>Ces informations sont ensuite transférées dans l’application « Elections ».</w:t>
      </w:r>
    </w:p>
    <w:p w14:paraId="0F45D24D" w14:textId="05A50A84" w:rsidR="00C64772" w:rsidRDefault="00C023FA" w:rsidP="006A1302">
      <w:r>
        <w:t>Pour 2025-2026, l’application Périclès est amenée à évoluer pour</w:t>
      </w:r>
      <w:r w:rsidR="00C64772">
        <w:t xml:space="preserve"> enregistre</w:t>
      </w:r>
      <w:r w:rsidR="00B86BA9">
        <w:t>r</w:t>
      </w:r>
      <w:r w:rsidR="00C64772">
        <w:t xml:space="preserve"> les informations </w:t>
      </w:r>
      <w:r>
        <w:t>relatives à la</w:t>
      </w:r>
      <w:r w:rsidR="00C64772">
        <w:t xml:space="preserve"> déclaration de candidats en situation de menace avérée qui </w:t>
      </w:r>
      <w:r>
        <w:t>seront</w:t>
      </w:r>
      <w:r w:rsidR="00C64772">
        <w:t xml:space="preserve"> ensuite basculée</w:t>
      </w:r>
      <w:r w:rsidR="00B86BA9">
        <w:t>s</w:t>
      </w:r>
      <w:r w:rsidR="00C64772">
        <w:t xml:space="preserve"> dans l’application « Sécu’pol ».</w:t>
      </w:r>
    </w:p>
    <w:p w14:paraId="4E21D467" w14:textId="49275B53" w:rsidR="006A1302" w:rsidRDefault="006A1302" w:rsidP="006A1302"/>
    <w:p w14:paraId="05E7564C" w14:textId="50069A43" w:rsidR="00C45227" w:rsidRDefault="00C45227" w:rsidP="006A1302">
      <w:r>
        <w:t>L</w:t>
      </w:r>
      <w:r w:rsidRPr="006A1302">
        <w:t>a nouvelle plateforme de dématérialisation</w:t>
      </w:r>
      <w:r>
        <w:t xml:space="preserve"> doit</w:t>
      </w:r>
      <w:r w:rsidR="00C67236">
        <w:t xml:space="preserve"> </w:t>
      </w:r>
      <w:r>
        <w:t xml:space="preserve">être interconnectée (API </w:t>
      </w:r>
      <w:r w:rsidR="007F5DFC">
        <w:t>restful</w:t>
      </w:r>
      <w:r>
        <w:t>) avec l’application Périclès</w:t>
      </w:r>
      <w:r w:rsidR="00C023FA">
        <w:t xml:space="preserve"> afin de </w:t>
      </w:r>
      <w:r w:rsidR="00C67236">
        <w:t xml:space="preserve">récupérer les </w:t>
      </w:r>
      <w:r w:rsidR="007F5DFC">
        <w:t xml:space="preserve">informations qu’elle contient ; même si dans un premier temps, cet import de données sera </w:t>
      </w:r>
      <w:r w:rsidR="00B86BA9">
        <w:t xml:space="preserve">probablement </w:t>
      </w:r>
      <w:r w:rsidR="007F5DFC">
        <w:t xml:space="preserve">opéré par le biais </w:t>
      </w:r>
      <w:r w:rsidR="00B86BA9">
        <w:t xml:space="preserve">d’import </w:t>
      </w:r>
      <w:r w:rsidR="007F5DFC">
        <w:t>de fichiers csv</w:t>
      </w:r>
      <w:r w:rsidR="00B86BA9">
        <w:t xml:space="preserve"> ou d’injection SQL</w:t>
      </w:r>
      <w:r w:rsidR="007F5DFC">
        <w:t>.</w:t>
      </w:r>
    </w:p>
    <w:p w14:paraId="0ED4F80A" w14:textId="77777777" w:rsidR="00C64772" w:rsidRDefault="00C64772" w:rsidP="006A1302"/>
    <w:p w14:paraId="7BD72142" w14:textId="77777777" w:rsidR="00C45227" w:rsidRDefault="00C45227" w:rsidP="006A1302"/>
    <w:p w14:paraId="3C826B69" w14:textId="04E34B55" w:rsidR="006A1302" w:rsidRPr="006A1302" w:rsidRDefault="006A1302" w:rsidP="006A1302">
      <w:r w:rsidRPr="006A1302">
        <w:rPr>
          <w:b/>
          <w:bCs/>
        </w:rPr>
        <w:t>Application “Élections”</w:t>
      </w:r>
      <w:r w:rsidRPr="006A1302">
        <w:t xml:space="preserve"> : cette application offre une interface aux équipes de contrôle pour l’instruction des comptes de campagne. Elle devra être </w:t>
      </w:r>
      <w:r w:rsidR="002F4628">
        <w:t>décommissionnée</w:t>
      </w:r>
      <w:r w:rsidR="002F4628" w:rsidRPr="006A1302">
        <w:t xml:space="preserve"> </w:t>
      </w:r>
      <w:r w:rsidRPr="006A1302">
        <w:t>pour être intégrée dans la plateforme de dématérialisation. Elle permet notamment :</w:t>
      </w:r>
    </w:p>
    <w:p w14:paraId="725F61A6" w14:textId="327AD162" w:rsidR="006A1302" w:rsidRPr="006A1302" w:rsidRDefault="006A1302" w:rsidP="006B51B4">
      <w:pPr>
        <w:pStyle w:val="Paragraphedeliste"/>
        <w:numPr>
          <w:ilvl w:val="0"/>
          <w:numId w:val="14"/>
        </w:numPr>
      </w:pPr>
      <w:r w:rsidRPr="006A1302">
        <w:t>la saisie des informations des comptes ;</w:t>
      </w:r>
    </w:p>
    <w:p w14:paraId="50321A96" w14:textId="445B6AD3" w:rsidR="006A1302" w:rsidRPr="006A1302" w:rsidRDefault="006A1302" w:rsidP="006B51B4">
      <w:pPr>
        <w:pStyle w:val="Paragraphedeliste"/>
        <w:numPr>
          <w:ilvl w:val="0"/>
          <w:numId w:val="14"/>
        </w:numPr>
      </w:pPr>
      <w:r w:rsidRPr="006A1302">
        <w:t>l’affectation des différents dossiers aux contrôleurs et aux rapporteurs généraux ;</w:t>
      </w:r>
    </w:p>
    <w:p w14:paraId="2D32BAF2" w14:textId="50EEFEAA" w:rsidR="006A1302" w:rsidRPr="006A1302" w:rsidRDefault="006A1302" w:rsidP="006B51B4">
      <w:pPr>
        <w:pStyle w:val="Paragraphedeliste"/>
        <w:numPr>
          <w:ilvl w:val="0"/>
          <w:numId w:val="14"/>
        </w:numPr>
      </w:pPr>
      <w:r w:rsidRPr="006A1302">
        <w:t>l’édition de différents documents selon des modèles (courriers, décisions, documents de synthèse etc.) ;</w:t>
      </w:r>
    </w:p>
    <w:p w14:paraId="0E3A9036" w14:textId="272E8F87" w:rsidR="006A1302" w:rsidRPr="006A1302" w:rsidRDefault="006A1302" w:rsidP="006B51B4">
      <w:pPr>
        <w:pStyle w:val="Paragraphedeliste"/>
        <w:numPr>
          <w:ilvl w:val="0"/>
          <w:numId w:val="14"/>
        </w:numPr>
      </w:pPr>
      <w:r w:rsidRPr="006A1302">
        <w:t>le calcul des réformations des comptes et du remboursement dû au candidat ;</w:t>
      </w:r>
    </w:p>
    <w:p w14:paraId="77BB273A" w14:textId="2F416955" w:rsidR="006A1302" w:rsidRPr="006A1302" w:rsidRDefault="006A1302" w:rsidP="006B51B4">
      <w:pPr>
        <w:pStyle w:val="Paragraphedeliste"/>
        <w:numPr>
          <w:ilvl w:val="0"/>
          <w:numId w:val="14"/>
        </w:numPr>
      </w:pPr>
      <w:r w:rsidRPr="006A1302">
        <w:t>le travail à distance.</w:t>
      </w:r>
    </w:p>
    <w:p w14:paraId="38F2775A" w14:textId="77777777" w:rsidR="00EB7592" w:rsidRDefault="00EB7592" w:rsidP="006A1302"/>
    <w:p w14:paraId="61DCE470" w14:textId="01CAFEA9" w:rsidR="006A1302" w:rsidRDefault="006A1302" w:rsidP="006A1302">
      <w:r w:rsidRPr="006A1302">
        <w:t xml:space="preserve">Les données de l’application Élection ne seront migrées que dans une optique d’alimentation d’un </w:t>
      </w:r>
      <w:r w:rsidR="007957E8">
        <w:t>puit</w:t>
      </w:r>
      <w:r w:rsidR="00027424">
        <w:t xml:space="preserve"> </w:t>
      </w:r>
      <w:r w:rsidRPr="006A1302">
        <w:t>de données. L’application Élection</w:t>
      </w:r>
      <w:r w:rsidR="00027424">
        <w:t>s</w:t>
      </w:r>
      <w:r w:rsidRPr="006A1302">
        <w:t xml:space="preserve"> actuelle restera active sur la plateforme existante interne à la CNCCFP jusqu’à épuisement des délais de recours.</w:t>
      </w:r>
    </w:p>
    <w:p w14:paraId="2ECAF170" w14:textId="77777777" w:rsidR="006A1302" w:rsidRDefault="006A1302" w:rsidP="006A1302"/>
    <w:p w14:paraId="7C40C0BD" w14:textId="763EAFE7" w:rsidR="006A1302" w:rsidRDefault="00EB7592" w:rsidP="006A1302">
      <w:r>
        <w:rPr>
          <w:b/>
        </w:rPr>
        <w:t>Base des rapporteurs</w:t>
      </w:r>
      <w:r>
        <w:t xml:space="preserve"> : l</w:t>
      </w:r>
      <w:r w:rsidR="006A1302">
        <w:t>’application Elections intègre une</w:t>
      </w:r>
      <w:r>
        <w:rPr>
          <w:b/>
          <w:bCs/>
        </w:rPr>
        <w:t xml:space="preserve"> </w:t>
      </w:r>
      <w:r w:rsidR="006A1302" w:rsidRPr="006A1302">
        <w:t>base de données permettant de gérer un référentiel de rapporteurs en charge de l’instruction initiale des comptes de campagne, avec l’ensemble des informations permettant de les identifier et de les payer. C’est à la fois une application (gestion des rapporteurs) et un référentiel pour les autres applications. Elle devra être intégrée dans la plateforme de dématérialisation.</w:t>
      </w:r>
    </w:p>
    <w:p w14:paraId="6AF02FE1" w14:textId="5DF42487" w:rsidR="00906A63" w:rsidRDefault="00906A63" w:rsidP="006A1302"/>
    <w:p w14:paraId="4077805E" w14:textId="55AFF201" w:rsidR="007447B3" w:rsidRDefault="007447B3" w:rsidP="007447B3">
      <w:r w:rsidRPr="00C64772">
        <w:rPr>
          <w:b/>
          <w:bCs/>
        </w:rPr>
        <w:t>Application “Sécu’pol</w:t>
      </w:r>
      <w:r w:rsidRPr="00DE2330">
        <w:rPr>
          <w:b/>
          <w:bCs/>
        </w:rPr>
        <w:t>”</w:t>
      </w:r>
      <w:r w:rsidRPr="00DE2330">
        <w:t> :</w:t>
      </w:r>
      <w:r>
        <w:t xml:space="preserve"> cette application est dédiée au dépôt, à l’instruction, au contrôl</w:t>
      </w:r>
      <w:r w:rsidR="00051AB2">
        <w:t>e</w:t>
      </w:r>
      <w:r w:rsidR="00B86BA9">
        <w:t xml:space="preserve"> et</w:t>
      </w:r>
      <w:r w:rsidR="00051AB2">
        <w:t xml:space="preserve"> à la décision</w:t>
      </w:r>
      <w:r>
        <w:t xml:space="preserve"> </w:t>
      </w:r>
      <w:r w:rsidR="002F4628">
        <w:t xml:space="preserve">relative aux dépenses </w:t>
      </w:r>
      <w:r>
        <w:t>de sécurité des candidats en situation de menace avérée. Ses fonctionnalités sont globalement très proches de celles de l’application « Election</w:t>
      </w:r>
      <w:r w:rsidR="008A1391">
        <w:t>s</w:t>
      </w:r>
      <w:r>
        <w:t> » mais ne concerne</w:t>
      </w:r>
      <w:r w:rsidR="002F4628">
        <w:t>nt</w:t>
      </w:r>
      <w:r>
        <w:t xml:space="preserve"> toutefois que les dépenses de sécurité.</w:t>
      </w:r>
    </w:p>
    <w:p w14:paraId="3C7AC3FB" w14:textId="77777777" w:rsidR="007F5DFC" w:rsidRDefault="007F5DFC" w:rsidP="007F5DFC"/>
    <w:p w14:paraId="748C5A1B" w14:textId="16395B99" w:rsidR="007F5DFC" w:rsidRDefault="007F5DFC" w:rsidP="007F5DFC">
      <w:r>
        <w:t>L</w:t>
      </w:r>
      <w:r w:rsidRPr="006A1302">
        <w:t>a nouvelle plateforme de dématérialisation</w:t>
      </w:r>
      <w:r>
        <w:t xml:space="preserve"> doit être interconnectée (API restful) avec l’application Sécu’pol afin de signaler les comptes dont les candidats sont en situation de menace et </w:t>
      </w:r>
      <w:r w:rsidR="00B86BA9">
        <w:t xml:space="preserve">de </w:t>
      </w:r>
      <w:r>
        <w:t>planifier leur passage en séance du collège</w:t>
      </w:r>
      <w:r w:rsidRPr="006A1302">
        <w:t>.</w:t>
      </w:r>
    </w:p>
    <w:p w14:paraId="09BA4B57" w14:textId="77777777" w:rsidR="006A1302" w:rsidRPr="006A1302" w:rsidRDefault="006A1302" w:rsidP="006A1302"/>
    <w:p w14:paraId="5B2F12A3" w14:textId="42AD9E31" w:rsidR="006A1302" w:rsidRDefault="006A1302" w:rsidP="006A1302">
      <w:r w:rsidRPr="008927A5">
        <w:rPr>
          <w:b/>
          <w:bCs/>
        </w:rPr>
        <w:t>Divers tableurs Excel</w:t>
      </w:r>
      <w:r w:rsidRPr="006A1302">
        <w:t xml:space="preserve"> et listes utilisés pour le suivi de l’instruction des comptes de campagne et de ses suites. Les fonctions de suivi devront être intégrées au traitement de chaque dossier et restitué</w:t>
      </w:r>
      <w:r w:rsidR="002F4628">
        <w:t>es</w:t>
      </w:r>
      <w:r w:rsidRPr="006A1302">
        <w:t xml:space="preserve"> sous forme de tableaux de bord</w:t>
      </w:r>
      <w:r w:rsidR="008927A5">
        <w:t>.</w:t>
      </w:r>
    </w:p>
    <w:p w14:paraId="6C0D39F7" w14:textId="77777777" w:rsidR="006A1302" w:rsidRPr="006A1302" w:rsidRDefault="006A1302" w:rsidP="006A1302">
      <w:pPr>
        <w:jc w:val="left"/>
        <w:rPr>
          <w:rFonts w:cs="Arial"/>
        </w:rPr>
      </w:pPr>
    </w:p>
    <w:p w14:paraId="72348D01" w14:textId="59E3E7F4" w:rsidR="006A1302" w:rsidRPr="006A1302" w:rsidRDefault="006A1302" w:rsidP="006A1302">
      <w:r w:rsidRPr="006A1302">
        <w:rPr>
          <w:b/>
          <w:bCs/>
        </w:rPr>
        <w:t>Portail de consultation des décisions</w:t>
      </w:r>
      <w:r w:rsidRPr="006A1302">
        <w:t xml:space="preserve"> : outil d’indexation et de recherche des décisions de la Commission et des documents juridictionnels liés à ces décisions, développé </w:t>
      </w:r>
      <w:r w:rsidR="00470945">
        <w:t>avec l’application</w:t>
      </w:r>
      <w:r w:rsidRPr="006A1302">
        <w:t xml:space="preserve"> SharePoint</w:t>
      </w:r>
      <w:r w:rsidR="009C6813">
        <w:t xml:space="preserve"> 2019</w:t>
      </w:r>
      <w:r w:rsidRPr="006A1302">
        <w:t xml:space="preserve">. </w:t>
      </w:r>
      <w:r w:rsidR="00470945">
        <w:t>L</w:t>
      </w:r>
      <w:r w:rsidR="00470945" w:rsidRPr="006A1302">
        <w:t xml:space="preserve">a plateforme de dématérialisation </w:t>
      </w:r>
      <w:r w:rsidRPr="006A1302">
        <w:t xml:space="preserve">devra être </w:t>
      </w:r>
      <w:r w:rsidR="009C6813">
        <w:t>interconnecté</w:t>
      </w:r>
      <w:r w:rsidR="007F5DFC">
        <w:t xml:space="preserve"> (API restful)</w:t>
      </w:r>
      <w:r w:rsidRPr="006A1302">
        <w:t xml:space="preserve"> </w:t>
      </w:r>
      <w:r w:rsidR="009C6813">
        <w:t>à</w:t>
      </w:r>
      <w:r w:rsidRPr="006A1302">
        <w:t xml:space="preserve"> </w:t>
      </w:r>
      <w:r w:rsidR="00470945">
        <w:t xml:space="preserve">cet outil </w:t>
      </w:r>
      <w:r w:rsidRPr="006A1302">
        <w:t>afin d</w:t>
      </w:r>
      <w:r w:rsidR="00470945">
        <w:t>e l’</w:t>
      </w:r>
      <w:r w:rsidRPr="006A1302">
        <w:t>alimenter</w:t>
      </w:r>
      <w:r w:rsidR="00470945">
        <w:t xml:space="preserve"> avec l’ensemble des documents pertinents et leurs métadonnées associées</w:t>
      </w:r>
      <w:r w:rsidRPr="006A1302">
        <w:t>.</w:t>
      </w:r>
    </w:p>
    <w:p w14:paraId="651243EA" w14:textId="77777777" w:rsidR="006A1302" w:rsidRPr="006A1302" w:rsidRDefault="006A1302" w:rsidP="006A1302">
      <w:r w:rsidRPr="006A1302">
        <w:t>Volumétrie (hors métadonnées, il y en a 50 par documents) :</w:t>
      </w:r>
    </w:p>
    <w:p w14:paraId="08C45F39" w14:textId="2B3AF88A" w:rsidR="006A1302" w:rsidRPr="006A1302" w:rsidRDefault="006A1302" w:rsidP="006B51B4">
      <w:pPr>
        <w:pStyle w:val="Paragraphedeliste"/>
        <w:numPr>
          <w:ilvl w:val="0"/>
          <w:numId w:val="15"/>
        </w:numPr>
      </w:pPr>
      <w:r w:rsidRPr="006A1302">
        <w:t>nombre de documents  dans la base (</w:t>
      </w:r>
      <w:r w:rsidR="00470945">
        <w:t>février</w:t>
      </w:r>
      <w:r w:rsidRPr="006A1302">
        <w:t xml:space="preserve"> </w:t>
      </w:r>
      <w:r w:rsidR="00470945">
        <w:t>2025</w:t>
      </w:r>
      <w:r w:rsidRPr="006A1302">
        <w:t xml:space="preserve">) : </w:t>
      </w:r>
      <w:r w:rsidR="00470945">
        <w:t>221 849</w:t>
      </w:r>
      <w:r w:rsidRPr="006A1302">
        <w:t xml:space="preserve"> ;</w:t>
      </w:r>
    </w:p>
    <w:p w14:paraId="7085C0CE" w14:textId="1C0589AD" w:rsidR="006A1302" w:rsidRPr="006A1302" w:rsidRDefault="006A1302" w:rsidP="006B51B4">
      <w:pPr>
        <w:pStyle w:val="Paragraphedeliste"/>
        <w:numPr>
          <w:ilvl w:val="0"/>
          <w:numId w:val="15"/>
        </w:numPr>
      </w:pPr>
      <w:r w:rsidRPr="006A1302">
        <w:t>volume des documents en Go (</w:t>
      </w:r>
      <w:r w:rsidR="00470945">
        <w:t>février</w:t>
      </w:r>
      <w:r w:rsidR="00470945" w:rsidRPr="006A1302">
        <w:t xml:space="preserve"> </w:t>
      </w:r>
      <w:r w:rsidR="00470945">
        <w:t>2025</w:t>
      </w:r>
      <w:r w:rsidRPr="006A1302">
        <w:t xml:space="preserve">) : </w:t>
      </w:r>
      <w:r w:rsidR="00470945">
        <w:t>27</w:t>
      </w:r>
      <w:r w:rsidRPr="006A1302">
        <w:t xml:space="preserve"> ;</w:t>
      </w:r>
    </w:p>
    <w:p w14:paraId="56429A64" w14:textId="08AC9A70" w:rsidR="006A1302" w:rsidRDefault="006A1302" w:rsidP="006B51B4">
      <w:pPr>
        <w:pStyle w:val="Paragraphedeliste"/>
        <w:numPr>
          <w:ilvl w:val="0"/>
          <w:numId w:val="15"/>
        </w:numPr>
      </w:pPr>
      <w:r w:rsidRPr="006A1302">
        <w:t>croissance du nombre de documents  stockés en moyenne : 1</w:t>
      </w:r>
      <w:r w:rsidR="00051AB2">
        <w:t>5</w:t>
      </w:r>
      <w:r w:rsidRPr="006A1302">
        <w:t>%/an.</w:t>
      </w:r>
    </w:p>
    <w:p w14:paraId="60AD8204" w14:textId="77777777" w:rsidR="008927A5" w:rsidRPr="006A1302" w:rsidRDefault="008927A5" w:rsidP="008927A5">
      <w:pPr>
        <w:pStyle w:val="Paragraphedeliste"/>
      </w:pPr>
    </w:p>
    <w:p w14:paraId="58232E98" w14:textId="223D1BDD" w:rsidR="006A1302" w:rsidRDefault="006A1302" w:rsidP="006A1302">
      <w:pPr>
        <w:jc w:val="left"/>
        <w:rPr>
          <w:rFonts w:cs="Arial"/>
        </w:rPr>
      </w:pPr>
    </w:p>
    <w:p w14:paraId="1D62B3B8" w14:textId="5DD6FADB" w:rsidR="00EB7592" w:rsidRDefault="00EB7592" w:rsidP="006A1302">
      <w:pPr>
        <w:jc w:val="left"/>
        <w:rPr>
          <w:rFonts w:cs="Arial"/>
        </w:rPr>
      </w:pPr>
      <w:r>
        <w:rPr>
          <w:noProof/>
          <w:lang w:eastAsia="fr-FR"/>
        </w:rPr>
        <w:drawing>
          <wp:inline distT="0" distB="0" distL="0" distR="0" wp14:anchorId="1B629B12" wp14:editId="30E3D084">
            <wp:extent cx="5734050" cy="3289300"/>
            <wp:effectExtent l="0" t="0" r="0" b="6350"/>
            <wp:docPr id="245" name="image3.png"/>
            <wp:cNvGraphicFramePr/>
            <a:graphic xmlns:a="http://schemas.openxmlformats.org/drawingml/2006/main">
              <a:graphicData uri="http://schemas.openxmlformats.org/drawingml/2006/picture">
                <pic:pic xmlns:pic="http://schemas.openxmlformats.org/drawingml/2006/picture">
                  <pic:nvPicPr>
                    <pic:cNvPr id="245" name="image3.png"/>
                    <pic:cNvPicPr/>
                  </pic:nvPicPr>
                  <pic:blipFill>
                    <a:blip r:embed="rId25"/>
                    <a:srcRect/>
                    <a:stretch>
                      <a:fillRect/>
                    </a:stretch>
                  </pic:blipFill>
                  <pic:spPr>
                    <a:xfrm>
                      <a:off x="0" y="0"/>
                      <a:ext cx="5734050" cy="3289300"/>
                    </a:xfrm>
                    <a:prstGeom prst="rect">
                      <a:avLst/>
                    </a:prstGeom>
                    <a:ln/>
                  </pic:spPr>
                </pic:pic>
              </a:graphicData>
            </a:graphic>
          </wp:inline>
        </w:drawing>
      </w:r>
    </w:p>
    <w:p w14:paraId="3883E96F" w14:textId="3A548F70" w:rsidR="00C814DF" w:rsidRDefault="00C814DF" w:rsidP="00C814DF"/>
    <w:p w14:paraId="590F809F" w14:textId="43E79C17" w:rsidR="00147D1C" w:rsidRDefault="00147D1C" w:rsidP="00C814DF"/>
    <w:p w14:paraId="50179552" w14:textId="17466272" w:rsidR="00EB7592" w:rsidRDefault="00EB7592">
      <w:pPr>
        <w:jc w:val="left"/>
        <w:rPr>
          <w:rFonts w:eastAsiaTheme="majorEastAsia" w:cstheme="majorBidi"/>
          <w:color w:val="1F3763" w:themeColor="accent1" w:themeShade="7F"/>
          <w:sz w:val="24"/>
        </w:rPr>
      </w:pPr>
    </w:p>
    <w:p w14:paraId="1728CC31" w14:textId="0BA8F109" w:rsidR="00EB7592" w:rsidRPr="006A1302" w:rsidRDefault="00EB7592" w:rsidP="00691395">
      <w:pPr>
        <w:pStyle w:val="Titre3"/>
        <w:numPr>
          <w:ilvl w:val="0"/>
          <w:numId w:val="0"/>
        </w:numPr>
        <w:ind w:left="1224"/>
      </w:pPr>
      <w:bookmarkStart w:id="117" w:name="_Toc218852849"/>
      <w:r w:rsidRPr="006A1302">
        <w:t xml:space="preserve">Les applications et outils relatifs </w:t>
      </w:r>
      <w:r>
        <w:t>aux partis politiques</w:t>
      </w:r>
      <w:bookmarkEnd w:id="117"/>
    </w:p>
    <w:p w14:paraId="161C405B" w14:textId="77777777" w:rsidR="00EB7592" w:rsidRDefault="00EB7592" w:rsidP="00C814DF"/>
    <w:p w14:paraId="09248901" w14:textId="77777777" w:rsidR="00C64772" w:rsidRDefault="00C64772" w:rsidP="00C64772">
      <w:pPr>
        <w:spacing w:before="240" w:after="240"/>
      </w:pPr>
      <w:r w:rsidRPr="001F44F2">
        <w:rPr>
          <w:b/>
        </w:rPr>
        <w:t>Divers tableurs Excel</w:t>
      </w:r>
      <w:r>
        <w:t xml:space="preserve"> utilisés pour la vérification du respect des obligations légales des partis et leur suivi dans SharePoint : saisie des comptes, contrôle de trésorerie etc.</w:t>
      </w:r>
    </w:p>
    <w:p w14:paraId="59A8A9C7" w14:textId="77777777" w:rsidR="00C64772" w:rsidRDefault="00C64772" w:rsidP="00C64772">
      <w:pPr>
        <w:spacing w:after="240"/>
      </w:pPr>
      <w:r>
        <w:rPr>
          <w:b/>
        </w:rPr>
        <w:t>Matrice Excel pour le contrôle de la trésorerie des mandataires</w:t>
      </w:r>
      <w:r>
        <w:t>. Cette fonctionnalité devra être intégrée à la plateforme de dématérialisation.</w:t>
      </w:r>
    </w:p>
    <w:p w14:paraId="36861CE6" w14:textId="1133C26A" w:rsidR="00C64772" w:rsidRDefault="00EB7592" w:rsidP="00A13E81">
      <w:r>
        <w:rPr>
          <w:b/>
        </w:rPr>
        <w:t>Fin’pol Partis Politiques</w:t>
      </w:r>
      <w:r w:rsidR="00C64772">
        <w:t xml:space="preserve"> : </w:t>
      </w:r>
      <w:r w:rsidR="001F44F2">
        <w:t xml:space="preserve">cette </w:t>
      </w:r>
      <w:r w:rsidR="00C64772">
        <w:t xml:space="preserve">application </w:t>
      </w:r>
      <w:r w:rsidR="001F44F2">
        <w:t>regroupe les données relatives aux partis politiques, leurs mandataires financiers et association</w:t>
      </w:r>
      <w:r w:rsidR="00FF2C47">
        <w:t>s</w:t>
      </w:r>
      <w:r w:rsidR="001F44F2">
        <w:t xml:space="preserve"> de financement. Elle </w:t>
      </w:r>
      <w:r w:rsidR="00C64772">
        <w:t xml:space="preserve">permet </w:t>
      </w:r>
      <w:r w:rsidR="001F44F2">
        <w:t xml:space="preserve">à chaque parti d’effectuer </w:t>
      </w:r>
      <w:r w:rsidR="00FF2C47">
        <w:t xml:space="preserve">le </w:t>
      </w:r>
      <w:r w:rsidR="001F44F2">
        <w:t xml:space="preserve">dépôt </w:t>
      </w:r>
      <w:r w:rsidR="00FF2C47">
        <w:t xml:space="preserve">annuel d’une liste de donateurs et cotisants, et aux mandataires de déposer leurs </w:t>
      </w:r>
      <w:r w:rsidR="001F44F2">
        <w:t>justificatifs de recettes</w:t>
      </w:r>
      <w:r w:rsidR="00FF2C47">
        <w:t xml:space="preserve"> (tableau de trésorerie, relevés bancaires, etc.)</w:t>
      </w:r>
      <w:r w:rsidR="001F44F2">
        <w:t xml:space="preserve"> </w:t>
      </w:r>
      <w:r w:rsidR="00FF2C47">
        <w:t>et de déposer un fichier permettant d’éditer</w:t>
      </w:r>
      <w:r w:rsidR="00C64772">
        <w:t xml:space="preserve"> les reçus dématérialisés. Ceux-ci sont ensuite mis à disposition des </w:t>
      </w:r>
      <w:r w:rsidR="00FF2C47">
        <w:t xml:space="preserve">mandataires </w:t>
      </w:r>
      <w:r w:rsidR="00C64772">
        <w:t xml:space="preserve">qui eux-mêmes les transmettent </w:t>
      </w:r>
      <w:r w:rsidR="00FF2C47">
        <w:t>aux</w:t>
      </w:r>
      <w:r w:rsidR="00C64772">
        <w:t xml:space="preserve"> donateurs et cotisants</w:t>
      </w:r>
      <w:r w:rsidR="00FF2C47">
        <w:t xml:space="preserve"> du parti</w:t>
      </w:r>
      <w:r w:rsidR="00C64772">
        <w:t xml:space="preserve">. Cette application est composée de plusieurs modules :   </w:t>
      </w:r>
    </w:p>
    <w:p w14:paraId="2E45CC00" w14:textId="77777777" w:rsidR="002F4628" w:rsidRDefault="002F4628" w:rsidP="00A13E81"/>
    <w:p w14:paraId="38329A16" w14:textId="29A3FBCE" w:rsidR="002F4628" w:rsidRDefault="00C64772" w:rsidP="00A13E81">
      <w:pPr>
        <w:numPr>
          <w:ilvl w:val="0"/>
          <w:numId w:val="37"/>
        </w:numPr>
      </w:pPr>
      <w:r>
        <w:t xml:space="preserve">dépôt </w:t>
      </w:r>
      <w:r w:rsidR="00FF2C47">
        <w:t xml:space="preserve">par le mandataire </w:t>
      </w:r>
      <w:r>
        <w:t>des fichiers</w:t>
      </w:r>
      <w:r w:rsidR="00C023FA">
        <w:t xml:space="preserve"> de justificatifs de recette</w:t>
      </w:r>
      <w:r w:rsidR="00FF2C47">
        <w:t>s ;</w:t>
      </w:r>
      <w:r w:rsidR="002F4628">
        <w:t xml:space="preserve"> </w:t>
      </w:r>
    </w:p>
    <w:p w14:paraId="520F62B8" w14:textId="0E46E866" w:rsidR="00C64772" w:rsidRDefault="00FF2C47" w:rsidP="00A13E81">
      <w:pPr>
        <w:numPr>
          <w:ilvl w:val="0"/>
          <w:numId w:val="37"/>
        </w:numPr>
      </w:pPr>
      <w:r>
        <w:t xml:space="preserve">dépôt par le parti politique </w:t>
      </w:r>
      <w:r w:rsidR="00C023FA">
        <w:t>de</w:t>
      </w:r>
      <w:r w:rsidR="00C96255">
        <w:t xml:space="preserve"> la</w:t>
      </w:r>
      <w:r w:rsidR="00C023FA">
        <w:t xml:space="preserve"> liste </w:t>
      </w:r>
      <w:r>
        <w:t xml:space="preserve">des donateurs et cotisants </w:t>
      </w:r>
      <w:r w:rsidR="00C96255">
        <w:t>de chaque parti</w:t>
      </w:r>
      <w:r w:rsidR="001F44F2">
        <w:t xml:space="preserve"> </w:t>
      </w:r>
      <w:r w:rsidR="00C64772">
        <w:t>;</w:t>
      </w:r>
    </w:p>
    <w:p w14:paraId="334B0B68" w14:textId="284457EF" w:rsidR="00C64772" w:rsidRDefault="00C64772" w:rsidP="00A13E81">
      <w:pPr>
        <w:numPr>
          <w:ilvl w:val="0"/>
          <w:numId w:val="37"/>
        </w:numPr>
      </w:pPr>
      <w:r>
        <w:t xml:space="preserve">contrôle de conformité : </w:t>
      </w:r>
      <w:r w:rsidR="00C023FA">
        <w:t>fonctionnalité</w:t>
      </w:r>
      <w:r>
        <w:t xml:space="preserve"> mise à disposition des déposants de fichiers de dons et cotisations afin qu’ils puissent autocontrôler la conformité des fichiers avant leur dépôt officiel à la CNCCFP ;</w:t>
      </w:r>
    </w:p>
    <w:p w14:paraId="61015119" w14:textId="514E468E" w:rsidR="00C64772" w:rsidRDefault="00C64772" w:rsidP="00A13E81">
      <w:pPr>
        <w:numPr>
          <w:ilvl w:val="0"/>
          <w:numId w:val="37"/>
        </w:numPr>
      </w:pPr>
      <w:r>
        <w:t>contrôle des contributions</w:t>
      </w:r>
      <w:r w:rsidR="00EB7592">
        <w:t xml:space="preserve"> </w:t>
      </w:r>
      <w:r>
        <w:t>qui permet le contrôle des contributions de personnes physiques versées aux mandataires (actuellement, le dépôt de ces fichiers et leur contrôle, relatif aux obligations faites aux mandataires des partis politiques</w:t>
      </w:r>
      <w:r w:rsidR="002F4628">
        <w:t>,</w:t>
      </w:r>
      <w:r>
        <w:t xml:space="preserve"> est distinct de l’obligation de dépôt des listes </w:t>
      </w:r>
      <w:r w:rsidR="005368D3">
        <w:t>de donateurs et cotisants</w:t>
      </w:r>
      <w:r>
        <w:t>, incombant aux partis eux-mêmes) ;</w:t>
      </w:r>
    </w:p>
    <w:p w14:paraId="0A910E64" w14:textId="42F58396" w:rsidR="00C64772" w:rsidRDefault="00C64772" w:rsidP="00C64772">
      <w:pPr>
        <w:numPr>
          <w:ilvl w:val="0"/>
          <w:numId w:val="37"/>
        </w:numPr>
      </w:pPr>
      <w:r>
        <w:t>production des reçus à partir des fichiers livrés conformes ;</w:t>
      </w:r>
    </w:p>
    <w:p w14:paraId="79E1D1CA" w14:textId="476347BB" w:rsidR="00C64772" w:rsidRDefault="005368D3" w:rsidP="00C64772">
      <w:pPr>
        <w:numPr>
          <w:ilvl w:val="0"/>
          <w:numId w:val="37"/>
        </w:numPr>
      </w:pPr>
      <w:r>
        <w:t xml:space="preserve">protection </w:t>
      </w:r>
      <w:r w:rsidR="00C64772">
        <w:t>des PDF des reçus avant envoi aux mandataires.</w:t>
      </w:r>
    </w:p>
    <w:p w14:paraId="673A2CD0" w14:textId="46C3B0B1" w:rsidR="00C64772" w:rsidRDefault="00C64772" w:rsidP="00C64772">
      <w:pPr>
        <w:spacing w:before="240" w:after="240"/>
      </w:pPr>
      <w:r>
        <w:t xml:space="preserve">Les fonctionnalités permettant d’éditer les formules de reçu devront être intégrées à la plateforme de dématérialisation. </w:t>
      </w:r>
    </w:p>
    <w:p w14:paraId="7F819460" w14:textId="2D2810FC" w:rsidR="00C96255" w:rsidRDefault="00C96255" w:rsidP="00C64772">
      <w:pPr>
        <w:spacing w:before="240" w:after="240"/>
      </w:pPr>
      <w:r>
        <w:t>L’import des données relatives aux partis politique</w:t>
      </w:r>
      <w:r w:rsidR="002F4628">
        <w:t>s</w:t>
      </w:r>
      <w:r>
        <w:t xml:space="preserve"> dans la nouvelle application se fera par import de fichiers csv. </w:t>
      </w:r>
    </w:p>
    <w:p w14:paraId="5B0C119C" w14:textId="0973EC76" w:rsidR="005F5935" w:rsidRPr="001A71A7" w:rsidRDefault="005F5935" w:rsidP="00A13E81">
      <w:pPr>
        <w:keepNext/>
        <w:keepLines/>
        <w:spacing w:before="40"/>
        <w:outlineLvl w:val="1"/>
        <w:rPr>
          <w:rFonts w:eastAsiaTheme="majorEastAsia" w:cstheme="majorBidi"/>
          <w:color w:val="2F5496" w:themeColor="accent1" w:themeShade="BF"/>
          <w:sz w:val="32"/>
          <w:szCs w:val="32"/>
        </w:rPr>
      </w:pPr>
      <w:bookmarkStart w:id="118" w:name="_Toc218447593"/>
      <w:bookmarkStart w:id="119" w:name="_Toc218447884"/>
      <w:bookmarkStart w:id="120" w:name="_Toc218458652"/>
      <w:bookmarkStart w:id="121" w:name="_Toc218447594"/>
      <w:bookmarkStart w:id="122" w:name="_Toc218447885"/>
      <w:bookmarkStart w:id="123" w:name="_Toc218458653"/>
      <w:bookmarkStart w:id="124" w:name="_Toc218447595"/>
      <w:bookmarkStart w:id="125" w:name="_Toc218447886"/>
      <w:bookmarkStart w:id="126" w:name="_Toc218458654"/>
      <w:bookmarkStart w:id="127" w:name="_Toc218447596"/>
      <w:bookmarkStart w:id="128" w:name="_Toc218447887"/>
      <w:bookmarkStart w:id="129" w:name="_Toc218458655"/>
      <w:bookmarkStart w:id="130" w:name="_Toc218447678"/>
      <w:bookmarkStart w:id="131" w:name="_Toc218447969"/>
      <w:bookmarkStart w:id="132" w:name="_Toc218458737"/>
      <w:bookmarkStart w:id="133" w:name="_Toc218447680"/>
      <w:bookmarkStart w:id="134" w:name="_Toc218447971"/>
      <w:bookmarkStart w:id="135" w:name="_Toc218458739"/>
      <w:bookmarkStart w:id="136" w:name="_Toc218447734"/>
      <w:bookmarkStart w:id="137" w:name="_Toc218448025"/>
      <w:bookmarkStart w:id="138" w:name="_Toc218458793"/>
      <w:bookmarkStart w:id="139" w:name="_Toc218447735"/>
      <w:bookmarkStart w:id="140" w:name="_Toc218448026"/>
      <w:bookmarkStart w:id="141" w:name="_Toc218458794"/>
      <w:bookmarkStart w:id="142" w:name="_Toc218447736"/>
      <w:bookmarkStart w:id="143" w:name="_Toc218448027"/>
      <w:bookmarkStart w:id="144" w:name="_Toc218458795"/>
      <w:bookmarkStart w:id="145" w:name="_Toc218447740"/>
      <w:bookmarkStart w:id="146" w:name="_Toc218448031"/>
      <w:bookmarkStart w:id="147" w:name="_Toc218458799"/>
      <w:bookmarkStart w:id="148" w:name="_Toc218447742"/>
      <w:bookmarkStart w:id="149" w:name="_Toc218448033"/>
      <w:bookmarkStart w:id="150" w:name="_Toc218458801"/>
      <w:bookmarkStart w:id="151" w:name="_Toc218447758"/>
      <w:bookmarkStart w:id="152" w:name="_Toc218448049"/>
      <w:bookmarkStart w:id="153" w:name="_Toc218458817"/>
      <w:bookmarkStart w:id="154" w:name="_Toc218447766"/>
      <w:bookmarkStart w:id="155" w:name="_Toc218448057"/>
      <w:bookmarkStart w:id="156" w:name="_Toc218458825"/>
      <w:bookmarkStart w:id="157" w:name="_Toc218447778"/>
      <w:bookmarkStart w:id="158" w:name="_Toc218448069"/>
      <w:bookmarkStart w:id="159" w:name="_Toc218458837"/>
      <w:bookmarkStart w:id="160" w:name="_Toc218447779"/>
      <w:bookmarkStart w:id="161" w:name="_Toc218448070"/>
      <w:bookmarkStart w:id="162" w:name="_Toc218458838"/>
      <w:bookmarkStart w:id="163" w:name="_Toc218447781"/>
      <w:bookmarkStart w:id="164" w:name="_Toc218448072"/>
      <w:bookmarkStart w:id="165" w:name="_Toc218458840"/>
      <w:bookmarkStart w:id="166" w:name="_Toc218447814"/>
      <w:bookmarkStart w:id="167" w:name="_Toc218448105"/>
      <w:bookmarkStart w:id="168" w:name="_Toc218458873"/>
      <w:bookmarkStart w:id="169" w:name="_Toc218447816"/>
      <w:bookmarkStart w:id="170" w:name="_Toc218448107"/>
      <w:bookmarkStart w:id="171" w:name="_Toc218458875"/>
      <w:bookmarkStart w:id="172" w:name="_Toc218447818"/>
      <w:bookmarkStart w:id="173" w:name="_Toc218448109"/>
      <w:bookmarkStart w:id="174" w:name="_Toc218458877"/>
      <w:bookmarkStart w:id="175" w:name="_Toc218447819"/>
      <w:bookmarkStart w:id="176" w:name="_Toc218448110"/>
      <w:bookmarkStart w:id="177" w:name="_Toc218458878"/>
      <w:bookmarkStart w:id="178" w:name="_heading=h.fwq3c3cd8nh"/>
      <w:bookmarkStart w:id="179" w:name="_heading=h.byajp8djj15k"/>
      <w:bookmarkStart w:id="180" w:name="_Toc218447852"/>
      <w:bookmarkStart w:id="181" w:name="_Toc218448143"/>
      <w:bookmarkStart w:id="182" w:name="_Toc21845891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sectPr w:rsidR="005F5935" w:rsidRPr="001A71A7">
      <w:footerReference w:type="default" r:id="rId2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08DF06" w16cex:dateUtc="2026-01-07T12:32:00Z"/>
  <w16cex:commentExtensible w16cex:durableId="2D08E02E" w16cex:dateUtc="2026-01-07T12:37:00Z"/>
  <w16cex:commentExtensible w16cex:durableId="2D0922B4" w16cex:dateUtc="2026-01-07T17:21:00Z"/>
  <w16cex:commentExtensible w16cex:durableId="2D08B71A" w16cex:dateUtc="2026-01-07T09:42:00Z"/>
  <w16cex:commentExtensible w16cex:durableId="2D08E1A4" w16cex:dateUtc="2026-01-07T12:44:00Z"/>
  <w16cex:commentExtensible w16cex:durableId="2D0922E7" w16cex:dateUtc="2026-01-07T17:22:00Z"/>
  <w16cex:commentExtensible w16cex:durableId="2D08E1FB" w16cex:dateUtc="2026-01-07T12:45:00Z"/>
  <w16cex:commentExtensible w16cex:durableId="2D08E8B3" w16cex:dateUtc="2026-01-07T13:14:00Z"/>
  <w16cex:commentExtensible w16cex:durableId="2D092345" w16cex:dateUtc="2026-01-07T17:24:00Z"/>
  <w16cex:commentExtensible w16cex:durableId="2D08EB6E" w16cex:dateUtc="2026-01-07T13:25:00Z"/>
  <w16cex:commentExtensible w16cex:durableId="2D09236B" w16cex:dateUtc="2026-01-07T17:24:00Z"/>
  <w16cex:commentExtensible w16cex:durableId="2D08EE02" w16cex:dateUtc="2026-01-07T13:36:00Z"/>
  <w16cex:commentExtensible w16cex:durableId="2D0923F2" w16cex:dateUtc="2026-01-07T17:26:00Z"/>
  <w16cex:commentExtensible w16cex:durableId="2D08EED9" w16cex:dateUtc="2026-01-07T13:40:00Z"/>
  <w16cex:commentExtensible w16cex:durableId="2D09240E" w16cex:dateUtc="2026-01-07T17:27:00Z"/>
  <w16cex:commentExtensible w16cex:durableId="2D08EFF4" w16cex:dateUtc="2026-01-07T13:45:00Z"/>
  <w16cex:commentExtensible w16cex:durableId="2D08EFCE" w16cex:dateUtc="2026-01-07T13:44:00Z"/>
  <w16cex:commentExtensible w16cex:durableId="2D092778" w16cex:dateUtc="2026-01-07T17:42:00Z"/>
  <w16cex:commentExtensible w16cex:durableId="2D091BAF" w16cex:dateUtc="2026-01-07T16:51:00Z"/>
  <w16cex:commentExtensible w16cex:durableId="2D092CDD" w16cex:dateUtc="2026-01-07T18:05:00Z"/>
  <w16cex:commentExtensible w16cex:durableId="2D091D3D" w16cex:dateUtc="2026-01-07T16:58:00Z"/>
  <w16cex:commentExtensible w16cex:durableId="2D092D5B" w16cex:dateUtc="2026-01-07T18:07:00Z"/>
  <w16cex:commentExtensible w16cex:durableId="2D0A4E77" w16cex:dateUtc="2026-01-07T09:42:00Z"/>
  <w16cex:commentExtensible w16cex:durableId="2D08BC42" w16cex:dateUtc="2026-01-07T10:04:00Z"/>
  <w16cex:commentExtensible w16cex:durableId="2D091F5E" w16cex:dateUtc="2026-01-07T17:07:00Z"/>
  <w16cex:commentExtensible w16cex:durableId="2D092DFD" w16cex:dateUtc="2026-01-07T1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107454" w16cid:durableId="2D08B293"/>
  <w16cid:commentId w16cid:paraId="431F0FD6" w16cid:durableId="2D08B294"/>
  <w16cid:commentId w16cid:paraId="5F68C6F1" w16cid:durableId="2D08B295"/>
  <w16cid:commentId w16cid:paraId="38CB3EE1" w16cid:durableId="2D08DF06"/>
  <w16cid:commentId w16cid:paraId="5604E159" w16cid:durableId="2D08B296"/>
  <w16cid:commentId w16cid:paraId="18F7CFC7" w16cid:durableId="2D08B297"/>
  <w16cid:commentId w16cid:paraId="4C9B3CCE" w16cid:durableId="2D08B298"/>
  <w16cid:commentId w16cid:paraId="4819EA28" w16cid:durableId="2D08B299"/>
  <w16cid:commentId w16cid:paraId="313E079C" w16cid:durableId="2D08B29A"/>
  <w16cid:commentId w16cid:paraId="692BEE8D" w16cid:durableId="2D08B29B"/>
  <w16cid:commentId w16cid:paraId="29188FF0" w16cid:durableId="2D08E02E"/>
  <w16cid:commentId w16cid:paraId="527D0DAE" w16cid:durableId="2D0922B4"/>
  <w16cid:commentId w16cid:paraId="6950EC1B" w16cid:durableId="2D08B29C"/>
  <w16cid:commentId w16cid:paraId="064FF166" w16cid:durableId="2D08B29D"/>
  <w16cid:commentId w16cid:paraId="208C9035" w16cid:durableId="2D08B29E"/>
  <w16cid:commentId w16cid:paraId="7D8C937F" w16cid:durableId="2D08B29F"/>
  <w16cid:commentId w16cid:paraId="1A3B6487" w16cid:durableId="2D08B2A0"/>
  <w16cid:commentId w16cid:paraId="476032FB" w16cid:durableId="2D08B71A"/>
  <w16cid:commentId w16cid:paraId="7CE43DD3" w16cid:durableId="2D08B2A1"/>
  <w16cid:commentId w16cid:paraId="5D56F27D" w16cid:durableId="2D08B2A2"/>
  <w16cid:commentId w16cid:paraId="5B24D4BE" w16cid:durableId="2D08B2A3"/>
  <w16cid:commentId w16cid:paraId="694C8669" w16cid:durableId="2D08B2A4"/>
  <w16cid:commentId w16cid:paraId="6330B200" w16cid:durableId="2D08E1A4"/>
  <w16cid:commentId w16cid:paraId="5686D602" w16cid:durableId="2D0922E7"/>
  <w16cid:commentId w16cid:paraId="07F92BE4" w16cid:durableId="2D08B2A5"/>
  <w16cid:commentId w16cid:paraId="7D1587A4" w16cid:durableId="2D08B2A6"/>
  <w16cid:commentId w16cid:paraId="5E5D9A07" w16cid:durableId="2D08B2A7"/>
  <w16cid:commentId w16cid:paraId="21C0CA58" w16cid:durableId="2D08B2A8"/>
  <w16cid:commentId w16cid:paraId="1B652465" w16cid:durableId="2D08E1FB"/>
  <w16cid:commentId w16cid:paraId="17BE164D" w16cid:durableId="2D08B2A9"/>
  <w16cid:commentId w16cid:paraId="07DF4A16" w16cid:durableId="2D08B2AA"/>
  <w16cid:commentId w16cid:paraId="19A1202E" w16cid:durableId="2D08E8B3"/>
  <w16cid:commentId w16cid:paraId="335EACD7" w16cid:durableId="2D092345"/>
  <w16cid:commentId w16cid:paraId="4A39E189" w16cid:durableId="2D08EB6E"/>
  <w16cid:commentId w16cid:paraId="6A4FAF07" w16cid:durableId="2D09236B"/>
  <w16cid:commentId w16cid:paraId="531EE9B3" w16cid:durableId="2D08EE02"/>
  <w16cid:commentId w16cid:paraId="195263E5" w16cid:durableId="2D0923F2"/>
  <w16cid:commentId w16cid:paraId="5CD258DB" w16cid:durableId="2D08B2AB"/>
  <w16cid:commentId w16cid:paraId="7EBA9D8F" w16cid:durableId="2D08EED9"/>
  <w16cid:commentId w16cid:paraId="32C45FB2" w16cid:durableId="2D09240E"/>
  <w16cid:commentId w16cid:paraId="726A4F4D" w16cid:durableId="2D08B2AC"/>
  <w16cid:commentId w16cid:paraId="6F0F34C4" w16cid:durableId="2D08EFF4"/>
  <w16cid:commentId w16cid:paraId="59D1BE44" w16cid:durableId="2D08B2AD"/>
  <w16cid:commentId w16cid:paraId="5E7D2286" w16cid:durableId="2D08B2AE"/>
  <w16cid:commentId w16cid:paraId="01A25722" w16cid:durableId="2D08B2AF"/>
  <w16cid:commentId w16cid:paraId="24B081DB" w16cid:durableId="2D08EFCE"/>
  <w16cid:commentId w16cid:paraId="7E310433" w16cid:durableId="2D092778"/>
  <w16cid:commentId w16cid:paraId="5277B2F5" w16cid:durableId="2D091BAF"/>
  <w16cid:commentId w16cid:paraId="27B0F0BF" w16cid:durableId="2D092CDD"/>
  <w16cid:commentId w16cid:paraId="69CC66D3" w16cid:durableId="2D091D3D"/>
  <w16cid:commentId w16cid:paraId="1A77B09E" w16cid:durableId="2D092D5B"/>
  <w16cid:commentId w16cid:paraId="39252CFB" w16cid:durableId="2D0A4E78"/>
  <w16cid:commentId w16cid:paraId="623B696E" w16cid:durableId="2D0A4E77"/>
  <w16cid:commentId w16cid:paraId="177B8E05" w16cid:durableId="2D08B2B0"/>
  <w16cid:commentId w16cid:paraId="166CB04D" w16cid:durableId="2D08BC42"/>
  <w16cid:commentId w16cid:paraId="561880AC" w16cid:durableId="2D08B2B1"/>
  <w16cid:commentId w16cid:paraId="68D3A0A2" w16cid:durableId="2D08B2B2"/>
  <w16cid:commentId w16cid:paraId="7971E990" w16cid:durableId="2D08B2B3"/>
  <w16cid:commentId w16cid:paraId="34EC6A15" w16cid:durableId="2D08B2B4"/>
  <w16cid:commentId w16cid:paraId="6F7758DC" w16cid:durableId="2D08B2B5"/>
  <w16cid:commentId w16cid:paraId="72A8E729" w16cid:durableId="2D08B2B6"/>
  <w16cid:commentId w16cid:paraId="38A2C61F" w16cid:durableId="2D08B2B7"/>
  <w16cid:commentId w16cid:paraId="32967F76" w16cid:durableId="2D08B2B8"/>
  <w16cid:commentId w16cid:paraId="184C9C9B" w16cid:durableId="2D08B2B9"/>
  <w16cid:commentId w16cid:paraId="7856EF99" w16cid:durableId="2D08B2BA"/>
  <w16cid:commentId w16cid:paraId="15692192" w16cid:durableId="2D091F5E"/>
  <w16cid:commentId w16cid:paraId="7D750A12" w16cid:durableId="2D092DFD"/>
  <w16cid:commentId w16cid:paraId="0651438F" w16cid:durableId="2D08B2BB"/>
  <w16cid:commentId w16cid:paraId="319183A0" w16cid:durableId="2D08B2BC"/>
  <w16cid:commentId w16cid:paraId="403F2FA9" w16cid:durableId="2D08B2BD"/>
  <w16cid:commentId w16cid:paraId="5314307F" w16cid:durableId="2D08B2BE"/>
  <w16cid:commentId w16cid:paraId="16990D9F" w16cid:durableId="2D08B2B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8D317" w14:textId="77777777" w:rsidR="0042596E" w:rsidRDefault="0042596E" w:rsidP="006A1302">
      <w:r>
        <w:separator/>
      </w:r>
    </w:p>
  </w:endnote>
  <w:endnote w:type="continuationSeparator" w:id="0">
    <w:p w14:paraId="031BE8CD" w14:textId="77777777" w:rsidR="0042596E" w:rsidRDefault="0042596E" w:rsidP="006A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074250"/>
      <w:docPartObj>
        <w:docPartGallery w:val="Page Numbers (Bottom of Page)"/>
        <w:docPartUnique/>
      </w:docPartObj>
    </w:sdtPr>
    <w:sdtEndPr/>
    <w:sdtContent>
      <w:p w14:paraId="6068505E" w14:textId="39700375" w:rsidR="0042596E" w:rsidRDefault="0042596E">
        <w:pPr>
          <w:pStyle w:val="Pieddepage"/>
          <w:jc w:val="center"/>
        </w:pPr>
        <w:r>
          <w:fldChar w:fldCharType="begin"/>
        </w:r>
        <w:r>
          <w:instrText>PAGE   \* MERGEFORMAT</w:instrText>
        </w:r>
        <w:r>
          <w:fldChar w:fldCharType="separate"/>
        </w:r>
        <w:r w:rsidR="001D4AA8">
          <w:rPr>
            <w:noProof/>
          </w:rPr>
          <w:t>1</w:t>
        </w:r>
        <w:r>
          <w:fldChar w:fldCharType="end"/>
        </w:r>
      </w:p>
    </w:sdtContent>
  </w:sdt>
  <w:p w14:paraId="31712D98" w14:textId="77777777" w:rsidR="0042596E" w:rsidRDefault="0042596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B6EF8" w14:textId="77777777" w:rsidR="0042596E" w:rsidRDefault="0042596E" w:rsidP="006A1302">
      <w:r>
        <w:separator/>
      </w:r>
    </w:p>
  </w:footnote>
  <w:footnote w:type="continuationSeparator" w:id="0">
    <w:p w14:paraId="46DD4302" w14:textId="77777777" w:rsidR="0042596E" w:rsidRDefault="0042596E" w:rsidP="006A13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846"/>
    <w:multiLevelType w:val="hybridMultilevel"/>
    <w:tmpl w:val="9F249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756B00"/>
    <w:multiLevelType w:val="hybridMultilevel"/>
    <w:tmpl w:val="46B04004"/>
    <w:lvl w:ilvl="0" w:tplc="822A248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D95299"/>
    <w:multiLevelType w:val="hybridMultilevel"/>
    <w:tmpl w:val="0BDEABE0"/>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8600E52"/>
    <w:multiLevelType w:val="hybridMultilevel"/>
    <w:tmpl w:val="BEC04BCC"/>
    <w:lvl w:ilvl="0" w:tplc="FC5012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B28D4"/>
    <w:multiLevelType w:val="hybridMultilevel"/>
    <w:tmpl w:val="F8407C7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EB32A37"/>
    <w:multiLevelType w:val="hybridMultilevel"/>
    <w:tmpl w:val="700638F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F9B4F39"/>
    <w:multiLevelType w:val="multilevel"/>
    <w:tmpl w:val="005AF7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3AC62CB"/>
    <w:multiLevelType w:val="multilevel"/>
    <w:tmpl w:val="B88079C6"/>
    <w:lvl w:ilvl="0">
      <w:start w:val="3"/>
      <w:numFmt w:val="bullet"/>
      <w:lvlText w:val="●"/>
      <w:lvlJc w:val="left"/>
      <w:pPr>
        <w:ind w:left="360" w:hanging="360"/>
      </w:pPr>
      <w:rPr>
        <w:rFonts w:ascii="Calibri" w:eastAsia="Calibri" w:hAnsi="Calibri" w:cs="Calibri"/>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8" w15:restartNumberingAfterBreak="0">
    <w:nsid w:val="14CC08BA"/>
    <w:multiLevelType w:val="hybridMultilevel"/>
    <w:tmpl w:val="4F08599A"/>
    <w:lvl w:ilvl="0" w:tplc="06EA7B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452DAE"/>
    <w:multiLevelType w:val="hybridMultilevel"/>
    <w:tmpl w:val="52CAA9E6"/>
    <w:lvl w:ilvl="0" w:tplc="040C0001">
      <w:start w:val="1"/>
      <w:numFmt w:val="bullet"/>
      <w:lvlText w:val=""/>
      <w:lvlJc w:val="left"/>
      <w:pPr>
        <w:ind w:left="1440" w:hanging="360"/>
      </w:pPr>
      <w:rPr>
        <w:rFonts w:ascii="Symbol" w:hAnsi="Symbol"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15784709"/>
    <w:multiLevelType w:val="hybridMultilevel"/>
    <w:tmpl w:val="BA20FB86"/>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158256DC"/>
    <w:multiLevelType w:val="multilevel"/>
    <w:tmpl w:val="11E287FA"/>
    <w:lvl w:ilvl="0">
      <w:start w:val="1"/>
      <w:numFmt w:val="bullet"/>
      <w:lvlText w:val=""/>
      <w:lvlJc w:val="left"/>
      <w:pPr>
        <w:ind w:left="1440" w:hanging="360"/>
      </w:pPr>
      <w:rPr>
        <w:rFonts w:ascii="Symbol" w:hAnsi="Symbol" w:hint="default"/>
      </w:rPr>
    </w:lvl>
    <w:lvl w:ilvl="1">
      <w:start w:val="1"/>
      <w:numFmt w:val="bullet"/>
      <w:lvlText w:val=""/>
      <w:lvlJc w:val="left"/>
      <w:pPr>
        <w:ind w:left="1872" w:hanging="432"/>
      </w:pPr>
      <w:rPr>
        <w:rFonts w:ascii="Symbol" w:hAnsi="Symbol" w:hint="default"/>
      </w:rPr>
    </w:lvl>
    <w:lvl w:ilvl="2">
      <w:start w:val="1"/>
      <w:numFmt w:val="bullet"/>
      <w:lvlText w:val=""/>
      <w:lvlJc w:val="left"/>
      <w:pPr>
        <w:ind w:left="2304" w:hanging="504"/>
      </w:pPr>
      <w:rPr>
        <w:rFonts w:ascii="Symbol" w:hAnsi="Symbol" w:hint="default"/>
      </w:rPr>
    </w:lvl>
    <w:lvl w:ilvl="3">
      <w:start w:val="1"/>
      <w:numFmt w:val="bullet"/>
      <w:lvlText w:val=""/>
      <w:lvlJc w:val="left"/>
      <w:pPr>
        <w:ind w:left="2808" w:hanging="648"/>
      </w:pPr>
      <w:rPr>
        <w:rFonts w:ascii="Symbol" w:hAnsi="Symbol" w:hint="default"/>
      </w:r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2" w15:restartNumberingAfterBreak="0">
    <w:nsid w:val="16735BF0"/>
    <w:multiLevelType w:val="multilevel"/>
    <w:tmpl w:val="B7667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FA053F"/>
    <w:multiLevelType w:val="hybridMultilevel"/>
    <w:tmpl w:val="CD084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FA111B"/>
    <w:multiLevelType w:val="hybridMultilevel"/>
    <w:tmpl w:val="3F3C6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2B5FD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BA45DB"/>
    <w:multiLevelType w:val="hybridMultilevel"/>
    <w:tmpl w:val="26E699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E3355A"/>
    <w:multiLevelType w:val="multilevel"/>
    <w:tmpl w:val="B0C02B58"/>
    <w:lvl w:ilvl="0">
      <w:start w:val="1"/>
      <w:numFmt w:val="decimal"/>
      <w:pStyle w:val="Titre1"/>
      <w:lvlText w:val="%1."/>
      <w:lvlJc w:val="left"/>
      <w:pPr>
        <w:ind w:left="360" w:hanging="360"/>
      </w:pPr>
      <w:rPr>
        <w:sz w:val="36"/>
        <w:szCs w:val="36"/>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1015ECB"/>
    <w:multiLevelType w:val="hybridMultilevel"/>
    <w:tmpl w:val="B69C144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237C0A1C"/>
    <w:multiLevelType w:val="hybridMultilevel"/>
    <w:tmpl w:val="11984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B26E11"/>
    <w:multiLevelType w:val="hybridMultilevel"/>
    <w:tmpl w:val="7FD21A6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260368D1"/>
    <w:multiLevelType w:val="hybridMultilevel"/>
    <w:tmpl w:val="B0287F0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2A374694"/>
    <w:multiLevelType w:val="hybridMultilevel"/>
    <w:tmpl w:val="9DEE3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440501"/>
    <w:multiLevelType w:val="multilevel"/>
    <w:tmpl w:val="C1C64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BB34039"/>
    <w:multiLevelType w:val="multilevel"/>
    <w:tmpl w:val="2F901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3B7474"/>
    <w:multiLevelType w:val="multilevel"/>
    <w:tmpl w:val="083A04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C4759E"/>
    <w:multiLevelType w:val="hybridMultilevel"/>
    <w:tmpl w:val="0B94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0D20C3"/>
    <w:multiLevelType w:val="hybridMultilevel"/>
    <w:tmpl w:val="28BAB3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117011"/>
    <w:multiLevelType w:val="multilevel"/>
    <w:tmpl w:val="183C013A"/>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3A9353B8"/>
    <w:multiLevelType w:val="hybridMultilevel"/>
    <w:tmpl w:val="A4D28A28"/>
    <w:lvl w:ilvl="0" w:tplc="83D2928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390E0A"/>
    <w:multiLevelType w:val="multilevel"/>
    <w:tmpl w:val="183C013A"/>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3D5A68A1"/>
    <w:multiLevelType w:val="multilevel"/>
    <w:tmpl w:val="614E73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3D6C1014"/>
    <w:multiLevelType w:val="hybridMultilevel"/>
    <w:tmpl w:val="F53224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A17182"/>
    <w:multiLevelType w:val="hybridMultilevel"/>
    <w:tmpl w:val="D4E03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EF30023"/>
    <w:multiLevelType w:val="multilevel"/>
    <w:tmpl w:val="D5DE6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034015"/>
    <w:multiLevelType w:val="hybridMultilevel"/>
    <w:tmpl w:val="6750E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DC7886"/>
    <w:multiLevelType w:val="multilevel"/>
    <w:tmpl w:val="10EA306C"/>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5329116E"/>
    <w:multiLevelType w:val="multilevel"/>
    <w:tmpl w:val="94B68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4554A1"/>
    <w:multiLevelType w:val="hybridMultilevel"/>
    <w:tmpl w:val="FDE4B1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977E69"/>
    <w:multiLevelType w:val="multilevel"/>
    <w:tmpl w:val="10EA306C"/>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544F1208"/>
    <w:multiLevelType w:val="hybridMultilevel"/>
    <w:tmpl w:val="DE088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8D5D42"/>
    <w:multiLevelType w:val="multilevel"/>
    <w:tmpl w:val="CEA0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4749AF"/>
    <w:multiLevelType w:val="hybridMultilevel"/>
    <w:tmpl w:val="EDD49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C15138"/>
    <w:multiLevelType w:val="hybridMultilevel"/>
    <w:tmpl w:val="2E12AFAE"/>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5BD65BF8"/>
    <w:multiLevelType w:val="hybridMultilevel"/>
    <w:tmpl w:val="FC70F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04A4539"/>
    <w:multiLevelType w:val="hybridMultilevel"/>
    <w:tmpl w:val="BBAEA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68A0858"/>
    <w:multiLevelType w:val="hybridMultilevel"/>
    <w:tmpl w:val="6B90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BD30C7"/>
    <w:multiLevelType w:val="hybridMultilevel"/>
    <w:tmpl w:val="0A129880"/>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674162BB"/>
    <w:multiLevelType w:val="hybridMultilevel"/>
    <w:tmpl w:val="CDF26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C3877BC"/>
    <w:multiLevelType w:val="multilevel"/>
    <w:tmpl w:val="3FFE8546"/>
    <w:lvl w:ilvl="0">
      <w:start w:val="1"/>
      <w:numFmt w:val="bullet"/>
      <w:lvlText w:val=""/>
      <w:lvlJc w:val="left"/>
      <w:pPr>
        <w:ind w:left="1440" w:hanging="360"/>
      </w:pPr>
      <w:rPr>
        <w:rFonts w:ascii="Symbol" w:hAnsi="Symbol" w:hint="default"/>
      </w:rPr>
    </w:lvl>
    <w:lvl w:ilvl="1">
      <w:start w:val="1"/>
      <w:numFmt w:val="bullet"/>
      <w:lvlText w:val="o"/>
      <w:lvlJc w:val="left"/>
      <w:pPr>
        <w:ind w:left="1872" w:hanging="432"/>
      </w:pPr>
      <w:rPr>
        <w:rFonts w:ascii="Courier New" w:hAnsi="Courier New" w:cs="Courier New" w:hint="default"/>
      </w:r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50" w15:restartNumberingAfterBreak="0">
    <w:nsid w:val="724E6161"/>
    <w:multiLevelType w:val="hybridMultilevel"/>
    <w:tmpl w:val="36420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52E2FCC"/>
    <w:multiLevelType w:val="hybridMultilevel"/>
    <w:tmpl w:val="DC566BA6"/>
    <w:lvl w:ilvl="0" w:tplc="040C0003">
      <w:start w:val="1"/>
      <w:numFmt w:val="bullet"/>
      <w:lvlText w:val="o"/>
      <w:lvlJc w:val="left"/>
      <w:pPr>
        <w:ind w:left="2160" w:hanging="360"/>
      </w:pPr>
      <w:rPr>
        <w:rFonts w:ascii="Courier New" w:hAnsi="Courier New" w:cs="Courier New"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2" w15:restartNumberingAfterBreak="0">
    <w:nsid w:val="76091472"/>
    <w:multiLevelType w:val="hybridMultilevel"/>
    <w:tmpl w:val="0652E1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77B0058"/>
    <w:multiLevelType w:val="multilevel"/>
    <w:tmpl w:val="D15E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471518"/>
    <w:multiLevelType w:val="multilevel"/>
    <w:tmpl w:val="183C013A"/>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5" w15:restartNumberingAfterBreak="0">
    <w:nsid w:val="794F1D81"/>
    <w:multiLevelType w:val="hybridMultilevel"/>
    <w:tmpl w:val="786645F6"/>
    <w:lvl w:ilvl="0" w:tplc="12C2F1D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C407BEC"/>
    <w:multiLevelType w:val="hybridMultilevel"/>
    <w:tmpl w:val="DA64E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48"/>
  </w:num>
  <w:num w:numId="4">
    <w:abstractNumId w:val="45"/>
  </w:num>
  <w:num w:numId="5">
    <w:abstractNumId w:val="52"/>
  </w:num>
  <w:num w:numId="6">
    <w:abstractNumId w:val="17"/>
  </w:num>
  <w:num w:numId="7">
    <w:abstractNumId w:val="39"/>
  </w:num>
  <w:num w:numId="8">
    <w:abstractNumId w:val="49"/>
  </w:num>
  <w:num w:numId="9">
    <w:abstractNumId w:val="12"/>
  </w:num>
  <w:num w:numId="10">
    <w:abstractNumId w:val="37"/>
  </w:num>
  <w:num w:numId="11">
    <w:abstractNumId w:val="53"/>
  </w:num>
  <w:num w:numId="12">
    <w:abstractNumId w:val="41"/>
  </w:num>
  <w:num w:numId="13">
    <w:abstractNumId w:val="24"/>
  </w:num>
  <w:num w:numId="14">
    <w:abstractNumId w:val="19"/>
  </w:num>
  <w:num w:numId="15">
    <w:abstractNumId w:val="46"/>
  </w:num>
  <w:num w:numId="16">
    <w:abstractNumId w:val="33"/>
  </w:num>
  <w:num w:numId="17">
    <w:abstractNumId w:val="10"/>
  </w:num>
  <w:num w:numId="18">
    <w:abstractNumId w:val="9"/>
  </w:num>
  <w:num w:numId="19">
    <w:abstractNumId w:val="2"/>
  </w:num>
  <w:num w:numId="20">
    <w:abstractNumId w:val="21"/>
  </w:num>
  <w:num w:numId="21">
    <w:abstractNumId w:val="18"/>
  </w:num>
  <w:num w:numId="22">
    <w:abstractNumId w:val="5"/>
  </w:num>
  <w:num w:numId="23">
    <w:abstractNumId w:val="14"/>
  </w:num>
  <w:num w:numId="24">
    <w:abstractNumId w:val="40"/>
  </w:num>
  <w:num w:numId="25">
    <w:abstractNumId w:val="47"/>
  </w:num>
  <w:num w:numId="26">
    <w:abstractNumId w:val="51"/>
  </w:num>
  <w:num w:numId="27">
    <w:abstractNumId w:val="36"/>
  </w:num>
  <w:num w:numId="28">
    <w:abstractNumId w:val="20"/>
  </w:num>
  <w:num w:numId="29">
    <w:abstractNumId w:val="28"/>
  </w:num>
  <w:num w:numId="30">
    <w:abstractNumId w:val="43"/>
  </w:num>
  <w:num w:numId="31">
    <w:abstractNumId w:val="4"/>
  </w:num>
  <w:num w:numId="32">
    <w:abstractNumId w:val="27"/>
  </w:num>
  <w:num w:numId="33">
    <w:abstractNumId w:val="26"/>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7"/>
  </w:num>
  <w:num w:numId="37">
    <w:abstractNumId w:val="31"/>
  </w:num>
  <w:num w:numId="38">
    <w:abstractNumId w:val="23"/>
  </w:num>
  <w:num w:numId="39">
    <w:abstractNumId w:val="6"/>
  </w:num>
  <w:num w:numId="40">
    <w:abstractNumId w:val="54"/>
  </w:num>
  <w:num w:numId="41">
    <w:abstractNumId w:val="56"/>
  </w:num>
  <w:num w:numId="42">
    <w:abstractNumId w:val="30"/>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num>
  <w:num w:numId="46">
    <w:abstractNumId w:val="3"/>
  </w:num>
  <w:num w:numId="47">
    <w:abstractNumId w:val="42"/>
  </w:num>
  <w:num w:numId="48">
    <w:abstractNumId w:val="11"/>
  </w:num>
  <w:num w:numId="49">
    <w:abstractNumId w:val="55"/>
  </w:num>
  <w:num w:numId="50">
    <w:abstractNumId w:val="29"/>
  </w:num>
  <w:num w:numId="51">
    <w:abstractNumId w:val="1"/>
  </w:num>
  <w:num w:numId="52">
    <w:abstractNumId w:val="32"/>
  </w:num>
  <w:num w:numId="53">
    <w:abstractNumId w:val="50"/>
  </w:num>
  <w:num w:numId="54">
    <w:abstractNumId w:val="15"/>
  </w:num>
  <w:num w:numId="55">
    <w:abstractNumId w:val="44"/>
  </w:num>
  <w:num w:numId="56">
    <w:abstractNumId w:val="0"/>
  </w:num>
  <w:num w:numId="57">
    <w:abstractNumId w:val="16"/>
  </w:num>
  <w:num w:numId="58">
    <w:abstractNumId w:val="38"/>
  </w:num>
  <w:num w:numId="59">
    <w:abstractNumId w:val="22"/>
  </w:num>
  <w:num w:numId="60">
    <w:abstractNumId w:val="35"/>
  </w:num>
  <w:num w:numId="61">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E3"/>
    <w:rsid w:val="00005966"/>
    <w:rsid w:val="00006D74"/>
    <w:rsid w:val="00011474"/>
    <w:rsid w:val="00012F84"/>
    <w:rsid w:val="00027424"/>
    <w:rsid w:val="00030F39"/>
    <w:rsid w:val="00041B3E"/>
    <w:rsid w:val="00041C04"/>
    <w:rsid w:val="000421AD"/>
    <w:rsid w:val="00050347"/>
    <w:rsid w:val="00051AB2"/>
    <w:rsid w:val="0005732B"/>
    <w:rsid w:val="000627FC"/>
    <w:rsid w:val="00070926"/>
    <w:rsid w:val="00076630"/>
    <w:rsid w:val="00076DCE"/>
    <w:rsid w:val="0008556C"/>
    <w:rsid w:val="00085F38"/>
    <w:rsid w:val="00087223"/>
    <w:rsid w:val="00087282"/>
    <w:rsid w:val="00087377"/>
    <w:rsid w:val="00087EFC"/>
    <w:rsid w:val="00090E69"/>
    <w:rsid w:val="000945FA"/>
    <w:rsid w:val="000A2A06"/>
    <w:rsid w:val="000A5BD9"/>
    <w:rsid w:val="000C1E78"/>
    <w:rsid w:val="000C4739"/>
    <w:rsid w:val="000C7CBB"/>
    <w:rsid w:val="000D17EA"/>
    <w:rsid w:val="000D1A89"/>
    <w:rsid w:val="000D22BF"/>
    <w:rsid w:val="000D35AA"/>
    <w:rsid w:val="000D75F3"/>
    <w:rsid w:val="000E7BAE"/>
    <w:rsid w:val="00100BD3"/>
    <w:rsid w:val="00112400"/>
    <w:rsid w:val="00116B7C"/>
    <w:rsid w:val="0012155C"/>
    <w:rsid w:val="00121B7C"/>
    <w:rsid w:val="001356E3"/>
    <w:rsid w:val="001375B1"/>
    <w:rsid w:val="0014127C"/>
    <w:rsid w:val="0014238E"/>
    <w:rsid w:val="00147D1C"/>
    <w:rsid w:val="0015625F"/>
    <w:rsid w:val="0016041F"/>
    <w:rsid w:val="00164436"/>
    <w:rsid w:val="00165803"/>
    <w:rsid w:val="001744EC"/>
    <w:rsid w:val="00190A70"/>
    <w:rsid w:val="00190B96"/>
    <w:rsid w:val="00197916"/>
    <w:rsid w:val="001A0AEB"/>
    <w:rsid w:val="001A1ADB"/>
    <w:rsid w:val="001A59AC"/>
    <w:rsid w:val="001A71A7"/>
    <w:rsid w:val="001A7492"/>
    <w:rsid w:val="001B7ADB"/>
    <w:rsid w:val="001D03CA"/>
    <w:rsid w:val="001D4AA8"/>
    <w:rsid w:val="001D6160"/>
    <w:rsid w:val="001E4E77"/>
    <w:rsid w:val="001E5583"/>
    <w:rsid w:val="001F44F2"/>
    <w:rsid w:val="00206994"/>
    <w:rsid w:val="00221A74"/>
    <w:rsid w:val="00227840"/>
    <w:rsid w:val="00241C18"/>
    <w:rsid w:val="002603D3"/>
    <w:rsid w:val="00266E3F"/>
    <w:rsid w:val="0027716C"/>
    <w:rsid w:val="00283998"/>
    <w:rsid w:val="0028421D"/>
    <w:rsid w:val="0028493A"/>
    <w:rsid w:val="00285E9E"/>
    <w:rsid w:val="002954D2"/>
    <w:rsid w:val="00295744"/>
    <w:rsid w:val="00297850"/>
    <w:rsid w:val="002B02FA"/>
    <w:rsid w:val="002B73F6"/>
    <w:rsid w:val="002D331A"/>
    <w:rsid w:val="002D757D"/>
    <w:rsid w:val="002F0922"/>
    <w:rsid w:val="002F4628"/>
    <w:rsid w:val="002F6C17"/>
    <w:rsid w:val="00312928"/>
    <w:rsid w:val="00337A97"/>
    <w:rsid w:val="00340250"/>
    <w:rsid w:val="0034032D"/>
    <w:rsid w:val="003419A9"/>
    <w:rsid w:val="003419BB"/>
    <w:rsid w:val="00344215"/>
    <w:rsid w:val="00350584"/>
    <w:rsid w:val="00355D42"/>
    <w:rsid w:val="003661A7"/>
    <w:rsid w:val="003735DE"/>
    <w:rsid w:val="0039257D"/>
    <w:rsid w:val="00395DB3"/>
    <w:rsid w:val="00397B28"/>
    <w:rsid w:val="00397EFA"/>
    <w:rsid w:val="003A2049"/>
    <w:rsid w:val="003B0716"/>
    <w:rsid w:val="003B093A"/>
    <w:rsid w:val="003C05A0"/>
    <w:rsid w:val="003C3367"/>
    <w:rsid w:val="003C4D68"/>
    <w:rsid w:val="003C53F2"/>
    <w:rsid w:val="003D1791"/>
    <w:rsid w:val="003D2B96"/>
    <w:rsid w:val="003D5060"/>
    <w:rsid w:val="003D5514"/>
    <w:rsid w:val="003D75E6"/>
    <w:rsid w:val="003E46C3"/>
    <w:rsid w:val="003F2E85"/>
    <w:rsid w:val="003F3864"/>
    <w:rsid w:val="003F3C9D"/>
    <w:rsid w:val="003F5E69"/>
    <w:rsid w:val="004027E2"/>
    <w:rsid w:val="00405D85"/>
    <w:rsid w:val="0040648E"/>
    <w:rsid w:val="00421CE8"/>
    <w:rsid w:val="0042596E"/>
    <w:rsid w:val="00427D9B"/>
    <w:rsid w:val="00431EBD"/>
    <w:rsid w:val="00432187"/>
    <w:rsid w:val="00432B70"/>
    <w:rsid w:val="00434C94"/>
    <w:rsid w:val="00441412"/>
    <w:rsid w:val="00442DD6"/>
    <w:rsid w:val="00442FDA"/>
    <w:rsid w:val="00450BE9"/>
    <w:rsid w:val="004513E3"/>
    <w:rsid w:val="00454CAD"/>
    <w:rsid w:val="0045523F"/>
    <w:rsid w:val="00455DFF"/>
    <w:rsid w:val="00460C23"/>
    <w:rsid w:val="00470945"/>
    <w:rsid w:val="00485A64"/>
    <w:rsid w:val="00486B21"/>
    <w:rsid w:val="004909DD"/>
    <w:rsid w:val="0049173E"/>
    <w:rsid w:val="0049630C"/>
    <w:rsid w:val="00496D32"/>
    <w:rsid w:val="00497443"/>
    <w:rsid w:val="004A153B"/>
    <w:rsid w:val="004A28AD"/>
    <w:rsid w:val="004A3004"/>
    <w:rsid w:val="004A7AA5"/>
    <w:rsid w:val="004B24C6"/>
    <w:rsid w:val="004B31CD"/>
    <w:rsid w:val="004B53D6"/>
    <w:rsid w:val="004B6BE9"/>
    <w:rsid w:val="004C3BDE"/>
    <w:rsid w:val="004D0BBA"/>
    <w:rsid w:val="004D50A1"/>
    <w:rsid w:val="004E087F"/>
    <w:rsid w:val="004E6028"/>
    <w:rsid w:val="004F3F8C"/>
    <w:rsid w:val="00513885"/>
    <w:rsid w:val="00514137"/>
    <w:rsid w:val="00516A08"/>
    <w:rsid w:val="005227D0"/>
    <w:rsid w:val="005257B5"/>
    <w:rsid w:val="00525E4D"/>
    <w:rsid w:val="00532C3F"/>
    <w:rsid w:val="005368D3"/>
    <w:rsid w:val="005402EA"/>
    <w:rsid w:val="00562B0D"/>
    <w:rsid w:val="005813F1"/>
    <w:rsid w:val="00581D09"/>
    <w:rsid w:val="00587D99"/>
    <w:rsid w:val="00594B96"/>
    <w:rsid w:val="00594CA5"/>
    <w:rsid w:val="00597AA9"/>
    <w:rsid w:val="005A0442"/>
    <w:rsid w:val="005A6ED5"/>
    <w:rsid w:val="005A7AA1"/>
    <w:rsid w:val="005B339C"/>
    <w:rsid w:val="005C22BD"/>
    <w:rsid w:val="005D175E"/>
    <w:rsid w:val="005D1A73"/>
    <w:rsid w:val="005D684E"/>
    <w:rsid w:val="005E4A10"/>
    <w:rsid w:val="005F1D6C"/>
    <w:rsid w:val="005F28FA"/>
    <w:rsid w:val="005F5935"/>
    <w:rsid w:val="006061F8"/>
    <w:rsid w:val="0061101F"/>
    <w:rsid w:val="006218F6"/>
    <w:rsid w:val="00624810"/>
    <w:rsid w:val="00640A2D"/>
    <w:rsid w:val="006532AA"/>
    <w:rsid w:val="006701A1"/>
    <w:rsid w:val="006712A0"/>
    <w:rsid w:val="006743AD"/>
    <w:rsid w:val="00680774"/>
    <w:rsid w:val="006824D0"/>
    <w:rsid w:val="00687265"/>
    <w:rsid w:val="00687CBB"/>
    <w:rsid w:val="00691395"/>
    <w:rsid w:val="0069271D"/>
    <w:rsid w:val="00692961"/>
    <w:rsid w:val="006A1302"/>
    <w:rsid w:val="006A3D6C"/>
    <w:rsid w:val="006A4B0A"/>
    <w:rsid w:val="006A4E9F"/>
    <w:rsid w:val="006B51B4"/>
    <w:rsid w:val="006C7FE7"/>
    <w:rsid w:val="006D2A8E"/>
    <w:rsid w:val="006D2E8E"/>
    <w:rsid w:val="006D36CB"/>
    <w:rsid w:val="006D4E2A"/>
    <w:rsid w:val="006D75E6"/>
    <w:rsid w:val="006F2200"/>
    <w:rsid w:val="006F46B8"/>
    <w:rsid w:val="006F6D18"/>
    <w:rsid w:val="00705BBA"/>
    <w:rsid w:val="007074CD"/>
    <w:rsid w:val="00710E8B"/>
    <w:rsid w:val="00711A75"/>
    <w:rsid w:val="00716297"/>
    <w:rsid w:val="00734626"/>
    <w:rsid w:val="007371C6"/>
    <w:rsid w:val="0074399D"/>
    <w:rsid w:val="00743CF4"/>
    <w:rsid w:val="007447B3"/>
    <w:rsid w:val="00746636"/>
    <w:rsid w:val="00764BEB"/>
    <w:rsid w:val="007766B4"/>
    <w:rsid w:val="00786720"/>
    <w:rsid w:val="0078743F"/>
    <w:rsid w:val="00792FC9"/>
    <w:rsid w:val="007957E8"/>
    <w:rsid w:val="00796D5A"/>
    <w:rsid w:val="007A4C09"/>
    <w:rsid w:val="007B5FCE"/>
    <w:rsid w:val="007D2D19"/>
    <w:rsid w:val="007D38AB"/>
    <w:rsid w:val="007E2869"/>
    <w:rsid w:val="007F5DFC"/>
    <w:rsid w:val="00800ABD"/>
    <w:rsid w:val="00822423"/>
    <w:rsid w:val="008257FC"/>
    <w:rsid w:val="00827280"/>
    <w:rsid w:val="00833A70"/>
    <w:rsid w:val="00834A82"/>
    <w:rsid w:val="00834D51"/>
    <w:rsid w:val="00835E8F"/>
    <w:rsid w:val="008471DC"/>
    <w:rsid w:val="008516E2"/>
    <w:rsid w:val="00851991"/>
    <w:rsid w:val="00853BE0"/>
    <w:rsid w:val="008627A2"/>
    <w:rsid w:val="00883E0F"/>
    <w:rsid w:val="008927A5"/>
    <w:rsid w:val="00893816"/>
    <w:rsid w:val="008A1391"/>
    <w:rsid w:val="008A1F06"/>
    <w:rsid w:val="008A2D53"/>
    <w:rsid w:val="008E06A5"/>
    <w:rsid w:val="008E60CD"/>
    <w:rsid w:val="008E67EE"/>
    <w:rsid w:val="008F331C"/>
    <w:rsid w:val="008F3E7F"/>
    <w:rsid w:val="00901EA2"/>
    <w:rsid w:val="00906A63"/>
    <w:rsid w:val="00907ACA"/>
    <w:rsid w:val="00913438"/>
    <w:rsid w:val="009272F9"/>
    <w:rsid w:val="009336A9"/>
    <w:rsid w:val="009338DE"/>
    <w:rsid w:val="00945323"/>
    <w:rsid w:val="00947324"/>
    <w:rsid w:val="00947CC7"/>
    <w:rsid w:val="00947F44"/>
    <w:rsid w:val="00953A5B"/>
    <w:rsid w:val="00957AFA"/>
    <w:rsid w:val="00966C9C"/>
    <w:rsid w:val="009806B3"/>
    <w:rsid w:val="0098228E"/>
    <w:rsid w:val="00983432"/>
    <w:rsid w:val="00994F20"/>
    <w:rsid w:val="00997E1D"/>
    <w:rsid w:val="009A20D2"/>
    <w:rsid w:val="009A4952"/>
    <w:rsid w:val="009A72C8"/>
    <w:rsid w:val="009B2C49"/>
    <w:rsid w:val="009B328F"/>
    <w:rsid w:val="009B7236"/>
    <w:rsid w:val="009B7716"/>
    <w:rsid w:val="009C191F"/>
    <w:rsid w:val="009C6813"/>
    <w:rsid w:val="009D1F98"/>
    <w:rsid w:val="009D26E3"/>
    <w:rsid w:val="009D45CB"/>
    <w:rsid w:val="009E55D5"/>
    <w:rsid w:val="009F38DA"/>
    <w:rsid w:val="00A07798"/>
    <w:rsid w:val="00A119B2"/>
    <w:rsid w:val="00A12C34"/>
    <w:rsid w:val="00A13E81"/>
    <w:rsid w:val="00A21C1B"/>
    <w:rsid w:val="00A247AF"/>
    <w:rsid w:val="00A269A1"/>
    <w:rsid w:val="00A365E1"/>
    <w:rsid w:val="00A4353A"/>
    <w:rsid w:val="00A435DB"/>
    <w:rsid w:val="00A46357"/>
    <w:rsid w:val="00A50043"/>
    <w:rsid w:val="00A55634"/>
    <w:rsid w:val="00A6353E"/>
    <w:rsid w:val="00A715F8"/>
    <w:rsid w:val="00A762AD"/>
    <w:rsid w:val="00A7688E"/>
    <w:rsid w:val="00A76DE6"/>
    <w:rsid w:val="00A95026"/>
    <w:rsid w:val="00A96534"/>
    <w:rsid w:val="00AA41E2"/>
    <w:rsid w:val="00AB29FE"/>
    <w:rsid w:val="00AB50E7"/>
    <w:rsid w:val="00AB5881"/>
    <w:rsid w:val="00AB6BFA"/>
    <w:rsid w:val="00AC5295"/>
    <w:rsid w:val="00AC7264"/>
    <w:rsid w:val="00AE32A5"/>
    <w:rsid w:val="00AE5F6E"/>
    <w:rsid w:val="00AF1582"/>
    <w:rsid w:val="00AF3D6B"/>
    <w:rsid w:val="00B3169E"/>
    <w:rsid w:val="00B351D9"/>
    <w:rsid w:val="00B35283"/>
    <w:rsid w:val="00B35430"/>
    <w:rsid w:val="00B44991"/>
    <w:rsid w:val="00B51322"/>
    <w:rsid w:val="00B52B9F"/>
    <w:rsid w:val="00B548B4"/>
    <w:rsid w:val="00B61C1E"/>
    <w:rsid w:val="00B620C8"/>
    <w:rsid w:val="00B63597"/>
    <w:rsid w:val="00B65892"/>
    <w:rsid w:val="00B7002A"/>
    <w:rsid w:val="00B729D7"/>
    <w:rsid w:val="00B76019"/>
    <w:rsid w:val="00B82B77"/>
    <w:rsid w:val="00B86BA9"/>
    <w:rsid w:val="00B86F15"/>
    <w:rsid w:val="00B9234E"/>
    <w:rsid w:val="00BC4C55"/>
    <w:rsid w:val="00BD0A7D"/>
    <w:rsid w:val="00BD7819"/>
    <w:rsid w:val="00BE1F89"/>
    <w:rsid w:val="00BE6918"/>
    <w:rsid w:val="00BE7079"/>
    <w:rsid w:val="00BE76BF"/>
    <w:rsid w:val="00C023FA"/>
    <w:rsid w:val="00C1366D"/>
    <w:rsid w:val="00C2702C"/>
    <w:rsid w:val="00C34A99"/>
    <w:rsid w:val="00C3727C"/>
    <w:rsid w:val="00C37555"/>
    <w:rsid w:val="00C45227"/>
    <w:rsid w:val="00C46A54"/>
    <w:rsid w:val="00C475A3"/>
    <w:rsid w:val="00C47E3B"/>
    <w:rsid w:val="00C50436"/>
    <w:rsid w:val="00C60A26"/>
    <w:rsid w:val="00C60F1A"/>
    <w:rsid w:val="00C61048"/>
    <w:rsid w:val="00C64772"/>
    <w:rsid w:val="00C67236"/>
    <w:rsid w:val="00C712D0"/>
    <w:rsid w:val="00C814DF"/>
    <w:rsid w:val="00C81770"/>
    <w:rsid w:val="00C82D58"/>
    <w:rsid w:val="00C85F20"/>
    <w:rsid w:val="00C94AF7"/>
    <w:rsid w:val="00C9600C"/>
    <w:rsid w:val="00C96255"/>
    <w:rsid w:val="00CA2811"/>
    <w:rsid w:val="00CA7963"/>
    <w:rsid w:val="00CB0C0A"/>
    <w:rsid w:val="00CD4400"/>
    <w:rsid w:val="00CE0EEC"/>
    <w:rsid w:val="00CE1122"/>
    <w:rsid w:val="00CE54AA"/>
    <w:rsid w:val="00CF3492"/>
    <w:rsid w:val="00CF6A78"/>
    <w:rsid w:val="00D0414E"/>
    <w:rsid w:val="00D04AA8"/>
    <w:rsid w:val="00D04CCA"/>
    <w:rsid w:val="00D129D8"/>
    <w:rsid w:val="00D13341"/>
    <w:rsid w:val="00D32FEC"/>
    <w:rsid w:val="00D4396A"/>
    <w:rsid w:val="00D44D00"/>
    <w:rsid w:val="00D458AA"/>
    <w:rsid w:val="00D45D2A"/>
    <w:rsid w:val="00D4753B"/>
    <w:rsid w:val="00D51A2A"/>
    <w:rsid w:val="00D53B27"/>
    <w:rsid w:val="00D66467"/>
    <w:rsid w:val="00D7296D"/>
    <w:rsid w:val="00DA4263"/>
    <w:rsid w:val="00DD531F"/>
    <w:rsid w:val="00DD576A"/>
    <w:rsid w:val="00DE2330"/>
    <w:rsid w:val="00DE3C6B"/>
    <w:rsid w:val="00DF1C45"/>
    <w:rsid w:val="00E020EB"/>
    <w:rsid w:val="00E02F4A"/>
    <w:rsid w:val="00E07300"/>
    <w:rsid w:val="00E173F8"/>
    <w:rsid w:val="00E36DFB"/>
    <w:rsid w:val="00E5753A"/>
    <w:rsid w:val="00E60820"/>
    <w:rsid w:val="00E70549"/>
    <w:rsid w:val="00E71FAF"/>
    <w:rsid w:val="00E877E7"/>
    <w:rsid w:val="00E954DB"/>
    <w:rsid w:val="00EA40C7"/>
    <w:rsid w:val="00EA4F13"/>
    <w:rsid w:val="00EA7BAC"/>
    <w:rsid w:val="00EB3EEB"/>
    <w:rsid w:val="00EB4B80"/>
    <w:rsid w:val="00EB7592"/>
    <w:rsid w:val="00EC4976"/>
    <w:rsid w:val="00EC52FE"/>
    <w:rsid w:val="00EC7991"/>
    <w:rsid w:val="00ED2EF6"/>
    <w:rsid w:val="00EE1B1A"/>
    <w:rsid w:val="00EE59B0"/>
    <w:rsid w:val="00EF336A"/>
    <w:rsid w:val="00EF7995"/>
    <w:rsid w:val="00F0180B"/>
    <w:rsid w:val="00F11AF1"/>
    <w:rsid w:val="00F22531"/>
    <w:rsid w:val="00F409E4"/>
    <w:rsid w:val="00F41301"/>
    <w:rsid w:val="00F53341"/>
    <w:rsid w:val="00F618F2"/>
    <w:rsid w:val="00F8031C"/>
    <w:rsid w:val="00F871A6"/>
    <w:rsid w:val="00F87CA6"/>
    <w:rsid w:val="00F94DCA"/>
    <w:rsid w:val="00F977D9"/>
    <w:rsid w:val="00FB375C"/>
    <w:rsid w:val="00FB4B0A"/>
    <w:rsid w:val="00FB5825"/>
    <w:rsid w:val="00FB7D6D"/>
    <w:rsid w:val="00FC0DE8"/>
    <w:rsid w:val="00FC2D46"/>
    <w:rsid w:val="00FC3707"/>
    <w:rsid w:val="00FC378D"/>
    <w:rsid w:val="00FD338B"/>
    <w:rsid w:val="00FD3530"/>
    <w:rsid w:val="00FE001C"/>
    <w:rsid w:val="00FE0743"/>
    <w:rsid w:val="00FE4581"/>
    <w:rsid w:val="00FE79F5"/>
    <w:rsid w:val="00FF2C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185D"/>
  <w15:chartTrackingRefBased/>
  <w15:docId w15:val="{F02F3DC5-EEC1-2049-9A91-510689F9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0A1"/>
    <w:pPr>
      <w:jc w:val="both"/>
    </w:pPr>
    <w:rPr>
      <w:rFonts w:ascii="Arial" w:hAnsi="Arial"/>
      <w:sz w:val="21"/>
    </w:rPr>
  </w:style>
  <w:style w:type="paragraph" w:styleId="Titre1">
    <w:name w:val="heading 1"/>
    <w:basedOn w:val="Normal"/>
    <w:next w:val="Normal"/>
    <w:link w:val="Titre1Car"/>
    <w:uiPriority w:val="9"/>
    <w:qFormat/>
    <w:rsid w:val="00716297"/>
    <w:pPr>
      <w:keepNext/>
      <w:keepLines/>
      <w:numPr>
        <w:numId w:val="6"/>
      </w:numPr>
      <w:spacing w:before="240"/>
      <w:outlineLvl w:val="0"/>
    </w:pPr>
    <w:rPr>
      <w:rFonts w:eastAsiaTheme="majorEastAsia" w:cstheme="majorBidi"/>
      <w:color w:val="1F3864" w:themeColor="accent1" w:themeShade="80"/>
      <w:sz w:val="36"/>
      <w:szCs w:val="36"/>
    </w:rPr>
  </w:style>
  <w:style w:type="paragraph" w:styleId="Titre2">
    <w:name w:val="heading 2"/>
    <w:basedOn w:val="Normal"/>
    <w:next w:val="Normal"/>
    <w:link w:val="Titre2Car"/>
    <w:uiPriority w:val="9"/>
    <w:unhideWhenUsed/>
    <w:qFormat/>
    <w:rsid w:val="00716297"/>
    <w:pPr>
      <w:keepNext/>
      <w:keepLines/>
      <w:numPr>
        <w:ilvl w:val="1"/>
        <w:numId w:val="6"/>
      </w:numPr>
      <w:spacing w:before="40"/>
      <w:outlineLvl w:val="1"/>
    </w:pPr>
    <w:rPr>
      <w:rFonts w:eastAsiaTheme="majorEastAsia" w:cstheme="majorBidi"/>
      <w:color w:val="2F5496" w:themeColor="accent1" w:themeShade="BF"/>
      <w:sz w:val="32"/>
      <w:szCs w:val="32"/>
    </w:rPr>
  </w:style>
  <w:style w:type="paragraph" w:styleId="Titre3">
    <w:name w:val="heading 3"/>
    <w:basedOn w:val="Normal"/>
    <w:next w:val="Normal"/>
    <w:link w:val="Titre3Car"/>
    <w:uiPriority w:val="9"/>
    <w:unhideWhenUsed/>
    <w:qFormat/>
    <w:rsid w:val="00716297"/>
    <w:pPr>
      <w:keepNext/>
      <w:keepLines/>
      <w:numPr>
        <w:ilvl w:val="2"/>
        <w:numId w:val="6"/>
      </w:numPr>
      <w:spacing w:before="40"/>
      <w:outlineLvl w:val="2"/>
    </w:pPr>
    <w:rPr>
      <w:rFonts w:eastAsiaTheme="majorEastAsia" w:cstheme="majorBidi"/>
      <w:color w:val="4472C4" w:themeColor="accent1"/>
      <w:sz w:val="28"/>
      <w:szCs w:val="28"/>
    </w:rPr>
  </w:style>
  <w:style w:type="paragraph" w:styleId="Titre4">
    <w:name w:val="heading 4"/>
    <w:basedOn w:val="Normal"/>
    <w:next w:val="Normal"/>
    <w:link w:val="Titre4Car"/>
    <w:uiPriority w:val="9"/>
    <w:unhideWhenUsed/>
    <w:qFormat/>
    <w:rsid w:val="00CA7963"/>
    <w:pPr>
      <w:keepNext/>
      <w:keepLines/>
      <w:numPr>
        <w:ilvl w:val="3"/>
        <w:numId w:val="34"/>
      </w:numPr>
      <w:spacing w:before="40"/>
      <w:ind w:left="1276" w:hanging="648"/>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B82B7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B82B77"/>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B82B77"/>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B82B77"/>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unhideWhenUsed/>
    <w:qFormat/>
    <w:rsid w:val="00B82B7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mandedordinateur">
    <w:name w:val="Commande d'ordinateur"/>
    <w:basedOn w:val="Normal"/>
    <w:qFormat/>
    <w:rsid w:val="00455DFF"/>
    <w:pPr>
      <w:ind w:left="708"/>
    </w:pPr>
    <w:rPr>
      <w:rFonts w:ascii="Roboto Light" w:hAnsi="Roboto Light"/>
      <w:color w:val="C00000"/>
      <w:szCs w:val="20"/>
      <w:lang w:val="en-US"/>
    </w:rPr>
  </w:style>
  <w:style w:type="paragraph" w:customStyle="1" w:styleId="Resultatdecommande">
    <w:name w:val="Resultat de commande"/>
    <w:basedOn w:val="Normal"/>
    <w:qFormat/>
    <w:rsid w:val="00455DFF"/>
    <w:pPr>
      <w:ind w:left="708"/>
    </w:pPr>
    <w:rPr>
      <w:rFonts w:ascii="Roboto Light" w:hAnsi="Roboto Light"/>
      <w:color w:val="1F4E79" w:themeColor="accent5" w:themeShade="80"/>
      <w:szCs w:val="20"/>
    </w:rPr>
  </w:style>
  <w:style w:type="character" w:customStyle="1" w:styleId="Titre1Car">
    <w:name w:val="Titre 1 Car"/>
    <w:basedOn w:val="Policepardfaut"/>
    <w:link w:val="Titre1"/>
    <w:uiPriority w:val="9"/>
    <w:rsid w:val="00716297"/>
    <w:rPr>
      <w:rFonts w:ascii="Arial" w:eastAsiaTheme="majorEastAsia" w:hAnsi="Arial" w:cstheme="majorBidi"/>
      <w:color w:val="1F3864" w:themeColor="accent1" w:themeShade="80"/>
      <w:sz w:val="36"/>
      <w:szCs w:val="36"/>
    </w:rPr>
  </w:style>
  <w:style w:type="character" w:customStyle="1" w:styleId="Titre2Car">
    <w:name w:val="Titre 2 Car"/>
    <w:basedOn w:val="Policepardfaut"/>
    <w:link w:val="Titre2"/>
    <w:uiPriority w:val="9"/>
    <w:rsid w:val="00716297"/>
    <w:rPr>
      <w:rFonts w:ascii="Arial" w:eastAsiaTheme="majorEastAsia" w:hAnsi="Arial" w:cstheme="majorBidi"/>
      <w:color w:val="2F5496" w:themeColor="accent1" w:themeShade="BF"/>
      <w:sz w:val="32"/>
      <w:szCs w:val="32"/>
    </w:rPr>
  </w:style>
  <w:style w:type="paragraph" w:styleId="Paragraphedeliste">
    <w:name w:val="List Paragraph"/>
    <w:basedOn w:val="Normal"/>
    <w:uiPriority w:val="34"/>
    <w:qFormat/>
    <w:rsid w:val="00190B96"/>
    <w:pPr>
      <w:ind w:left="720"/>
      <w:contextualSpacing/>
    </w:pPr>
  </w:style>
  <w:style w:type="table" w:styleId="Grilledutableau">
    <w:name w:val="Table Grid"/>
    <w:basedOn w:val="TableauNormal"/>
    <w:uiPriority w:val="39"/>
    <w:rsid w:val="004A7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716297"/>
    <w:rPr>
      <w:rFonts w:ascii="Arial" w:eastAsiaTheme="majorEastAsia" w:hAnsi="Arial" w:cstheme="majorBidi"/>
      <w:color w:val="4472C4" w:themeColor="accent1"/>
      <w:sz w:val="28"/>
      <w:szCs w:val="28"/>
    </w:rPr>
  </w:style>
  <w:style w:type="character" w:customStyle="1" w:styleId="Titre4Car">
    <w:name w:val="Titre 4 Car"/>
    <w:basedOn w:val="Policepardfaut"/>
    <w:link w:val="Titre4"/>
    <w:uiPriority w:val="9"/>
    <w:rsid w:val="00CA7963"/>
    <w:rPr>
      <w:rFonts w:ascii="Arial" w:eastAsiaTheme="majorEastAsia" w:hAnsi="Arial" w:cstheme="majorBidi"/>
      <w:i/>
      <w:iCs/>
      <w:color w:val="2F5496" w:themeColor="accent1" w:themeShade="BF"/>
      <w:sz w:val="21"/>
    </w:rPr>
  </w:style>
  <w:style w:type="paragraph" w:styleId="Sansinterligne">
    <w:name w:val="No Spacing"/>
    <w:link w:val="SansinterligneCar"/>
    <w:uiPriority w:val="1"/>
    <w:qFormat/>
    <w:rsid w:val="005F5935"/>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5F5935"/>
    <w:rPr>
      <w:rFonts w:eastAsiaTheme="minorEastAsia"/>
      <w:kern w:val="0"/>
      <w:sz w:val="22"/>
      <w:szCs w:val="22"/>
      <w:lang w:val="en-US" w:eastAsia="zh-CN"/>
      <w14:ligatures w14:val="none"/>
    </w:rPr>
  </w:style>
  <w:style w:type="paragraph" w:styleId="En-ttedetabledesmatires">
    <w:name w:val="TOC Heading"/>
    <w:basedOn w:val="Titre1"/>
    <w:next w:val="Normal"/>
    <w:uiPriority w:val="39"/>
    <w:unhideWhenUsed/>
    <w:qFormat/>
    <w:rsid w:val="005A7AA1"/>
    <w:pPr>
      <w:numPr>
        <w:numId w:val="0"/>
      </w:numPr>
      <w:spacing w:before="480" w:line="276" w:lineRule="auto"/>
      <w:jc w:val="left"/>
      <w:outlineLvl w:val="9"/>
    </w:pPr>
    <w:rPr>
      <w:rFonts w:asciiTheme="majorHAnsi" w:hAnsiTheme="majorHAnsi"/>
      <w:b/>
      <w:bCs/>
      <w:kern w:val="0"/>
      <w:sz w:val="28"/>
      <w:szCs w:val="28"/>
      <w:lang w:eastAsia="fr-FR"/>
      <w14:ligatures w14:val="none"/>
    </w:rPr>
  </w:style>
  <w:style w:type="paragraph" w:styleId="TM1">
    <w:name w:val="toc 1"/>
    <w:basedOn w:val="Normal"/>
    <w:next w:val="Normal"/>
    <w:autoRedefine/>
    <w:uiPriority w:val="39"/>
    <w:unhideWhenUsed/>
    <w:rsid w:val="005A7AA1"/>
    <w:pPr>
      <w:spacing w:before="120"/>
      <w:jc w:val="left"/>
    </w:pPr>
    <w:rPr>
      <w:rFonts w:asciiTheme="minorHAnsi" w:hAnsiTheme="minorHAnsi" w:cstheme="minorHAnsi"/>
      <w:b/>
      <w:bCs/>
      <w:i/>
      <w:iCs/>
      <w:sz w:val="24"/>
    </w:rPr>
  </w:style>
  <w:style w:type="paragraph" w:styleId="TM2">
    <w:name w:val="toc 2"/>
    <w:basedOn w:val="Normal"/>
    <w:next w:val="Normal"/>
    <w:autoRedefine/>
    <w:uiPriority w:val="39"/>
    <w:unhideWhenUsed/>
    <w:rsid w:val="005A7AA1"/>
    <w:pPr>
      <w:spacing w:before="120"/>
      <w:ind w:left="200"/>
      <w:jc w:val="left"/>
    </w:pPr>
    <w:rPr>
      <w:rFonts w:asciiTheme="minorHAnsi" w:hAnsiTheme="minorHAnsi" w:cstheme="minorHAnsi"/>
      <w:b/>
      <w:bCs/>
      <w:sz w:val="22"/>
      <w:szCs w:val="22"/>
    </w:rPr>
  </w:style>
  <w:style w:type="paragraph" w:styleId="TM3">
    <w:name w:val="toc 3"/>
    <w:basedOn w:val="Normal"/>
    <w:next w:val="Normal"/>
    <w:autoRedefine/>
    <w:uiPriority w:val="39"/>
    <w:unhideWhenUsed/>
    <w:rsid w:val="005A7AA1"/>
    <w:pPr>
      <w:ind w:left="400"/>
      <w:jc w:val="left"/>
    </w:pPr>
    <w:rPr>
      <w:rFonts w:asciiTheme="minorHAnsi" w:hAnsiTheme="minorHAnsi" w:cstheme="minorHAnsi"/>
      <w:szCs w:val="20"/>
    </w:rPr>
  </w:style>
  <w:style w:type="character" w:styleId="Lienhypertexte">
    <w:name w:val="Hyperlink"/>
    <w:basedOn w:val="Policepardfaut"/>
    <w:uiPriority w:val="99"/>
    <w:unhideWhenUsed/>
    <w:rsid w:val="005A7AA1"/>
    <w:rPr>
      <w:color w:val="0563C1" w:themeColor="hyperlink"/>
      <w:u w:val="single"/>
    </w:rPr>
  </w:style>
  <w:style w:type="paragraph" w:styleId="TM4">
    <w:name w:val="toc 4"/>
    <w:basedOn w:val="Normal"/>
    <w:next w:val="Normal"/>
    <w:autoRedefine/>
    <w:uiPriority w:val="39"/>
    <w:semiHidden/>
    <w:unhideWhenUsed/>
    <w:rsid w:val="005A7AA1"/>
    <w:pPr>
      <w:ind w:left="600"/>
      <w:jc w:val="left"/>
    </w:pPr>
    <w:rPr>
      <w:rFonts w:asciiTheme="minorHAnsi" w:hAnsiTheme="minorHAnsi" w:cstheme="minorHAnsi"/>
      <w:szCs w:val="20"/>
    </w:rPr>
  </w:style>
  <w:style w:type="paragraph" w:styleId="TM5">
    <w:name w:val="toc 5"/>
    <w:basedOn w:val="Normal"/>
    <w:next w:val="Normal"/>
    <w:autoRedefine/>
    <w:uiPriority w:val="39"/>
    <w:semiHidden/>
    <w:unhideWhenUsed/>
    <w:rsid w:val="005A7AA1"/>
    <w:pPr>
      <w:ind w:left="800"/>
      <w:jc w:val="left"/>
    </w:pPr>
    <w:rPr>
      <w:rFonts w:asciiTheme="minorHAnsi" w:hAnsiTheme="minorHAnsi" w:cstheme="minorHAnsi"/>
      <w:szCs w:val="20"/>
    </w:rPr>
  </w:style>
  <w:style w:type="paragraph" w:styleId="TM6">
    <w:name w:val="toc 6"/>
    <w:basedOn w:val="Normal"/>
    <w:next w:val="Normal"/>
    <w:autoRedefine/>
    <w:uiPriority w:val="39"/>
    <w:semiHidden/>
    <w:unhideWhenUsed/>
    <w:rsid w:val="005A7AA1"/>
    <w:pPr>
      <w:ind w:left="1000"/>
      <w:jc w:val="left"/>
    </w:pPr>
    <w:rPr>
      <w:rFonts w:asciiTheme="minorHAnsi" w:hAnsiTheme="minorHAnsi" w:cstheme="minorHAnsi"/>
      <w:szCs w:val="20"/>
    </w:rPr>
  </w:style>
  <w:style w:type="paragraph" w:styleId="TM7">
    <w:name w:val="toc 7"/>
    <w:basedOn w:val="Normal"/>
    <w:next w:val="Normal"/>
    <w:autoRedefine/>
    <w:uiPriority w:val="39"/>
    <w:semiHidden/>
    <w:unhideWhenUsed/>
    <w:rsid w:val="005A7AA1"/>
    <w:pPr>
      <w:ind w:left="1200"/>
      <w:jc w:val="left"/>
    </w:pPr>
    <w:rPr>
      <w:rFonts w:asciiTheme="minorHAnsi" w:hAnsiTheme="minorHAnsi" w:cstheme="minorHAnsi"/>
      <w:szCs w:val="20"/>
    </w:rPr>
  </w:style>
  <w:style w:type="paragraph" w:styleId="TM8">
    <w:name w:val="toc 8"/>
    <w:basedOn w:val="Normal"/>
    <w:next w:val="Normal"/>
    <w:autoRedefine/>
    <w:uiPriority w:val="39"/>
    <w:semiHidden/>
    <w:unhideWhenUsed/>
    <w:rsid w:val="005A7AA1"/>
    <w:pPr>
      <w:ind w:left="1400"/>
      <w:jc w:val="left"/>
    </w:pPr>
    <w:rPr>
      <w:rFonts w:asciiTheme="minorHAnsi" w:hAnsiTheme="minorHAnsi" w:cstheme="minorHAnsi"/>
      <w:szCs w:val="20"/>
    </w:rPr>
  </w:style>
  <w:style w:type="paragraph" w:styleId="TM9">
    <w:name w:val="toc 9"/>
    <w:basedOn w:val="Normal"/>
    <w:next w:val="Normal"/>
    <w:autoRedefine/>
    <w:uiPriority w:val="39"/>
    <w:semiHidden/>
    <w:unhideWhenUsed/>
    <w:rsid w:val="005A7AA1"/>
    <w:pPr>
      <w:ind w:left="1600"/>
      <w:jc w:val="left"/>
    </w:pPr>
    <w:rPr>
      <w:rFonts w:asciiTheme="minorHAnsi" w:hAnsiTheme="minorHAnsi" w:cstheme="minorHAnsi"/>
      <w:szCs w:val="20"/>
    </w:rPr>
  </w:style>
  <w:style w:type="character" w:styleId="Marquedecommentaire">
    <w:name w:val="annotation reference"/>
    <w:basedOn w:val="Policepardfaut"/>
    <w:uiPriority w:val="99"/>
    <w:semiHidden/>
    <w:unhideWhenUsed/>
    <w:rsid w:val="00395DB3"/>
    <w:rPr>
      <w:sz w:val="16"/>
      <w:szCs w:val="16"/>
    </w:rPr>
  </w:style>
  <w:style w:type="paragraph" w:styleId="Commentaire">
    <w:name w:val="annotation text"/>
    <w:basedOn w:val="Normal"/>
    <w:link w:val="CommentaireCar"/>
    <w:uiPriority w:val="99"/>
    <w:semiHidden/>
    <w:unhideWhenUsed/>
    <w:rsid w:val="00395DB3"/>
    <w:rPr>
      <w:sz w:val="20"/>
      <w:szCs w:val="20"/>
    </w:rPr>
  </w:style>
  <w:style w:type="character" w:customStyle="1" w:styleId="CommentaireCar">
    <w:name w:val="Commentaire Car"/>
    <w:basedOn w:val="Policepardfaut"/>
    <w:link w:val="Commentaire"/>
    <w:uiPriority w:val="99"/>
    <w:semiHidden/>
    <w:rsid w:val="00395DB3"/>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95DB3"/>
    <w:rPr>
      <w:b/>
      <w:bCs/>
    </w:rPr>
  </w:style>
  <w:style w:type="character" w:customStyle="1" w:styleId="ObjetducommentaireCar">
    <w:name w:val="Objet du commentaire Car"/>
    <w:basedOn w:val="CommentaireCar"/>
    <w:link w:val="Objetducommentaire"/>
    <w:uiPriority w:val="99"/>
    <w:semiHidden/>
    <w:rsid w:val="00395DB3"/>
    <w:rPr>
      <w:rFonts w:ascii="Arial" w:hAnsi="Arial"/>
      <w:b/>
      <w:bCs/>
      <w:sz w:val="20"/>
      <w:szCs w:val="20"/>
    </w:rPr>
  </w:style>
  <w:style w:type="paragraph" w:styleId="En-tte">
    <w:name w:val="header"/>
    <w:basedOn w:val="Normal"/>
    <w:link w:val="En-tteCar"/>
    <w:uiPriority w:val="99"/>
    <w:unhideWhenUsed/>
    <w:rsid w:val="002F6C17"/>
    <w:pPr>
      <w:tabs>
        <w:tab w:val="center" w:pos="4536"/>
        <w:tab w:val="right" w:pos="9072"/>
      </w:tabs>
    </w:pPr>
  </w:style>
  <w:style w:type="character" w:customStyle="1" w:styleId="En-tteCar">
    <w:name w:val="En-tête Car"/>
    <w:basedOn w:val="Policepardfaut"/>
    <w:link w:val="En-tte"/>
    <w:uiPriority w:val="99"/>
    <w:rsid w:val="002F6C17"/>
    <w:rPr>
      <w:rFonts w:ascii="Arial" w:hAnsi="Arial"/>
      <w:sz w:val="21"/>
    </w:rPr>
  </w:style>
  <w:style w:type="paragraph" w:styleId="Pieddepage">
    <w:name w:val="footer"/>
    <w:basedOn w:val="Normal"/>
    <w:link w:val="PieddepageCar"/>
    <w:uiPriority w:val="99"/>
    <w:unhideWhenUsed/>
    <w:rsid w:val="002F6C17"/>
    <w:pPr>
      <w:tabs>
        <w:tab w:val="center" w:pos="4536"/>
        <w:tab w:val="right" w:pos="9072"/>
      </w:tabs>
    </w:pPr>
  </w:style>
  <w:style w:type="character" w:customStyle="1" w:styleId="PieddepageCar">
    <w:name w:val="Pied de page Car"/>
    <w:basedOn w:val="Policepardfaut"/>
    <w:link w:val="Pieddepage"/>
    <w:uiPriority w:val="99"/>
    <w:rsid w:val="002F6C17"/>
    <w:rPr>
      <w:rFonts w:ascii="Arial" w:hAnsi="Arial"/>
      <w:sz w:val="21"/>
    </w:rPr>
  </w:style>
  <w:style w:type="paragraph" w:styleId="Rvision">
    <w:name w:val="Revision"/>
    <w:hidden/>
    <w:uiPriority w:val="99"/>
    <w:semiHidden/>
    <w:rsid w:val="00913438"/>
    <w:rPr>
      <w:rFonts w:ascii="Arial" w:hAnsi="Arial"/>
      <w:sz w:val="21"/>
    </w:rPr>
  </w:style>
  <w:style w:type="paragraph" w:styleId="Textedebulles">
    <w:name w:val="Balloon Text"/>
    <w:basedOn w:val="Normal"/>
    <w:link w:val="TextedebullesCar"/>
    <w:uiPriority w:val="99"/>
    <w:semiHidden/>
    <w:unhideWhenUsed/>
    <w:rsid w:val="003A2049"/>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2049"/>
    <w:rPr>
      <w:rFonts w:ascii="Segoe UI" w:hAnsi="Segoe UI" w:cs="Segoe UI"/>
      <w:sz w:val="18"/>
      <w:szCs w:val="18"/>
    </w:rPr>
  </w:style>
  <w:style w:type="table" w:styleId="TableauGrille4-Accentuation5">
    <w:name w:val="Grid Table 4 Accent 5"/>
    <w:basedOn w:val="TableauNormal"/>
    <w:uiPriority w:val="49"/>
    <w:rsid w:val="00AF3D6B"/>
    <w:rPr>
      <w:kern w:val="0"/>
      <w:sz w:val="22"/>
      <w:szCs w:val="22"/>
      <w14:ligatures w14:val="none"/>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5Car">
    <w:name w:val="Titre 5 Car"/>
    <w:basedOn w:val="Policepardfaut"/>
    <w:link w:val="Titre5"/>
    <w:uiPriority w:val="9"/>
    <w:rsid w:val="00B82B77"/>
    <w:rPr>
      <w:rFonts w:asciiTheme="majorHAnsi" w:eastAsiaTheme="majorEastAsia" w:hAnsiTheme="majorHAnsi" w:cstheme="majorBidi"/>
      <w:color w:val="2F5496" w:themeColor="accent1" w:themeShade="BF"/>
      <w:sz w:val="21"/>
    </w:rPr>
  </w:style>
  <w:style w:type="character" w:customStyle="1" w:styleId="Titre6Car">
    <w:name w:val="Titre 6 Car"/>
    <w:basedOn w:val="Policepardfaut"/>
    <w:link w:val="Titre6"/>
    <w:uiPriority w:val="9"/>
    <w:rsid w:val="00B82B77"/>
    <w:rPr>
      <w:rFonts w:asciiTheme="majorHAnsi" w:eastAsiaTheme="majorEastAsia" w:hAnsiTheme="majorHAnsi" w:cstheme="majorBidi"/>
      <w:color w:val="1F3763" w:themeColor="accent1" w:themeShade="7F"/>
      <w:sz w:val="21"/>
    </w:rPr>
  </w:style>
  <w:style w:type="paragraph" w:styleId="Titre">
    <w:name w:val="Title"/>
    <w:basedOn w:val="Normal"/>
    <w:next w:val="Normal"/>
    <w:link w:val="TitreCar"/>
    <w:uiPriority w:val="10"/>
    <w:qFormat/>
    <w:rsid w:val="00B82B7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2B7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2B77"/>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ous-titreCar">
    <w:name w:val="Sous-titre Car"/>
    <w:basedOn w:val="Policepardfaut"/>
    <w:link w:val="Sous-titre"/>
    <w:uiPriority w:val="11"/>
    <w:rsid w:val="00B82B77"/>
    <w:rPr>
      <w:rFonts w:eastAsiaTheme="minorEastAsia"/>
      <w:color w:val="5A5A5A" w:themeColor="text1" w:themeTint="A5"/>
      <w:spacing w:val="15"/>
      <w:sz w:val="22"/>
      <w:szCs w:val="22"/>
    </w:rPr>
  </w:style>
  <w:style w:type="character" w:styleId="Emphaseple">
    <w:name w:val="Subtle Emphasis"/>
    <w:basedOn w:val="Policepardfaut"/>
    <w:uiPriority w:val="19"/>
    <w:qFormat/>
    <w:rsid w:val="00B82B77"/>
    <w:rPr>
      <w:i/>
      <w:iCs/>
      <w:color w:val="404040" w:themeColor="text1" w:themeTint="BF"/>
    </w:rPr>
  </w:style>
  <w:style w:type="character" w:customStyle="1" w:styleId="Titre7Car">
    <w:name w:val="Titre 7 Car"/>
    <w:basedOn w:val="Policepardfaut"/>
    <w:link w:val="Titre7"/>
    <w:uiPriority w:val="9"/>
    <w:rsid w:val="00B82B77"/>
    <w:rPr>
      <w:rFonts w:asciiTheme="majorHAnsi" w:eastAsiaTheme="majorEastAsia" w:hAnsiTheme="majorHAnsi" w:cstheme="majorBidi"/>
      <w:i/>
      <w:iCs/>
      <w:color w:val="1F3763" w:themeColor="accent1" w:themeShade="7F"/>
      <w:sz w:val="21"/>
    </w:rPr>
  </w:style>
  <w:style w:type="character" w:customStyle="1" w:styleId="Titre8Car">
    <w:name w:val="Titre 8 Car"/>
    <w:basedOn w:val="Policepardfaut"/>
    <w:link w:val="Titre8"/>
    <w:uiPriority w:val="9"/>
    <w:rsid w:val="00B82B7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B82B7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333">
      <w:bodyDiv w:val="1"/>
      <w:marLeft w:val="0"/>
      <w:marRight w:val="0"/>
      <w:marTop w:val="0"/>
      <w:marBottom w:val="0"/>
      <w:divBdr>
        <w:top w:val="none" w:sz="0" w:space="0" w:color="auto"/>
        <w:left w:val="none" w:sz="0" w:space="0" w:color="auto"/>
        <w:bottom w:val="none" w:sz="0" w:space="0" w:color="auto"/>
        <w:right w:val="none" w:sz="0" w:space="0" w:color="auto"/>
      </w:divBdr>
      <w:divsChild>
        <w:div w:id="203450529">
          <w:marLeft w:val="0"/>
          <w:marRight w:val="0"/>
          <w:marTop w:val="0"/>
          <w:marBottom w:val="0"/>
          <w:divBdr>
            <w:top w:val="none" w:sz="0" w:space="0" w:color="auto"/>
            <w:left w:val="none" w:sz="0" w:space="0" w:color="auto"/>
            <w:bottom w:val="none" w:sz="0" w:space="0" w:color="auto"/>
            <w:right w:val="none" w:sz="0" w:space="0" w:color="auto"/>
          </w:divBdr>
          <w:divsChild>
            <w:div w:id="88625441">
              <w:marLeft w:val="0"/>
              <w:marRight w:val="0"/>
              <w:marTop w:val="0"/>
              <w:marBottom w:val="0"/>
              <w:divBdr>
                <w:top w:val="none" w:sz="0" w:space="0" w:color="auto"/>
                <w:left w:val="none" w:sz="0" w:space="0" w:color="auto"/>
                <w:bottom w:val="none" w:sz="0" w:space="0" w:color="auto"/>
                <w:right w:val="none" w:sz="0" w:space="0" w:color="auto"/>
              </w:divBdr>
              <w:divsChild>
                <w:div w:id="147284605">
                  <w:marLeft w:val="0"/>
                  <w:marRight w:val="0"/>
                  <w:marTop w:val="0"/>
                  <w:marBottom w:val="0"/>
                  <w:divBdr>
                    <w:top w:val="none" w:sz="0" w:space="0" w:color="auto"/>
                    <w:left w:val="none" w:sz="0" w:space="0" w:color="auto"/>
                    <w:bottom w:val="none" w:sz="0" w:space="0" w:color="auto"/>
                    <w:right w:val="none" w:sz="0" w:space="0" w:color="auto"/>
                  </w:divBdr>
                  <w:divsChild>
                    <w:div w:id="17196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8526">
      <w:bodyDiv w:val="1"/>
      <w:marLeft w:val="0"/>
      <w:marRight w:val="0"/>
      <w:marTop w:val="0"/>
      <w:marBottom w:val="0"/>
      <w:divBdr>
        <w:top w:val="none" w:sz="0" w:space="0" w:color="auto"/>
        <w:left w:val="none" w:sz="0" w:space="0" w:color="auto"/>
        <w:bottom w:val="none" w:sz="0" w:space="0" w:color="auto"/>
        <w:right w:val="none" w:sz="0" w:space="0" w:color="auto"/>
      </w:divBdr>
      <w:divsChild>
        <w:div w:id="1662466873">
          <w:marLeft w:val="0"/>
          <w:marRight w:val="0"/>
          <w:marTop w:val="0"/>
          <w:marBottom w:val="0"/>
          <w:divBdr>
            <w:top w:val="none" w:sz="0" w:space="0" w:color="auto"/>
            <w:left w:val="none" w:sz="0" w:space="0" w:color="auto"/>
            <w:bottom w:val="none" w:sz="0" w:space="0" w:color="auto"/>
            <w:right w:val="none" w:sz="0" w:space="0" w:color="auto"/>
          </w:divBdr>
          <w:divsChild>
            <w:div w:id="121005413">
              <w:marLeft w:val="0"/>
              <w:marRight w:val="0"/>
              <w:marTop w:val="0"/>
              <w:marBottom w:val="0"/>
              <w:divBdr>
                <w:top w:val="none" w:sz="0" w:space="0" w:color="auto"/>
                <w:left w:val="none" w:sz="0" w:space="0" w:color="auto"/>
                <w:bottom w:val="none" w:sz="0" w:space="0" w:color="auto"/>
                <w:right w:val="none" w:sz="0" w:space="0" w:color="auto"/>
              </w:divBdr>
              <w:divsChild>
                <w:div w:id="1438254531">
                  <w:marLeft w:val="0"/>
                  <w:marRight w:val="0"/>
                  <w:marTop w:val="0"/>
                  <w:marBottom w:val="0"/>
                  <w:divBdr>
                    <w:top w:val="none" w:sz="0" w:space="0" w:color="auto"/>
                    <w:left w:val="none" w:sz="0" w:space="0" w:color="auto"/>
                    <w:bottom w:val="none" w:sz="0" w:space="0" w:color="auto"/>
                    <w:right w:val="none" w:sz="0" w:space="0" w:color="auto"/>
                  </w:divBdr>
                </w:div>
              </w:divsChild>
            </w:div>
            <w:div w:id="973944760">
              <w:marLeft w:val="0"/>
              <w:marRight w:val="0"/>
              <w:marTop w:val="0"/>
              <w:marBottom w:val="0"/>
              <w:divBdr>
                <w:top w:val="none" w:sz="0" w:space="0" w:color="auto"/>
                <w:left w:val="none" w:sz="0" w:space="0" w:color="auto"/>
                <w:bottom w:val="none" w:sz="0" w:space="0" w:color="auto"/>
                <w:right w:val="none" w:sz="0" w:space="0" w:color="auto"/>
              </w:divBdr>
              <w:divsChild>
                <w:div w:id="1978803374">
                  <w:marLeft w:val="0"/>
                  <w:marRight w:val="0"/>
                  <w:marTop w:val="0"/>
                  <w:marBottom w:val="0"/>
                  <w:divBdr>
                    <w:top w:val="none" w:sz="0" w:space="0" w:color="auto"/>
                    <w:left w:val="none" w:sz="0" w:space="0" w:color="auto"/>
                    <w:bottom w:val="none" w:sz="0" w:space="0" w:color="auto"/>
                    <w:right w:val="none" w:sz="0" w:space="0" w:color="auto"/>
                  </w:divBdr>
                </w:div>
              </w:divsChild>
            </w:div>
            <w:div w:id="1092583334">
              <w:marLeft w:val="0"/>
              <w:marRight w:val="0"/>
              <w:marTop w:val="0"/>
              <w:marBottom w:val="0"/>
              <w:divBdr>
                <w:top w:val="none" w:sz="0" w:space="0" w:color="auto"/>
                <w:left w:val="none" w:sz="0" w:space="0" w:color="auto"/>
                <w:bottom w:val="none" w:sz="0" w:space="0" w:color="auto"/>
                <w:right w:val="none" w:sz="0" w:space="0" w:color="auto"/>
              </w:divBdr>
              <w:divsChild>
                <w:div w:id="736056604">
                  <w:marLeft w:val="0"/>
                  <w:marRight w:val="0"/>
                  <w:marTop w:val="0"/>
                  <w:marBottom w:val="0"/>
                  <w:divBdr>
                    <w:top w:val="none" w:sz="0" w:space="0" w:color="auto"/>
                    <w:left w:val="none" w:sz="0" w:space="0" w:color="auto"/>
                    <w:bottom w:val="none" w:sz="0" w:space="0" w:color="auto"/>
                    <w:right w:val="none" w:sz="0" w:space="0" w:color="auto"/>
                  </w:divBdr>
                </w:div>
              </w:divsChild>
            </w:div>
            <w:div w:id="1309556221">
              <w:marLeft w:val="0"/>
              <w:marRight w:val="0"/>
              <w:marTop w:val="0"/>
              <w:marBottom w:val="0"/>
              <w:divBdr>
                <w:top w:val="none" w:sz="0" w:space="0" w:color="auto"/>
                <w:left w:val="none" w:sz="0" w:space="0" w:color="auto"/>
                <w:bottom w:val="none" w:sz="0" w:space="0" w:color="auto"/>
                <w:right w:val="none" w:sz="0" w:space="0" w:color="auto"/>
              </w:divBdr>
              <w:divsChild>
                <w:div w:id="859703032">
                  <w:marLeft w:val="0"/>
                  <w:marRight w:val="0"/>
                  <w:marTop w:val="0"/>
                  <w:marBottom w:val="0"/>
                  <w:divBdr>
                    <w:top w:val="none" w:sz="0" w:space="0" w:color="auto"/>
                    <w:left w:val="none" w:sz="0" w:space="0" w:color="auto"/>
                    <w:bottom w:val="none" w:sz="0" w:space="0" w:color="auto"/>
                    <w:right w:val="none" w:sz="0" w:space="0" w:color="auto"/>
                  </w:divBdr>
                </w:div>
                <w:div w:id="1614676113">
                  <w:marLeft w:val="0"/>
                  <w:marRight w:val="0"/>
                  <w:marTop w:val="0"/>
                  <w:marBottom w:val="0"/>
                  <w:divBdr>
                    <w:top w:val="none" w:sz="0" w:space="0" w:color="auto"/>
                    <w:left w:val="none" w:sz="0" w:space="0" w:color="auto"/>
                    <w:bottom w:val="none" w:sz="0" w:space="0" w:color="auto"/>
                    <w:right w:val="none" w:sz="0" w:space="0" w:color="auto"/>
                  </w:divBdr>
                </w:div>
              </w:divsChild>
            </w:div>
            <w:div w:id="2130196257">
              <w:marLeft w:val="0"/>
              <w:marRight w:val="0"/>
              <w:marTop w:val="0"/>
              <w:marBottom w:val="0"/>
              <w:divBdr>
                <w:top w:val="none" w:sz="0" w:space="0" w:color="auto"/>
                <w:left w:val="none" w:sz="0" w:space="0" w:color="auto"/>
                <w:bottom w:val="none" w:sz="0" w:space="0" w:color="auto"/>
                <w:right w:val="none" w:sz="0" w:space="0" w:color="auto"/>
              </w:divBdr>
              <w:divsChild>
                <w:div w:id="536085461">
                  <w:marLeft w:val="0"/>
                  <w:marRight w:val="0"/>
                  <w:marTop w:val="0"/>
                  <w:marBottom w:val="0"/>
                  <w:divBdr>
                    <w:top w:val="none" w:sz="0" w:space="0" w:color="auto"/>
                    <w:left w:val="none" w:sz="0" w:space="0" w:color="auto"/>
                    <w:bottom w:val="none" w:sz="0" w:space="0" w:color="auto"/>
                    <w:right w:val="none" w:sz="0" w:space="0" w:color="auto"/>
                  </w:divBdr>
                </w:div>
              </w:divsChild>
            </w:div>
            <w:div w:id="243883066">
              <w:marLeft w:val="0"/>
              <w:marRight w:val="0"/>
              <w:marTop w:val="0"/>
              <w:marBottom w:val="0"/>
              <w:divBdr>
                <w:top w:val="none" w:sz="0" w:space="0" w:color="auto"/>
                <w:left w:val="none" w:sz="0" w:space="0" w:color="auto"/>
                <w:bottom w:val="none" w:sz="0" w:space="0" w:color="auto"/>
                <w:right w:val="none" w:sz="0" w:space="0" w:color="auto"/>
              </w:divBdr>
              <w:divsChild>
                <w:div w:id="19355774">
                  <w:marLeft w:val="0"/>
                  <w:marRight w:val="0"/>
                  <w:marTop w:val="0"/>
                  <w:marBottom w:val="0"/>
                  <w:divBdr>
                    <w:top w:val="none" w:sz="0" w:space="0" w:color="auto"/>
                    <w:left w:val="none" w:sz="0" w:space="0" w:color="auto"/>
                    <w:bottom w:val="none" w:sz="0" w:space="0" w:color="auto"/>
                    <w:right w:val="none" w:sz="0" w:space="0" w:color="auto"/>
                  </w:divBdr>
                </w:div>
              </w:divsChild>
            </w:div>
            <w:div w:id="653143567">
              <w:marLeft w:val="0"/>
              <w:marRight w:val="0"/>
              <w:marTop w:val="0"/>
              <w:marBottom w:val="0"/>
              <w:divBdr>
                <w:top w:val="none" w:sz="0" w:space="0" w:color="auto"/>
                <w:left w:val="none" w:sz="0" w:space="0" w:color="auto"/>
                <w:bottom w:val="none" w:sz="0" w:space="0" w:color="auto"/>
                <w:right w:val="none" w:sz="0" w:space="0" w:color="auto"/>
              </w:divBdr>
              <w:divsChild>
                <w:div w:id="1060903869">
                  <w:marLeft w:val="0"/>
                  <w:marRight w:val="0"/>
                  <w:marTop w:val="0"/>
                  <w:marBottom w:val="0"/>
                  <w:divBdr>
                    <w:top w:val="none" w:sz="0" w:space="0" w:color="auto"/>
                    <w:left w:val="none" w:sz="0" w:space="0" w:color="auto"/>
                    <w:bottom w:val="none" w:sz="0" w:space="0" w:color="auto"/>
                    <w:right w:val="none" w:sz="0" w:space="0" w:color="auto"/>
                  </w:divBdr>
                </w:div>
              </w:divsChild>
            </w:div>
            <w:div w:id="1751391502">
              <w:marLeft w:val="0"/>
              <w:marRight w:val="0"/>
              <w:marTop w:val="0"/>
              <w:marBottom w:val="0"/>
              <w:divBdr>
                <w:top w:val="none" w:sz="0" w:space="0" w:color="auto"/>
                <w:left w:val="none" w:sz="0" w:space="0" w:color="auto"/>
                <w:bottom w:val="none" w:sz="0" w:space="0" w:color="auto"/>
                <w:right w:val="none" w:sz="0" w:space="0" w:color="auto"/>
              </w:divBdr>
              <w:divsChild>
                <w:div w:id="159933800">
                  <w:marLeft w:val="0"/>
                  <w:marRight w:val="0"/>
                  <w:marTop w:val="0"/>
                  <w:marBottom w:val="0"/>
                  <w:divBdr>
                    <w:top w:val="none" w:sz="0" w:space="0" w:color="auto"/>
                    <w:left w:val="none" w:sz="0" w:space="0" w:color="auto"/>
                    <w:bottom w:val="none" w:sz="0" w:space="0" w:color="auto"/>
                    <w:right w:val="none" w:sz="0" w:space="0" w:color="auto"/>
                  </w:divBdr>
                </w:div>
              </w:divsChild>
            </w:div>
            <w:div w:id="772748614">
              <w:marLeft w:val="0"/>
              <w:marRight w:val="0"/>
              <w:marTop w:val="0"/>
              <w:marBottom w:val="0"/>
              <w:divBdr>
                <w:top w:val="none" w:sz="0" w:space="0" w:color="auto"/>
                <w:left w:val="none" w:sz="0" w:space="0" w:color="auto"/>
                <w:bottom w:val="none" w:sz="0" w:space="0" w:color="auto"/>
                <w:right w:val="none" w:sz="0" w:space="0" w:color="auto"/>
              </w:divBdr>
              <w:divsChild>
                <w:div w:id="407968434">
                  <w:marLeft w:val="0"/>
                  <w:marRight w:val="0"/>
                  <w:marTop w:val="0"/>
                  <w:marBottom w:val="0"/>
                  <w:divBdr>
                    <w:top w:val="none" w:sz="0" w:space="0" w:color="auto"/>
                    <w:left w:val="none" w:sz="0" w:space="0" w:color="auto"/>
                    <w:bottom w:val="none" w:sz="0" w:space="0" w:color="auto"/>
                    <w:right w:val="none" w:sz="0" w:space="0" w:color="auto"/>
                  </w:divBdr>
                </w:div>
              </w:divsChild>
            </w:div>
            <w:div w:id="1186485726">
              <w:marLeft w:val="0"/>
              <w:marRight w:val="0"/>
              <w:marTop w:val="0"/>
              <w:marBottom w:val="0"/>
              <w:divBdr>
                <w:top w:val="none" w:sz="0" w:space="0" w:color="auto"/>
                <w:left w:val="none" w:sz="0" w:space="0" w:color="auto"/>
                <w:bottom w:val="none" w:sz="0" w:space="0" w:color="auto"/>
                <w:right w:val="none" w:sz="0" w:space="0" w:color="auto"/>
              </w:divBdr>
              <w:divsChild>
                <w:div w:id="1632059051">
                  <w:marLeft w:val="0"/>
                  <w:marRight w:val="0"/>
                  <w:marTop w:val="0"/>
                  <w:marBottom w:val="0"/>
                  <w:divBdr>
                    <w:top w:val="none" w:sz="0" w:space="0" w:color="auto"/>
                    <w:left w:val="none" w:sz="0" w:space="0" w:color="auto"/>
                    <w:bottom w:val="none" w:sz="0" w:space="0" w:color="auto"/>
                    <w:right w:val="none" w:sz="0" w:space="0" w:color="auto"/>
                  </w:divBdr>
                </w:div>
              </w:divsChild>
            </w:div>
            <w:div w:id="1384014191">
              <w:marLeft w:val="0"/>
              <w:marRight w:val="0"/>
              <w:marTop w:val="0"/>
              <w:marBottom w:val="0"/>
              <w:divBdr>
                <w:top w:val="none" w:sz="0" w:space="0" w:color="auto"/>
                <w:left w:val="none" w:sz="0" w:space="0" w:color="auto"/>
                <w:bottom w:val="none" w:sz="0" w:space="0" w:color="auto"/>
                <w:right w:val="none" w:sz="0" w:space="0" w:color="auto"/>
              </w:divBdr>
              <w:divsChild>
                <w:div w:id="1385519186">
                  <w:marLeft w:val="0"/>
                  <w:marRight w:val="0"/>
                  <w:marTop w:val="0"/>
                  <w:marBottom w:val="0"/>
                  <w:divBdr>
                    <w:top w:val="none" w:sz="0" w:space="0" w:color="auto"/>
                    <w:left w:val="none" w:sz="0" w:space="0" w:color="auto"/>
                    <w:bottom w:val="none" w:sz="0" w:space="0" w:color="auto"/>
                    <w:right w:val="none" w:sz="0" w:space="0" w:color="auto"/>
                  </w:divBdr>
                </w:div>
              </w:divsChild>
            </w:div>
            <w:div w:id="629167638">
              <w:marLeft w:val="0"/>
              <w:marRight w:val="0"/>
              <w:marTop w:val="0"/>
              <w:marBottom w:val="0"/>
              <w:divBdr>
                <w:top w:val="none" w:sz="0" w:space="0" w:color="auto"/>
                <w:left w:val="none" w:sz="0" w:space="0" w:color="auto"/>
                <w:bottom w:val="none" w:sz="0" w:space="0" w:color="auto"/>
                <w:right w:val="none" w:sz="0" w:space="0" w:color="auto"/>
              </w:divBdr>
              <w:divsChild>
                <w:div w:id="1623462711">
                  <w:marLeft w:val="0"/>
                  <w:marRight w:val="0"/>
                  <w:marTop w:val="0"/>
                  <w:marBottom w:val="0"/>
                  <w:divBdr>
                    <w:top w:val="none" w:sz="0" w:space="0" w:color="auto"/>
                    <w:left w:val="none" w:sz="0" w:space="0" w:color="auto"/>
                    <w:bottom w:val="none" w:sz="0" w:space="0" w:color="auto"/>
                    <w:right w:val="none" w:sz="0" w:space="0" w:color="auto"/>
                  </w:divBdr>
                </w:div>
              </w:divsChild>
            </w:div>
            <w:div w:id="1783184076">
              <w:marLeft w:val="0"/>
              <w:marRight w:val="0"/>
              <w:marTop w:val="0"/>
              <w:marBottom w:val="0"/>
              <w:divBdr>
                <w:top w:val="none" w:sz="0" w:space="0" w:color="auto"/>
                <w:left w:val="none" w:sz="0" w:space="0" w:color="auto"/>
                <w:bottom w:val="none" w:sz="0" w:space="0" w:color="auto"/>
                <w:right w:val="none" w:sz="0" w:space="0" w:color="auto"/>
              </w:divBdr>
              <w:divsChild>
                <w:div w:id="514805031">
                  <w:marLeft w:val="0"/>
                  <w:marRight w:val="0"/>
                  <w:marTop w:val="0"/>
                  <w:marBottom w:val="0"/>
                  <w:divBdr>
                    <w:top w:val="none" w:sz="0" w:space="0" w:color="auto"/>
                    <w:left w:val="none" w:sz="0" w:space="0" w:color="auto"/>
                    <w:bottom w:val="none" w:sz="0" w:space="0" w:color="auto"/>
                    <w:right w:val="none" w:sz="0" w:space="0" w:color="auto"/>
                  </w:divBdr>
                </w:div>
              </w:divsChild>
            </w:div>
            <w:div w:id="430442926">
              <w:marLeft w:val="0"/>
              <w:marRight w:val="0"/>
              <w:marTop w:val="0"/>
              <w:marBottom w:val="0"/>
              <w:divBdr>
                <w:top w:val="none" w:sz="0" w:space="0" w:color="auto"/>
                <w:left w:val="none" w:sz="0" w:space="0" w:color="auto"/>
                <w:bottom w:val="none" w:sz="0" w:space="0" w:color="auto"/>
                <w:right w:val="none" w:sz="0" w:space="0" w:color="auto"/>
              </w:divBdr>
              <w:divsChild>
                <w:div w:id="1616980752">
                  <w:marLeft w:val="0"/>
                  <w:marRight w:val="0"/>
                  <w:marTop w:val="0"/>
                  <w:marBottom w:val="0"/>
                  <w:divBdr>
                    <w:top w:val="none" w:sz="0" w:space="0" w:color="auto"/>
                    <w:left w:val="none" w:sz="0" w:space="0" w:color="auto"/>
                    <w:bottom w:val="none" w:sz="0" w:space="0" w:color="auto"/>
                    <w:right w:val="none" w:sz="0" w:space="0" w:color="auto"/>
                  </w:divBdr>
                </w:div>
              </w:divsChild>
            </w:div>
            <w:div w:id="514465530">
              <w:marLeft w:val="0"/>
              <w:marRight w:val="0"/>
              <w:marTop w:val="0"/>
              <w:marBottom w:val="0"/>
              <w:divBdr>
                <w:top w:val="none" w:sz="0" w:space="0" w:color="auto"/>
                <w:left w:val="none" w:sz="0" w:space="0" w:color="auto"/>
                <w:bottom w:val="none" w:sz="0" w:space="0" w:color="auto"/>
                <w:right w:val="none" w:sz="0" w:space="0" w:color="auto"/>
              </w:divBdr>
              <w:divsChild>
                <w:div w:id="15076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2400">
      <w:bodyDiv w:val="1"/>
      <w:marLeft w:val="0"/>
      <w:marRight w:val="0"/>
      <w:marTop w:val="0"/>
      <w:marBottom w:val="0"/>
      <w:divBdr>
        <w:top w:val="none" w:sz="0" w:space="0" w:color="auto"/>
        <w:left w:val="none" w:sz="0" w:space="0" w:color="auto"/>
        <w:bottom w:val="none" w:sz="0" w:space="0" w:color="auto"/>
        <w:right w:val="none" w:sz="0" w:space="0" w:color="auto"/>
      </w:divBdr>
      <w:divsChild>
        <w:div w:id="1818766462">
          <w:marLeft w:val="0"/>
          <w:marRight w:val="0"/>
          <w:marTop w:val="0"/>
          <w:marBottom w:val="0"/>
          <w:divBdr>
            <w:top w:val="none" w:sz="0" w:space="0" w:color="auto"/>
            <w:left w:val="none" w:sz="0" w:space="0" w:color="auto"/>
            <w:bottom w:val="none" w:sz="0" w:space="0" w:color="auto"/>
            <w:right w:val="none" w:sz="0" w:space="0" w:color="auto"/>
          </w:divBdr>
          <w:divsChild>
            <w:div w:id="1099525304">
              <w:marLeft w:val="0"/>
              <w:marRight w:val="0"/>
              <w:marTop w:val="0"/>
              <w:marBottom w:val="0"/>
              <w:divBdr>
                <w:top w:val="none" w:sz="0" w:space="0" w:color="auto"/>
                <w:left w:val="none" w:sz="0" w:space="0" w:color="auto"/>
                <w:bottom w:val="none" w:sz="0" w:space="0" w:color="auto"/>
                <w:right w:val="none" w:sz="0" w:space="0" w:color="auto"/>
              </w:divBdr>
              <w:divsChild>
                <w:div w:id="763959920">
                  <w:marLeft w:val="0"/>
                  <w:marRight w:val="0"/>
                  <w:marTop w:val="0"/>
                  <w:marBottom w:val="0"/>
                  <w:divBdr>
                    <w:top w:val="none" w:sz="0" w:space="0" w:color="auto"/>
                    <w:left w:val="none" w:sz="0" w:space="0" w:color="auto"/>
                    <w:bottom w:val="none" w:sz="0" w:space="0" w:color="auto"/>
                    <w:right w:val="none" w:sz="0" w:space="0" w:color="auto"/>
                  </w:divBdr>
                  <w:divsChild>
                    <w:div w:id="4238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138476">
      <w:bodyDiv w:val="1"/>
      <w:marLeft w:val="0"/>
      <w:marRight w:val="0"/>
      <w:marTop w:val="0"/>
      <w:marBottom w:val="0"/>
      <w:divBdr>
        <w:top w:val="none" w:sz="0" w:space="0" w:color="auto"/>
        <w:left w:val="none" w:sz="0" w:space="0" w:color="auto"/>
        <w:bottom w:val="none" w:sz="0" w:space="0" w:color="auto"/>
        <w:right w:val="none" w:sz="0" w:space="0" w:color="auto"/>
      </w:divBdr>
    </w:div>
    <w:div w:id="248539950">
      <w:bodyDiv w:val="1"/>
      <w:marLeft w:val="0"/>
      <w:marRight w:val="0"/>
      <w:marTop w:val="0"/>
      <w:marBottom w:val="0"/>
      <w:divBdr>
        <w:top w:val="none" w:sz="0" w:space="0" w:color="auto"/>
        <w:left w:val="none" w:sz="0" w:space="0" w:color="auto"/>
        <w:bottom w:val="none" w:sz="0" w:space="0" w:color="auto"/>
        <w:right w:val="none" w:sz="0" w:space="0" w:color="auto"/>
      </w:divBdr>
    </w:div>
    <w:div w:id="287198876">
      <w:bodyDiv w:val="1"/>
      <w:marLeft w:val="0"/>
      <w:marRight w:val="0"/>
      <w:marTop w:val="0"/>
      <w:marBottom w:val="0"/>
      <w:divBdr>
        <w:top w:val="none" w:sz="0" w:space="0" w:color="auto"/>
        <w:left w:val="none" w:sz="0" w:space="0" w:color="auto"/>
        <w:bottom w:val="none" w:sz="0" w:space="0" w:color="auto"/>
        <w:right w:val="none" w:sz="0" w:space="0" w:color="auto"/>
      </w:divBdr>
      <w:divsChild>
        <w:div w:id="73670285">
          <w:marLeft w:val="0"/>
          <w:marRight w:val="0"/>
          <w:marTop w:val="0"/>
          <w:marBottom w:val="0"/>
          <w:divBdr>
            <w:top w:val="none" w:sz="0" w:space="0" w:color="auto"/>
            <w:left w:val="none" w:sz="0" w:space="0" w:color="auto"/>
            <w:bottom w:val="none" w:sz="0" w:space="0" w:color="auto"/>
            <w:right w:val="none" w:sz="0" w:space="0" w:color="auto"/>
          </w:divBdr>
          <w:divsChild>
            <w:div w:id="337581334">
              <w:marLeft w:val="0"/>
              <w:marRight w:val="0"/>
              <w:marTop w:val="0"/>
              <w:marBottom w:val="0"/>
              <w:divBdr>
                <w:top w:val="none" w:sz="0" w:space="0" w:color="auto"/>
                <w:left w:val="none" w:sz="0" w:space="0" w:color="auto"/>
                <w:bottom w:val="none" w:sz="0" w:space="0" w:color="auto"/>
                <w:right w:val="none" w:sz="0" w:space="0" w:color="auto"/>
              </w:divBdr>
              <w:divsChild>
                <w:div w:id="167401969">
                  <w:marLeft w:val="0"/>
                  <w:marRight w:val="0"/>
                  <w:marTop w:val="0"/>
                  <w:marBottom w:val="0"/>
                  <w:divBdr>
                    <w:top w:val="none" w:sz="0" w:space="0" w:color="auto"/>
                    <w:left w:val="none" w:sz="0" w:space="0" w:color="auto"/>
                    <w:bottom w:val="none" w:sz="0" w:space="0" w:color="auto"/>
                    <w:right w:val="none" w:sz="0" w:space="0" w:color="auto"/>
                  </w:divBdr>
                </w:div>
              </w:divsChild>
            </w:div>
            <w:div w:id="1895459359">
              <w:marLeft w:val="0"/>
              <w:marRight w:val="0"/>
              <w:marTop w:val="0"/>
              <w:marBottom w:val="0"/>
              <w:divBdr>
                <w:top w:val="none" w:sz="0" w:space="0" w:color="auto"/>
                <w:left w:val="none" w:sz="0" w:space="0" w:color="auto"/>
                <w:bottom w:val="none" w:sz="0" w:space="0" w:color="auto"/>
                <w:right w:val="none" w:sz="0" w:space="0" w:color="auto"/>
              </w:divBdr>
              <w:divsChild>
                <w:div w:id="1990863674">
                  <w:marLeft w:val="0"/>
                  <w:marRight w:val="0"/>
                  <w:marTop w:val="0"/>
                  <w:marBottom w:val="0"/>
                  <w:divBdr>
                    <w:top w:val="none" w:sz="0" w:space="0" w:color="auto"/>
                    <w:left w:val="none" w:sz="0" w:space="0" w:color="auto"/>
                    <w:bottom w:val="none" w:sz="0" w:space="0" w:color="auto"/>
                    <w:right w:val="none" w:sz="0" w:space="0" w:color="auto"/>
                  </w:divBdr>
                </w:div>
              </w:divsChild>
            </w:div>
            <w:div w:id="1926301511">
              <w:marLeft w:val="0"/>
              <w:marRight w:val="0"/>
              <w:marTop w:val="0"/>
              <w:marBottom w:val="0"/>
              <w:divBdr>
                <w:top w:val="none" w:sz="0" w:space="0" w:color="auto"/>
                <w:left w:val="none" w:sz="0" w:space="0" w:color="auto"/>
                <w:bottom w:val="none" w:sz="0" w:space="0" w:color="auto"/>
                <w:right w:val="none" w:sz="0" w:space="0" w:color="auto"/>
              </w:divBdr>
              <w:divsChild>
                <w:div w:id="1295941327">
                  <w:marLeft w:val="0"/>
                  <w:marRight w:val="0"/>
                  <w:marTop w:val="0"/>
                  <w:marBottom w:val="0"/>
                  <w:divBdr>
                    <w:top w:val="none" w:sz="0" w:space="0" w:color="auto"/>
                    <w:left w:val="none" w:sz="0" w:space="0" w:color="auto"/>
                    <w:bottom w:val="none" w:sz="0" w:space="0" w:color="auto"/>
                    <w:right w:val="none" w:sz="0" w:space="0" w:color="auto"/>
                  </w:divBdr>
                </w:div>
              </w:divsChild>
            </w:div>
            <w:div w:id="1828395423">
              <w:marLeft w:val="0"/>
              <w:marRight w:val="0"/>
              <w:marTop w:val="0"/>
              <w:marBottom w:val="0"/>
              <w:divBdr>
                <w:top w:val="none" w:sz="0" w:space="0" w:color="auto"/>
                <w:left w:val="none" w:sz="0" w:space="0" w:color="auto"/>
                <w:bottom w:val="none" w:sz="0" w:space="0" w:color="auto"/>
                <w:right w:val="none" w:sz="0" w:space="0" w:color="auto"/>
              </w:divBdr>
              <w:divsChild>
                <w:div w:id="231283501">
                  <w:marLeft w:val="0"/>
                  <w:marRight w:val="0"/>
                  <w:marTop w:val="0"/>
                  <w:marBottom w:val="0"/>
                  <w:divBdr>
                    <w:top w:val="none" w:sz="0" w:space="0" w:color="auto"/>
                    <w:left w:val="none" w:sz="0" w:space="0" w:color="auto"/>
                    <w:bottom w:val="none" w:sz="0" w:space="0" w:color="auto"/>
                    <w:right w:val="none" w:sz="0" w:space="0" w:color="auto"/>
                  </w:divBdr>
                </w:div>
                <w:div w:id="689987647">
                  <w:marLeft w:val="0"/>
                  <w:marRight w:val="0"/>
                  <w:marTop w:val="0"/>
                  <w:marBottom w:val="0"/>
                  <w:divBdr>
                    <w:top w:val="none" w:sz="0" w:space="0" w:color="auto"/>
                    <w:left w:val="none" w:sz="0" w:space="0" w:color="auto"/>
                    <w:bottom w:val="none" w:sz="0" w:space="0" w:color="auto"/>
                    <w:right w:val="none" w:sz="0" w:space="0" w:color="auto"/>
                  </w:divBdr>
                </w:div>
              </w:divsChild>
            </w:div>
            <w:div w:id="692419861">
              <w:marLeft w:val="0"/>
              <w:marRight w:val="0"/>
              <w:marTop w:val="0"/>
              <w:marBottom w:val="0"/>
              <w:divBdr>
                <w:top w:val="none" w:sz="0" w:space="0" w:color="auto"/>
                <w:left w:val="none" w:sz="0" w:space="0" w:color="auto"/>
                <w:bottom w:val="none" w:sz="0" w:space="0" w:color="auto"/>
                <w:right w:val="none" w:sz="0" w:space="0" w:color="auto"/>
              </w:divBdr>
              <w:divsChild>
                <w:div w:id="1706254574">
                  <w:marLeft w:val="0"/>
                  <w:marRight w:val="0"/>
                  <w:marTop w:val="0"/>
                  <w:marBottom w:val="0"/>
                  <w:divBdr>
                    <w:top w:val="none" w:sz="0" w:space="0" w:color="auto"/>
                    <w:left w:val="none" w:sz="0" w:space="0" w:color="auto"/>
                    <w:bottom w:val="none" w:sz="0" w:space="0" w:color="auto"/>
                    <w:right w:val="none" w:sz="0" w:space="0" w:color="auto"/>
                  </w:divBdr>
                </w:div>
              </w:divsChild>
            </w:div>
            <w:div w:id="548345523">
              <w:marLeft w:val="0"/>
              <w:marRight w:val="0"/>
              <w:marTop w:val="0"/>
              <w:marBottom w:val="0"/>
              <w:divBdr>
                <w:top w:val="none" w:sz="0" w:space="0" w:color="auto"/>
                <w:left w:val="none" w:sz="0" w:space="0" w:color="auto"/>
                <w:bottom w:val="none" w:sz="0" w:space="0" w:color="auto"/>
                <w:right w:val="none" w:sz="0" w:space="0" w:color="auto"/>
              </w:divBdr>
              <w:divsChild>
                <w:div w:id="697509354">
                  <w:marLeft w:val="0"/>
                  <w:marRight w:val="0"/>
                  <w:marTop w:val="0"/>
                  <w:marBottom w:val="0"/>
                  <w:divBdr>
                    <w:top w:val="none" w:sz="0" w:space="0" w:color="auto"/>
                    <w:left w:val="none" w:sz="0" w:space="0" w:color="auto"/>
                    <w:bottom w:val="none" w:sz="0" w:space="0" w:color="auto"/>
                    <w:right w:val="none" w:sz="0" w:space="0" w:color="auto"/>
                  </w:divBdr>
                </w:div>
              </w:divsChild>
            </w:div>
            <w:div w:id="532349467">
              <w:marLeft w:val="0"/>
              <w:marRight w:val="0"/>
              <w:marTop w:val="0"/>
              <w:marBottom w:val="0"/>
              <w:divBdr>
                <w:top w:val="none" w:sz="0" w:space="0" w:color="auto"/>
                <w:left w:val="none" w:sz="0" w:space="0" w:color="auto"/>
                <w:bottom w:val="none" w:sz="0" w:space="0" w:color="auto"/>
                <w:right w:val="none" w:sz="0" w:space="0" w:color="auto"/>
              </w:divBdr>
              <w:divsChild>
                <w:div w:id="1390109110">
                  <w:marLeft w:val="0"/>
                  <w:marRight w:val="0"/>
                  <w:marTop w:val="0"/>
                  <w:marBottom w:val="0"/>
                  <w:divBdr>
                    <w:top w:val="none" w:sz="0" w:space="0" w:color="auto"/>
                    <w:left w:val="none" w:sz="0" w:space="0" w:color="auto"/>
                    <w:bottom w:val="none" w:sz="0" w:space="0" w:color="auto"/>
                    <w:right w:val="none" w:sz="0" w:space="0" w:color="auto"/>
                  </w:divBdr>
                </w:div>
              </w:divsChild>
            </w:div>
            <w:div w:id="603464832">
              <w:marLeft w:val="0"/>
              <w:marRight w:val="0"/>
              <w:marTop w:val="0"/>
              <w:marBottom w:val="0"/>
              <w:divBdr>
                <w:top w:val="none" w:sz="0" w:space="0" w:color="auto"/>
                <w:left w:val="none" w:sz="0" w:space="0" w:color="auto"/>
                <w:bottom w:val="none" w:sz="0" w:space="0" w:color="auto"/>
                <w:right w:val="none" w:sz="0" w:space="0" w:color="auto"/>
              </w:divBdr>
              <w:divsChild>
                <w:div w:id="1534613678">
                  <w:marLeft w:val="0"/>
                  <w:marRight w:val="0"/>
                  <w:marTop w:val="0"/>
                  <w:marBottom w:val="0"/>
                  <w:divBdr>
                    <w:top w:val="none" w:sz="0" w:space="0" w:color="auto"/>
                    <w:left w:val="none" w:sz="0" w:space="0" w:color="auto"/>
                    <w:bottom w:val="none" w:sz="0" w:space="0" w:color="auto"/>
                    <w:right w:val="none" w:sz="0" w:space="0" w:color="auto"/>
                  </w:divBdr>
                </w:div>
              </w:divsChild>
            </w:div>
            <w:div w:id="1005135918">
              <w:marLeft w:val="0"/>
              <w:marRight w:val="0"/>
              <w:marTop w:val="0"/>
              <w:marBottom w:val="0"/>
              <w:divBdr>
                <w:top w:val="none" w:sz="0" w:space="0" w:color="auto"/>
                <w:left w:val="none" w:sz="0" w:space="0" w:color="auto"/>
                <w:bottom w:val="none" w:sz="0" w:space="0" w:color="auto"/>
                <w:right w:val="none" w:sz="0" w:space="0" w:color="auto"/>
              </w:divBdr>
              <w:divsChild>
                <w:div w:id="2042053895">
                  <w:marLeft w:val="0"/>
                  <w:marRight w:val="0"/>
                  <w:marTop w:val="0"/>
                  <w:marBottom w:val="0"/>
                  <w:divBdr>
                    <w:top w:val="none" w:sz="0" w:space="0" w:color="auto"/>
                    <w:left w:val="none" w:sz="0" w:space="0" w:color="auto"/>
                    <w:bottom w:val="none" w:sz="0" w:space="0" w:color="auto"/>
                    <w:right w:val="none" w:sz="0" w:space="0" w:color="auto"/>
                  </w:divBdr>
                </w:div>
              </w:divsChild>
            </w:div>
            <w:div w:id="637956737">
              <w:marLeft w:val="0"/>
              <w:marRight w:val="0"/>
              <w:marTop w:val="0"/>
              <w:marBottom w:val="0"/>
              <w:divBdr>
                <w:top w:val="none" w:sz="0" w:space="0" w:color="auto"/>
                <w:left w:val="none" w:sz="0" w:space="0" w:color="auto"/>
                <w:bottom w:val="none" w:sz="0" w:space="0" w:color="auto"/>
                <w:right w:val="none" w:sz="0" w:space="0" w:color="auto"/>
              </w:divBdr>
              <w:divsChild>
                <w:div w:id="1908607858">
                  <w:marLeft w:val="0"/>
                  <w:marRight w:val="0"/>
                  <w:marTop w:val="0"/>
                  <w:marBottom w:val="0"/>
                  <w:divBdr>
                    <w:top w:val="none" w:sz="0" w:space="0" w:color="auto"/>
                    <w:left w:val="none" w:sz="0" w:space="0" w:color="auto"/>
                    <w:bottom w:val="none" w:sz="0" w:space="0" w:color="auto"/>
                    <w:right w:val="none" w:sz="0" w:space="0" w:color="auto"/>
                  </w:divBdr>
                </w:div>
              </w:divsChild>
            </w:div>
            <w:div w:id="44062056">
              <w:marLeft w:val="0"/>
              <w:marRight w:val="0"/>
              <w:marTop w:val="0"/>
              <w:marBottom w:val="0"/>
              <w:divBdr>
                <w:top w:val="none" w:sz="0" w:space="0" w:color="auto"/>
                <w:left w:val="none" w:sz="0" w:space="0" w:color="auto"/>
                <w:bottom w:val="none" w:sz="0" w:space="0" w:color="auto"/>
                <w:right w:val="none" w:sz="0" w:space="0" w:color="auto"/>
              </w:divBdr>
              <w:divsChild>
                <w:div w:id="1995329878">
                  <w:marLeft w:val="0"/>
                  <w:marRight w:val="0"/>
                  <w:marTop w:val="0"/>
                  <w:marBottom w:val="0"/>
                  <w:divBdr>
                    <w:top w:val="none" w:sz="0" w:space="0" w:color="auto"/>
                    <w:left w:val="none" w:sz="0" w:space="0" w:color="auto"/>
                    <w:bottom w:val="none" w:sz="0" w:space="0" w:color="auto"/>
                    <w:right w:val="none" w:sz="0" w:space="0" w:color="auto"/>
                  </w:divBdr>
                </w:div>
              </w:divsChild>
            </w:div>
            <w:div w:id="426731619">
              <w:marLeft w:val="0"/>
              <w:marRight w:val="0"/>
              <w:marTop w:val="0"/>
              <w:marBottom w:val="0"/>
              <w:divBdr>
                <w:top w:val="none" w:sz="0" w:space="0" w:color="auto"/>
                <w:left w:val="none" w:sz="0" w:space="0" w:color="auto"/>
                <w:bottom w:val="none" w:sz="0" w:space="0" w:color="auto"/>
                <w:right w:val="none" w:sz="0" w:space="0" w:color="auto"/>
              </w:divBdr>
              <w:divsChild>
                <w:div w:id="1004743867">
                  <w:marLeft w:val="0"/>
                  <w:marRight w:val="0"/>
                  <w:marTop w:val="0"/>
                  <w:marBottom w:val="0"/>
                  <w:divBdr>
                    <w:top w:val="none" w:sz="0" w:space="0" w:color="auto"/>
                    <w:left w:val="none" w:sz="0" w:space="0" w:color="auto"/>
                    <w:bottom w:val="none" w:sz="0" w:space="0" w:color="auto"/>
                    <w:right w:val="none" w:sz="0" w:space="0" w:color="auto"/>
                  </w:divBdr>
                </w:div>
              </w:divsChild>
            </w:div>
            <w:div w:id="644970059">
              <w:marLeft w:val="0"/>
              <w:marRight w:val="0"/>
              <w:marTop w:val="0"/>
              <w:marBottom w:val="0"/>
              <w:divBdr>
                <w:top w:val="none" w:sz="0" w:space="0" w:color="auto"/>
                <w:left w:val="none" w:sz="0" w:space="0" w:color="auto"/>
                <w:bottom w:val="none" w:sz="0" w:space="0" w:color="auto"/>
                <w:right w:val="none" w:sz="0" w:space="0" w:color="auto"/>
              </w:divBdr>
              <w:divsChild>
                <w:div w:id="990208855">
                  <w:marLeft w:val="0"/>
                  <w:marRight w:val="0"/>
                  <w:marTop w:val="0"/>
                  <w:marBottom w:val="0"/>
                  <w:divBdr>
                    <w:top w:val="none" w:sz="0" w:space="0" w:color="auto"/>
                    <w:left w:val="none" w:sz="0" w:space="0" w:color="auto"/>
                    <w:bottom w:val="none" w:sz="0" w:space="0" w:color="auto"/>
                    <w:right w:val="none" w:sz="0" w:space="0" w:color="auto"/>
                  </w:divBdr>
                </w:div>
              </w:divsChild>
            </w:div>
            <w:div w:id="1195658623">
              <w:marLeft w:val="0"/>
              <w:marRight w:val="0"/>
              <w:marTop w:val="0"/>
              <w:marBottom w:val="0"/>
              <w:divBdr>
                <w:top w:val="none" w:sz="0" w:space="0" w:color="auto"/>
                <w:left w:val="none" w:sz="0" w:space="0" w:color="auto"/>
                <w:bottom w:val="none" w:sz="0" w:space="0" w:color="auto"/>
                <w:right w:val="none" w:sz="0" w:space="0" w:color="auto"/>
              </w:divBdr>
              <w:divsChild>
                <w:div w:id="266352656">
                  <w:marLeft w:val="0"/>
                  <w:marRight w:val="0"/>
                  <w:marTop w:val="0"/>
                  <w:marBottom w:val="0"/>
                  <w:divBdr>
                    <w:top w:val="none" w:sz="0" w:space="0" w:color="auto"/>
                    <w:left w:val="none" w:sz="0" w:space="0" w:color="auto"/>
                    <w:bottom w:val="none" w:sz="0" w:space="0" w:color="auto"/>
                    <w:right w:val="none" w:sz="0" w:space="0" w:color="auto"/>
                  </w:divBdr>
                </w:div>
              </w:divsChild>
            </w:div>
            <w:div w:id="516507143">
              <w:marLeft w:val="0"/>
              <w:marRight w:val="0"/>
              <w:marTop w:val="0"/>
              <w:marBottom w:val="0"/>
              <w:divBdr>
                <w:top w:val="none" w:sz="0" w:space="0" w:color="auto"/>
                <w:left w:val="none" w:sz="0" w:space="0" w:color="auto"/>
                <w:bottom w:val="none" w:sz="0" w:space="0" w:color="auto"/>
                <w:right w:val="none" w:sz="0" w:space="0" w:color="auto"/>
              </w:divBdr>
              <w:divsChild>
                <w:div w:id="3177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944">
      <w:bodyDiv w:val="1"/>
      <w:marLeft w:val="0"/>
      <w:marRight w:val="0"/>
      <w:marTop w:val="0"/>
      <w:marBottom w:val="0"/>
      <w:divBdr>
        <w:top w:val="none" w:sz="0" w:space="0" w:color="auto"/>
        <w:left w:val="none" w:sz="0" w:space="0" w:color="auto"/>
        <w:bottom w:val="none" w:sz="0" w:space="0" w:color="auto"/>
        <w:right w:val="none" w:sz="0" w:space="0" w:color="auto"/>
      </w:divBdr>
      <w:divsChild>
        <w:div w:id="55396878">
          <w:marLeft w:val="0"/>
          <w:marRight w:val="0"/>
          <w:marTop w:val="0"/>
          <w:marBottom w:val="0"/>
          <w:divBdr>
            <w:top w:val="none" w:sz="0" w:space="0" w:color="auto"/>
            <w:left w:val="none" w:sz="0" w:space="0" w:color="auto"/>
            <w:bottom w:val="none" w:sz="0" w:space="0" w:color="auto"/>
            <w:right w:val="none" w:sz="0" w:space="0" w:color="auto"/>
          </w:divBdr>
          <w:divsChild>
            <w:div w:id="816068392">
              <w:marLeft w:val="0"/>
              <w:marRight w:val="0"/>
              <w:marTop w:val="0"/>
              <w:marBottom w:val="0"/>
              <w:divBdr>
                <w:top w:val="none" w:sz="0" w:space="0" w:color="auto"/>
                <w:left w:val="none" w:sz="0" w:space="0" w:color="auto"/>
                <w:bottom w:val="none" w:sz="0" w:space="0" w:color="auto"/>
                <w:right w:val="none" w:sz="0" w:space="0" w:color="auto"/>
              </w:divBdr>
              <w:divsChild>
                <w:div w:id="118181988">
                  <w:marLeft w:val="0"/>
                  <w:marRight w:val="0"/>
                  <w:marTop w:val="0"/>
                  <w:marBottom w:val="0"/>
                  <w:divBdr>
                    <w:top w:val="none" w:sz="0" w:space="0" w:color="auto"/>
                    <w:left w:val="none" w:sz="0" w:space="0" w:color="auto"/>
                    <w:bottom w:val="none" w:sz="0" w:space="0" w:color="auto"/>
                    <w:right w:val="none" w:sz="0" w:space="0" w:color="auto"/>
                  </w:divBdr>
                  <w:divsChild>
                    <w:div w:id="11923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6482">
      <w:bodyDiv w:val="1"/>
      <w:marLeft w:val="0"/>
      <w:marRight w:val="0"/>
      <w:marTop w:val="0"/>
      <w:marBottom w:val="0"/>
      <w:divBdr>
        <w:top w:val="none" w:sz="0" w:space="0" w:color="auto"/>
        <w:left w:val="none" w:sz="0" w:space="0" w:color="auto"/>
        <w:bottom w:val="none" w:sz="0" w:space="0" w:color="auto"/>
        <w:right w:val="none" w:sz="0" w:space="0" w:color="auto"/>
      </w:divBdr>
      <w:divsChild>
        <w:div w:id="1047797356">
          <w:marLeft w:val="0"/>
          <w:marRight w:val="0"/>
          <w:marTop w:val="0"/>
          <w:marBottom w:val="0"/>
          <w:divBdr>
            <w:top w:val="none" w:sz="0" w:space="0" w:color="auto"/>
            <w:left w:val="none" w:sz="0" w:space="0" w:color="auto"/>
            <w:bottom w:val="none" w:sz="0" w:space="0" w:color="auto"/>
            <w:right w:val="none" w:sz="0" w:space="0" w:color="auto"/>
          </w:divBdr>
          <w:divsChild>
            <w:div w:id="771440845">
              <w:marLeft w:val="0"/>
              <w:marRight w:val="0"/>
              <w:marTop w:val="0"/>
              <w:marBottom w:val="0"/>
              <w:divBdr>
                <w:top w:val="none" w:sz="0" w:space="0" w:color="auto"/>
                <w:left w:val="none" w:sz="0" w:space="0" w:color="auto"/>
                <w:bottom w:val="none" w:sz="0" w:space="0" w:color="auto"/>
                <w:right w:val="none" w:sz="0" w:space="0" w:color="auto"/>
              </w:divBdr>
              <w:divsChild>
                <w:div w:id="1390611671">
                  <w:marLeft w:val="0"/>
                  <w:marRight w:val="0"/>
                  <w:marTop w:val="0"/>
                  <w:marBottom w:val="0"/>
                  <w:divBdr>
                    <w:top w:val="none" w:sz="0" w:space="0" w:color="auto"/>
                    <w:left w:val="none" w:sz="0" w:space="0" w:color="auto"/>
                    <w:bottom w:val="none" w:sz="0" w:space="0" w:color="auto"/>
                    <w:right w:val="none" w:sz="0" w:space="0" w:color="auto"/>
                  </w:divBdr>
                </w:div>
              </w:divsChild>
            </w:div>
            <w:div w:id="1526943324">
              <w:marLeft w:val="0"/>
              <w:marRight w:val="0"/>
              <w:marTop w:val="0"/>
              <w:marBottom w:val="0"/>
              <w:divBdr>
                <w:top w:val="none" w:sz="0" w:space="0" w:color="auto"/>
                <w:left w:val="none" w:sz="0" w:space="0" w:color="auto"/>
                <w:bottom w:val="none" w:sz="0" w:space="0" w:color="auto"/>
                <w:right w:val="none" w:sz="0" w:space="0" w:color="auto"/>
              </w:divBdr>
              <w:divsChild>
                <w:div w:id="567156280">
                  <w:marLeft w:val="0"/>
                  <w:marRight w:val="0"/>
                  <w:marTop w:val="0"/>
                  <w:marBottom w:val="0"/>
                  <w:divBdr>
                    <w:top w:val="none" w:sz="0" w:space="0" w:color="auto"/>
                    <w:left w:val="none" w:sz="0" w:space="0" w:color="auto"/>
                    <w:bottom w:val="none" w:sz="0" w:space="0" w:color="auto"/>
                    <w:right w:val="none" w:sz="0" w:space="0" w:color="auto"/>
                  </w:divBdr>
                </w:div>
              </w:divsChild>
            </w:div>
            <w:div w:id="716440097">
              <w:marLeft w:val="0"/>
              <w:marRight w:val="0"/>
              <w:marTop w:val="0"/>
              <w:marBottom w:val="0"/>
              <w:divBdr>
                <w:top w:val="none" w:sz="0" w:space="0" w:color="auto"/>
                <w:left w:val="none" w:sz="0" w:space="0" w:color="auto"/>
                <w:bottom w:val="none" w:sz="0" w:space="0" w:color="auto"/>
                <w:right w:val="none" w:sz="0" w:space="0" w:color="auto"/>
              </w:divBdr>
              <w:divsChild>
                <w:div w:id="961037665">
                  <w:marLeft w:val="0"/>
                  <w:marRight w:val="0"/>
                  <w:marTop w:val="0"/>
                  <w:marBottom w:val="0"/>
                  <w:divBdr>
                    <w:top w:val="none" w:sz="0" w:space="0" w:color="auto"/>
                    <w:left w:val="none" w:sz="0" w:space="0" w:color="auto"/>
                    <w:bottom w:val="none" w:sz="0" w:space="0" w:color="auto"/>
                    <w:right w:val="none" w:sz="0" w:space="0" w:color="auto"/>
                  </w:divBdr>
                </w:div>
              </w:divsChild>
            </w:div>
            <w:div w:id="1307277963">
              <w:marLeft w:val="0"/>
              <w:marRight w:val="0"/>
              <w:marTop w:val="0"/>
              <w:marBottom w:val="0"/>
              <w:divBdr>
                <w:top w:val="none" w:sz="0" w:space="0" w:color="auto"/>
                <w:left w:val="none" w:sz="0" w:space="0" w:color="auto"/>
                <w:bottom w:val="none" w:sz="0" w:space="0" w:color="auto"/>
                <w:right w:val="none" w:sz="0" w:space="0" w:color="auto"/>
              </w:divBdr>
              <w:divsChild>
                <w:div w:id="1252590004">
                  <w:marLeft w:val="0"/>
                  <w:marRight w:val="0"/>
                  <w:marTop w:val="0"/>
                  <w:marBottom w:val="0"/>
                  <w:divBdr>
                    <w:top w:val="none" w:sz="0" w:space="0" w:color="auto"/>
                    <w:left w:val="none" w:sz="0" w:space="0" w:color="auto"/>
                    <w:bottom w:val="none" w:sz="0" w:space="0" w:color="auto"/>
                    <w:right w:val="none" w:sz="0" w:space="0" w:color="auto"/>
                  </w:divBdr>
                </w:div>
                <w:div w:id="1898316569">
                  <w:marLeft w:val="0"/>
                  <w:marRight w:val="0"/>
                  <w:marTop w:val="0"/>
                  <w:marBottom w:val="0"/>
                  <w:divBdr>
                    <w:top w:val="none" w:sz="0" w:space="0" w:color="auto"/>
                    <w:left w:val="none" w:sz="0" w:space="0" w:color="auto"/>
                    <w:bottom w:val="none" w:sz="0" w:space="0" w:color="auto"/>
                    <w:right w:val="none" w:sz="0" w:space="0" w:color="auto"/>
                  </w:divBdr>
                </w:div>
              </w:divsChild>
            </w:div>
            <w:div w:id="1852185142">
              <w:marLeft w:val="0"/>
              <w:marRight w:val="0"/>
              <w:marTop w:val="0"/>
              <w:marBottom w:val="0"/>
              <w:divBdr>
                <w:top w:val="none" w:sz="0" w:space="0" w:color="auto"/>
                <w:left w:val="none" w:sz="0" w:space="0" w:color="auto"/>
                <w:bottom w:val="none" w:sz="0" w:space="0" w:color="auto"/>
                <w:right w:val="none" w:sz="0" w:space="0" w:color="auto"/>
              </w:divBdr>
              <w:divsChild>
                <w:div w:id="1479760184">
                  <w:marLeft w:val="0"/>
                  <w:marRight w:val="0"/>
                  <w:marTop w:val="0"/>
                  <w:marBottom w:val="0"/>
                  <w:divBdr>
                    <w:top w:val="none" w:sz="0" w:space="0" w:color="auto"/>
                    <w:left w:val="none" w:sz="0" w:space="0" w:color="auto"/>
                    <w:bottom w:val="none" w:sz="0" w:space="0" w:color="auto"/>
                    <w:right w:val="none" w:sz="0" w:space="0" w:color="auto"/>
                  </w:divBdr>
                </w:div>
              </w:divsChild>
            </w:div>
            <w:div w:id="615907969">
              <w:marLeft w:val="0"/>
              <w:marRight w:val="0"/>
              <w:marTop w:val="0"/>
              <w:marBottom w:val="0"/>
              <w:divBdr>
                <w:top w:val="none" w:sz="0" w:space="0" w:color="auto"/>
                <w:left w:val="none" w:sz="0" w:space="0" w:color="auto"/>
                <w:bottom w:val="none" w:sz="0" w:space="0" w:color="auto"/>
                <w:right w:val="none" w:sz="0" w:space="0" w:color="auto"/>
              </w:divBdr>
              <w:divsChild>
                <w:div w:id="552694856">
                  <w:marLeft w:val="0"/>
                  <w:marRight w:val="0"/>
                  <w:marTop w:val="0"/>
                  <w:marBottom w:val="0"/>
                  <w:divBdr>
                    <w:top w:val="none" w:sz="0" w:space="0" w:color="auto"/>
                    <w:left w:val="none" w:sz="0" w:space="0" w:color="auto"/>
                    <w:bottom w:val="none" w:sz="0" w:space="0" w:color="auto"/>
                    <w:right w:val="none" w:sz="0" w:space="0" w:color="auto"/>
                  </w:divBdr>
                </w:div>
              </w:divsChild>
            </w:div>
            <w:div w:id="1995379526">
              <w:marLeft w:val="0"/>
              <w:marRight w:val="0"/>
              <w:marTop w:val="0"/>
              <w:marBottom w:val="0"/>
              <w:divBdr>
                <w:top w:val="none" w:sz="0" w:space="0" w:color="auto"/>
                <w:left w:val="none" w:sz="0" w:space="0" w:color="auto"/>
                <w:bottom w:val="none" w:sz="0" w:space="0" w:color="auto"/>
                <w:right w:val="none" w:sz="0" w:space="0" w:color="auto"/>
              </w:divBdr>
              <w:divsChild>
                <w:div w:id="398869585">
                  <w:marLeft w:val="0"/>
                  <w:marRight w:val="0"/>
                  <w:marTop w:val="0"/>
                  <w:marBottom w:val="0"/>
                  <w:divBdr>
                    <w:top w:val="none" w:sz="0" w:space="0" w:color="auto"/>
                    <w:left w:val="none" w:sz="0" w:space="0" w:color="auto"/>
                    <w:bottom w:val="none" w:sz="0" w:space="0" w:color="auto"/>
                    <w:right w:val="none" w:sz="0" w:space="0" w:color="auto"/>
                  </w:divBdr>
                </w:div>
              </w:divsChild>
            </w:div>
            <w:div w:id="539131458">
              <w:marLeft w:val="0"/>
              <w:marRight w:val="0"/>
              <w:marTop w:val="0"/>
              <w:marBottom w:val="0"/>
              <w:divBdr>
                <w:top w:val="none" w:sz="0" w:space="0" w:color="auto"/>
                <w:left w:val="none" w:sz="0" w:space="0" w:color="auto"/>
                <w:bottom w:val="none" w:sz="0" w:space="0" w:color="auto"/>
                <w:right w:val="none" w:sz="0" w:space="0" w:color="auto"/>
              </w:divBdr>
              <w:divsChild>
                <w:div w:id="1865172257">
                  <w:marLeft w:val="0"/>
                  <w:marRight w:val="0"/>
                  <w:marTop w:val="0"/>
                  <w:marBottom w:val="0"/>
                  <w:divBdr>
                    <w:top w:val="none" w:sz="0" w:space="0" w:color="auto"/>
                    <w:left w:val="none" w:sz="0" w:space="0" w:color="auto"/>
                    <w:bottom w:val="none" w:sz="0" w:space="0" w:color="auto"/>
                    <w:right w:val="none" w:sz="0" w:space="0" w:color="auto"/>
                  </w:divBdr>
                </w:div>
              </w:divsChild>
            </w:div>
            <w:div w:id="89083401">
              <w:marLeft w:val="0"/>
              <w:marRight w:val="0"/>
              <w:marTop w:val="0"/>
              <w:marBottom w:val="0"/>
              <w:divBdr>
                <w:top w:val="none" w:sz="0" w:space="0" w:color="auto"/>
                <w:left w:val="none" w:sz="0" w:space="0" w:color="auto"/>
                <w:bottom w:val="none" w:sz="0" w:space="0" w:color="auto"/>
                <w:right w:val="none" w:sz="0" w:space="0" w:color="auto"/>
              </w:divBdr>
              <w:divsChild>
                <w:div w:id="1947233474">
                  <w:marLeft w:val="0"/>
                  <w:marRight w:val="0"/>
                  <w:marTop w:val="0"/>
                  <w:marBottom w:val="0"/>
                  <w:divBdr>
                    <w:top w:val="none" w:sz="0" w:space="0" w:color="auto"/>
                    <w:left w:val="none" w:sz="0" w:space="0" w:color="auto"/>
                    <w:bottom w:val="none" w:sz="0" w:space="0" w:color="auto"/>
                    <w:right w:val="none" w:sz="0" w:space="0" w:color="auto"/>
                  </w:divBdr>
                </w:div>
              </w:divsChild>
            </w:div>
            <w:div w:id="1935045255">
              <w:marLeft w:val="0"/>
              <w:marRight w:val="0"/>
              <w:marTop w:val="0"/>
              <w:marBottom w:val="0"/>
              <w:divBdr>
                <w:top w:val="none" w:sz="0" w:space="0" w:color="auto"/>
                <w:left w:val="none" w:sz="0" w:space="0" w:color="auto"/>
                <w:bottom w:val="none" w:sz="0" w:space="0" w:color="auto"/>
                <w:right w:val="none" w:sz="0" w:space="0" w:color="auto"/>
              </w:divBdr>
              <w:divsChild>
                <w:div w:id="1135370069">
                  <w:marLeft w:val="0"/>
                  <w:marRight w:val="0"/>
                  <w:marTop w:val="0"/>
                  <w:marBottom w:val="0"/>
                  <w:divBdr>
                    <w:top w:val="none" w:sz="0" w:space="0" w:color="auto"/>
                    <w:left w:val="none" w:sz="0" w:space="0" w:color="auto"/>
                    <w:bottom w:val="none" w:sz="0" w:space="0" w:color="auto"/>
                    <w:right w:val="none" w:sz="0" w:space="0" w:color="auto"/>
                  </w:divBdr>
                </w:div>
              </w:divsChild>
            </w:div>
            <w:div w:id="1024987989">
              <w:marLeft w:val="0"/>
              <w:marRight w:val="0"/>
              <w:marTop w:val="0"/>
              <w:marBottom w:val="0"/>
              <w:divBdr>
                <w:top w:val="none" w:sz="0" w:space="0" w:color="auto"/>
                <w:left w:val="none" w:sz="0" w:space="0" w:color="auto"/>
                <w:bottom w:val="none" w:sz="0" w:space="0" w:color="auto"/>
                <w:right w:val="none" w:sz="0" w:space="0" w:color="auto"/>
              </w:divBdr>
              <w:divsChild>
                <w:div w:id="1354571232">
                  <w:marLeft w:val="0"/>
                  <w:marRight w:val="0"/>
                  <w:marTop w:val="0"/>
                  <w:marBottom w:val="0"/>
                  <w:divBdr>
                    <w:top w:val="none" w:sz="0" w:space="0" w:color="auto"/>
                    <w:left w:val="none" w:sz="0" w:space="0" w:color="auto"/>
                    <w:bottom w:val="none" w:sz="0" w:space="0" w:color="auto"/>
                    <w:right w:val="none" w:sz="0" w:space="0" w:color="auto"/>
                  </w:divBdr>
                </w:div>
              </w:divsChild>
            </w:div>
            <w:div w:id="218321304">
              <w:marLeft w:val="0"/>
              <w:marRight w:val="0"/>
              <w:marTop w:val="0"/>
              <w:marBottom w:val="0"/>
              <w:divBdr>
                <w:top w:val="none" w:sz="0" w:space="0" w:color="auto"/>
                <w:left w:val="none" w:sz="0" w:space="0" w:color="auto"/>
                <w:bottom w:val="none" w:sz="0" w:space="0" w:color="auto"/>
                <w:right w:val="none" w:sz="0" w:space="0" w:color="auto"/>
              </w:divBdr>
              <w:divsChild>
                <w:div w:id="302464268">
                  <w:marLeft w:val="0"/>
                  <w:marRight w:val="0"/>
                  <w:marTop w:val="0"/>
                  <w:marBottom w:val="0"/>
                  <w:divBdr>
                    <w:top w:val="none" w:sz="0" w:space="0" w:color="auto"/>
                    <w:left w:val="none" w:sz="0" w:space="0" w:color="auto"/>
                    <w:bottom w:val="none" w:sz="0" w:space="0" w:color="auto"/>
                    <w:right w:val="none" w:sz="0" w:space="0" w:color="auto"/>
                  </w:divBdr>
                </w:div>
              </w:divsChild>
            </w:div>
            <w:div w:id="405765580">
              <w:marLeft w:val="0"/>
              <w:marRight w:val="0"/>
              <w:marTop w:val="0"/>
              <w:marBottom w:val="0"/>
              <w:divBdr>
                <w:top w:val="none" w:sz="0" w:space="0" w:color="auto"/>
                <w:left w:val="none" w:sz="0" w:space="0" w:color="auto"/>
                <w:bottom w:val="none" w:sz="0" w:space="0" w:color="auto"/>
                <w:right w:val="none" w:sz="0" w:space="0" w:color="auto"/>
              </w:divBdr>
              <w:divsChild>
                <w:div w:id="1335373951">
                  <w:marLeft w:val="0"/>
                  <w:marRight w:val="0"/>
                  <w:marTop w:val="0"/>
                  <w:marBottom w:val="0"/>
                  <w:divBdr>
                    <w:top w:val="none" w:sz="0" w:space="0" w:color="auto"/>
                    <w:left w:val="none" w:sz="0" w:space="0" w:color="auto"/>
                    <w:bottom w:val="none" w:sz="0" w:space="0" w:color="auto"/>
                    <w:right w:val="none" w:sz="0" w:space="0" w:color="auto"/>
                  </w:divBdr>
                </w:div>
              </w:divsChild>
            </w:div>
            <w:div w:id="2053261843">
              <w:marLeft w:val="0"/>
              <w:marRight w:val="0"/>
              <w:marTop w:val="0"/>
              <w:marBottom w:val="0"/>
              <w:divBdr>
                <w:top w:val="none" w:sz="0" w:space="0" w:color="auto"/>
                <w:left w:val="none" w:sz="0" w:space="0" w:color="auto"/>
                <w:bottom w:val="none" w:sz="0" w:space="0" w:color="auto"/>
                <w:right w:val="none" w:sz="0" w:space="0" w:color="auto"/>
              </w:divBdr>
              <w:divsChild>
                <w:div w:id="148251410">
                  <w:marLeft w:val="0"/>
                  <w:marRight w:val="0"/>
                  <w:marTop w:val="0"/>
                  <w:marBottom w:val="0"/>
                  <w:divBdr>
                    <w:top w:val="none" w:sz="0" w:space="0" w:color="auto"/>
                    <w:left w:val="none" w:sz="0" w:space="0" w:color="auto"/>
                    <w:bottom w:val="none" w:sz="0" w:space="0" w:color="auto"/>
                    <w:right w:val="none" w:sz="0" w:space="0" w:color="auto"/>
                  </w:divBdr>
                </w:div>
              </w:divsChild>
            </w:div>
            <w:div w:id="1196114926">
              <w:marLeft w:val="0"/>
              <w:marRight w:val="0"/>
              <w:marTop w:val="0"/>
              <w:marBottom w:val="0"/>
              <w:divBdr>
                <w:top w:val="none" w:sz="0" w:space="0" w:color="auto"/>
                <w:left w:val="none" w:sz="0" w:space="0" w:color="auto"/>
                <w:bottom w:val="none" w:sz="0" w:space="0" w:color="auto"/>
                <w:right w:val="none" w:sz="0" w:space="0" w:color="auto"/>
              </w:divBdr>
              <w:divsChild>
                <w:div w:id="16640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6758">
      <w:bodyDiv w:val="1"/>
      <w:marLeft w:val="0"/>
      <w:marRight w:val="0"/>
      <w:marTop w:val="0"/>
      <w:marBottom w:val="0"/>
      <w:divBdr>
        <w:top w:val="none" w:sz="0" w:space="0" w:color="auto"/>
        <w:left w:val="none" w:sz="0" w:space="0" w:color="auto"/>
        <w:bottom w:val="none" w:sz="0" w:space="0" w:color="auto"/>
        <w:right w:val="none" w:sz="0" w:space="0" w:color="auto"/>
      </w:divBdr>
      <w:divsChild>
        <w:div w:id="1519000318">
          <w:marLeft w:val="0"/>
          <w:marRight w:val="0"/>
          <w:marTop w:val="0"/>
          <w:marBottom w:val="0"/>
          <w:divBdr>
            <w:top w:val="none" w:sz="0" w:space="0" w:color="auto"/>
            <w:left w:val="none" w:sz="0" w:space="0" w:color="auto"/>
            <w:bottom w:val="none" w:sz="0" w:space="0" w:color="auto"/>
            <w:right w:val="none" w:sz="0" w:space="0" w:color="auto"/>
          </w:divBdr>
          <w:divsChild>
            <w:div w:id="1059018080">
              <w:marLeft w:val="0"/>
              <w:marRight w:val="0"/>
              <w:marTop w:val="0"/>
              <w:marBottom w:val="0"/>
              <w:divBdr>
                <w:top w:val="none" w:sz="0" w:space="0" w:color="auto"/>
                <w:left w:val="none" w:sz="0" w:space="0" w:color="auto"/>
                <w:bottom w:val="none" w:sz="0" w:space="0" w:color="auto"/>
                <w:right w:val="none" w:sz="0" w:space="0" w:color="auto"/>
              </w:divBdr>
              <w:divsChild>
                <w:div w:id="1446265725">
                  <w:marLeft w:val="0"/>
                  <w:marRight w:val="0"/>
                  <w:marTop w:val="0"/>
                  <w:marBottom w:val="0"/>
                  <w:divBdr>
                    <w:top w:val="none" w:sz="0" w:space="0" w:color="auto"/>
                    <w:left w:val="none" w:sz="0" w:space="0" w:color="auto"/>
                    <w:bottom w:val="none" w:sz="0" w:space="0" w:color="auto"/>
                    <w:right w:val="none" w:sz="0" w:space="0" w:color="auto"/>
                  </w:divBdr>
                  <w:divsChild>
                    <w:div w:id="14316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539907">
      <w:bodyDiv w:val="1"/>
      <w:marLeft w:val="0"/>
      <w:marRight w:val="0"/>
      <w:marTop w:val="0"/>
      <w:marBottom w:val="0"/>
      <w:divBdr>
        <w:top w:val="none" w:sz="0" w:space="0" w:color="auto"/>
        <w:left w:val="none" w:sz="0" w:space="0" w:color="auto"/>
        <w:bottom w:val="none" w:sz="0" w:space="0" w:color="auto"/>
        <w:right w:val="none" w:sz="0" w:space="0" w:color="auto"/>
      </w:divBdr>
      <w:divsChild>
        <w:div w:id="1177884551">
          <w:marLeft w:val="0"/>
          <w:marRight w:val="0"/>
          <w:marTop w:val="0"/>
          <w:marBottom w:val="0"/>
          <w:divBdr>
            <w:top w:val="none" w:sz="0" w:space="0" w:color="auto"/>
            <w:left w:val="none" w:sz="0" w:space="0" w:color="auto"/>
            <w:bottom w:val="none" w:sz="0" w:space="0" w:color="auto"/>
            <w:right w:val="none" w:sz="0" w:space="0" w:color="auto"/>
          </w:divBdr>
          <w:divsChild>
            <w:div w:id="65997870">
              <w:marLeft w:val="0"/>
              <w:marRight w:val="0"/>
              <w:marTop w:val="0"/>
              <w:marBottom w:val="0"/>
              <w:divBdr>
                <w:top w:val="none" w:sz="0" w:space="0" w:color="auto"/>
                <w:left w:val="none" w:sz="0" w:space="0" w:color="auto"/>
                <w:bottom w:val="none" w:sz="0" w:space="0" w:color="auto"/>
                <w:right w:val="none" w:sz="0" w:space="0" w:color="auto"/>
              </w:divBdr>
              <w:divsChild>
                <w:div w:id="13118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7862">
      <w:bodyDiv w:val="1"/>
      <w:marLeft w:val="0"/>
      <w:marRight w:val="0"/>
      <w:marTop w:val="0"/>
      <w:marBottom w:val="0"/>
      <w:divBdr>
        <w:top w:val="none" w:sz="0" w:space="0" w:color="auto"/>
        <w:left w:val="none" w:sz="0" w:space="0" w:color="auto"/>
        <w:bottom w:val="none" w:sz="0" w:space="0" w:color="auto"/>
        <w:right w:val="none" w:sz="0" w:space="0" w:color="auto"/>
      </w:divBdr>
      <w:divsChild>
        <w:div w:id="595133274">
          <w:marLeft w:val="0"/>
          <w:marRight w:val="0"/>
          <w:marTop w:val="0"/>
          <w:marBottom w:val="0"/>
          <w:divBdr>
            <w:top w:val="none" w:sz="0" w:space="0" w:color="auto"/>
            <w:left w:val="none" w:sz="0" w:space="0" w:color="auto"/>
            <w:bottom w:val="none" w:sz="0" w:space="0" w:color="auto"/>
            <w:right w:val="none" w:sz="0" w:space="0" w:color="auto"/>
          </w:divBdr>
          <w:divsChild>
            <w:div w:id="1899900395">
              <w:marLeft w:val="0"/>
              <w:marRight w:val="0"/>
              <w:marTop w:val="0"/>
              <w:marBottom w:val="0"/>
              <w:divBdr>
                <w:top w:val="none" w:sz="0" w:space="0" w:color="auto"/>
                <w:left w:val="none" w:sz="0" w:space="0" w:color="auto"/>
                <w:bottom w:val="none" w:sz="0" w:space="0" w:color="auto"/>
                <w:right w:val="none" w:sz="0" w:space="0" w:color="auto"/>
              </w:divBdr>
              <w:divsChild>
                <w:div w:id="663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39829">
      <w:bodyDiv w:val="1"/>
      <w:marLeft w:val="0"/>
      <w:marRight w:val="0"/>
      <w:marTop w:val="0"/>
      <w:marBottom w:val="0"/>
      <w:divBdr>
        <w:top w:val="none" w:sz="0" w:space="0" w:color="auto"/>
        <w:left w:val="none" w:sz="0" w:space="0" w:color="auto"/>
        <w:bottom w:val="none" w:sz="0" w:space="0" w:color="auto"/>
        <w:right w:val="none" w:sz="0" w:space="0" w:color="auto"/>
      </w:divBdr>
      <w:divsChild>
        <w:div w:id="117917485">
          <w:marLeft w:val="0"/>
          <w:marRight w:val="0"/>
          <w:marTop w:val="0"/>
          <w:marBottom w:val="0"/>
          <w:divBdr>
            <w:top w:val="none" w:sz="0" w:space="0" w:color="auto"/>
            <w:left w:val="none" w:sz="0" w:space="0" w:color="auto"/>
            <w:bottom w:val="none" w:sz="0" w:space="0" w:color="auto"/>
            <w:right w:val="none" w:sz="0" w:space="0" w:color="auto"/>
          </w:divBdr>
          <w:divsChild>
            <w:div w:id="1916744791">
              <w:marLeft w:val="0"/>
              <w:marRight w:val="0"/>
              <w:marTop w:val="0"/>
              <w:marBottom w:val="0"/>
              <w:divBdr>
                <w:top w:val="none" w:sz="0" w:space="0" w:color="auto"/>
                <w:left w:val="none" w:sz="0" w:space="0" w:color="auto"/>
                <w:bottom w:val="none" w:sz="0" w:space="0" w:color="auto"/>
                <w:right w:val="none" w:sz="0" w:space="0" w:color="auto"/>
              </w:divBdr>
              <w:divsChild>
                <w:div w:id="209612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71763">
      <w:bodyDiv w:val="1"/>
      <w:marLeft w:val="0"/>
      <w:marRight w:val="0"/>
      <w:marTop w:val="0"/>
      <w:marBottom w:val="0"/>
      <w:divBdr>
        <w:top w:val="none" w:sz="0" w:space="0" w:color="auto"/>
        <w:left w:val="none" w:sz="0" w:space="0" w:color="auto"/>
        <w:bottom w:val="none" w:sz="0" w:space="0" w:color="auto"/>
        <w:right w:val="none" w:sz="0" w:space="0" w:color="auto"/>
      </w:divBdr>
      <w:divsChild>
        <w:div w:id="815224804">
          <w:marLeft w:val="274"/>
          <w:marRight w:val="0"/>
          <w:marTop w:val="0"/>
          <w:marBottom w:val="0"/>
          <w:divBdr>
            <w:top w:val="none" w:sz="0" w:space="0" w:color="auto"/>
            <w:left w:val="none" w:sz="0" w:space="0" w:color="auto"/>
            <w:bottom w:val="none" w:sz="0" w:space="0" w:color="auto"/>
            <w:right w:val="none" w:sz="0" w:space="0" w:color="auto"/>
          </w:divBdr>
        </w:div>
        <w:div w:id="689188561">
          <w:marLeft w:val="274"/>
          <w:marRight w:val="0"/>
          <w:marTop w:val="0"/>
          <w:marBottom w:val="0"/>
          <w:divBdr>
            <w:top w:val="none" w:sz="0" w:space="0" w:color="auto"/>
            <w:left w:val="none" w:sz="0" w:space="0" w:color="auto"/>
            <w:bottom w:val="none" w:sz="0" w:space="0" w:color="auto"/>
            <w:right w:val="none" w:sz="0" w:space="0" w:color="auto"/>
          </w:divBdr>
        </w:div>
      </w:divsChild>
    </w:div>
    <w:div w:id="627592395">
      <w:bodyDiv w:val="1"/>
      <w:marLeft w:val="0"/>
      <w:marRight w:val="0"/>
      <w:marTop w:val="0"/>
      <w:marBottom w:val="0"/>
      <w:divBdr>
        <w:top w:val="none" w:sz="0" w:space="0" w:color="auto"/>
        <w:left w:val="none" w:sz="0" w:space="0" w:color="auto"/>
        <w:bottom w:val="none" w:sz="0" w:space="0" w:color="auto"/>
        <w:right w:val="none" w:sz="0" w:space="0" w:color="auto"/>
      </w:divBdr>
    </w:div>
    <w:div w:id="663775301">
      <w:bodyDiv w:val="1"/>
      <w:marLeft w:val="0"/>
      <w:marRight w:val="0"/>
      <w:marTop w:val="0"/>
      <w:marBottom w:val="0"/>
      <w:divBdr>
        <w:top w:val="none" w:sz="0" w:space="0" w:color="auto"/>
        <w:left w:val="none" w:sz="0" w:space="0" w:color="auto"/>
        <w:bottom w:val="none" w:sz="0" w:space="0" w:color="auto"/>
        <w:right w:val="none" w:sz="0" w:space="0" w:color="auto"/>
      </w:divBdr>
      <w:divsChild>
        <w:div w:id="1739091853">
          <w:marLeft w:val="274"/>
          <w:marRight w:val="0"/>
          <w:marTop w:val="0"/>
          <w:marBottom w:val="0"/>
          <w:divBdr>
            <w:top w:val="none" w:sz="0" w:space="0" w:color="auto"/>
            <w:left w:val="none" w:sz="0" w:space="0" w:color="auto"/>
            <w:bottom w:val="none" w:sz="0" w:space="0" w:color="auto"/>
            <w:right w:val="none" w:sz="0" w:space="0" w:color="auto"/>
          </w:divBdr>
        </w:div>
      </w:divsChild>
    </w:div>
    <w:div w:id="772945696">
      <w:bodyDiv w:val="1"/>
      <w:marLeft w:val="0"/>
      <w:marRight w:val="0"/>
      <w:marTop w:val="0"/>
      <w:marBottom w:val="0"/>
      <w:divBdr>
        <w:top w:val="none" w:sz="0" w:space="0" w:color="auto"/>
        <w:left w:val="none" w:sz="0" w:space="0" w:color="auto"/>
        <w:bottom w:val="none" w:sz="0" w:space="0" w:color="auto"/>
        <w:right w:val="none" w:sz="0" w:space="0" w:color="auto"/>
      </w:divBdr>
    </w:div>
    <w:div w:id="844637868">
      <w:bodyDiv w:val="1"/>
      <w:marLeft w:val="0"/>
      <w:marRight w:val="0"/>
      <w:marTop w:val="0"/>
      <w:marBottom w:val="0"/>
      <w:divBdr>
        <w:top w:val="none" w:sz="0" w:space="0" w:color="auto"/>
        <w:left w:val="none" w:sz="0" w:space="0" w:color="auto"/>
        <w:bottom w:val="none" w:sz="0" w:space="0" w:color="auto"/>
        <w:right w:val="none" w:sz="0" w:space="0" w:color="auto"/>
      </w:divBdr>
      <w:divsChild>
        <w:div w:id="885068005">
          <w:marLeft w:val="0"/>
          <w:marRight w:val="0"/>
          <w:marTop w:val="0"/>
          <w:marBottom w:val="0"/>
          <w:divBdr>
            <w:top w:val="none" w:sz="0" w:space="0" w:color="auto"/>
            <w:left w:val="none" w:sz="0" w:space="0" w:color="auto"/>
            <w:bottom w:val="none" w:sz="0" w:space="0" w:color="auto"/>
            <w:right w:val="none" w:sz="0" w:space="0" w:color="auto"/>
          </w:divBdr>
          <w:divsChild>
            <w:div w:id="1240213174">
              <w:marLeft w:val="0"/>
              <w:marRight w:val="0"/>
              <w:marTop w:val="0"/>
              <w:marBottom w:val="0"/>
              <w:divBdr>
                <w:top w:val="none" w:sz="0" w:space="0" w:color="auto"/>
                <w:left w:val="none" w:sz="0" w:space="0" w:color="auto"/>
                <w:bottom w:val="none" w:sz="0" w:space="0" w:color="auto"/>
                <w:right w:val="none" w:sz="0" w:space="0" w:color="auto"/>
              </w:divBdr>
              <w:divsChild>
                <w:div w:id="1100298166">
                  <w:marLeft w:val="0"/>
                  <w:marRight w:val="0"/>
                  <w:marTop w:val="0"/>
                  <w:marBottom w:val="0"/>
                  <w:divBdr>
                    <w:top w:val="none" w:sz="0" w:space="0" w:color="auto"/>
                    <w:left w:val="none" w:sz="0" w:space="0" w:color="auto"/>
                    <w:bottom w:val="none" w:sz="0" w:space="0" w:color="auto"/>
                    <w:right w:val="none" w:sz="0" w:space="0" w:color="auto"/>
                  </w:divBdr>
                  <w:divsChild>
                    <w:div w:id="18257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0396">
      <w:bodyDiv w:val="1"/>
      <w:marLeft w:val="0"/>
      <w:marRight w:val="0"/>
      <w:marTop w:val="0"/>
      <w:marBottom w:val="0"/>
      <w:divBdr>
        <w:top w:val="none" w:sz="0" w:space="0" w:color="auto"/>
        <w:left w:val="none" w:sz="0" w:space="0" w:color="auto"/>
        <w:bottom w:val="none" w:sz="0" w:space="0" w:color="auto"/>
        <w:right w:val="none" w:sz="0" w:space="0" w:color="auto"/>
      </w:divBdr>
      <w:divsChild>
        <w:div w:id="607853748">
          <w:marLeft w:val="0"/>
          <w:marRight w:val="0"/>
          <w:marTop w:val="0"/>
          <w:marBottom w:val="0"/>
          <w:divBdr>
            <w:top w:val="none" w:sz="0" w:space="0" w:color="auto"/>
            <w:left w:val="none" w:sz="0" w:space="0" w:color="auto"/>
            <w:bottom w:val="none" w:sz="0" w:space="0" w:color="auto"/>
            <w:right w:val="none" w:sz="0" w:space="0" w:color="auto"/>
          </w:divBdr>
          <w:divsChild>
            <w:div w:id="865942723">
              <w:marLeft w:val="0"/>
              <w:marRight w:val="0"/>
              <w:marTop w:val="0"/>
              <w:marBottom w:val="0"/>
              <w:divBdr>
                <w:top w:val="none" w:sz="0" w:space="0" w:color="auto"/>
                <w:left w:val="none" w:sz="0" w:space="0" w:color="auto"/>
                <w:bottom w:val="none" w:sz="0" w:space="0" w:color="auto"/>
                <w:right w:val="none" w:sz="0" w:space="0" w:color="auto"/>
              </w:divBdr>
              <w:divsChild>
                <w:div w:id="1577938096">
                  <w:marLeft w:val="0"/>
                  <w:marRight w:val="0"/>
                  <w:marTop w:val="0"/>
                  <w:marBottom w:val="0"/>
                  <w:divBdr>
                    <w:top w:val="none" w:sz="0" w:space="0" w:color="auto"/>
                    <w:left w:val="none" w:sz="0" w:space="0" w:color="auto"/>
                    <w:bottom w:val="none" w:sz="0" w:space="0" w:color="auto"/>
                    <w:right w:val="none" w:sz="0" w:space="0" w:color="auto"/>
                  </w:divBdr>
                  <w:divsChild>
                    <w:div w:id="1731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469921">
      <w:bodyDiv w:val="1"/>
      <w:marLeft w:val="0"/>
      <w:marRight w:val="0"/>
      <w:marTop w:val="0"/>
      <w:marBottom w:val="0"/>
      <w:divBdr>
        <w:top w:val="none" w:sz="0" w:space="0" w:color="auto"/>
        <w:left w:val="none" w:sz="0" w:space="0" w:color="auto"/>
        <w:bottom w:val="none" w:sz="0" w:space="0" w:color="auto"/>
        <w:right w:val="none" w:sz="0" w:space="0" w:color="auto"/>
      </w:divBdr>
      <w:divsChild>
        <w:div w:id="1370643777">
          <w:marLeft w:val="0"/>
          <w:marRight w:val="0"/>
          <w:marTop w:val="0"/>
          <w:marBottom w:val="0"/>
          <w:divBdr>
            <w:top w:val="none" w:sz="0" w:space="0" w:color="auto"/>
            <w:left w:val="none" w:sz="0" w:space="0" w:color="auto"/>
            <w:bottom w:val="none" w:sz="0" w:space="0" w:color="auto"/>
            <w:right w:val="none" w:sz="0" w:space="0" w:color="auto"/>
          </w:divBdr>
          <w:divsChild>
            <w:div w:id="175652910">
              <w:marLeft w:val="0"/>
              <w:marRight w:val="0"/>
              <w:marTop w:val="0"/>
              <w:marBottom w:val="0"/>
              <w:divBdr>
                <w:top w:val="none" w:sz="0" w:space="0" w:color="auto"/>
                <w:left w:val="none" w:sz="0" w:space="0" w:color="auto"/>
                <w:bottom w:val="none" w:sz="0" w:space="0" w:color="auto"/>
                <w:right w:val="none" w:sz="0" w:space="0" w:color="auto"/>
              </w:divBdr>
              <w:divsChild>
                <w:div w:id="380253041">
                  <w:marLeft w:val="0"/>
                  <w:marRight w:val="0"/>
                  <w:marTop w:val="0"/>
                  <w:marBottom w:val="0"/>
                  <w:divBdr>
                    <w:top w:val="none" w:sz="0" w:space="0" w:color="auto"/>
                    <w:left w:val="none" w:sz="0" w:space="0" w:color="auto"/>
                    <w:bottom w:val="none" w:sz="0" w:space="0" w:color="auto"/>
                    <w:right w:val="none" w:sz="0" w:space="0" w:color="auto"/>
                  </w:divBdr>
                </w:div>
              </w:divsChild>
            </w:div>
            <w:div w:id="1393037294">
              <w:marLeft w:val="0"/>
              <w:marRight w:val="0"/>
              <w:marTop w:val="0"/>
              <w:marBottom w:val="0"/>
              <w:divBdr>
                <w:top w:val="none" w:sz="0" w:space="0" w:color="auto"/>
                <w:left w:val="none" w:sz="0" w:space="0" w:color="auto"/>
                <w:bottom w:val="none" w:sz="0" w:space="0" w:color="auto"/>
                <w:right w:val="none" w:sz="0" w:space="0" w:color="auto"/>
              </w:divBdr>
              <w:divsChild>
                <w:div w:id="998196825">
                  <w:marLeft w:val="0"/>
                  <w:marRight w:val="0"/>
                  <w:marTop w:val="0"/>
                  <w:marBottom w:val="0"/>
                  <w:divBdr>
                    <w:top w:val="none" w:sz="0" w:space="0" w:color="auto"/>
                    <w:left w:val="none" w:sz="0" w:space="0" w:color="auto"/>
                    <w:bottom w:val="none" w:sz="0" w:space="0" w:color="auto"/>
                    <w:right w:val="none" w:sz="0" w:space="0" w:color="auto"/>
                  </w:divBdr>
                </w:div>
              </w:divsChild>
            </w:div>
            <w:div w:id="214851513">
              <w:marLeft w:val="0"/>
              <w:marRight w:val="0"/>
              <w:marTop w:val="0"/>
              <w:marBottom w:val="0"/>
              <w:divBdr>
                <w:top w:val="none" w:sz="0" w:space="0" w:color="auto"/>
                <w:left w:val="none" w:sz="0" w:space="0" w:color="auto"/>
                <w:bottom w:val="none" w:sz="0" w:space="0" w:color="auto"/>
                <w:right w:val="none" w:sz="0" w:space="0" w:color="auto"/>
              </w:divBdr>
              <w:divsChild>
                <w:div w:id="11458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2960">
      <w:bodyDiv w:val="1"/>
      <w:marLeft w:val="0"/>
      <w:marRight w:val="0"/>
      <w:marTop w:val="0"/>
      <w:marBottom w:val="0"/>
      <w:divBdr>
        <w:top w:val="none" w:sz="0" w:space="0" w:color="auto"/>
        <w:left w:val="none" w:sz="0" w:space="0" w:color="auto"/>
        <w:bottom w:val="none" w:sz="0" w:space="0" w:color="auto"/>
        <w:right w:val="none" w:sz="0" w:space="0" w:color="auto"/>
      </w:divBdr>
    </w:div>
    <w:div w:id="1064372783">
      <w:bodyDiv w:val="1"/>
      <w:marLeft w:val="0"/>
      <w:marRight w:val="0"/>
      <w:marTop w:val="0"/>
      <w:marBottom w:val="0"/>
      <w:divBdr>
        <w:top w:val="none" w:sz="0" w:space="0" w:color="auto"/>
        <w:left w:val="none" w:sz="0" w:space="0" w:color="auto"/>
        <w:bottom w:val="none" w:sz="0" w:space="0" w:color="auto"/>
        <w:right w:val="none" w:sz="0" w:space="0" w:color="auto"/>
      </w:divBdr>
      <w:divsChild>
        <w:div w:id="1580673376">
          <w:marLeft w:val="274"/>
          <w:marRight w:val="0"/>
          <w:marTop w:val="0"/>
          <w:marBottom w:val="0"/>
          <w:divBdr>
            <w:top w:val="none" w:sz="0" w:space="0" w:color="auto"/>
            <w:left w:val="none" w:sz="0" w:space="0" w:color="auto"/>
            <w:bottom w:val="none" w:sz="0" w:space="0" w:color="auto"/>
            <w:right w:val="none" w:sz="0" w:space="0" w:color="auto"/>
          </w:divBdr>
        </w:div>
        <w:div w:id="1546214349">
          <w:marLeft w:val="274"/>
          <w:marRight w:val="0"/>
          <w:marTop w:val="0"/>
          <w:marBottom w:val="0"/>
          <w:divBdr>
            <w:top w:val="none" w:sz="0" w:space="0" w:color="auto"/>
            <w:left w:val="none" w:sz="0" w:space="0" w:color="auto"/>
            <w:bottom w:val="none" w:sz="0" w:space="0" w:color="auto"/>
            <w:right w:val="none" w:sz="0" w:space="0" w:color="auto"/>
          </w:divBdr>
        </w:div>
        <w:div w:id="669991402">
          <w:marLeft w:val="274"/>
          <w:marRight w:val="0"/>
          <w:marTop w:val="0"/>
          <w:marBottom w:val="0"/>
          <w:divBdr>
            <w:top w:val="none" w:sz="0" w:space="0" w:color="auto"/>
            <w:left w:val="none" w:sz="0" w:space="0" w:color="auto"/>
            <w:bottom w:val="none" w:sz="0" w:space="0" w:color="auto"/>
            <w:right w:val="none" w:sz="0" w:space="0" w:color="auto"/>
          </w:divBdr>
        </w:div>
        <w:div w:id="1689671330">
          <w:marLeft w:val="274"/>
          <w:marRight w:val="0"/>
          <w:marTop w:val="0"/>
          <w:marBottom w:val="0"/>
          <w:divBdr>
            <w:top w:val="none" w:sz="0" w:space="0" w:color="auto"/>
            <w:left w:val="none" w:sz="0" w:space="0" w:color="auto"/>
            <w:bottom w:val="none" w:sz="0" w:space="0" w:color="auto"/>
            <w:right w:val="none" w:sz="0" w:space="0" w:color="auto"/>
          </w:divBdr>
        </w:div>
        <w:div w:id="1419525706">
          <w:marLeft w:val="274"/>
          <w:marRight w:val="0"/>
          <w:marTop w:val="0"/>
          <w:marBottom w:val="0"/>
          <w:divBdr>
            <w:top w:val="none" w:sz="0" w:space="0" w:color="auto"/>
            <w:left w:val="none" w:sz="0" w:space="0" w:color="auto"/>
            <w:bottom w:val="none" w:sz="0" w:space="0" w:color="auto"/>
            <w:right w:val="none" w:sz="0" w:space="0" w:color="auto"/>
          </w:divBdr>
        </w:div>
      </w:divsChild>
    </w:div>
    <w:div w:id="1182864331">
      <w:bodyDiv w:val="1"/>
      <w:marLeft w:val="0"/>
      <w:marRight w:val="0"/>
      <w:marTop w:val="0"/>
      <w:marBottom w:val="0"/>
      <w:divBdr>
        <w:top w:val="none" w:sz="0" w:space="0" w:color="auto"/>
        <w:left w:val="none" w:sz="0" w:space="0" w:color="auto"/>
        <w:bottom w:val="none" w:sz="0" w:space="0" w:color="auto"/>
        <w:right w:val="none" w:sz="0" w:space="0" w:color="auto"/>
      </w:divBdr>
    </w:div>
    <w:div w:id="1184171493">
      <w:bodyDiv w:val="1"/>
      <w:marLeft w:val="0"/>
      <w:marRight w:val="0"/>
      <w:marTop w:val="0"/>
      <w:marBottom w:val="0"/>
      <w:divBdr>
        <w:top w:val="none" w:sz="0" w:space="0" w:color="auto"/>
        <w:left w:val="none" w:sz="0" w:space="0" w:color="auto"/>
        <w:bottom w:val="none" w:sz="0" w:space="0" w:color="auto"/>
        <w:right w:val="none" w:sz="0" w:space="0" w:color="auto"/>
      </w:divBdr>
    </w:div>
    <w:div w:id="1421562139">
      <w:bodyDiv w:val="1"/>
      <w:marLeft w:val="0"/>
      <w:marRight w:val="0"/>
      <w:marTop w:val="0"/>
      <w:marBottom w:val="0"/>
      <w:divBdr>
        <w:top w:val="none" w:sz="0" w:space="0" w:color="auto"/>
        <w:left w:val="none" w:sz="0" w:space="0" w:color="auto"/>
        <w:bottom w:val="none" w:sz="0" w:space="0" w:color="auto"/>
        <w:right w:val="none" w:sz="0" w:space="0" w:color="auto"/>
      </w:divBdr>
      <w:divsChild>
        <w:div w:id="30039015">
          <w:marLeft w:val="0"/>
          <w:marRight w:val="0"/>
          <w:marTop w:val="0"/>
          <w:marBottom w:val="0"/>
          <w:divBdr>
            <w:top w:val="none" w:sz="0" w:space="0" w:color="auto"/>
            <w:left w:val="none" w:sz="0" w:space="0" w:color="auto"/>
            <w:bottom w:val="none" w:sz="0" w:space="0" w:color="auto"/>
            <w:right w:val="none" w:sz="0" w:space="0" w:color="auto"/>
          </w:divBdr>
          <w:divsChild>
            <w:div w:id="1307666870">
              <w:marLeft w:val="0"/>
              <w:marRight w:val="0"/>
              <w:marTop w:val="0"/>
              <w:marBottom w:val="0"/>
              <w:divBdr>
                <w:top w:val="none" w:sz="0" w:space="0" w:color="auto"/>
                <w:left w:val="none" w:sz="0" w:space="0" w:color="auto"/>
                <w:bottom w:val="none" w:sz="0" w:space="0" w:color="auto"/>
                <w:right w:val="none" w:sz="0" w:space="0" w:color="auto"/>
              </w:divBdr>
              <w:divsChild>
                <w:div w:id="1970208870">
                  <w:marLeft w:val="0"/>
                  <w:marRight w:val="0"/>
                  <w:marTop w:val="0"/>
                  <w:marBottom w:val="0"/>
                  <w:divBdr>
                    <w:top w:val="none" w:sz="0" w:space="0" w:color="auto"/>
                    <w:left w:val="none" w:sz="0" w:space="0" w:color="auto"/>
                    <w:bottom w:val="none" w:sz="0" w:space="0" w:color="auto"/>
                    <w:right w:val="none" w:sz="0" w:space="0" w:color="auto"/>
                  </w:divBdr>
                  <w:divsChild>
                    <w:div w:id="9797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16839">
      <w:bodyDiv w:val="1"/>
      <w:marLeft w:val="0"/>
      <w:marRight w:val="0"/>
      <w:marTop w:val="0"/>
      <w:marBottom w:val="0"/>
      <w:divBdr>
        <w:top w:val="none" w:sz="0" w:space="0" w:color="auto"/>
        <w:left w:val="none" w:sz="0" w:space="0" w:color="auto"/>
        <w:bottom w:val="none" w:sz="0" w:space="0" w:color="auto"/>
        <w:right w:val="none" w:sz="0" w:space="0" w:color="auto"/>
      </w:divBdr>
      <w:divsChild>
        <w:div w:id="1099788465">
          <w:marLeft w:val="0"/>
          <w:marRight w:val="0"/>
          <w:marTop w:val="0"/>
          <w:marBottom w:val="0"/>
          <w:divBdr>
            <w:top w:val="none" w:sz="0" w:space="0" w:color="auto"/>
            <w:left w:val="none" w:sz="0" w:space="0" w:color="auto"/>
            <w:bottom w:val="none" w:sz="0" w:space="0" w:color="auto"/>
            <w:right w:val="none" w:sz="0" w:space="0" w:color="auto"/>
          </w:divBdr>
          <w:divsChild>
            <w:div w:id="1538084762">
              <w:marLeft w:val="0"/>
              <w:marRight w:val="0"/>
              <w:marTop w:val="0"/>
              <w:marBottom w:val="0"/>
              <w:divBdr>
                <w:top w:val="none" w:sz="0" w:space="0" w:color="auto"/>
                <w:left w:val="none" w:sz="0" w:space="0" w:color="auto"/>
                <w:bottom w:val="none" w:sz="0" w:space="0" w:color="auto"/>
                <w:right w:val="none" w:sz="0" w:space="0" w:color="auto"/>
              </w:divBdr>
              <w:divsChild>
                <w:div w:id="1486970035">
                  <w:marLeft w:val="0"/>
                  <w:marRight w:val="0"/>
                  <w:marTop w:val="0"/>
                  <w:marBottom w:val="0"/>
                  <w:divBdr>
                    <w:top w:val="none" w:sz="0" w:space="0" w:color="auto"/>
                    <w:left w:val="none" w:sz="0" w:space="0" w:color="auto"/>
                    <w:bottom w:val="none" w:sz="0" w:space="0" w:color="auto"/>
                    <w:right w:val="none" w:sz="0" w:space="0" w:color="auto"/>
                  </w:divBdr>
                </w:div>
              </w:divsChild>
            </w:div>
            <w:div w:id="1093011619">
              <w:marLeft w:val="0"/>
              <w:marRight w:val="0"/>
              <w:marTop w:val="0"/>
              <w:marBottom w:val="0"/>
              <w:divBdr>
                <w:top w:val="none" w:sz="0" w:space="0" w:color="auto"/>
                <w:left w:val="none" w:sz="0" w:space="0" w:color="auto"/>
                <w:bottom w:val="none" w:sz="0" w:space="0" w:color="auto"/>
                <w:right w:val="none" w:sz="0" w:space="0" w:color="auto"/>
              </w:divBdr>
              <w:divsChild>
                <w:div w:id="1968780126">
                  <w:marLeft w:val="0"/>
                  <w:marRight w:val="0"/>
                  <w:marTop w:val="0"/>
                  <w:marBottom w:val="0"/>
                  <w:divBdr>
                    <w:top w:val="none" w:sz="0" w:space="0" w:color="auto"/>
                    <w:left w:val="none" w:sz="0" w:space="0" w:color="auto"/>
                    <w:bottom w:val="none" w:sz="0" w:space="0" w:color="auto"/>
                    <w:right w:val="none" w:sz="0" w:space="0" w:color="auto"/>
                  </w:divBdr>
                </w:div>
              </w:divsChild>
            </w:div>
            <w:div w:id="1205408598">
              <w:marLeft w:val="0"/>
              <w:marRight w:val="0"/>
              <w:marTop w:val="0"/>
              <w:marBottom w:val="0"/>
              <w:divBdr>
                <w:top w:val="none" w:sz="0" w:space="0" w:color="auto"/>
                <w:left w:val="none" w:sz="0" w:space="0" w:color="auto"/>
                <w:bottom w:val="none" w:sz="0" w:space="0" w:color="auto"/>
                <w:right w:val="none" w:sz="0" w:space="0" w:color="auto"/>
              </w:divBdr>
              <w:divsChild>
                <w:div w:id="1704985715">
                  <w:marLeft w:val="0"/>
                  <w:marRight w:val="0"/>
                  <w:marTop w:val="0"/>
                  <w:marBottom w:val="0"/>
                  <w:divBdr>
                    <w:top w:val="none" w:sz="0" w:space="0" w:color="auto"/>
                    <w:left w:val="none" w:sz="0" w:space="0" w:color="auto"/>
                    <w:bottom w:val="none" w:sz="0" w:space="0" w:color="auto"/>
                    <w:right w:val="none" w:sz="0" w:space="0" w:color="auto"/>
                  </w:divBdr>
                </w:div>
              </w:divsChild>
            </w:div>
            <w:div w:id="325667931">
              <w:marLeft w:val="0"/>
              <w:marRight w:val="0"/>
              <w:marTop w:val="0"/>
              <w:marBottom w:val="0"/>
              <w:divBdr>
                <w:top w:val="none" w:sz="0" w:space="0" w:color="auto"/>
                <w:left w:val="none" w:sz="0" w:space="0" w:color="auto"/>
                <w:bottom w:val="none" w:sz="0" w:space="0" w:color="auto"/>
                <w:right w:val="none" w:sz="0" w:space="0" w:color="auto"/>
              </w:divBdr>
              <w:divsChild>
                <w:div w:id="43911850">
                  <w:marLeft w:val="0"/>
                  <w:marRight w:val="0"/>
                  <w:marTop w:val="0"/>
                  <w:marBottom w:val="0"/>
                  <w:divBdr>
                    <w:top w:val="none" w:sz="0" w:space="0" w:color="auto"/>
                    <w:left w:val="none" w:sz="0" w:space="0" w:color="auto"/>
                    <w:bottom w:val="none" w:sz="0" w:space="0" w:color="auto"/>
                    <w:right w:val="none" w:sz="0" w:space="0" w:color="auto"/>
                  </w:divBdr>
                </w:div>
                <w:div w:id="357394103">
                  <w:marLeft w:val="0"/>
                  <w:marRight w:val="0"/>
                  <w:marTop w:val="0"/>
                  <w:marBottom w:val="0"/>
                  <w:divBdr>
                    <w:top w:val="none" w:sz="0" w:space="0" w:color="auto"/>
                    <w:left w:val="none" w:sz="0" w:space="0" w:color="auto"/>
                    <w:bottom w:val="none" w:sz="0" w:space="0" w:color="auto"/>
                    <w:right w:val="none" w:sz="0" w:space="0" w:color="auto"/>
                  </w:divBdr>
                </w:div>
              </w:divsChild>
            </w:div>
            <w:div w:id="125903444">
              <w:marLeft w:val="0"/>
              <w:marRight w:val="0"/>
              <w:marTop w:val="0"/>
              <w:marBottom w:val="0"/>
              <w:divBdr>
                <w:top w:val="none" w:sz="0" w:space="0" w:color="auto"/>
                <w:left w:val="none" w:sz="0" w:space="0" w:color="auto"/>
                <w:bottom w:val="none" w:sz="0" w:space="0" w:color="auto"/>
                <w:right w:val="none" w:sz="0" w:space="0" w:color="auto"/>
              </w:divBdr>
              <w:divsChild>
                <w:div w:id="1594508623">
                  <w:marLeft w:val="0"/>
                  <w:marRight w:val="0"/>
                  <w:marTop w:val="0"/>
                  <w:marBottom w:val="0"/>
                  <w:divBdr>
                    <w:top w:val="none" w:sz="0" w:space="0" w:color="auto"/>
                    <w:left w:val="none" w:sz="0" w:space="0" w:color="auto"/>
                    <w:bottom w:val="none" w:sz="0" w:space="0" w:color="auto"/>
                    <w:right w:val="none" w:sz="0" w:space="0" w:color="auto"/>
                  </w:divBdr>
                </w:div>
              </w:divsChild>
            </w:div>
            <w:div w:id="1598127820">
              <w:marLeft w:val="0"/>
              <w:marRight w:val="0"/>
              <w:marTop w:val="0"/>
              <w:marBottom w:val="0"/>
              <w:divBdr>
                <w:top w:val="none" w:sz="0" w:space="0" w:color="auto"/>
                <w:left w:val="none" w:sz="0" w:space="0" w:color="auto"/>
                <w:bottom w:val="none" w:sz="0" w:space="0" w:color="auto"/>
                <w:right w:val="none" w:sz="0" w:space="0" w:color="auto"/>
              </w:divBdr>
              <w:divsChild>
                <w:div w:id="2054032914">
                  <w:marLeft w:val="0"/>
                  <w:marRight w:val="0"/>
                  <w:marTop w:val="0"/>
                  <w:marBottom w:val="0"/>
                  <w:divBdr>
                    <w:top w:val="none" w:sz="0" w:space="0" w:color="auto"/>
                    <w:left w:val="none" w:sz="0" w:space="0" w:color="auto"/>
                    <w:bottom w:val="none" w:sz="0" w:space="0" w:color="auto"/>
                    <w:right w:val="none" w:sz="0" w:space="0" w:color="auto"/>
                  </w:divBdr>
                </w:div>
              </w:divsChild>
            </w:div>
            <w:div w:id="1445535242">
              <w:marLeft w:val="0"/>
              <w:marRight w:val="0"/>
              <w:marTop w:val="0"/>
              <w:marBottom w:val="0"/>
              <w:divBdr>
                <w:top w:val="none" w:sz="0" w:space="0" w:color="auto"/>
                <w:left w:val="none" w:sz="0" w:space="0" w:color="auto"/>
                <w:bottom w:val="none" w:sz="0" w:space="0" w:color="auto"/>
                <w:right w:val="none" w:sz="0" w:space="0" w:color="auto"/>
              </w:divBdr>
              <w:divsChild>
                <w:div w:id="224336650">
                  <w:marLeft w:val="0"/>
                  <w:marRight w:val="0"/>
                  <w:marTop w:val="0"/>
                  <w:marBottom w:val="0"/>
                  <w:divBdr>
                    <w:top w:val="none" w:sz="0" w:space="0" w:color="auto"/>
                    <w:left w:val="none" w:sz="0" w:space="0" w:color="auto"/>
                    <w:bottom w:val="none" w:sz="0" w:space="0" w:color="auto"/>
                    <w:right w:val="none" w:sz="0" w:space="0" w:color="auto"/>
                  </w:divBdr>
                </w:div>
              </w:divsChild>
            </w:div>
            <w:div w:id="2074237284">
              <w:marLeft w:val="0"/>
              <w:marRight w:val="0"/>
              <w:marTop w:val="0"/>
              <w:marBottom w:val="0"/>
              <w:divBdr>
                <w:top w:val="none" w:sz="0" w:space="0" w:color="auto"/>
                <w:left w:val="none" w:sz="0" w:space="0" w:color="auto"/>
                <w:bottom w:val="none" w:sz="0" w:space="0" w:color="auto"/>
                <w:right w:val="none" w:sz="0" w:space="0" w:color="auto"/>
              </w:divBdr>
              <w:divsChild>
                <w:div w:id="2042124427">
                  <w:marLeft w:val="0"/>
                  <w:marRight w:val="0"/>
                  <w:marTop w:val="0"/>
                  <w:marBottom w:val="0"/>
                  <w:divBdr>
                    <w:top w:val="none" w:sz="0" w:space="0" w:color="auto"/>
                    <w:left w:val="none" w:sz="0" w:space="0" w:color="auto"/>
                    <w:bottom w:val="none" w:sz="0" w:space="0" w:color="auto"/>
                    <w:right w:val="none" w:sz="0" w:space="0" w:color="auto"/>
                  </w:divBdr>
                </w:div>
              </w:divsChild>
            </w:div>
            <w:div w:id="782573322">
              <w:marLeft w:val="0"/>
              <w:marRight w:val="0"/>
              <w:marTop w:val="0"/>
              <w:marBottom w:val="0"/>
              <w:divBdr>
                <w:top w:val="none" w:sz="0" w:space="0" w:color="auto"/>
                <w:left w:val="none" w:sz="0" w:space="0" w:color="auto"/>
                <w:bottom w:val="none" w:sz="0" w:space="0" w:color="auto"/>
                <w:right w:val="none" w:sz="0" w:space="0" w:color="auto"/>
              </w:divBdr>
              <w:divsChild>
                <w:div w:id="228930094">
                  <w:marLeft w:val="0"/>
                  <w:marRight w:val="0"/>
                  <w:marTop w:val="0"/>
                  <w:marBottom w:val="0"/>
                  <w:divBdr>
                    <w:top w:val="none" w:sz="0" w:space="0" w:color="auto"/>
                    <w:left w:val="none" w:sz="0" w:space="0" w:color="auto"/>
                    <w:bottom w:val="none" w:sz="0" w:space="0" w:color="auto"/>
                    <w:right w:val="none" w:sz="0" w:space="0" w:color="auto"/>
                  </w:divBdr>
                </w:div>
              </w:divsChild>
            </w:div>
            <w:div w:id="32392608">
              <w:marLeft w:val="0"/>
              <w:marRight w:val="0"/>
              <w:marTop w:val="0"/>
              <w:marBottom w:val="0"/>
              <w:divBdr>
                <w:top w:val="none" w:sz="0" w:space="0" w:color="auto"/>
                <w:left w:val="none" w:sz="0" w:space="0" w:color="auto"/>
                <w:bottom w:val="none" w:sz="0" w:space="0" w:color="auto"/>
                <w:right w:val="none" w:sz="0" w:space="0" w:color="auto"/>
              </w:divBdr>
              <w:divsChild>
                <w:div w:id="1309048307">
                  <w:marLeft w:val="0"/>
                  <w:marRight w:val="0"/>
                  <w:marTop w:val="0"/>
                  <w:marBottom w:val="0"/>
                  <w:divBdr>
                    <w:top w:val="none" w:sz="0" w:space="0" w:color="auto"/>
                    <w:left w:val="none" w:sz="0" w:space="0" w:color="auto"/>
                    <w:bottom w:val="none" w:sz="0" w:space="0" w:color="auto"/>
                    <w:right w:val="none" w:sz="0" w:space="0" w:color="auto"/>
                  </w:divBdr>
                </w:div>
              </w:divsChild>
            </w:div>
            <w:div w:id="1783181850">
              <w:marLeft w:val="0"/>
              <w:marRight w:val="0"/>
              <w:marTop w:val="0"/>
              <w:marBottom w:val="0"/>
              <w:divBdr>
                <w:top w:val="none" w:sz="0" w:space="0" w:color="auto"/>
                <w:left w:val="none" w:sz="0" w:space="0" w:color="auto"/>
                <w:bottom w:val="none" w:sz="0" w:space="0" w:color="auto"/>
                <w:right w:val="none" w:sz="0" w:space="0" w:color="auto"/>
              </w:divBdr>
              <w:divsChild>
                <w:div w:id="552696376">
                  <w:marLeft w:val="0"/>
                  <w:marRight w:val="0"/>
                  <w:marTop w:val="0"/>
                  <w:marBottom w:val="0"/>
                  <w:divBdr>
                    <w:top w:val="none" w:sz="0" w:space="0" w:color="auto"/>
                    <w:left w:val="none" w:sz="0" w:space="0" w:color="auto"/>
                    <w:bottom w:val="none" w:sz="0" w:space="0" w:color="auto"/>
                    <w:right w:val="none" w:sz="0" w:space="0" w:color="auto"/>
                  </w:divBdr>
                </w:div>
              </w:divsChild>
            </w:div>
            <w:div w:id="1824008297">
              <w:marLeft w:val="0"/>
              <w:marRight w:val="0"/>
              <w:marTop w:val="0"/>
              <w:marBottom w:val="0"/>
              <w:divBdr>
                <w:top w:val="none" w:sz="0" w:space="0" w:color="auto"/>
                <w:left w:val="none" w:sz="0" w:space="0" w:color="auto"/>
                <w:bottom w:val="none" w:sz="0" w:space="0" w:color="auto"/>
                <w:right w:val="none" w:sz="0" w:space="0" w:color="auto"/>
              </w:divBdr>
              <w:divsChild>
                <w:div w:id="1784616921">
                  <w:marLeft w:val="0"/>
                  <w:marRight w:val="0"/>
                  <w:marTop w:val="0"/>
                  <w:marBottom w:val="0"/>
                  <w:divBdr>
                    <w:top w:val="none" w:sz="0" w:space="0" w:color="auto"/>
                    <w:left w:val="none" w:sz="0" w:space="0" w:color="auto"/>
                    <w:bottom w:val="none" w:sz="0" w:space="0" w:color="auto"/>
                    <w:right w:val="none" w:sz="0" w:space="0" w:color="auto"/>
                  </w:divBdr>
                </w:div>
              </w:divsChild>
            </w:div>
            <w:div w:id="259919356">
              <w:marLeft w:val="0"/>
              <w:marRight w:val="0"/>
              <w:marTop w:val="0"/>
              <w:marBottom w:val="0"/>
              <w:divBdr>
                <w:top w:val="none" w:sz="0" w:space="0" w:color="auto"/>
                <w:left w:val="none" w:sz="0" w:space="0" w:color="auto"/>
                <w:bottom w:val="none" w:sz="0" w:space="0" w:color="auto"/>
                <w:right w:val="none" w:sz="0" w:space="0" w:color="auto"/>
              </w:divBdr>
              <w:divsChild>
                <w:div w:id="1442145761">
                  <w:marLeft w:val="0"/>
                  <w:marRight w:val="0"/>
                  <w:marTop w:val="0"/>
                  <w:marBottom w:val="0"/>
                  <w:divBdr>
                    <w:top w:val="none" w:sz="0" w:space="0" w:color="auto"/>
                    <w:left w:val="none" w:sz="0" w:space="0" w:color="auto"/>
                    <w:bottom w:val="none" w:sz="0" w:space="0" w:color="auto"/>
                    <w:right w:val="none" w:sz="0" w:space="0" w:color="auto"/>
                  </w:divBdr>
                </w:div>
              </w:divsChild>
            </w:div>
            <w:div w:id="483669006">
              <w:marLeft w:val="0"/>
              <w:marRight w:val="0"/>
              <w:marTop w:val="0"/>
              <w:marBottom w:val="0"/>
              <w:divBdr>
                <w:top w:val="none" w:sz="0" w:space="0" w:color="auto"/>
                <w:left w:val="none" w:sz="0" w:space="0" w:color="auto"/>
                <w:bottom w:val="none" w:sz="0" w:space="0" w:color="auto"/>
                <w:right w:val="none" w:sz="0" w:space="0" w:color="auto"/>
              </w:divBdr>
              <w:divsChild>
                <w:div w:id="225990553">
                  <w:marLeft w:val="0"/>
                  <w:marRight w:val="0"/>
                  <w:marTop w:val="0"/>
                  <w:marBottom w:val="0"/>
                  <w:divBdr>
                    <w:top w:val="none" w:sz="0" w:space="0" w:color="auto"/>
                    <w:left w:val="none" w:sz="0" w:space="0" w:color="auto"/>
                    <w:bottom w:val="none" w:sz="0" w:space="0" w:color="auto"/>
                    <w:right w:val="none" w:sz="0" w:space="0" w:color="auto"/>
                  </w:divBdr>
                </w:div>
              </w:divsChild>
            </w:div>
            <w:div w:id="831063984">
              <w:marLeft w:val="0"/>
              <w:marRight w:val="0"/>
              <w:marTop w:val="0"/>
              <w:marBottom w:val="0"/>
              <w:divBdr>
                <w:top w:val="none" w:sz="0" w:space="0" w:color="auto"/>
                <w:left w:val="none" w:sz="0" w:space="0" w:color="auto"/>
                <w:bottom w:val="none" w:sz="0" w:space="0" w:color="auto"/>
                <w:right w:val="none" w:sz="0" w:space="0" w:color="auto"/>
              </w:divBdr>
              <w:divsChild>
                <w:div w:id="6447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972">
      <w:bodyDiv w:val="1"/>
      <w:marLeft w:val="0"/>
      <w:marRight w:val="0"/>
      <w:marTop w:val="0"/>
      <w:marBottom w:val="0"/>
      <w:divBdr>
        <w:top w:val="none" w:sz="0" w:space="0" w:color="auto"/>
        <w:left w:val="none" w:sz="0" w:space="0" w:color="auto"/>
        <w:bottom w:val="none" w:sz="0" w:space="0" w:color="auto"/>
        <w:right w:val="none" w:sz="0" w:space="0" w:color="auto"/>
      </w:divBdr>
      <w:divsChild>
        <w:div w:id="1743332300">
          <w:marLeft w:val="0"/>
          <w:marRight w:val="0"/>
          <w:marTop w:val="0"/>
          <w:marBottom w:val="0"/>
          <w:divBdr>
            <w:top w:val="none" w:sz="0" w:space="0" w:color="auto"/>
            <w:left w:val="none" w:sz="0" w:space="0" w:color="auto"/>
            <w:bottom w:val="none" w:sz="0" w:space="0" w:color="auto"/>
            <w:right w:val="none" w:sz="0" w:space="0" w:color="auto"/>
          </w:divBdr>
          <w:divsChild>
            <w:div w:id="1847011163">
              <w:marLeft w:val="0"/>
              <w:marRight w:val="0"/>
              <w:marTop w:val="0"/>
              <w:marBottom w:val="0"/>
              <w:divBdr>
                <w:top w:val="none" w:sz="0" w:space="0" w:color="auto"/>
                <w:left w:val="none" w:sz="0" w:space="0" w:color="auto"/>
                <w:bottom w:val="none" w:sz="0" w:space="0" w:color="auto"/>
                <w:right w:val="none" w:sz="0" w:space="0" w:color="auto"/>
              </w:divBdr>
              <w:divsChild>
                <w:div w:id="768504756">
                  <w:marLeft w:val="0"/>
                  <w:marRight w:val="0"/>
                  <w:marTop w:val="0"/>
                  <w:marBottom w:val="0"/>
                  <w:divBdr>
                    <w:top w:val="none" w:sz="0" w:space="0" w:color="auto"/>
                    <w:left w:val="none" w:sz="0" w:space="0" w:color="auto"/>
                    <w:bottom w:val="none" w:sz="0" w:space="0" w:color="auto"/>
                    <w:right w:val="none" w:sz="0" w:space="0" w:color="auto"/>
                  </w:divBdr>
                  <w:divsChild>
                    <w:div w:id="15894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07672">
      <w:bodyDiv w:val="1"/>
      <w:marLeft w:val="0"/>
      <w:marRight w:val="0"/>
      <w:marTop w:val="0"/>
      <w:marBottom w:val="0"/>
      <w:divBdr>
        <w:top w:val="none" w:sz="0" w:space="0" w:color="auto"/>
        <w:left w:val="none" w:sz="0" w:space="0" w:color="auto"/>
        <w:bottom w:val="none" w:sz="0" w:space="0" w:color="auto"/>
        <w:right w:val="none" w:sz="0" w:space="0" w:color="auto"/>
      </w:divBdr>
      <w:divsChild>
        <w:div w:id="215706887">
          <w:marLeft w:val="0"/>
          <w:marRight w:val="0"/>
          <w:marTop w:val="0"/>
          <w:marBottom w:val="0"/>
          <w:divBdr>
            <w:top w:val="none" w:sz="0" w:space="0" w:color="auto"/>
            <w:left w:val="none" w:sz="0" w:space="0" w:color="auto"/>
            <w:bottom w:val="none" w:sz="0" w:space="0" w:color="auto"/>
            <w:right w:val="none" w:sz="0" w:space="0" w:color="auto"/>
          </w:divBdr>
          <w:divsChild>
            <w:div w:id="831336095">
              <w:marLeft w:val="0"/>
              <w:marRight w:val="0"/>
              <w:marTop w:val="0"/>
              <w:marBottom w:val="0"/>
              <w:divBdr>
                <w:top w:val="none" w:sz="0" w:space="0" w:color="auto"/>
                <w:left w:val="none" w:sz="0" w:space="0" w:color="auto"/>
                <w:bottom w:val="none" w:sz="0" w:space="0" w:color="auto"/>
                <w:right w:val="none" w:sz="0" w:space="0" w:color="auto"/>
              </w:divBdr>
              <w:divsChild>
                <w:div w:id="175913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5990">
      <w:bodyDiv w:val="1"/>
      <w:marLeft w:val="0"/>
      <w:marRight w:val="0"/>
      <w:marTop w:val="0"/>
      <w:marBottom w:val="0"/>
      <w:divBdr>
        <w:top w:val="none" w:sz="0" w:space="0" w:color="auto"/>
        <w:left w:val="none" w:sz="0" w:space="0" w:color="auto"/>
        <w:bottom w:val="none" w:sz="0" w:space="0" w:color="auto"/>
        <w:right w:val="none" w:sz="0" w:space="0" w:color="auto"/>
      </w:divBdr>
      <w:divsChild>
        <w:div w:id="1575049168">
          <w:marLeft w:val="274"/>
          <w:marRight w:val="0"/>
          <w:marTop w:val="0"/>
          <w:marBottom w:val="0"/>
          <w:divBdr>
            <w:top w:val="none" w:sz="0" w:space="0" w:color="auto"/>
            <w:left w:val="none" w:sz="0" w:space="0" w:color="auto"/>
            <w:bottom w:val="none" w:sz="0" w:space="0" w:color="auto"/>
            <w:right w:val="none" w:sz="0" w:space="0" w:color="auto"/>
          </w:divBdr>
        </w:div>
      </w:divsChild>
    </w:div>
    <w:div w:id="1657345478">
      <w:bodyDiv w:val="1"/>
      <w:marLeft w:val="0"/>
      <w:marRight w:val="0"/>
      <w:marTop w:val="0"/>
      <w:marBottom w:val="0"/>
      <w:divBdr>
        <w:top w:val="none" w:sz="0" w:space="0" w:color="auto"/>
        <w:left w:val="none" w:sz="0" w:space="0" w:color="auto"/>
        <w:bottom w:val="none" w:sz="0" w:space="0" w:color="auto"/>
        <w:right w:val="none" w:sz="0" w:space="0" w:color="auto"/>
      </w:divBdr>
      <w:divsChild>
        <w:div w:id="1998802151">
          <w:marLeft w:val="0"/>
          <w:marRight w:val="0"/>
          <w:marTop w:val="0"/>
          <w:marBottom w:val="0"/>
          <w:divBdr>
            <w:top w:val="none" w:sz="0" w:space="0" w:color="auto"/>
            <w:left w:val="none" w:sz="0" w:space="0" w:color="auto"/>
            <w:bottom w:val="none" w:sz="0" w:space="0" w:color="auto"/>
            <w:right w:val="none" w:sz="0" w:space="0" w:color="auto"/>
          </w:divBdr>
          <w:divsChild>
            <w:div w:id="791171594">
              <w:marLeft w:val="0"/>
              <w:marRight w:val="0"/>
              <w:marTop w:val="0"/>
              <w:marBottom w:val="0"/>
              <w:divBdr>
                <w:top w:val="none" w:sz="0" w:space="0" w:color="auto"/>
                <w:left w:val="none" w:sz="0" w:space="0" w:color="auto"/>
                <w:bottom w:val="none" w:sz="0" w:space="0" w:color="auto"/>
                <w:right w:val="none" w:sz="0" w:space="0" w:color="auto"/>
              </w:divBdr>
              <w:divsChild>
                <w:div w:id="1366715204">
                  <w:marLeft w:val="0"/>
                  <w:marRight w:val="0"/>
                  <w:marTop w:val="0"/>
                  <w:marBottom w:val="0"/>
                  <w:divBdr>
                    <w:top w:val="none" w:sz="0" w:space="0" w:color="auto"/>
                    <w:left w:val="none" w:sz="0" w:space="0" w:color="auto"/>
                    <w:bottom w:val="none" w:sz="0" w:space="0" w:color="auto"/>
                    <w:right w:val="none" w:sz="0" w:space="0" w:color="auto"/>
                  </w:divBdr>
                  <w:divsChild>
                    <w:div w:id="20126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16903">
      <w:bodyDiv w:val="1"/>
      <w:marLeft w:val="0"/>
      <w:marRight w:val="0"/>
      <w:marTop w:val="0"/>
      <w:marBottom w:val="0"/>
      <w:divBdr>
        <w:top w:val="none" w:sz="0" w:space="0" w:color="auto"/>
        <w:left w:val="none" w:sz="0" w:space="0" w:color="auto"/>
        <w:bottom w:val="none" w:sz="0" w:space="0" w:color="auto"/>
        <w:right w:val="none" w:sz="0" w:space="0" w:color="auto"/>
      </w:divBdr>
      <w:divsChild>
        <w:div w:id="372774593">
          <w:marLeft w:val="0"/>
          <w:marRight w:val="0"/>
          <w:marTop w:val="0"/>
          <w:marBottom w:val="0"/>
          <w:divBdr>
            <w:top w:val="none" w:sz="0" w:space="0" w:color="auto"/>
            <w:left w:val="none" w:sz="0" w:space="0" w:color="auto"/>
            <w:bottom w:val="none" w:sz="0" w:space="0" w:color="auto"/>
            <w:right w:val="none" w:sz="0" w:space="0" w:color="auto"/>
          </w:divBdr>
          <w:divsChild>
            <w:div w:id="1319919293">
              <w:marLeft w:val="0"/>
              <w:marRight w:val="0"/>
              <w:marTop w:val="0"/>
              <w:marBottom w:val="0"/>
              <w:divBdr>
                <w:top w:val="none" w:sz="0" w:space="0" w:color="auto"/>
                <w:left w:val="none" w:sz="0" w:space="0" w:color="auto"/>
                <w:bottom w:val="none" w:sz="0" w:space="0" w:color="auto"/>
                <w:right w:val="none" w:sz="0" w:space="0" w:color="auto"/>
              </w:divBdr>
              <w:divsChild>
                <w:div w:id="70589324">
                  <w:marLeft w:val="0"/>
                  <w:marRight w:val="0"/>
                  <w:marTop w:val="0"/>
                  <w:marBottom w:val="0"/>
                  <w:divBdr>
                    <w:top w:val="none" w:sz="0" w:space="0" w:color="auto"/>
                    <w:left w:val="none" w:sz="0" w:space="0" w:color="auto"/>
                    <w:bottom w:val="none" w:sz="0" w:space="0" w:color="auto"/>
                    <w:right w:val="none" w:sz="0" w:space="0" w:color="auto"/>
                  </w:divBdr>
                  <w:divsChild>
                    <w:div w:id="16409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673695">
      <w:bodyDiv w:val="1"/>
      <w:marLeft w:val="0"/>
      <w:marRight w:val="0"/>
      <w:marTop w:val="0"/>
      <w:marBottom w:val="0"/>
      <w:divBdr>
        <w:top w:val="none" w:sz="0" w:space="0" w:color="auto"/>
        <w:left w:val="none" w:sz="0" w:space="0" w:color="auto"/>
        <w:bottom w:val="none" w:sz="0" w:space="0" w:color="auto"/>
        <w:right w:val="none" w:sz="0" w:space="0" w:color="auto"/>
      </w:divBdr>
      <w:divsChild>
        <w:div w:id="539561688">
          <w:marLeft w:val="274"/>
          <w:marRight w:val="0"/>
          <w:marTop w:val="0"/>
          <w:marBottom w:val="0"/>
          <w:divBdr>
            <w:top w:val="none" w:sz="0" w:space="0" w:color="auto"/>
            <w:left w:val="none" w:sz="0" w:space="0" w:color="auto"/>
            <w:bottom w:val="none" w:sz="0" w:space="0" w:color="auto"/>
            <w:right w:val="none" w:sz="0" w:space="0" w:color="auto"/>
          </w:divBdr>
        </w:div>
        <w:div w:id="1263145647">
          <w:marLeft w:val="274"/>
          <w:marRight w:val="0"/>
          <w:marTop w:val="0"/>
          <w:marBottom w:val="0"/>
          <w:divBdr>
            <w:top w:val="none" w:sz="0" w:space="0" w:color="auto"/>
            <w:left w:val="none" w:sz="0" w:space="0" w:color="auto"/>
            <w:bottom w:val="none" w:sz="0" w:space="0" w:color="auto"/>
            <w:right w:val="none" w:sz="0" w:space="0" w:color="auto"/>
          </w:divBdr>
        </w:div>
        <w:div w:id="844973745">
          <w:marLeft w:val="274"/>
          <w:marRight w:val="0"/>
          <w:marTop w:val="0"/>
          <w:marBottom w:val="0"/>
          <w:divBdr>
            <w:top w:val="none" w:sz="0" w:space="0" w:color="auto"/>
            <w:left w:val="none" w:sz="0" w:space="0" w:color="auto"/>
            <w:bottom w:val="none" w:sz="0" w:space="0" w:color="auto"/>
            <w:right w:val="none" w:sz="0" w:space="0" w:color="auto"/>
          </w:divBdr>
        </w:div>
        <w:div w:id="640503924">
          <w:marLeft w:val="274"/>
          <w:marRight w:val="0"/>
          <w:marTop w:val="0"/>
          <w:marBottom w:val="0"/>
          <w:divBdr>
            <w:top w:val="none" w:sz="0" w:space="0" w:color="auto"/>
            <w:left w:val="none" w:sz="0" w:space="0" w:color="auto"/>
            <w:bottom w:val="none" w:sz="0" w:space="0" w:color="auto"/>
            <w:right w:val="none" w:sz="0" w:space="0" w:color="auto"/>
          </w:divBdr>
        </w:div>
        <w:div w:id="1490245499">
          <w:marLeft w:val="274"/>
          <w:marRight w:val="0"/>
          <w:marTop w:val="0"/>
          <w:marBottom w:val="0"/>
          <w:divBdr>
            <w:top w:val="none" w:sz="0" w:space="0" w:color="auto"/>
            <w:left w:val="none" w:sz="0" w:space="0" w:color="auto"/>
            <w:bottom w:val="none" w:sz="0" w:space="0" w:color="auto"/>
            <w:right w:val="none" w:sz="0" w:space="0" w:color="auto"/>
          </w:divBdr>
        </w:div>
        <w:div w:id="1234049770">
          <w:marLeft w:val="274"/>
          <w:marRight w:val="0"/>
          <w:marTop w:val="0"/>
          <w:marBottom w:val="0"/>
          <w:divBdr>
            <w:top w:val="none" w:sz="0" w:space="0" w:color="auto"/>
            <w:left w:val="none" w:sz="0" w:space="0" w:color="auto"/>
            <w:bottom w:val="none" w:sz="0" w:space="0" w:color="auto"/>
            <w:right w:val="none" w:sz="0" w:space="0" w:color="auto"/>
          </w:divBdr>
        </w:div>
        <w:div w:id="1510681205">
          <w:marLeft w:val="274"/>
          <w:marRight w:val="0"/>
          <w:marTop w:val="0"/>
          <w:marBottom w:val="0"/>
          <w:divBdr>
            <w:top w:val="none" w:sz="0" w:space="0" w:color="auto"/>
            <w:left w:val="none" w:sz="0" w:space="0" w:color="auto"/>
            <w:bottom w:val="none" w:sz="0" w:space="0" w:color="auto"/>
            <w:right w:val="none" w:sz="0" w:space="0" w:color="auto"/>
          </w:divBdr>
        </w:div>
      </w:divsChild>
    </w:div>
    <w:div w:id="1799570700">
      <w:bodyDiv w:val="1"/>
      <w:marLeft w:val="0"/>
      <w:marRight w:val="0"/>
      <w:marTop w:val="0"/>
      <w:marBottom w:val="0"/>
      <w:divBdr>
        <w:top w:val="none" w:sz="0" w:space="0" w:color="auto"/>
        <w:left w:val="none" w:sz="0" w:space="0" w:color="auto"/>
        <w:bottom w:val="none" w:sz="0" w:space="0" w:color="auto"/>
        <w:right w:val="none" w:sz="0" w:space="0" w:color="auto"/>
      </w:divBdr>
      <w:divsChild>
        <w:div w:id="1203133766">
          <w:marLeft w:val="0"/>
          <w:marRight w:val="0"/>
          <w:marTop w:val="0"/>
          <w:marBottom w:val="0"/>
          <w:divBdr>
            <w:top w:val="none" w:sz="0" w:space="0" w:color="auto"/>
            <w:left w:val="none" w:sz="0" w:space="0" w:color="auto"/>
            <w:bottom w:val="none" w:sz="0" w:space="0" w:color="auto"/>
            <w:right w:val="none" w:sz="0" w:space="0" w:color="auto"/>
          </w:divBdr>
          <w:divsChild>
            <w:div w:id="1073626085">
              <w:marLeft w:val="0"/>
              <w:marRight w:val="0"/>
              <w:marTop w:val="0"/>
              <w:marBottom w:val="0"/>
              <w:divBdr>
                <w:top w:val="none" w:sz="0" w:space="0" w:color="auto"/>
                <w:left w:val="none" w:sz="0" w:space="0" w:color="auto"/>
                <w:bottom w:val="none" w:sz="0" w:space="0" w:color="auto"/>
                <w:right w:val="none" w:sz="0" w:space="0" w:color="auto"/>
              </w:divBdr>
              <w:divsChild>
                <w:div w:id="556206299">
                  <w:marLeft w:val="0"/>
                  <w:marRight w:val="0"/>
                  <w:marTop w:val="0"/>
                  <w:marBottom w:val="0"/>
                  <w:divBdr>
                    <w:top w:val="none" w:sz="0" w:space="0" w:color="auto"/>
                    <w:left w:val="none" w:sz="0" w:space="0" w:color="auto"/>
                    <w:bottom w:val="none" w:sz="0" w:space="0" w:color="auto"/>
                    <w:right w:val="none" w:sz="0" w:space="0" w:color="auto"/>
                  </w:divBdr>
                  <w:divsChild>
                    <w:div w:id="3927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340308">
      <w:bodyDiv w:val="1"/>
      <w:marLeft w:val="0"/>
      <w:marRight w:val="0"/>
      <w:marTop w:val="0"/>
      <w:marBottom w:val="0"/>
      <w:divBdr>
        <w:top w:val="none" w:sz="0" w:space="0" w:color="auto"/>
        <w:left w:val="none" w:sz="0" w:space="0" w:color="auto"/>
        <w:bottom w:val="none" w:sz="0" w:space="0" w:color="auto"/>
        <w:right w:val="none" w:sz="0" w:space="0" w:color="auto"/>
      </w:divBdr>
      <w:divsChild>
        <w:div w:id="104885882">
          <w:marLeft w:val="0"/>
          <w:marRight w:val="0"/>
          <w:marTop w:val="0"/>
          <w:marBottom w:val="0"/>
          <w:divBdr>
            <w:top w:val="none" w:sz="0" w:space="0" w:color="auto"/>
            <w:left w:val="none" w:sz="0" w:space="0" w:color="auto"/>
            <w:bottom w:val="none" w:sz="0" w:space="0" w:color="auto"/>
            <w:right w:val="none" w:sz="0" w:space="0" w:color="auto"/>
          </w:divBdr>
          <w:divsChild>
            <w:div w:id="527646484">
              <w:marLeft w:val="0"/>
              <w:marRight w:val="0"/>
              <w:marTop w:val="0"/>
              <w:marBottom w:val="0"/>
              <w:divBdr>
                <w:top w:val="none" w:sz="0" w:space="0" w:color="auto"/>
                <w:left w:val="none" w:sz="0" w:space="0" w:color="auto"/>
                <w:bottom w:val="none" w:sz="0" w:space="0" w:color="auto"/>
                <w:right w:val="none" w:sz="0" w:space="0" w:color="auto"/>
              </w:divBdr>
              <w:divsChild>
                <w:div w:id="94592888">
                  <w:marLeft w:val="0"/>
                  <w:marRight w:val="0"/>
                  <w:marTop w:val="0"/>
                  <w:marBottom w:val="0"/>
                  <w:divBdr>
                    <w:top w:val="none" w:sz="0" w:space="0" w:color="auto"/>
                    <w:left w:val="none" w:sz="0" w:space="0" w:color="auto"/>
                    <w:bottom w:val="none" w:sz="0" w:space="0" w:color="auto"/>
                    <w:right w:val="none" w:sz="0" w:space="0" w:color="auto"/>
                  </w:divBdr>
                  <w:divsChild>
                    <w:div w:id="2124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11098">
      <w:bodyDiv w:val="1"/>
      <w:marLeft w:val="0"/>
      <w:marRight w:val="0"/>
      <w:marTop w:val="0"/>
      <w:marBottom w:val="0"/>
      <w:divBdr>
        <w:top w:val="none" w:sz="0" w:space="0" w:color="auto"/>
        <w:left w:val="none" w:sz="0" w:space="0" w:color="auto"/>
        <w:bottom w:val="none" w:sz="0" w:space="0" w:color="auto"/>
        <w:right w:val="none" w:sz="0" w:space="0" w:color="auto"/>
      </w:divBdr>
      <w:divsChild>
        <w:div w:id="1063137683">
          <w:marLeft w:val="0"/>
          <w:marRight w:val="0"/>
          <w:marTop w:val="0"/>
          <w:marBottom w:val="0"/>
          <w:divBdr>
            <w:top w:val="none" w:sz="0" w:space="0" w:color="auto"/>
            <w:left w:val="none" w:sz="0" w:space="0" w:color="auto"/>
            <w:bottom w:val="none" w:sz="0" w:space="0" w:color="auto"/>
            <w:right w:val="none" w:sz="0" w:space="0" w:color="auto"/>
          </w:divBdr>
          <w:divsChild>
            <w:div w:id="1333028970">
              <w:marLeft w:val="0"/>
              <w:marRight w:val="0"/>
              <w:marTop w:val="0"/>
              <w:marBottom w:val="0"/>
              <w:divBdr>
                <w:top w:val="none" w:sz="0" w:space="0" w:color="auto"/>
                <w:left w:val="none" w:sz="0" w:space="0" w:color="auto"/>
                <w:bottom w:val="none" w:sz="0" w:space="0" w:color="auto"/>
                <w:right w:val="none" w:sz="0" w:space="0" w:color="auto"/>
              </w:divBdr>
              <w:divsChild>
                <w:div w:id="9801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69721">
      <w:bodyDiv w:val="1"/>
      <w:marLeft w:val="0"/>
      <w:marRight w:val="0"/>
      <w:marTop w:val="0"/>
      <w:marBottom w:val="0"/>
      <w:divBdr>
        <w:top w:val="none" w:sz="0" w:space="0" w:color="auto"/>
        <w:left w:val="none" w:sz="0" w:space="0" w:color="auto"/>
        <w:bottom w:val="none" w:sz="0" w:space="0" w:color="auto"/>
        <w:right w:val="none" w:sz="0" w:space="0" w:color="auto"/>
      </w:divBdr>
      <w:divsChild>
        <w:div w:id="1280641958">
          <w:marLeft w:val="0"/>
          <w:marRight w:val="0"/>
          <w:marTop w:val="0"/>
          <w:marBottom w:val="0"/>
          <w:divBdr>
            <w:top w:val="none" w:sz="0" w:space="0" w:color="auto"/>
            <w:left w:val="none" w:sz="0" w:space="0" w:color="auto"/>
            <w:bottom w:val="none" w:sz="0" w:space="0" w:color="auto"/>
            <w:right w:val="none" w:sz="0" w:space="0" w:color="auto"/>
          </w:divBdr>
          <w:divsChild>
            <w:div w:id="974022745">
              <w:marLeft w:val="0"/>
              <w:marRight w:val="0"/>
              <w:marTop w:val="0"/>
              <w:marBottom w:val="0"/>
              <w:divBdr>
                <w:top w:val="none" w:sz="0" w:space="0" w:color="auto"/>
                <w:left w:val="none" w:sz="0" w:space="0" w:color="auto"/>
                <w:bottom w:val="none" w:sz="0" w:space="0" w:color="auto"/>
                <w:right w:val="none" w:sz="0" w:space="0" w:color="auto"/>
              </w:divBdr>
              <w:divsChild>
                <w:div w:id="15975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4558">
      <w:bodyDiv w:val="1"/>
      <w:marLeft w:val="0"/>
      <w:marRight w:val="0"/>
      <w:marTop w:val="0"/>
      <w:marBottom w:val="0"/>
      <w:divBdr>
        <w:top w:val="none" w:sz="0" w:space="0" w:color="auto"/>
        <w:left w:val="none" w:sz="0" w:space="0" w:color="auto"/>
        <w:bottom w:val="none" w:sz="0" w:space="0" w:color="auto"/>
        <w:right w:val="none" w:sz="0" w:space="0" w:color="auto"/>
      </w:divBdr>
      <w:divsChild>
        <w:div w:id="421529694">
          <w:marLeft w:val="0"/>
          <w:marRight w:val="0"/>
          <w:marTop w:val="0"/>
          <w:marBottom w:val="0"/>
          <w:divBdr>
            <w:top w:val="none" w:sz="0" w:space="0" w:color="auto"/>
            <w:left w:val="none" w:sz="0" w:space="0" w:color="auto"/>
            <w:bottom w:val="none" w:sz="0" w:space="0" w:color="auto"/>
            <w:right w:val="none" w:sz="0" w:space="0" w:color="auto"/>
          </w:divBdr>
          <w:divsChild>
            <w:div w:id="150024152">
              <w:marLeft w:val="0"/>
              <w:marRight w:val="0"/>
              <w:marTop w:val="0"/>
              <w:marBottom w:val="0"/>
              <w:divBdr>
                <w:top w:val="none" w:sz="0" w:space="0" w:color="auto"/>
                <w:left w:val="none" w:sz="0" w:space="0" w:color="auto"/>
                <w:bottom w:val="none" w:sz="0" w:space="0" w:color="auto"/>
                <w:right w:val="none" w:sz="0" w:space="0" w:color="auto"/>
              </w:divBdr>
              <w:divsChild>
                <w:div w:id="861743564">
                  <w:marLeft w:val="0"/>
                  <w:marRight w:val="0"/>
                  <w:marTop w:val="0"/>
                  <w:marBottom w:val="0"/>
                  <w:divBdr>
                    <w:top w:val="none" w:sz="0" w:space="0" w:color="auto"/>
                    <w:left w:val="none" w:sz="0" w:space="0" w:color="auto"/>
                    <w:bottom w:val="none" w:sz="0" w:space="0" w:color="auto"/>
                    <w:right w:val="none" w:sz="0" w:space="0" w:color="auto"/>
                  </w:divBdr>
                </w:div>
              </w:divsChild>
            </w:div>
            <w:div w:id="1397630516">
              <w:marLeft w:val="0"/>
              <w:marRight w:val="0"/>
              <w:marTop w:val="0"/>
              <w:marBottom w:val="0"/>
              <w:divBdr>
                <w:top w:val="none" w:sz="0" w:space="0" w:color="auto"/>
                <w:left w:val="none" w:sz="0" w:space="0" w:color="auto"/>
                <w:bottom w:val="none" w:sz="0" w:space="0" w:color="auto"/>
                <w:right w:val="none" w:sz="0" w:space="0" w:color="auto"/>
              </w:divBdr>
              <w:divsChild>
                <w:div w:id="226838158">
                  <w:marLeft w:val="0"/>
                  <w:marRight w:val="0"/>
                  <w:marTop w:val="0"/>
                  <w:marBottom w:val="0"/>
                  <w:divBdr>
                    <w:top w:val="none" w:sz="0" w:space="0" w:color="auto"/>
                    <w:left w:val="none" w:sz="0" w:space="0" w:color="auto"/>
                    <w:bottom w:val="none" w:sz="0" w:space="0" w:color="auto"/>
                    <w:right w:val="none" w:sz="0" w:space="0" w:color="auto"/>
                  </w:divBdr>
                </w:div>
              </w:divsChild>
            </w:div>
            <w:div w:id="1542476276">
              <w:marLeft w:val="0"/>
              <w:marRight w:val="0"/>
              <w:marTop w:val="0"/>
              <w:marBottom w:val="0"/>
              <w:divBdr>
                <w:top w:val="none" w:sz="0" w:space="0" w:color="auto"/>
                <w:left w:val="none" w:sz="0" w:space="0" w:color="auto"/>
                <w:bottom w:val="none" w:sz="0" w:space="0" w:color="auto"/>
                <w:right w:val="none" w:sz="0" w:space="0" w:color="auto"/>
              </w:divBdr>
              <w:divsChild>
                <w:div w:id="12693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97621">
      <w:bodyDiv w:val="1"/>
      <w:marLeft w:val="0"/>
      <w:marRight w:val="0"/>
      <w:marTop w:val="0"/>
      <w:marBottom w:val="0"/>
      <w:divBdr>
        <w:top w:val="none" w:sz="0" w:space="0" w:color="auto"/>
        <w:left w:val="none" w:sz="0" w:space="0" w:color="auto"/>
        <w:bottom w:val="none" w:sz="0" w:space="0" w:color="auto"/>
        <w:right w:val="none" w:sz="0" w:space="0" w:color="auto"/>
      </w:divBdr>
    </w:div>
    <w:div w:id="2105875013">
      <w:bodyDiv w:val="1"/>
      <w:marLeft w:val="0"/>
      <w:marRight w:val="0"/>
      <w:marTop w:val="0"/>
      <w:marBottom w:val="0"/>
      <w:divBdr>
        <w:top w:val="none" w:sz="0" w:space="0" w:color="auto"/>
        <w:left w:val="none" w:sz="0" w:space="0" w:color="auto"/>
        <w:bottom w:val="none" w:sz="0" w:space="0" w:color="auto"/>
        <w:right w:val="none" w:sz="0" w:space="0" w:color="auto"/>
      </w:divBdr>
      <w:divsChild>
        <w:div w:id="2130932974">
          <w:marLeft w:val="0"/>
          <w:marRight w:val="0"/>
          <w:marTop w:val="0"/>
          <w:marBottom w:val="0"/>
          <w:divBdr>
            <w:top w:val="none" w:sz="0" w:space="0" w:color="auto"/>
            <w:left w:val="none" w:sz="0" w:space="0" w:color="auto"/>
            <w:bottom w:val="none" w:sz="0" w:space="0" w:color="auto"/>
            <w:right w:val="none" w:sz="0" w:space="0" w:color="auto"/>
          </w:divBdr>
          <w:divsChild>
            <w:div w:id="1314219916">
              <w:marLeft w:val="0"/>
              <w:marRight w:val="0"/>
              <w:marTop w:val="0"/>
              <w:marBottom w:val="0"/>
              <w:divBdr>
                <w:top w:val="none" w:sz="0" w:space="0" w:color="auto"/>
                <w:left w:val="none" w:sz="0" w:space="0" w:color="auto"/>
                <w:bottom w:val="none" w:sz="0" w:space="0" w:color="auto"/>
                <w:right w:val="none" w:sz="0" w:space="0" w:color="auto"/>
              </w:divBdr>
              <w:divsChild>
                <w:div w:id="1064523534">
                  <w:marLeft w:val="0"/>
                  <w:marRight w:val="0"/>
                  <w:marTop w:val="0"/>
                  <w:marBottom w:val="0"/>
                  <w:divBdr>
                    <w:top w:val="none" w:sz="0" w:space="0" w:color="auto"/>
                    <w:left w:val="none" w:sz="0" w:space="0" w:color="auto"/>
                    <w:bottom w:val="none" w:sz="0" w:space="0" w:color="auto"/>
                    <w:right w:val="none" w:sz="0" w:space="0" w:color="auto"/>
                  </w:divBdr>
                  <w:divsChild>
                    <w:div w:id="8977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si.gouv.fr/uploads/2014/11/RGS_v-2-0_Corps_du_texte.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ccessibilite.numerique.gouv.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umerique.gouv.fr/offre-accompagnement/reference-interoperabilite-rgi/"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loud-pi-native.fr/platform/skills-matri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hub.com/cloud-pi-native/cct-cloud-native/tree/mai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yber.gouv.fr/cadre-de-gouvernance-de-la-securite-numerique-de-letat-pss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loud-pi-native.fr/agreement/introduction"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25C8-4C4A-4133-94E8-55782272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13858</Words>
  <Characters>76220</Characters>
  <Application>Microsoft Office Word</Application>
  <DocSecurity>4</DocSecurity>
  <Lines>635</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ALLAIN</dc:creator>
  <cp:keywords/>
  <dc:description/>
  <cp:lastModifiedBy>Sébastien AUDEBERT</cp:lastModifiedBy>
  <cp:revision>2</cp:revision>
  <cp:lastPrinted>2026-01-07T12:27:00Z</cp:lastPrinted>
  <dcterms:created xsi:type="dcterms:W3CDTF">2026-01-09T15:23:00Z</dcterms:created>
  <dcterms:modified xsi:type="dcterms:W3CDTF">2026-01-09T15:23:00Z</dcterms:modified>
</cp:coreProperties>
</file>