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2B70AB87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740D10">
              <w:rPr>
                <w:rFonts w:asciiTheme="minorHAnsi" w:hAnsiTheme="minorHAnsi" w:cstheme="minorHAnsi"/>
                <w:b/>
                <w:bCs/>
                <w:caps/>
                <w:sz w:val="28"/>
              </w:rPr>
              <w:t>6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D6405F">
              <w:rPr>
                <w:rFonts w:asciiTheme="minorHAnsi" w:hAnsiTheme="minorHAnsi" w:cstheme="minorHAnsi"/>
                <w:b/>
                <w:bCs/>
                <w:caps/>
                <w:sz w:val="28"/>
              </w:rPr>
              <w:t>1 – LOT NUMERO 1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288DFE24" w14:textId="77777777" w:rsidR="00FD3E72" w:rsidRDefault="00FD3E72" w:rsidP="00FD3E72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4F5009B0" w14:textId="77777777" w:rsidR="00740D10" w:rsidRPr="00740D10" w:rsidRDefault="00740D10" w:rsidP="00740D10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740D1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1 :</w:t>
                  </w:r>
                  <w:r w:rsidRPr="00740D1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 TRAVAUX DE RÉFECTION GÉNÉRALISÉE D’UNE SECTION DE LA ROUTE FORESTIÈRE DE LOURZA EN FORÊT DOMANIALE DE PRADES SUR LE TERRITOIRE DE LA COMMUNE DE PRADES (09110)</w:t>
                  </w:r>
                </w:p>
                <w:p w14:paraId="60709E8F" w14:textId="236717AE" w:rsidR="009A275D" w:rsidRPr="009A275D" w:rsidRDefault="009A275D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</w:rPr>
                  </w:pP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1C186786" w14:textId="77777777" w:rsidR="00740D10" w:rsidRPr="00740D10" w:rsidRDefault="00740D10" w:rsidP="00740D10">
      <w:pPr>
        <w:pStyle w:val="TableParagraph"/>
        <w:ind w:right="507"/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14" w:name="_Hlk216436400"/>
      <w:r w:rsidRPr="00740D10">
        <w:rPr>
          <w:rFonts w:asciiTheme="minorHAnsi" w:hAnsiTheme="minorHAnsi" w:cstheme="minorHAnsi"/>
          <w:sz w:val="18"/>
          <w:szCs w:val="18"/>
        </w:rPr>
        <w:t>Le</w:t>
      </w:r>
      <w:r w:rsidRPr="00740D10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740D10">
        <w:rPr>
          <w:rFonts w:asciiTheme="minorHAnsi" w:hAnsiTheme="minorHAnsi" w:cstheme="minorHAnsi"/>
          <w:sz w:val="18"/>
          <w:szCs w:val="18"/>
        </w:rPr>
        <w:t>présent</w:t>
      </w:r>
      <w:r w:rsidRPr="00740D10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740D10">
        <w:rPr>
          <w:rFonts w:asciiTheme="minorHAnsi" w:hAnsiTheme="minorHAnsi" w:cstheme="minorHAnsi"/>
          <w:sz w:val="18"/>
          <w:szCs w:val="18"/>
        </w:rPr>
        <w:t>marché</w:t>
      </w:r>
      <w:r w:rsidRPr="00740D10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740D10">
        <w:rPr>
          <w:rFonts w:asciiTheme="minorHAnsi" w:hAnsiTheme="minorHAnsi" w:cstheme="minorHAnsi"/>
          <w:sz w:val="18"/>
          <w:szCs w:val="18"/>
        </w:rPr>
        <w:t xml:space="preserve">concerne, pour le lot numéro 1, </w:t>
      </w:r>
      <w:r w:rsidRPr="00740D10">
        <w:rPr>
          <w:rFonts w:asciiTheme="minorHAnsi" w:hAnsiTheme="minorHAnsi" w:cstheme="minorHAnsi"/>
          <w:spacing w:val="-4"/>
          <w:sz w:val="18"/>
          <w:szCs w:val="18"/>
        </w:rPr>
        <w:t>l’exécution</w:t>
      </w:r>
      <w:r w:rsidRPr="00740D10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40D10">
        <w:rPr>
          <w:rFonts w:asciiTheme="minorHAnsi" w:hAnsiTheme="minorHAnsi" w:cstheme="minorHAnsi"/>
          <w:sz w:val="18"/>
          <w:szCs w:val="18"/>
        </w:rPr>
        <w:t>de</w:t>
      </w:r>
      <w:r w:rsidRPr="00740D10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740D10">
        <w:rPr>
          <w:rFonts w:asciiTheme="minorHAnsi" w:hAnsiTheme="minorHAnsi" w:cstheme="minorHAnsi"/>
          <w:sz w:val="18"/>
          <w:szCs w:val="18"/>
        </w:rPr>
        <w:t>travaux</w:t>
      </w:r>
      <w:r w:rsidRPr="00740D10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740D10">
        <w:rPr>
          <w:rFonts w:asciiTheme="minorHAnsi" w:hAnsiTheme="minorHAnsi" w:cstheme="minorHAnsi"/>
          <w:sz w:val="18"/>
          <w:szCs w:val="18"/>
        </w:rPr>
        <w:t>relatifs</w:t>
      </w:r>
      <w:r w:rsidRPr="00740D10">
        <w:rPr>
          <w:rFonts w:asciiTheme="minorHAnsi" w:hAnsiTheme="minorHAnsi" w:cstheme="minorHAnsi"/>
          <w:spacing w:val="-3"/>
          <w:sz w:val="18"/>
          <w:szCs w:val="18"/>
        </w:rPr>
        <w:t xml:space="preserve"> à la réfection généralisée d’une section de la route forestière de </w:t>
      </w:r>
      <w:proofErr w:type="spellStart"/>
      <w:r w:rsidRPr="00740D10">
        <w:rPr>
          <w:rFonts w:asciiTheme="minorHAnsi" w:hAnsiTheme="minorHAnsi" w:cstheme="minorHAnsi"/>
          <w:spacing w:val="-3"/>
          <w:sz w:val="18"/>
          <w:szCs w:val="18"/>
        </w:rPr>
        <w:t>Lourza</w:t>
      </w:r>
      <w:proofErr w:type="spellEnd"/>
      <w:r w:rsidRPr="00740D10">
        <w:rPr>
          <w:rFonts w:asciiTheme="minorHAnsi" w:hAnsiTheme="minorHAnsi" w:cstheme="minorHAnsi"/>
          <w:spacing w:val="-3"/>
          <w:sz w:val="18"/>
          <w:szCs w:val="18"/>
        </w:rPr>
        <w:t xml:space="preserve"> située en forêt Domaniale de PRADES sur le territoire de la commune de PRADES (09110).</w:t>
      </w:r>
    </w:p>
    <w:bookmarkEnd w:id="14"/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5" w:name="_Toc525705725"/>
      <w:bookmarkStart w:id="16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25F9BEED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CC3528">
              <w:rPr>
                <w:rFonts w:asciiTheme="minorHAnsi" w:hAnsiTheme="minorHAnsi" w:cstheme="minorHAnsi"/>
                <w:sz w:val="18"/>
                <w:szCs w:val="18"/>
              </w:rPr>
              <w:t>Fiche technique</w:t>
            </w:r>
            <w:r w:rsidR="00740D1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B70E7">
              <w:rPr>
                <w:rFonts w:asciiTheme="minorHAnsi" w:hAnsiTheme="minorHAnsi" w:cstheme="minorHAnsi"/>
                <w:sz w:val="18"/>
                <w:szCs w:val="18"/>
              </w:rPr>
              <w:t>GNT et collecteurs d’eau et</w:t>
            </w:r>
            <w:r w:rsidR="00740D10">
              <w:rPr>
                <w:rFonts w:asciiTheme="minorHAnsi" w:hAnsiTheme="minorHAnsi" w:cstheme="minorHAnsi"/>
                <w:sz w:val="18"/>
                <w:szCs w:val="18"/>
              </w:rPr>
              <w:t xml:space="preserve"> méthodologie des </w:t>
            </w:r>
            <w:r w:rsidR="0084073A">
              <w:rPr>
                <w:rFonts w:asciiTheme="minorHAnsi" w:hAnsiTheme="minorHAnsi" w:cstheme="minorHAnsi"/>
                <w:sz w:val="18"/>
                <w:szCs w:val="18"/>
              </w:rPr>
              <w:t xml:space="preserve">travaux </w:t>
            </w:r>
            <w:r w:rsidR="0084073A" w:rsidRPr="00D325BE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6DDB8891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  <w:r w:rsidR="00740D10">
              <w:rPr>
                <w:rFonts w:ascii="Arial" w:hAnsi="Arial"/>
                <w:sz w:val="20"/>
                <w:szCs w:val="20"/>
                <w:u w:val="none"/>
              </w:rPr>
              <w:t xml:space="preserve"> ET DÉLAI D’EXÉCUTION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5"/>
      <w:bookmarkEnd w:id="16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B70E7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40D10"/>
    <w:rsid w:val="00744533"/>
    <w:rsid w:val="0075477E"/>
    <w:rsid w:val="007558D1"/>
    <w:rsid w:val="007564AC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073A"/>
    <w:rsid w:val="00841B04"/>
    <w:rsid w:val="0084216F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528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05F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D644F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63</TotalTime>
  <Pages>2</Pages>
  <Words>506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MT</vt:lpstr>
    </vt:vector>
  </TitlesOfParts>
  <Company>ONF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6</cp:revision>
  <cp:lastPrinted>2022-02-01T08:46:00Z</cp:lastPrinted>
  <dcterms:created xsi:type="dcterms:W3CDTF">2025-01-24T16:24:00Z</dcterms:created>
  <dcterms:modified xsi:type="dcterms:W3CDTF">2025-12-12T13:20:00Z</dcterms:modified>
</cp:coreProperties>
</file>