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6ECF" w14:textId="77777777" w:rsidR="008C3FCC" w:rsidRDefault="008C3FCC" w:rsidP="008C3FCC">
      <w:pPr>
        <w:pStyle w:val="RedaliaNormal"/>
        <w:jc w:val="right"/>
      </w:pPr>
    </w:p>
    <w:p w14:paraId="7CFE0C7B" w14:textId="77777777" w:rsidR="009D52BA" w:rsidRDefault="00216F96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4A32C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 </w:t>
      </w:r>
    </w:p>
    <w:p w14:paraId="434E95BF" w14:textId="220D8D9A" w:rsidR="00216F96" w:rsidRDefault="00216F96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4A32C9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Cadre de décomposition des prix</w:t>
      </w:r>
    </w:p>
    <w:p w14:paraId="466F3624" w14:textId="77777777" w:rsidR="009D52BA" w:rsidRPr="004A32C9" w:rsidRDefault="009D52BA" w:rsidP="002B039A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ind w:left="-426" w:right="-142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</w:p>
    <w:p w14:paraId="59B526DC" w14:textId="3748D032" w:rsidR="00216F96" w:rsidRPr="004A32C9" w:rsidRDefault="00216F96" w:rsidP="002B039A">
      <w:pPr>
        <w:ind w:right="-142"/>
        <w:jc w:val="both"/>
        <w:rPr>
          <w:rFonts w:ascii="Arial" w:hAnsi="Arial" w:cs="Arial"/>
          <w:sz w:val="4"/>
          <w:szCs w:val="24"/>
        </w:rPr>
      </w:pPr>
    </w:p>
    <w:p w14:paraId="5A807A2E" w14:textId="683233B8" w:rsidR="001143EE" w:rsidRPr="005812CD" w:rsidRDefault="00613AD5" w:rsidP="002B039A">
      <w:pPr>
        <w:spacing w:after="0" w:line="240" w:lineRule="auto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 xml:space="preserve">Le marché sera conclu pour une durée de </w:t>
      </w:r>
      <w:r w:rsidR="005812CD" w:rsidRPr="005812CD">
        <w:rPr>
          <w:rFonts w:ascii="Arial" w:hAnsi="Arial" w:cs="Arial"/>
          <w:sz w:val="20"/>
          <w:szCs w:val="20"/>
        </w:rPr>
        <w:t>15</w:t>
      </w:r>
      <w:r w:rsidRPr="005812CD">
        <w:rPr>
          <w:rFonts w:ascii="Arial" w:hAnsi="Arial" w:cs="Arial"/>
          <w:sz w:val="20"/>
          <w:szCs w:val="20"/>
        </w:rPr>
        <w:t xml:space="preserve"> mois</w:t>
      </w:r>
    </w:p>
    <w:p w14:paraId="7A6E6811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  <w:u w:val="single"/>
        </w:rPr>
      </w:pPr>
      <w:r w:rsidRPr="005812CD">
        <w:rPr>
          <w:rFonts w:ascii="Arial" w:hAnsi="Arial" w:cs="Arial"/>
          <w:sz w:val="20"/>
          <w:szCs w:val="20"/>
          <w:u w:val="single"/>
        </w:rPr>
        <w:t>Coût forfaitaire (prix fermes, définitifs et non révisables)</w:t>
      </w:r>
    </w:p>
    <w:p w14:paraId="789B5918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Renseigner la grille financière ci-dessous.</w:t>
      </w:r>
    </w:p>
    <w:p w14:paraId="7AB5F6E9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Dans la réponse à la consultation, reprendre obligatoirement le tableau récapitulatif ci-dessous.</w:t>
      </w:r>
    </w:p>
    <w:p w14:paraId="31CE38F7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</w:p>
    <w:p w14:paraId="4F6C19FF" w14:textId="77777777" w:rsidR="005812CD" w:rsidRPr="005812CD" w:rsidRDefault="005812CD" w:rsidP="002B039A">
      <w:pPr>
        <w:spacing w:after="0"/>
        <w:ind w:left="-567" w:right="-142"/>
        <w:jc w:val="both"/>
        <w:rPr>
          <w:rFonts w:ascii="Arial" w:hAnsi="Arial" w:cs="Arial"/>
          <w:sz w:val="20"/>
          <w:szCs w:val="20"/>
        </w:rPr>
      </w:pPr>
      <w:r w:rsidRPr="005812CD">
        <w:rPr>
          <w:rFonts w:ascii="Arial" w:hAnsi="Arial" w:cs="Arial"/>
          <w:sz w:val="20"/>
          <w:szCs w:val="20"/>
        </w:rPr>
        <w:t>Dans le cadre d’une offre déposée par un groupement, merci de détailler les coûts pour chaque prestataire (types et niveaux des intervenants), en adaptant éventuellement le format proposé ci-dessous.</w:t>
      </w:r>
    </w:p>
    <w:p w14:paraId="39784B83" w14:textId="77777777" w:rsidR="0019357D" w:rsidRPr="005812CD" w:rsidRDefault="0019357D" w:rsidP="002B039A">
      <w:pPr>
        <w:autoSpaceDE w:val="0"/>
        <w:autoSpaceDN w:val="0"/>
        <w:adjustRightInd w:val="0"/>
        <w:spacing w:after="120"/>
        <w:ind w:right="-142"/>
        <w:jc w:val="both"/>
        <w:rPr>
          <w:rFonts w:ascii="Arial" w:hAnsi="Arial" w:cs="Arial"/>
          <w:b/>
          <w:sz w:val="20"/>
          <w:szCs w:val="20"/>
        </w:rPr>
      </w:pPr>
    </w:p>
    <w:p w14:paraId="58222057" w14:textId="276274AE" w:rsidR="007E2F11" w:rsidRPr="005812CD" w:rsidRDefault="000D58F8" w:rsidP="002B039A">
      <w:pPr>
        <w:autoSpaceDE w:val="0"/>
        <w:autoSpaceDN w:val="0"/>
        <w:adjustRightInd w:val="0"/>
        <w:spacing w:after="120"/>
        <w:ind w:right="-142"/>
        <w:jc w:val="both"/>
        <w:rPr>
          <w:rFonts w:ascii="Arial" w:hAnsi="Arial" w:cs="Arial"/>
          <w:b/>
          <w:sz w:val="20"/>
          <w:szCs w:val="20"/>
        </w:rPr>
      </w:pPr>
      <w:r w:rsidRPr="005812CD">
        <w:rPr>
          <w:rFonts w:ascii="Arial" w:hAnsi="Arial" w:cs="Arial"/>
          <w:b/>
          <w:sz w:val="20"/>
          <w:szCs w:val="20"/>
        </w:rPr>
        <w:t>Prestation forfaitaire</w:t>
      </w:r>
      <w:r w:rsidR="00A378AE" w:rsidRPr="005812CD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448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560"/>
        <w:gridCol w:w="1274"/>
        <w:gridCol w:w="1419"/>
        <w:gridCol w:w="1560"/>
      </w:tblGrid>
      <w:tr w:rsidR="00886909" w:rsidRPr="005812CD" w14:paraId="13C4BBFF" w14:textId="77777777" w:rsidTr="005812CD">
        <w:trPr>
          <w:trHeight w:val="823"/>
          <w:jc w:val="center"/>
        </w:trPr>
        <w:tc>
          <w:tcPr>
            <w:tcW w:w="222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0566B83E" w14:textId="77777777" w:rsidR="00402389" w:rsidRPr="005812CD" w:rsidRDefault="00402389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50B6DCAB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Type et niveau d'intervenant</w:t>
            </w:r>
          </w:p>
          <w:p w14:paraId="123C642A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31DB6325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 par type d’intervenant (j)</w:t>
            </w:r>
          </w:p>
        </w:tc>
        <w:tc>
          <w:tcPr>
            <w:tcW w:w="6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8774BA5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 HT/j)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239DE48A" w14:textId="77777777" w:rsidR="00402389" w:rsidRPr="005812CD" w:rsidRDefault="00402389" w:rsidP="002B039A">
            <w:pPr>
              <w:spacing w:after="0"/>
              <w:ind w:right="-142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19357D" w:rsidRPr="005812CD" w14:paraId="29D47C0E" w14:textId="77777777" w:rsidTr="005812CD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57F20AA" w14:textId="77777777" w:rsidR="00671D16" w:rsidRDefault="005812CD" w:rsidP="002B039A">
            <w:pPr>
              <w:pStyle w:val="Titre3"/>
              <w:ind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bookmarkStart w:id="0" w:name="_Toc216767514"/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Axe A :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Identification et sélection des </w:t>
            </w:r>
            <w:r w:rsidR="00F73BB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8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scénarios </w:t>
            </w:r>
          </w:p>
          <w:p w14:paraId="53C2FC8B" w14:textId="641ADC37" w:rsidR="005812CD" w:rsidRPr="002B039A" w:rsidRDefault="005812CD" w:rsidP="002B039A">
            <w:pPr>
              <w:pStyle w:val="Titre3"/>
              <w:ind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proofErr w:type="gramStart"/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à</w:t>
            </w:r>
            <w:proofErr w:type="gramEnd"/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 retenir pour les analyses économiques</w:t>
            </w:r>
            <w:bookmarkEnd w:id="0"/>
            <w:r w:rsidR="00357F33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3CAA046B" w14:textId="77777777" w:rsidR="005812CD" w:rsidRPr="002B039A" w:rsidRDefault="005812CD" w:rsidP="002B039A">
            <w:pPr>
              <w:pStyle w:val="ADEMENormal"/>
              <w:ind w:right="-142"/>
              <w:rPr>
                <w:rFonts w:ascii="Arial" w:hAnsi="Arial" w:cs="Arial"/>
                <w:szCs w:val="20"/>
              </w:rPr>
            </w:pPr>
          </w:p>
          <w:p w14:paraId="7D6CD9B5" w14:textId="314589C4" w:rsidR="0019357D" w:rsidRPr="002B039A" w:rsidRDefault="0019357D" w:rsidP="002B039A">
            <w:pPr>
              <w:autoSpaceDE w:val="0"/>
              <w:autoSpaceDN w:val="0"/>
              <w:adjustRightInd w:val="0"/>
              <w:spacing w:after="0"/>
              <w:ind w:right="-142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8FE2C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CEC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6288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3FC91B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5812CD" w14:paraId="4115E952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1867E78" w14:textId="40652504" w:rsidR="0019357D" w:rsidRPr="002B039A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color w:val="40404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E7345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0851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D4C8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FCFD3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357D" w:rsidRPr="005812CD" w14:paraId="7AE7F44A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4B990D" w14:textId="0349E0ED" w:rsidR="0019357D" w:rsidRPr="002B039A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color w:val="40404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B3355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D12C7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65766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C3CE9A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357D" w:rsidRPr="005812CD" w14:paraId="4D8C6E49" w14:textId="77777777" w:rsidTr="002B039A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9729" w14:textId="3A6046F2" w:rsidR="0019357D" w:rsidRPr="002B039A" w:rsidRDefault="0019357D" w:rsidP="002B039A">
            <w:pPr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i/>
                <w:color w:val="404040"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4F250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A88C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EF99F" w14:textId="77777777" w:rsidR="0019357D" w:rsidRPr="002B039A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1B2CA5" w14:textId="77777777" w:rsidR="0019357D" w:rsidRPr="005812CD" w:rsidRDefault="001935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5812CD" w14:paraId="0EA3BB38" w14:textId="77777777" w:rsidTr="002B039A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1E57F9D4" w14:textId="59156234" w:rsidR="005812CD" w:rsidRDefault="005812CD" w:rsidP="002B039A">
            <w:pPr>
              <w:pStyle w:val="Titre3"/>
              <w:ind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bookmarkStart w:id="1" w:name="_Toc216767515"/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Axe B -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Analyse économique des chaines de valeurs selon les typologies d’emballages réemployables sélectionnés dans les</w:t>
            </w:r>
            <w:r w:rsidR="00F73BB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 8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 scénarios de l’axe A</w:t>
            </w:r>
            <w:bookmarkEnd w:id="1"/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3779228" w14:textId="77777777" w:rsidR="002B039A" w:rsidRPr="002B039A" w:rsidRDefault="002B039A" w:rsidP="002B039A">
            <w:pPr>
              <w:pStyle w:val="ADEMENormal"/>
            </w:pPr>
          </w:p>
          <w:p w14:paraId="422B62CD" w14:textId="77777777" w:rsidR="005812CD" w:rsidRDefault="005812CD" w:rsidP="002B039A">
            <w:pPr>
              <w:pStyle w:val="Titre3"/>
              <w:spacing w:before="0"/>
              <w:ind w:left="492"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bookmarkStart w:id="2" w:name="_Toc216767516"/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Phase 1 :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Définition des étapes de la chaine de valeur et approche qualitative de l’évaluation économique par scénario</w:t>
            </w:r>
            <w:bookmarkEnd w:id="2"/>
          </w:p>
          <w:p w14:paraId="622F88BA" w14:textId="77777777" w:rsidR="002B039A" w:rsidRDefault="002B039A" w:rsidP="002B039A">
            <w:pPr>
              <w:pStyle w:val="Titre3"/>
              <w:spacing w:after="240"/>
              <w:ind w:left="492" w:right="-142"/>
              <w:rPr>
                <w:rFonts w:cs="Arial"/>
                <w:sz w:val="20"/>
                <w:szCs w:val="20"/>
                <w:shd w:val="clear" w:color="auto" w:fill="FFFFFF"/>
              </w:rPr>
            </w:pPr>
            <w:bookmarkStart w:id="3" w:name="_Toc216767517"/>
          </w:p>
          <w:p w14:paraId="480FD054" w14:textId="43F32717" w:rsidR="005812CD" w:rsidRPr="002B039A" w:rsidRDefault="005812CD" w:rsidP="002B039A">
            <w:pPr>
              <w:pStyle w:val="Titre3"/>
              <w:spacing w:after="240"/>
              <w:ind w:left="492"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Phase 2 :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Analyse économique et restitution des résultats par scénario</w:t>
            </w:r>
            <w:bookmarkEnd w:id="3"/>
          </w:p>
          <w:p w14:paraId="2CC3D78C" w14:textId="77777777" w:rsidR="002B039A" w:rsidRDefault="002B039A" w:rsidP="002B039A">
            <w:pPr>
              <w:pStyle w:val="Titre3"/>
              <w:ind w:left="492" w:right="-142"/>
              <w:rPr>
                <w:rFonts w:cs="Arial"/>
                <w:sz w:val="20"/>
                <w:szCs w:val="20"/>
                <w:shd w:val="clear" w:color="auto" w:fill="FFFFFF"/>
              </w:rPr>
            </w:pPr>
            <w:bookmarkStart w:id="4" w:name="_Toc216767518"/>
          </w:p>
          <w:p w14:paraId="1AA52AF8" w14:textId="3AAEB88C" w:rsidR="005812CD" w:rsidRPr="002B039A" w:rsidRDefault="005812CD" w:rsidP="002B039A">
            <w:pPr>
              <w:pStyle w:val="Titre3"/>
              <w:ind w:left="492" w:right="-142"/>
              <w:rPr>
                <w:rFonts w:cs="Arial"/>
                <w:sz w:val="20"/>
                <w:szCs w:val="20"/>
              </w:rPr>
            </w:pPr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Phase 3 :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Comparaison économique des chaînes de valeur du réemploi et de l’usage unique équivalent, sur la base d’une approche qualitative</w:t>
            </w:r>
            <w:bookmarkEnd w:id="4"/>
          </w:p>
          <w:p w14:paraId="478BAA3C" w14:textId="3428DAA0" w:rsidR="001143EE" w:rsidRPr="002B039A" w:rsidRDefault="001143EE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40E95AA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907ABE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C198A7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909F909" w14:textId="77777777" w:rsidR="001143EE" w:rsidRPr="005812CD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43EE" w:rsidRPr="005812CD" w14:paraId="51B269F1" w14:textId="77777777" w:rsidTr="002B039A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3A520B04" w14:textId="6396249C" w:rsidR="001143EE" w:rsidRPr="002B039A" w:rsidRDefault="001143EE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87D70B7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F5A1BA1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EE2F922" w14:textId="77777777" w:rsidR="001143EE" w:rsidRPr="002B039A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47C5AC1" w14:textId="77777777" w:rsidR="001143EE" w:rsidRPr="005812CD" w:rsidRDefault="001143EE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7B9758CA" w14:textId="77777777" w:rsidTr="002B039A">
        <w:trPr>
          <w:trHeight w:val="878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87632EB" w14:textId="77777777" w:rsidR="005812CD" w:rsidRPr="002B039A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50F1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F2C9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3DC91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16E74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35653925" w14:textId="77777777" w:rsidTr="005812CD">
        <w:trPr>
          <w:trHeight w:val="878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6E4946C7" w14:textId="77777777" w:rsidR="005812CD" w:rsidRPr="002B039A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D3123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D479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DE7BF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90504C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44708924" w14:textId="77777777" w:rsidTr="005812CD">
        <w:trPr>
          <w:trHeight w:val="878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76C9E9E" w14:textId="77777777" w:rsidR="005812CD" w:rsidRPr="002B039A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F6AE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D3E8A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4F8FD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DA0FF58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CD" w:rsidRPr="005812CD" w14:paraId="3C8A8D23" w14:textId="77777777" w:rsidTr="002B039A">
        <w:trPr>
          <w:trHeight w:val="749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4831CF17" w14:textId="77777777" w:rsidR="005812CD" w:rsidRPr="002B039A" w:rsidRDefault="005812CD" w:rsidP="002B039A">
            <w:pPr>
              <w:spacing w:after="0"/>
              <w:ind w:right="-14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73BB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EA6A0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0BDB" w14:textId="77777777" w:rsidR="005812CD" w:rsidRPr="002B039A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92D88E" w14:textId="77777777" w:rsidR="005812CD" w:rsidRPr="005812CD" w:rsidRDefault="005812C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1CEAF00C" w14:textId="77777777" w:rsidTr="005812CD">
        <w:trPr>
          <w:trHeight w:val="330"/>
          <w:jc w:val="center"/>
        </w:trPr>
        <w:tc>
          <w:tcPr>
            <w:tcW w:w="2227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03E4C183" w14:textId="67B215F9" w:rsidR="002B039A" w:rsidRPr="002B039A" w:rsidRDefault="002B039A" w:rsidP="002B039A">
            <w:pPr>
              <w:pStyle w:val="Titre3"/>
              <w:ind w:right="-142"/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</w:pPr>
            <w:bookmarkStart w:id="5" w:name="_Toc216767519"/>
            <w:bookmarkStart w:id="6" w:name="_Hlk149147898"/>
            <w:r w:rsidRPr="002B039A">
              <w:rPr>
                <w:rFonts w:cs="Arial"/>
                <w:sz w:val="20"/>
                <w:szCs w:val="20"/>
                <w:shd w:val="clear" w:color="auto" w:fill="FFFFFF"/>
              </w:rPr>
              <w:t xml:space="preserve">Axe C : </w:t>
            </w:r>
            <w:r w:rsidRPr="002B039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>Comparaison coût à l’achat entre d’un emballage réemployable neuf, un emballage réemployé et un emballage à usage unique</w:t>
            </w:r>
            <w:bookmarkEnd w:id="5"/>
            <w:r w:rsidR="00F73BBA">
              <w:rPr>
                <w:rFonts w:cs="Arial"/>
                <w:b w:val="0"/>
                <w:bCs/>
                <w:sz w:val="20"/>
                <w:szCs w:val="20"/>
                <w:shd w:val="clear" w:color="auto" w:fill="FFFFFF"/>
              </w:rPr>
              <w:t xml:space="preserve"> pour les 8 scénarios </w:t>
            </w:r>
          </w:p>
          <w:p w14:paraId="542D0198" w14:textId="4677FAFE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318E1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68D2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82E82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ED127C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35C8DB7A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5D982" w14:textId="548912BC" w:rsidR="00757B7D" w:rsidRPr="002B039A" w:rsidRDefault="00757B7D" w:rsidP="002B039A">
            <w:pPr>
              <w:spacing w:after="0" w:line="240" w:lineRule="auto"/>
              <w:ind w:right="-142"/>
              <w:jc w:val="both"/>
              <w:rPr>
                <w:rFonts w:ascii="Arial" w:hAnsi="Arial" w:cs="Arial"/>
                <w:i/>
                <w:color w:val="40404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646D7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86E43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AD71B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7B0DB0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67AE22F5" w14:textId="77777777" w:rsidTr="005812CD">
        <w:trPr>
          <w:trHeight w:val="330"/>
          <w:jc w:val="center"/>
        </w:trPr>
        <w:tc>
          <w:tcPr>
            <w:tcW w:w="2227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21C4" w14:textId="29A0A3D8" w:rsidR="00757B7D" w:rsidRPr="002B039A" w:rsidRDefault="00757B7D" w:rsidP="002B039A">
            <w:pPr>
              <w:spacing w:after="0" w:line="240" w:lineRule="auto"/>
              <w:ind w:right="-142"/>
              <w:rPr>
                <w:rFonts w:ascii="Arial" w:hAnsi="Arial" w:cs="Arial"/>
                <w:i/>
                <w:color w:val="40404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12932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61BD9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2A43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5D2701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bookmarkEnd w:id="6"/>
      <w:tr w:rsidR="00757B7D" w:rsidRPr="005812CD" w14:paraId="591CD928" w14:textId="77777777" w:rsidTr="005812CD">
        <w:trPr>
          <w:trHeight w:val="330"/>
          <w:jc w:val="center"/>
        </w:trPr>
        <w:tc>
          <w:tcPr>
            <w:tcW w:w="22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994F" w14:textId="19A7F313" w:rsidR="00757B7D" w:rsidRPr="002B039A" w:rsidRDefault="00757B7D" w:rsidP="002B039A">
            <w:pPr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color w:val="404040"/>
                <w:sz w:val="20"/>
                <w:szCs w:val="20"/>
                <w:highlight w:val="yellow"/>
                <w:lang w:eastAsia="fr-FR"/>
              </w:rPr>
            </w:pPr>
            <w:r w:rsidRPr="002B039A">
              <w:rPr>
                <w:rFonts w:ascii="Arial" w:eastAsia="Cambria" w:hAnsi="Arial" w:cs="Arial"/>
                <w:sz w:val="20"/>
                <w:szCs w:val="20"/>
              </w:rPr>
              <w:t>Production des livrables</w:t>
            </w:r>
            <w:r w:rsidRPr="002B039A">
              <w:rPr>
                <w:rFonts w:ascii="Arial" w:eastAsia="Times New Roman" w:hAnsi="Arial" w:cs="Arial"/>
                <w:b/>
                <w:color w:val="404040"/>
                <w:sz w:val="20"/>
                <w:szCs w:val="20"/>
                <w:highlight w:val="yellow"/>
                <w:lang w:eastAsia="fr-FR"/>
              </w:rPr>
              <w:t xml:space="preserve">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968D5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73E5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DABA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424F6CC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1732F33D" w14:textId="77777777" w:rsidTr="005812CD">
        <w:trPr>
          <w:trHeight w:val="330"/>
          <w:jc w:val="center"/>
        </w:trPr>
        <w:tc>
          <w:tcPr>
            <w:tcW w:w="222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9BBC7" w14:textId="18E0B66B" w:rsidR="00757B7D" w:rsidRPr="002B039A" w:rsidRDefault="00757B7D" w:rsidP="002B039A">
            <w:pPr>
              <w:spacing w:after="0" w:line="240" w:lineRule="auto"/>
              <w:ind w:right="-142"/>
              <w:jc w:val="both"/>
              <w:rPr>
                <w:rFonts w:ascii="Arial" w:eastAsia="Cambria" w:hAnsi="Arial" w:cs="Arial"/>
                <w:sz w:val="20"/>
                <w:szCs w:val="20"/>
              </w:rPr>
            </w:pPr>
            <w:r w:rsidRPr="002B039A">
              <w:rPr>
                <w:rFonts w:ascii="Arial" w:eastAsia="Cambria" w:hAnsi="Arial" w:cs="Arial"/>
                <w:sz w:val="20"/>
                <w:szCs w:val="20"/>
              </w:rPr>
              <w:t>Réunions d’échange, COPIL, COSUI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7EA9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B8EA2B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C461E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1AC636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62881E02" w14:textId="77777777" w:rsidTr="005812CD">
        <w:trPr>
          <w:trHeight w:val="318"/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70FCBB5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757B7D" w:rsidRPr="005812CD" w14:paraId="30C6A211" w14:textId="77777777" w:rsidTr="005812CD">
        <w:trPr>
          <w:trHeight w:val="454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F143C8" w14:textId="26DCA6C4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Frais de déplacements (à détailler)</w:t>
            </w:r>
          </w:p>
          <w:p w14:paraId="1AF41842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3542D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757B7D" w:rsidRPr="005812CD" w14:paraId="1EE3544F" w14:textId="77777777" w:rsidTr="005812CD">
        <w:trPr>
          <w:trHeight w:val="454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14:paraId="6B84936D" w14:textId="22BC7D2C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6862790C" w14:textId="77777777" w:rsidR="00757B7D" w:rsidRPr="002B039A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F4425A4" w14:textId="77777777" w:rsidR="00757B7D" w:rsidRPr="002B039A" w:rsidRDefault="00757B7D" w:rsidP="002B039A">
            <w:pPr>
              <w:ind w:righ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4D8A7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7B7D" w:rsidRPr="005812CD" w14:paraId="19FC3BF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935ACE5" w14:textId="15BCF499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TOTAL € HT 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B36913A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562834F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96FC88B" w14:textId="302C2BB1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D574F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57B7D" w:rsidRPr="005812CD" w14:paraId="5576630A" w14:textId="77777777" w:rsidTr="005812CD">
        <w:trPr>
          <w:trHeight w:val="318"/>
          <w:jc w:val="center"/>
        </w:trPr>
        <w:tc>
          <w:tcPr>
            <w:tcW w:w="4256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CA76860" w14:textId="5DD0A8D8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€ TTC 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5C0D41" w14:textId="77777777" w:rsidR="00757B7D" w:rsidRPr="005812CD" w:rsidRDefault="00757B7D" w:rsidP="002B039A">
            <w:pPr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342A080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45F9A2A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8078969" w14:textId="68F6FC5F" w:rsidR="0019357D" w:rsidRPr="005812CD" w:rsidRDefault="005812CD" w:rsidP="002B039A">
      <w:pPr>
        <w:tabs>
          <w:tab w:val="left" w:pos="3075"/>
        </w:tabs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b/>
          <w:sz w:val="20"/>
          <w:szCs w:val="20"/>
          <w:lang w:eastAsia="fr-FR"/>
        </w:rPr>
        <w:tab/>
      </w:r>
    </w:p>
    <w:p w14:paraId="6712EF1B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EB3C628" w14:textId="77777777" w:rsidR="0019357D" w:rsidRPr="005812CD" w:rsidRDefault="0019357D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1DED46F2" w14:textId="7986A2CD" w:rsidR="000D58F8" w:rsidRPr="005812CD" w:rsidRDefault="000D58F8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b/>
          <w:sz w:val="20"/>
          <w:szCs w:val="20"/>
          <w:lang w:eastAsia="fr-FR"/>
        </w:rPr>
        <w:t>Prestation unitaire</w:t>
      </w:r>
    </w:p>
    <w:p w14:paraId="39F3C7BF" w14:textId="5842AE1F" w:rsidR="00271A3C" w:rsidRPr="005812CD" w:rsidRDefault="00271A3C" w:rsidP="002B039A">
      <w:pPr>
        <w:autoSpaceDE w:val="0"/>
        <w:autoSpaceDN w:val="0"/>
        <w:adjustRightInd w:val="0"/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5"/>
        <w:gridCol w:w="1521"/>
        <w:gridCol w:w="1717"/>
        <w:gridCol w:w="2051"/>
      </w:tblGrid>
      <w:tr w:rsidR="0019357D" w:rsidRPr="005812CD" w14:paraId="5EFCB86E" w14:textId="77C9F7F1" w:rsidTr="00BD72B7">
        <w:trPr>
          <w:trHeight w:val="454"/>
          <w:jc w:val="center"/>
        </w:trPr>
        <w:tc>
          <w:tcPr>
            <w:tcW w:w="4345" w:type="dxa"/>
            <w:shd w:val="pct10" w:color="auto" w:fill="auto"/>
            <w:vAlign w:val="center"/>
          </w:tcPr>
          <w:p w14:paraId="7CB1AA31" w14:textId="34FCD2CF" w:rsidR="0019357D" w:rsidRPr="005812CD" w:rsidRDefault="0019357D" w:rsidP="002B039A">
            <w:pPr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Prestation unitaire </w:t>
            </w:r>
          </w:p>
        </w:tc>
        <w:tc>
          <w:tcPr>
            <w:tcW w:w="1521" w:type="dxa"/>
            <w:shd w:val="pct10" w:color="auto" w:fill="auto"/>
            <w:vAlign w:val="center"/>
          </w:tcPr>
          <w:p w14:paraId="46DB1D4D" w14:textId="77777777" w:rsidR="0019357D" w:rsidRPr="005812CD" w:rsidRDefault="0019357D" w:rsidP="002B039A">
            <w:pPr>
              <w:spacing w:after="0" w:line="240" w:lineRule="auto"/>
              <w:ind w:right="-142" w:firstLine="52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Prix unitaire HT</w:t>
            </w:r>
          </w:p>
        </w:tc>
        <w:tc>
          <w:tcPr>
            <w:tcW w:w="1717" w:type="dxa"/>
            <w:shd w:val="pct10" w:color="auto" w:fill="auto"/>
            <w:vAlign w:val="center"/>
          </w:tcPr>
          <w:p w14:paraId="5EFFE46B" w14:textId="08382ED4" w:rsidR="0019357D" w:rsidRPr="005812CD" w:rsidRDefault="0019357D" w:rsidP="002B039A">
            <w:pPr>
              <w:spacing w:after="0" w:line="240" w:lineRule="auto"/>
              <w:ind w:right="-142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total maximum</w:t>
            </w:r>
          </w:p>
        </w:tc>
        <w:tc>
          <w:tcPr>
            <w:tcW w:w="2051" w:type="dxa"/>
            <w:shd w:val="pct10" w:color="auto" w:fill="auto"/>
            <w:vAlign w:val="center"/>
          </w:tcPr>
          <w:p w14:paraId="50C1F5BF" w14:textId="480B9A2D" w:rsidR="0019357D" w:rsidRPr="005812CD" w:rsidRDefault="0019357D" w:rsidP="002B039A">
            <w:pPr>
              <w:spacing w:after="0" w:line="240" w:lineRule="auto"/>
              <w:ind w:right="-142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Prix total max</w:t>
            </w:r>
          </w:p>
          <w:p w14:paraId="19EAC7B9" w14:textId="5534908A" w:rsidR="0019357D" w:rsidRPr="005812CD" w:rsidRDefault="00BD72B7" w:rsidP="002B039A">
            <w:pPr>
              <w:spacing w:after="0" w:line="240" w:lineRule="auto"/>
              <w:ind w:right="-142" w:firstLine="5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€</w:t>
            </w:r>
          </w:p>
        </w:tc>
      </w:tr>
      <w:tr w:rsidR="0019357D" w:rsidRPr="005812CD" w14:paraId="7879A9E0" w14:textId="34ED3BF0" w:rsidTr="00BD72B7">
        <w:trPr>
          <w:trHeight w:val="737"/>
          <w:jc w:val="center"/>
        </w:trPr>
        <w:tc>
          <w:tcPr>
            <w:tcW w:w="4345" w:type="dxa"/>
          </w:tcPr>
          <w:p w14:paraId="5900A710" w14:textId="77777777" w:rsidR="001143EE" w:rsidRPr="002B039A" w:rsidRDefault="001143EE" w:rsidP="002B039A">
            <w:pPr>
              <w:pStyle w:val="ADEMENormal"/>
              <w:ind w:left="22" w:right="-142"/>
              <w:rPr>
                <w:rFonts w:ascii="Arial" w:hAnsi="Arial" w:cs="Arial"/>
                <w:szCs w:val="20"/>
                <w:shd w:val="clear" w:color="auto" w:fill="FFFFFF"/>
              </w:rPr>
            </w:pPr>
          </w:p>
          <w:p w14:paraId="1DC0D38E" w14:textId="4553B2A3" w:rsidR="0028684E" w:rsidRPr="002B039A" w:rsidRDefault="002B039A" w:rsidP="002B039A">
            <w:pPr>
              <w:autoSpaceDE w:val="0"/>
              <w:autoSpaceDN w:val="0"/>
              <w:adjustRightInd w:val="0"/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039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Analyse complète sur l’ensemble des axes de</w:t>
            </w:r>
            <w:r w:rsidR="00671D1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2B039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l’étude d’un scénario</w:t>
            </w:r>
            <w:r w:rsidRPr="002B039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73BBA">
              <w:rPr>
                <w:rFonts w:ascii="Arial" w:hAnsi="Arial" w:cs="Arial"/>
                <w:color w:val="000000"/>
                <w:sz w:val="20"/>
                <w:szCs w:val="20"/>
              </w:rPr>
              <w:t>complémentaire</w:t>
            </w:r>
          </w:p>
          <w:p w14:paraId="203C44F4" w14:textId="5181EB9D" w:rsidR="002B039A" w:rsidRPr="002B039A" w:rsidRDefault="002B039A" w:rsidP="002B039A">
            <w:pPr>
              <w:autoSpaceDE w:val="0"/>
              <w:autoSpaceDN w:val="0"/>
              <w:adjustRightInd w:val="0"/>
              <w:spacing w:after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vAlign w:val="center"/>
          </w:tcPr>
          <w:p w14:paraId="432E1B2F" w14:textId="77777777" w:rsidR="0019357D" w:rsidRPr="005812CD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AD5AC0B" w14:textId="77777777" w:rsidR="0019357D" w:rsidRPr="005812CD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vAlign w:val="center"/>
          </w:tcPr>
          <w:p w14:paraId="673AB6F0" w14:textId="2A09E1DB" w:rsidR="0028684E" w:rsidRPr="00BC3FE4" w:rsidRDefault="002B039A" w:rsidP="00671D16">
            <w:pPr>
              <w:tabs>
                <w:tab w:val="left" w:pos="820"/>
              </w:tabs>
              <w:autoSpaceDE w:val="0"/>
              <w:autoSpaceDN w:val="0"/>
              <w:adjustRightInd w:val="0"/>
              <w:spacing w:after="0" w:line="240" w:lineRule="auto"/>
              <w:ind w:left="-172" w:right="-142"/>
              <w:jc w:val="center"/>
              <w:rPr>
                <w:rFonts w:ascii="Arial" w:hAnsi="Arial" w:cs="Arial"/>
                <w:b/>
                <w:bCs/>
                <w:color w:val="404040"/>
                <w:sz w:val="20"/>
                <w:szCs w:val="20"/>
              </w:rPr>
            </w:pPr>
            <w:r w:rsidRPr="00BC3FE4">
              <w:rPr>
                <w:rFonts w:ascii="Arial" w:hAnsi="Arial" w:cs="Arial"/>
                <w:b/>
                <w:bCs/>
                <w:color w:val="404040"/>
                <w:sz w:val="20"/>
                <w:szCs w:val="20"/>
              </w:rPr>
              <w:t>4</w:t>
            </w:r>
          </w:p>
          <w:p w14:paraId="52361742" w14:textId="21B1B5D5" w:rsidR="0019357D" w:rsidRPr="005812CD" w:rsidRDefault="0019357D" w:rsidP="002B039A">
            <w:pPr>
              <w:tabs>
                <w:tab w:val="left" w:pos="773"/>
              </w:tabs>
              <w:autoSpaceDE w:val="0"/>
              <w:autoSpaceDN w:val="0"/>
              <w:adjustRightInd w:val="0"/>
              <w:spacing w:after="0" w:line="240" w:lineRule="auto"/>
              <w:ind w:left="37" w:right="-142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12CD">
              <w:rPr>
                <w:rFonts w:ascii="Arial" w:hAnsi="Arial" w:cs="Arial"/>
                <w:color w:val="404040"/>
                <w:sz w:val="16"/>
                <w:szCs w:val="16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14:paraId="00272316" w14:textId="77777777" w:rsidR="0019357D" w:rsidRPr="005812CD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9357D" w:rsidRPr="005812CD" w14:paraId="0257B04D" w14:textId="18188004" w:rsidTr="00BD72B7">
        <w:trPr>
          <w:trHeight w:val="397"/>
          <w:jc w:val="center"/>
        </w:trPr>
        <w:tc>
          <w:tcPr>
            <w:tcW w:w="43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C48E1F" w14:textId="77777777" w:rsidR="0019357D" w:rsidRPr="005812CD" w:rsidRDefault="0019357D" w:rsidP="002B039A">
            <w:pPr>
              <w:spacing w:after="0" w:line="240" w:lineRule="auto"/>
              <w:ind w:righ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E8D2510" w14:textId="77777777" w:rsidR="0019357D" w:rsidRPr="005812CD" w:rsidRDefault="0019357D" w:rsidP="002B039A">
            <w:pPr>
              <w:spacing w:after="0" w:line="240" w:lineRule="auto"/>
              <w:ind w:left="72" w:righ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27D39C93" w14:textId="40FF0259" w:rsidR="0019357D" w:rsidRPr="005812CD" w:rsidRDefault="00BD72B7" w:rsidP="002B039A">
            <w:pPr>
              <w:spacing w:after="0" w:line="240" w:lineRule="auto"/>
              <w:ind w:right="-142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HT</w:t>
            </w:r>
          </w:p>
        </w:tc>
        <w:tc>
          <w:tcPr>
            <w:tcW w:w="2051" w:type="dxa"/>
            <w:vAlign w:val="center"/>
          </w:tcPr>
          <w:p w14:paraId="7C2A6AFF" w14:textId="77777777" w:rsidR="0019357D" w:rsidRPr="005812CD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19357D" w:rsidRPr="005812CD" w14:paraId="23434A48" w14:textId="6C17A077" w:rsidTr="00BD72B7">
        <w:trPr>
          <w:trHeight w:val="397"/>
          <w:jc w:val="center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33098" w14:textId="77777777" w:rsidR="0019357D" w:rsidRPr="005812CD" w:rsidRDefault="0019357D" w:rsidP="002B039A">
            <w:pPr>
              <w:spacing w:after="0" w:line="240" w:lineRule="auto"/>
              <w:ind w:righ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3C2104" w14:textId="77777777" w:rsidR="0019357D" w:rsidRPr="005812CD" w:rsidRDefault="0019357D" w:rsidP="002B039A">
            <w:pPr>
              <w:spacing w:after="0" w:line="240" w:lineRule="auto"/>
              <w:ind w:left="72" w:righ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4DCB99A7" w14:textId="7FC66351" w:rsidR="0019357D" w:rsidRPr="005812CD" w:rsidRDefault="00BD72B7" w:rsidP="002B039A">
            <w:pPr>
              <w:spacing w:after="0" w:line="240" w:lineRule="auto"/>
              <w:ind w:right="-142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  <w:r w:rsidR="0019357D" w:rsidRPr="005812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051" w:type="dxa"/>
            <w:vAlign w:val="center"/>
          </w:tcPr>
          <w:p w14:paraId="16D2779C" w14:textId="77777777" w:rsidR="0019357D" w:rsidRPr="005812CD" w:rsidRDefault="0019357D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64730F" w:rsidRPr="005812CD" w14:paraId="00A93D46" w14:textId="34C4614D" w:rsidTr="00BD72B7">
        <w:trPr>
          <w:trHeight w:val="397"/>
          <w:jc w:val="center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55EE1" w14:textId="77777777" w:rsidR="00271A3C" w:rsidRPr="005812CD" w:rsidRDefault="00271A3C" w:rsidP="002B039A">
            <w:pPr>
              <w:spacing w:after="0" w:line="240" w:lineRule="auto"/>
              <w:ind w:right="-142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95DCD2" w14:textId="77777777" w:rsidR="00271A3C" w:rsidRPr="005812CD" w:rsidRDefault="00271A3C" w:rsidP="002B039A">
            <w:pPr>
              <w:spacing w:after="0" w:line="240" w:lineRule="auto"/>
              <w:ind w:left="72" w:right="-14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71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14:paraId="4A451A2A" w14:textId="23BF50C2" w:rsidR="00271A3C" w:rsidRPr="005812CD" w:rsidRDefault="00BD72B7" w:rsidP="002B039A">
            <w:pPr>
              <w:spacing w:after="0" w:line="240" w:lineRule="auto"/>
              <w:ind w:right="-142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TTC</w:t>
            </w:r>
          </w:p>
        </w:tc>
        <w:tc>
          <w:tcPr>
            <w:tcW w:w="2051" w:type="dxa"/>
            <w:vAlign w:val="center"/>
          </w:tcPr>
          <w:p w14:paraId="580987BD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 w:firstLine="580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6E81F41D" w14:textId="77777777" w:rsidR="006B57EA" w:rsidRPr="005812CD" w:rsidRDefault="006B57EA" w:rsidP="002B039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2E12A79" w14:textId="77777777" w:rsidR="00271A3C" w:rsidRPr="005812CD" w:rsidRDefault="00271A3C" w:rsidP="002B039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2D3C9A6E" w14:textId="61E5235E" w:rsidR="00D00DB5" w:rsidRPr="005812CD" w:rsidRDefault="00271A3C" w:rsidP="002B039A">
      <w:pPr>
        <w:autoSpaceDE w:val="0"/>
        <w:autoSpaceDN w:val="0"/>
        <w:adjustRightInd w:val="0"/>
        <w:spacing w:after="0" w:line="240" w:lineRule="auto"/>
        <w:ind w:right="-142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b/>
          <w:sz w:val="20"/>
          <w:szCs w:val="20"/>
          <w:lang w:eastAsia="fr-FR"/>
        </w:rPr>
        <w:t>Total des prestations forfaitaires et unitaires :</w:t>
      </w:r>
    </w:p>
    <w:p w14:paraId="6A9E0456" w14:textId="4B19379A" w:rsidR="00271A3C" w:rsidRPr="005812CD" w:rsidRDefault="00271A3C" w:rsidP="002B039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4531"/>
        <w:gridCol w:w="3686"/>
      </w:tblGrid>
      <w:tr w:rsidR="00271A3C" w:rsidRPr="005812CD" w14:paraId="60426FF5" w14:textId="77777777" w:rsidTr="00A77038">
        <w:tc>
          <w:tcPr>
            <w:tcW w:w="4531" w:type="dxa"/>
            <w:vAlign w:val="center"/>
          </w:tcPr>
          <w:p w14:paraId="3FDC8848" w14:textId="77777777" w:rsidR="00A77038" w:rsidRPr="005812CD" w:rsidRDefault="00A77038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229AE5FB" w14:textId="652CEA18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Prestation forfaitaire </w:t>
            </w:r>
          </w:p>
          <w:p w14:paraId="70F6ABFB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  <w:tc>
          <w:tcPr>
            <w:tcW w:w="3686" w:type="dxa"/>
            <w:vAlign w:val="center"/>
          </w:tcPr>
          <w:p w14:paraId="4230ABFA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5812CD" w14:paraId="2031B2CA" w14:textId="77777777" w:rsidTr="00EE37B9">
        <w:trPr>
          <w:trHeight w:val="660"/>
        </w:trPr>
        <w:tc>
          <w:tcPr>
            <w:tcW w:w="4531" w:type="dxa"/>
            <w:vAlign w:val="center"/>
          </w:tcPr>
          <w:p w14:paraId="6FCDF78C" w14:textId="12F5E221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812CD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Prestation unitaire max </w:t>
            </w:r>
          </w:p>
        </w:tc>
        <w:tc>
          <w:tcPr>
            <w:tcW w:w="3686" w:type="dxa"/>
            <w:vAlign w:val="center"/>
          </w:tcPr>
          <w:p w14:paraId="4B9EA521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5812CD" w14:paraId="706DF5FC" w14:textId="77777777" w:rsidTr="00A77038">
        <w:trPr>
          <w:trHeight w:val="403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7086786C" w14:textId="2F9658A3" w:rsidR="00271A3C" w:rsidRPr="005812CD" w:rsidRDefault="00BD72B7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HT</w:t>
            </w:r>
          </w:p>
        </w:tc>
        <w:tc>
          <w:tcPr>
            <w:tcW w:w="3686" w:type="dxa"/>
            <w:vAlign w:val="center"/>
          </w:tcPr>
          <w:p w14:paraId="71C6BDD8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5812CD" w14:paraId="49B24902" w14:textId="77777777" w:rsidTr="00A77038">
        <w:trPr>
          <w:trHeight w:val="551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FBF3C54" w14:textId="55C65F10" w:rsidR="00271A3C" w:rsidRPr="005812CD" w:rsidRDefault="00BD72B7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TVA (…%)</w:t>
            </w:r>
          </w:p>
        </w:tc>
        <w:tc>
          <w:tcPr>
            <w:tcW w:w="3686" w:type="dxa"/>
            <w:vAlign w:val="center"/>
          </w:tcPr>
          <w:p w14:paraId="767A378E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271A3C" w:rsidRPr="005812CD" w14:paraId="57F8809B" w14:textId="77777777" w:rsidTr="00A77038">
        <w:trPr>
          <w:trHeight w:val="558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5EBA8FA4" w14:textId="01806C48" w:rsidR="00271A3C" w:rsidRPr="005812CD" w:rsidRDefault="00BD72B7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5812C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€ TTC</w:t>
            </w:r>
          </w:p>
        </w:tc>
        <w:tc>
          <w:tcPr>
            <w:tcW w:w="3686" w:type="dxa"/>
            <w:vAlign w:val="center"/>
          </w:tcPr>
          <w:p w14:paraId="7A35E3FC" w14:textId="77777777" w:rsidR="00271A3C" w:rsidRPr="005812CD" w:rsidRDefault="00271A3C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362581FC" w14:textId="77777777" w:rsidR="00757B7D" w:rsidRPr="005812CD" w:rsidRDefault="00757B7D" w:rsidP="002B039A">
            <w:pPr>
              <w:autoSpaceDE w:val="0"/>
              <w:autoSpaceDN w:val="0"/>
              <w:adjustRightInd w:val="0"/>
              <w:spacing w:after="0" w:line="240" w:lineRule="auto"/>
              <w:ind w:right="-142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</w:tbl>
    <w:p w14:paraId="2176D90D" w14:textId="677193D9" w:rsidR="00271A3C" w:rsidRPr="005812CD" w:rsidRDefault="00271A3C" w:rsidP="002B039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3DD2965" w14:textId="77777777" w:rsidR="00271A3C" w:rsidRPr="005812CD" w:rsidRDefault="00271A3C" w:rsidP="00D00DB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51D5E6D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286F5D30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432EEF94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63424650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3B98CD9B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5DE55A0B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4D87FA19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2F5EF9F1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576904D3" w14:textId="77777777" w:rsidR="00757B7D" w:rsidRPr="005812CD" w:rsidRDefault="00757B7D" w:rsidP="00757B7D">
      <w:pPr>
        <w:rPr>
          <w:rFonts w:ascii="Arial" w:eastAsia="Times New Roman" w:hAnsi="Arial" w:cs="Arial"/>
          <w:sz w:val="20"/>
          <w:szCs w:val="20"/>
          <w:lang w:eastAsia="fr-FR"/>
        </w:rPr>
      </w:pPr>
    </w:p>
    <w:p w14:paraId="3D7901AA" w14:textId="6641AF19" w:rsidR="00757B7D" w:rsidRPr="005812CD" w:rsidRDefault="00757B7D" w:rsidP="00757B7D">
      <w:pPr>
        <w:tabs>
          <w:tab w:val="left" w:pos="3580"/>
        </w:tabs>
        <w:rPr>
          <w:rFonts w:ascii="Arial" w:eastAsia="Times New Roman" w:hAnsi="Arial" w:cs="Arial"/>
          <w:sz w:val="20"/>
          <w:szCs w:val="20"/>
          <w:lang w:eastAsia="fr-FR"/>
        </w:rPr>
      </w:pPr>
      <w:r w:rsidRPr="005812CD">
        <w:rPr>
          <w:rFonts w:ascii="Arial" w:eastAsia="Times New Roman" w:hAnsi="Arial" w:cs="Arial"/>
          <w:sz w:val="20"/>
          <w:szCs w:val="20"/>
          <w:lang w:eastAsia="fr-FR"/>
        </w:rPr>
        <w:tab/>
      </w:r>
    </w:p>
    <w:sectPr w:rsidR="00757B7D" w:rsidRPr="005812CD" w:rsidSect="002B039A">
      <w:headerReference w:type="default" r:id="rId7"/>
      <w:footerReference w:type="default" r:id="rId8"/>
      <w:pgSz w:w="11906" w:h="16838"/>
      <w:pgMar w:top="709" w:right="991" w:bottom="567" w:left="1276" w:header="426" w:footer="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8B3E9" w14:textId="77777777" w:rsidR="009871D1" w:rsidRDefault="009871D1" w:rsidP="00216F96">
      <w:pPr>
        <w:spacing w:after="0" w:line="240" w:lineRule="auto"/>
      </w:pPr>
      <w:r>
        <w:separator/>
      </w:r>
    </w:p>
  </w:endnote>
  <w:endnote w:type="continuationSeparator" w:id="0">
    <w:p w14:paraId="00D5BF2F" w14:textId="77777777" w:rsidR="009871D1" w:rsidRDefault="009871D1" w:rsidP="00216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0F18" w14:textId="69B78507" w:rsidR="00216F96" w:rsidRDefault="00216F96" w:rsidP="00216F96">
    <w:pPr>
      <w:pStyle w:val="Pieddepage"/>
    </w:pPr>
    <w:r>
      <w:rPr>
        <w:b/>
        <w:i/>
        <w:sz w:val="18"/>
        <w:szCs w:val="18"/>
      </w:rPr>
      <w:t xml:space="preserve"> Cadre de décomposition des prix</w:t>
    </w:r>
    <w:r w:rsidR="00A70B15">
      <w:rPr>
        <w:b/>
        <w:i/>
        <w:sz w:val="18"/>
        <w:szCs w:val="18"/>
      </w:rPr>
      <w:t xml:space="preserve"> </w:t>
    </w:r>
    <w:r w:rsidR="0019357D">
      <w:rPr>
        <w:b/>
        <w:i/>
        <w:sz w:val="18"/>
        <w:szCs w:val="18"/>
      </w:rPr>
      <w:t>202</w:t>
    </w:r>
    <w:r w:rsidR="005812CD">
      <w:rPr>
        <w:b/>
        <w:i/>
        <w:sz w:val="18"/>
        <w:szCs w:val="18"/>
      </w:rPr>
      <w:t>6</w:t>
    </w:r>
    <w:r w:rsidR="00757B7D">
      <w:rPr>
        <w:b/>
        <w:i/>
        <w:sz w:val="18"/>
        <w:szCs w:val="18"/>
      </w:rPr>
      <w:t>AC10000</w:t>
    </w:r>
    <w:r w:rsidR="005812CD">
      <w:rPr>
        <w:b/>
        <w:i/>
        <w:sz w:val="18"/>
        <w:szCs w:val="18"/>
      </w:rPr>
      <w:t>1</w:t>
    </w:r>
    <w:r>
      <w:rPr>
        <w:b/>
        <w:i/>
        <w:sz w:val="18"/>
        <w:szCs w:val="18"/>
      </w:rPr>
      <w:tab/>
    </w:r>
    <w:r>
      <w:rPr>
        <w:b/>
        <w:i/>
        <w:sz w:val="18"/>
        <w:szCs w:val="18"/>
      </w:rPr>
      <w:tab/>
    </w:r>
    <w:sdt>
      <w:sdtPr>
        <w:id w:val="1718857480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6D3D96">
              <w:rPr>
                <w:i/>
                <w:sz w:val="18"/>
                <w:szCs w:val="18"/>
              </w:rPr>
              <w:t xml:space="preserve">Page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PAGE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  <w:r w:rsidRPr="006D3D96">
              <w:rPr>
                <w:i/>
                <w:sz w:val="18"/>
                <w:szCs w:val="18"/>
              </w:rPr>
              <w:t xml:space="preserve"> sur 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Pr="006D3D96">
              <w:rPr>
                <w:b/>
                <w:bCs/>
                <w:i/>
                <w:sz w:val="18"/>
                <w:szCs w:val="18"/>
              </w:rPr>
              <w:instrText>NUMPAGES</w:instrTex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F26FD0">
              <w:rPr>
                <w:b/>
                <w:bCs/>
                <w:i/>
                <w:noProof/>
                <w:sz w:val="18"/>
                <w:szCs w:val="18"/>
              </w:rPr>
              <w:t>2</w:t>
            </w:r>
            <w:r w:rsidRPr="006D3D96">
              <w:rPr>
                <w:b/>
                <w:bCs/>
                <w:i/>
                <w:sz w:val="18"/>
                <w:szCs w:val="18"/>
              </w:rPr>
              <w:fldChar w:fldCharType="end"/>
            </w:r>
          </w:sdtContent>
        </w:sdt>
      </w:sdtContent>
    </w:sdt>
  </w:p>
  <w:p w14:paraId="74378748" w14:textId="77777777" w:rsidR="00216F96" w:rsidRDefault="00216F9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CFB81" w14:textId="77777777" w:rsidR="009871D1" w:rsidRDefault="009871D1" w:rsidP="00216F96">
      <w:pPr>
        <w:spacing w:after="0" w:line="240" w:lineRule="auto"/>
      </w:pPr>
      <w:r>
        <w:separator/>
      </w:r>
    </w:p>
  </w:footnote>
  <w:footnote w:type="continuationSeparator" w:id="0">
    <w:p w14:paraId="0CA6117B" w14:textId="77777777" w:rsidR="009871D1" w:rsidRDefault="009871D1" w:rsidP="00216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560" w:type="dxa"/>
      <w:tblInd w:w="-709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70"/>
      <w:gridCol w:w="3071"/>
      <w:gridCol w:w="4419"/>
    </w:tblGrid>
    <w:tr w:rsidR="008C3FCC" w14:paraId="0C26088F" w14:textId="77777777" w:rsidTr="008C3FCC">
      <w:tc>
        <w:tcPr>
          <w:tcW w:w="3070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314A90A" w14:textId="77777777" w:rsidR="008C3FCC" w:rsidRDefault="008C3FCC" w:rsidP="008C3FCC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3AA5A765" w14:textId="77777777" w:rsidR="008C3FCC" w:rsidRDefault="008C3FCC" w:rsidP="008C3FCC">
          <w:pPr>
            <w:pStyle w:val="RdaliaLgende"/>
          </w:pPr>
        </w:p>
      </w:tc>
      <w:tc>
        <w:tcPr>
          <w:tcW w:w="4419" w:type="dxa"/>
          <w:tcBorders>
            <w:bottom w:val="single" w:sz="4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</w:tcPr>
        <w:p w14:paraId="0013A177" w14:textId="5E2E5AD4" w:rsidR="008C3FCC" w:rsidRDefault="008C3FCC" w:rsidP="008C3FCC">
          <w:pPr>
            <w:pStyle w:val="RdaliaLgende"/>
            <w:jc w:val="right"/>
          </w:pPr>
          <w:r>
            <w:t xml:space="preserve">Procédure : </w:t>
          </w:r>
          <w:r w:rsidR="00757B7D">
            <w:t>202</w:t>
          </w:r>
          <w:r w:rsidR="005812CD">
            <w:t>6</w:t>
          </w:r>
          <w:r w:rsidR="00757B7D">
            <w:t>AC10000</w:t>
          </w:r>
          <w:r w:rsidR="005812CD">
            <w:t>1</w:t>
          </w:r>
        </w:p>
      </w:tc>
    </w:tr>
  </w:tbl>
  <w:p w14:paraId="67BAA5A9" w14:textId="77777777" w:rsidR="008C3FCC" w:rsidRDefault="008C3FCC" w:rsidP="008C3FCC">
    <w:pPr>
      <w:pStyle w:val="En-tte"/>
      <w:ind w:left="-709" w:firstLine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14193"/>
    <w:multiLevelType w:val="multilevel"/>
    <w:tmpl w:val="F97486C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1049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B661BC"/>
    <w:multiLevelType w:val="hybridMultilevel"/>
    <w:tmpl w:val="A4A8409E"/>
    <w:lvl w:ilvl="0" w:tplc="B2A627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027E"/>
    <w:multiLevelType w:val="hybridMultilevel"/>
    <w:tmpl w:val="5DDAE3B8"/>
    <w:lvl w:ilvl="0" w:tplc="214A5A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7641B"/>
    <w:multiLevelType w:val="hybridMultilevel"/>
    <w:tmpl w:val="9500C3F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17B56"/>
    <w:multiLevelType w:val="hybridMultilevel"/>
    <w:tmpl w:val="C49290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60A78"/>
    <w:multiLevelType w:val="hybridMultilevel"/>
    <w:tmpl w:val="16D673C4"/>
    <w:lvl w:ilvl="0" w:tplc="AF6E85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5076CA"/>
    <w:multiLevelType w:val="hybridMultilevel"/>
    <w:tmpl w:val="D86893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131F5"/>
    <w:multiLevelType w:val="hybridMultilevel"/>
    <w:tmpl w:val="95EA9A5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71C2020"/>
    <w:multiLevelType w:val="hybridMultilevel"/>
    <w:tmpl w:val="DC72BC26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455EA8"/>
    <w:multiLevelType w:val="hybridMultilevel"/>
    <w:tmpl w:val="CA9EBE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181331">
    <w:abstractNumId w:val="1"/>
  </w:num>
  <w:num w:numId="2" w16cid:durableId="1890460959">
    <w:abstractNumId w:val="8"/>
  </w:num>
  <w:num w:numId="3" w16cid:durableId="1049691361">
    <w:abstractNumId w:val="3"/>
  </w:num>
  <w:num w:numId="4" w16cid:durableId="1310136416">
    <w:abstractNumId w:val="5"/>
  </w:num>
  <w:num w:numId="5" w16cid:durableId="313876597">
    <w:abstractNumId w:val="6"/>
  </w:num>
  <w:num w:numId="6" w16cid:durableId="1109618907">
    <w:abstractNumId w:val="4"/>
  </w:num>
  <w:num w:numId="7" w16cid:durableId="1253856789">
    <w:abstractNumId w:val="9"/>
  </w:num>
  <w:num w:numId="8" w16cid:durableId="888611023">
    <w:abstractNumId w:val="7"/>
  </w:num>
  <w:num w:numId="9" w16cid:durableId="553080490">
    <w:abstractNumId w:val="2"/>
  </w:num>
  <w:num w:numId="10" w16cid:durableId="3869317">
    <w:abstractNumId w:val="0"/>
  </w:num>
  <w:num w:numId="11" w16cid:durableId="6140994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F11"/>
    <w:rsid w:val="000721A2"/>
    <w:rsid w:val="00084278"/>
    <w:rsid w:val="000B6EA7"/>
    <w:rsid w:val="000C22AF"/>
    <w:rsid w:val="000D00A5"/>
    <w:rsid w:val="000D58F8"/>
    <w:rsid w:val="000E6A23"/>
    <w:rsid w:val="001143EE"/>
    <w:rsid w:val="00181063"/>
    <w:rsid w:val="0019357D"/>
    <w:rsid w:val="001A3A34"/>
    <w:rsid w:val="001C2871"/>
    <w:rsid w:val="001D0899"/>
    <w:rsid w:val="00216F96"/>
    <w:rsid w:val="00251070"/>
    <w:rsid w:val="0026453C"/>
    <w:rsid w:val="00271A3C"/>
    <w:rsid w:val="0028684E"/>
    <w:rsid w:val="00291623"/>
    <w:rsid w:val="002B039A"/>
    <w:rsid w:val="002B4725"/>
    <w:rsid w:val="002C4E28"/>
    <w:rsid w:val="00322672"/>
    <w:rsid w:val="00350753"/>
    <w:rsid w:val="003572A4"/>
    <w:rsid w:val="00357F33"/>
    <w:rsid w:val="003B6859"/>
    <w:rsid w:val="003F1CD8"/>
    <w:rsid w:val="00402389"/>
    <w:rsid w:val="00411E76"/>
    <w:rsid w:val="00446C2B"/>
    <w:rsid w:val="004705FC"/>
    <w:rsid w:val="0047677D"/>
    <w:rsid w:val="004909E5"/>
    <w:rsid w:val="004A32C9"/>
    <w:rsid w:val="004A7A65"/>
    <w:rsid w:val="004E30D7"/>
    <w:rsid w:val="0051167C"/>
    <w:rsid w:val="0053050F"/>
    <w:rsid w:val="0056784C"/>
    <w:rsid w:val="0057126F"/>
    <w:rsid w:val="005812CD"/>
    <w:rsid w:val="005E3403"/>
    <w:rsid w:val="00613AD5"/>
    <w:rsid w:val="0064730F"/>
    <w:rsid w:val="0065446A"/>
    <w:rsid w:val="00671D16"/>
    <w:rsid w:val="006B57EA"/>
    <w:rsid w:val="006B5FBA"/>
    <w:rsid w:val="006D05D6"/>
    <w:rsid w:val="00716A5E"/>
    <w:rsid w:val="00731FE7"/>
    <w:rsid w:val="00734385"/>
    <w:rsid w:val="00747180"/>
    <w:rsid w:val="00757B7D"/>
    <w:rsid w:val="00773A8E"/>
    <w:rsid w:val="007D6CDF"/>
    <w:rsid w:val="007E2F11"/>
    <w:rsid w:val="0080361A"/>
    <w:rsid w:val="008039A5"/>
    <w:rsid w:val="008115F3"/>
    <w:rsid w:val="0081671C"/>
    <w:rsid w:val="0085000C"/>
    <w:rsid w:val="00886909"/>
    <w:rsid w:val="008B0639"/>
    <w:rsid w:val="008B41A2"/>
    <w:rsid w:val="008B689F"/>
    <w:rsid w:val="008C3FCC"/>
    <w:rsid w:val="008D04F4"/>
    <w:rsid w:val="008F014E"/>
    <w:rsid w:val="008F25DC"/>
    <w:rsid w:val="00932C90"/>
    <w:rsid w:val="00984470"/>
    <w:rsid w:val="00984C2A"/>
    <w:rsid w:val="00987149"/>
    <w:rsid w:val="009871D1"/>
    <w:rsid w:val="009A5967"/>
    <w:rsid w:val="009B0329"/>
    <w:rsid w:val="009D52BA"/>
    <w:rsid w:val="009E792E"/>
    <w:rsid w:val="00A0236A"/>
    <w:rsid w:val="00A057E1"/>
    <w:rsid w:val="00A17C65"/>
    <w:rsid w:val="00A339FB"/>
    <w:rsid w:val="00A378AE"/>
    <w:rsid w:val="00A41306"/>
    <w:rsid w:val="00A53901"/>
    <w:rsid w:val="00A70B15"/>
    <w:rsid w:val="00A77038"/>
    <w:rsid w:val="00A93A06"/>
    <w:rsid w:val="00A94FBF"/>
    <w:rsid w:val="00A97E5B"/>
    <w:rsid w:val="00AC2242"/>
    <w:rsid w:val="00B108EE"/>
    <w:rsid w:val="00B5008F"/>
    <w:rsid w:val="00B50C17"/>
    <w:rsid w:val="00BC3FE4"/>
    <w:rsid w:val="00BD72B7"/>
    <w:rsid w:val="00BD78F7"/>
    <w:rsid w:val="00BE1F5B"/>
    <w:rsid w:val="00C0661F"/>
    <w:rsid w:val="00C14CDA"/>
    <w:rsid w:val="00C1741F"/>
    <w:rsid w:val="00C449F1"/>
    <w:rsid w:val="00C80B6F"/>
    <w:rsid w:val="00C8569D"/>
    <w:rsid w:val="00CA2063"/>
    <w:rsid w:val="00D00DB5"/>
    <w:rsid w:val="00D56349"/>
    <w:rsid w:val="00E01A90"/>
    <w:rsid w:val="00E030CD"/>
    <w:rsid w:val="00E033F9"/>
    <w:rsid w:val="00E43CFF"/>
    <w:rsid w:val="00E908E7"/>
    <w:rsid w:val="00EA66F0"/>
    <w:rsid w:val="00EC3523"/>
    <w:rsid w:val="00EC7B09"/>
    <w:rsid w:val="00EE37B9"/>
    <w:rsid w:val="00EE7DFC"/>
    <w:rsid w:val="00F02D12"/>
    <w:rsid w:val="00F04B9D"/>
    <w:rsid w:val="00F06C95"/>
    <w:rsid w:val="00F1535F"/>
    <w:rsid w:val="00F26FD0"/>
    <w:rsid w:val="00F413A2"/>
    <w:rsid w:val="00F60033"/>
    <w:rsid w:val="00F73BBA"/>
    <w:rsid w:val="00F84516"/>
    <w:rsid w:val="00FA403B"/>
    <w:rsid w:val="00FD3D62"/>
    <w:rsid w:val="00FF219E"/>
    <w:rsid w:val="00FF26F5"/>
    <w:rsid w:val="00FF3E81"/>
    <w:rsid w:val="00FF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5C971"/>
  <w15:chartTrackingRefBased/>
  <w15:docId w15:val="{F404BF22-5E7D-4F31-9716-C6C8CB53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F11"/>
    <w:pPr>
      <w:spacing w:after="200" w:line="276" w:lineRule="auto"/>
    </w:pPr>
  </w:style>
  <w:style w:type="paragraph" w:styleId="Titre1">
    <w:name w:val="heading 1"/>
    <w:aliases w:val="ADEME Titre 1"/>
    <w:next w:val="ADEMENormal"/>
    <w:link w:val="Titre1Car"/>
    <w:autoRedefine/>
    <w:uiPriority w:val="9"/>
    <w:qFormat/>
    <w:rsid w:val="005812CD"/>
    <w:pPr>
      <w:numPr>
        <w:numId w:val="10"/>
      </w:numPr>
      <w:suppressLineNumbers/>
      <w:suppressAutoHyphens/>
      <w:spacing w:before="480" w:after="0" w:line="240" w:lineRule="auto"/>
      <w:contextualSpacing/>
      <w:outlineLvl w:val="0"/>
    </w:pPr>
    <w:rPr>
      <w:rFonts w:ascii="Arial" w:eastAsiaTheme="minorEastAsia" w:hAnsi="Arial" w:cs="Arial"/>
      <w:b/>
      <w:color w:val="404040" w:themeColor="text1" w:themeTint="BF"/>
      <w:sz w:val="28"/>
      <w:lang w:eastAsia="fr-FR"/>
    </w:rPr>
  </w:style>
  <w:style w:type="paragraph" w:styleId="Titre2">
    <w:name w:val="heading 2"/>
    <w:aliases w:val="ADEME Titre 2"/>
    <w:next w:val="ADEMENormal"/>
    <w:link w:val="Titre2Car"/>
    <w:autoRedefine/>
    <w:uiPriority w:val="1"/>
    <w:qFormat/>
    <w:rsid w:val="005812CD"/>
    <w:pPr>
      <w:numPr>
        <w:ilvl w:val="1"/>
        <w:numId w:val="10"/>
      </w:numPr>
      <w:suppressLineNumbers/>
      <w:suppressAutoHyphens/>
      <w:spacing w:before="480" w:after="0" w:line="240" w:lineRule="auto"/>
      <w:ind w:left="851"/>
      <w:contextualSpacing/>
      <w:outlineLvl w:val="1"/>
    </w:pPr>
    <w:rPr>
      <w:rFonts w:ascii="Arial" w:eastAsiaTheme="minorEastAsia" w:hAnsi="Arial" w:cs="Arial"/>
      <w:b/>
      <w:color w:val="404040" w:themeColor="text1" w:themeTint="BF"/>
      <w:sz w:val="24"/>
      <w:shd w:val="clear" w:color="auto" w:fill="FFFFFF"/>
      <w:lang w:eastAsia="fr-FR"/>
    </w:rPr>
  </w:style>
  <w:style w:type="paragraph" w:styleId="Titre3">
    <w:name w:val="heading 3"/>
    <w:aliases w:val="ADEME Titre 3"/>
    <w:next w:val="ADEMENormal"/>
    <w:link w:val="Titre3Car"/>
    <w:autoRedefine/>
    <w:uiPriority w:val="2"/>
    <w:qFormat/>
    <w:rsid w:val="005812CD"/>
    <w:pPr>
      <w:suppressLineNumbers/>
      <w:suppressAutoHyphens/>
      <w:spacing w:before="480" w:after="0" w:line="240" w:lineRule="auto"/>
      <w:ind w:left="67"/>
      <w:contextualSpacing/>
      <w:outlineLvl w:val="2"/>
    </w:pPr>
    <w:rPr>
      <w:rFonts w:ascii="Arial" w:eastAsiaTheme="minorEastAsia" w:hAnsi="Arial"/>
      <w:b/>
      <w:color w:val="404040" w:themeColor="text1" w:themeTint="BF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F04B9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04B9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04B9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04B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04B9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4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4B9D"/>
    <w:rPr>
      <w:rFonts w:ascii="Segoe UI" w:hAnsi="Segoe UI" w:cs="Segoe UI"/>
      <w:sz w:val="18"/>
      <w:szCs w:val="18"/>
    </w:rPr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D00DB5"/>
    <w:pPr>
      <w:ind w:left="720"/>
      <w:contextualSpacing/>
    </w:pPr>
  </w:style>
  <w:style w:type="table" w:styleId="Grilledutableau">
    <w:name w:val="Table Grid"/>
    <w:basedOn w:val="TableauNormal"/>
    <w:uiPriority w:val="39"/>
    <w:rsid w:val="00271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216F96"/>
  </w:style>
  <w:style w:type="paragraph" w:styleId="En-tte">
    <w:name w:val="header"/>
    <w:basedOn w:val="Normal"/>
    <w:link w:val="En-tt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6F96"/>
  </w:style>
  <w:style w:type="paragraph" w:styleId="Pieddepage">
    <w:name w:val="footer"/>
    <w:basedOn w:val="Normal"/>
    <w:link w:val="PieddepageCar"/>
    <w:uiPriority w:val="99"/>
    <w:unhideWhenUsed/>
    <w:rsid w:val="00216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6F96"/>
  </w:style>
  <w:style w:type="paragraph" w:customStyle="1" w:styleId="RedaliaNormal">
    <w:name w:val="Redalia : Normal"/>
    <w:basedOn w:val="Normal"/>
    <w:rsid w:val="008C3FCC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</w:pPr>
    <w:rPr>
      <w:rFonts w:ascii="Arial" w:eastAsia="Arial" w:hAnsi="Arial" w:cs="Arial"/>
      <w:szCs w:val="20"/>
      <w:lang w:eastAsia="fr-FR"/>
    </w:rPr>
  </w:style>
  <w:style w:type="paragraph" w:customStyle="1" w:styleId="RdaliaLgende">
    <w:name w:val="Rédalia : Légende"/>
    <w:basedOn w:val="Normal"/>
    <w:rsid w:val="008C3FCC"/>
    <w:pPr>
      <w:widowControl w:val="0"/>
      <w:suppressAutoHyphens/>
      <w:autoSpaceDN w:val="0"/>
      <w:spacing w:after="0" w:line="240" w:lineRule="auto"/>
      <w:ind w:left="284" w:hanging="284"/>
      <w:jc w:val="both"/>
    </w:pPr>
    <w:rPr>
      <w:rFonts w:ascii="Arial" w:eastAsia="Arial" w:hAnsi="Arial" w:cs="Arial"/>
      <w:i/>
      <w:sz w:val="16"/>
      <w:szCs w:val="20"/>
      <w:lang w:eastAsia="fr-FR"/>
    </w:rPr>
  </w:style>
  <w:style w:type="paragraph" w:customStyle="1" w:styleId="ADEMENormal">
    <w:name w:val="ADEME Normal"/>
    <w:link w:val="ADEMENormalCar"/>
    <w:qFormat/>
    <w:rsid w:val="00BD72B7"/>
    <w:pPr>
      <w:suppressLineNumbers/>
      <w:suppressAutoHyphens/>
      <w:spacing w:after="0" w:line="240" w:lineRule="auto"/>
      <w:jc w:val="both"/>
    </w:pPr>
    <w:rPr>
      <w:rFonts w:ascii="Marianne" w:eastAsiaTheme="minorEastAsia" w:hAnsi="Marianne"/>
      <w:color w:val="404040" w:themeColor="text1" w:themeTint="BF"/>
      <w:sz w:val="20"/>
      <w:lang w:eastAsia="fr-FR"/>
    </w:rPr>
  </w:style>
  <w:style w:type="character" w:customStyle="1" w:styleId="ADEMENormalCar">
    <w:name w:val="ADEME Normal Car"/>
    <w:basedOn w:val="Policepardfaut"/>
    <w:link w:val="ADEMENormal"/>
    <w:qFormat/>
    <w:rsid w:val="00BD72B7"/>
    <w:rPr>
      <w:rFonts w:ascii="Marianne" w:eastAsiaTheme="minorEastAsia" w:hAnsi="Marianne"/>
      <w:color w:val="404040" w:themeColor="text1" w:themeTint="BF"/>
      <w:sz w:val="20"/>
      <w:lang w:eastAsia="fr-FR"/>
    </w:rPr>
  </w:style>
  <w:style w:type="character" w:customStyle="1" w:styleId="Titre1Car">
    <w:name w:val="Titre 1 Car"/>
    <w:aliases w:val="ADEME Titre 1 Car"/>
    <w:basedOn w:val="Policepardfaut"/>
    <w:link w:val="Titre1"/>
    <w:uiPriority w:val="9"/>
    <w:rsid w:val="005812CD"/>
    <w:rPr>
      <w:rFonts w:ascii="Arial" w:eastAsiaTheme="minorEastAsia" w:hAnsi="Arial" w:cs="Arial"/>
      <w:b/>
      <w:color w:val="404040" w:themeColor="text1" w:themeTint="BF"/>
      <w:sz w:val="28"/>
      <w:lang w:eastAsia="fr-FR"/>
    </w:rPr>
  </w:style>
  <w:style w:type="character" w:customStyle="1" w:styleId="Titre2Car">
    <w:name w:val="Titre 2 Car"/>
    <w:aliases w:val="ADEME Titre 2 Car"/>
    <w:basedOn w:val="Policepardfaut"/>
    <w:link w:val="Titre2"/>
    <w:uiPriority w:val="1"/>
    <w:rsid w:val="005812CD"/>
    <w:rPr>
      <w:rFonts w:ascii="Arial" w:eastAsiaTheme="minorEastAsia" w:hAnsi="Arial" w:cs="Arial"/>
      <w:b/>
      <w:color w:val="404040" w:themeColor="text1" w:themeTint="BF"/>
      <w:sz w:val="24"/>
      <w:lang w:eastAsia="fr-FR"/>
    </w:rPr>
  </w:style>
  <w:style w:type="character" w:customStyle="1" w:styleId="Titre3Car">
    <w:name w:val="Titre 3 Car"/>
    <w:aliases w:val="ADEME Titre 3 Car"/>
    <w:basedOn w:val="Policepardfaut"/>
    <w:link w:val="Titre3"/>
    <w:uiPriority w:val="2"/>
    <w:rsid w:val="005812CD"/>
    <w:rPr>
      <w:rFonts w:ascii="Arial" w:eastAsiaTheme="minorEastAsia" w:hAnsi="Arial"/>
      <w:b/>
      <w:color w:val="404040" w:themeColor="text1" w:themeTint="BF"/>
      <w:lang w:eastAsia="fr-FR"/>
    </w:rPr>
  </w:style>
  <w:style w:type="paragraph" w:styleId="Rvision">
    <w:name w:val="Revision"/>
    <w:hidden/>
    <w:uiPriority w:val="99"/>
    <w:semiHidden/>
    <w:rsid w:val="00F73B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8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TARDY Isabelle</dc:creator>
  <cp:keywords/>
  <dc:description/>
  <cp:lastModifiedBy>LE GOALLEC Ghislaine</cp:lastModifiedBy>
  <cp:revision>21</cp:revision>
  <cp:lastPrinted>2021-04-13T13:04:00Z</cp:lastPrinted>
  <dcterms:created xsi:type="dcterms:W3CDTF">2023-11-13T16:44:00Z</dcterms:created>
  <dcterms:modified xsi:type="dcterms:W3CDTF">2025-12-18T10:03:00Z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2025-07-18T11:40:20Z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58f32212-e7b7-428e-b91c-dc53aa90e9cf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