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FC66A7">
      <w:pPr>
        <w:pStyle w:val="En-tte"/>
        <w:tabs>
          <w:tab w:val="clear" w:pos="4536"/>
          <w:tab w:val="clear" w:pos="9072"/>
        </w:tabs>
        <w:rPr>
          <w:rFonts w:ascii="Tahoma" w:hAnsi="Tahoma" w:cs="Tahoma"/>
          <w:b/>
        </w:rPr>
      </w:pPr>
      <w:r w:rsidRPr="00FC66A7">
        <w:rPr>
          <w:rFonts w:ascii="Tahoma" w:hAnsi="Tahoma" w:cs="Tahoma"/>
          <w:b/>
        </w:rPr>
        <w:t>CENTRE HOSPITALIER REGIONAL 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FC66A7" w:rsidRDefault="004868A6">
      <w:pPr>
        <w:rPr>
          <w:rFonts w:ascii="Tahoma" w:hAnsi="Tahoma" w:cs="Tahoma"/>
          <w:b/>
          <w:bCs/>
        </w:rPr>
      </w:pPr>
      <w:r>
        <w:rPr>
          <w:rFonts w:ascii="Tahoma" w:hAnsi="Tahoma" w:cs="Tahoma"/>
          <w:b/>
          <w:bCs/>
        </w:rPr>
        <w:t>PPI-</w:t>
      </w:r>
      <w:r w:rsidR="00434C46">
        <w:rPr>
          <w:rFonts w:ascii="Tahoma" w:hAnsi="Tahoma" w:cs="Tahoma"/>
          <w:b/>
          <w:bCs/>
        </w:rPr>
        <w:t>2025</w:t>
      </w:r>
      <w:r>
        <w:rPr>
          <w:rFonts w:ascii="Tahoma" w:hAnsi="Tahoma" w:cs="Tahoma"/>
          <w:b/>
          <w:bCs/>
        </w:rPr>
        <w:t>-</w:t>
      </w:r>
      <w:r w:rsidR="00434C46">
        <w:rPr>
          <w:rFonts w:ascii="Tahoma" w:hAnsi="Tahoma" w:cs="Tahoma"/>
          <w:b/>
          <w:bCs/>
        </w:rPr>
        <w:t>803</w:t>
      </w:r>
    </w:p>
    <w:p w:rsidR="00FC66A7" w:rsidRDefault="001B2627">
      <w:pPr>
        <w:rPr>
          <w:rFonts w:ascii="Tahoma" w:hAnsi="Tahoma" w:cs="Tahoma"/>
          <w:b/>
          <w:bCs/>
        </w:rPr>
      </w:pPr>
      <w:r>
        <w:rPr>
          <w:rFonts w:ascii="Tahoma" w:hAnsi="Tahoma" w:cs="Tahoma"/>
          <w:b/>
          <w:bCs/>
        </w:rPr>
        <w:t xml:space="preserve">Consultation </w:t>
      </w:r>
      <w:r w:rsidR="00434C46">
        <w:rPr>
          <w:rFonts w:ascii="Tahoma" w:hAnsi="Tahoma" w:cs="Tahoma"/>
          <w:b/>
          <w:bCs/>
        </w:rPr>
        <w:t>2025DTA0156</w:t>
      </w:r>
    </w:p>
    <w:p w:rsidR="007411D9" w:rsidRPr="00FC66A7" w:rsidRDefault="00FC66A7">
      <w:pPr>
        <w:rPr>
          <w:rFonts w:ascii="Tahoma" w:hAnsi="Tahoma" w:cs="Tahoma"/>
          <w:b/>
          <w:bCs/>
        </w:rPr>
      </w:pPr>
      <w:r w:rsidRPr="004868A6">
        <w:rPr>
          <w:rFonts w:ascii="Tahoma" w:hAnsi="Tahoma" w:cs="Tahoma"/>
          <w:b/>
          <w:bCs/>
        </w:rPr>
        <w:t>Objet de la consultation</w:t>
      </w:r>
      <w:r w:rsidR="004868A6">
        <w:rPr>
          <w:rFonts w:ascii="Tahoma" w:hAnsi="Tahoma" w:cs="Tahoma"/>
          <w:b/>
          <w:bCs/>
        </w:rPr>
        <w:t xml:space="preserve"> : </w:t>
      </w:r>
      <w:r w:rsidR="00434C46">
        <w:rPr>
          <w:rFonts w:ascii="Tahoma" w:hAnsi="Tahoma" w:cs="Tahoma"/>
          <w:b/>
          <w:bCs/>
        </w:rPr>
        <w:t>CHU de Brest – Morvan – Restructuration de l’aile gauche du bâtiment 2bis – Démolition, désamiantage, gros œuvre – Aménagement CESU</w:t>
      </w:r>
      <w:r w:rsidR="004868A6">
        <w:rPr>
          <w:rFonts w:ascii="Tahoma" w:hAnsi="Tahoma" w:cs="Tahoma"/>
          <w:b/>
          <w:bCs/>
        </w:rPr>
        <w:t xml:space="preserve"> </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rsidR="007411D9" w:rsidRPr="00FC66A7" w:rsidRDefault="007411D9">
      <w:pPr>
        <w:pStyle w:val="Titre1"/>
        <w:ind w:left="0" w:hanging="432"/>
        <w:rPr>
          <w:rFonts w:ascii="Tahoma" w:hAnsi="Tahoma" w:cs="Tahoma"/>
          <w:b w:val="0"/>
          <w:bCs w:val="0"/>
        </w:rPr>
      </w:pPr>
    </w:p>
    <w:p w:rsidR="007411D9" w:rsidRPr="00FC66A7" w:rsidRDefault="001B2627">
      <w:pPr>
        <w:pStyle w:val="Titre1"/>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Pr>
          <w:rFonts w:ascii="Tahoma" w:hAnsi="Tahoma" w:cs="Tahoma"/>
        </w:rPr>
        <w:fldChar w:fldCharType="end"/>
      </w:r>
      <w:r w:rsidR="007411D9" w:rsidRPr="00FC66A7">
        <w:rPr>
          <w:rFonts w:ascii="Tahoma" w:hAnsi="Tahoma" w:cs="Tahoma"/>
          <w:b w:val="0"/>
          <w:bCs w:val="0"/>
        </w:rPr>
        <w:t xml:space="preserve"> </w:t>
      </w:r>
      <w:proofErr w:type="gramStart"/>
      <w:r w:rsidR="007411D9" w:rsidRPr="00FC66A7">
        <w:rPr>
          <w:rFonts w:ascii="Tahoma" w:hAnsi="Tahoma" w:cs="Tahoma"/>
          <w:b w:val="0"/>
          <w:bCs w:val="0"/>
        </w:rPr>
        <w:t>pour</w:t>
      </w:r>
      <w:proofErr w:type="gramEnd"/>
      <w:r w:rsidR="007411D9" w:rsidRPr="00FC66A7">
        <w:rPr>
          <w:rFonts w:ascii="Tahoma" w:hAnsi="Tahoma" w:cs="Tahoma"/>
          <w:b w:val="0"/>
          <w:bCs w:val="0"/>
        </w:rPr>
        <w:t xml:space="preserve"> le marché ou pour l’accord-cadre </w:t>
      </w:r>
      <w:r w:rsidR="007411D9" w:rsidRPr="00FC66A7">
        <w:rPr>
          <w:rFonts w:ascii="Tahoma" w:hAnsi="Tahoma" w:cs="Tahoma"/>
          <w:b w:val="0"/>
          <w:i/>
          <w:iCs/>
          <w:sz w:val="18"/>
          <w:szCs w:val="18"/>
        </w:rPr>
        <w:t xml:space="preserve">(en cas de non allotissement) </w:t>
      </w:r>
      <w:r w:rsidR="007411D9" w:rsidRPr="00FC66A7">
        <w:rPr>
          <w:rFonts w:ascii="Tahoma" w:hAnsi="Tahoma" w:cs="Tahoma"/>
          <w:b w:val="0"/>
          <w:bCs w:val="0"/>
          <w:iCs/>
        </w:rPr>
        <w:t>;</w:t>
      </w:r>
    </w:p>
    <w:p w:rsidR="007411D9" w:rsidRPr="00FC66A7" w:rsidRDefault="007411D9">
      <w:pPr>
        <w:pStyle w:val="En-tte"/>
        <w:tabs>
          <w:tab w:val="clear" w:pos="4536"/>
          <w:tab w:val="clear" w:pos="9072"/>
        </w:tabs>
        <w:rPr>
          <w:rFonts w:ascii="Tahoma" w:hAnsi="Tahoma" w:cs="Tahoma"/>
        </w:rPr>
      </w:pPr>
    </w:p>
    <w:p w:rsidR="007411D9" w:rsidRPr="00FC66A7" w:rsidRDefault="008D5A17">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AA2672">
        <w:rPr>
          <w:rFonts w:ascii="Tahoma" w:hAnsi="Tahoma" w:cs="Tahoma"/>
        </w:rPr>
        <w:t xml:space="preserve"> </w:t>
      </w:r>
      <w:proofErr w:type="gramStart"/>
      <w:r w:rsidR="00AA2672">
        <w:rPr>
          <w:rFonts w:ascii="Tahoma" w:hAnsi="Tahoma" w:cs="Tahoma"/>
        </w:rPr>
        <w:t>pour</w:t>
      </w:r>
      <w:proofErr w:type="gramEnd"/>
      <w:r w:rsidR="00AA2672">
        <w:rPr>
          <w:rFonts w:ascii="Tahoma" w:hAnsi="Tahoma" w:cs="Tahoma"/>
        </w:rPr>
        <w:t xml:space="preserve"> le lot ou les lots </w:t>
      </w:r>
      <w:r w:rsidR="007411D9" w:rsidRPr="00FC66A7">
        <w:rPr>
          <w:rFonts w:ascii="Tahoma" w:hAnsi="Tahoma" w:cs="Tahoma"/>
        </w:rPr>
        <w:t xml:space="preserve">de la procédure de passation du marché ou de l’accord-cadre </w:t>
      </w:r>
      <w:r w:rsidR="007411D9" w:rsidRPr="00FC66A7">
        <w:rPr>
          <w:rFonts w:ascii="Tahoma" w:hAnsi="Tahoma" w:cs="Tahoma"/>
          <w:i/>
          <w:iCs/>
          <w:sz w:val="18"/>
          <w:szCs w:val="18"/>
        </w:rPr>
        <w:t>(en cas d’allotissement)</w:t>
      </w:r>
      <w:r w:rsidR="007411D9" w:rsidRPr="00FC66A7">
        <w:rPr>
          <w:rFonts w:ascii="Tahoma" w:hAnsi="Tahoma" w:cs="Tahoma"/>
        </w:rPr>
        <w:t> ;</w:t>
      </w:r>
    </w:p>
    <w:p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rsidR="007411D9" w:rsidRPr="00FC66A7" w:rsidRDefault="007411D9">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4901"/>
      </w:tblGrid>
      <w:tr w:rsidR="00AA2672" w:rsidRPr="000941D1" w:rsidTr="00AA2672">
        <w:trPr>
          <w:cantSplit/>
          <w:trHeight w:val="284"/>
          <w:tblHeader/>
          <w:jc w:val="center"/>
        </w:trPr>
        <w:tc>
          <w:tcPr>
            <w:tcW w:w="959" w:type="dxa"/>
            <w:shd w:val="pct30" w:color="FFFF00" w:fill="FFFFFF"/>
            <w:vAlign w:val="center"/>
          </w:tcPr>
          <w:p w:rsidR="00AA2672" w:rsidRPr="000941D1" w:rsidRDefault="00AA2672" w:rsidP="00AA2672">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Lot</w:t>
            </w:r>
          </w:p>
        </w:tc>
        <w:tc>
          <w:tcPr>
            <w:tcW w:w="4901" w:type="dxa"/>
            <w:shd w:val="pct30" w:color="FFFF00" w:fill="FFFFFF"/>
            <w:vAlign w:val="center"/>
          </w:tcPr>
          <w:p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Désignation</w:t>
            </w:r>
          </w:p>
        </w:tc>
      </w:tr>
      <w:tr w:rsidR="00AA2672" w:rsidRPr="000941D1" w:rsidTr="00AA2672">
        <w:trPr>
          <w:cantSplit/>
          <w:trHeight w:val="265"/>
          <w:jc w:val="center"/>
        </w:trPr>
        <w:tc>
          <w:tcPr>
            <w:tcW w:w="959" w:type="dxa"/>
          </w:tcPr>
          <w:p w:rsidR="00AA2672" w:rsidRPr="000941D1" w:rsidRDefault="00AA2672" w:rsidP="00ED2DD4">
            <w:pPr>
              <w:jc w:val="center"/>
              <w:rPr>
                <w:rFonts w:ascii="Tahoma" w:hAnsi="Tahoma" w:cs="Tahoma"/>
                <w:b/>
              </w:rPr>
            </w:pPr>
          </w:p>
        </w:tc>
        <w:tc>
          <w:tcPr>
            <w:tcW w:w="589" w:type="dxa"/>
            <w:shd w:val="clear" w:color="auto" w:fill="auto"/>
            <w:vAlign w:val="center"/>
          </w:tcPr>
          <w:p w:rsidR="00AA2672" w:rsidRPr="000941D1" w:rsidRDefault="00AA2672" w:rsidP="00ED2DD4">
            <w:pPr>
              <w:jc w:val="center"/>
              <w:rPr>
                <w:rFonts w:ascii="Tahoma" w:hAnsi="Tahoma" w:cs="Tahoma"/>
                <w:b/>
              </w:rPr>
            </w:pPr>
          </w:p>
        </w:tc>
        <w:tc>
          <w:tcPr>
            <w:tcW w:w="4901" w:type="dxa"/>
            <w:shd w:val="clear" w:color="auto" w:fill="auto"/>
            <w:vAlign w:val="center"/>
          </w:tcPr>
          <w:p w:rsidR="00AA2672" w:rsidRPr="000941D1" w:rsidRDefault="00AA2672" w:rsidP="00ED2DD4">
            <w:pPr>
              <w:rPr>
                <w:rFonts w:ascii="Tahoma" w:hAnsi="Tahoma" w:cs="Tahoma"/>
              </w:rPr>
            </w:pPr>
          </w:p>
        </w:tc>
      </w:tr>
    </w:tbl>
    <w:p w:rsidR="007411D9" w:rsidRPr="00FC66A7" w:rsidRDefault="007411D9">
      <w:pPr>
        <w:rPr>
          <w:rFonts w:ascii="Tahoma" w:hAnsi="Tahoma" w:cs="Tahoma"/>
        </w:rPr>
      </w:pPr>
    </w:p>
    <w:p w:rsidR="004868A6" w:rsidRDefault="00BB2EF6">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de l’accord-cadre.</w:t>
      </w:r>
    </w:p>
    <w:p w:rsidR="004868A6" w:rsidRPr="004868A6" w:rsidRDefault="004868A6" w:rsidP="004868A6"/>
    <w:p w:rsidR="004868A6" w:rsidRPr="004868A6" w:rsidRDefault="004868A6" w:rsidP="004868A6"/>
    <w:p w:rsidR="004868A6" w:rsidRPr="004868A6" w:rsidRDefault="004868A6" w:rsidP="004868A6"/>
    <w:p w:rsidR="004868A6" w:rsidRPr="004868A6" w:rsidRDefault="004868A6" w:rsidP="004868A6"/>
    <w:p w:rsidR="004868A6" w:rsidRPr="004868A6" w:rsidRDefault="004868A6" w:rsidP="004868A6">
      <w:bookmarkStart w:id="0" w:name="_GoBack"/>
      <w:bookmarkEnd w:id="0"/>
    </w:p>
    <w:p w:rsidR="004868A6" w:rsidRPr="004868A6" w:rsidRDefault="004868A6" w:rsidP="004868A6"/>
    <w:p w:rsidR="007411D9" w:rsidRPr="004868A6" w:rsidRDefault="007411D9" w:rsidP="004868A6"/>
    <w:p w:rsidR="007411D9" w:rsidRPr="00FC66A7" w:rsidRDefault="007411D9">
      <w:pPr>
        <w:pageBreakBefore/>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34C46">
        <w:rPr>
          <w:rFonts w:ascii="Tahoma" w:hAnsi="Tahoma" w:cs="Tahoma"/>
        </w:rPr>
      </w:r>
      <w:r w:rsidR="00434C46">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7C" w:rsidRDefault="007B3E7C">
      <w:r>
        <w:separator/>
      </w:r>
    </w:p>
  </w:endnote>
  <w:endnote w:type="continuationSeparator" w:id="0">
    <w:p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7411D9" w:rsidRPr="00FC66A7" w:rsidRDefault="00434C46">
          <w:pPr>
            <w:jc w:val="center"/>
            <w:rPr>
              <w:rFonts w:ascii="Tahoma" w:hAnsi="Tahoma" w:cs="Tahoma"/>
              <w:b/>
              <w:bCs/>
            </w:rPr>
          </w:pPr>
          <w:r>
            <w:rPr>
              <w:rFonts w:ascii="Tahoma" w:hAnsi="Tahoma" w:cs="Tahoma"/>
              <w:b/>
              <w:i/>
              <w:iCs/>
            </w:rPr>
            <w:t>2025DTA0156</w:t>
          </w:r>
        </w:p>
      </w:tc>
      <w:tc>
        <w:tcPr>
          <w:tcW w:w="851" w:type="dxa"/>
          <w:shd w:val="clear" w:color="auto" w:fill="66CCFF"/>
        </w:tcPr>
        <w:p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434C46">
            <w:rPr>
              <w:rFonts w:ascii="Tahoma" w:hAnsi="Tahoma" w:cs="Tahoma"/>
              <w:b/>
              <w:noProof/>
            </w:rPr>
            <w:t>3</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434C46">
            <w:rPr>
              <w:rStyle w:val="Numrodepage"/>
              <w:rFonts w:ascii="Tahoma" w:hAnsi="Tahoma" w:cs="Tahoma"/>
              <w:b/>
              <w:noProof/>
            </w:rPr>
            <w:t>3</w:t>
          </w:r>
          <w:r w:rsidRPr="00FC66A7">
            <w:rPr>
              <w:rStyle w:val="Numrodepage"/>
              <w:rFonts w:ascii="Tahoma" w:hAnsi="Tahoma" w:cs="Tahoma"/>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7C" w:rsidRDefault="007B3E7C">
      <w:r>
        <w:separator/>
      </w:r>
    </w:p>
  </w:footnote>
  <w:footnote w:type="continuationSeparator" w:id="0">
    <w:p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1052F6"/>
    <w:rsid w:val="001101D5"/>
    <w:rsid w:val="001B2627"/>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34C46"/>
    <w:rsid w:val="00472DBE"/>
    <w:rsid w:val="004868A6"/>
    <w:rsid w:val="00486CBD"/>
    <w:rsid w:val="00521228"/>
    <w:rsid w:val="00523768"/>
    <w:rsid w:val="00536431"/>
    <w:rsid w:val="005404D8"/>
    <w:rsid w:val="005451F3"/>
    <w:rsid w:val="005613A6"/>
    <w:rsid w:val="005B1763"/>
    <w:rsid w:val="005B287C"/>
    <w:rsid w:val="005E12D0"/>
    <w:rsid w:val="00625F1D"/>
    <w:rsid w:val="00632D63"/>
    <w:rsid w:val="00673463"/>
    <w:rsid w:val="00676069"/>
    <w:rsid w:val="006B70BB"/>
    <w:rsid w:val="006D5E52"/>
    <w:rsid w:val="00716E26"/>
    <w:rsid w:val="00720606"/>
    <w:rsid w:val="007336CD"/>
    <w:rsid w:val="007411D9"/>
    <w:rsid w:val="00751002"/>
    <w:rsid w:val="00754100"/>
    <w:rsid w:val="007B3E7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A0175"/>
    <w:rsid w:val="00AA2672"/>
    <w:rsid w:val="00AE5974"/>
    <w:rsid w:val="00B569DE"/>
    <w:rsid w:val="00B9664F"/>
    <w:rsid w:val="00BB2EF6"/>
    <w:rsid w:val="00BC7D05"/>
    <w:rsid w:val="00BE48FE"/>
    <w:rsid w:val="00C01A17"/>
    <w:rsid w:val="00C1386A"/>
    <w:rsid w:val="00C456BC"/>
    <w:rsid w:val="00C50B6D"/>
    <w:rsid w:val="00C751EE"/>
    <w:rsid w:val="00C812AC"/>
    <w:rsid w:val="00C877BA"/>
    <w:rsid w:val="00CB1774"/>
    <w:rsid w:val="00CD0F79"/>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272D9"/>
    <w:rsid w:val="00F41FB0"/>
    <w:rsid w:val="00F446BF"/>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717B1E"/>
  <w15:docId w15:val="{FA77E421-9AE1-4378-9878-C14A80F9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249D0-3CFA-472F-AD89-C2F9FBC2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3</Pages>
  <Words>1035</Words>
  <Characters>5698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6720</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5</cp:revision>
  <cp:lastPrinted>2016-03-31T13:07:00Z</cp:lastPrinted>
  <dcterms:created xsi:type="dcterms:W3CDTF">2024-03-18T10:33:00Z</dcterms:created>
  <dcterms:modified xsi:type="dcterms:W3CDTF">2025-12-16T14:24:00Z</dcterms:modified>
</cp:coreProperties>
</file>