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29845</wp:posOffset>
            </wp:positionH>
            <wp:positionV relativeFrom="paragraph">
              <wp:posOffset>22225</wp:posOffset>
            </wp:positionV>
            <wp:extent cx="1163955" cy="10788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</w:r>
    </w:p>
    <w:p>
      <w:pPr>
        <w:pStyle w:val="Normal"/>
        <w:jc w:val="right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Secrétariat général commun</w:t>
      </w:r>
    </w:p>
    <w:p>
      <w:pPr>
        <w:pStyle w:val="Normal"/>
        <w:jc w:val="right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service interministériel de l’achat public</w:t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highlight w:val="none"/>
          <w:shd w:fill="auto" w:val="clear"/>
        </w:rPr>
      </w:pPr>
      <w:r>
        <w:rPr>
          <w:rFonts w:ascii="Marianne" w:hAnsi="Marianne"/>
          <w:b/>
          <w:bCs/>
          <w:color w:val="000000"/>
          <w:sz w:val="28"/>
          <w:szCs w:val="28"/>
          <w:shd w:fill="auto" w:val="clear"/>
        </w:rPr>
        <w:t>SGC974-PREF-2025-05</w:t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sz w:val="24"/>
          <w:szCs w:val="24"/>
        </w:rPr>
      </w:pPr>
      <w:r>
        <w:rPr>
          <w:rFonts w:eastAsia="Arial" w:cs="DejaVu Sans" w:ascii="Marianne" w:hAnsi="Marianne" w:cstheme="minorBidi" w:eastAsiaTheme="minorHAnsi"/>
          <w:b/>
          <w:bCs/>
          <w:sz w:val="24"/>
          <w:szCs w:val="24"/>
          <w:u w:val="none"/>
          <w:shd w:fill="auto" w:val="clear"/>
        </w:rPr>
        <w:t>Impression et livraison des bulletins de vote à l’occasion de toute élection présidentielle ou référendum national à La Réunion</w:t>
      </w:r>
    </w:p>
    <w:p>
      <w:pPr>
        <w:pStyle w:val="Normal"/>
        <w:spacing w:lineRule="auto" w:line="240" w:before="0" w:after="0"/>
        <w:rPr>
          <w:rFonts w:ascii="Marianne" w:hAnsi="Marianne"/>
          <w:b/>
          <w:bCs/>
          <w:sz w:val="24"/>
          <w:szCs w:val="24"/>
        </w:rPr>
      </w:pPr>
      <w:r>
        <w:rPr>
          <w:rFonts w:ascii="Marianne" w:hAnsi="Marianne"/>
          <w:b/>
          <w:bCs/>
          <w:sz w:val="24"/>
          <w:szCs w:val="24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ascii="Marianne" w:hAnsi="Marianne"/>
          <w:b/>
          <w:bCs/>
          <w:sz w:val="22"/>
          <w:szCs w:val="22"/>
          <w:u w:val="none"/>
        </w:rPr>
        <w:t>Annexe 1 au règlement de consultation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eastAsia="SimSun" w:cs="Mangal" w:ascii="Marianne" w:hAnsi="Marianne"/>
          <w:b/>
          <w:bCs/>
          <w:caps/>
          <w:color w:val="C9211E"/>
          <w:kern w:val="2"/>
          <w:sz w:val="22"/>
          <w:szCs w:val="22"/>
          <w:shd w:fill="auto" w:val="clear"/>
          <w:lang w:val="fr-FR" w:eastAsia="zh-CN" w:bidi="hi-IN"/>
        </w:rPr>
        <w:t>Cadre de réponse technique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eastAsia="SimSun" w:cs="Mangal" w:ascii="Marianne" w:hAnsi="Marianne"/>
          <w:b/>
          <w:bCs/>
          <w:caps/>
          <w:color w:val="C9211E"/>
          <w:kern w:val="2"/>
          <w:sz w:val="22"/>
          <w:szCs w:val="22"/>
          <w:shd w:fill="auto" w:val="clear"/>
          <w:lang w:val="fr-FR" w:eastAsia="zh-CN" w:bidi="hi-IN"/>
        </w:rPr>
        <w:t>et performance environnementale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rFonts w:ascii="Marianne" w:hAnsi="Marianne"/>
          <w:b/>
          <w:bCs/>
          <w:caps/>
          <w:color w:val="C9211E"/>
          <w:shd w:fill="auto" w:val="clear"/>
        </w:rPr>
        <w:t>(CRTPE)</w:t>
      </w:r>
    </w:p>
    <w:p>
      <w:pPr>
        <w:pStyle w:val="Normal"/>
        <w:jc w:val="center"/>
        <w:rPr>
          <w:rFonts w:ascii="Marianne" w:hAnsi="Marianne"/>
          <w:b/>
          <w:bCs/>
          <w:caps/>
          <w:color w:val="C9211E"/>
          <w:shd w:fill="auto" w:val="clear"/>
        </w:rPr>
      </w:pPr>
      <w:r>
        <w:rPr>
          <w:rFonts w:ascii="Marianne" w:hAnsi="Marianne"/>
          <w:b/>
          <w:bCs/>
          <w:caps/>
          <w:color w:val="C9211E"/>
          <w:shd w:fill="auto" w:val="clear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ascii="Marianne" w:hAnsi="Marianne"/>
          <w:b/>
          <w:bCs/>
          <w:sz w:val="22"/>
          <w:szCs w:val="22"/>
        </w:rPr>
        <w:t>Offre technique du candidat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ascii="Marianne" w:hAnsi="Marianne"/>
          <w:b/>
          <w:bCs/>
          <w:sz w:val="22"/>
          <w:szCs w:val="22"/>
        </w:rPr>
        <w:t xml:space="preserve">Critères qualifiants 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ascii="Marianne" w:hAnsi="Marianne"/>
          <w:sz w:val="22"/>
          <w:szCs w:val="22"/>
        </w:rPr>
        <w:t xml:space="preserve">Cette annexe comporte </w:t>
      </w:r>
      <w:r>
        <w:rPr>
          <w:rFonts w:ascii="Marianne" w:hAnsi="Marianne"/>
          <w:sz w:val="22"/>
          <w:szCs w:val="22"/>
        </w:rPr>
        <w:fldChar w:fldCharType="begin"/>
      </w:r>
      <w:r>
        <w:rPr>
          <w:sz w:val="22"/>
          <w:szCs w:val="22"/>
          <w:rFonts w:ascii="Marianne" w:hAnsi="Marianne"/>
        </w:rPr>
        <w:instrText xml:space="preserve"> NUMPAGES </w:instrText>
      </w:r>
      <w:r>
        <w:rPr>
          <w:sz w:val="22"/>
          <w:szCs w:val="22"/>
          <w:rFonts w:ascii="Marianne" w:hAnsi="Marianne"/>
        </w:rPr>
        <w:fldChar w:fldCharType="separate"/>
      </w:r>
      <w:r>
        <w:rPr>
          <w:sz w:val="22"/>
          <w:szCs w:val="22"/>
          <w:rFonts w:ascii="Marianne" w:hAnsi="Marianne"/>
        </w:rPr>
        <w:t>10</w:t>
      </w:r>
      <w:r>
        <w:rPr>
          <w:sz w:val="22"/>
          <w:szCs w:val="22"/>
          <w:rFonts w:ascii="Marianne" w:hAnsi="Marianne"/>
        </w:rPr>
        <w:fldChar w:fldCharType="end"/>
      </w:r>
      <w:r>
        <w:rPr>
          <w:rFonts w:ascii="Marianne" w:hAnsi="Marianne"/>
          <w:sz w:val="22"/>
          <w:szCs w:val="22"/>
        </w:rPr>
        <w:t xml:space="preserve"> pages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  <w:r>
        <w:br w:type="page"/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highlight w:val="none"/>
          <w:shd w:fill="auto" w:val="clear"/>
        </w:rPr>
      </w:pPr>
      <w:r>
        <w:rPr>
          <w:rFonts w:ascii="Marianne" w:hAnsi="Marianne"/>
          <w:b w:val="false"/>
          <w:i w:val="false"/>
          <w:color w:val="000000"/>
          <w:sz w:val="22"/>
          <w:szCs w:val="22"/>
          <w:shd w:fill="auto" w:val="clear"/>
        </w:rPr>
        <w:t xml:space="preserve">Conformément au règlement de consultation (RC), l’offre est notée sur : </w:t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highlight w:val="none"/>
          <w:shd w:fill="auto" w:val="clear"/>
        </w:rPr>
      </w:pPr>
      <w:r>
        <w:rPr>
          <w:rFonts w:ascii="Marianne" w:hAnsi="Marianne"/>
          <w:b w:val="false"/>
          <w:i w:val="false"/>
          <w:color w:val="000000"/>
          <w:sz w:val="22"/>
          <w:szCs w:val="22"/>
          <w:shd w:fill="auto" w:val="clear"/>
        </w:rPr>
        <w:t>- valeur technique (55%)</w:t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highlight w:val="none"/>
          <w:shd w:fill="auto" w:val="clear"/>
        </w:rPr>
      </w:pPr>
      <w:r>
        <w:rPr>
          <w:rFonts w:ascii="Marianne" w:hAnsi="Marianne"/>
          <w:b w:val="false"/>
          <w:i w:val="false"/>
          <w:color w:val="000000"/>
          <w:sz w:val="22"/>
          <w:szCs w:val="22"/>
          <w:shd w:fill="auto" w:val="clear"/>
        </w:rPr>
        <w:t>- performance environnementale (5%)</w:t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highlight w:val="none"/>
          <w:shd w:fill="auto" w:val="clear"/>
        </w:rPr>
      </w:pPr>
      <w:r>
        <w:rPr>
          <w:rFonts w:ascii="Marianne" w:hAnsi="Marianne"/>
          <w:b w:val="false"/>
          <w:i w:val="false"/>
          <w:color w:val="000000"/>
          <w:sz w:val="22"/>
          <w:szCs w:val="22"/>
          <w:shd w:fill="auto" w:val="clear"/>
        </w:rPr>
        <w:t>- valeur financière (40%)</w:t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</w:rPr>
      </w:pPr>
      <w:r>
        <w:rPr>
          <w:rFonts w:ascii="Marianne" w:hAnsi="Marianne"/>
          <w:b w:val="false"/>
          <w:i w:val="false"/>
          <w:color w:val="000000"/>
          <w:sz w:val="22"/>
          <w:szCs w:val="22"/>
        </w:rPr>
        <w:t xml:space="preserve">Ce présent </w:t>
      </w:r>
      <w:r>
        <w:rPr>
          <w:rFonts w:ascii="Marianne" w:hAnsi="Marianne"/>
          <w:b/>
          <w:bCs/>
          <w:i w:val="false"/>
          <w:color w:val="000000"/>
          <w:sz w:val="22"/>
          <w:szCs w:val="22"/>
        </w:rPr>
        <w:t>cadre de réponse technique et performance environnementale</w:t>
      </w:r>
      <w:r>
        <w:rPr>
          <w:rFonts w:ascii="Marianne" w:hAnsi="Marianne"/>
          <w:b w:val="false"/>
          <w:i w:val="false"/>
          <w:color w:val="000000"/>
          <w:sz w:val="22"/>
          <w:szCs w:val="22"/>
        </w:rPr>
        <w:t xml:space="preserve"> constitue la justification de l’offre au regard des critères suivants :</w:t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  <w:b w:val="false"/>
          <w:i w:val="false"/>
          <w:i w:val="false"/>
          <w:color w:val="000000"/>
          <w:sz w:val="22"/>
          <w:szCs w:val="22"/>
        </w:rPr>
      </w:pPr>
      <w:r>
        <w:rPr>
          <w:rFonts w:ascii="Marianne" w:hAnsi="Marianne"/>
          <w:b w:val="false"/>
          <w:i w:val="false"/>
          <w:color w:val="000000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</w:rPr>
      </w:pPr>
      <w:r>
        <w:rPr>
          <w:rFonts w:ascii="Marianne" w:hAnsi="Marianne"/>
          <w:b/>
          <w:bCs/>
          <w:i w:val="false"/>
          <w:color w:val="000000"/>
          <w:sz w:val="22"/>
          <w:szCs w:val="22"/>
        </w:rPr>
        <w:t>1 / CRITÈRE 1 : VALEUR TECHNI</w:t>
      </w:r>
      <w:r>
        <w:rPr>
          <w:rFonts w:ascii="Marianne" w:hAnsi="Marianne"/>
          <w:b/>
          <w:bCs/>
          <w:i w:val="false"/>
          <w:color w:val="000000"/>
          <w:sz w:val="22"/>
          <w:szCs w:val="22"/>
          <w:shd w:fill="auto" w:val="clear"/>
        </w:rPr>
        <w:t xml:space="preserve">QUE (pondérée </w:t>
      </w:r>
      <w:r>
        <w:rPr>
          <w:rFonts w:ascii="Marianne" w:hAnsi="Marianne"/>
          <w:b/>
          <w:bCs/>
          <w:i w:val="false"/>
          <w:color w:val="000000"/>
          <w:sz w:val="22"/>
          <w:szCs w:val="22"/>
          <w:shd w:fill="auto" w:val="clear"/>
        </w:rPr>
        <w:t xml:space="preserve">à </w:t>
      </w:r>
      <w:r>
        <w:rPr>
          <w:rFonts w:ascii="Marianne" w:hAnsi="Marianne"/>
          <w:b/>
          <w:bCs/>
          <w:i w:val="false"/>
          <w:color w:val="C9211E"/>
          <w:sz w:val="22"/>
          <w:szCs w:val="22"/>
          <w:shd w:fill="auto" w:val="clear"/>
        </w:rPr>
        <w:t>55 %</w:t>
      </w:r>
      <w:r>
        <w:rPr>
          <w:rFonts w:ascii="Marianne" w:hAnsi="Marianne"/>
          <w:b/>
          <w:bCs/>
          <w:i w:val="false"/>
          <w:color w:val="000000"/>
          <w:sz w:val="22"/>
          <w:szCs w:val="22"/>
          <w:shd w:fill="auto" w:val="clear"/>
        </w:rPr>
        <w:t>)</w:t>
      </w:r>
    </w:p>
    <w:p>
      <w:pPr>
        <w:pStyle w:val="Parareponse"/>
        <w:keepNext w:val="false"/>
        <w:snapToGrid w:val="false"/>
        <w:spacing w:before="0" w:after="0"/>
        <w:ind w:hanging="0" w:left="0" w:right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Parareponse"/>
        <w:snapToGrid w:val="false"/>
        <w:spacing w:before="0" w:after="0"/>
        <w:ind w:hanging="0" w:left="0" w:right="0"/>
        <w:jc w:val="both"/>
        <w:rPr>
          <w:rFonts w:ascii="Marianne" w:hAnsi="Marianne"/>
          <w:sz w:val="22"/>
          <w:szCs w:val="22"/>
        </w:rPr>
      </w:pP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</w:rPr>
        <w:t xml:space="preserve">Conformément à l’article 7.3.1 du RC, une </w:t>
      </w:r>
      <w:r>
        <w:rPr>
          <w:rFonts w:eastAsia="Times New Roman" w:cs="Times New Roman" w:ascii="Marianne" w:hAnsi="Marianne"/>
          <w:b/>
          <w:bCs/>
          <w:i w:val="false"/>
          <w:iCs w:val="false"/>
          <w:color w:val="000000"/>
          <w:sz w:val="22"/>
          <w:szCs w:val="22"/>
          <w:shd w:fill="auto" w:val="clear"/>
        </w:rPr>
        <w:t xml:space="preserve">note sur </w:t>
      </w:r>
      <w:r>
        <w:rPr>
          <w:rFonts w:eastAsia="Times New Roman" w:cs="Times New Roman" w:ascii="Marianne" w:hAnsi="Marianne"/>
          <w:b/>
          <w:bCs/>
          <w:i w:val="false"/>
          <w:iCs w:val="false"/>
          <w:color w:val="000000"/>
          <w:sz w:val="22"/>
          <w:szCs w:val="22"/>
          <w:shd w:fill="auto" w:val="clear"/>
          <w:lang w:val="zxx" w:eastAsia="zxx" w:bidi="zxx"/>
        </w:rPr>
        <w:t>100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</w:rPr>
        <w:t xml:space="preserve"> (N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  <w:vertAlign w:val="subscript"/>
        </w:rPr>
        <w:t>Technique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)</w:t>
      </w:r>
      <w:r>
        <w:rPr>
          <w:rFonts w:ascii="Marianne" w:hAnsi="Marianne"/>
          <w:b w:val="false"/>
          <w:bCs w:val="false"/>
          <w:i w:val="false"/>
          <w:color w:val="000000"/>
          <w:sz w:val="22"/>
          <w:szCs w:val="22"/>
          <w:shd w:fill="auto" w:val="clear"/>
        </w:rPr>
        <w:t xml:space="preserve"> sera attribuée à la valeur technique sur la base des sous-critères techniques (SC1, SC2 et SC3) affectés de leurs pondérations respectives où :</w:t>
      </w:r>
    </w:p>
    <w:p>
      <w:pPr>
        <w:pStyle w:val="Parareponse"/>
        <w:snapToGrid w:val="false"/>
        <w:spacing w:before="0" w:after="0"/>
        <w:ind w:hanging="0" w:left="0" w:right="0"/>
        <w:jc w:val="both"/>
        <w:rPr>
          <w:rFonts w:ascii="Marianne" w:hAnsi="Marianne"/>
          <w:b w:val="false"/>
          <w:bCs w:val="false"/>
          <w:sz w:val="22"/>
          <w:szCs w:val="22"/>
          <w:shd w:fill="auto" w:val="clear"/>
        </w:rPr>
      </w:pPr>
      <w:r>
        <w:rPr>
          <w:rFonts w:ascii="Marianne" w:hAnsi="Marianne"/>
          <w:b w:val="false"/>
          <w:bCs w:val="false"/>
          <w:sz w:val="22"/>
          <w:szCs w:val="22"/>
          <w:shd w:fill="auto" w:val="clear"/>
        </w:rPr>
      </w:r>
    </w:p>
    <w:p>
      <w:pPr>
        <w:pStyle w:val="Parareponse"/>
        <w:snapToGrid w:val="false"/>
        <w:spacing w:before="0" w:after="0"/>
        <w:ind w:hanging="0" w:left="0" w:right="0"/>
        <w:jc w:val="both"/>
        <w:rPr>
          <w:b w:val="false"/>
          <w:bCs w:val="false"/>
        </w:rPr>
      </w:pPr>
      <w:r>
        <w:rPr>
          <w:rFonts w:ascii="Marianne" w:hAnsi="Marianne"/>
          <w:b w:val="false"/>
          <w:bCs w:val="false"/>
          <w:sz w:val="22"/>
          <w:szCs w:val="22"/>
          <w:shd w:fill="auto" w:val="clear"/>
        </w:rPr>
        <w:t xml:space="preserve">SC 1 : </w:t>
      </w:r>
      <w:r>
        <w:rPr>
          <w:rFonts w:ascii="Marianne" w:hAnsi="Marianne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</w:rPr>
        <w:t>Pertinence du pilotage du marché (10%) notée sur 100</w:t>
      </w:r>
    </w:p>
    <w:p>
      <w:pPr>
        <w:pStyle w:val="Parareponse"/>
        <w:snapToGrid w:val="false"/>
        <w:spacing w:before="0" w:after="0"/>
        <w:ind w:hanging="0" w:left="0" w:right="0"/>
        <w:jc w:val="both"/>
        <w:rPr>
          <w:b w:val="false"/>
          <w:bCs w:val="false"/>
        </w:rPr>
      </w:pPr>
      <w:r>
        <w:rPr>
          <w:rFonts w:ascii="Marianne" w:hAnsi="Marianne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</w:rPr>
        <w:t>SC 2 : Qualité de l’approvisionnement et stockage du papier (30%) notée sur 100</w:t>
      </w:r>
    </w:p>
    <w:p>
      <w:pPr>
        <w:pStyle w:val="Parareponse"/>
        <w:snapToGrid w:val="false"/>
        <w:spacing w:before="0" w:after="0"/>
        <w:ind w:hanging="0" w:left="0" w:right="0"/>
        <w:jc w:val="both"/>
        <w:rPr>
          <w:b w:val="false"/>
          <w:bCs w:val="false"/>
        </w:rPr>
      </w:pPr>
      <w:r>
        <w:rPr>
          <w:rFonts w:ascii="Marianne" w:hAnsi="Marianne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</w:rPr>
        <w:t>SC 3 : Qualité de la fabrication et livraison des bulletins de vote (60%) notée sur 100</w:t>
      </w:r>
    </w:p>
    <w:p>
      <w:pPr>
        <w:pStyle w:val="Normal"/>
        <w:bidi w:val="0"/>
        <w:jc w:val="left"/>
        <w:rPr>
          <w:b/>
          <w:i w:val="false"/>
          <w:i w:val="false"/>
          <w:strike w:val="false"/>
          <w:dstrike w:val="false"/>
          <w:outline w:val="false"/>
          <w:shadow w:val="false"/>
          <w:color w:val="000000"/>
          <w:kern w:val="2"/>
          <w:u w:val="none"/>
          <w:em w:val="none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kern w:val="2"/>
          <w:u w:val="none"/>
          <w:em w:val="none"/>
        </w:rPr>
      </w:r>
    </w:p>
    <w:p>
      <w:pPr>
        <w:pStyle w:val="Parareponse"/>
        <w:snapToGrid w:val="false"/>
        <w:spacing w:before="0" w:after="0"/>
        <w:ind w:hanging="0" w:left="0" w:right="0"/>
        <w:jc w:val="left"/>
        <w:rPr>
          <w:rFonts w:ascii="Marianne" w:hAnsi="Marianne"/>
          <w:sz w:val="22"/>
          <w:szCs w:val="22"/>
        </w:rPr>
      </w:pPr>
      <w:r>
        <w:rPr/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>
                  <w:rFonts w:ascii="Cambria Math" w:hAnsi="Cambria Math"/>
                </w:rPr>
                <m:t xml:space="preserve">N</m:t>
              </m:r>
            </m:e>
            <m:sub>
              <m:r>
                <w:rPr>
                  <w:rFonts w:ascii="Cambria Math" w:hAnsi="Cambria Math"/>
                </w:rPr>
                <m:t xml:space="preserve">Technique</m:t>
              </m:r>
            </m:sub>
          </m:sSub>
          <m:r>
            <w:rPr>
              <w:rFonts w:ascii="Cambria Math" w:hAnsi="Cambria Math"/>
            </w:rPr>
            <m:t xml:space="preserve">=</m:t>
          </m:r>
          <m:sSub>
            <m:e>
              <m:r>
                <w:rPr>
                  <w:rFonts w:ascii="Cambria Math" w:hAnsi="Cambria Math"/>
                </w:rPr>
                <m:t xml:space="preserve">N</m:t>
              </m:r>
            </m:e>
            <m:sub>
              <m:r>
                <w:rPr>
                  <w:rFonts w:ascii="Cambria Math" w:hAnsi="Cambria Math"/>
                </w:rPr>
                <m:t xml:space="preserve">SC</m:t>
              </m:r>
              <m:r>
                <w:rPr>
                  <w:rFonts w:ascii="Cambria Math" w:hAnsi="Cambria Math"/>
                </w:rPr>
                <m:t xml:space="preserve">1</m:t>
              </m:r>
            </m:sub>
          </m:sSub>
          <m:r>
            <w:rPr>
              <w:rFonts w:ascii="Cambria Math" w:hAnsi="Cambria Math"/>
            </w:rPr>
            <m:t xml:space="preserve">x</m:t>
          </m:r>
          <m:r>
            <w:rPr>
              <w:rFonts w:ascii="Cambria Math" w:hAnsi="Cambria Math"/>
            </w:rPr>
            <m:t xml:space="preserve">10</m:t>
          </m:r>
          <m:r>
            <m:rPr>
              <m:lit/>
              <m:nor/>
            </m:rPr>
            <w:rPr>
              <w:rFonts w:ascii="Cambria Math" w:hAnsi="Cambria Math"/>
            </w:rPr>
            <m:t xml:space="preserve">%</m:t>
          </m:r>
          <m:r>
            <w:rPr>
              <w:rFonts w:ascii="Cambria Math" w:hAnsi="Cambria Math"/>
            </w:rPr>
            <m:t xml:space="preserve">+</m:t>
          </m:r>
          <m:sSub>
            <m:e>
              <m:r>
                <w:rPr>
                  <w:rFonts w:ascii="Cambria Math" w:hAnsi="Cambria Math"/>
                </w:rPr>
                <m:t xml:space="preserve">N</m:t>
              </m:r>
            </m:e>
            <m:sub>
              <m:r>
                <w:rPr>
                  <w:rFonts w:ascii="Cambria Math" w:hAnsi="Cambria Math"/>
                </w:rPr>
                <m:t xml:space="preserve">SC</m:t>
              </m:r>
              <m:r>
                <w:rPr>
                  <w:rFonts w:ascii="Cambria Math" w:hAnsi="Cambria Math"/>
                </w:rPr>
                <m:t xml:space="preserve">2</m:t>
              </m:r>
            </m:sub>
          </m:sSub>
          <m:r>
            <w:rPr>
              <w:rFonts w:ascii="Cambria Math" w:hAnsi="Cambria Math"/>
            </w:rPr>
            <m:t xml:space="preserve">x</m:t>
          </m:r>
          <m:r>
            <w:rPr>
              <w:rFonts w:ascii="Cambria Math" w:hAnsi="Cambria Math"/>
            </w:rPr>
            <m:t xml:space="preserve">30</m:t>
          </m:r>
          <m:r>
            <m:rPr>
              <m:lit/>
              <m:nor/>
            </m:rPr>
            <w:rPr>
              <w:rFonts w:ascii="Cambria Math" w:hAnsi="Cambria Math"/>
            </w:rPr>
            <m:t xml:space="preserve">%</m:t>
          </m:r>
          <m:r>
            <w:rPr>
              <w:rFonts w:ascii="Cambria Math" w:hAnsi="Cambria Math"/>
            </w:rPr>
            <m:t xml:space="preserve">+</m:t>
          </m:r>
          <m:sSub>
            <m:e>
              <m:r>
                <w:rPr>
                  <w:rFonts w:ascii="Cambria Math" w:hAnsi="Cambria Math"/>
                </w:rPr>
                <m:t xml:space="preserve">N</m:t>
              </m:r>
            </m:e>
            <m:sub>
              <m:r>
                <w:rPr>
                  <w:rFonts w:ascii="Cambria Math" w:hAnsi="Cambria Math"/>
                </w:rPr>
                <m:t xml:space="preserve">SC</m:t>
              </m:r>
              <m:r>
                <w:rPr>
                  <w:rFonts w:ascii="Cambria Math" w:hAnsi="Cambria Math"/>
                </w:rPr>
                <m:t xml:space="preserve">3</m:t>
              </m:r>
            </m:sub>
          </m:sSub>
          <m:r>
            <w:rPr>
              <w:rFonts w:ascii="Cambria Math" w:hAnsi="Cambria Math"/>
            </w:rPr>
            <m:t xml:space="preserve">x</m:t>
          </m:r>
          <m:r>
            <w:rPr>
              <w:rFonts w:ascii="Cambria Math" w:hAnsi="Cambria Math"/>
            </w:rPr>
            <m:t xml:space="preserve">60</m:t>
          </m:r>
          <m:r>
            <m:rPr>
              <m:lit/>
              <m:nor/>
            </m:rPr>
            <w:rPr>
              <w:rFonts w:ascii="Cambria Math" w:hAnsi="Cambria Math"/>
            </w:rPr>
            <m:t xml:space="preserve">%</m:t>
          </m:r>
        </m:oMath>
      </m:oMathPara>
    </w:p>
    <w:p>
      <w:pPr>
        <w:pStyle w:val="Parareponse"/>
        <w:snapToGrid w:val="false"/>
        <w:spacing w:before="0" w:after="0"/>
        <w:ind w:hanging="0" w:left="0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tbl>
      <w:tblPr>
        <w:tblW w:w="10770" w:type="dxa"/>
        <w:jc w:val="left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80"/>
        <w:gridCol w:w="1589"/>
      </w:tblGrid>
      <w:tr>
        <w:trPr>
          <w:trHeight w:val="338" w:hRule="atLeast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</w:tcBorders>
            <w:shd w:fill="87CEFA" w:val="clear"/>
          </w:tcPr>
          <w:p>
            <w:pPr>
              <w:pStyle w:val="Heading3"/>
              <w:numPr>
                <w:ilvl w:val="2"/>
                <w:numId w:val="1"/>
              </w:numPr>
              <w:bidi w:val="0"/>
              <w:spacing w:before="0" w:after="0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Sous-Critère 1 </w:t>
            </w:r>
            <w:r>
              <w:rPr>
                <w:b w:val="false"/>
                <w:bCs w:val="false"/>
                <w:sz w:val="20"/>
                <w:szCs w:val="20"/>
                <w:shd w:fill="auto" w:val="clear"/>
              </w:rPr>
              <w:t xml:space="preserve">: </w:t>
            </w:r>
            <w:r>
              <w:rPr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FF"/>
                <w:kern w:val="2"/>
                <w:sz w:val="20"/>
                <w:szCs w:val="20"/>
                <w:u w:val="none"/>
                <w:shd w:fill="auto" w:val="clear"/>
                <w:em w:val="none"/>
              </w:rPr>
              <w:t>Pertinence du pilotage du marché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87CEFA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zxx" w:eastAsia="zxx" w:bidi="zxx"/>
              </w:rPr>
              <w:t>10,00 %</w:t>
            </w:r>
          </w:p>
        </w:tc>
      </w:tr>
      <w:tr>
        <w:trPr>
          <w:trHeight w:val="338" w:hRule="atLeast"/>
        </w:trPr>
        <w:tc>
          <w:tcPr>
            <w:tcW w:w="9180" w:type="dxa"/>
            <w:tcBorders>
              <w:lef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Critères qualifiants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Coefficient</w:t>
            </w:r>
          </w:p>
        </w:tc>
      </w:tr>
      <w:tr>
        <w:trPr/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sz w:val="20"/>
                <w:szCs w:val="20"/>
              </w:rPr>
            </w:pP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 xml:space="preserve"> </w:t>
            </w: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>CQ 1.1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 xml:space="preserve"> : </w:t>
            </w:r>
            <w:r>
              <w:rPr>
                <w:rFonts w:eastAsia="Calibri" w:cs="Times New Roman" w:ascii="Marianne" w:hAnsi="Marianne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>pilotage du marché et gestion des incidents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</w:t>
            </w:r>
          </w:p>
        </w:tc>
      </w:tr>
      <w:tr>
        <w:trPr/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CQ 1.2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: </w:t>
            </w:r>
            <w:r>
              <w:rPr>
                <w:rFonts w:eastAsia="SimSun" w:cs="Times New Roman" w:ascii="Marianne" w:hAnsi="Marianne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zh-CN" w:bidi="ar-SA"/>
              </w:rPr>
              <w:t>outils de suivi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</w:t>
            </w:r>
          </w:p>
        </w:tc>
      </w:tr>
    </w:tbl>
    <w:p>
      <w:pPr>
        <w:pStyle w:val="Normal"/>
        <w:snapToGrid w:val="false"/>
        <w:spacing w:before="0" w:after="0"/>
        <w:ind w:hanging="0" w:left="0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napToGrid w:val="false"/>
        <w:spacing w:before="0" w:after="0"/>
        <w:ind w:hanging="0" w:left="0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tbl>
      <w:tblPr>
        <w:tblW w:w="10770" w:type="dxa"/>
        <w:jc w:val="left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80"/>
        <w:gridCol w:w="1589"/>
      </w:tblGrid>
      <w:tr>
        <w:trPr>
          <w:trHeight w:val="338" w:hRule="atLeast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</w:tcBorders>
            <w:shd w:fill="87CEEB" w:val="clear"/>
          </w:tcPr>
          <w:p>
            <w:pPr>
              <w:pStyle w:val="Heading3"/>
              <w:numPr>
                <w:ilvl w:val="2"/>
                <w:numId w:val="1"/>
              </w:numPr>
              <w:bidi w:val="0"/>
              <w:spacing w:before="0" w:after="0"/>
              <w:ind w:hanging="0" w:left="0" w:right="0"/>
              <w:rPr/>
            </w:pPr>
            <w:r>
              <w:rPr/>
              <w:t xml:space="preserve">Sous-critère 2 </w:t>
            </w:r>
            <w:r>
              <w:rPr>
                <w:b w:val="false"/>
                <w:bCs w:val="false"/>
                <w:shd w:fill="auto" w:val="clear"/>
              </w:rPr>
              <w:t xml:space="preserve">: </w:t>
            </w:r>
            <w:r>
              <w:rPr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FF"/>
                <w:kern w:val="2"/>
                <w:sz w:val="20"/>
                <w:u w:val="none"/>
                <w:shd w:fill="auto" w:val="clear"/>
                <w:em w:val="none"/>
              </w:rPr>
              <w:t>Qualité de l’approvisionnement et stockage du papier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87CEEB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none"/>
                <w:u w:val="none"/>
                <w:shd w:fill="auto" w:val="clear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  <w:lang w:val="zxx" w:eastAsia="zxx" w:bidi="zxx"/>
              </w:rPr>
              <w:t>30,00 %</w:t>
            </w:r>
          </w:p>
        </w:tc>
      </w:tr>
      <w:tr>
        <w:trPr>
          <w:trHeight w:val="338" w:hRule="atLeast"/>
        </w:trPr>
        <w:tc>
          <w:tcPr>
            <w:tcW w:w="9180" w:type="dxa"/>
            <w:tcBorders>
              <w:lef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Critères qualifiants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Coefficient</w:t>
            </w:r>
          </w:p>
        </w:tc>
      </w:tr>
      <w:tr>
        <w:trPr/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</w:t>
            </w: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CQ 2.1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: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Type de papier et approvisionnement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2</w:t>
            </w:r>
          </w:p>
        </w:tc>
      </w:tr>
      <w:tr>
        <w:trPr/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CQ 2.2 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: </w:t>
            </w: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Qualité du stockage 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(site, sécurisation de l’intégrité du papier) et moyens pour le déstockage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5</w:t>
            </w:r>
          </w:p>
        </w:tc>
      </w:tr>
    </w:tbl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  <w:i w:val="false"/>
          <w:i w:val="false"/>
          <w:color w:val="000000"/>
          <w:sz w:val="22"/>
          <w:szCs w:val="22"/>
          <w:shd w:fill="auto" w:val="clear"/>
        </w:rPr>
      </w:pPr>
      <w:r>
        <w:rPr>
          <w:rFonts w:ascii="Marianne" w:hAnsi="Marianne"/>
          <w:i w:val="false"/>
          <w:color w:val="000000"/>
          <w:sz w:val="22"/>
          <w:szCs w:val="22"/>
          <w:shd w:fill="auto" w:val="clear"/>
        </w:rPr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  <w:i w:val="false"/>
          <w:i w:val="false"/>
          <w:color w:val="000000"/>
          <w:sz w:val="22"/>
          <w:szCs w:val="22"/>
          <w:shd w:fill="auto" w:val="clear"/>
        </w:rPr>
      </w:pPr>
      <w:r>
        <w:rPr>
          <w:rFonts w:ascii="Marianne" w:hAnsi="Marianne"/>
          <w:i w:val="false"/>
          <w:color w:val="000000"/>
          <w:sz w:val="22"/>
          <w:szCs w:val="22"/>
          <w:shd w:fill="auto" w:val="clear"/>
        </w:rPr>
      </w:r>
    </w:p>
    <w:tbl>
      <w:tblPr>
        <w:tblW w:w="10770" w:type="dxa"/>
        <w:jc w:val="left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80"/>
        <w:gridCol w:w="1589"/>
      </w:tblGrid>
      <w:tr>
        <w:trPr>
          <w:trHeight w:val="338" w:hRule="atLeast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</w:tcBorders>
            <w:shd w:fill="87CEFA" w:val="clear"/>
          </w:tcPr>
          <w:p>
            <w:pPr>
              <w:pStyle w:val="Heading3"/>
              <w:numPr>
                <w:ilvl w:val="2"/>
                <w:numId w:val="1"/>
              </w:numPr>
              <w:bidi w:val="0"/>
              <w:spacing w:before="0" w:after="0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Sous-Critère 3 </w:t>
            </w:r>
            <w:r>
              <w:rPr>
                <w:b w:val="false"/>
                <w:bCs w:val="false"/>
                <w:sz w:val="20"/>
                <w:szCs w:val="20"/>
                <w:shd w:fill="auto" w:val="clear"/>
              </w:rPr>
              <w:t xml:space="preserve">: </w:t>
            </w:r>
            <w:r>
              <w:rPr>
                <w:b w:val="false"/>
                <w:bCs w:val="false"/>
                <w:color w:val="0000FF"/>
                <w:kern w:val="2"/>
                <w:sz w:val="20"/>
                <w:szCs w:val="20"/>
                <w:shd w:fill="auto" w:val="clear"/>
                <w:em w:val="none"/>
              </w:rPr>
              <w:t>Qualité de la fabrication et livraison des bulletins de vote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87CEFA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zxx" w:eastAsia="zxx" w:bidi="zxx"/>
              </w:rPr>
              <w:t>60,00 %</w:t>
            </w:r>
          </w:p>
        </w:tc>
      </w:tr>
      <w:tr>
        <w:trPr>
          <w:trHeight w:val="338" w:hRule="atLeast"/>
        </w:trPr>
        <w:tc>
          <w:tcPr>
            <w:tcW w:w="9180" w:type="dxa"/>
            <w:tcBorders>
              <w:lef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Critères qualifiants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Coefficient</w:t>
            </w:r>
          </w:p>
        </w:tc>
      </w:tr>
      <w:tr>
        <w:trPr/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sz w:val="20"/>
                <w:szCs w:val="20"/>
              </w:rPr>
            </w:pP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 xml:space="preserve"> </w:t>
            </w: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>CQ 3.1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 xml:space="preserve"> : </w:t>
            </w:r>
            <w:r>
              <w:rPr>
                <w:rFonts w:eastAsia="Calibri" w:cs="Times New Roman" w:ascii="Marianne" w:hAnsi="Marianne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>Moyens techniques et humains liés à la fabrication de bulletins de vote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</w:t>
            </w:r>
          </w:p>
        </w:tc>
      </w:tr>
      <w:tr>
        <w:trPr/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CQ 3.2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: </w:t>
            </w:r>
            <w:r>
              <w:rPr>
                <w:rFonts w:eastAsia="SimSun" w:cs="Times New Roman" w:ascii="Marianne" w:hAnsi="Marianne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zh-CN" w:bidi="ar-SA"/>
              </w:rPr>
              <w:t>Simulation de commande : organisation et point d’attention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</w:t>
            </w:r>
          </w:p>
        </w:tc>
      </w:tr>
    </w:tbl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  <w:i w:val="false"/>
          <w:i w:val="false"/>
          <w:color w:val="000000"/>
          <w:sz w:val="22"/>
          <w:szCs w:val="22"/>
          <w:shd w:fill="auto" w:val="clear"/>
        </w:rPr>
      </w:pPr>
      <w:r>
        <w:rPr>
          <w:rFonts w:ascii="Marianne" w:hAnsi="Marianne"/>
          <w:i w:val="false"/>
          <w:color w:val="000000"/>
          <w:sz w:val="22"/>
          <w:szCs w:val="22"/>
          <w:shd w:fill="auto" w:val="clear"/>
        </w:rPr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  <w:i w:val="false"/>
          <w:i w:val="false"/>
          <w:color w:val="000000"/>
          <w:sz w:val="22"/>
          <w:szCs w:val="22"/>
          <w:shd w:fill="auto" w:val="clear"/>
        </w:rPr>
      </w:pPr>
      <w:r>
        <w:rPr>
          <w:rFonts w:ascii="Marianne" w:hAnsi="Marianne"/>
          <w:i w:val="false"/>
          <w:color w:val="000000"/>
          <w:sz w:val="22"/>
          <w:szCs w:val="22"/>
          <w:shd w:fill="auto" w:val="clear"/>
        </w:rPr>
      </w:r>
      <w:r>
        <w:br w:type="page"/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  <w:i w:val="false"/>
          <w:i w:val="false"/>
          <w:color w:val="000000"/>
          <w:sz w:val="22"/>
          <w:szCs w:val="22"/>
          <w:shd w:fill="auto" w:val="clear"/>
        </w:rPr>
      </w:pPr>
      <w:r>
        <w:rPr>
          <w:rFonts w:ascii="Marianne" w:hAnsi="Marianne"/>
          <w:i w:val="false"/>
          <w:color w:val="000000"/>
          <w:sz w:val="22"/>
          <w:szCs w:val="22"/>
          <w:shd w:fill="auto" w:val="clear"/>
        </w:rPr>
      </w:r>
    </w:p>
    <w:p>
      <w:pPr>
        <w:pStyle w:val="Normal"/>
        <w:rPr>
          <w:rFonts w:ascii="Marianne" w:hAnsi="Marianne"/>
          <w:b/>
          <w:bCs/>
          <w:i w:val="false"/>
          <w:i w:val="false"/>
          <w:color w:val="000000"/>
        </w:rPr>
      </w:pPr>
      <w:r>
        <w:rPr>
          <w:rFonts w:ascii="Marianne" w:hAnsi="Marianne"/>
          <w:b/>
          <w:bCs/>
          <w:i w:val="false"/>
          <w:color w:val="000000"/>
        </w:rPr>
        <w:t>2 / CRITÈRE 2 : VALEUR PERFORMANCE ENVIRONNEMENTALE (pond</w:t>
      </w:r>
      <w:r>
        <w:rPr>
          <w:rFonts w:ascii="Marianne" w:hAnsi="Marianne"/>
          <w:b/>
          <w:bCs/>
          <w:i w:val="false"/>
          <w:color w:val="000000"/>
          <w:shd w:fill="auto" w:val="clear"/>
        </w:rPr>
        <w:t xml:space="preserve">érée </w:t>
      </w:r>
      <w:r>
        <w:rPr>
          <w:rFonts w:ascii="Marianne" w:hAnsi="Marianne"/>
          <w:b/>
          <w:bCs/>
          <w:i w:val="false"/>
          <w:color w:val="C9211E"/>
          <w:shd w:fill="auto" w:val="clear"/>
        </w:rPr>
        <w:t>à 5%)</w:t>
      </w:r>
    </w:p>
    <w:p>
      <w:pPr>
        <w:pStyle w:val="Parareponse"/>
        <w:keepNext w:val="false"/>
        <w:widowControl/>
        <w:suppressAutoHyphens w:val="true"/>
        <w:overflowPunct w:val="true"/>
        <w:bidi w:val="0"/>
        <w:snapToGrid w:val="false"/>
        <w:spacing w:before="0" w:after="0"/>
        <w:ind w:hanging="0" w:left="0" w:right="0"/>
        <w:jc w:val="both"/>
        <w:rPr>
          <w:rFonts w:ascii="Marianne" w:hAnsi="Marianne" w:eastAsia="Times New Roman" w:cs="Times New Roman"/>
          <w:b w:val="false"/>
          <w:bCs w:val="false"/>
          <w:i w:val="false"/>
          <w:i w:val="false"/>
          <w:iCs w:val="false"/>
          <w:color w:val="000000"/>
          <w:kern w:val="2"/>
          <w:sz w:val="22"/>
          <w:szCs w:val="22"/>
          <w:shd w:fill="auto" w:val="clear"/>
          <w:lang w:val="fr-FR" w:eastAsia="zh-CN" w:bidi="hi-IN"/>
        </w:rPr>
      </w:pP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auto" w:val="clear"/>
          <w:lang w:val="fr-FR" w:eastAsia="zh-CN" w:bidi="hi-IN"/>
        </w:rPr>
      </w:r>
    </w:p>
    <w:p>
      <w:pPr>
        <w:pStyle w:val="Parareponse"/>
        <w:widowControl/>
        <w:suppressAutoHyphens w:val="true"/>
        <w:overflowPunct w:val="true"/>
        <w:bidi w:val="0"/>
        <w:snapToGrid w:val="false"/>
        <w:spacing w:before="0" w:after="0"/>
        <w:ind w:hanging="0" w:left="0" w:right="0"/>
        <w:jc w:val="both"/>
        <w:rPr>
          <w:rFonts w:ascii="Marianne" w:hAnsi="Marianne" w:eastAsia="Times New Roman" w:cs="Times New Roman"/>
          <w:b w:val="false"/>
          <w:bCs w:val="false"/>
          <w:i w:val="false"/>
          <w:i w:val="false"/>
          <w:iCs w:val="false"/>
          <w:color w:val="000000"/>
          <w:kern w:val="2"/>
          <w:sz w:val="22"/>
          <w:szCs w:val="22"/>
          <w:shd w:fill="auto" w:val="clear"/>
          <w:lang w:val="fr-FR" w:eastAsia="zh-CN" w:bidi="hi-IN"/>
        </w:rPr>
      </w:pP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auto" w:val="clear"/>
          <w:lang w:val="fr-FR" w:eastAsia="zh-CN" w:bidi="hi-IN"/>
        </w:rPr>
        <w:t>Conformément à l’article 7.3.2 du RC, une note sur 100 (N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auto" w:val="clear"/>
          <w:vertAlign w:val="subscript"/>
          <w:lang w:val="fr-FR" w:eastAsia="zh-CN" w:bidi="hi-IN"/>
        </w:rPr>
        <w:t>PE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auto" w:val="clear"/>
          <w:lang w:val="fr-FR" w:eastAsia="zh-CN" w:bidi="hi-IN"/>
        </w:rPr>
        <w:t xml:space="preserve">) sera attribuée à la valeur performance environnementale sur la base du critère qualifiant (CQ4.1) affecté de sa pondération : </w:t>
      </w:r>
    </w:p>
    <w:p>
      <w:pPr>
        <w:pStyle w:val="Parareponse"/>
        <w:widowControl/>
        <w:suppressAutoHyphens w:val="true"/>
        <w:overflowPunct w:val="true"/>
        <w:bidi w:val="0"/>
        <w:snapToGrid w:val="false"/>
        <w:spacing w:before="0" w:after="0"/>
        <w:ind w:hanging="0" w:left="0" w:right="0"/>
        <w:jc w:val="both"/>
        <w:rPr>
          <w:rFonts w:ascii="Marianne" w:hAnsi="Marianne" w:eastAsia="Times New Roman" w:cs="Times New Roman"/>
          <w:b w:val="false"/>
          <w:bCs w:val="false"/>
          <w:i w:val="false"/>
          <w:i w:val="false"/>
          <w:iCs w:val="false"/>
          <w:color w:val="000000"/>
          <w:kern w:val="2"/>
          <w:sz w:val="22"/>
          <w:szCs w:val="22"/>
          <w:shd w:fill="auto" w:val="clear"/>
          <w:lang w:val="fr-FR" w:eastAsia="zh-CN" w:bidi="hi-IN"/>
        </w:rPr>
      </w:pP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auto" w:val="clear"/>
          <w:lang w:val="fr-FR" w:eastAsia="zh-CN" w:bidi="hi-IN"/>
        </w:rPr>
      </w:r>
    </w:p>
    <w:p>
      <w:pPr>
        <w:pStyle w:val="Parareponse"/>
        <w:widowControl/>
        <w:suppressAutoHyphens w:val="true"/>
        <w:overflowPunct w:val="true"/>
        <w:bidi w:val="0"/>
        <w:snapToGrid w:val="false"/>
        <w:spacing w:before="0" w:after="0"/>
        <w:ind w:hanging="0" w:left="0" w:right="0"/>
        <w:jc w:val="left"/>
        <w:rPr>
          <w:rFonts w:ascii="Marianne" w:hAnsi="Marianne" w:eastAsia="Times New Roman" w:cs="Times New Roman"/>
          <w:b w:val="false"/>
          <w:bCs w:val="false"/>
          <w:i w:val="false"/>
          <w:i w:val="false"/>
          <w:iCs w:val="false"/>
          <w:color w:val="000000"/>
          <w:kern w:val="2"/>
          <w:sz w:val="22"/>
          <w:szCs w:val="22"/>
          <w:shd w:fill="auto" w:val="clear"/>
          <w:lang w:val="fr-FR" w:eastAsia="zh-CN" w:bidi="hi-IN"/>
        </w:rPr>
      </w:pPr>
      <w:r>
        <w:rPr/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>
                  <w:rFonts w:ascii="Cambria Math" w:hAnsi="Cambria Math"/>
                </w:rPr>
                <m:t xml:space="preserve">N</m:t>
              </m:r>
            </m:e>
            <m:sub>
              <m:r>
                <w:rPr>
                  <w:rFonts w:ascii="Cambria Math" w:hAnsi="Cambria Math"/>
                </w:rPr>
                <m:t xml:space="preserve">PE</m:t>
              </m:r>
            </m:sub>
          </m:sSub>
          <m:r>
            <w:rPr>
              <w:rFonts w:ascii="Cambria Math" w:hAnsi="Cambria Math"/>
            </w:rPr>
            <m:t xml:space="preserve">=</m:t>
          </m:r>
          <m:sSub>
            <m:e>
              <m:r>
                <w:rPr>
                  <w:rFonts w:ascii="Cambria Math" w:hAnsi="Cambria Math"/>
                </w:rPr>
                <m:t xml:space="preserve">N</m:t>
              </m:r>
            </m:e>
            <m:sub>
              <m:r>
                <w:rPr>
                  <w:rFonts w:ascii="Cambria Math" w:hAnsi="Cambria Math"/>
                </w:rPr>
                <m:t xml:space="preserve">CQ</m:t>
              </m:r>
              <m:r>
                <w:rPr>
                  <w:rFonts w:ascii="Cambria Math" w:hAnsi="Cambria Math"/>
                </w:rPr>
                <m:t xml:space="preserve">4.1</m:t>
              </m:r>
            </m:sub>
          </m:sSub>
          <m:r>
            <w:rPr>
              <w:rFonts w:ascii="Cambria Math" w:hAnsi="Cambria Math"/>
            </w:rPr>
            <m:t xml:space="preserve">x</m:t>
          </m:r>
          <m:r>
            <w:rPr>
              <w:rFonts w:ascii="Cambria Math" w:hAnsi="Cambria Math"/>
            </w:rPr>
            <m:t xml:space="preserve">100</m:t>
          </m:r>
          <m:r>
            <m:rPr>
              <m:lit/>
              <m:nor/>
            </m:rPr>
            <w:rPr>
              <w:rFonts w:ascii="Cambria Math" w:hAnsi="Cambria Math"/>
            </w:rPr>
            <m:t xml:space="preserve">%</m:t>
          </m:r>
        </m:oMath>
      </m:oMathPara>
    </w:p>
    <w:p>
      <w:pPr>
        <w:pStyle w:val="Parareponse"/>
        <w:snapToGrid w:val="false"/>
        <w:spacing w:before="0" w:after="0"/>
        <w:ind w:hanging="0" w:left="0" w:right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tbl>
      <w:tblPr>
        <w:tblW w:w="10770" w:type="dxa"/>
        <w:jc w:val="left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80"/>
        <w:gridCol w:w="1589"/>
      </w:tblGrid>
      <w:tr>
        <w:trPr>
          <w:trHeight w:val="338" w:hRule="atLeast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</w:tcBorders>
            <w:shd w:fill="87CEFA" w:val="clear"/>
          </w:tcPr>
          <w:p>
            <w:pPr>
              <w:pStyle w:val="Heading3"/>
              <w:numPr>
                <w:ilvl w:val="2"/>
                <w:numId w:val="1"/>
              </w:numPr>
              <w:bidi w:val="0"/>
              <w:spacing w:before="0" w:after="0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Critère 2 : Valeur performance environnementale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87CEFA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zxx" w:eastAsia="zxx" w:bidi="zxx"/>
              </w:rPr>
              <w:t>5,00 %</w:t>
            </w:r>
          </w:p>
        </w:tc>
      </w:tr>
      <w:tr>
        <w:trPr>
          <w:trHeight w:val="338" w:hRule="atLeast"/>
        </w:trPr>
        <w:tc>
          <w:tcPr>
            <w:tcW w:w="9180" w:type="dxa"/>
            <w:tcBorders>
              <w:lef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Critères qualifiants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Coefficient</w:t>
            </w:r>
          </w:p>
        </w:tc>
      </w:tr>
      <w:tr>
        <w:trPr>
          <w:trHeight w:val="422" w:hRule="atLeast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sz w:val="20"/>
                <w:szCs w:val="20"/>
              </w:rPr>
            </w:pP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>CQ 4.1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 xml:space="preserve"> : </w:t>
            </w:r>
            <w:r>
              <w:rPr>
                <w:rFonts w:eastAsia="Calibri" w:cs="Times New Roman" w:ascii="Marianne" w:hAnsi="Marianne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lang w:val="fr-FR" w:eastAsia="en-US" w:bidi="ar-SA"/>
              </w:rPr>
              <w:t>Détention du label Imprim’Vert® ou équivalent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</w:t>
            </w:r>
          </w:p>
        </w:tc>
      </w:tr>
    </w:tbl>
    <w:p>
      <w:pPr>
        <w:pStyle w:val="Normal"/>
        <w:snapToGrid w:val="false"/>
        <w:spacing w:before="0" w:after="0"/>
        <w:ind w:hanging="0" w:left="0" w:right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0" w:right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tbl>
      <w:tblPr>
        <w:tblW w:w="1066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65"/>
      </w:tblGrid>
      <w:tr>
        <w:trPr/>
        <w:tc>
          <w:tcPr>
            <w:tcW w:w="10665" w:type="dxa"/>
            <w:tcBorders/>
            <w:shd w:fill="FFFFD7" w:val="clear"/>
          </w:tcPr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7620</wp:posOffset>
                  </wp:positionV>
                  <wp:extent cx="338455" cy="308610"/>
                  <wp:effectExtent l="0" t="0" r="0" b="0"/>
                  <wp:wrapSquare wrapText="largest"/>
                  <wp:docPr id="2" name="Image2 Copie 1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 Copie 1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  <w:t xml:space="preserve">Le présent document constitue la </w:t>
            </w:r>
            <w:r>
              <w:rPr>
                <w:rFonts w:ascii="Marianne" w:hAnsi="Marianne"/>
                <w:b/>
                <w:bCs/>
                <w:i w:val="false"/>
                <w:color w:val="000000"/>
                <w:sz w:val="22"/>
                <w:szCs w:val="22"/>
              </w:rPr>
              <w:t>proposition technique et performance environnementale du candidat</w:t>
            </w: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  <w:t>. À ce titre, il doit obligatoirement être joint à l’offre, sous peine de rejet de l’offre.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  <w:u w:val="single"/>
              </w:rPr>
              <w:t xml:space="preserve">Pour tous les CQ, </w:t>
            </w:r>
            <w:r>
              <w:rPr>
                <w:rFonts w:ascii="Marianne" w:hAnsi="Marianne"/>
                <w:sz w:val="22"/>
                <w:szCs w:val="22"/>
              </w:rPr>
              <w:t xml:space="preserve">le candidat peut répondre dans ce cadre de réponse ou en annexant un document de son choix, lisible, </w:t>
            </w:r>
            <w:r>
              <w:rPr>
                <w:rFonts w:ascii="Marianne" w:hAnsi="Marianne"/>
                <w:color w:val="C9211E"/>
                <w:sz w:val="22"/>
                <w:szCs w:val="22"/>
              </w:rPr>
              <w:t>sous réserve de préciser dans ce présent cadre de réponse et pour chaque CQ, la référence à la page et le nom du document annexe concerné.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pBdr>
                <w:top w:val="single" w:sz="2" w:space="6" w:color="000000"/>
                <w:left w:val="single" w:sz="2" w:space="6" w:color="000000"/>
                <w:bottom w:val="single" w:sz="2" w:space="6" w:color="000000"/>
                <w:right w:val="single" w:sz="2" w:space="6" w:color="000000"/>
              </w:pBdr>
              <w:ind w:hanging="0" w:left="113" w:right="113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les éléments de réponse attendus doivent être </w:t>
            </w:r>
            <w:r>
              <w:rPr>
                <w:rFonts w:ascii="Marianne" w:hAnsi="Marianne"/>
                <w:u w:val="single"/>
              </w:rPr>
              <w:t>factuels</w:t>
            </w:r>
            <w:r>
              <w:rPr>
                <w:rFonts w:ascii="Marianne" w:hAnsi="Marianne"/>
              </w:rPr>
              <w:t xml:space="preserve">, </w:t>
            </w:r>
            <w:r>
              <w:rPr>
                <w:rFonts w:ascii="Marianne" w:hAnsi="Marianne"/>
                <w:u w:val="single"/>
              </w:rPr>
              <w:t>étayés</w:t>
            </w:r>
            <w:r>
              <w:rPr>
                <w:rFonts w:ascii="Marianne" w:hAnsi="Marianne"/>
              </w:rPr>
              <w:t xml:space="preserve"> et </w:t>
            </w:r>
            <w:r>
              <w:rPr>
                <w:rFonts w:ascii="Marianne" w:hAnsi="Marianne"/>
                <w:u w:val="single"/>
              </w:rPr>
              <w:t>adaptés au présent accord-cadre.</w:t>
            </w:r>
          </w:p>
          <w:p>
            <w:pPr>
              <w:pStyle w:val="Normal"/>
              <w:widowControl w:val="false"/>
              <w:pBdr>
                <w:top w:val="single" w:sz="2" w:space="6" w:color="000000"/>
                <w:left w:val="single" w:sz="2" w:space="6" w:color="000000"/>
                <w:bottom w:val="single" w:sz="2" w:space="6" w:color="000000"/>
                <w:right w:val="single" w:sz="2" w:space="6" w:color="000000"/>
              </w:pBdr>
              <w:ind w:hanging="0" w:left="113" w:right="113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L’ensemble des engagements qui sont consignés dans les documents précités sont </w:t>
            </w:r>
            <w:r>
              <w:rPr>
                <w:rFonts w:ascii="Marianne" w:hAnsi="Marianne"/>
                <w:u w:val="single"/>
              </w:rPr>
              <w:t>contractuels</w:t>
            </w:r>
            <w:r>
              <w:rPr>
                <w:rFonts w:ascii="Marianne" w:hAnsi="Marianne"/>
              </w:rPr>
              <w:t xml:space="preserve"> et </w:t>
            </w:r>
            <w:r>
              <w:rPr>
                <w:rFonts w:ascii="Marianne" w:hAnsi="Marianne"/>
                <w:u w:val="single"/>
              </w:rPr>
              <w:t>exécutoires</w:t>
            </w:r>
            <w:r>
              <w:rPr>
                <w:rFonts w:ascii="Marianne" w:hAnsi="Marianne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2" w:space="6" w:color="000000"/>
                <w:left w:val="single" w:sz="2" w:space="6" w:color="000000"/>
                <w:bottom w:val="single" w:sz="2" w:space="6" w:color="000000"/>
                <w:right w:val="single" w:sz="2" w:space="6" w:color="000000"/>
              </w:pBdr>
              <w:ind w:hanging="0" w:left="113" w:right="113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En conséquence, les présentations génériques ne seront pas valorisées.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 w:eastAsia="SimSun" w:cs="Mangal"/>
                <w:b w:val="false"/>
                <w:i w:val="false"/>
                <w:i w:val="false"/>
                <w:color w:val="000000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ngal" w:ascii="Marianne" w:hAnsi="Marianne"/>
                <w:b w:val="false"/>
                <w:i w:val="false"/>
                <w:color w:val="000000"/>
                <w:kern w:val="2"/>
                <w:sz w:val="22"/>
                <w:szCs w:val="22"/>
                <w:lang w:val="fr-FR" w:eastAsia="zh-CN" w:bidi="hi-IN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spacing w:before="0" w:after="0"/>
              <w:ind w:hanging="0" w:left="57" w:right="57"/>
              <w:jc w:val="both"/>
              <w:rPr>
                <w:rFonts w:cs="DejaVu Sans" w:cstheme="minorBidi"/>
                <w:color w:val="auto"/>
                <w:sz w:val="20"/>
                <w:szCs w:val="20"/>
                <w:highlight w:val="yellow"/>
              </w:rPr>
            </w:pPr>
            <w:r>
              <w:rPr>
                <w:rFonts w:eastAsia="SimSun" w:cs="Mangal" w:ascii="Marianne" w:hAnsi="Marianne"/>
                <w:b w:val="false"/>
                <w:i w:val="false"/>
                <w:color w:val="000000"/>
                <w:kern w:val="2"/>
                <w:sz w:val="22"/>
                <w:szCs w:val="22"/>
                <w:lang w:val="fr-FR" w:eastAsia="zh-CN" w:bidi="hi-IN"/>
              </w:rPr>
              <w:t>Aucune modification sur le fond n’est tolérée</w:t>
            </w:r>
          </w:p>
        </w:tc>
      </w:tr>
    </w:tbl>
    <w:p>
      <w:pPr>
        <w:sectPr>
          <w:headerReference w:type="even" r:id="rId4"/>
          <w:headerReference w:type="default" r:id="rId5"/>
          <w:headerReference w:type="first" r:id="rId6"/>
          <w:footerReference w:type="even" r:id="rId7"/>
          <w:footerReference w:type="default" r:id="rId8"/>
          <w:footerReference w:type="first" r:id="rId9"/>
          <w:type w:val="nextPage"/>
          <w:pgSz w:w="11906" w:h="16838"/>
          <w:pgMar w:left="567" w:right="567" w:gutter="0" w:header="567" w:top="1092" w:footer="567" w:bottom="1162"/>
          <w:pgNumType w:fmt="decimal"/>
          <w:formProt w:val="false"/>
          <w:textDirection w:val="lrTb"/>
          <w:docGrid w:type="default" w:linePitch="312" w:charSpace="0"/>
        </w:sectPr>
      </w:pPr>
    </w:p>
    <w:tbl>
      <w:tblPr>
        <w:tblW w:w="15713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394"/>
        <w:gridCol w:w="11318"/>
      </w:tblGrid>
      <w:tr>
        <w:trPr/>
        <w:tc>
          <w:tcPr>
            <w:tcW w:w="157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hd w:val="clear" w:fill="000000"/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hanging="0" w:left="0" w:right="1077"/>
              <w:contextualSpacing/>
              <w:jc w:val="both"/>
              <w:rPr>
                <w:rFonts w:ascii="Marianne" w:hAnsi="Marianne"/>
                <w:b/>
                <w:bCs/>
                <w:color w:val="FFFFFF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color w:val="FFFFFF"/>
                <w:sz w:val="24"/>
                <w:szCs w:val="24"/>
                <w:shd w:fill="auto" w:val="clear"/>
              </w:rPr>
              <w:t>VALEUR TECHNIQUE  (CQ 1 à CQ3)</w:t>
            </w:r>
          </w:p>
        </w:tc>
      </w:tr>
      <w:tr>
        <w:trPr/>
        <w:tc>
          <w:tcPr>
            <w:tcW w:w="1571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hd w:val="clear" w:fill="000000"/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hanging="0" w:left="0" w:right="1077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 xml:space="preserve">SOUS-CRITERE 1 : </w:t>
            </w:r>
            <w:r>
              <w:rPr>
                <w:rFonts w:eastAsia="SimSun" w:cs="Times New Roman" w:ascii="Marianne" w:hAnsi="Mariann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 xml:space="preserve"> Pertinence du pilotage du marché</w:t>
            </w:r>
            <w:r>
              <w:rPr>
                <w:rFonts w:eastAsia="SimSun" w:cs="DejaVu Sans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 xml:space="preserve"> </w:t>
            </w:r>
            <w:r>
              <w:rPr>
                <w:rFonts w:eastAsia="SimSun" w:cs="Times New Roman" w:ascii="Marianne" w:hAnsi="Mariann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>(</w:t>
            </w:r>
            <w:r>
              <w:rPr>
                <w:rFonts w:cs="Times New Roman" w:ascii="Marianne" w:hAnsi="Mariann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2"/>
                <w:szCs w:val="22"/>
                <w:u w:val="none"/>
                <w:shd w:fill="auto" w:val="clear"/>
              </w:rPr>
              <w:t xml:space="preserve">taille des cadres modifiable) </w:t>
            </w:r>
            <w:r>
              <w:rPr>
                <w:rFonts w:eastAsia="SimSun" w:cs="Times New Roman" w:ascii="Marianne" w:hAnsi="Mariann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 xml:space="preserve"> 10%</w:t>
            </w:r>
          </w:p>
        </w:tc>
      </w:tr>
      <w:tr>
        <w:trPr/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Items</w:t>
            </w:r>
          </w:p>
        </w:tc>
        <w:tc>
          <w:tcPr>
            <w:tcW w:w="11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Description</w:t>
            </w:r>
          </w:p>
        </w:tc>
      </w:tr>
      <w:tr>
        <w:trPr/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CQ 1.1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 xml:space="preserve"> : </w:t>
            </w: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pilotage du marché et des incidents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b w:val="false"/>
                <w:bCs w:val="false"/>
              </w:rPr>
            </w:pP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-Présenter en détail 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b w:val="false"/>
                <w:bCs w:val="false"/>
              </w:rPr>
            </w:pP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 xml:space="preserve">• 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l'organisation humaine et technique proposée pour piloter l’exécution du marché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b w:val="false"/>
                <w:bCs w:val="false"/>
              </w:rPr>
            </w:pP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 xml:space="preserve">• 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 xml:space="preserve">l’organisation déployée pour la gestion des </w:t>
            </w: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incidents 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: point(s) de contact dédié(s), délai et modalité d’alerte de la préfecture en cas d’incident, plan de continuité d’activité</w:t>
            </w:r>
          </w:p>
          <w:p>
            <w:pPr>
              <w:pStyle w:val="Normal"/>
              <w:widowControl w:val="false"/>
              <w:jc w:val="both"/>
              <w:rPr>
                <w:highlight w:val="none"/>
                <w:shd w:fill="FFFF00" w:val="clear"/>
              </w:rPr>
            </w:pPr>
            <w:r>
              <w:rPr>
                <w:shd w:fill="FFFF00" w:val="clear"/>
              </w:rPr>
            </w:r>
          </w:p>
          <w:p>
            <w:pPr>
              <w:pStyle w:val="Normal"/>
              <w:widowControl w:val="false"/>
              <w:jc w:val="both"/>
              <w:rPr>
                <w:highlight w:val="none"/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1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before="0" w:after="120"/>
              <w:ind w:hanging="0" w:left="309" w:right="57"/>
              <w:rPr>
                <w:rFonts w:ascii="Marianne" w:hAnsi="Marianne"/>
                <w:i/>
                <w:i/>
                <w:kern w:val="0"/>
                <w:lang w:val="fr-FR" w:bidi="ar-SA"/>
              </w:rPr>
            </w:pPr>
            <w:r>
              <w:rPr>
                <w:rFonts w:ascii="Marianne" w:hAnsi="Marianne"/>
                <w:i/>
                <w:kern w:val="0"/>
                <w:lang w:val="fr-FR" w:bidi="ar-SA"/>
              </w:rPr>
              <w:t>Répondre ici ou reporter les numéros de page d’un document annexe</w:t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  <w:tr>
        <w:trPr>
          <w:trHeight w:val="4905" w:hRule="atLeast"/>
        </w:trPr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>CQ 1.2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 xml:space="preserve">: </w:t>
            </w:r>
            <w:r>
              <w:rPr>
                <w:rFonts w:eastAsia="SimSun" w:cs="Times New Roman" w:ascii="Marianne" w:hAnsi="Marianne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zh-CN" w:bidi="ar-SA"/>
              </w:rPr>
              <w:t>outils de suivi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 xml:space="preserve">Présenter en détail les outils permettant le 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single"/>
                <w:shd w:fill="auto" w:val="clear"/>
                <w:lang w:val="fr-FR" w:eastAsia="en-US" w:bidi="ar-SA"/>
              </w:rPr>
              <w:t>suivi 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 xml:space="preserve">• 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du stockage du papier,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 xml:space="preserve">• 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de la production des bulletins de vote, et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 xml:space="preserve">• 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des livraisons.</w:t>
            </w:r>
          </w:p>
          <w:p>
            <w:pPr>
              <w:pStyle w:val="Normal"/>
              <w:widowControl w:val="false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shd w:fill="auto" w:val="clear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rPr>
                <w:rFonts w:ascii="Marianne" w:hAnsi="Mariann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shd w:fill="auto" w:val="clear"/>
              </w:rPr>
            </w:pP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shd w:fill="auto" w:val="clear"/>
              </w:rPr>
            </w:r>
          </w:p>
        </w:tc>
        <w:tc>
          <w:tcPr>
            <w:tcW w:w="11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before="0" w:after="120"/>
              <w:ind w:hanging="0" w:left="309" w:right="57"/>
              <w:rPr>
                <w:rFonts w:ascii="Marianne" w:hAnsi="Marianne"/>
                <w:i/>
                <w:i/>
                <w:kern w:val="0"/>
                <w:lang w:val="fr-FR" w:bidi="ar-SA"/>
              </w:rPr>
            </w:pPr>
            <w:r>
              <w:rPr>
                <w:rFonts w:ascii="Marianne" w:hAnsi="Marianne"/>
                <w:i/>
                <w:kern w:val="0"/>
                <w:lang w:val="fr-FR" w:bidi="ar-SA"/>
              </w:rPr>
              <w:t>Répondre ici ou reporter les numéros de page d’un document annexe</w:t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fill="000000"/>
        <w:snapToGrid w:val="false"/>
        <w:spacing w:lineRule="auto" w:line="240" w:before="0" w:after="0"/>
        <w:ind w:hanging="0" w:left="0" w:right="0"/>
        <w:contextualSpacing/>
        <w:jc w:val="both"/>
        <w:rPr>
          <w:rFonts w:ascii="Marianne" w:hAnsi="Marianne"/>
        </w:rPr>
      </w:pPr>
      <w:r>
        <w:rPr>
          <w:rFonts w:ascii="Marianne" w:hAnsi="Marianne"/>
        </w:rPr>
      </w:r>
      <w:r>
        <w:br w:type="page"/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fill="000000"/>
        <w:snapToGrid w:val="false"/>
        <w:spacing w:lineRule="auto" w:line="240" w:before="0" w:after="0"/>
        <w:ind w:hanging="0" w:left="0" w:right="0"/>
        <w:contextualSpacing/>
        <w:jc w:val="both"/>
        <w:rPr>
          <w:rFonts w:ascii="Marianne" w:hAnsi="Marianne"/>
        </w:rPr>
      </w:pPr>
      <w:r>
        <w:rPr>
          <w:rFonts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>SOUS-CRITERE 2</w:t>
      </w:r>
      <w:r>
        <w:rPr>
          <w:rFonts w:cs="Times New Roman" w:ascii="Marianne" w:hAnsi="Marianne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 xml:space="preserve"> : </w:t>
      </w:r>
      <w:r>
        <w:rPr>
          <w:rFonts w:cs="DejaVu Sans" w:ascii="Marianne" w:hAnsi="Marianne" w:cstheme="minorBid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>Qualité de l’approvisionnement et stockage du papier</w:t>
      </w:r>
      <w:r>
        <w:rPr>
          <w:rFonts w:cs="Times New Roman" w:ascii="Marianne" w:hAnsi="Marianne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>(taille des cadres modifiable) 30%</w:t>
      </w:r>
    </w:p>
    <w:p>
      <w:pPr>
        <w:pStyle w:val="Normal"/>
        <w:snapToGrid w:val="false"/>
        <w:spacing w:lineRule="auto" w:line="240" w:before="0" w:after="0"/>
        <w:ind w:hanging="0" w:left="0" w:right="0"/>
        <w:contextualSpacing/>
        <w:jc w:val="left"/>
        <w:rPr>
          <w:rFonts w:ascii="Marianne" w:hAnsi="Marianne" w:cs="Times New Roman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pPr>
      <w:r>
        <w:rPr>
          <w:rFonts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r>
    </w:p>
    <w:tbl>
      <w:tblPr>
        <w:tblW w:w="15683" w:type="dxa"/>
        <w:jc w:val="left"/>
        <w:tblInd w:w="76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989"/>
        <w:gridCol w:w="11693"/>
      </w:tblGrid>
      <w:tr>
        <w:trPr/>
        <w:tc>
          <w:tcPr>
            <w:tcW w:w="15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Items</w:t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Description</w:t>
            </w:r>
          </w:p>
        </w:tc>
      </w:tr>
      <w:tr>
        <w:trPr/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CQ 2.1 : Qualité du papier et sources d’approvisionnement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b w:val="false"/>
                <w:bCs w:val="false"/>
              </w:rPr>
            </w:pP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Présenter en détail :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b w:val="false"/>
                <w:bCs w:val="false"/>
              </w:rPr>
            </w:pP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- Le ou les types de papier proposés et leurs propriétés 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b w:val="false"/>
                <w:bCs w:val="false"/>
              </w:rPr>
            </w:pP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- les sources d’approvisionnement pressenties et les solutions de secours en cas de difficulté d’approvisionnement, pour permettre la constitution de stocks en 12 semaines maximum.</w:t>
            </w:r>
          </w:p>
          <w:p>
            <w:pPr>
              <w:pStyle w:val="Default"/>
              <w:widowControl/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before="0" w:after="120"/>
              <w:ind w:hanging="0" w:left="309" w:right="57"/>
              <w:rPr>
                <w:rFonts w:ascii="Marianne" w:hAnsi="Marianne"/>
                <w:i/>
                <w:i/>
                <w:kern w:val="0"/>
                <w:lang w:val="fr-FR" w:bidi="ar-SA"/>
              </w:rPr>
            </w:pPr>
            <w:r>
              <w:rPr>
                <w:rFonts w:ascii="Marianne" w:hAnsi="Marianne"/>
                <w:i/>
                <w:kern w:val="0"/>
                <w:lang w:val="fr-FR" w:bidi="ar-SA"/>
              </w:rPr>
              <w:t>Répondre ici ou reporter les numéros de page d’un document annexe</w:t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1050" w:hRule="atLeast"/>
        </w:trPr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hanging="1587" w:left="0" w:right="57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CQ 2.2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: </w:t>
            </w: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Solution de stockage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prévue pour le marché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hanging="1587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 </w:t>
            </w:r>
            <w:r>
              <w:rPr>
                <w:rFonts w:ascii="Marianne" w:hAnsi="Marianne"/>
              </w:rPr>
              <w:t>Présenter en détail 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- La ou les solutions de stockage proposées (localisation et capacité de stockage) 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- les moyens et processus pour préserver l’intégrité du papier stocké dans le temps et pour chaque site de stockage.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(les dispositifs de protection anti-incendie, anti-intrusion, mesures liées à l’hygrométrie, et à la protection contre les nuisibles seront indiquées).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- Description des moyens techniques et humains dédiés au déstockage pour permettre le démarrage de la production dans un délai très court.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(Décrire l’équipe dédiée à l’exécution des prestations, la qualification du personnel)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before="0" w:after="120"/>
              <w:ind w:hanging="0" w:left="309" w:right="57"/>
              <w:rPr>
                <w:rFonts w:ascii="Marianne" w:hAnsi="Marianne"/>
                <w:i/>
                <w:i/>
                <w:kern w:val="0"/>
                <w:lang w:val="fr-FR" w:bidi="ar-SA"/>
              </w:rPr>
            </w:pPr>
            <w:r>
              <w:rPr>
                <w:rFonts w:ascii="Marianne" w:hAnsi="Marianne"/>
                <w:i/>
                <w:kern w:val="0"/>
                <w:lang w:val="fr-FR" w:bidi="ar-SA"/>
              </w:rPr>
              <w:t>Répondre ici ou reporter les numéros de page d’un document annexe</w:t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shd w:val="clear" w:fill="000000"/>
        <w:snapToGrid w:val="false"/>
        <w:spacing w:lineRule="auto" w:line="240" w:before="0" w:after="0"/>
        <w:ind w:hanging="0" w:left="0" w:right="0"/>
        <w:contextualSpacing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  <w:r>
        <w:br w:type="page"/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fill="000000"/>
        <w:snapToGrid w:val="false"/>
        <w:spacing w:lineRule="auto" w:line="240" w:before="0" w:after="0"/>
        <w:ind w:hanging="0" w:left="0" w:right="0"/>
        <w:contextualSpacing/>
        <w:jc w:val="both"/>
        <w:rPr>
          <w:rFonts w:ascii="Marianne" w:hAnsi="Marianne"/>
        </w:rPr>
      </w:pPr>
      <w:r>
        <w:rPr>
          <w:rFonts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>SOUS-CRITERE 3</w:t>
      </w:r>
      <w:r>
        <w:rPr>
          <w:rFonts w:cs="Times New Roman" w:ascii="Marianne" w:hAnsi="Marianne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 xml:space="preserve"> : </w:t>
      </w:r>
      <w:r>
        <w:rPr>
          <w:rFonts w:cs="DejaVu Sans" w:ascii="Marianne" w:hAnsi="Marianne" w:cstheme="minorBid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>Qualité de la fabrication et livraison des bulletins de vote</w:t>
      </w:r>
      <w:r>
        <w:rPr>
          <w:rFonts w:cs="Times New Roman" w:ascii="Marianne" w:hAnsi="Marianne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>(taille des cadres modifiable) 60 %</w:t>
      </w:r>
    </w:p>
    <w:p>
      <w:pPr>
        <w:pStyle w:val="Normal"/>
        <w:snapToGrid w:val="false"/>
        <w:spacing w:lineRule="auto" w:line="240" w:before="0" w:after="0"/>
        <w:ind w:hanging="0" w:left="0" w:right="0"/>
        <w:contextualSpacing/>
        <w:jc w:val="left"/>
        <w:rPr>
          <w:rFonts w:ascii="Marianne" w:hAnsi="Marianne" w:cs="Times New Roman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pPr>
      <w:r>
        <w:rPr>
          <w:rFonts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r>
    </w:p>
    <w:tbl>
      <w:tblPr>
        <w:tblW w:w="15683" w:type="dxa"/>
        <w:jc w:val="left"/>
        <w:tblInd w:w="76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989"/>
        <w:gridCol w:w="11693"/>
      </w:tblGrid>
      <w:tr>
        <w:trPr/>
        <w:tc>
          <w:tcPr>
            <w:tcW w:w="15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Items</w:t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Description</w:t>
            </w:r>
          </w:p>
        </w:tc>
      </w:tr>
      <w:tr>
        <w:trPr/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 xml:space="preserve">CQ 3.1 :  Pour les deux types de scrutins (présidentiel et référendum) et de délais (normal et urgent) prévus au marché, 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présenter en détail :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b w:val="false"/>
                <w:bCs w:val="false"/>
              </w:rPr>
            </w:pP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 xml:space="preserve">-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Qualité des moyens techniques et humains proposés pour imprimer, façonner et conditionner les bulletins de vote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 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 xml:space="preserve"> 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(-&gt; Bien préciser les limites en matière de production et la capacité à prendre en charge dans leur globalité les volumes de documents à mettre sous pli pour le 2nd tour des élections)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Default"/>
              <w:widowControl/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- Les solutions de gestion des risques associés et les solutions de secours 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Default"/>
              <w:widowControl/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- Les solutions proposées pour assurer la livraison des bulletins de vote.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Default"/>
              <w:widowControl/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Default"/>
              <w:widowControl/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En cas de co-traitance ou sous-traitance, les moyens et le rôle de chacun des intervenants doivent être décrits en détail.</w:t>
            </w:r>
          </w:p>
          <w:p>
            <w:pPr>
              <w:pStyle w:val="Default"/>
              <w:widowControl/>
              <w:numPr>
                <w:ilvl w:val="0"/>
                <w:numId w:val="0"/>
              </w:numPr>
              <w:suppressAutoHyphens w:val="true"/>
              <w:overflowPunct w:val="false"/>
              <w:bidi w:val="0"/>
              <w:spacing w:before="0" w:after="0"/>
              <w:ind w:hanging="0" w:left="0" w:right="0"/>
              <w:jc w:val="both"/>
              <w:rPr>
                <w:rFonts w:ascii="Marianne" w:hAnsi="Marianne" w:cs="Times New Roman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</w:pPr>
            <w:r>
              <w:rPr>
                <w:rFonts w:cs="Times New Roman" w:ascii="Marianne" w:hAnsi="Mariann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</w:r>
          </w:p>
          <w:p>
            <w:pPr>
              <w:pStyle w:val="Default"/>
              <w:widowControl/>
              <w:suppressAutoHyphens w:val="true"/>
              <w:overflowPunct w:val="false"/>
              <w:bidi w:val="0"/>
              <w:spacing w:before="0" w:after="0"/>
              <w:ind w:hanging="1587" w:left="0" w:right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before="0" w:after="120"/>
              <w:ind w:hanging="0" w:left="309" w:right="57"/>
              <w:rPr>
                <w:rFonts w:ascii="Marianne" w:hAnsi="Marianne"/>
                <w:i/>
                <w:i/>
                <w:kern w:val="0"/>
                <w:lang w:val="fr-FR" w:bidi="ar-SA"/>
              </w:rPr>
            </w:pPr>
            <w:r>
              <w:rPr>
                <w:rFonts w:ascii="Marianne" w:hAnsi="Marianne"/>
                <w:i/>
                <w:kern w:val="0"/>
                <w:lang w:val="fr-FR" w:bidi="ar-SA"/>
              </w:rPr>
              <w:t>Répondre ici ou reporter les numéros de page d’un document annexe</w:t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1050" w:hRule="atLeast"/>
        </w:trPr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hanging="1587" w:left="0" w:right="57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CQ 3.2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: </w:t>
            </w:r>
            <w:r>
              <w:rPr>
                <w:rFonts w:ascii="Marianne" w:hAnsi="Marianne"/>
                <w:b/>
                <w:bCs/>
              </w:rPr>
              <w:t>Simulation de commande</w:t>
            </w:r>
            <w:r>
              <w:rPr>
                <w:rFonts w:ascii="Marianne" w:hAnsi="Marianne"/>
              </w:rPr>
              <w:t> en réponse aux 2 scenarii suivants 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1587" w:left="0" w:right="57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contextualSpacing/>
              <w:jc w:val="both"/>
              <w:rPr>
                <w:rFonts w:ascii="Marianne" w:hAnsi="Marianne"/>
                <w:b/>
                <w:bCs/>
                <w:u w:val="single"/>
              </w:rPr>
            </w:pPr>
            <w:r>
              <w:rPr>
                <w:rFonts w:ascii="Marianne" w:hAnsi="Marianne"/>
                <w:b/>
                <w:bCs/>
                <w:u w:val="single"/>
              </w:rPr>
              <w:t>Présidentielle – délai classique</w:t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contextualSpacing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Format : A6 recto une couleur (noir)</w:t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contextualSpacing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Premier tour : 11 candidats</w:t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contextualSpacing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11 avril 2027</w:t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contextualSpacing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contextualSpacing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Second tour : 2 candidats</w:t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contextualSpacing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25 avril 2027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et</w:t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  <w:b/>
                <w:bCs/>
                <w:u w:val="single"/>
              </w:rPr>
            </w:pPr>
            <w:r>
              <w:rPr>
                <w:rFonts w:ascii="Marianne" w:hAnsi="Marianne"/>
                <w:b/>
                <w:bCs/>
                <w:u w:val="single"/>
              </w:rPr>
              <w:t>Référendum – délai urgent</w:t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4 bulletins de vote</w:t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Format : A4 recto deux couleurs (noir et bleu)</w:t>
            </w:r>
          </w:p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05 juillet 2026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• </w:t>
            </w:r>
            <w:r>
              <w:rPr>
                <w:rFonts w:ascii="Marianne" w:hAnsi="Marianne"/>
              </w:rPr>
              <w:t xml:space="preserve">Présenter les </w:t>
            </w:r>
            <w:r>
              <w:rPr>
                <w:rFonts w:ascii="Marianne" w:hAnsi="Marianne"/>
                <w:b/>
                <w:bCs/>
              </w:rPr>
              <w:t>organisations de production proposées</w:t>
            </w:r>
            <w:r>
              <w:rPr>
                <w:rFonts w:ascii="Marianne" w:hAnsi="Marianne"/>
              </w:rPr>
              <w:t xml:space="preserve"> (</w:t>
            </w:r>
            <w:r>
              <w:rPr>
                <w:rFonts w:ascii="Marianne" w:hAnsi="Marianne"/>
                <w:b/>
                <w:bCs/>
              </w:rPr>
              <w:t>rétroplannings</w:t>
            </w:r>
            <w:r>
              <w:rPr>
                <w:rFonts w:ascii="Marianne" w:hAnsi="Marianne"/>
              </w:rPr>
              <w:t>, cadences journalières de production et de livraison, moyens mis à disposition, etc.) en réponse aux scénarios mentionnés 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• </w:t>
            </w:r>
            <w:r>
              <w:rPr>
                <w:rFonts w:ascii="Marianne" w:hAnsi="Marianne"/>
              </w:rPr>
              <w:t xml:space="preserve">Détailler les </w:t>
            </w:r>
            <w:r>
              <w:rPr>
                <w:rFonts w:ascii="Marianne" w:hAnsi="Marianne"/>
                <w:b/>
                <w:bCs/>
              </w:rPr>
              <w:t>points d’attention nécessaires</w:t>
            </w:r>
            <w:r>
              <w:rPr>
                <w:rFonts w:ascii="Marianne" w:hAnsi="Marianne"/>
              </w:rPr>
              <w:t xml:space="preserve"> au respect des délais contractuels.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Pour ces simulations, les quantités à produire sont déterminées par le nombre d’électeurs connu à la date de publication du marché, présenté dans</w:t>
            </w:r>
            <w:r>
              <w:rPr>
                <w:rFonts w:ascii="Marianne" w:hAnsi="Marianne"/>
                <w:shd w:fill="auto" w:val="clear"/>
              </w:rPr>
              <w:t xml:space="preserve"> l’annexe 1 du CC</w:t>
            </w:r>
            <w:r>
              <w:rPr>
                <w:rFonts w:ascii="Marianne" w:hAnsi="Marianne"/>
              </w:rPr>
              <w:t>TP.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before="0" w:after="120"/>
              <w:ind w:hanging="0" w:left="309" w:right="57"/>
              <w:rPr>
                <w:rFonts w:ascii="Marianne" w:hAnsi="Marianne"/>
                <w:i/>
                <w:i/>
                <w:kern w:val="0"/>
                <w:lang w:val="fr-FR" w:bidi="ar-SA"/>
              </w:rPr>
            </w:pPr>
            <w:r>
              <w:rPr>
                <w:rFonts w:ascii="Marianne" w:hAnsi="Marianne"/>
                <w:i/>
                <w:kern w:val="0"/>
                <w:lang w:val="fr-FR" w:bidi="ar-SA"/>
              </w:rPr>
              <w:t>Répondre ici ou reporter les numéros de page d’un document annexe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pacing w:before="0" w:after="120"/>
              <w:ind w:hanging="0" w:left="309" w:right="57"/>
              <w:rPr>
                <w:rFonts w:ascii="Marianne" w:hAnsi="Marianne"/>
                <w:i/>
                <w:i/>
                <w:iCs/>
              </w:rPr>
            </w:pPr>
            <w:r>
              <w:rPr>
                <w:rFonts w:ascii="Marianne" w:hAnsi="Marianne"/>
                <w:i/>
                <w:iCs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shd w:val="clear" w:fill="000000"/>
        <w:snapToGrid w:val="false"/>
        <w:spacing w:lineRule="auto" w:line="240" w:before="0" w:after="0"/>
        <w:ind w:hanging="0" w:left="0" w:right="0"/>
        <w:contextualSpacing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  <w:r>
        <w:br w:type="page"/>
      </w:r>
    </w:p>
    <w:tbl>
      <w:tblPr>
        <w:tblW w:w="1571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393"/>
        <w:gridCol w:w="11321"/>
      </w:tblGrid>
      <w:tr>
        <w:trPr/>
        <w:tc>
          <w:tcPr>
            <w:tcW w:w="15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Normal"/>
              <w:pageBreakBefore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hd w:val="clear" w:fill="000000"/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hanging="0" w:left="0" w:right="1077"/>
              <w:contextualSpacing/>
              <w:jc w:val="both"/>
              <w:rPr>
                <w:rFonts w:ascii="Marianne" w:hAnsi="Marianne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sz w:val="28"/>
                <w:szCs w:val="28"/>
                <w:shd w:fill="auto" w:val="clear"/>
              </w:rPr>
              <w:t>VALEUR PERFORMANCE ENVIRONNEMENTALE</w:t>
            </w:r>
          </w:p>
        </w:tc>
      </w:tr>
      <w:tr>
        <w:trPr/>
        <w:tc>
          <w:tcPr>
            <w:tcW w:w="157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hd w:val="clear" w:fill="000000"/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hanging="0" w:left="0" w:right="1077"/>
              <w:contextualSpacing/>
              <w:jc w:val="both"/>
              <w:rPr>
                <w:b/>
                <w:bCs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>CRITERE 2 : Performance environnementale : 5%</w:t>
            </w:r>
          </w:p>
        </w:tc>
      </w:tr>
      <w:tr>
        <w:trPr/>
        <w:tc>
          <w:tcPr>
            <w:tcW w:w="4393" w:type="dxa"/>
            <w:tcBorders>
              <w:left w:val="single" w:sz="2" w:space="0" w:color="000000"/>
              <w:bottom w:val="single" w:sz="2" w:space="0" w:color="000000"/>
            </w:tcBorders>
            <w:shd w:fill="BAFBCD" w:val="clear"/>
          </w:tcPr>
          <w:p>
            <w:pPr>
              <w:pStyle w:val="Contenudetableau"/>
              <w:widowControl w:val="false"/>
              <w:jc w:val="center"/>
              <w:rPr>
                <w:highlight w:val="none"/>
                <w:shd w:fill="BAFBCD" w:val="clear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  <w:shd w:fill="BAFBCD" w:val="clear"/>
              </w:rPr>
              <w:t>Items</w:t>
            </w:r>
          </w:p>
        </w:tc>
        <w:tc>
          <w:tcPr>
            <w:tcW w:w="11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BAFBCD" w:val="clear"/>
          </w:tcPr>
          <w:p>
            <w:pPr>
              <w:pStyle w:val="Contenudetableau"/>
              <w:widowControl w:val="false"/>
              <w:jc w:val="center"/>
              <w:rPr>
                <w:highlight w:val="none"/>
                <w:shd w:fill="BAFBCD" w:val="clear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  <w:shd w:fill="BAFBCD" w:val="clear"/>
              </w:rPr>
              <w:t>Description</w:t>
            </w:r>
          </w:p>
        </w:tc>
      </w:tr>
      <w:tr>
        <w:trPr/>
        <w:tc>
          <w:tcPr>
            <w:tcW w:w="439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 xml:space="preserve">CQ 4.1 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 xml:space="preserve">: </w:t>
            </w: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fr-FR" w:eastAsia="en-US" w:bidi="ar-SA"/>
              </w:rPr>
              <w:t>Détention du label Imprim’Vert® ou équivalent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1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before="0" w:after="120"/>
              <w:ind w:hanging="0" w:left="309" w:right="57"/>
              <w:rPr>
                <w:rFonts w:ascii="Marianne" w:hAnsi="Marianne"/>
                <w:i/>
                <w:i/>
                <w:kern w:val="0"/>
                <w:lang w:val="fr-FR" w:bidi="ar-SA"/>
              </w:rPr>
            </w:pPr>
            <w:r>
              <w:rPr>
                <w:rFonts w:ascii="Marianne" w:hAnsi="Marianne"/>
                <w:i/>
                <w:kern w:val="0"/>
                <w:lang w:val="fr-FR" w:bidi="ar-SA"/>
              </w:rPr>
              <w:t>Répondre ici pour justifier de l’équivalence ou joindre un justificatif de détention du label en cours de validité</w:t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hd w:val="clear" w:fill="000000"/>
        <w:snapToGrid w:val="false"/>
        <w:spacing w:lineRule="auto" w:line="240" w:before="0" w:after="0"/>
        <w:ind w:hanging="0" w:left="0" w:right="0"/>
        <w:contextualSpacing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orient="landscape" w:w="16838" w:h="11906"/>
      <w:pgMar w:left="567" w:right="567" w:gutter="0" w:header="0" w:top="567" w:footer="567" w:bottom="110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Marianne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1"/>
    <w:family w:val="auto"/>
    <w:pitch w:val="default"/>
  </w:font>
  <w:font w:name="Courier New">
    <w:charset w:val="01"/>
    <w:family w:val="auto"/>
    <w:pitch w:val="default"/>
  </w:font>
  <w:font w:name="Symbol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">
    <w:charset w:val="01"/>
    <w:family w:val="auto"/>
    <w:pitch w:val="default"/>
  </w:font>
  <w:font w:name="Arial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left"/>
      <w:rPr/>
    </w:pPr>
    <w:r>
      <w:rPr>
        <w:rFonts w:ascii="Marianne" w:hAnsi="Marianne"/>
        <w:sz w:val="18"/>
      </w:rPr>
      <w:t xml:space="preserve">SGC974-PREF-2025-05 </w:t>
      <w:tab/>
      <w:tab/>
      <w:tab/>
      <w:tab/>
      <w:tab/>
      <w:tab/>
      <w:tab/>
      <w:tab/>
      <w:tab/>
      <w:tab/>
      <w:tab/>
      <w:t xml:space="preserve">page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r>
      <w:rPr/>
      <w:t xml:space="preserve"> 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10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left"/>
      <w:rPr/>
    </w:pPr>
    <w:r>
      <w:rPr>
        <w:rFonts w:ascii="Marianne" w:hAnsi="Marianne"/>
        <w:sz w:val="18"/>
      </w:rPr>
      <w:t xml:space="preserve">SGC974-PREF-2025-05 </w:t>
      <w:tab/>
      <w:tab/>
      <w:tab/>
      <w:tab/>
      <w:tab/>
      <w:tab/>
      <w:tab/>
      <w:tab/>
      <w:tab/>
      <w:tab/>
      <w:tab/>
      <w:t xml:space="preserve">page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r>
      <w:rPr/>
      <w:t xml:space="preserve"> 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10</w:t>
    </w:r>
    <w:r>
      <w:rPr/>
      <w:fldChar w:fldCharType="end"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10</w:t>
    </w:r>
    <w:r>
      <w:rPr/>
      <w:fldChar w:fldCharType="end"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Marianne" w:hAnsi="Marianne"/>
        <w:sz w:val="18"/>
        <w:szCs w:val="18"/>
      </w:rPr>
    </w:pPr>
    <w:r>
      <w:rPr>
        <w:rFonts w:ascii="Marianne" w:hAnsi="Marianne"/>
        <w:sz w:val="18"/>
        <w:szCs w:val="18"/>
      </w:rPr>
      <w:t xml:space="preserve">Page </w:t>
    </w:r>
    <w:r>
      <w:rPr>
        <w:rFonts w:ascii="Marianne" w:hAnsi="Marianne"/>
        <w:sz w:val="18"/>
        <w:szCs w:val="18"/>
      </w:rPr>
      <w:fldChar w:fldCharType="begin"/>
    </w:r>
    <w:r>
      <w:rPr>
        <w:sz w:val="18"/>
        <w:szCs w:val="18"/>
        <w:rFonts w:ascii="Marianne" w:hAnsi="Marianne"/>
      </w:rPr>
      <w:instrText xml:space="preserve"> PAGE </w:instrText>
    </w:r>
    <w:r>
      <w:rPr>
        <w:sz w:val="18"/>
        <w:szCs w:val="18"/>
        <w:rFonts w:ascii="Marianne" w:hAnsi="Marianne"/>
      </w:rPr>
      <w:fldChar w:fldCharType="separate"/>
    </w:r>
    <w:r>
      <w:rPr>
        <w:sz w:val="18"/>
        <w:szCs w:val="18"/>
        <w:rFonts w:ascii="Marianne" w:hAnsi="Marianne"/>
      </w:rPr>
      <w:t>10</w:t>
    </w:r>
    <w:r>
      <w:rPr>
        <w:sz w:val="18"/>
        <w:szCs w:val="18"/>
        <w:rFonts w:ascii="Marianne" w:hAnsi="Marianne"/>
      </w:rPr>
      <w:fldChar w:fldCharType="end"/>
    </w:r>
    <w:r>
      <w:rPr>
        <w:rFonts w:ascii="Marianne" w:hAnsi="Marianne"/>
        <w:sz w:val="18"/>
        <w:szCs w:val="18"/>
      </w:rPr>
      <w:t xml:space="preserve"> / </w:t>
    </w:r>
    <w:r>
      <w:rPr>
        <w:rFonts w:ascii="Marianne" w:hAnsi="Marianne"/>
        <w:sz w:val="18"/>
        <w:szCs w:val="18"/>
      </w:rPr>
      <w:fldChar w:fldCharType="begin"/>
    </w:r>
    <w:r>
      <w:rPr>
        <w:sz w:val="18"/>
        <w:szCs w:val="18"/>
        <w:rFonts w:ascii="Marianne" w:hAnsi="Marianne"/>
      </w:rPr>
      <w:instrText xml:space="preserve"> NUMPAGES </w:instrText>
    </w:r>
    <w:r>
      <w:rPr>
        <w:sz w:val="18"/>
        <w:szCs w:val="18"/>
        <w:rFonts w:ascii="Marianne" w:hAnsi="Marianne"/>
      </w:rPr>
      <w:fldChar w:fldCharType="separate"/>
    </w:r>
    <w:r>
      <w:rPr>
        <w:sz w:val="18"/>
        <w:szCs w:val="18"/>
        <w:rFonts w:ascii="Marianne" w:hAnsi="Marianne"/>
      </w:rPr>
      <w:t>10</w:t>
    </w:r>
    <w:r>
      <w:rPr>
        <w:sz w:val="18"/>
        <w:szCs w:val="18"/>
        <w:rFonts w:ascii="Marianne" w:hAnsi="Marianne"/>
      </w:rPr>
      <w:fldChar w:fldCharType="end"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Marianne" w:hAnsi="Marianne"/>
        <w:sz w:val="18"/>
        <w:szCs w:val="18"/>
      </w:rPr>
    </w:pPr>
    <w:r>
      <w:rPr>
        <w:rFonts w:ascii="Marianne" w:hAnsi="Marianne"/>
        <w:sz w:val="18"/>
        <w:szCs w:val="18"/>
      </w:rPr>
      <w:t xml:space="preserve">Page </w:t>
    </w:r>
    <w:r>
      <w:rPr>
        <w:rFonts w:ascii="Marianne" w:hAnsi="Marianne"/>
        <w:sz w:val="18"/>
        <w:szCs w:val="18"/>
      </w:rPr>
      <w:fldChar w:fldCharType="begin"/>
    </w:r>
    <w:r>
      <w:rPr>
        <w:sz w:val="18"/>
        <w:szCs w:val="18"/>
        <w:rFonts w:ascii="Marianne" w:hAnsi="Marianne"/>
      </w:rPr>
      <w:instrText xml:space="preserve"> PAGE </w:instrText>
    </w:r>
    <w:r>
      <w:rPr>
        <w:sz w:val="18"/>
        <w:szCs w:val="18"/>
        <w:rFonts w:ascii="Marianne" w:hAnsi="Marianne"/>
      </w:rPr>
      <w:fldChar w:fldCharType="separate"/>
    </w:r>
    <w:r>
      <w:rPr>
        <w:sz w:val="18"/>
        <w:szCs w:val="18"/>
        <w:rFonts w:ascii="Marianne" w:hAnsi="Marianne"/>
      </w:rPr>
      <w:t>10</w:t>
    </w:r>
    <w:r>
      <w:rPr>
        <w:sz w:val="18"/>
        <w:szCs w:val="18"/>
        <w:rFonts w:ascii="Marianne" w:hAnsi="Marianne"/>
      </w:rPr>
      <w:fldChar w:fldCharType="end"/>
    </w:r>
    <w:r>
      <w:rPr>
        <w:rFonts w:ascii="Marianne" w:hAnsi="Marianne"/>
        <w:sz w:val="18"/>
        <w:szCs w:val="18"/>
      </w:rPr>
      <w:t xml:space="preserve"> / </w:t>
    </w:r>
    <w:r>
      <w:rPr>
        <w:rFonts w:ascii="Marianne" w:hAnsi="Marianne"/>
        <w:sz w:val="18"/>
        <w:szCs w:val="18"/>
      </w:rPr>
      <w:fldChar w:fldCharType="begin"/>
    </w:r>
    <w:r>
      <w:rPr>
        <w:sz w:val="18"/>
        <w:szCs w:val="18"/>
        <w:rFonts w:ascii="Marianne" w:hAnsi="Marianne"/>
      </w:rPr>
      <w:instrText xml:space="preserve"> NUMPAGES </w:instrText>
    </w:r>
    <w:r>
      <w:rPr>
        <w:sz w:val="18"/>
        <w:szCs w:val="18"/>
        <w:rFonts w:ascii="Marianne" w:hAnsi="Marianne"/>
      </w:rPr>
      <w:fldChar w:fldCharType="separate"/>
    </w:r>
    <w:r>
      <w:rPr>
        <w:sz w:val="18"/>
        <w:szCs w:val="18"/>
        <w:rFonts w:ascii="Marianne" w:hAnsi="Marianne"/>
      </w:rPr>
      <w:t>10</w:t>
    </w:r>
    <w:r>
      <w:rPr>
        <w:sz w:val="18"/>
        <w:szCs w:val="18"/>
        <w:rFonts w:ascii="Marianne" w:hAnsi="Mariann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rFonts w:ascii="Marianne" w:hAnsi="Marianne"/>
        <w:i/>
        <w:i/>
        <w:iCs/>
        <w:sz w:val="18"/>
        <w:szCs w:val="18"/>
      </w:rPr>
    </w:pPr>
    <w:r>
      <w:rPr>
        <w:rFonts w:ascii="Marianne" w:hAnsi="Marianne"/>
        <w:i/>
        <w:iCs/>
        <w:sz w:val="18"/>
        <w:szCs w:val="18"/>
      </w:rPr>
      <w:t>Annexe 1 au RRC – MS destruction bouteilles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sz w:val="14"/>
        <w:szCs w:val="14"/>
      </w:rPr>
    </w:pPr>
    <w:r>
      <w:rPr>
        <w:rFonts w:ascii="Marianne" w:hAnsi="Marianne"/>
        <w:i/>
        <w:iCs/>
        <w:sz w:val="14"/>
        <w:szCs w:val="14"/>
      </w:rPr>
      <w:t xml:space="preserve">Impression et livraison des bulletins de vote à l’occasion de toute élection présidentielle ou référendum national à La Réunion : </w:t>
    </w:r>
    <w:r>
      <w:rPr>
        <w:rFonts w:ascii="Marianne" w:hAnsi="Marianne"/>
        <w:i/>
        <w:iCs/>
        <w:color w:val="0000FF"/>
        <w:sz w:val="14"/>
        <w:szCs w:val="14"/>
      </w:rPr>
      <w:t xml:space="preserve">Annexe 1 au RC –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sz w:val="14"/>
        <w:szCs w:val="14"/>
      </w:rPr>
    </w:pPr>
    <w:r>
      <w:rPr>
        <w:rFonts w:ascii="Marianne" w:hAnsi="Marianne"/>
        <w:i/>
        <w:iCs/>
        <w:sz w:val="14"/>
        <w:szCs w:val="14"/>
      </w:rPr>
      <w:t xml:space="preserve">Impression et livraison des bulletins de vote à l’occasion de toute élection présidentielle ou référendum national à La Réunion : </w:t>
    </w:r>
    <w:r>
      <w:rPr>
        <w:rFonts w:ascii="Marianne" w:hAnsi="Marianne"/>
        <w:i/>
        <w:iCs/>
        <w:color w:val="0000FF"/>
        <w:sz w:val="14"/>
        <w:szCs w:val="14"/>
      </w:rPr>
      <w:t xml:space="preserve">Annexe 1 au RC – 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1512" w:hanging="360"/>
      </w:pPr>
      <w:rPr>
        <w:rFonts w:ascii="Arial" w:hAnsi="Arial" w:cs="Arial" w:hint="default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2232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doNotExpandShiftReturn/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clear" w:pos="709"/>
      </w:tabs>
      <w:suppressAutoHyphens w:val="true"/>
      <w:overflowPunct w:val="true"/>
      <w:bidi w:val="0"/>
      <w:snapToGrid w:val="false"/>
      <w:spacing w:before="0" w:after="0"/>
      <w:ind w:hanging="0" w:left="57" w:right="57"/>
      <w:jc w:val="both"/>
    </w:pPr>
    <w:rPr>
      <w:rFonts w:ascii="Liberation Serif" w:hAnsi="Liberation Serif" w:eastAsia="SimSun" w:cs="Mangal"/>
      <w:color w:val="auto"/>
      <w:kern w:val="2"/>
      <w:sz w:val="22"/>
      <w:szCs w:val="22"/>
      <w:lang w:val="fr-FR" w:eastAsia="zh-CN" w:bidi="hi-IN"/>
    </w:rPr>
  </w:style>
  <w:style w:type="paragraph" w:styleId="Heading1">
    <w:name w:val="Heading 1"/>
    <w:basedOn w:val="Titre"/>
    <w:next w:val="BodyText"/>
    <w:qFormat/>
    <w:pPr>
      <w:numPr>
        <w:ilvl w:val="0"/>
        <w:numId w:val="2"/>
      </w:numPr>
      <w:snapToGrid w:val="false"/>
      <w:spacing w:before="0" w:after="0"/>
      <w:ind w:hanging="0" w:left="57" w:right="57"/>
      <w:jc w:val="both"/>
      <w:outlineLvl w:val="0"/>
    </w:pPr>
    <w:rPr>
      <w:b w:val="false"/>
      <w:bCs w:val="false"/>
      <w:sz w:val="22"/>
      <w:szCs w:val="22"/>
    </w:rPr>
  </w:style>
  <w:style w:type="paragraph" w:styleId="Heading2">
    <w:name w:val="Heading 2"/>
    <w:basedOn w:val="Titre"/>
    <w:next w:val="BodyText"/>
    <w:qFormat/>
    <w:pPr>
      <w:numPr>
        <w:ilvl w:val="0"/>
        <w:numId w:val="2"/>
      </w:numPr>
      <w:spacing w:before="200" w:after="120"/>
      <w:outlineLvl w:val="1"/>
    </w:pPr>
    <w:rPr>
      <w:b/>
      <w:bCs/>
      <w:sz w:val="21"/>
      <w:szCs w:val="32"/>
    </w:rPr>
  </w:style>
  <w:style w:type="paragraph" w:styleId="Heading3">
    <w:name w:val="Heading 3"/>
    <w:basedOn w:val="Normal"/>
    <w:next w:val="Normal"/>
    <w:qFormat/>
    <w:pPr>
      <w:keepNext w:val="true"/>
      <w:widowControl/>
      <w:numPr>
        <w:ilvl w:val="2"/>
        <w:numId w:val="1"/>
      </w:numPr>
      <w:tabs>
        <w:tab w:val="left" w:pos="1134" w:leader="none"/>
      </w:tabs>
      <w:bidi w:val="0"/>
      <w:spacing w:before="238" w:after="119"/>
      <w:ind w:hanging="0" w:left="0" w:right="0"/>
      <w:jc w:val="both"/>
      <w:outlineLvl w:val="2"/>
    </w:pPr>
    <w:rPr>
      <w:rFonts w:ascii="Marianne" w:hAnsi="Marianne"/>
      <w:b/>
      <w:bCs/>
      <w:kern w:val="2"/>
      <w:sz w:val="20"/>
      <w:szCs w:val="28"/>
    </w:rPr>
  </w:style>
  <w:style w:type="character" w:styleId="InternetLink">
    <w:name w:val="Internet Link"/>
    <w:qFormat/>
    <w:rPr>
      <w:color w:val="000080"/>
      <w:u w:val="single"/>
      <w:lang w:val="zxx" w:eastAsia="zxx" w:bidi="zxx"/>
    </w:rPr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23z0">
    <w:name w:val="WW8Num23z0"/>
    <w:qFormat/>
    <w:rPr>
      <w:rFonts w:ascii="Wingdings" w:hAnsi="Wingdings" w:cs="Wingdings"/>
      <w:color w:val="000000"/>
    </w:rPr>
  </w:style>
  <w:style w:type="character" w:styleId="WW8Num23z1">
    <w:name w:val="WW8Num23z1"/>
    <w:qFormat/>
    <w:rPr>
      <w:rFonts w:ascii="Courier New" w:hAnsi="Courier New" w:cs="Courier New"/>
      <w:color w:val="000000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z0">
    <w:name w:val="WW8Num2z0"/>
    <w:qFormat/>
    <w:rPr>
      <w:rFonts w:ascii="Wingdings" w:hAnsi="Wingdings" w:cs="Wingdings"/>
      <w:color w:val="000000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En-tteetpieddepage">
    <w:name w:val="En-tête et pied de page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En-tteetpieddepage"/>
    <w:pPr>
      <w:suppressLineNumbers/>
    </w:pPr>
    <w:rPr/>
  </w:style>
  <w:style w:type="paragraph" w:styleId="Footer">
    <w:name w:val="Footer"/>
    <w:basedOn w:val="En-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56"/>
      <w:szCs w:val="56"/>
    </w:rPr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Paragraphe">
    <w:name w:val="Paragraphe"/>
    <w:basedOn w:val="Normal"/>
    <w:qFormat/>
    <w:pPr>
      <w:bidi w:val="0"/>
      <w:spacing w:before="120" w:after="0"/>
      <w:jc w:val="both"/>
    </w:pPr>
    <w:rPr>
      <w:rFonts w:ascii="Arial" w:hAnsi="Arial"/>
      <w:sz w:val="20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fr-FR" w:eastAsia="zh-CN" w:bidi="hi-IN"/>
    </w:rPr>
  </w:style>
  <w:style w:type="paragraph" w:styleId="CorpsdetexteMINGOT">
    <w:name w:val="Corps de texte MINGOT"/>
    <w:basedOn w:val="Normal"/>
    <w:qFormat/>
    <w:pPr>
      <w:spacing w:before="57" w:after="57"/>
      <w:jc w:val="both"/>
    </w:pPr>
    <w:rPr>
      <w:rFonts w:ascii="Liberation Serif" w:hAnsi="Liberation Serif"/>
      <w:sz w:val="24"/>
      <w:szCs w:val="24"/>
    </w:rPr>
  </w:style>
  <w:style w:type="paragraph" w:styleId="ListParagraph">
    <w:name w:val="List Paragraph"/>
    <w:basedOn w:val="Normal"/>
    <w:qFormat/>
    <w:pPr>
      <w:ind w:left="708"/>
    </w:pPr>
    <w:rPr/>
  </w:style>
  <w:style w:type="numbering" w:styleId="WW8Num10">
    <w:name w:val="WW8Num10"/>
    <w:qFormat/>
  </w:style>
  <w:style w:type="numbering" w:styleId="WW8Num23">
    <w:name w:val="WW8Num23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footer" Target="footer4.xml"/><Relationship Id="rId14" Type="http://schemas.openxmlformats.org/officeDocument/2006/relationships/footer" Target="footer5.xml"/><Relationship Id="rId15" Type="http://schemas.openxmlformats.org/officeDocument/2006/relationships/footer" Target="footer6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10</Pages>
  <Words>1220</Words>
  <Characters>6338</Characters>
  <CharactersWithSpaces>7452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2025-12-15T08:57:51Z</dcterms:created>
  <dc:creator/>
  <dc:description/>
  <dc:language>fr-RE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