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keepNext w:val="true"/>
        <w:keepLines/>
        <w:numPr>
          <w:ilvl w:val="0"/>
          <w:numId w:val="0"/>
        </w:numPr>
        <w:spacing w:before="240" w:after="0"/>
        <w:ind w:left="0" w:hanging="0"/>
        <w:outlineLvl w:val="0"/>
        <w:rPr>
          <w:rFonts w:ascii="Calibri Light" w:hAnsi="Calibri Light" w:eastAsia="" w:cs="" w:asciiTheme="majorHAnsi" w:cstheme="majorBidi" w:eastAsiaTheme="majorEastAsia" w:hAnsiTheme="majorHAnsi"/>
          <w:color w:val="2E74B5" w:themeColor="accent1" w:themeShade="bf"/>
          <w:sz w:val="32"/>
          <w:szCs w:val="32"/>
        </w:rPr>
      </w:pPr>
      <w:bookmarkStart w:id="0" w:name="_Toc29829084"/>
      <w:r>
        <w:rPr>
          <w:rFonts w:eastAsia="" w:cs="" w:ascii="Calibri Light" w:hAnsi="Calibri Light" w:asciiTheme="majorHAnsi" w:cstheme="majorBidi" w:eastAsiaTheme="majorEastAsia" w:hAnsiTheme="majorHAnsi"/>
          <w:color w:val="2E74B5" w:themeColor="accent1" w:themeShade="bf"/>
          <w:sz w:val="32"/>
          <w:szCs w:val="32"/>
        </w:rPr>
        <w:t xml:space="preserve">Annexe 2 : la structuration des rapports pour un réseau de bibliothèques </w:t>
      </w:r>
      <w:bookmarkEnd w:id="0"/>
    </w:p>
    <w:p>
      <w:pPr>
        <w:pStyle w:val="Normal"/>
        <w:keepNext w:val="true"/>
        <w:keepLines/>
        <w:numPr>
          <w:ilvl w:val="0"/>
          <w:numId w:val="0"/>
        </w:numPr>
        <w:spacing w:before="240" w:after="0"/>
        <w:ind w:left="0" w:hanging="0"/>
        <w:outlineLvl w:val="0"/>
        <w:rPr>
          <w:rFonts w:ascii="Calibri Light" w:hAnsi="Calibri Light" w:eastAsia="" w:cs="" w:asciiTheme="majorHAnsi" w:cstheme="majorBidi" w:eastAsiaTheme="majorEastAsia" w:hAnsiTheme="majorHAnsi"/>
          <w:color w:val="2E74B5" w:themeColor="accent1" w:themeShade="bf"/>
          <w:sz w:val="32"/>
          <w:szCs w:val="32"/>
        </w:rPr>
      </w:pPr>
      <w:r>
        <w:rPr>
          <w:rFonts w:eastAsia="" w:cs="" w:cstheme="majorBidi" w:eastAsiaTheme="majorEastAsia" w:ascii="Calibri Light" w:hAnsi="Calibri Light"/>
          <w:color w:val="2E74B5" w:themeColor="accent1" w:themeShade="bf"/>
          <w:sz w:val="32"/>
          <w:szCs w:val="32"/>
        </w:rPr>
      </w:r>
    </w:p>
    <w:p>
      <w:pPr>
        <w:pStyle w:val="ListParagraph"/>
        <w:numPr>
          <w:ilvl w:val="0"/>
          <w:numId w:val="1"/>
        </w:numPr>
        <w:rPr>
          <w:rFonts w:ascii="Times New Roman" w:hAnsi="Times New Roman" w:cs="Times New Roman"/>
          <w:u w:val="single"/>
        </w:rPr>
      </w:pPr>
      <w:r>
        <w:rPr>
          <w:rFonts w:cs="Times New Roman" w:ascii="Times New Roman" w:hAnsi="Times New Roman"/>
          <w:u w:val="single"/>
        </w:rPr>
        <w:drawing>
          <wp:anchor behindDoc="0" distT="0" distB="0" distL="114300" distR="114300" simplePos="0" locked="0" layoutInCell="0" allowOverlap="1" relativeHeight="5">
            <wp:simplePos x="0" y="0"/>
            <wp:positionH relativeFrom="margin">
              <wp:posOffset>0</wp:posOffset>
            </wp:positionH>
            <wp:positionV relativeFrom="paragraph">
              <wp:posOffset>276225</wp:posOffset>
            </wp:positionV>
            <wp:extent cx="5760720" cy="2621280"/>
            <wp:effectExtent l="0" t="0" r="0" b="0"/>
            <wp:wrapTopAndBottom/>
            <wp:docPr id="1" name="Image 2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29" descr=""/>
                    <pic:cNvPicPr>
                      <a:picLocks noChangeAspect="1" noChangeArrowheads="1"/>
                    </pic:cNvPicPr>
                  </pic:nvPicPr>
                  <pic:blipFill>
                    <a:blip r:embed="rId2"/>
                    <a:stretch>
                      <a:fillRect/>
                    </a:stretch>
                  </pic:blipFill>
                  <pic:spPr bwMode="auto">
                    <a:xfrm>
                      <a:off x="0" y="0"/>
                      <a:ext cx="5760720" cy="2621280"/>
                    </a:xfrm>
                    <a:prstGeom prst="rect">
                      <a:avLst/>
                    </a:prstGeom>
                  </pic:spPr>
                </pic:pic>
              </a:graphicData>
            </a:graphic>
          </wp:anchor>
        </w:drawing>
      </w:r>
      <w:bookmarkStart w:id="1" w:name="_GoBack"/>
      <w:bookmarkEnd w:id="1"/>
      <w:r>
        <w:rPr>
          <w:rFonts w:cs="Times New Roman" w:ascii="Times New Roman" w:hAnsi="Times New Roman"/>
          <w:u w:val="single"/>
        </w:rPr>
        <w:t xml:space="preserve">Cas d’un réseau municipal </w:t>
      </w:r>
    </w:p>
    <w:p>
      <w:pPr>
        <w:pStyle w:val="ListParagraph"/>
        <w:numPr>
          <w:ilvl w:val="0"/>
          <w:numId w:val="0"/>
        </w:numPr>
        <w:ind w:left="1440" w:hanging="0"/>
        <w:rPr>
          <w:rFonts w:ascii="Times New Roman" w:hAnsi="Times New Roman" w:cs="Times New Roman"/>
          <w:u w:val="single"/>
        </w:rPr>
      </w:pPr>
      <w:r>
        <w:rPr/>
      </w:r>
    </w:p>
    <w:p>
      <w:pPr>
        <w:pStyle w:val="ListParagraph"/>
        <w:numPr>
          <w:ilvl w:val="0"/>
          <w:numId w:val="1"/>
        </w:numPr>
        <w:rPr>
          <w:rFonts w:ascii="Times New Roman" w:hAnsi="Times New Roman" w:cs="Times New Roman"/>
          <w:u w:val="single"/>
        </w:rPr>
      </w:pPr>
      <w:r>
        <w:rPr>
          <w:rFonts w:cs="Times New Roman" w:ascii="Times New Roman" w:hAnsi="Times New Roman"/>
          <w:u w:val="single"/>
        </w:rPr>
        <w:t xml:space="preserve">Cas d’un réseau autre que municipal </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t xml:space="preserve">Dans le cas d’un réseau de bibliothèques (hors réseau municipal), </w:t>
      </w:r>
      <w:r>
        <w:rPr>
          <w:rFonts w:cs="Times New Roman" w:ascii="Times New Roman" w:hAnsi="Times New Roman"/>
          <w:b/>
        </w:rPr>
        <w:t>les questions posées au niveau du réseau dépendent du type de coopération sur laquelle porte ce réseau</w:t>
      </w:r>
      <w:r>
        <w:rPr>
          <w:rFonts w:cs="Times New Roman" w:ascii="Times New Roman" w:hAnsi="Times New Roman"/>
        </w:rPr>
        <w:t>.</w:t>
      </w:r>
    </w:p>
    <w:p>
      <w:pPr>
        <w:pStyle w:val="Normal"/>
        <w:rPr>
          <w:rFonts w:ascii="Times New Roman" w:hAnsi="Times New Roman" w:cs="Times New Roman"/>
        </w:rPr>
      </w:pPr>
      <w:r>
        <w:rPr>
          <w:rFonts w:cs="Times New Roman" w:ascii="Times New Roman" w:hAnsi="Times New Roman"/>
        </w:rPr>
        <w:t xml:space="preserve">Le type de coopération est déterminé à partir d’une qualification du réseau effectuée par </w:t>
      </w:r>
      <w:r>
        <w:rPr>
          <w:rFonts w:cs="Times New Roman" w:ascii="Times New Roman" w:hAnsi="Times New Roman"/>
        </w:rPr>
        <w:t>la</w:t>
      </w:r>
      <w:r>
        <w:rPr>
          <w:rFonts w:cs="Times New Roman" w:ascii="Times New Roman" w:hAnsi="Times New Roman"/>
        </w:rPr>
        <w:t xml:space="preserve"> bibliothèque départementale, </w:t>
      </w:r>
      <w:r>
        <w:rPr>
          <w:rFonts w:cs="Times New Roman" w:ascii="Times New Roman" w:hAnsi="Times New Roman"/>
        </w:rPr>
        <w:t>grâce</w:t>
      </w:r>
      <w:r>
        <w:rPr>
          <w:rFonts w:cs="Times New Roman" w:ascii="Times New Roman" w:hAnsi="Times New Roman"/>
        </w:rPr>
        <w:t xml:space="preserve"> à quatre questions structurantes : </w:t>
      </w:r>
      <w:r>
        <w:br w:type="page"/>
      </w:r>
    </w:p>
    <w:p>
      <w:pPr>
        <w:pStyle w:val="Normal"/>
        <w:rPr/>
      </w:pPr>
      <w:r>
        <w:rPr/>
      </w:r>
    </w:p>
    <w:p>
      <w:pPr>
        <w:pStyle w:val="Normal"/>
        <w:rPr>
          <w:rFonts w:ascii="Times New Roman" w:hAnsi="Times New Roman" w:cs="Times New Roman"/>
          <w:lang w:eastAsia="fr-FR"/>
        </w:rPr>
      </w:pPr>
      <w:r>
        <w:rPr/>
        <mc:AlternateContent>
          <mc:Choice Requires="wps">
            <w:drawing>
              <wp:anchor behindDoc="0" distT="19050" distB="19050" distL="132715" distR="132715" simplePos="0" locked="0" layoutInCell="0" allowOverlap="1" relativeHeight="4" wp14:anchorId="7702B8F1">
                <wp:simplePos x="0" y="0"/>
                <wp:positionH relativeFrom="margin">
                  <wp:align>center</wp:align>
                </wp:positionH>
                <wp:positionV relativeFrom="paragraph">
                  <wp:posOffset>2659380</wp:posOffset>
                </wp:positionV>
                <wp:extent cx="808355" cy="295275"/>
                <wp:effectExtent l="0" t="0" r="0" b="40005"/>
                <wp:wrapSquare wrapText="bothSides"/>
                <wp:docPr id="2" name="Flèche droite 144"/>
                <a:graphic xmlns:a="http://schemas.openxmlformats.org/drawingml/2006/main">
                  <a:graphicData uri="http://schemas.microsoft.com/office/word/2010/wordprocessingShape">
                    <wps:wsp>
                      <wps:cNvSpPr/>
                      <wps:spPr>
                        <a:xfrm rot="5400000">
                          <a:off x="0" y="0"/>
                          <a:ext cx="807840" cy="294480"/>
                        </a:xfrm>
                        <a:prstGeom prst="rightArrow">
                          <a:avLst>
                            <a:gd name="adj1" fmla="val 50000"/>
                            <a:gd name="adj2" fmla="val 50000"/>
                          </a:avLst>
                        </a:prstGeom>
                        <a:solidFill>
                          <a:srgbClr val="ff0000"/>
                        </a:solidFill>
                        <a:ln w="19050">
                          <a:solidFill>
                            <a:srgbClr val="ffffff"/>
                          </a:solidFill>
                          <a:miter/>
                        </a:ln>
                      </wps:spPr>
                      <wps:style>
                        <a:lnRef idx="0"/>
                        <a:fillRef idx="0"/>
                        <a:effectRef idx="0"/>
                        <a:fontRef idx="minor"/>
                      </wps:style>
                      <wps:bodyPr/>
                    </wps:wsp>
                  </a:graphicData>
                </a:graphic>
              </wp:anchor>
            </w:drawing>
          </mc:Choice>
          <mc:Fallback>
            <w:pict>
              <v:shapetype id="shapetype_13" coordsize="21600,21600" o:spt="13" adj="10800,10800" path="m0@5l@3@5l@3,l21600,10800l@3,21600l@3@6l0@6xe">
                <v:stroke joinstyle="miter"/>
                <v:formulas>
                  <v:f eqn="val 21600"/>
                  <v:f eqn="val #1"/>
                  <v:f eqn="val #0"/>
                  <v:f eqn="sum width 0 @2"/>
                  <v:f eqn="prod 1 @1 2"/>
                  <v:f eqn="sum 10800 0 @4"/>
                  <v:f eqn="sum 10800 @4 0"/>
                  <v:f eqn="prod @5 @2 10800"/>
                  <v:f eqn="sum @3 @7 0"/>
                </v:formulas>
                <v:path gradientshapeok="t" o:connecttype="rect" textboxrect="0,@5,@8,@6"/>
                <v:handles>
                  <v:h position="0,@5"/>
                  <v:h position="@3,0"/>
                </v:handles>
              </v:shapetype>
              <v:shape id="shape_0" ID="Flèche droite 144" path="l-2147483635,-2147483631l-2147483635,0l-2147483622,-2147483632l-2147483635,-2147483623l-2147483635,-2147483629l0,-2147483629xe" fillcolor="red" stroked="t" style="position:absolute;margin-left:195.05pt;margin-top:209.4pt;width:63.55pt;height:23.15pt;mso-wrap-style:none;v-text-anchor:middle;rotation:90;mso-position-horizontal:center;mso-position-horizontal-relative:margin" wp14:anchorId="7702B8F1" type="shapetype_13">
                <v:fill o:detectmouseclick="t" type="solid" color2="aqua"/>
                <v:stroke color="white" weight="19080" joinstyle="miter" endcap="flat"/>
                <w10:wrap type="square"/>
              </v:shape>
            </w:pict>
          </mc:Fallback>
        </mc:AlternateContent>
        <w:drawing>
          <wp:anchor behindDoc="1" distT="0" distB="0" distL="0" distR="0" simplePos="0" locked="0" layoutInCell="0" allowOverlap="1" relativeHeight="3">
            <wp:simplePos x="0" y="0"/>
            <wp:positionH relativeFrom="column">
              <wp:posOffset>557530</wp:posOffset>
            </wp:positionH>
            <wp:positionV relativeFrom="paragraph">
              <wp:posOffset>3335655</wp:posOffset>
            </wp:positionV>
            <wp:extent cx="4819650" cy="3797935"/>
            <wp:effectExtent l="0" t="0" r="0" b="0"/>
            <wp:wrapNone/>
            <wp:docPr id="3" name="Image 14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145" descr=""/>
                    <pic:cNvPicPr>
                      <a:picLocks noChangeAspect="1" noChangeArrowheads="1"/>
                    </pic:cNvPicPr>
                  </pic:nvPicPr>
                  <pic:blipFill>
                    <a:blip r:embed="rId3"/>
                    <a:stretch>
                      <a:fillRect/>
                    </a:stretch>
                  </pic:blipFill>
                  <pic:spPr bwMode="auto">
                    <a:xfrm>
                      <a:off x="0" y="0"/>
                      <a:ext cx="4819650" cy="3797935"/>
                    </a:xfrm>
                    <a:prstGeom prst="rect">
                      <a:avLst/>
                    </a:prstGeom>
                  </pic:spPr>
                </pic:pic>
              </a:graphicData>
            </a:graphic>
          </wp:anchor>
        </w:drawing>
        <w:drawing>
          <wp:inline distT="0" distB="0" distL="0" distR="0">
            <wp:extent cx="5760720" cy="2342515"/>
            <wp:effectExtent l="0" t="0" r="0" b="0"/>
            <wp:docPr id="4" name="Image 14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147" descr=""/>
                    <pic:cNvPicPr>
                      <a:picLocks noChangeAspect="1" noChangeArrowheads="1"/>
                    </pic:cNvPicPr>
                  </pic:nvPicPr>
                  <pic:blipFill>
                    <a:blip r:embed="rId4"/>
                    <a:stretch>
                      <a:fillRect/>
                    </a:stretch>
                  </pic:blipFill>
                  <pic:spPr bwMode="auto">
                    <a:xfrm>
                      <a:off x="0" y="0"/>
                      <a:ext cx="5760720" cy="2342515"/>
                    </a:xfrm>
                    <a:prstGeom prst="rect">
                      <a:avLst/>
                    </a:prstGeom>
                  </pic:spPr>
                </pic:pic>
              </a:graphicData>
            </a:graphic>
          </wp:inline>
        </w:drawing>
      </w:r>
      <w:r>
        <w:br w:type="page"/>
      </w:r>
    </w:p>
    <w:p>
      <w:pPr>
        <w:pStyle w:val="Normal"/>
        <w:rPr>
          <w:rFonts w:ascii="Times New Roman" w:hAnsi="Times New Roman" w:cs="Times New Roman"/>
          <w:lang w:eastAsia="fr-FR"/>
        </w:rPr>
      </w:pPr>
      <w:r>
        <w:rPr>
          <w:rFonts w:cs="Times New Roman" w:ascii="Times New Roman" w:hAnsi="Times New Roman"/>
          <w:lang w:eastAsia="fr-FR"/>
        </w:rPr>
        <w:t xml:space="preserve">A partir de la qualification du réseau, des blocs de questions portant spécifiquement sur les données du réseau sont créés dans le mini-rapport du réseau et des blocs sont retirés du rapport du lieu de lecture faisant partie d’un réseau. </w:t>
      </w:r>
    </w:p>
    <w:p>
      <w:pPr>
        <w:pStyle w:val="Normal"/>
        <w:rPr>
          <w:rFonts w:ascii="Times New Roman" w:hAnsi="Times New Roman" w:cs="Times New Roman"/>
          <w:lang w:eastAsia="fr-FR"/>
        </w:rPr>
      </w:pPr>
      <w:r>
        <w:rPr>
          <w:rFonts w:cs="Times New Roman" w:ascii="Times New Roman" w:hAnsi="Times New Roman"/>
          <w:lang w:eastAsia="fr-FR"/>
        </w:rPr>
        <w:t xml:space="preserve">Les blocs qui apparaissent dans le rapport du réseau et qui ne sont pas retirés du rapport du lieu sont </w:t>
      </w:r>
      <w:r>
        <w:rPr>
          <w:rFonts w:cs="Times New Roman" w:ascii="Times New Roman" w:hAnsi="Times New Roman"/>
          <w:b/>
          <w:lang w:eastAsia="fr-FR"/>
        </w:rPr>
        <w:t>dupliqués</w:t>
      </w:r>
      <w:r>
        <w:rPr>
          <w:rFonts w:cs="Times New Roman" w:ascii="Times New Roman" w:hAnsi="Times New Roman"/>
          <w:lang w:eastAsia="fr-FR"/>
        </w:rPr>
        <w:t xml:space="preserve"> afin de permettre, par exemple, </w:t>
      </w:r>
      <w:r>
        <w:rPr>
          <w:rFonts w:cs="Times New Roman" w:ascii="Times New Roman" w:hAnsi="Times New Roman"/>
          <w:b/>
          <w:lang w:eastAsia="fr-FR"/>
        </w:rPr>
        <w:t>de déclarer des données de personnel propres au réseau</w:t>
      </w:r>
      <w:r>
        <w:rPr>
          <w:rFonts w:cs="Times New Roman" w:ascii="Times New Roman" w:hAnsi="Times New Roman"/>
          <w:lang w:eastAsia="fr-FR"/>
        </w:rPr>
        <w:t xml:space="preserve"> (poste de coordination) et </w:t>
      </w:r>
      <w:r>
        <w:rPr>
          <w:rFonts w:cs="Times New Roman" w:ascii="Times New Roman" w:hAnsi="Times New Roman"/>
          <w:b/>
          <w:lang w:eastAsia="fr-FR"/>
        </w:rPr>
        <w:t>les données de personnel propres à chaque lieu de lecture</w:t>
      </w:r>
      <w:r>
        <w:rPr>
          <w:rFonts w:cs="Times New Roman" w:ascii="Times New Roman" w:hAnsi="Times New Roman"/>
          <w:lang w:eastAsia="fr-FR"/>
        </w:rPr>
        <w:t>.</w:t>
      </w:r>
    </w:p>
    <w:p>
      <w:pPr>
        <w:pStyle w:val="Normal"/>
        <w:rPr>
          <w:rFonts w:ascii="Times New Roman" w:hAnsi="Times New Roman" w:cs="Times New Roman"/>
          <w:lang w:eastAsia="fr-FR"/>
        </w:rPr>
      </w:pPr>
      <w:r>
        <w:rPr>
          <w:rFonts w:cs="Times New Roman" w:ascii="Times New Roman" w:hAnsi="Times New Roman"/>
          <w:lang w:eastAsia="fr-FR"/>
        </w:rPr>
        <w:t>Ainsi, une personne travaillant spécifiquement pour l’animation du réseau sera déclarée dans le rapport du réseau tandis que les personnes travaillant dans une bibliothèque en particulier seront déclarées dans le rapport du lieu de lecture.</w:t>
      </w:r>
    </w:p>
    <w:p>
      <w:pPr>
        <w:pStyle w:val="Normal"/>
        <w:rPr>
          <w:rFonts w:ascii="Times New Roman" w:hAnsi="Times New Roman" w:cs="Times New Roman"/>
          <w:lang w:eastAsia="fr-FR"/>
        </w:rPr>
      </w:pPr>
      <w:r>
        <w:rPr>
          <w:rFonts w:cs="Times New Roman" w:ascii="Times New Roman" w:hAnsi="Times New Roman"/>
          <w:lang w:eastAsia="fr-FR"/>
        </w:rPr>
        <w:t>U</w:t>
      </w:r>
      <w:r>
        <w:rPr>
          <w:rFonts w:cs="Times New Roman" w:ascii="Times New Roman" w:hAnsi="Times New Roman"/>
          <w:lang w:eastAsia="fr-FR"/>
        </w:rPr>
        <w:t>n descriptif détaillé des différentes possib</w:t>
      </w:r>
      <w:r>
        <w:rPr>
          <w:rFonts w:cs="Times New Roman" w:ascii="Times New Roman" w:hAnsi="Times New Roman"/>
          <w:lang w:eastAsia="fr-FR"/>
        </w:rPr>
        <w:t>i</w:t>
      </w:r>
      <w:r>
        <w:rPr>
          <w:rFonts w:cs="Times New Roman" w:ascii="Times New Roman" w:hAnsi="Times New Roman"/>
          <w:lang w:eastAsia="fr-FR"/>
        </w:rPr>
        <w:t xml:space="preserve">lités de formulaires en fonction de la qualification du réseau </w:t>
      </w:r>
      <w:r>
        <w:rPr>
          <w:rFonts w:cs="Times New Roman" w:ascii="Times New Roman" w:hAnsi="Times New Roman"/>
          <w:lang w:eastAsia="fr-FR"/>
        </w:rPr>
        <w:t>est fourni ci-dessous.</w:t>
      </w:r>
    </w:p>
    <w:p>
      <w:pPr>
        <w:pStyle w:val="Normal"/>
        <w:rPr>
          <w:sz w:val="24"/>
        </w:rPr>
      </w:pPr>
      <w:r>
        <w:rPr>
          <w:sz w:val="24"/>
        </w:rPr>
        <w:t xml:space="preserve">1. </w:t>
      </w:r>
      <w:r>
        <w:rPr>
          <w:sz w:val="24"/>
        </w:rPr>
        <w:t>Mutualisation des services informatiques et numériques, à l’exclusion du SIGB / Coordination ou services transversaux avec mutualisation du budget d’acquisition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795"/>
        <w:gridCol w:w="5266"/>
      </w:tblGrid>
      <w:tr>
        <w:trPr>
          <w:cnfStyle w:val="100000000000" w:firstRow="1" w:lastRow="0" w:firstColumn="0" w:lastColumn="0" w:oddVBand="0" w:evenVBand="0" w:oddHBand="0"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présents dans le rapport portant spécifiquement sur les données du réseau </w:t>
            </w:r>
          </w:p>
        </w:tc>
        <w:tc>
          <w:tcPr>
            <w:tcW w:w="5266"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retirés du rapport du lieu de lecture faisant partie de ce type de réseau </w:t>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316" w:hRule="atLeast"/>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 Partenariats avec des institutions)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(actions hors de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 xml:space="preserve">G1 ( personnel) </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F3 (dépenses de fonctionnement)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F7 (dépenses documentaire en fonctionnement et en investissement)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F8 (Achats de livres imprimés)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r>
      <w:r>
        <w:br w:type="page"/>
      </w:r>
    </w:p>
    <w:p>
      <w:pPr>
        <w:pStyle w:val="Normal"/>
        <w:rPr/>
      </w:pPr>
      <w:r>
        <w:rPr/>
        <w:t xml:space="preserve">2. </w:t>
      </w:r>
      <w:r>
        <w:rPr/>
        <w:t>Mutualisation des services informatiques et numériques, à l’exclusion du SIGB / Coordination ou services transversaux sans mutualisation du budget d’acquisition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795"/>
        <w:gridCol w:w="5266"/>
      </w:tblGrid>
      <w:tr>
        <w:trPr>
          <w:cnfStyle w:val="100000000000" w:firstRow="1" w:lastRow="0" w:firstColumn="0" w:lastColumn="0" w:oddVBand="0" w:evenVBand="0" w:oddHBand="0"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présents dans le rapport portant spécifiquement sur les données du réseau </w:t>
            </w:r>
          </w:p>
        </w:tc>
        <w:tc>
          <w:tcPr>
            <w:tcW w:w="5266"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retirés du rapport du lieu de lecture faisant partie de type de réseau </w:t>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316" w:hRule="atLeast"/>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(partenariats avec des institutions)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(actions hors de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G1 (personnel)</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F3 (dépenses de fonctionnement)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Partie du bloc F7 concernant le numérique (dépenses documentaires en fonctionnement et en investissement)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t xml:space="preserve">3. </w:t>
      </w:r>
      <w:r>
        <w:rPr/>
        <w:t>Mutualisation des services informatiques et numériques, dont SIGB / Coordination ou services transversaux sans mutualisation du budget d’acquisition</w:t>
      </w:r>
    </w:p>
    <w:tbl>
      <w:tblPr>
        <w:tblStyle w:val="TableauGrille4-Accentuation5"/>
        <w:tblW w:w="9195"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850"/>
        <w:gridCol w:w="5344"/>
      </w:tblGrid>
      <w:tr>
        <w:trPr>
          <w:trHeight w:val="451" w:hRule="atLeast"/>
          <w:cnfStyle w:val="100000000000" w:firstRow="1" w:lastRow="0" w:firstColumn="0" w:lastColumn="0" w:oddVBand="0" w:evenVBand="0" w:oddHBand="0"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présents dans le rapport portant spécifiquement sur les données du réseau</w:t>
            </w:r>
          </w:p>
        </w:tc>
        <w:tc>
          <w:tcPr>
            <w:tcW w:w="5344"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retirés du rapport du lieu de lecture faisant partie de ce type de réseau</w:t>
            </w:r>
          </w:p>
        </w:tc>
      </w:tr>
      <w:tr>
        <w:trPr>
          <w:trHeight w:val="153"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C2 (catalogue)</w:t>
            </w:r>
          </w:p>
        </w:tc>
      </w:tr>
      <w:tr>
        <w:trPr>
          <w:trHeight w:val="298"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rHeight w:val="179"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(partenariats avec des institutions)</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53"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(actions hors de l’établissement)</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44"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53"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G1 (personnel)</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44"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53"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53"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F3 (dépenses de fonctionnement)</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44"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605"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Partie du bloc F7 concernant le numérique (dépenses documentaires en fonctionnement et en investissement)</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53" w:hRule="atLeast"/>
        </w:trPr>
        <w:tc>
          <w:tcPr>
            <w:tcW w:w="3850"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5344"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rHeight w:val="144" w:hRule="atLeast"/>
          <w:cnfStyle w:val="000000100000" w:firstRow="0" w:lastRow="0" w:firstColumn="0" w:lastColumn="0" w:oddVBand="0" w:evenVBand="0" w:oddHBand="1" w:evenHBand="0" w:firstRowFirstColumn="0" w:firstRowLastColumn="0" w:lastRowFirstColumn="0" w:lastRowLastColumn="0"/>
        </w:trPr>
        <w:tc>
          <w:tcPr>
            <w:tcW w:w="3850"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C2 (catalogue)</w:t>
            </w:r>
          </w:p>
        </w:tc>
        <w:tc>
          <w:tcPr>
            <w:tcW w:w="5344"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r>
      <w:r>
        <w:br w:type="page"/>
      </w:r>
    </w:p>
    <w:p>
      <w:pPr>
        <w:pStyle w:val="Normal"/>
        <w:rPr/>
      </w:pPr>
      <w:r>
        <w:rPr/>
        <w:t xml:space="preserve">4. </w:t>
      </w:r>
      <w:r>
        <w:rPr/>
        <w:t>Mutualisation des services informatiques et numériques, dont SIGB / Coordination ou services transversaux avec mutualisation du budget d’acquisition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3795"/>
        <w:gridCol w:w="5266"/>
      </w:tblGrid>
      <w:tr>
        <w:trPr>
          <w:cnfStyle w:val="100000000000" w:firstRow="1" w:lastRow="0" w:firstColumn="0" w:lastColumn="0" w:oddVBand="0" w:evenVBand="0" w:oddHBand="0"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présents dans le rapport portant spécifiquement sur les données du réseau </w:t>
            </w:r>
          </w:p>
        </w:tc>
        <w:tc>
          <w:tcPr>
            <w:tcW w:w="5266"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 xml:space="preserve">Blocs de questions retirés du rapport du lieu de lecture faisant partie de ce type de réseau </w:t>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C2 (catalogue)</w:t>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rHeight w:val="316" w:hRule="atLeast"/>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(partenariats avec des institutions)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(actions hors de l’établissement)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G1 (personnel)</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 xml:space="preserve">F5 (dépenses de fonctionnement) </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Partie du bloc F7 concernant le numérique (dépenses documentaires en fonctionnement et en investissement)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F3 (dépenses de fonctionnement)</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3795"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F8 (Achats de livres imprimés)</w:t>
            </w:r>
          </w:p>
        </w:tc>
        <w:tc>
          <w:tcPr>
            <w:tcW w:w="5266"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3795"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C2 (catalogue)</w:t>
            </w:r>
          </w:p>
        </w:tc>
        <w:tc>
          <w:tcPr>
            <w:tcW w:w="5266"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t xml:space="preserve">5. </w:t>
      </w:r>
      <w:r>
        <w:rPr/>
        <w:t>Mutualisation des services informatiques et numériques, sans SIGB commun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1"/>
        <w:gridCol w:w="4530"/>
      </w:tblGrid>
      <w:tr>
        <w:trPr>
          <w:cnfStyle w:val="100000000000" w:firstRow="1" w:lastRow="0" w:firstColumn="0" w:lastColumn="0" w:oddVBand="0" w:evenVBand="0" w:oddHBand="0"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présents dans le rapport portant spécifiquement sur les données du réseau</w:t>
            </w:r>
          </w:p>
        </w:tc>
        <w:tc>
          <w:tcPr>
            <w:tcW w:w="4530"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retirés du rapport du lieu de lecture faisant partie de ce type de réseau</w:t>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 xml:space="preserve">C2 (catalogue) </w:t>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Partie du bloc F7 concernant le numérique (dépenses documentaires en fonctionnement et en investissement)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r>
      <w:r>
        <w:br w:type="page"/>
      </w:r>
    </w:p>
    <w:p>
      <w:pPr>
        <w:pStyle w:val="Normal"/>
        <w:rPr/>
      </w:pPr>
      <w:r>
        <w:rPr/>
        <w:t xml:space="preserve">6. </w:t>
      </w:r>
      <w:r>
        <w:rPr/>
        <w:t>Mutualisation des services informatiques avec SIGB commun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1"/>
        <w:gridCol w:w="4530"/>
      </w:tblGrid>
      <w:tr>
        <w:trPr>
          <w:cnfStyle w:val="100000000000" w:firstRow="1" w:lastRow="0" w:firstColumn="0" w:lastColumn="0" w:oddVBand="0" w:evenVBand="0" w:oddHBand="0"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présents dans le rapport portant spécifiquement sur les données du réseau</w:t>
            </w:r>
          </w:p>
        </w:tc>
        <w:tc>
          <w:tcPr>
            <w:tcW w:w="4530"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retirés du rapport du lieu de lecture faisant partie de ce type de réseau</w:t>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D5 (ressources numériques acquises)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C2 (catalogue)</w:t>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E5 ( services et ressources numériques produites par l’établissement)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Partie du bloc F7 concernant le numérique (dépenses documentaires en fonctionnement et en investissement)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C2 (catalogue )</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t xml:space="preserve">7. </w:t>
      </w:r>
      <w:r>
        <w:rPr/>
        <w:t>Coordination ou services transversaux, sans mutualisation du budget d’acquisition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1"/>
        <w:gridCol w:w="4530"/>
      </w:tblGrid>
      <w:tr>
        <w:trPr>
          <w:cnfStyle w:val="100000000000" w:firstRow="1" w:lastRow="0" w:firstColumn="0" w:lastColumn="0" w:oddVBand="0" w:evenVBand="0" w:oddHBand="0"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présents dans le rapport portant spécifiquement sur les données du réseau</w:t>
            </w:r>
          </w:p>
        </w:tc>
        <w:tc>
          <w:tcPr>
            <w:tcW w:w="4530"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retirés du rapport du lieu de lecture faisant partie de ce type de réseau</w:t>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(partenariats avec des institutions)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 actions hors de l’établissement)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G1 (personnel)</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rPr/>
      </w:pPr>
      <w:r>
        <w:rPr/>
      </w:r>
    </w:p>
    <w:p>
      <w:pPr>
        <w:pStyle w:val="Normal"/>
        <w:rPr/>
      </w:pPr>
      <w:r>
        <w:rPr/>
        <w:t>8. C</w:t>
      </w:r>
      <w:r>
        <w:rPr/>
        <w:t>oordination ou services transversaux, avec mutualisation des budgets d’acquisition</w:t>
      </w:r>
    </w:p>
    <w:tbl>
      <w:tblPr>
        <w:tblStyle w:val="TableauGrille4-Accentuation5"/>
        <w:tblW w:w="906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531"/>
        <w:gridCol w:w="4530"/>
      </w:tblGrid>
      <w:tr>
        <w:trPr>
          <w:cnfStyle w:val="100000000000" w:firstRow="1" w:lastRow="0" w:firstColumn="0" w:lastColumn="0" w:oddVBand="0" w:evenVBand="0" w:oddHBand="0"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présents dans le rapport portant spécifiquement sur les données du réseau</w:t>
            </w:r>
          </w:p>
        </w:tc>
        <w:tc>
          <w:tcPr>
            <w:tcW w:w="4530" w:type="dxa"/>
            <w:tcBorders>
              <w:top w:val="single" w:sz="4" w:space="0" w:color="4472C4"/>
              <w:left w:val="single" w:sz="4" w:space="0" w:color="4472C4"/>
              <w:bottom w:val="single" w:sz="4" w:space="0" w:color="4472C4"/>
              <w:right w:val="single" w:sz="4" w:space="0" w:color="4472C4"/>
            </w:tcBorders>
            <w:shd w:color="auto" w:fill="4472C4" w:themeFill="accent5" w:val="clear"/>
          </w:tcPr>
          <w:p>
            <w:pPr>
              <w:pStyle w:val="Normal"/>
              <w:widowControl w:val="false"/>
              <w:suppressAutoHyphens w:val="true"/>
              <w:spacing w:lineRule="auto" w:line="240" w:before="0" w:after="0"/>
              <w:jc w:val="left"/>
              <w:cnfStyle w:val="100000000000" w:firstRow="1" w:lastRow="0" w:firstColumn="0" w:lastColumn="0" w:oddVBand="0" w:evenVBand="0" w:oddHBand="0" w:evenHBand="0" w:firstRowFirstColumn="0" w:firstRowLastColumn="0" w:lastRowFirstColumn="0" w:lastRowLastColumn="0"/>
              <w:rPr>
                <w:rFonts w:ascii="Calibri" w:hAnsi="Calibri" w:eastAsia="Calibri" w:cs=""/>
                <w:b/>
                <w:b/>
                <w:bCs/>
                <w:color w:val="FFFFFF"/>
                <w:kern w:val="0"/>
                <w:sz w:val="22"/>
                <w:szCs w:val="22"/>
                <w:lang w:val="fr-FR" w:eastAsia="en-US" w:bidi="ar-SA"/>
              </w:rPr>
            </w:pPr>
            <w:r>
              <w:rPr>
                <w:rFonts w:eastAsia="Calibri" w:cs=""/>
                <w:b/>
                <w:bCs/>
                <w:color w:val="FFFFFF"/>
                <w:kern w:val="0"/>
                <w:sz w:val="22"/>
                <w:szCs w:val="22"/>
                <w:lang w:val="fr-FR" w:eastAsia="en-US" w:bidi="ar-SA"/>
              </w:rPr>
              <w:t>Blocs de questions retirés du rapport du lieu de lecture faisant partie de ce type de réseau</w:t>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H1 (partenariats avec des institutions)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t>H5 (actions hors de l’établissement)</w:t>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H5 (actions hors de l’établissement)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H6 (actions de coopération)</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F1 (dépenses d’investissement)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F2 (dépenses de fonctionnement)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F5 (dépenses de fonctionnement)</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F6 (Ressources propres et subventions)</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G1 (personnel)</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cnfStyle w:val="000000100000" w:firstRow="0" w:lastRow="0" w:firstColumn="0" w:lastColumn="0" w:oddVBand="0" w:evenVBand="0" w:oddHBand="1" w:evenHBand="0" w:firstRowFirstColumn="0" w:firstRowLastColumn="0" w:lastRowFirstColumn="0" w:lastRowLastColumn="0"/>
        </w:trPr>
        <w:tc>
          <w:tcPr>
            <w:tcW w:w="4531" w:type="dxa"/>
            <w:cnfStyle w:val="001000000000" w:firstRow="0" w:lastRow="0" w:firstColumn="1" w:lastColumn="0" w:oddVBand="0" w:evenVBand="0" w:oddHBand="0" w:evenHBand="0" w:firstRowFirstColumn="0" w:firstRowLastColumn="0" w:lastRowFirstColumn="0" w:lastRowLastColumn="0"/>
            <w:tcBorders/>
            <w:shd w:color="auto" w:fill="D9E2F3" w:themeFill="accent5" w:themeFillTint="33" w:val="clear"/>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F7 (dépenses documentaires en fonctionnement et en investissement)</w:t>
            </w:r>
          </w:p>
        </w:tc>
        <w:tc>
          <w:tcPr>
            <w:tcW w:w="4530" w:type="dxa"/>
            <w:tcBorders/>
            <w:shd w:color="auto" w:fill="D9E2F3" w:themeFill="accent5" w:themeFillTint="33" w:val="clear"/>
          </w:tcPr>
          <w:p>
            <w:pPr>
              <w:pStyle w:val="Normal"/>
              <w:widowControl w:val="false"/>
              <w:suppressAutoHyphens w:val="true"/>
              <w:spacing w:lineRule="auto" w:line="240" w:before="0" w:after="0"/>
              <w:jc w:val="left"/>
              <w:cnfStyle w:val="000000100000" w:firstRow="0" w:lastRow="0" w:firstColumn="0" w:lastColumn="0" w:oddVBand="0" w:evenVBand="0" w:oddHBand="1"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r>
        <w:trPr/>
        <w:tc>
          <w:tcPr>
            <w:tcW w:w="4531" w:type="dxa"/>
            <w:cnfStyle w:val="001000000000" w:firstRow="0" w:lastRow="0" w:firstColumn="1" w:lastColumn="0" w:oddVBand="0" w:evenVBand="0" w:oddHBand="0" w:evenHBand="0" w:firstRowFirstColumn="0" w:firstRowLastColumn="0" w:lastRowFirstColumn="0" w:lastRowLastColumn="0"/>
            <w:tcBorders/>
          </w:tcPr>
          <w:p>
            <w:pPr>
              <w:pStyle w:val="Normal"/>
              <w:widowControl w:val="false"/>
              <w:suppressAutoHyphens w:val="true"/>
              <w:spacing w:lineRule="auto" w:line="240" w:before="0" w:after="0"/>
              <w:jc w:val="left"/>
              <w:rPr>
                <w:rFonts w:ascii="Calibri" w:hAnsi="Calibri" w:eastAsia="Calibri" w:cs=""/>
                <w:b/>
                <w:b/>
                <w:bCs/>
                <w:kern w:val="0"/>
                <w:sz w:val="22"/>
                <w:szCs w:val="22"/>
                <w:lang w:val="fr-FR" w:eastAsia="en-US" w:bidi="ar-SA"/>
              </w:rPr>
            </w:pPr>
            <w:r>
              <w:rPr>
                <w:rFonts w:eastAsia="Calibri" w:cs=""/>
                <w:b/>
                <w:bCs/>
                <w:kern w:val="0"/>
                <w:sz w:val="22"/>
                <w:szCs w:val="22"/>
                <w:lang w:val="fr-FR" w:eastAsia="en-US" w:bidi="ar-SA"/>
              </w:rPr>
              <w:t>F8 (Achats de livres imprimés)</w:t>
            </w:r>
          </w:p>
        </w:tc>
        <w:tc>
          <w:tcPr>
            <w:tcW w:w="4530" w:type="dxa"/>
            <w:tcBorders/>
          </w:tcPr>
          <w:p>
            <w:pPr>
              <w:pStyle w:val="Normal"/>
              <w:widowControl w:val="false"/>
              <w:suppressAutoHyphens w:val="true"/>
              <w:spacing w:lineRule="auto" w:line="240" w:before="0" w:after="0"/>
              <w:jc w:val="left"/>
              <w:cnfStyle w:val="000000000000" w:firstRow="0" w:lastRow="0" w:firstColumn="0" w:lastColumn="0" w:oddVBand="0" w:evenVBand="0" w:oddHBand="0" w:evenHBand="0" w:firstRowFirstColumn="0" w:firstRowLastColumn="0" w:lastRowFirstColumn="0" w:lastRowLastColumn="0"/>
              <w:rPr>
                <w:rFonts w:ascii="Calibri" w:hAnsi="Calibri" w:eastAsia="Calibri" w:cs=""/>
                <w:kern w:val="0"/>
                <w:sz w:val="22"/>
                <w:szCs w:val="22"/>
                <w:lang w:val="fr-FR" w:eastAsia="en-US" w:bidi="ar-SA"/>
              </w:rPr>
            </w:pPr>
            <w:r>
              <w:rPr>
                <w:rFonts w:eastAsia="Calibri" w:cs=""/>
                <w:kern w:val="0"/>
                <w:sz w:val="22"/>
                <w:szCs w:val="22"/>
                <w:lang w:val="fr-FR" w:eastAsia="en-US" w:bidi="ar-SA"/>
              </w:rPr>
            </w:r>
          </w:p>
        </w:tc>
      </w:tr>
    </w:tbl>
    <w:p>
      <w:pPr>
        <w:pStyle w:val="Normal"/>
        <w:spacing w:before="0" w:after="160"/>
        <w:rPr/>
      </w:pPr>
      <w:r>
        <w:rPr/>
      </w:r>
    </w:p>
    <w:sectPr>
      <w:type w:val="nextPage"/>
      <w:pgSz w:w="11906" w:h="16838"/>
      <w:pgMar w:left="1417" w:right="1417" w:header="0" w:top="1417" w:footer="0"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Calibri Light">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fr-F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fr-FR" w:eastAsia="en-US" w:bidi="ar-SA"/>
    </w:rPr>
  </w:style>
  <w:style w:type="character" w:styleId="DefaultParagraphFont" w:default="1">
    <w:name w:val="Default Paragraph Font"/>
    <w:uiPriority w:val="1"/>
    <w:semiHidden/>
    <w:unhideWhenUsed/>
    <w:qFormat/>
    <w:rPr/>
  </w:style>
  <w:style w:type="paragraph" w:styleId="Titre">
    <w:name w:val="Titre"/>
    <w:basedOn w:val="Normal"/>
    <w:next w:val="Corpsdetexte"/>
    <w:qFormat/>
    <w:pPr>
      <w:keepNext w:val="true"/>
      <w:spacing w:before="240" w:after="120"/>
    </w:pPr>
    <w:rPr>
      <w:rFonts w:ascii="Liberation Sans" w:hAnsi="Liberation Sans" w:eastAsia="Microsoft YaHei" w:cs="Arial Unicode MS"/>
      <w:sz w:val="28"/>
      <w:szCs w:val="28"/>
    </w:rPr>
  </w:style>
  <w:style w:type="paragraph" w:styleId="Corpsdetexte">
    <w:name w:val="Body Text"/>
    <w:basedOn w:val="Normal"/>
    <w:pPr>
      <w:spacing w:lineRule="auto" w:line="276" w:before="0" w:after="140"/>
    </w:pPr>
    <w:rPr/>
  </w:style>
  <w:style w:type="paragraph" w:styleId="Liste">
    <w:name w:val="List"/>
    <w:basedOn w:val="Corpsdetexte"/>
    <w:pPr/>
    <w:rPr>
      <w:rFonts w:cs="Arial Unicode MS"/>
    </w:rPr>
  </w:style>
  <w:style w:type="paragraph" w:styleId="Lgende">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ListParagraph">
    <w:name w:val="List Paragraph"/>
    <w:basedOn w:val="Normal"/>
    <w:uiPriority w:val="34"/>
    <w:qFormat/>
    <w:rsid w:val="00755c4d"/>
    <w:pPr>
      <w:spacing w:before="0" w:after="160"/>
      <w:ind w:left="720" w:hanging="0"/>
      <w:contextualSpacing/>
    </w:pPr>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TableauGrille4-Accentuation5">
    <w:name w:val="Grid Table 4 Accent 5"/>
    <w:basedOn w:val="TableauNormal"/>
    <w:uiPriority w:val="49"/>
    <w:rsid w:val="00755c4d"/>
    <w:pPr>
      <w:spacing w:after="0" w:line="240" w:lineRule="auto"/>
    </w:p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Pr/>
    </w:tblStylePr>
    <w:tblStylePr w:type="lastCol">
      <w:rPr>
        <w:b/>
        <w:bCs/>
      </w:rPr>
      <w:tbl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png"/><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LibreOffice/7.1.7.2$Windows_x86 LibreOffice_project/c6a4e3954236145e2acb0b65f68614365aeee33f</Application>
  <AppVersion>15.0000</AppVersion>
  <Pages>6</Pages>
  <Words>1038</Words>
  <Characters>6325</Characters>
  <CharactersWithSpaces>7252</CharactersWithSpaces>
  <Paragraphs>127</Paragraphs>
  <Company>Ministère de la Culture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2025-05-23T17:40:19Z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file>