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1"/>
        <w:spacing w:before="240" w:after="0"/>
        <w:jc w:val="both"/>
        <w:rPr/>
      </w:pPr>
      <w:r>
        <w:rPr/>
        <w:t xml:space="preserve">Annexe 1 : </w:t>
      </w:r>
      <w:bookmarkStart w:id="0" w:name="_Toc61453318"/>
      <w:r>
        <w:rPr/>
        <w:t>Description détaillée des prestations attendues</w:t>
      </w:r>
      <w:bookmarkEnd w:id="0"/>
      <w:r>
        <w:rPr/>
        <w:t xml:space="preserve"> </w:t>
      </w:r>
      <w:r>
        <w:rPr/>
        <w:t xml:space="preserve">dans le marché de réalisation de la </w:t>
      </w:r>
      <w:r>
        <w:rPr/>
        <w:t>synthèse annuelle des bibliothèques municipales et intercommunales</w:t>
      </w:r>
    </w:p>
    <w:p>
      <w:pPr>
        <w:pStyle w:val="NormalWeb"/>
        <w:spacing w:before="280" w:after="280"/>
        <w:jc w:val="both"/>
        <w:rPr>
          <w:u w:val="single"/>
        </w:rPr>
      </w:pPr>
      <w:r>
        <w:rPr>
          <w:u w:val="single"/>
        </w:rPr>
        <w:t>Précisions sur le vocabulaire et les concepts utilisés</w:t>
      </w:r>
      <w:r>
        <w:rPr>
          <w:b/>
          <w:u w:val="single"/>
        </w:rPr>
        <w:t xml:space="preserve"> </w:t>
      </w:r>
    </w:p>
    <w:p>
      <w:pPr>
        <w:pStyle w:val="Normal"/>
        <w:jc w:val="both"/>
        <w:rPr>
          <w:rFonts w:ascii="Times New Roman" w:hAnsi="Times New Roman" w:cs="Times New Roman"/>
        </w:rPr>
      </w:pPr>
      <w:r>
        <w:rPr>
          <w:rFonts w:cs="Times New Roman" w:ascii="Times New Roman" w:hAnsi="Times New Roman"/>
        </w:rPr>
        <w:t xml:space="preserve">Par </w:t>
      </w:r>
      <w:r>
        <w:rPr>
          <w:rFonts w:cs="Times New Roman" w:ascii="Times New Roman" w:hAnsi="Times New Roman"/>
          <w:b/>
        </w:rPr>
        <w:t>établissement de lecture publique</w:t>
      </w:r>
      <w:r>
        <w:rPr>
          <w:rFonts w:cs="Times New Roman" w:ascii="Times New Roman" w:hAnsi="Times New Roman"/>
        </w:rPr>
        <w:t xml:space="preserve">, on entend une </w:t>
      </w:r>
      <w:r>
        <w:rPr>
          <w:rFonts w:cs="Times New Roman" w:ascii="Times New Roman" w:hAnsi="Times New Roman"/>
        </w:rPr>
        <w:t>bibliothèque</w:t>
      </w:r>
      <w:r>
        <w:rPr>
          <w:rFonts w:cs="Times New Roman" w:ascii="Times New Roman" w:hAnsi="Times New Roman"/>
        </w:rPr>
        <w:t xml:space="preserve"> communale ou intercommunale. </w:t>
      </w:r>
    </w:p>
    <w:p>
      <w:pPr>
        <w:pStyle w:val="Normal"/>
        <w:jc w:val="both"/>
        <w:rPr>
          <w:rFonts w:ascii="Times New Roman" w:hAnsi="Times New Roman" w:cs="Times New Roman"/>
        </w:rPr>
      </w:pPr>
      <w:r>
        <w:rPr>
          <w:rFonts w:cs="Times New Roman" w:ascii="Times New Roman" w:hAnsi="Times New Roman"/>
        </w:rPr>
        <w:t xml:space="preserve">Les établissements de lecture publique (ELP) qui ont pour typologie BI, B2 et B3 sont appelés « bibliothèques ». </w:t>
      </w:r>
    </w:p>
    <w:p>
      <w:pPr>
        <w:pStyle w:val="Normal"/>
        <w:jc w:val="both"/>
        <w:rPr>
          <w:rFonts w:ascii="Times New Roman" w:hAnsi="Times New Roman" w:cs="Times New Roman"/>
        </w:rPr>
      </w:pPr>
      <w:r>
        <w:rPr>
          <w:rFonts w:cs="Times New Roman" w:ascii="Times New Roman" w:hAnsi="Times New Roman"/>
        </w:rPr>
        <w:t xml:space="preserve">Les ELP qui ont pour typologie B4 et B5 sont appelés « points d’accès au livre » (PAL). </w:t>
      </w:r>
    </w:p>
    <w:p>
      <w:pPr>
        <w:pStyle w:val="Normal"/>
        <w:jc w:val="both"/>
        <w:rPr>
          <w:rFonts w:ascii="Times New Roman" w:hAnsi="Times New Roman" w:cs="Times New Roman"/>
        </w:rPr>
      </w:pPr>
      <w:r>
        <w:rPr>
          <w:rFonts w:cs="Times New Roman" w:ascii="Times New Roman" w:hAnsi="Times New Roman"/>
        </w:rPr>
        <w:t>Les modalités de calcul de la typologie sont détaillé</w:t>
      </w:r>
      <w:r>
        <w:rPr>
          <w:rFonts w:cs="Times New Roman" w:ascii="Times New Roman" w:hAnsi="Times New Roman"/>
        </w:rPr>
        <w:t>e</w:t>
      </w:r>
      <w:r>
        <w:rPr>
          <w:rFonts w:cs="Times New Roman" w:ascii="Times New Roman" w:hAnsi="Times New Roman"/>
        </w:rPr>
        <w:t xml:space="preserve">s à l’adresse suivante : </w:t>
      </w:r>
    </w:p>
    <w:p>
      <w:pPr>
        <w:pStyle w:val="Normal"/>
        <w:jc w:val="both"/>
        <w:rPr>
          <w:rFonts w:ascii="Times New Roman" w:hAnsi="Times New Roman" w:cs="Times New Roman"/>
        </w:rPr>
      </w:pPr>
      <w:hyperlink r:id="rId2">
        <w:r>
          <w:rPr>
            <w:rStyle w:val="LienInternet"/>
            <w:rFonts w:cs="Times New Roman" w:ascii="Times New Roman" w:hAnsi="Times New Roman"/>
          </w:rPr>
          <w:t>https://www.abd-asso.org/documentations/evaluation/une-nouvelle-typologie-pour-les-bibliotheques/</w:t>
        </w:r>
      </w:hyperlink>
      <w:hyperlink r:id="rId3">
        <w:r>
          <w:rPr>
            <w:rFonts w:cs="Times New Roman" w:ascii="Times New Roman" w:hAnsi="Times New Roman"/>
          </w:rPr>
          <w:t xml:space="preserve"> </w:t>
        </w:r>
      </w:hyperlink>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u w:val="single"/>
        </w:rPr>
      </w:pPr>
      <w:r>
        <w:rPr>
          <w:rFonts w:cs="Times New Roman" w:ascii="Times New Roman" w:hAnsi="Times New Roman"/>
          <w:u w:val="single"/>
        </w:rPr>
        <w:t xml:space="preserve">Description des livrables attendus pour la synthèse annuelle des bibliothèques municipales et intercommunales </w:t>
      </w:r>
    </w:p>
    <w:p>
      <w:pPr>
        <w:pStyle w:val="Normal"/>
        <w:spacing w:before="0" w:after="160"/>
        <w:contextualSpacing/>
        <w:jc w:val="both"/>
        <w:rPr>
          <w:rFonts w:ascii="Times New Roman" w:hAnsi="Times New Roman" w:cs="Times New Roman"/>
        </w:rPr>
      </w:pPr>
      <w:r>
        <w:rPr>
          <w:rFonts w:cs="Times New Roman" w:ascii="Times New Roman" w:hAnsi="Times New Roman"/>
        </w:rPr>
        <w:t xml:space="preserve">6 parties distinctes sont attendues : </w:t>
      </w:r>
    </w:p>
    <w:p>
      <w:pPr>
        <w:pStyle w:val="Normal"/>
        <w:spacing w:before="0" w:after="160"/>
        <w:contextualSpacing/>
        <w:jc w:val="both"/>
        <w:rPr>
          <w:rFonts w:ascii="Times New Roman" w:hAnsi="Times New Roman" w:cs="Times New Roman"/>
        </w:rPr>
      </w:pPr>
      <w:r>
        <w:rPr>
          <w:rFonts w:cs="Times New Roman" w:ascii="Times New Roman" w:hAnsi="Times New Roman"/>
        </w:rPr>
      </w:r>
    </w:p>
    <w:p>
      <w:pPr>
        <w:pStyle w:val="Normal"/>
        <w:numPr>
          <w:ilvl w:val="0"/>
          <w:numId w:val="1"/>
        </w:numPr>
        <w:spacing w:before="0" w:after="160"/>
        <w:contextualSpacing/>
        <w:jc w:val="both"/>
        <w:rPr>
          <w:rFonts w:ascii="Times New Roman" w:hAnsi="Times New Roman" w:cs="Times New Roman"/>
        </w:rPr>
      </w:pPr>
      <w:r>
        <w:rPr>
          <w:rFonts w:cs="Times New Roman" w:ascii="Times New Roman" w:hAnsi="Times New Roman"/>
        </w:rPr>
        <w:t>Introduction : partie rédigée</w:t>
      </w:r>
    </w:p>
    <w:p>
      <w:pPr>
        <w:pStyle w:val="Normal"/>
        <w:numPr>
          <w:ilvl w:val="0"/>
          <w:numId w:val="1"/>
        </w:numPr>
        <w:spacing w:before="0" w:after="160"/>
        <w:contextualSpacing/>
        <w:jc w:val="both"/>
        <w:rPr>
          <w:rFonts w:ascii="Times New Roman" w:hAnsi="Times New Roman" w:cs="Times New Roman"/>
        </w:rPr>
      </w:pPr>
      <w:r>
        <w:rPr>
          <w:rFonts w:cs="Times New Roman" w:ascii="Times New Roman" w:hAnsi="Times New Roman"/>
        </w:rPr>
        <w:t>Dénombrement : partie rédigée</w:t>
      </w:r>
    </w:p>
    <w:p>
      <w:pPr>
        <w:pStyle w:val="Normal"/>
        <w:numPr>
          <w:ilvl w:val="0"/>
          <w:numId w:val="1"/>
        </w:numPr>
        <w:spacing w:before="0" w:after="160"/>
        <w:contextualSpacing/>
        <w:jc w:val="both"/>
        <w:rPr>
          <w:b/>
          <w:b/>
          <w:bCs/>
        </w:rPr>
      </w:pPr>
      <w:r>
        <w:rPr>
          <w:rFonts w:cs="Times New Roman" w:ascii="Times New Roman" w:hAnsi="Times New Roman"/>
          <w:b/>
          <w:bCs/>
        </w:rPr>
        <w:t>Chiffres-clés : traitement des indicateurs (fichiers Excel d’analyse, résultats redressés)</w:t>
      </w:r>
    </w:p>
    <w:p>
      <w:pPr>
        <w:pStyle w:val="Normal"/>
        <w:numPr>
          <w:ilvl w:val="0"/>
          <w:numId w:val="1"/>
        </w:numPr>
        <w:spacing w:before="0" w:after="160"/>
        <w:contextualSpacing/>
        <w:jc w:val="both"/>
        <w:rPr>
          <w:rFonts w:ascii="Times New Roman" w:hAnsi="Times New Roman" w:cs="Times New Roman"/>
        </w:rPr>
      </w:pPr>
      <w:r>
        <w:rPr>
          <w:rFonts w:cs="Times New Roman" w:ascii="Times New Roman" w:hAnsi="Times New Roman"/>
        </w:rPr>
        <w:t xml:space="preserve">Activité des bibliothèques : traitement des indicateurs (fichiers Excel d’analyse, la rédaction est réalisée en interne) </w:t>
      </w:r>
    </w:p>
    <w:p>
      <w:pPr>
        <w:pStyle w:val="Normal"/>
        <w:numPr>
          <w:ilvl w:val="0"/>
          <w:numId w:val="1"/>
        </w:numPr>
        <w:spacing w:before="0" w:after="160"/>
        <w:contextualSpacing/>
        <w:jc w:val="both"/>
        <w:rPr>
          <w:rFonts w:ascii="Times New Roman" w:hAnsi="Times New Roman" w:cs="Times New Roman"/>
        </w:rPr>
      </w:pPr>
      <w:r>
        <w:rPr>
          <w:rFonts w:cs="Times New Roman" w:ascii="Times New Roman" w:hAnsi="Times New Roman"/>
        </w:rPr>
        <w:t xml:space="preserve">Traitement d’indicateurs pour les points d’accès au livre (partie rédigée) </w:t>
      </w:r>
    </w:p>
    <w:p>
      <w:pPr>
        <w:pStyle w:val="Normal"/>
        <w:numPr>
          <w:ilvl w:val="0"/>
          <w:numId w:val="1"/>
        </w:numPr>
        <w:spacing w:before="0" w:after="160"/>
        <w:contextualSpacing/>
        <w:jc w:val="both"/>
        <w:rPr>
          <w:b/>
          <w:b/>
          <w:bCs/>
        </w:rPr>
      </w:pPr>
      <w:r>
        <w:rPr>
          <w:rFonts w:cs="Times New Roman" w:ascii="Times New Roman" w:hAnsi="Times New Roman"/>
          <w:b/>
          <w:bCs/>
        </w:rPr>
        <w:t>Profils moyens</w:t>
      </w:r>
    </w:p>
    <w:p>
      <w:pPr>
        <w:pStyle w:val="Normal"/>
        <w:numPr>
          <w:ilvl w:val="0"/>
          <w:numId w:val="1"/>
        </w:numPr>
        <w:spacing w:before="0" w:after="160"/>
        <w:contextualSpacing/>
        <w:jc w:val="both"/>
        <w:rPr>
          <w:rFonts w:ascii="Times New Roman" w:hAnsi="Times New Roman" w:cs="Times New Roman"/>
        </w:rPr>
      </w:pPr>
      <w:r>
        <w:rPr>
          <w:rFonts w:cs="Times New Roman" w:ascii="Times New Roman" w:hAnsi="Times New Roman"/>
        </w:rPr>
        <w:t xml:space="preserve">Annexes méthodologiques (partie rédigée) </w:t>
      </w:r>
      <w:bookmarkStart w:id="1" w:name="_GoBack"/>
      <w:bookmarkEnd w:id="1"/>
    </w:p>
    <w:p>
      <w:pPr>
        <w:pStyle w:val="Normal"/>
        <w:jc w:val="both"/>
        <w:rPr>
          <w:rFonts w:ascii="Times New Roman" w:hAnsi="Times New Roman" w:cs="Times New Roman"/>
        </w:rPr>
      </w:pPr>
      <w:r>
        <w:rPr>
          <w:rFonts w:cs="Times New Roman" w:ascii="Times New Roman" w:hAnsi="Times New Roman"/>
        </w:rPr>
      </w:r>
    </w:p>
    <w:p>
      <w:pPr>
        <w:pStyle w:val="Normal"/>
        <w:pBdr>
          <w:top w:val="single" w:sz="2" w:space="1" w:color="000000"/>
          <w:left w:val="single" w:sz="2" w:space="1" w:color="000000"/>
          <w:bottom w:val="single" w:sz="2" w:space="1" w:color="000000"/>
          <w:right w:val="single" w:sz="2" w:space="1" w:color="000000"/>
        </w:pBdr>
        <w:jc w:val="both"/>
        <w:rPr>
          <w:color w:val="auto"/>
          <w:u w:val="none"/>
        </w:rPr>
      </w:pPr>
      <w:r>
        <w:rPr>
          <w:rFonts w:cs="Times New Roman" w:ascii="Times New Roman" w:hAnsi="Times New Roman"/>
          <w:b/>
          <w:color w:val="auto"/>
          <w:u w:val="none"/>
        </w:rPr>
        <w:t xml:space="preserve">Attention : les éléments attendus </w:t>
      </w:r>
      <w:r>
        <w:rPr>
          <w:rFonts w:cs="Times New Roman" w:ascii="Times New Roman" w:hAnsi="Times New Roman"/>
          <w:b/>
          <w:color w:val="auto"/>
          <w:u w:val="none"/>
        </w:rPr>
        <w:t>sont détaillés ci-dessous</w:t>
      </w:r>
      <w:r>
        <w:rPr>
          <w:rFonts w:cs="Times New Roman" w:ascii="Times New Roman" w:hAnsi="Times New Roman"/>
          <w:b/>
          <w:color w:val="auto"/>
          <w:u w:val="none"/>
        </w:rPr>
        <w:t xml:space="preserve">, mais il est possible que la nouvelle méthodologie que le bénéficiaire du présent marché mettra en œuvre ait des impacts sur la possibilité de réaliser certains éléments attendus. Il appartiendra au candidat au présent marché de détailler dans </w:t>
      </w:r>
      <w:r>
        <w:rPr>
          <w:rFonts w:cs="Times New Roman" w:ascii="Times New Roman" w:hAnsi="Times New Roman"/>
          <w:b/>
          <w:color w:val="auto"/>
          <w:u w:val="none"/>
        </w:rPr>
        <w:t>sa</w:t>
      </w:r>
      <w:r>
        <w:rPr>
          <w:rFonts w:cs="Times New Roman" w:ascii="Times New Roman" w:hAnsi="Times New Roman"/>
          <w:b/>
          <w:color w:val="auto"/>
          <w:u w:val="none"/>
        </w:rPr>
        <w:t xml:space="preserve"> proposition les ajustements qu’il jugera nécessaires à ce cadre général.</w:t>
      </w:r>
    </w:p>
    <w:p>
      <w:pPr>
        <w:pStyle w:val="Normal"/>
        <w:jc w:val="both"/>
        <w:rPr>
          <w:rFonts w:ascii="Times New Roman" w:hAnsi="Times New Roman" w:cs="Times New Roman"/>
          <w:b/>
          <w:b/>
          <w:u w:val="single"/>
        </w:rPr>
      </w:pPr>
      <w:r>
        <w:rPr>
          <w:rFonts w:cs="Times New Roman" w:ascii="Times New Roman" w:hAnsi="Times New Roman"/>
          <w:b/>
          <w:u w:val="single"/>
        </w:rPr>
      </w:r>
    </w:p>
    <w:p>
      <w:pPr>
        <w:pStyle w:val="Normal"/>
        <w:jc w:val="both"/>
        <w:rPr>
          <w:rFonts w:ascii="Times New Roman" w:hAnsi="Times New Roman" w:cs="Times New Roman"/>
        </w:rPr>
      </w:pPr>
      <w:r>
        <w:rPr>
          <w:rFonts w:cs="Times New Roman" w:ascii="Times New Roman" w:hAnsi="Times New Roman"/>
        </w:rPr>
        <w:t xml:space="preserve">Pour chaque partie, on trouvera ci-dessous les éléments pouvant être attendus dans la mesure des contraintes induites par le changement du modèle de données </w:t>
      </w:r>
      <w:r>
        <w:rPr>
          <w:rFonts w:cs="Times New Roman" w:ascii="Times New Roman" w:hAnsi="Times New Roman"/>
        </w:rPr>
        <w:t>intervenu en 2019</w:t>
      </w:r>
      <w:r>
        <w:rPr>
          <w:rFonts w:cs="Times New Roman" w:ascii="Times New Roman" w:hAnsi="Times New Roman"/>
        </w:rPr>
        <w:t xml:space="preserve">. </w:t>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Introduction</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Profil type des répondants (appartenance des structures selon la taille des collectivités en termes de population desservie)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Population moyenne desservie par les établissements répondants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Pourcentage de la population française résidant dans une collectivité offrant l’accès à au moins un lieu de lecture (bibliothèque ou point d’accès au livre)</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Taux de sondage selon le type de structure </w:t>
      </w:r>
    </w:p>
    <w:p>
      <w:pPr>
        <w:pStyle w:val="Normal"/>
        <w:jc w:val="both"/>
        <w:rPr>
          <w:rFonts w:ascii="Times New Roman" w:hAnsi="Times New Roman" w:cs="Times New Roman"/>
        </w:rPr>
      </w:pPr>
      <w:r>
        <w:rPr>
          <w:rFonts w:cs="Times New Roman" w:ascii="Times New Roman" w:hAnsi="Times New Roman"/>
        </w:rPr>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Dénombrements</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Estimation du nombre de bibliothèques et de points d’accès au livre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Nombre et proportion de communes desservies par une bibliothèque et nombre de communes desservies par un point d’accès au livre (par strate de population desservie)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Proportion de la population française résidant dans une commune lui permettant d’accéder à une bibliothèque/ à un point d’accès au livre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Proportion de la population desservie par une bibliothèque/ point d’accès au livre selon les régions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Nombre d’établissements de lecture publique et population moyenne desservie, selon leur caractérisation dans le cadre de la typologie ABD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Nombre d’ELP selon la caractérisation typologie ABD et les populations couvertes</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Estimation régionale du nombre d’ELP selon la caractérisation typologie ABD des établissements et selon les régions</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Part des bibliothèques parmi les ELP selon les régions</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Répartition des ELP selon leur statut (bibliothèque/ PAL) et leur caractère communal ou intercommunal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Nombre moyen de communes desservies par un ELP intercommunal/ par une bibliothèque/ par un PAL</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Population moyenne desservie par un ELP intercommunal/ par une bibliothèque/ par un PAL</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Répartition des bibliothèques/ PAL selon les populations desservies et leur caractère communal ou intercommunal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Répartition des établissements de lecture publique selon la caractérisation ABD et leur caractère communal ou intercommunal</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Données nationales extrapolées pour les indicateurs suivants : (liste des indicateurs :  + intervalles de confiance)</w:t>
      </w:r>
    </w:p>
    <w:p>
      <w:pPr>
        <w:pStyle w:val="Normal"/>
        <w:spacing w:before="0" w:after="160"/>
        <w:ind w:left="720" w:hanging="0"/>
        <w:contextualSpacing/>
        <w:jc w:val="both"/>
        <w:rPr>
          <w:rFonts w:ascii="Times New Roman" w:hAnsi="Times New Roman" w:cs="Times New Roman"/>
        </w:rPr>
      </w:pPr>
      <w:r>
        <w:rPr>
          <w:rFonts w:cs="Times New Roman" w:ascii="Times New Roman" w:hAnsi="Times New Roman"/>
        </w:rPr>
      </w:r>
    </w:p>
    <w:p>
      <w:pPr>
        <w:pStyle w:val="Normal"/>
        <w:numPr>
          <w:ilvl w:val="0"/>
          <w:numId w:val="3"/>
        </w:numPr>
        <w:spacing w:before="0" w:after="160"/>
        <w:contextualSpacing/>
        <w:jc w:val="both"/>
        <w:rPr>
          <w:rFonts w:ascii="Times New Roman" w:hAnsi="Times New Roman" w:cs="Times New Roman"/>
        </w:rPr>
      </w:pPr>
      <w:r>
        <w:rPr>
          <w:rFonts w:cs="Times New Roman" w:ascii="Times New Roman" w:hAnsi="Times New Roman"/>
        </w:rPr>
        <w:t>Une courte analyse spécifique des nouveaux types de réseaux (Unités de Coopération UC hors Unités Administratives) devra être proposée : nombre de lieux par réseaux, objet de la coopération etc.</w:t>
      </w:r>
    </w:p>
    <w:p>
      <w:pPr>
        <w:pStyle w:val="Normal"/>
        <w:jc w:val="both"/>
        <w:rPr>
          <w:rFonts w:ascii="Times New Roman" w:hAnsi="Times New Roman" w:cs="Times New Roman"/>
        </w:rPr>
      </w:pPr>
      <w:r>
        <w:rPr>
          <w:rFonts w:cs="Times New Roman" w:ascii="Times New Roman" w:hAnsi="Times New Roman"/>
        </w:rPr>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Chiffres-clés</w:t>
      </w:r>
    </w:p>
    <w:p>
      <w:pPr>
        <w:pStyle w:val="Normal"/>
        <w:spacing w:before="0" w:after="160"/>
        <w:contextualSpacing/>
        <w:jc w:val="both"/>
        <w:rPr>
          <w:rFonts w:ascii="Times New Roman" w:hAnsi="Times New Roman" w:cs="Times New Roman"/>
          <w:b/>
          <w:b/>
          <w:u w:val="single"/>
        </w:rPr>
      </w:pPr>
      <w:r>
        <w:rPr/>
      </w:r>
    </w:p>
    <w:p>
      <w:pPr>
        <w:pStyle w:val="Normal"/>
        <w:spacing w:before="0" w:after="160"/>
        <w:contextualSpacing/>
        <w:jc w:val="both"/>
        <w:rPr>
          <w:b w:val="false"/>
          <w:b w:val="false"/>
          <w:bCs w:val="false"/>
          <w:u w:val="none"/>
        </w:rPr>
      </w:pPr>
      <w:r>
        <w:rPr>
          <w:rFonts w:cs="Times New Roman" w:ascii="Times New Roman" w:hAnsi="Times New Roman"/>
          <w:b w:val="false"/>
          <w:bCs w:val="false"/>
          <w:u w:val="none"/>
        </w:rPr>
        <w:t>Il est attendu dans cette partie la fourniture des données correspondant aux « chiffres-clés », au format tableur, avec les éléments utilisés pour calculer les valeurs redressées à l’échelle nationale.</w:t>
      </w:r>
    </w:p>
    <w:p>
      <w:pPr>
        <w:pStyle w:val="Normal"/>
        <w:spacing w:before="0" w:after="160"/>
        <w:contextualSpacing/>
        <w:jc w:val="both"/>
        <w:rPr>
          <w:b w:val="false"/>
          <w:b w:val="false"/>
          <w:bCs w:val="false"/>
          <w:u w:val="none"/>
        </w:rPr>
      </w:pPr>
      <w:r>
        <w:rPr>
          <w:rFonts w:cs="Times New Roman" w:ascii="Times New Roman" w:hAnsi="Times New Roman"/>
          <w:b w:val="false"/>
          <w:bCs w:val="false"/>
          <w:u w:val="none"/>
        </w:rPr>
        <w:t>L’exploitation de ces chiffres sera réalisée en interne, pour produire une infographie annuelle.</w:t>
      </w:r>
    </w:p>
    <w:p>
      <w:pPr>
        <w:pStyle w:val="Normal"/>
        <w:spacing w:before="0" w:after="160"/>
        <w:contextualSpacing/>
        <w:jc w:val="both"/>
        <w:rPr>
          <w:rFonts w:ascii="Times New Roman" w:hAnsi="Times New Roman" w:cs="Times New Roman"/>
        </w:rPr>
      </w:pPr>
      <w:r>
        <w:rPr>
          <w:b w:val="false"/>
          <w:bCs w:val="false"/>
          <w:u w:val="none"/>
        </w:rPr>
      </w:r>
    </w:p>
    <w:p>
      <w:pPr>
        <w:pStyle w:val="Normal"/>
        <w:spacing w:before="0" w:after="160"/>
        <w:contextualSpacing/>
        <w:jc w:val="both"/>
        <w:rPr>
          <w:rFonts w:ascii="Times New Roman" w:hAnsi="Times New Roman" w:cs="Times New Roman"/>
        </w:rPr>
      </w:pPr>
      <w:r>
        <w:rPr>
          <w:b w:val="false"/>
          <w:bCs w:val="false"/>
          <w:u w:val="none"/>
        </w:rPr>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 xml:space="preserve">Traitement des indicateurs </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Pour chaque indicateur listé, 2 types d’analyses sont attendues :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Une analyse de l’indicateur pour l’année en cours </w:t>
      </w:r>
    </w:p>
    <w:p>
      <w:pPr>
        <w:pStyle w:val="Normal"/>
        <w:numPr>
          <w:ilvl w:val="0"/>
          <w:numId w:val="4"/>
        </w:numPr>
        <w:spacing w:before="0" w:after="160"/>
        <w:contextualSpacing/>
        <w:jc w:val="both"/>
        <w:rPr>
          <w:rFonts w:ascii="Times New Roman" w:hAnsi="Times New Roman" w:cs="Times New Roman"/>
        </w:rPr>
      </w:pPr>
      <w:r>
        <w:rPr>
          <w:rFonts w:cs="Times New Roman" w:ascii="Times New Roman" w:hAnsi="Times New Roman"/>
        </w:rPr>
        <w:t xml:space="preserve">Une analyse de l’évolution de cet indicateur durant les dernières années jusqu’à l’année en cours, </w:t>
      </w:r>
      <w:r>
        <w:rPr>
          <w:rFonts w:cs="Times New Roman" w:ascii="Times New Roman" w:hAnsi="Times New Roman"/>
        </w:rPr>
        <w:t>depuis 2019. Les données antérieures au présent marché seront fournies au titulaire.</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Pour l’analyse de l’indicateur pour l’année en cours comme pour l’analyse de l’évolution pluriannuelle de l’indicateur, on attend une analyse selon la population couverte et une analyse selon la catégorisation issue de la typologie ABD. </w:t>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 xml:space="preserve">Quelques chiffres clés sur les PAL </w:t>
      </w:r>
    </w:p>
    <w:p>
      <w:pPr>
        <w:pStyle w:val="Normal"/>
        <w:jc w:val="both"/>
        <w:rPr>
          <w:rFonts w:ascii="Times New Roman" w:hAnsi="Times New Roman" w:cs="Times New Roman"/>
        </w:rPr>
      </w:pPr>
      <w:r>
        <w:rPr>
          <w:rFonts w:cs="Times New Roman" w:ascii="Times New Roman" w:hAnsi="Times New Roman"/>
        </w:rPr>
        <w:t xml:space="preserve">  </w:t>
      </w:r>
    </w:p>
    <w:p>
      <w:pPr>
        <w:pStyle w:val="Normal"/>
        <w:jc w:val="both"/>
        <w:rPr>
          <w:rFonts w:ascii="Times New Roman" w:hAnsi="Times New Roman" w:cs="Times New Roman"/>
        </w:rPr>
      </w:pPr>
      <w:r>
        <w:rPr>
          <w:rFonts w:cs="Times New Roman" w:ascii="Times New Roman" w:hAnsi="Times New Roman"/>
        </w:rPr>
        <w:t xml:space="preserve">Une analyse portant sur quelques indicateurs est attendue concernant les points d’accès au livre : </w:t>
      </w:r>
    </w:p>
    <w:p>
      <w:pPr>
        <w:pStyle w:val="ListParagraph"/>
        <w:numPr>
          <w:ilvl w:val="0"/>
          <w:numId w:val="4"/>
        </w:numPr>
        <w:jc w:val="both"/>
        <w:rPr>
          <w:rFonts w:ascii="Times New Roman" w:hAnsi="Times New Roman" w:cs="Times New Roman"/>
        </w:rPr>
      </w:pPr>
      <w:r>
        <w:rPr>
          <w:rFonts w:cs="Times New Roman" w:ascii="Times New Roman" w:hAnsi="Times New Roman"/>
        </w:rPr>
        <w:t>Structure de la population desservie par ces PAL (pourcentage des communes de moins de 2000 habitants) ;</w:t>
      </w:r>
    </w:p>
    <w:p>
      <w:pPr>
        <w:pStyle w:val="ListParagraph"/>
        <w:numPr>
          <w:ilvl w:val="0"/>
          <w:numId w:val="4"/>
        </w:numPr>
        <w:jc w:val="both"/>
        <w:rPr>
          <w:rFonts w:ascii="Times New Roman" w:hAnsi="Times New Roman" w:cs="Times New Roman"/>
        </w:rPr>
      </w:pPr>
      <w:r>
        <w:rPr>
          <w:rFonts w:cs="Times New Roman" w:ascii="Times New Roman" w:hAnsi="Times New Roman"/>
        </w:rPr>
        <w:t>Taux de réponse des PAL à l’enquête ;</w:t>
      </w:r>
    </w:p>
    <w:p>
      <w:pPr>
        <w:pStyle w:val="ListParagraph"/>
        <w:numPr>
          <w:ilvl w:val="0"/>
          <w:numId w:val="4"/>
        </w:numPr>
        <w:jc w:val="both"/>
        <w:rPr>
          <w:rFonts w:ascii="Times New Roman" w:hAnsi="Times New Roman" w:cs="Times New Roman"/>
        </w:rPr>
      </w:pPr>
      <w:r>
        <w:rPr>
          <w:rFonts w:cs="Times New Roman" w:ascii="Times New Roman" w:hAnsi="Times New Roman"/>
        </w:rPr>
        <w:t>Surface moyenne ;</w:t>
      </w:r>
    </w:p>
    <w:p>
      <w:pPr>
        <w:pStyle w:val="ListParagraph"/>
        <w:numPr>
          <w:ilvl w:val="0"/>
          <w:numId w:val="4"/>
        </w:numPr>
        <w:jc w:val="both"/>
        <w:rPr>
          <w:rFonts w:ascii="Times New Roman" w:hAnsi="Times New Roman" w:cs="Times New Roman"/>
        </w:rPr>
      </w:pPr>
      <w:r>
        <w:rPr>
          <w:rFonts w:cs="Times New Roman" w:ascii="Times New Roman" w:hAnsi="Times New Roman"/>
        </w:rPr>
        <w:t>Surface moyenne par habitant ;</w:t>
      </w:r>
    </w:p>
    <w:p>
      <w:pPr>
        <w:pStyle w:val="ListParagraph"/>
        <w:numPr>
          <w:ilvl w:val="0"/>
          <w:numId w:val="4"/>
        </w:numPr>
        <w:jc w:val="both"/>
        <w:rPr>
          <w:rFonts w:ascii="Times New Roman" w:hAnsi="Times New Roman" w:cs="Times New Roman"/>
        </w:rPr>
      </w:pPr>
      <w:r>
        <w:rPr>
          <w:rFonts w:cs="Times New Roman" w:ascii="Times New Roman" w:hAnsi="Times New Roman"/>
        </w:rPr>
        <w:t>Amplitude horaire moyenne ;</w:t>
      </w:r>
    </w:p>
    <w:p>
      <w:pPr>
        <w:pStyle w:val="ListParagraph"/>
        <w:numPr>
          <w:ilvl w:val="0"/>
          <w:numId w:val="4"/>
        </w:numPr>
        <w:jc w:val="both"/>
        <w:rPr>
          <w:rFonts w:ascii="Times New Roman" w:hAnsi="Times New Roman" w:cs="Times New Roman"/>
        </w:rPr>
      </w:pPr>
      <w:r>
        <w:rPr>
          <w:rFonts w:cs="Times New Roman" w:ascii="Times New Roman" w:hAnsi="Times New Roman"/>
        </w:rPr>
        <w:t>Présence d’un site web ;</w:t>
      </w:r>
    </w:p>
    <w:p>
      <w:pPr>
        <w:pStyle w:val="ListParagraph"/>
        <w:numPr>
          <w:ilvl w:val="0"/>
          <w:numId w:val="4"/>
        </w:numPr>
        <w:jc w:val="both"/>
        <w:rPr>
          <w:rFonts w:ascii="Times New Roman" w:hAnsi="Times New Roman" w:cs="Times New Roman"/>
        </w:rPr>
      </w:pPr>
      <w:r>
        <w:rPr>
          <w:rFonts w:cs="Times New Roman" w:ascii="Times New Roman" w:hAnsi="Times New Roman"/>
        </w:rPr>
        <w:t xml:space="preserve">Taux d’emprunteurs actifs ; </w:t>
      </w:r>
    </w:p>
    <w:p>
      <w:pPr>
        <w:pStyle w:val="ListParagraph"/>
        <w:numPr>
          <w:ilvl w:val="0"/>
          <w:numId w:val="4"/>
        </w:numPr>
        <w:jc w:val="both"/>
        <w:rPr>
          <w:rFonts w:ascii="Times New Roman" w:hAnsi="Times New Roman" w:cs="Times New Roman"/>
        </w:rPr>
      </w:pPr>
      <w:r>
        <w:rPr>
          <w:rFonts w:cs="Times New Roman" w:ascii="Times New Roman" w:hAnsi="Times New Roman"/>
        </w:rPr>
        <w:t xml:space="preserve">Nombre moyen de prêts par habitant. </w:t>
      </w:r>
    </w:p>
    <w:p>
      <w:pPr>
        <w:pStyle w:val="Normal"/>
        <w:jc w:val="both"/>
        <w:rPr>
          <w:rFonts w:ascii="Times New Roman" w:hAnsi="Times New Roman" w:cs="Times New Roman"/>
        </w:rPr>
      </w:pPr>
      <w:r>
        <w:rPr>
          <w:rFonts w:cs="Times New Roman" w:ascii="Times New Roman" w:hAnsi="Times New Roman"/>
        </w:rPr>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 xml:space="preserve">Profils moyens </w:t>
      </w:r>
    </w:p>
    <w:p>
      <w:pPr>
        <w:pStyle w:val="Normal"/>
        <w:spacing w:before="0" w:after="160"/>
        <w:contextualSpacing/>
        <w:jc w:val="both"/>
        <w:rPr>
          <w:rFonts w:ascii="Times New Roman" w:hAnsi="Times New Roman" w:cs="Times New Roman"/>
          <w:b/>
          <w:b/>
          <w:u w:val="single"/>
        </w:rPr>
      </w:pPr>
      <w:r>
        <w:rPr>
          <w:rFonts w:cs="Times New Roman" w:ascii="Times New Roman" w:hAnsi="Times New Roman"/>
          <w:b/>
          <w:u w:val="single"/>
        </w:rPr>
      </w:r>
    </w:p>
    <w:p>
      <w:pPr>
        <w:pStyle w:val="Normal"/>
        <w:spacing w:before="0" w:after="160"/>
        <w:contextualSpacing/>
        <w:jc w:val="both"/>
        <w:rPr>
          <w:rFonts w:ascii="Times New Roman" w:hAnsi="Times New Roman" w:cs="Times New Roman"/>
        </w:rPr>
      </w:pPr>
      <w:r>
        <w:rPr>
          <w:rFonts w:cs="Times New Roman" w:ascii="Times New Roman" w:hAnsi="Times New Roman"/>
        </w:rPr>
        <w:t>Des profils moyens sur le modèle de ceux produits pour les anciennes synthèses sont attendus. Pour voir un modèle de ces profils, se référer à la partie « Profils moyens » de</w:t>
      </w:r>
      <w:r>
        <w:rPr>
          <w:rFonts w:cs="Times New Roman" w:ascii="Times New Roman" w:hAnsi="Times New Roman"/>
        </w:rPr>
        <w:t>s différentes s</w:t>
      </w:r>
      <w:r>
        <w:rPr>
          <w:rFonts w:cs="Times New Roman" w:ascii="Times New Roman" w:hAnsi="Times New Roman"/>
        </w:rPr>
        <w:t>ynthèse</w:t>
      </w:r>
      <w:r>
        <w:rPr>
          <w:rFonts w:cs="Times New Roman" w:ascii="Times New Roman" w:hAnsi="Times New Roman"/>
        </w:rPr>
        <w:t>s</w:t>
      </w:r>
      <w:r>
        <w:rPr>
          <w:rFonts w:cs="Times New Roman" w:ascii="Times New Roman" w:hAnsi="Times New Roman"/>
        </w:rPr>
        <w:t xml:space="preserve"> accessible</w:t>
      </w:r>
      <w:r>
        <w:rPr>
          <w:rFonts w:cs="Times New Roman" w:ascii="Times New Roman" w:hAnsi="Times New Roman"/>
        </w:rPr>
        <w:t>s</w:t>
      </w:r>
      <w:r>
        <w:rPr>
          <w:rFonts w:cs="Times New Roman" w:ascii="Times New Roman" w:hAnsi="Times New Roman"/>
        </w:rPr>
        <w:t xml:space="preserve"> à l’adresse suivante :</w:t>
      </w:r>
    </w:p>
    <w:p>
      <w:pPr>
        <w:pStyle w:val="Normal"/>
        <w:spacing w:before="0" w:after="160"/>
        <w:contextualSpacing/>
        <w:jc w:val="both"/>
        <w:rPr>
          <w:rFonts w:ascii="Times New Roman" w:hAnsi="Times New Roman" w:cs="Times New Roman"/>
        </w:rPr>
      </w:pPr>
      <w:hyperlink r:id="rId4">
        <w:r>
          <w:rPr>
            <w:rStyle w:val="LienInternet"/>
            <w:rFonts w:cs="Times New Roman" w:ascii="Times New Roman" w:hAnsi="Times New Roman"/>
          </w:rPr>
          <w:t>https://www.culture.gouv.fr/fr/thematiques/livre-et-lecture/pour-les-professionnels-des-bibliotheques/donnees-sur-les-bibliotheques/activites-des-bibliotheques-syntheses-annuelles</w:t>
        </w:r>
      </w:hyperlink>
      <w:r>
        <w:rPr>
          <w:rFonts w:cs="Times New Roman" w:ascii="Times New Roman" w:hAnsi="Times New Roman"/>
        </w:rPr>
        <w:t xml:space="preserve"> </w:t>
      </w:r>
    </w:p>
    <w:p>
      <w:pPr>
        <w:pStyle w:val="Normal"/>
        <w:spacing w:before="0" w:after="160"/>
        <w:ind w:left="720" w:hanging="0"/>
        <w:contextualSpacing/>
        <w:jc w:val="both"/>
        <w:rPr>
          <w:rFonts w:ascii="Times New Roman" w:hAnsi="Times New Roman" w:cs="Times New Roman"/>
        </w:rPr>
      </w:pPr>
      <w:r>
        <w:rPr>
          <w:rFonts w:cs="Times New Roman" w:ascii="Times New Roman" w:hAnsi="Times New Roman"/>
        </w:rPr>
      </w:r>
    </w:p>
    <w:p>
      <w:pPr>
        <w:pStyle w:val="Normal"/>
        <w:numPr>
          <w:ilvl w:val="0"/>
          <w:numId w:val="2"/>
        </w:numPr>
        <w:spacing w:before="0" w:after="160"/>
        <w:contextualSpacing/>
        <w:jc w:val="both"/>
        <w:rPr>
          <w:rFonts w:ascii="Times New Roman" w:hAnsi="Times New Roman" w:cs="Times New Roman"/>
          <w:b/>
          <w:b/>
          <w:u w:val="single"/>
        </w:rPr>
      </w:pPr>
      <w:r>
        <w:rPr>
          <w:rFonts w:cs="Times New Roman" w:ascii="Times New Roman" w:hAnsi="Times New Roman"/>
          <w:b/>
          <w:u w:val="single"/>
        </w:rPr>
        <w:t xml:space="preserve">Annexe méthodologique </w:t>
      </w:r>
    </w:p>
    <w:p>
      <w:pPr>
        <w:pStyle w:val="Normal"/>
        <w:spacing w:before="0" w:after="160"/>
        <w:ind w:left="720" w:hanging="0"/>
        <w:contextualSpacing/>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Une annexe méthodologique détaillée est attendue afin d’expliciter les différents traitements et analyses réalisées.</w:t>
      </w:r>
    </w:p>
    <w:p>
      <w:pPr>
        <w:pStyle w:val="Normal"/>
        <w:jc w:val="both"/>
        <w:rPr>
          <w:rFonts w:ascii="Times New Roman" w:hAnsi="Times New Roman" w:cs="Times New Roman"/>
        </w:rPr>
      </w:pPr>
      <w:r>
        <w:rPr>
          <w:rFonts w:cs="Times New Roman" w:ascii="Times New Roman" w:hAnsi="Times New Roman"/>
        </w:rPr>
      </w:r>
    </w:p>
    <w:p>
      <w:pPr>
        <w:pStyle w:val="Normal"/>
        <w:ind w:left="360"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
    </w:p>
    <w:p>
      <w:pPr>
        <w:pStyle w:val="Normal"/>
        <w:jc w:val="both"/>
        <w:rPr/>
      </w:pPr>
      <w:r>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widowControl/>
        <w:bidi w:val="0"/>
        <w:spacing w:lineRule="auto" w:line="259" w:before="0" w:after="160"/>
        <w:jc w:val="left"/>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Wingdings">
    <w:charset w:val="02"/>
    <w:family w:val="auto"/>
    <w:pitch w:val="variable"/>
  </w:font>
  <w:font w:name="Courier New">
    <w:charset w:val="01"/>
    <w:family w:val="modern"/>
    <w:pitch w:val="fixed"/>
  </w:font>
  <w:font w:name="Calibri">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5f56"/>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Titre1">
    <w:name w:val="Heading 1"/>
    <w:basedOn w:val="Normal"/>
    <w:next w:val="Normal"/>
    <w:link w:val="Titre1Car"/>
    <w:uiPriority w:val="9"/>
    <w:qFormat/>
    <w:rsid w:val="000b5f56"/>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link w:val="Titre1"/>
    <w:uiPriority w:val="9"/>
    <w:qFormat/>
    <w:rsid w:val="000b5f56"/>
    <w:rPr>
      <w:rFonts w:ascii="Calibri Light" w:hAnsi="Calibri Light" w:eastAsia="" w:cs="" w:asciiTheme="majorHAnsi" w:cstheme="majorBidi" w:eastAsiaTheme="majorEastAsia" w:hAnsiTheme="majorHAnsi"/>
      <w:color w:val="2E74B5" w:themeColor="accent1" w:themeShade="bf"/>
      <w:sz w:val="32"/>
      <w:szCs w:val="32"/>
    </w:rPr>
  </w:style>
  <w:style w:type="character" w:styleId="LienInternet">
    <w:name w:val="Lien Internet"/>
    <w:basedOn w:val="DefaultParagraphFont"/>
    <w:uiPriority w:val="99"/>
    <w:unhideWhenUsed/>
    <w:rsid w:val="000b5f56"/>
    <w:rPr>
      <w:color w:val="0563C1" w:themeColor="hyperlink"/>
      <w:u w:val="single"/>
    </w:rPr>
  </w:style>
  <w:style w:type="character" w:styleId="Annotationreference">
    <w:name w:val="annotation reference"/>
    <w:basedOn w:val="DefaultParagraphFont"/>
    <w:uiPriority w:val="99"/>
    <w:semiHidden/>
    <w:unhideWhenUsed/>
    <w:qFormat/>
    <w:rsid w:val="000b5f56"/>
    <w:rPr>
      <w:sz w:val="16"/>
      <w:szCs w:val="16"/>
    </w:rPr>
  </w:style>
  <w:style w:type="character" w:styleId="CommentaireCar" w:customStyle="1">
    <w:name w:val="Commentaire Car"/>
    <w:basedOn w:val="DefaultParagraphFont"/>
    <w:link w:val="Commentaire"/>
    <w:uiPriority w:val="99"/>
    <w:semiHidden/>
    <w:qFormat/>
    <w:rsid w:val="000b5f56"/>
    <w:rPr>
      <w:sz w:val="20"/>
      <w:szCs w:val="20"/>
    </w:rPr>
  </w:style>
  <w:style w:type="character" w:styleId="TextedebullesCar" w:customStyle="1">
    <w:name w:val="Texte de bulles Car"/>
    <w:basedOn w:val="DefaultParagraphFont"/>
    <w:link w:val="Textedebulles"/>
    <w:uiPriority w:val="99"/>
    <w:semiHidden/>
    <w:qFormat/>
    <w:rsid w:val="000b5f56"/>
    <w:rPr>
      <w:rFonts w:ascii="Segoe UI" w:hAnsi="Segoe UI" w:cs="Segoe UI"/>
      <w:sz w:val="18"/>
      <w:szCs w:val="18"/>
    </w:rPr>
  </w:style>
  <w:style w:type="paragraph" w:styleId="Titre">
    <w:name w:val="Titre"/>
    <w:basedOn w:val="Normal"/>
    <w:next w:val="Corpsdetexte"/>
    <w:qFormat/>
    <w:pPr>
      <w:keepNext w:val="true"/>
      <w:spacing w:before="240" w:after="120"/>
    </w:pPr>
    <w:rPr>
      <w:rFonts w:ascii="Liberation Sans" w:hAnsi="Liberation Sans" w:eastAsia="Microsoft YaHei" w:cs="Arial Unicode MS"/>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Unicode MS"/>
    </w:rPr>
  </w:style>
  <w:style w:type="paragraph" w:styleId="Lgende">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stParagraph">
    <w:name w:val="List Paragraph"/>
    <w:basedOn w:val="Normal"/>
    <w:uiPriority w:val="34"/>
    <w:qFormat/>
    <w:rsid w:val="000b5f56"/>
    <w:pPr>
      <w:spacing w:before="0" w:after="160"/>
      <w:ind w:left="720" w:hanging="0"/>
      <w:contextualSpacing/>
    </w:pPr>
    <w:rPr/>
  </w:style>
  <w:style w:type="paragraph" w:styleId="NormalWeb">
    <w:name w:val="Normal (Web)"/>
    <w:basedOn w:val="Normal"/>
    <w:uiPriority w:val="99"/>
    <w:unhideWhenUsed/>
    <w:qFormat/>
    <w:rsid w:val="000b5f56"/>
    <w:pPr>
      <w:spacing w:lineRule="auto" w:line="240" w:beforeAutospacing="1" w:afterAutospacing="1"/>
    </w:pPr>
    <w:rPr>
      <w:rFonts w:ascii="Times New Roman" w:hAnsi="Times New Roman" w:eastAsia="Times New Roman" w:cs="Times New Roman"/>
      <w:sz w:val="24"/>
      <w:szCs w:val="24"/>
      <w:lang w:eastAsia="fr-FR"/>
    </w:rPr>
  </w:style>
  <w:style w:type="paragraph" w:styleId="Annotationtext">
    <w:name w:val="annotation text"/>
    <w:basedOn w:val="Normal"/>
    <w:link w:val="CommentaireCar"/>
    <w:uiPriority w:val="99"/>
    <w:semiHidden/>
    <w:unhideWhenUsed/>
    <w:qFormat/>
    <w:rsid w:val="000b5f56"/>
    <w:pPr>
      <w:spacing w:lineRule="auto" w:line="240"/>
    </w:pPr>
    <w:rPr>
      <w:sz w:val="20"/>
      <w:szCs w:val="20"/>
    </w:rPr>
  </w:style>
  <w:style w:type="paragraph" w:styleId="BalloonText">
    <w:name w:val="Balloon Text"/>
    <w:basedOn w:val="Normal"/>
    <w:link w:val="TextedebullesCar"/>
    <w:uiPriority w:val="99"/>
    <w:semiHidden/>
    <w:unhideWhenUsed/>
    <w:qFormat/>
    <w:rsid w:val="000b5f56"/>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abd-asso.org/documentations/evaluation/une-nouvelle-typologie-pour-les-bibliotheques/" TargetMode="External"/><Relationship Id="rId3" Type="http://schemas.openxmlformats.org/officeDocument/2006/relationships/hyperlink" Target="" TargetMode="External"/><Relationship Id="rId4" Type="http://schemas.openxmlformats.org/officeDocument/2006/relationships/hyperlink" Target="https://www.culture.gouv.fr/fr/thematiques/livre-et-lecture/pour-les-professionnels-des-bibliotheques/donnees-sur-les-bibliotheques/activites-des-bibliotheques-syntheses-annuelles"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LibreOffice/7.1.7.2$Windows_x86 LibreOffice_project/c6a4e3954236145e2acb0b65f68614365aeee33f</Application>
  <AppVersion>15.0000</AppVersion>
  <Pages>3</Pages>
  <Words>850</Words>
  <Characters>5042</Characters>
  <CharactersWithSpaces>5823</CharactersWithSpaces>
  <Paragraphs>63</Paragraphs>
  <Company>Ministère de la Culture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2025-05-23T17:41:22Z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