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8"/>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CE6ADC3"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Alain DI CRE</w:t>
      </w:r>
      <w:r w:rsidR="00D51541">
        <w:rPr>
          <w:rFonts w:ascii="Calibri Light" w:hAnsi="Calibri Light" w:cs="Calibri Light"/>
        </w:rPr>
        <w:t>SC</w:t>
      </w:r>
      <w:r w:rsidR="004C078C">
        <w:rPr>
          <w:rFonts w:ascii="Calibri Light" w:hAnsi="Calibri Light" w:cs="Calibri Light"/>
        </w:rPr>
        <w:t>EN</w:t>
      </w:r>
      <w:r w:rsidR="00D51541">
        <w:rPr>
          <w:rFonts w:ascii="Calibri Light" w:hAnsi="Calibri Light" w:cs="Calibri Light"/>
        </w:rPr>
        <w:t>Z</w:t>
      </w:r>
      <w:r w:rsidR="004C078C">
        <w:rPr>
          <w:rFonts w:ascii="Calibri Light" w:hAnsi="Calibri Light" w:cs="Calibri Light"/>
        </w:rPr>
        <w:t xml:space="preserve">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l'origine</w:t>
      </w:r>
      <w:proofErr w:type="gramEnd"/>
      <w:r w:rsidRPr="00E35BB3">
        <w:rPr>
          <w:rFonts w:ascii="Calibri Light" w:hAnsi="Calibri Light" w:cs="Calibri Light"/>
        </w:rPr>
        <w:t xml:space="preserv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la</w:t>
      </w:r>
      <w:proofErr w:type="gramEnd"/>
      <w:r w:rsidRPr="00E35BB3">
        <w:rPr>
          <w:rFonts w:ascii="Calibri Light" w:hAnsi="Calibri Light" w:cs="Calibri Light"/>
        </w:rPr>
        <w:t xml:space="preserve">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les</w:t>
      </w:r>
      <w:proofErr w:type="gramEnd"/>
      <w:r w:rsidRPr="00E35BB3">
        <w:rPr>
          <w:rFonts w:ascii="Calibri Light" w:hAnsi="Calibri Light" w:cs="Calibri Light"/>
        </w:rPr>
        <w:t xml:space="preserve">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xml:space="preserve">« </w:t>
      </w:r>
      <w:proofErr w:type="gramStart"/>
      <w:r w:rsidRPr="00E35BB3">
        <w:rPr>
          <w:rFonts w:ascii="Calibri Light" w:hAnsi="Calibri Light" w:cs="Calibri Light"/>
        </w:rPr>
        <w:t>sous</w:t>
      </w:r>
      <w:proofErr w:type="gramEnd"/>
      <w:r w:rsidRPr="00E35BB3">
        <w:rPr>
          <w:rFonts w:ascii="Calibri Light" w:hAnsi="Calibri Light" w:cs="Calibri Light"/>
        </w:rPr>
        <w:t>-Sous-traitant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20BF196"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w:t>
      </w:r>
      <w:proofErr w:type="gramStart"/>
      <w:r w:rsidRPr="00E35BB3">
        <w:rPr>
          <w:rFonts w:ascii="Calibri Light" w:hAnsi="Calibri Light" w:cs="Calibri Light"/>
        </w:rPr>
        <w:t xml:space="preserve">Accord  </w:t>
      </w:r>
      <w:r w:rsidR="00776EE1" w:rsidRPr="00E35BB3">
        <w:rPr>
          <w:rFonts w:ascii="Calibri Light" w:hAnsi="Calibri Light" w:cs="Calibri Light"/>
        </w:rPr>
        <w:t>prend</w:t>
      </w:r>
      <w:proofErr w:type="gramEnd"/>
      <w:r w:rsidR="00776EE1" w:rsidRPr="00E35BB3">
        <w:rPr>
          <w:rFonts w:ascii="Calibri Light" w:hAnsi="Calibri Light" w:cs="Calibri Light"/>
        </w:rPr>
        <w:t xml:space="preserve">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w:t>
      </w:r>
      <w:proofErr w:type="gramStart"/>
      <w:r w:rsidR="00E11D62" w:rsidRPr="00E35BB3">
        <w:rPr>
          <w:rFonts w:ascii="Calibri Light" w:hAnsi="Calibri Light" w:cs="Calibri Light"/>
        </w:rPr>
        <w:t>RGPD</w:t>
      </w:r>
      <w:r w:rsidR="0073552F" w:rsidRPr="00E35BB3">
        <w:rPr>
          <w:rFonts w:ascii="Calibri Light" w:hAnsi="Calibri Light" w:cs="Calibri Light"/>
        </w:rPr>
        <w:t>;</w:t>
      </w:r>
      <w:proofErr w:type="gramEnd"/>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à</w:t>
      </w:r>
      <w:proofErr w:type="gramEnd"/>
      <w:r w:rsidRPr="00E35BB3">
        <w:rPr>
          <w:rFonts w:ascii="Calibri Light" w:hAnsi="Calibri Light" w:cs="Calibri Light"/>
        </w:rPr>
        <w:t xml:space="preserve">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ne</w:t>
      </w:r>
      <w:proofErr w:type="gramEnd"/>
      <w:r w:rsidRPr="00E35BB3">
        <w:rPr>
          <w:rFonts w:ascii="Calibri Light" w:hAnsi="Calibri Light" w:cs="Calibri Light"/>
        </w:rPr>
        <w:t xml:space="preserv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veiller</w:t>
      </w:r>
      <w:proofErr w:type="gramEnd"/>
      <w:r w:rsidRPr="00E35BB3">
        <w:rPr>
          <w:rFonts w:ascii="Calibri Light" w:hAnsi="Calibri Light" w:cs="Calibri Light"/>
        </w:rPr>
        <w:t xml:space="preserve">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proofErr w:type="gramStart"/>
      <w:r w:rsidRPr="00E35BB3">
        <w:rPr>
          <w:rFonts w:ascii="Calibri Light" w:hAnsi="Calibri Light" w:cs="Calibri Light"/>
        </w:rPr>
        <w:t>ne</w:t>
      </w:r>
      <w:proofErr w:type="gramEnd"/>
      <w:r w:rsidRPr="00E35BB3">
        <w:rPr>
          <w:rFonts w:ascii="Calibri Light" w:hAnsi="Calibri Light" w:cs="Calibri Light"/>
        </w:rPr>
        <w:t xml:space="preserv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 xml:space="preserve">ous-traitant, celui-ci présente les mêmes garanties suffisantes quant à la mise en œuvre des mesures techniques et organisationnelles appropriées </w:t>
      </w:r>
      <w:proofErr w:type="gramStart"/>
      <w:r w:rsidRPr="00E35BB3">
        <w:rPr>
          <w:rFonts w:ascii="Calibri Light" w:hAnsi="Calibri Light" w:cs="Calibri Light"/>
        </w:rPr>
        <w:t>de manière à ce</w:t>
      </w:r>
      <w:proofErr w:type="gramEnd"/>
      <w:r w:rsidRPr="00E35BB3">
        <w:rPr>
          <w:rFonts w:ascii="Calibri Light" w:hAnsi="Calibri Light" w:cs="Calibri Light"/>
        </w:rPr>
        <w:t xml:space="preserv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5EBBA754"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w:t>
      </w:r>
      <w:r w:rsidRPr="003F416F">
        <w:rPr>
          <w:rFonts w:ascii="Calibri Light" w:hAnsi="Calibri Light" w:cs="Calibri Light"/>
        </w:rPr>
        <w:t xml:space="preserve">données confidentielles, le Sous-traitant informera </w:t>
      </w:r>
      <w:r w:rsidR="00314149" w:rsidRPr="003F416F">
        <w:rPr>
          <w:rFonts w:ascii="Calibri Light" w:hAnsi="Calibri Light" w:cs="Calibri Light"/>
        </w:rPr>
        <w:t>CCI France</w:t>
      </w:r>
      <w:r w:rsidRPr="003F416F">
        <w:rPr>
          <w:rFonts w:ascii="Calibri Light" w:hAnsi="Calibri Light" w:cs="Calibri Light"/>
        </w:rPr>
        <w:t xml:space="preserve"> immédiatement et sans délai injustifié et en tous les cas pas plus tard que 24 heures après la découverte de l'incident</w:t>
      </w:r>
      <w:r w:rsidR="00972295" w:rsidRPr="003F416F">
        <w:rPr>
          <w:rFonts w:ascii="Calibri Light" w:hAnsi="Calibri Light" w:cs="Calibri Light"/>
        </w:rPr>
        <w:t xml:space="preserve">, à l’adresse suivante : </w:t>
      </w:r>
      <w:hyperlink r:id="rId9" w:history="1">
        <w:r w:rsidR="00A31F16" w:rsidRPr="003F416F">
          <w:rPr>
            <w:rStyle w:val="Lienhypertexte"/>
          </w:rPr>
          <w:t>dpo@ccifrance.fr</w:t>
        </w:r>
      </w:hyperlink>
      <w:r w:rsidR="00A31F16" w:rsidRPr="003F416F">
        <w:t xml:space="preserve"> </w:t>
      </w:r>
      <w:r w:rsidR="00610B7B" w:rsidRPr="003F416F">
        <w:rPr>
          <w:rFonts w:ascii="Calibri Light" w:hAnsi="Calibri Light" w:cs="Calibri Light"/>
        </w:rPr>
        <w:t xml:space="preserve">et </w:t>
      </w:r>
      <w:proofErr w:type="gramStart"/>
      <w:r w:rsidR="003F416F" w:rsidRPr="003F416F">
        <w:rPr>
          <w:rFonts w:ascii="Calibri Light" w:hAnsi="Calibri Light" w:cs="Calibri Light"/>
        </w:rPr>
        <w:t>charlotte.robinot</w:t>
      </w:r>
      <w:r w:rsidR="00BA71F7" w:rsidRPr="003F416F">
        <w:rPr>
          <w:rFonts w:ascii="Calibri Light" w:hAnsi="Calibri Light" w:cs="Calibri Light"/>
        </w:rPr>
        <w:t>@ccifrance.fr</w:t>
      </w:r>
      <w:r w:rsidRPr="003F416F">
        <w:rPr>
          <w:rFonts w:ascii="Calibri Light" w:hAnsi="Calibri Light" w:cs="Calibri Light"/>
        </w:rPr>
        <w:t xml:space="preserve"> </w:t>
      </w:r>
      <w:r w:rsidR="00805B7E" w:rsidRPr="003F416F">
        <w:rPr>
          <w:rFonts w:ascii="Calibri Light" w:hAnsi="Calibri Light" w:cs="Calibri Light"/>
        </w:rPr>
        <w:t>.</w:t>
      </w:r>
      <w:proofErr w:type="gramEnd"/>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proofErr w:type="gramStart"/>
      <w:r w:rsidR="00E35BB3" w:rsidRPr="00E35BB3">
        <w:rPr>
          <w:rFonts w:ascii="Calibri Light" w:hAnsi="Calibri Light" w:cs="Calibri Light"/>
        </w:rPr>
        <w:t>identifi</w:t>
      </w:r>
      <w:r w:rsidR="00E20E2D">
        <w:rPr>
          <w:rFonts w:ascii="Calibri Light" w:hAnsi="Calibri Light" w:cs="Calibri Light"/>
        </w:rPr>
        <w:t>é</w:t>
      </w:r>
      <w:proofErr w:type="gramEnd"/>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w:t>
      </w:r>
      <w:proofErr w:type="gramStart"/>
      <w:r w:rsidR="00E14FA1" w:rsidRPr="00E20E2D">
        <w:rPr>
          <w:rFonts w:ascii="Calibri Light" w:hAnsi="Calibri Light" w:cs="Calibri Light"/>
        </w:rPr>
        <w:t xml:space="preserve">ou </w:t>
      </w:r>
      <w:r w:rsidRPr="00E20E2D">
        <w:rPr>
          <w:rFonts w:ascii="Calibri Light" w:hAnsi="Calibri Light" w:cs="Calibri Light"/>
        </w:rPr>
        <w:t xml:space="preserve"> </w:t>
      </w:r>
      <w:r w:rsidR="00ED2697" w:rsidRPr="00E20E2D">
        <w:rPr>
          <w:rFonts w:ascii="Calibri Light" w:hAnsi="Calibri Light" w:cs="Calibri Light"/>
        </w:rPr>
        <w:t>au</w:t>
      </w:r>
      <w:proofErr w:type="gramEnd"/>
      <w:r w:rsidR="00ED2697" w:rsidRPr="00E20E2D">
        <w:rPr>
          <w:rFonts w:ascii="Calibri Light" w:hAnsi="Calibri Light" w:cs="Calibri Light"/>
        </w:rPr>
        <w:t xml:space="preserve">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0"/>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237B4064" w14:textId="2D9CE736" w:rsidR="00C73AFD" w:rsidRPr="00E20E2D" w:rsidRDefault="003F416F" w:rsidP="00706A1F">
      <w:pPr>
        <w:jc w:val="center"/>
        <w:rPr>
          <w:rFonts w:ascii="Calibri Light" w:hAnsi="Calibri Light" w:cs="Calibri Light"/>
          <w:i/>
          <w:sz w:val="28"/>
        </w:rPr>
      </w:pPr>
      <w:r>
        <w:rPr>
          <w:rFonts w:ascii="Calibri Light" w:hAnsi="Calibri Light" w:cs="Calibri Light"/>
          <w:i/>
        </w:rPr>
        <w:t>Outil de vote ne ligne pour les élections des CSE des CCI</w:t>
      </w: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w:t>
      </w:r>
      <w:proofErr w:type="gramStart"/>
      <w:r w:rsidR="00CC1144" w:rsidRPr="00E20E2D">
        <w:rPr>
          <w:rFonts w:ascii="Calibri Light" w:hAnsi="Calibri Light" w:cs="Calibri Light"/>
          <w:i/>
          <w:highlight w:val="yellow"/>
        </w:rPr>
        <w:t>email</w:t>
      </w:r>
      <w:proofErr w:type="gramEnd"/>
      <w:r w:rsidR="00CC1144" w:rsidRPr="00E20E2D">
        <w:rPr>
          <w:rFonts w:ascii="Calibri Light" w:hAnsi="Calibri Light" w:cs="Calibri Light"/>
          <w:i/>
          <w:highlight w:val="yellow"/>
        </w:rPr>
        <w:t xml:space="preserve">, adresse postale </w:t>
      </w:r>
      <w:proofErr w:type="spellStart"/>
      <w:r w:rsidR="00CC1144" w:rsidRPr="00E20E2D">
        <w:rPr>
          <w:rFonts w:ascii="Calibri Light" w:hAnsi="Calibri Light" w:cs="Calibri Light"/>
          <w:i/>
          <w:highlight w:val="yellow"/>
        </w:rPr>
        <w:t>etc</w:t>
      </w:r>
      <w:proofErr w:type="spellEnd"/>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10143B"/>
    <w:rsid w:val="00102E6B"/>
    <w:rsid w:val="00110BB1"/>
    <w:rsid w:val="0011453F"/>
    <w:rsid w:val="001170A3"/>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16F"/>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5DA1"/>
    <w:rsid w:val="006E6C60"/>
    <w:rsid w:val="006E7A6F"/>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D73B7"/>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B1920"/>
    <w:rsid w:val="00CB5A7E"/>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541"/>
    <w:rsid w:val="00D51B69"/>
    <w:rsid w:val="00D60548"/>
    <w:rsid w:val="00D6198C"/>
    <w:rsid w:val="00D623F4"/>
    <w:rsid w:val="00D62A85"/>
    <w:rsid w:val="00D6551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ci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3801</Words>
  <Characters>20907</Characters>
  <Application>Microsoft Office Word</Application>
  <DocSecurity>0</DocSecurity>
  <Lines>174</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4</cp:revision>
  <dcterms:created xsi:type="dcterms:W3CDTF">2024-09-17T07:25:00Z</dcterms:created>
  <dcterms:modified xsi:type="dcterms:W3CDTF">2025-11-05T13:48:00Z</dcterms:modified>
</cp:coreProperties>
</file>