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A47" w:rsidRPr="0030718D" w:rsidRDefault="002A6A47" w:rsidP="002A6A47">
      <w:pPr>
        <w:pStyle w:val="Titre1"/>
        <w:numPr>
          <w:ilvl w:val="0"/>
          <w:numId w:val="0"/>
        </w:numPr>
        <w:pBdr>
          <w:top w:val="single" w:sz="4" w:space="4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C0C0C0"/>
        <w:ind w:left="-180"/>
        <w:jc w:val="center"/>
      </w:pPr>
      <w:r w:rsidRPr="0030718D">
        <w:t xml:space="preserve">Annexe </w:t>
      </w:r>
      <w:proofErr w:type="spellStart"/>
      <w:r w:rsidRPr="0030718D">
        <w:t>n°</w:t>
      </w:r>
      <w:r w:rsidR="00FD7D98">
        <w:t>xx</w:t>
      </w:r>
      <w:proofErr w:type="spellEnd"/>
      <w:r w:rsidRPr="0030718D">
        <w:t xml:space="preserve"> au marché </w:t>
      </w:r>
      <w:r>
        <w:t>4000</w:t>
      </w:r>
      <w:r w:rsidR="00FD7D98">
        <w:t>x</w:t>
      </w:r>
      <w:r>
        <w:t>xxxx</w:t>
      </w:r>
    </w:p>
    <w:p w:rsidR="002A6A47" w:rsidRDefault="002A6A47" w:rsidP="002A6A47">
      <w:pPr>
        <w:pStyle w:val="Titre1"/>
        <w:numPr>
          <w:ilvl w:val="0"/>
          <w:numId w:val="0"/>
        </w:numPr>
        <w:pBdr>
          <w:top w:val="single" w:sz="4" w:space="4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C0C0C0"/>
        <w:ind w:left="-180"/>
        <w:jc w:val="center"/>
      </w:pPr>
      <w:r w:rsidRPr="0030718D">
        <w:t xml:space="preserve">BAREME DE REMBOURSEMENT DES FRAIS DE DEPLACEMENT </w:t>
      </w:r>
    </w:p>
    <w:p w:rsidR="002A6A47" w:rsidRPr="0030718D" w:rsidRDefault="002A6A47" w:rsidP="002A6A47">
      <w:pPr>
        <w:pStyle w:val="Titre1"/>
        <w:numPr>
          <w:ilvl w:val="0"/>
          <w:numId w:val="0"/>
        </w:numPr>
        <w:pBdr>
          <w:top w:val="single" w:sz="4" w:space="4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C0C0C0"/>
        <w:ind w:left="-180"/>
        <w:jc w:val="center"/>
      </w:pPr>
      <w:r w:rsidRPr="0030718D">
        <w:t>DES ENTREPRISES</w:t>
      </w:r>
      <w:r>
        <w:t xml:space="preserve"> EXTERIEURES</w:t>
      </w:r>
      <w:r w:rsidRPr="0030718D">
        <w:t xml:space="preserve"> </w:t>
      </w:r>
    </w:p>
    <w:p w:rsidR="002A6A47" w:rsidRDefault="00AF265E" w:rsidP="002A6A47">
      <w:pPr>
        <w:pStyle w:val="Titre1"/>
        <w:numPr>
          <w:ilvl w:val="0"/>
          <w:numId w:val="0"/>
        </w:numPr>
        <w:pBdr>
          <w:top w:val="single" w:sz="4" w:space="4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C0C0C0"/>
        <w:ind w:left="-180"/>
        <w:jc w:val="center"/>
      </w:pPr>
      <w:r>
        <w:t>(</w:t>
      </w:r>
      <w:r w:rsidR="00B21528">
        <w:t>Applicable</w:t>
      </w:r>
      <w:r>
        <w:t xml:space="preserve"> </w:t>
      </w:r>
      <w:r w:rsidR="003319FE">
        <w:t>à compter du</w:t>
      </w:r>
      <w:r w:rsidR="00FD7D98">
        <w:t xml:space="preserve"> </w:t>
      </w:r>
      <w:r w:rsidR="003319FE">
        <w:t>01</w:t>
      </w:r>
      <w:r>
        <w:t>/</w:t>
      </w:r>
      <w:r w:rsidR="003319FE">
        <w:t>01</w:t>
      </w:r>
      <w:r>
        <w:t>/</w:t>
      </w:r>
      <w:r w:rsidR="002D0DCF">
        <w:t>20</w:t>
      </w:r>
      <w:r w:rsidR="003319FE">
        <w:t>23</w:t>
      </w:r>
      <w:r w:rsidR="002A6A47" w:rsidRPr="0030718D">
        <w:t>)</w:t>
      </w:r>
    </w:p>
    <w:p w:rsidR="000479D0" w:rsidRDefault="000479D0" w:rsidP="000479D0">
      <w:pPr>
        <w:jc w:val="both"/>
        <w:rPr>
          <w:rFonts w:ascii="Arial" w:hAnsi="Arial"/>
          <w:sz w:val="22"/>
          <w:szCs w:val="22"/>
        </w:rPr>
      </w:pPr>
    </w:p>
    <w:p w:rsidR="002A6A47" w:rsidRPr="00D8209D" w:rsidRDefault="002A6A47" w:rsidP="000479D0">
      <w:pPr>
        <w:jc w:val="both"/>
        <w:rPr>
          <w:rFonts w:ascii="Arial" w:hAnsi="Arial"/>
          <w:sz w:val="22"/>
          <w:szCs w:val="22"/>
        </w:rPr>
      </w:pPr>
      <w:r w:rsidRPr="00D8209D">
        <w:rPr>
          <w:rFonts w:ascii="Arial" w:hAnsi="Arial"/>
          <w:sz w:val="22"/>
          <w:szCs w:val="22"/>
        </w:rPr>
        <w:t xml:space="preserve">Les frais de transport et de séjour du personnel du Titulaire de </w:t>
      </w:r>
      <w:r w:rsidR="00750961">
        <w:rPr>
          <w:rFonts w:ascii="Arial" w:hAnsi="Arial"/>
          <w:sz w:val="22"/>
          <w:szCs w:val="22"/>
        </w:rPr>
        <w:t>marchés</w:t>
      </w:r>
      <w:r w:rsidRPr="00D8209D">
        <w:rPr>
          <w:rFonts w:ascii="Arial" w:hAnsi="Arial"/>
          <w:sz w:val="22"/>
          <w:szCs w:val="22"/>
        </w:rPr>
        <w:t xml:space="preserve"> passés avec le CEA, lui sont remboursés sur production de pièces justificatives et sans majoration d'aucune sorte selon les barèmes ci-après. </w:t>
      </w:r>
    </w:p>
    <w:p w:rsidR="002A6A47" w:rsidRPr="00D8209D" w:rsidRDefault="002A6A47" w:rsidP="000479D0">
      <w:pPr>
        <w:jc w:val="both"/>
        <w:rPr>
          <w:rFonts w:ascii="Arial" w:hAnsi="Arial"/>
          <w:sz w:val="22"/>
          <w:szCs w:val="22"/>
        </w:rPr>
      </w:pPr>
    </w:p>
    <w:p w:rsidR="002A6A47" w:rsidRPr="00D8209D" w:rsidRDefault="002A6A47" w:rsidP="000479D0">
      <w:pPr>
        <w:jc w:val="both"/>
        <w:rPr>
          <w:rFonts w:ascii="Arial" w:hAnsi="Arial"/>
          <w:b/>
          <w:sz w:val="22"/>
          <w:szCs w:val="22"/>
        </w:rPr>
      </w:pPr>
      <w:r w:rsidRPr="00D8209D">
        <w:rPr>
          <w:rFonts w:ascii="Arial" w:hAnsi="Arial"/>
          <w:b/>
          <w:sz w:val="22"/>
          <w:szCs w:val="22"/>
        </w:rPr>
        <w:t xml:space="preserve">1 </w:t>
      </w:r>
      <w:r w:rsidRPr="00D8209D">
        <w:rPr>
          <w:rFonts w:ascii="Arial" w:hAnsi="Arial" w:cs="Arial"/>
          <w:b/>
          <w:sz w:val="20"/>
          <w:szCs w:val="20"/>
          <w:u w:val="single"/>
        </w:rPr>
        <w:t>- FRAIS DE TRANSPORT</w:t>
      </w:r>
    </w:p>
    <w:p w:rsidR="002A6A47" w:rsidRPr="00B43E71" w:rsidRDefault="002A6A47" w:rsidP="000479D0">
      <w:pPr>
        <w:jc w:val="both"/>
        <w:rPr>
          <w:rFonts w:ascii="Arial" w:hAnsi="Arial"/>
          <w:sz w:val="16"/>
          <w:szCs w:val="16"/>
        </w:rPr>
      </w:pPr>
    </w:p>
    <w:p w:rsidR="002A6A47" w:rsidRPr="00D8209D" w:rsidRDefault="002A6A47" w:rsidP="000479D0">
      <w:pPr>
        <w:jc w:val="both"/>
        <w:rPr>
          <w:rFonts w:ascii="Arial" w:hAnsi="Arial"/>
          <w:sz w:val="22"/>
          <w:szCs w:val="22"/>
        </w:rPr>
      </w:pPr>
      <w:r w:rsidRPr="00D8209D">
        <w:rPr>
          <w:rFonts w:ascii="Arial" w:hAnsi="Arial"/>
          <w:sz w:val="22"/>
          <w:szCs w:val="22"/>
        </w:rPr>
        <w:t>D’une façon générale, les frais de déplacement sont remboursés sur la base des frais de transports en commun. Les autres modes de transport sont utilisés à titre exceptionnel.</w:t>
      </w:r>
    </w:p>
    <w:p w:rsidR="002A6A47" w:rsidRPr="00B43E71" w:rsidRDefault="002A6A47" w:rsidP="000479D0">
      <w:pPr>
        <w:jc w:val="both"/>
        <w:rPr>
          <w:rFonts w:ascii="Arial" w:hAnsi="Arial"/>
          <w:sz w:val="16"/>
          <w:szCs w:val="16"/>
        </w:rPr>
      </w:pPr>
    </w:p>
    <w:p w:rsidR="002A6A47" w:rsidRPr="00D8209D" w:rsidRDefault="002A6A47" w:rsidP="000479D0">
      <w:pPr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1.1. </w:t>
      </w:r>
      <w:r w:rsidRPr="00D8209D">
        <w:rPr>
          <w:rFonts w:ascii="Arial" w:hAnsi="Arial"/>
          <w:b/>
          <w:sz w:val="22"/>
          <w:szCs w:val="22"/>
        </w:rPr>
        <w:t>Transports en commun</w:t>
      </w:r>
    </w:p>
    <w:p w:rsidR="002A6A47" w:rsidRDefault="002A6A47" w:rsidP="000479D0">
      <w:pPr>
        <w:jc w:val="both"/>
        <w:rPr>
          <w:rFonts w:ascii="Arial" w:hAnsi="Arial"/>
          <w:sz w:val="22"/>
          <w:szCs w:val="22"/>
        </w:rPr>
      </w:pPr>
    </w:p>
    <w:p w:rsidR="00D30B73" w:rsidRDefault="00D30B73" w:rsidP="000479D0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Les transports en commun utilisés sont les suivants : </w:t>
      </w:r>
    </w:p>
    <w:p w:rsidR="00D30B73" w:rsidRDefault="00D30B73" w:rsidP="00D30B73">
      <w:pPr>
        <w:pStyle w:val="Paragraphedeliste"/>
        <w:numPr>
          <w:ilvl w:val="0"/>
          <w:numId w:val="2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AVION : CLASSE Eco</w:t>
      </w:r>
    </w:p>
    <w:p w:rsidR="00D30B73" w:rsidRPr="00B21528" w:rsidRDefault="00D30B73" w:rsidP="00D30B73">
      <w:pPr>
        <w:pStyle w:val="Paragraphedeliste"/>
        <w:numPr>
          <w:ilvl w:val="0"/>
          <w:numId w:val="2"/>
        </w:numPr>
        <w:jc w:val="both"/>
        <w:rPr>
          <w:rFonts w:ascii="Arial" w:hAnsi="Arial"/>
          <w:sz w:val="22"/>
          <w:szCs w:val="22"/>
          <w:highlight w:val="yellow"/>
        </w:rPr>
      </w:pPr>
      <w:r>
        <w:rPr>
          <w:rFonts w:ascii="Arial" w:hAnsi="Arial"/>
          <w:sz w:val="22"/>
          <w:szCs w:val="22"/>
        </w:rPr>
        <w:t>TRAIN : 2</w:t>
      </w:r>
      <w:r w:rsidRPr="00D30B73">
        <w:rPr>
          <w:rFonts w:ascii="Arial" w:hAnsi="Arial"/>
          <w:sz w:val="22"/>
          <w:szCs w:val="22"/>
          <w:vertAlign w:val="superscript"/>
        </w:rPr>
        <w:t>nde</w:t>
      </w:r>
      <w:r>
        <w:rPr>
          <w:rFonts w:ascii="Arial" w:hAnsi="Arial"/>
          <w:sz w:val="22"/>
          <w:szCs w:val="22"/>
        </w:rPr>
        <w:t xml:space="preserve"> CLASSE</w:t>
      </w:r>
      <w:r w:rsidR="002D4025">
        <w:rPr>
          <w:rFonts w:ascii="Arial" w:hAnsi="Arial"/>
          <w:sz w:val="22"/>
          <w:szCs w:val="22"/>
        </w:rPr>
        <w:t xml:space="preserve"> </w:t>
      </w:r>
      <w:r w:rsidR="002D4025" w:rsidRPr="00B21528">
        <w:rPr>
          <w:rFonts w:ascii="Arial" w:hAnsi="Arial"/>
          <w:sz w:val="22"/>
          <w:szCs w:val="22"/>
          <w:highlight w:val="yellow"/>
        </w:rPr>
        <w:t>OU 1</w:t>
      </w:r>
      <w:r w:rsidR="002D4025" w:rsidRPr="00B21528">
        <w:rPr>
          <w:rFonts w:ascii="Arial" w:hAnsi="Arial"/>
          <w:sz w:val="22"/>
          <w:szCs w:val="22"/>
          <w:highlight w:val="yellow"/>
          <w:vertAlign w:val="superscript"/>
        </w:rPr>
        <w:t xml:space="preserve">ere </w:t>
      </w:r>
      <w:r w:rsidR="002D4025" w:rsidRPr="00B21528">
        <w:rPr>
          <w:rFonts w:ascii="Arial" w:hAnsi="Arial"/>
          <w:sz w:val="22"/>
          <w:szCs w:val="22"/>
          <w:highlight w:val="yellow"/>
        </w:rPr>
        <w:t>CLASSE (si conseiller ou expert)</w:t>
      </w:r>
    </w:p>
    <w:p w:rsidR="002A6A47" w:rsidRPr="00D8209D" w:rsidRDefault="002A6A47" w:rsidP="000479D0">
      <w:pPr>
        <w:jc w:val="both"/>
        <w:rPr>
          <w:rFonts w:ascii="Arial" w:hAnsi="Arial"/>
          <w:sz w:val="22"/>
          <w:szCs w:val="22"/>
        </w:rPr>
      </w:pPr>
    </w:p>
    <w:p w:rsidR="002A6A47" w:rsidRPr="00D8209D" w:rsidRDefault="002A6A47" w:rsidP="000479D0">
      <w:pPr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1.2. </w:t>
      </w:r>
      <w:r w:rsidRPr="00D8209D">
        <w:rPr>
          <w:rFonts w:ascii="Arial" w:hAnsi="Arial"/>
          <w:b/>
          <w:sz w:val="22"/>
          <w:szCs w:val="22"/>
        </w:rPr>
        <w:t>Utilisation d’un véhicule person</w:t>
      </w:r>
      <w:r w:rsidR="000479D0">
        <w:rPr>
          <w:rFonts w:ascii="Arial" w:hAnsi="Arial"/>
          <w:b/>
          <w:sz w:val="22"/>
          <w:szCs w:val="22"/>
        </w:rPr>
        <w:t xml:space="preserve">nel </w:t>
      </w:r>
    </w:p>
    <w:p w:rsidR="000479D0" w:rsidRDefault="000479D0" w:rsidP="00755B53">
      <w:pPr>
        <w:jc w:val="both"/>
        <w:rPr>
          <w:rFonts w:ascii="Arial" w:hAnsi="Arial"/>
          <w:sz w:val="22"/>
          <w:szCs w:val="22"/>
        </w:rPr>
      </w:pPr>
    </w:p>
    <w:p w:rsidR="000479D0" w:rsidRDefault="002A6A47" w:rsidP="000479D0">
      <w:pPr>
        <w:jc w:val="both"/>
        <w:rPr>
          <w:rFonts w:ascii="Arial" w:hAnsi="Arial"/>
          <w:sz w:val="22"/>
          <w:szCs w:val="22"/>
        </w:rPr>
      </w:pPr>
      <w:r w:rsidRPr="00D8209D">
        <w:rPr>
          <w:rFonts w:ascii="Arial" w:hAnsi="Arial"/>
          <w:sz w:val="22"/>
          <w:szCs w:val="22"/>
        </w:rPr>
        <w:t xml:space="preserve">Les </w:t>
      </w:r>
      <w:r w:rsidR="003319FE">
        <w:rPr>
          <w:rFonts w:ascii="Arial" w:hAnsi="Arial"/>
          <w:sz w:val="22"/>
          <w:szCs w:val="22"/>
        </w:rPr>
        <w:t>indemnités kilométriques</w:t>
      </w:r>
      <w:r w:rsidR="00750961">
        <w:rPr>
          <w:rFonts w:ascii="Arial" w:hAnsi="Arial"/>
          <w:sz w:val="22"/>
          <w:szCs w:val="22"/>
        </w:rPr>
        <w:t xml:space="preserve"> versées aux entreprises extérieures pour l’utilisation des véhicules de leur personnel</w:t>
      </w:r>
      <w:r w:rsidR="003319FE">
        <w:rPr>
          <w:rFonts w:ascii="Arial" w:hAnsi="Arial"/>
          <w:sz w:val="22"/>
          <w:szCs w:val="22"/>
        </w:rPr>
        <w:t> </w:t>
      </w:r>
      <w:r w:rsidRPr="00D8209D">
        <w:rPr>
          <w:rFonts w:ascii="Arial" w:hAnsi="Arial"/>
          <w:sz w:val="22"/>
          <w:szCs w:val="22"/>
        </w:rPr>
        <w:t xml:space="preserve">sont </w:t>
      </w:r>
      <w:r w:rsidR="00750961">
        <w:rPr>
          <w:rFonts w:ascii="Arial" w:hAnsi="Arial"/>
          <w:sz w:val="22"/>
          <w:szCs w:val="22"/>
        </w:rPr>
        <w:t xml:space="preserve">les </w:t>
      </w:r>
      <w:r w:rsidRPr="00D8209D">
        <w:rPr>
          <w:rFonts w:ascii="Arial" w:hAnsi="Arial"/>
          <w:sz w:val="22"/>
          <w:szCs w:val="22"/>
        </w:rPr>
        <w:t>suivant</w:t>
      </w:r>
      <w:r w:rsidR="00750961">
        <w:rPr>
          <w:rFonts w:ascii="Arial" w:hAnsi="Arial"/>
          <w:sz w:val="22"/>
          <w:szCs w:val="22"/>
        </w:rPr>
        <w:t>es</w:t>
      </w:r>
      <w:r w:rsidRPr="00D8209D">
        <w:rPr>
          <w:rFonts w:ascii="Arial" w:hAnsi="Arial"/>
          <w:sz w:val="22"/>
          <w:szCs w:val="22"/>
        </w:rPr>
        <w:t xml:space="preserve"> :</w:t>
      </w:r>
    </w:p>
    <w:p w:rsidR="00755B53" w:rsidRPr="00D8209D" w:rsidRDefault="00755B53" w:rsidP="000479D0">
      <w:pPr>
        <w:jc w:val="both"/>
        <w:rPr>
          <w:rFonts w:ascii="Arial" w:hAnsi="Arial"/>
          <w:sz w:val="22"/>
          <w:szCs w:val="22"/>
        </w:rPr>
      </w:pPr>
    </w:p>
    <w:tbl>
      <w:tblPr>
        <w:tblW w:w="855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1080"/>
        <w:gridCol w:w="1080"/>
        <w:gridCol w:w="1080"/>
        <w:gridCol w:w="1620"/>
        <w:gridCol w:w="48"/>
        <w:gridCol w:w="1669"/>
      </w:tblGrid>
      <w:tr w:rsidR="006A26C7" w:rsidRPr="00D8209D" w:rsidTr="009B5C0A">
        <w:trPr>
          <w:jc w:val="center"/>
        </w:trPr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26C7" w:rsidRPr="00D8209D" w:rsidRDefault="006A26C7" w:rsidP="000479D0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6577" w:type="dxa"/>
            <w:gridSpan w:val="6"/>
            <w:tcBorders>
              <w:left w:val="single" w:sz="4" w:space="0" w:color="auto"/>
            </w:tcBorders>
          </w:tcPr>
          <w:p w:rsidR="006A26C7" w:rsidRPr="00D8209D" w:rsidRDefault="006A26C7" w:rsidP="000479D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Catégorie et puissance fiscale des véhicules</w:t>
            </w:r>
          </w:p>
        </w:tc>
      </w:tr>
      <w:tr w:rsidR="006A26C7" w:rsidRPr="00D8209D" w:rsidTr="009B5C0A">
        <w:trPr>
          <w:jc w:val="center"/>
        </w:trPr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:rsidR="006A26C7" w:rsidRDefault="006A26C7" w:rsidP="00755B53">
            <w:pPr>
              <w:rPr>
                <w:rFonts w:ascii="Arial" w:hAnsi="Arial"/>
                <w:b/>
                <w:sz w:val="22"/>
                <w:szCs w:val="22"/>
              </w:rPr>
            </w:pPr>
          </w:p>
          <w:p w:rsidR="006A26C7" w:rsidRPr="00D8209D" w:rsidRDefault="006A26C7" w:rsidP="006A26C7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Nombre de kilomètres parcourus</w:t>
            </w:r>
          </w:p>
        </w:tc>
        <w:tc>
          <w:tcPr>
            <w:tcW w:w="1080" w:type="dxa"/>
          </w:tcPr>
          <w:p w:rsidR="006A26C7" w:rsidRDefault="006A26C7" w:rsidP="000479D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6A26C7" w:rsidRPr="00D8209D" w:rsidRDefault="003319FE" w:rsidP="000479D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≤</w:t>
            </w:r>
            <w:r w:rsidR="006A26C7">
              <w:rPr>
                <w:rFonts w:ascii="Arial" w:hAnsi="Arial"/>
                <w:b/>
                <w:sz w:val="22"/>
                <w:szCs w:val="22"/>
              </w:rPr>
              <w:t>4CV</w:t>
            </w:r>
          </w:p>
        </w:tc>
        <w:tc>
          <w:tcPr>
            <w:tcW w:w="1080" w:type="dxa"/>
          </w:tcPr>
          <w:p w:rsidR="006A26C7" w:rsidRDefault="006A26C7" w:rsidP="000479D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6A26C7" w:rsidRPr="00D8209D" w:rsidRDefault="006A26C7" w:rsidP="000479D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5CV</w:t>
            </w:r>
          </w:p>
        </w:tc>
        <w:tc>
          <w:tcPr>
            <w:tcW w:w="1080" w:type="dxa"/>
          </w:tcPr>
          <w:p w:rsidR="006A26C7" w:rsidRDefault="006A26C7" w:rsidP="000479D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6A26C7" w:rsidRPr="00D8209D" w:rsidRDefault="003319FE" w:rsidP="000479D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≥</w:t>
            </w:r>
            <w:r w:rsidR="006A26C7">
              <w:rPr>
                <w:rFonts w:ascii="Arial" w:hAnsi="Arial"/>
                <w:b/>
                <w:sz w:val="22"/>
                <w:szCs w:val="22"/>
              </w:rPr>
              <w:t>6CV</w:t>
            </w:r>
          </w:p>
        </w:tc>
        <w:tc>
          <w:tcPr>
            <w:tcW w:w="1668" w:type="dxa"/>
            <w:gridSpan w:val="2"/>
          </w:tcPr>
          <w:p w:rsidR="006A26C7" w:rsidRDefault="006A26C7" w:rsidP="000479D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6A26C7" w:rsidRPr="00D8209D" w:rsidRDefault="006A26C7" w:rsidP="000479D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Vélomoteur</w:t>
            </w:r>
            <w:r w:rsidR="003319FE">
              <w:rPr>
                <w:rFonts w:ascii="Arial" w:hAnsi="Arial"/>
                <w:b/>
                <w:sz w:val="22"/>
                <w:szCs w:val="22"/>
              </w:rPr>
              <w:t>s</w:t>
            </w:r>
            <w:r>
              <w:rPr>
                <w:rFonts w:ascii="Arial" w:hAnsi="Arial"/>
                <w:b/>
                <w:sz w:val="22"/>
                <w:szCs w:val="22"/>
              </w:rPr>
              <w:t xml:space="preserve"> (50 à 125 cm</w:t>
            </w:r>
            <w:r w:rsidRPr="009B5C0A">
              <w:rPr>
                <w:rFonts w:ascii="Arial Gras" w:hAnsi="Arial Gras"/>
                <w:b/>
                <w:sz w:val="22"/>
                <w:szCs w:val="22"/>
                <w:vertAlign w:val="superscript"/>
              </w:rPr>
              <w:t>3</w:t>
            </w:r>
            <w:r>
              <w:rPr>
                <w:rFonts w:ascii="Arial" w:hAnsi="Arial"/>
                <w:b/>
                <w:sz w:val="22"/>
                <w:szCs w:val="22"/>
              </w:rPr>
              <w:t>)</w:t>
            </w:r>
          </w:p>
        </w:tc>
        <w:tc>
          <w:tcPr>
            <w:tcW w:w="1669" w:type="dxa"/>
          </w:tcPr>
          <w:p w:rsidR="006A26C7" w:rsidRDefault="006A26C7" w:rsidP="000479D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6A26C7" w:rsidRPr="00D8209D" w:rsidRDefault="006A26C7" w:rsidP="000479D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Motocyclette</w:t>
            </w:r>
            <w:r w:rsidR="003319FE">
              <w:rPr>
                <w:rFonts w:ascii="Arial" w:hAnsi="Arial"/>
                <w:b/>
                <w:sz w:val="22"/>
                <w:szCs w:val="22"/>
              </w:rPr>
              <w:t>s</w:t>
            </w:r>
            <w:r>
              <w:rPr>
                <w:rFonts w:ascii="Arial" w:hAnsi="Arial"/>
                <w:b/>
                <w:sz w:val="22"/>
                <w:szCs w:val="22"/>
              </w:rPr>
              <w:t xml:space="preserve"> (</w:t>
            </w:r>
            <w:r w:rsidR="009B5C0A" w:rsidRPr="009B5C0A">
              <w:rPr>
                <w:rFonts w:ascii="Arial" w:hAnsi="Arial" w:cs="Arial"/>
                <w:b/>
                <w:sz w:val="22"/>
                <w:szCs w:val="22"/>
              </w:rPr>
              <w:t>&gt;</w:t>
            </w:r>
            <w:r w:rsidR="009B5C0A" w:rsidRPr="00755B53"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sz w:val="22"/>
                <w:szCs w:val="22"/>
              </w:rPr>
              <w:t>à 125 cm</w:t>
            </w:r>
            <w:r w:rsidRPr="009B5C0A">
              <w:rPr>
                <w:rFonts w:ascii="Arial Gras" w:hAnsi="Arial Gras"/>
                <w:b/>
                <w:sz w:val="22"/>
                <w:szCs w:val="22"/>
                <w:vertAlign w:val="superscript"/>
              </w:rPr>
              <w:t>3</w:t>
            </w:r>
            <w:r>
              <w:rPr>
                <w:rFonts w:ascii="Arial" w:hAnsi="Arial"/>
                <w:b/>
                <w:sz w:val="22"/>
                <w:szCs w:val="22"/>
              </w:rPr>
              <w:t>)</w:t>
            </w:r>
          </w:p>
        </w:tc>
      </w:tr>
      <w:tr w:rsidR="006A26C7" w:rsidRPr="00D8209D" w:rsidTr="006A26C7">
        <w:tblPrEx>
          <w:tblCellMar>
            <w:left w:w="71" w:type="dxa"/>
            <w:right w:w="71" w:type="dxa"/>
          </w:tblCellMar>
        </w:tblPrEx>
        <w:trPr>
          <w:jc w:val="center"/>
        </w:trPr>
        <w:tc>
          <w:tcPr>
            <w:tcW w:w="1980" w:type="dxa"/>
            <w:vMerge/>
          </w:tcPr>
          <w:p w:rsidR="006A26C7" w:rsidRPr="00D8209D" w:rsidRDefault="006A26C7" w:rsidP="000479D0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6577" w:type="dxa"/>
            <w:gridSpan w:val="6"/>
          </w:tcPr>
          <w:p w:rsidR="006A26C7" w:rsidRPr="00D8209D" w:rsidRDefault="006A26C7" w:rsidP="00755B53">
            <w:pPr>
              <w:tabs>
                <w:tab w:val="left" w:pos="252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995E72">
              <w:rPr>
                <w:rFonts w:ascii="Arial" w:hAnsi="Arial"/>
                <w:b/>
                <w:sz w:val="22"/>
                <w:szCs w:val="22"/>
              </w:rPr>
              <w:t>En euros TTC</w:t>
            </w:r>
          </w:p>
        </w:tc>
      </w:tr>
      <w:tr w:rsidR="006A26C7" w:rsidRPr="00D8209D" w:rsidTr="006A26C7">
        <w:tblPrEx>
          <w:tblCellMar>
            <w:left w:w="71" w:type="dxa"/>
            <w:right w:w="71" w:type="dxa"/>
          </w:tblCellMar>
        </w:tblPrEx>
        <w:trPr>
          <w:jc w:val="center"/>
        </w:trPr>
        <w:tc>
          <w:tcPr>
            <w:tcW w:w="1980" w:type="dxa"/>
            <w:tcBorders>
              <w:top w:val="single" w:sz="4" w:space="0" w:color="auto"/>
            </w:tcBorders>
          </w:tcPr>
          <w:p w:rsidR="006A26C7" w:rsidRPr="00755B53" w:rsidRDefault="00755B53" w:rsidP="000479D0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755B53">
              <w:rPr>
                <w:rFonts w:ascii="Arial" w:hAnsi="Arial" w:cs="Arial"/>
                <w:sz w:val="22"/>
                <w:szCs w:val="22"/>
              </w:rPr>
              <w:t>&lt;</w:t>
            </w:r>
            <w:r w:rsidR="006A26C7" w:rsidRPr="00755B53">
              <w:rPr>
                <w:rFonts w:ascii="Arial" w:hAnsi="Arial"/>
                <w:sz w:val="22"/>
                <w:szCs w:val="22"/>
              </w:rPr>
              <w:t xml:space="preserve">à 1000 </w:t>
            </w:r>
            <w:r w:rsidRPr="00755B53">
              <w:rPr>
                <w:rFonts w:ascii="Arial" w:hAnsi="Arial"/>
                <w:sz w:val="22"/>
                <w:szCs w:val="22"/>
              </w:rPr>
              <w:t>k</w:t>
            </w:r>
            <w:r w:rsidR="006A26C7" w:rsidRPr="00755B53">
              <w:rPr>
                <w:rFonts w:ascii="Arial" w:hAnsi="Arial"/>
                <w:sz w:val="22"/>
                <w:szCs w:val="22"/>
              </w:rPr>
              <w:t>m/mois</w:t>
            </w:r>
          </w:p>
        </w:tc>
        <w:tc>
          <w:tcPr>
            <w:tcW w:w="1080" w:type="dxa"/>
          </w:tcPr>
          <w:p w:rsidR="006A26C7" w:rsidRDefault="006A26C7" w:rsidP="000479D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6A26C7" w:rsidRPr="006A26C7" w:rsidRDefault="006A26C7" w:rsidP="003319FE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A26C7">
              <w:rPr>
                <w:rFonts w:ascii="Arial" w:hAnsi="Arial"/>
                <w:sz w:val="22"/>
                <w:szCs w:val="22"/>
              </w:rPr>
              <w:t>0</w:t>
            </w:r>
            <w:r w:rsidR="00755B53">
              <w:rPr>
                <w:rFonts w:ascii="Arial" w:hAnsi="Arial"/>
                <w:sz w:val="22"/>
                <w:szCs w:val="22"/>
              </w:rPr>
              <w:t>,</w:t>
            </w:r>
            <w:r w:rsidR="003319FE">
              <w:rPr>
                <w:rFonts w:ascii="Arial" w:hAnsi="Arial"/>
                <w:sz w:val="22"/>
                <w:szCs w:val="22"/>
              </w:rPr>
              <w:t>32</w:t>
            </w:r>
          </w:p>
        </w:tc>
        <w:tc>
          <w:tcPr>
            <w:tcW w:w="1080" w:type="dxa"/>
          </w:tcPr>
          <w:p w:rsidR="006A26C7" w:rsidRDefault="006A26C7" w:rsidP="000479D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6A26C7" w:rsidRPr="006A26C7" w:rsidRDefault="006A26C7" w:rsidP="000479D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A26C7">
              <w:rPr>
                <w:rFonts w:ascii="Arial" w:hAnsi="Arial"/>
                <w:sz w:val="22"/>
                <w:szCs w:val="22"/>
              </w:rPr>
              <w:t>0</w:t>
            </w:r>
            <w:r w:rsidR="00755B53">
              <w:rPr>
                <w:rFonts w:ascii="Arial" w:hAnsi="Arial"/>
                <w:sz w:val="22"/>
                <w:szCs w:val="22"/>
              </w:rPr>
              <w:t>,</w:t>
            </w:r>
            <w:r w:rsidRPr="006A26C7">
              <w:rPr>
                <w:rFonts w:ascii="Arial" w:hAnsi="Arial"/>
                <w:sz w:val="22"/>
                <w:szCs w:val="22"/>
              </w:rPr>
              <w:t>3</w:t>
            </w:r>
            <w:r w:rsidR="003319FE">
              <w:rPr>
                <w:rFonts w:ascii="Arial" w:hAnsi="Arial"/>
                <w:sz w:val="22"/>
                <w:szCs w:val="22"/>
              </w:rPr>
              <w:t>5</w:t>
            </w:r>
          </w:p>
        </w:tc>
        <w:tc>
          <w:tcPr>
            <w:tcW w:w="1080" w:type="dxa"/>
          </w:tcPr>
          <w:p w:rsidR="006A26C7" w:rsidRDefault="006A26C7" w:rsidP="000479D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6A26C7" w:rsidRPr="006A26C7" w:rsidRDefault="006A26C7" w:rsidP="000479D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A26C7">
              <w:rPr>
                <w:rFonts w:ascii="Arial" w:hAnsi="Arial"/>
                <w:sz w:val="22"/>
                <w:szCs w:val="22"/>
              </w:rPr>
              <w:t>0</w:t>
            </w:r>
            <w:r w:rsidR="00755B53">
              <w:rPr>
                <w:rFonts w:ascii="Arial" w:hAnsi="Arial"/>
                <w:sz w:val="22"/>
                <w:szCs w:val="22"/>
              </w:rPr>
              <w:t>,</w:t>
            </w:r>
            <w:r w:rsidRPr="006A26C7">
              <w:rPr>
                <w:rFonts w:ascii="Arial" w:hAnsi="Arial"/>
                <w:sz w:val="22"/>
                <w:szCs w:val="22"/>
              </w:rPr>
              <w:t>3</w:t>
            </w:r>
            <w:r w:rsidR="003319FE">
              <w:rPr>
                <w:rFonts w:ascii="Arial" w:hAnsi="Arial"/>
                <w:sz w:val="22"/>
                <w:szCs w:val="22"/>
              </w:rPr>
              <w:t>7</w:t>
            </w:r>
          </w:p>
        </w:tc>
        <w:tc>
          <w:tcPr>
            <w:tcW w:w="1620" w:type="dxa"/>
          </w:tcPr>
          <w:p w:rsidR="006A26C7" w:rsidRDefault="006A26C7" w:rsidP="000479D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6A26C7" w:rsidRPr="006A26C7" w:rsidRDefault="006A26C7" w:rsidP="003319FE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A26C7">
              <w:rPr>
                <w:rFonts w:ascii="Arial" w:hAnsi="Arial"/>
                <w:sz w:val="22"/>
                <w:szCs w:val="22"/>
              </w:rPr>
              <w:t>0</w:t>
            </w:r>
            <w:r w:rsidR="00755B53">
              <w:rPr>
                <w:rFonts w:ascii="Arial" w:hAnsi="Arial"/>
                <w:sz w:val="22"/>
                <w:szCs w:val="22"/>
              </w:rPr>
              <w:t>,</w:t>
            </w:r>
            <w:r w:rsidR="003319FE" w:rsidRPr="006A26C7">
              <w:rPr>
                <w:rFonts w:ascii="Arial" w:hAnsi="Arial"/>
                <w:sz w:val="22"/>
                <w:szCs w:val="22"/>
              </w:rPr>
              <w:t>0</w:t>
            </w:r>
            <w:r w:rsidR="003319FE">
              <w:rPr>
                <w:rFonts w:ascii="Arial" w:hAnsi="Arial"/>
                <w:sz w:val="22"/>
                <w:szCs w:val="22"/>
              </w:rPr>
              <w:t>8</w:t>
            </w:r>
          </w:p>
        </w:tc>
        <w:tc>
          <w:tcPr>
            <w:tcW w:w="1717" w:type="dxa"/>
            <w:gridSpan w:val="2"/>
          </w:tcPr>
          <w:p w:rsidR="006A26C7" w:rsidRDefault="006A26C7" w:rsidP="006A26C7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6A26C7" w:rsidRPr="006A26C7" w:rsidRDefault="006A26C7" w:rsidP="003319FE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0</w:t>
            </w:r>
            <w:r w:rsidR="00755B53">
              <w:rPr>
                <w:rFonts w:ascii="Arial" w:hAnsi="Arial"/>
                <w:sz w:val="22"/>
                <w:szCs w:val="22"/>
              </w:rPr>
              <w:t>,</w:t>
            </w:r>
            <w:r w:rsidR="003319FE">
              <w:rPr>
                <w:rFonts w:ascii="Arial" w:hAnsi="Arial"/>
                <w:sz w:val="22"/>
                <w:szCs w:val="22"/>
              </w:rPr>
              <w:t>1</w:t>
            </w:r>
            <w:r w:rsidR="003319FE">
              <w:rPr>
                <w:rFonts w:ascii="Arial" w:hAnsi="Arial"/>
                <w:sz w:val="22"/>
                <w:szCs w:val="22"/>
              </w:rPr>
              <w:t>2</w:t>
            </w:r>
          </w:p>
        </w:tc>
      </w:tr>
      <w:tr w:rsidR="006A26C7" w:rsidRPr="00D8209D" w:rsidTr="006A26C7">
        <w:tblPrEx>
          <w:tblCellMar>
            <w:left w:w="71" w:type="dxa"/>
            <w:right w:w="71" w:type="dxa"/>
          </w:tblCellMar>
        </w:tblPrEx>
        <w:trPr>
          <w:jc w:val="center"/>
        </w:trPr>
        <w:tc>
          <w:tcPr>
            <w:tcW w:w="1980" w:type="dxa"/>
          </w:tcPr>
          <w:p w:rsidR="006A26C7" w:rsidRPr="00755B53" w:rsidRDefault="00755B53" w:rsidP="000479D0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755B53">
              <w:rPr>
                <w:rFonts w:ascii="Arial" w:hAnsi="Arial" w:cs="Arial"/>
                <w:sz w:val="22"/>
                <w:szCs w:val="22"/>
              </w:rPr>
              <w:t>&gt;</w:t>
            </w:r>
            <w:r w:rsidR="006A26C7" w:rsidRPr="00755B53">
              <w:rPr>
                <w:rFonts w:ascii="Arial" w:hAnsi="Arial"/>
                <w:sz w:val="22"/>
                <w:szCs w:val="22"/>
              </w:rPr>
              <w:t xml:space="preserve"> à 1000 </w:t>
            </w:r>
            <w:r w:rsidRPr="00755B53">
              <w:rPr>
                <w:rFonts w:ascii="Arial" w:hAnsi="Arial"/>
                <w:sz w:val="22"/>
                <w:szCs w:val="22"/>
              </w:rPr>
              <w:t>k</w:t>
            </w:r>
            <w:r w:rsidR="006A26C7" w:rsidRPr="00755B53">
              <w:rPr>
                <w:rFonts w:ascii="Arial" w:hAnsi="Arial"/>
                <w:sz w:val="22"/>
                <w:szCs w:val="22"/>
              </w:rPr>
              <w:t>m/mois</w:t>
            </w:r>
          </w:p>
        </w:tc>
        <w:tc>
          <w:tcPr>
            <w:tcW w:w="1080" w:type="dxa"/>
          </w:tcPr>
          <w:p w:rsidR="006A26C7" w:rsidRDefault="006A26C7" w:rsidP="000479D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6A26C7" w:rsidRPr="00D8209D" w:rsidRDefault="006A26C7" w:rsidP="003319FE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0,</w:t>
            </w:r>
            <w:r w:rsidR="003319FE">
              <w:rPr>
                <w:rFonts w:ascii="Arial" w:hAnsi="Arial"/>
                <w:sz w:val="22"/>
                <w:szCs w:val="22"/>
              </w:rPr>
              <w:t>1</w:t>
            </w:r>
            <w:r w:rsidR="003319FE">
              <w:rPr>
                <w:rFonts w:ascii="Arial" w:hAnsi="Arial"/>
                <w:sz w:val="22"/>
                <w:szCs w:val="22"/>
              </w:rPr>
              <w:t>5</w:t>
            </w:r>
          </w:p>
        </w:tc>
        <w:tc>
          <w:tcPr>
            <w:tcW w:w="1080" w:type="dxa"/>
          </w:tcPr>
          <w:p w:rsidR="006A26C7" w:rsidRDefault="006A26C7" w:rsidP="000479D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6A26C7" w:rsidRPr="00D8209D" w:rsidRDefault="006A26C7" w:rsidP="003319FE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0,</w:t>
            </w:r>
            <w:r w:rsidR="003319FE">
              <w:rPr>
                <w:rFonts w:ascii="Arial" w:hAnsi="Arial"/>
                <w:sz w:val="22"/>
                <w:szCs w:val="22"/>
              </w:rPr>
              <w:t>1</w:t>
            </w:r>
            <w:r w:rsidR="003319FE">
              <w:rPr>
                <w:rFonts w:ascii="Arial" w:hAnsi="Arial"/>
                <w:sz w:val="22"/>
                <w:szCs w:val="22"/>
              </w:rPr>
              <w:t>7</w:t>
            </w:r>
          </w:p>
        </w:tc>
        <w:tc>
          <w:tcPr>
            <w:tcW w:w="1080" w:type="dxa"/>
          </w:tcPr>
          <w:p w:rsidR="006A26C7" w:rsidRDefault="006A26C7" w:rsidP="000479D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6A26C7" w:rsidRPr="00D8209D" w:rsidRDefault="006A26C7" w:rsidP="003319FE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0</w:t>
            </w:r>
            <w:r w:rsidR="00755B53">
              <w:rPr>
                <w:rFonts w:ascii="Arial" w:hAnsi="Arial"/>
                <w:sz w:val="22"/>
                <w:szCs w:val="22"/>
              </w:rPr>
              <w:t>,</w:t>
            </w:r>
            <w:r w:rsidR="003319FE">
              <w:rPr>
                <w:rFonts w:ascii="Arial" w:hAnsi="Arial"/>
                <w:sz w:val="22"/>
                <w:szCs w:val="22"/>
              </w:rPr>
              <w:t>1</w:t>
            </w:r>
            <w:r w:rsidR="003319FE">
              <w:rPr>
                <w:rFonts w:ascii="Arial" w:hAnsi="Arial"/>
                <w:sz w:val="22"/>
                <w:szCs w:val="22"/>
              </w:rPr>
              <w:t>8</w:t>
            </w:r>
          </w:p>
        </w:tc>
        <w:tc>
          <w:tcPr>
            <w:tcW w:w="1620" w:type="dxa"/>
          </w:tcPr>
          <w:p w:rsidR="006A26C7" w:rsidRDefault="006A26C7" w:rsidP="000479D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6A26C7" w:rsidRPr="00D8209D" w:rsidRDefault="006A26C7" w:rsidP="003319FE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0</w:t>
            </w:r>
            <w:r w:rsidR="00755B53">
              <w:rPr>
                <w:rFonts w:ascii="Arial" w:hAnsi="Arial"/>
                <w:sz w:val="22"/>
                <w:szCs w:val="22"/>
              </w:rPr>
              <w:t>,</w:t>
            </w:r>
            <w:r w:rsidR="003319FE">
              <w:rPr>
                <w:rFonts w:ascii="Arial" w:hAnsi="Arial"/>
                <w:sz w:val="22"/>
                <w:szCs w:val="22"/>
              </w:rPr>
              <w:t>0</w:t>
            </w:r>
            <w:r w:rsidR="003319FE">
              <w:rPr>
                <w:rFonts w:ascii="Arial" w:hAnsi="Arial"/>
                <w:sz w:val="22"/>
                <w:szCs w:val="22"/>
              </w:rPr>
              <w:t>8</w:t>
            </w:r>
          </w:p>
        </w:tc>
        <w:tc>
          <w:tcPr>
            <w:tcW w:w="1717" w:type="dxa"/>
            <w:gridSpan w:val="2"/>
          </w:tcPr>
          <w:p w:rsidR="006A26C7" w:rsidRDefault="006A26C7" w:rsidP="000479D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6A26C7" w:rsidRPr="00D8209D" w:rsidRDefault="006A26C7" w:rsidP="000479D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0</w:t>
            </w:r>
            <w:r w:rsidR="00755B53">
              <w:rPr>
                <w:rFonts w:ascii="Arial" w:hAnsi="Arial"/>
                <w:sz w:val="22"/>
                <w:szCs w:val="22"/>
              </w:rPr>
              <w:t>,</w:t>
            </w:r>
            <w:r>
              <w:rPr>
                <w:rFonts w:ascii="Arial" w:hAnsi="Arial"/>
                <w:sz w:val="22"/>
                <w:szCs w:val="22"/>
              </w:rPr>
              <w:t>1</w:t>
            </w:r>
            <w:r w:rsidR="003319FE">
              <w:rPr>
                <w:rFonts w:ascii="Arial" w:hAnsi="Arial"/>
                <w:sz w:val="22"/>
                <w:szCs w:val="22"/>
              </w:rPr>
              <w:t>2</w:t>
            </w:r>
          </w:p>
        </w:tc>
      </w:tr>
    </w:tbl>
    <w:p w:rsidR="002A6A47" w:rsidRPr="00D8209D" w:rsidRDefault="002A6A47" w:rsidP="000479D0">
      <w:pPr>
        <w:jc w:val="both"/>
        <w:rPr>
          <w:rFonts w:ascii="Arial" w:hAnsi="Arial"/>
          <w:sz w:val="22"/>
          <w:szCs w:val="22"/>
        </w:rPr>
      </w:pPr>
    </w:p>
    <w:p w:rsidR="002A6A47" w:rsidRDefault="002A6A47" w:rsidP="000479D0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8209D">
        <w:rPr>
          <w:rFonts w:ascii="Arial" w:hAnsi="Arial"/>
          <w:b/>
          <w:sz w:val="22"/>
          <w:szCs w:val="22"/>
        </w:rPr>
        <w:t xml:space="preserve">2 </w:t>
      </w:r>
      <w:r w:rsidRPr="00D8209D">
        <w:rPr>
          <w:rFonts w:ascii="Arial" w:hAnsi="Arial" w:cs="Arial"/>
          <w:b/>
          <w:sz w:val="20"/>
          <w:szCs w:val="20"/>
          <w:u w:val="single"/>
        </w:rPr>
        <w:t>- FRAIS DE SEJOUR</w:t>
      </w:r>
    </w:p>
    <w:p w:rsidR="003319FE" w:rsidRDefault="003319FE" w:rsidP="000479D0">
      <w:pPr>
        <w:jc w:val="both"/>
        <w:rPr>
          <w:rFonts w:ascii="Arial" w:hAnsi="Arial" w:cs="Arial"/>
          <w:sz w:val="20"/>
          <w:szCs w:val="20"/>
        </w:rPr>
      </w:pPr>
    </w:p>
    <w:p w:rsidR="003319FE" w:rsidRPr="00750961" w:rsidRDefault="003319FE" w:rsidP="000479D0">
      <w:pPr>
        <w:jc w:val="both"/>
        <w:rPr>
          <w:rFonts w:ascii="Arial" w:hAnsi="Arial"/>
          <w:sz w:val="22"/>
          <w:szCs w:val="22"/>
        </w:rPr>
      </w:pPr>
      <w:r w:rsidRPr="00750961">
        <w:rPr>
          <w:rFonts w:ascii="Arial" w:hAnsi="Arial" w:cs="Arial"/>
          <w:sz w:val="20"/>
          <w:szCs w:val="20"/>
        </w:rPr>
        <w:t xml:space="preserve">Les frais engagés </w:t>
      </w:r>
      <w:r>
        <w:rPr>
          <w:rFonts w:ascii="Arial" w:hAnsi="Arial" w:cs="Arial"/>
          <w:sz w:val="20"/>
          <w:szCs w:val="20"/>
        </w:rPr>
        <w:t xml:space="preserve">par le personnel des entreprises titulaires de marchés passés avec le CEA pour les déplacements en France d’une durée inférieure à un mois sont remboursés, dans la limite des plafonds ci-après définis, sur la base des frais réellement engagés et production des justificatifs correspondants  </w:t>
      </w:r>
    </w:p>
    <w:p w:rsidR="002A6A47" w:rsidRPr="003319FE" w:rsidRDefault="002A6A47" w:rsidP="000479D0">
      <w:pPr>
        <w:jc w:val="both"/>
        <w:rPr>
          <w:rFonts w:ascii="Arial" w:hAnsi="Arial"/>
          <w:sz w:val="22"/>
          <w:szCs w:val="22"/>
        </w:rPr>
      </w:pPr>
    </w:p>
    <w:tbl>
      <w:tblPr>
        <w:tblW w:w="1006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82"/>
        <w:gridCol w:w="2133"/>
        <w:gridCol w:w="1827"/>
        <w:gridCol w:w="2160"/>
        <w:gridCol w:w="2160"/>
      </w:tblGrid>
      <w:tr w:rsidR="009B5C0A" w:rsidRPr="00D8209D" w:rsidTr="009B5C0A">
        <w:trPr>
          <w:trHeight w:val="783"/>
          <w:jc w:val="center"/>
        </w:trPr>
        <w:tc>
          <w:tcPr>
            <w:tcW w:w="178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5C0A" w:rsidRPr="00D8209D" w:rsidRDefault="009B5C0A" w:rsidP="000479D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9B5C0A" w:rsidRPr="00D8209D" w:rsidRDefault="009B5C0A" w:rsidP="000479D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2133" w:type="dxa"/>
            <w:tcBorders>
              <w:left w:val="single" w:sz="4" w:space="0" w:color="auto"/>
            </w:tcBorders>
          </w:tcPr>
          <w:p w:rsidR="009B5C0A" w:rsidRDefault="009B5C0A" w:rsidP="006A26C7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9B5C0A" w:rsidRDefault="009B5C0A" w:rsidP="006A26C7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N</w:t>
            </w:r>
            <w:r w:rsidRPr="00D8209D">
              <w:rPr>
                <w:rFonts w:ascii="Arial" w:hAnsi="Arial"/>
                <w:b/>
                <w:sz w:val="22"/>
                <w:szCs w:val="22"/>
              </w:rPr>
              <w:t>uitées*</w:t>
            </w:r>
          </w:p>
          <w:p w:rsidR="009B5C0A" w:rsidRPr="00D8209D" w:rsidRDefault="009B5C0A" w:rsidP="000479D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 xml:space="preserve">région parisienne </w:t>
            </w:r>
          </w:p>
        </w:tc>
        <w:tc>
          <w:tcPr>
            <w:tcW w:w="1827" w:type="dxa"/>
          </w:tcPr>
          <w:p w:rsidR="009B5C0A" w:rsidRDefault="009B5C0A" w:rsidP="000479D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9B5C0A" w:rsidRDefault="009B5C0A" w:rsidP="000479D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N</w:t>
            </w:r>
            <w:r w:rsidRPr="00D8209D">
              <w:rPr>
                <w:rFonts w:ascii="Arial" w:hAnsi="Arial"/>
                <w:b/>
                <w:sz w:val="22"/>
                <w:szCs w:val="22"/>
              </w:rPr>
              <w:t>u</w:t>
            </w:r>
            <w:r>
              <w:rPr>
                <w:rFonts w:ascii="Arial" w:hAnsi="Arial"/>
                <w:b/>
                <w:sz w:val="22"/>
                <w:szCs w:val="22"/>
              </w:rPr>
              <w:t xml:space="preserve">itée </w:t>
            </w:r>
            <w:r w:rsidRPr="00D8209D">
              <w:rPr>
                <w:rFonts w:ascii="Arial" w:hAnsi="Arial"/>
                <w:b/>
                <w:sz w:val="22"/>
                <w:szCs w:val="22"/>
              </w:rPr>
              <w:t xml:space="preserve">* </w:t>
            </w:r>
          </w:p>
          <w:p w:rsidR="009B5C0A" w:rsidRPr="00D8209D" w:rsidRDefault="009B5C0A" w:rsidP="00755B53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Province</w:t>
            </w:r>
          </w:p>
        </w:tc>
        <w:tc>
          <w:tcPr>
            <w:tcW w:w="2160" w:type="dxa"/>
          </w:tcPr>
          <w:p w:rsidR="009B5C0A" w:rsidRPr="00D8209D" w:rsidRDefault="009B5C0A" w:rsidP="000479D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9B5C0A" w:rsidRPr="00D8209D" w:rsidRDefault="009B5C0A" w:rsidP="00755B53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Déjeuner</w:t>
            </w:r>
            <w:r w:rsidRPr="00D8209D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60" w:type="dxa"/>
          </w:tcPr>
          <w:p w:rsidR="009B5C0A" w:rsidRPr="00D8209D" w:rsidRDefault="009B5C0A" w:rsidP="000479D0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9B5C0A" w:rsidRPr="00D8209D" w:rsidRDefault="009B5C0A" w:rsidP="00755B53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Dîner</w:t>
            </w:r>
          </w:p>
        </w:tc>
      </w:tr>
      <w:tr w:rsidR="009B5C0A" w:rsidRPr="00D8209D" w:rsidTr="009B5C0A">
        <w:trPr>
          <w:trHeight w:val="151"/>
          <w:jc w:val="center"/>
        </w:trPr>
        <w:tc>
          <w:tcPr>
            <w:tcW w:w="178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5C0A" w:rsidRPr="00D8209D" w:rsidRDefault="009B5C0A" w:rsidP="00995E72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280" w:type="dxa"/>
            <w:gridSpan w:val="4"/>
            <w:tcBorders>
              <w:left w:val="single" w:sz="4" w:space="0" w:color="auto"/>
            </w:tcBorders>
          </w:tcPr>
          <w:p w:rsidR="009B5C0A" w:rsidRPr="00995E72" w:rsidRDefault="009B5C0A" w:rsidP="00755B53">
            <w:pPr>
              <w:tabs>
                <w:tab w:val="left" w:pos="252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995E72">
              <w:rPr>
                <w:rFonts w:ascii="Arial" w:hAnsi="Arial"/>
                <w:b/>
                <w:sz w:val="22"/>
                <w:szCs w:val="22"/>
              </w:rPr>
              <w:t>En euros TTC</w:t>
            </w:r>
          </w:p>
        </w:tc>
      </w:tr>
      <w:tr w:rsidR="002A6A47" w:rsidRPr="00D8209D" w:rsidTr="009B5C0A">
        <w:trPr>
          <w:trHeight w:val="964"/>
          <w:jc w:val="center"/>
        </w:trPr>
        <w:tc>
          <w:tcPr>
            <w:tcW w:w="1782" w:type="dxa"/>
            <w:tcBorders>
              <w:top w:val="single" w:sz="4" w:space="0" w:color="auto"/>
            </w:tcBorders>
          </w:tcPr>
          <w:p w:rsidR="002A6A47" w:rsidRPr="009B5C0A" w:rsidRDefault="00995E72" w:rsidP="000479D0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9B5C0A">
              <w:rPr>
                <w:rFonts w:ascii="Arial" w:hAnsi="Arial"/>
                <w:sz w:val="22"/>
                <w:szCs w:val="22"/>
              </w:rPr>
              <w:t>Montants plafonds toutes catégories de personnel confondues</w:t>
            </w:r>
          </w:p>
        </w:tc>
        <w:tc>
          <w:tcPr>
            <w:tcW w:w="2133" w:type="dxa"/>
          </w:tcPr>
          <w:p w:rsidR="006A26C7" w:rsidRDefault="006A26C7" w:rsidP="000479D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6A26C7" w:rsidRDefault="006A26C7" w:rsidP="000479D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2A6A47" w:rsidRPr="00D8209D" w:rsidRDefault="003319FE" w:rsidP="000479D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130</w:t>
            </w:r>
            <w:r w:rsidR="00995E72">
              <w:rPr>
                <w:rFonts w:ascii="Arial" w:hAnsi="Arial"/>
                <w:sz w:val="22"/>
                <w:szCs w:val="22"/>
              </w:rPr>
              <w:t>,00</w:t>
            </w:r>
          </w:p>
        </w:tc>
        <w:tc>
          <w:tcPr>
            <w:tcW w:w="1827" w:type="dxa"/>
          </w:tcPr>
          <w:p w:rsidR="006A26C7" w:rsidRDefault="006A26C7" w:rsidP="000479D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6A26C7" w:rsidRDefault="006A26C7" w:rsidP="000479D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2A6A47" w:rsidRPr="00D8209D" w:rsidRDefault="003319FE" w:rsidP="000479D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110</w:t>
            </w:r>
            <w:r w:rsidR="00995E72">
              <w:rPr>
                <w:rFonts w:ascii="Arial" w:hAnsi="Arial"/>
                <w:sz w:val="22"/>
                <w:szCs w:val="22"/>
              </w:rPr>
              <w:t>,00</w:t>
            </w:r>
          </w:p>
        </w:tc>
        <w:tc>
          <w:tcPr>
            <w:tcW w:w="2160" w:type="dxa"/>
          </w:tcPr>
          <w:p w:rsidR="006A26C7" w:rsidRDefault="006A26C7" w:rsidP="000479D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6A26C7" w:rsidRDefault="006A26C7" w:rsidP="000479D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2A6A47" w:rsidRPr="00D8209D" w:rsidRDefault="003319FE" w:rsidP="001D338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20</w:t>
            </w:r>
            <w:r w:rsidR="00995E72">
              <w:rPr>
                <w:rFonts w:ascii="Arial" w:hAnsi="Arial"/>
                <w:sz w:val="22"/>
                <w:szCs w:val="22"/>
              </w:rPr>
              <w:t>,</w:t>
            </w:r>
            <w:r>
              <w:rPr>
                <w:rFonts w:ascii="Arial" w:hAnsi="Arial"/>
                <w:sz w:val="22"/>
                <w:szCs w:val="22"/>
              </w:rPr>
              <w:t>2</w:t>
            </w:r>
            <w:r w:rsidR="00995E72">
              <w:rPr>
                <w:rFonts w:ascii="Arial" w:hAnsi="Arial"/>
                <w:sz w:val="22"/>
                <w:szCs w:val="22"/>
              </w:rPr>
              <w:t>0</w:t>
            </w:r>
          </w:p>
        </w:tc>
        <w:tc>
          <w:tcPr>
            <w:tcW w:w="2160" w:type="dxa"/>
          </w:tcPr>
          <w:p w:rsidR="006A26C7" w:rsidRDefault="006A26C7" w:rsidP="000479D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6A26C7" w:rsidRDefault="006A26C7" w:rsidP="000479D0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:rsidR="002A6A47" w:rsidRPr="00D8209D" w:rsidRDefault="001D3380" w:rsidP="000479D0">
            <w:pPr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22</w:t>
            </w:r>
            <w:r w:rsidR="00995E72">
              <w:rPr>
                <w:rFonts w:ascii="Arial" w:hAnsi="Arial"/>
                <w:sz w:val="22"/>
                <w:szCs w:val="22"/>
              </w:rPr>
              <w:t>,00</w:t>
            </w:r>
          </w:p>
        </w:tc>
      </w:tr>
    </w:tbl>
    <w:p w:rsidR="00755B53" w:rsidRDefault="00755B53" w:rsidP="000479D0">
      <w:pPr>
        <w:jc w:val="both"/>
        <w:rPr>
          <w:rFonts w:ascii="Arial" w:hAnsi="Arial"/>
          <w:sz w:val="22"/>
          <w:szCs w:val="22"/>
        </w:rPr>
      </w:pPr>
    </w:p>
    <w:p w:rsidR="00750961" w:rsidRPr="00750961" w:rsidRDefault="00750961" w:rsidP="000479D0">
      <w:pPr>
        <w:jc w:val="both"/>
        <w:rPr>
          <w:rFonts w:ascii="Arial" w:hAnsi="Arial"/>
          <w:sz w:val="22"/>
          <w:szCs w:val="22"/>
        </w:rPr>
      </w:pPr>
      <w:r w:rsidRPr="00750961">
        <w:rPr>
          <w:rFonts w:ascii="Arial" w:hAnsi="Arial"/>
          <w:sz w:val="22"/>
          <w:szCs w:val="22"/>
        </w:rPr>
        <w:t xml:space="preserve">* Le tarif de la nuitée tient compte du </w:t>
      </w:r>
      <w:r w:rsidRPr="00750961">
        <w:rPr>
          <w:rFonts w:ascii="Arial" w:hAnsi="Arial"/>
          <w:sz w:val="22"/>
          <w:szCs w:val="22"/>
        </w:rPr>
        <w:t>petit déjeuner</w:t>
      </w:r>
      <w:r w:rsidRPr="00750961">
        <w:rPr>
          <w:rFonts w:ascii="Arial" w:hAnsi="Arial"/>
          <w:sz w:val="22"/>
          <w:szCs w:val="22"/>
        </w:rPr>
        <w:t>.</w:t>
      </w:r>
    </w:p>
    <w:p w:rsidR="00750961" w:rsidRDefault="00750961" w:rsidP="000479D0">
      <w:pPr>
        <w:jc w:val="both"/>
        <w:rPr>
          <w:rFonts w:ascii="Arial" w:hAnsi="Arial"/>
          <w:sz w:val="22"/>
          <w:szCs w:val="22"/>
        </w:rPr>
      </w:pPr>
    </w:p>
    <w:p w:rsidR="00755B53" w:rsidRDefault="00750961" w:rsidP="000479D0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Pour des </w:t>
      </w:r>
      <w:r w:rsidR="002A6A47" w:rsidRPr="00D8209D">
        <w:rPr>
          <w:rFonts w:ascii="Arial" w:hAnsi="Arial"/>
          <w:sz w:val="22"/>
          <w:szCs w:val="22"/>
        </w:rPr>
        <w:t>déplacement</w:t>
      </w:r>
      <w:r>
        <w:rPr>
          <w:rFonts w:ascii="Arial" w:hAnsi="Arial"/>
          <w:sz w:val="22"/>
          <w:szCs w:val="22"/>
        </w:rPr>
        <w:t>s d’une</w:t>
      </w:r>
      <w:r w:rsidR="002A6A47" w:rsidRPr="00D8209D">
        <w:rPr>
          <w:rFonts w:ascii="Arial" w:hAnsi="Arial"/>
          <w:sz w:val="22"/>
          <w:szCs w:val="22"/>
        </w:rPr>
        <w:t xml:space="preserve"> dur</w:t>
      </w:r>
      <w:r>
        <w:rPr>
          <w:rFonts w:ascii="Arial" w:hAnsi="Arial"/>
          <w:sz w:val="22"/>
          <w:szCs w:val="22"/>
        </w:rPr>
        <w:t>é</w:t>
      </w:r>
      <w:r w:rsidR="002A6A47" w:rsidRPr="00D8209D">
        <w:rPr>
          <w:rFonts w:ascii="Arial" w:hAnsi="Arial"/>
          <w:sz w:val="22"/>
          <w:szCs w:val="22"/>
        </w:rPr>
        <w:t>e</w:t>
      </w:r>
      <w:r>
        <w:rPr>
          <w:rFonts w:ascii="Arial" w:hAnsi="Arial"/>
          <w:sz w:val="22"/>
          <w:szCs w:val="22"/>
        </w:rPr>
        <w:t xml:space="preserve"> supérieure à</w:t>
      </w:r>
      <w:r w:rsidR="002A6A47" w:rsidRPr="00D8209D">
        <w:rPr>
          <w:rFonts w:ascii="Arial" w:hAnsi="Arial"/>
          <w:sz w:val="22"/>
          <w:szCs w:val="22"/>
        </w:rPr>
        <w:t xml:space="preserve"> 30 jours consécutifs, </w:t>
      </w:r>
      <w:r w:rsidR="00995E72">
        <w:rPr>
          <w:rFonts w:ascii="Arial" w:hAnsi="Arial"/>
          <w:sz w:val="22"/>
          <w:szCs w:val="22"/>
        </w:rPr>
        <w:t xml:space="preserve">un coefficient d’abattement des plafonds </w:t>
      </w:r>
      <w:r w:rsidR="002A6A47" w:rsidRPr="00D8209D">
        <w:rPr>
          <w:rFonts w:ascii="Arial" w:hAnsi="Arial"/>
          <w:sz w:val="22"/>
          <w:szCs w:val="22"/>
        </w:rPr>
        <w:t xml:space="preserve">de 20% </w:t>
      </w:r>
      <w:r w:rsidR="00995E72">
        <w:rPr>
          <w:rFonts w:ascii="Arial" w:hAnsi="Arial"/>
          <w:sz w:val="22"/>
          <w:szCs w:val="22"/>
        </w:rPr>
        <w:t>est appliqué sur l’ensemble des frais engagés</w:t>
      </w:r>
      <w:r w:rsidR="002A6A47" w:rsidRPr="00D8209D">
        <w:rPr>
          <w:rFonts w:ascii="Arial" w:hAnsi="Arial"/>
          <w:sz w:val="22"/>
          <w:szCs w:val="22"/>
        </w:rPr>
        <w:t>.</w:t>
      </w:r>
    </w:p>
    <w:p w:rsidR="00B37C8E" w:rsidRPr="000479D0" w:rsidRDefault="00750961" w:rsidP="000479D0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  <w:bookmarkStart w:id="0" w:name="_GoBack"/>
      <w:bookmarkEnd w:id="0"/>
    </w:p>
    <w:sectPr w:rsidR="00B37C8E" w:rsidRPr="000479D0" w:rsidSect="00755B53">
      <w:pgSz w:w="11906" w:h="16838"/>
      <w:pgMar w:top="719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060D58"/>
    <w:multiLevelType w:val="hybridMultilevel"/>
    <w:tmpl w:val="2ABAA068"/>
    <w:lvl w:ilvl="0" w:tplc="AF6A2B7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2E52ED"/>
    <w:multiLevelType w:val="multilevel"/>
    <w:tmpl w:val="2BA26A68"/>
    <w:lvl w:ilvl="0">
      <w:start w:val="1"/>
      <w:numFmt w:val="decimal"/>
      <w:pStyle w:val="Titre1"/>
      <w:suff w:val="nothing"/>
      <w:lvlText w:val="ARTICLE  %1  - "/>
      <w:lvlJc w:val="left"/>
      <w:pPr>
        <w:ind w:left="0" w:firstLine="0"/>
      </w:pPr>
      <w:rPr>
        <w:rFonts w:ascii="Arial Gras" w:hAnsi="Arial Gras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pStyle w:val="Titre2"/>
      <w:suff w:val="nothing"/>
      <w:lvlText w:val="%1.%2 - "/>
      <w:lvlJc w:val="left"/>
      <w:pPr>
        <w:ind w:left="0" w:firstLine="0"/>
      </w:pPr>
      <w:rPr>
        <w:rFonts w:ascii="Arial Gras" w:hAnsi="Arial Gras" w:hint="default"/>
        <w:b/>
        <w:i w:val="0"/>
        <w:sz w:val="22"/>
        <w:szCs w:val="22"/>
        <w:u w:val="none"/>
      </w:rPr>
    </w:lvl>
    <w:lvl w:ilvl="2">
      <w:start w:val="1"/>
      <w:numFmt w:val="decimal"/>
      <w:pStyle w:val="Titre3"/>
      <w:suff w:val="nothing"/>
      <w:lvlText w:val="%1.%2.%3 - "/>
      <w:lvlJc w:val="left"/>
      <w:pPr>
        <w:ind w:left="0" w:firstLine="0"/>
      </w:pPr>
      <w:rPr>
        <w:rFonts w:ascii="Arial" w:hAnsi="Arial" w:hint="default"/>
        <w:b w:val="0"/>
        <w:i/>
        <w:sz w:val="22"/>
        <w:szCs w:val="22"/>
        <w:u w:val="single"/>
      </w:rPr>
    </w:lvl>
    <w:lvl w:ilvl="3">
      <w:start w:val="1"/>
      <w:numFmt w:val="decimal"/>
      <w:pStyle w:val="Titre4"/>
      <w:suff w:val="nothing"/>
      <w:lvlText w:val="%1.%2.%3.%4 - "/>
      <w:lvlJc w:val="left"/>
      <w:pPr>
        <w:ind w:left="864" w:hanging="864"/>
      </w:pPr>
      <w:rPr>
        <w:rFonts w:hint="default"/>
        <w:b w:val="0"/>
        <w:i w:val="0"/>
        <w:sz w:val="22"/>
        <w:szCs w:val="22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A47"/>
    <w:rsid w:val="000479D0"/>
    <w:rsid w:val="0012538A"/>
    <w:rsid w:val="001D12B6"/>
    <w:rsid w:val="001D3380"/>
    <w:rsid w:val="00224409"/>
    <w:rsid w:val="002A6A47"/>
    <w:rsid w:val="002D0DCF"/>
    <w:rsid w:val="002D4025"/>
    <w:rsid w:val="003319FE"/>
    <w:rsid w:val="005B310C"/>
    <w:rsid w:val="00632558"/>
    <w:rsid w:val="006A26C7"/>
    <w:rsid w:val="00737A23"/>
    <w:rsid w:val="00750961"/>
    <w:rsid w:val="00755B53"/>
    <w:rsid w:val="007A576B"/>
    <w:rsid w:val="00995E72"/>
    <w:rsid w:val="009A557D"/>
    <w:rsid w:val="009B5C0A"/>
    <w:rsid w:val="00AF265E"/>
    <w:rsid w:val="00B21528"/>
    <w:rsid w:val="00B25452"/>
    <w:rsid w:val="00B37C8E"/>
    <w:rsid w:val="00B67598"/>
    <w:rsid w:val="00BB7B03"/>
    <w:rsid w:val="00BC164D"/>
    <w:rsid w:val="00C06F7D"/>
    <w:rsid w:val="00C80BED"/>
    <w:rsid w:val="00CD0B31"/>
    <w:rsid w:val="00D136F0"/>
    <w:rsid w:val="00D30B73"/>
    <w:rsid w:val="00FD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387882"/>
  <w15:docId w15:val="{3A273705-21C7-487B-8730-0435479BC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6A47"/>
    <w:rPr>
      <w:sz w:val="24"/>
      <w:szCs w:val="24"/>
    </w:rPr>
  </w:style>
  <w:style w:type="paragraph" w:styleId="Titre1">
    <w:name w:val="heading 1"/>
    <w:basedOn w:val="Titre"/>
    <w:next w:val="Normal"/>
    <w:qFormat/>
    <w:rsid w:val="002A6A47"/>
    <w:pPr>
      <w:numPr>
        <w:numId w:val="1"/>
      </w:numPr>
      <w:spacing w:before="0" w:after="0"/>
      <w:jc w:val="left"/>
    </w:pPr>
    <w:rPr>
      <w:bCs w:val="0"/>
      <w:kern w:val="0"/>
      <w:sz w:val="22"/>
      <w:szCs w:val="22"/>
    </w:rPr>
  </w:style>
  <w:style w:type="paragraph" w:styleId="Titre2">
    <w:name w:val="heading 2"/>
    <w:basedOn w:val="Normal"/>
    <w:next w:val="Normal"/>
    <w:qFormat/>
    <w:rsid w:val="002A6A47"/>
    <w:pPr>
      <w:numPr>
        <w:ilvl w:val="1"/>
        <w:numId w:val="1"/>
      </w:numPr>
      <w:jc w:val="both"/>
      <w:outlineLvl w:val="1"/>
    </w:pPr>
    <w:rPr>
      <w:rFonts w:ascii="Arial" w:hAnsi="Arial" w:cs="Arial"/>
      <w:b/>
      <w:sz w:val="22"/>
      <w:szCs w:val="22"/>
    </w:rPr>
  </w:style>
  <w:style w:type="paragraph" w:styleId="Titre3">
    <w:name w:val="heading 3"/>
    <w:basedOn w:val="Normal"/>
    <w:next w:val="Normal"/>
    <w:qFormat/>
    <w:rsid w:val="002A6A47"/>
    <w:pPr>
      <w:numPr>
        <w:ilvl w:val="2"/>
        <w:numId w:val="1"/>
      </w:numPr>
      <w:jc w:val="both"/>
      <w:outlineLvl w:val="2"/>
    </w:pPr>
    <w:rPr>
      <w:rFonts w:ascii="Arial" w:hAnsi="Arial" w:cs="Arial"/>
      <w:i/>
      <w:sz w:val="22"/>
      <w:szCs w:val="22"/>
      <w:u w:val="single"/>
    </w:rPr>
  </w:style>
  <w:style w:type="paragraph" w:styleId="Titre4">
    <w:name w:val="heading 4"/>
    <w:basedOn w:val="Titre2"/>
    <w:next w:val="Normal"/>
    <w:qFormat/>
    <w:rsid w:val="002A6A47"/>
    <w:pPr>
      <w:numPr>
        <w:ilvl w:val="3"/>
      </w:numPr>
      <w:outlineLvl w:val="3"/>
    </w:pPr>
  </w:style>
  <w:style w:type="paragraph" w:styleId="Titre5">
    <w:name w:val="heading 5"/>
    <w:basedOn w:val="Titre3"/>
    <w:next w:val="Normal"/>
    <w:qFormat/>
    <w:rsid w:val="002A6A47"/>
    <w:pPr>
      <w:numPr>
        <w:ilvl w:val="4"/>
      </w:numPr>
      <w:outlineLvl w:val="4"/>
    </w:pPr>
  </w:style>
  <w:style w:type="paragraph" w:styleId="Titre6">
    <w:name w:val="heading 6"/>
    <w:basedOn w:val="Titre5"/>
    <w:next w:val="Normal"/>
    <w:qFormat/>
    <w:rsid w:val="002A6A47"/>
    <w:pPr>
      <w:numPr>
        <w:ilvl w:val="5"/>
      </w:numPr>
      <w:outlineLvl w:val="5"/>
    </w:pPr>
  </w:style>
  <w:style w:type="paragraph" w:styleId="Titre7">
    <w:name w:val="heading 7"/>
    <w:basedOn w:val="Titre6"/>
    <w:next w:val="Normal"/>
    <w:qFormat/>
    <w:rsid w:val="002A6A47"/>
    <w:pPr>
      <w:numPr>
        <w:ilvl w:val="6"/>
      </w:numPr>
      <w:outlineLvl w:val="6"/>
    </w:pPr>
  </w:style>
  <w:style w:type="paragraph" w:styleId="Titre8">
    <w:name w:val="heading 8"/>
    <w:basedOn w:val="Normal"/>
    <w:next w:val="Normal"/>
    <w:qFormat/>
    <w:rsid w:val="002A6A47"/>
    <w:pPr>
      <w:numPr>
        <w:ilvl w:val="7"/>
        <w:numId w:val="1"/>
      </w:numPr>
      <w:outlineLvl w:val="7"/>
    </w:pPr>
    <w:rPr>
      <w:rFonts w:ascii="Arial" w:hAnsi="Arial" w:cs="Arial"/>
      <w:sz w:val="22"/>
      <w:szCs w:val="22"/>
    </w:rPr>
  </w:style>
  <w:style w:type="paragraph" w:styleId="Titre9">
    <w:name w:val="heading 9"/>
    <w:basedOn w:val="Titre8"/>
    <w:next w:val="Normal"/>
    <w:qFormat/>
    <w:rsid w:val="002A6A47"/>
    <w:pPr>
      <w:numPr>
        <w:ilvl w:val="8"/>
      </w:num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2A6A4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extedebulles">
    <w:name w:val="Balloon Text"/>
    <w:basedOn w:val="Normal"/>
    <w:link w:val="TextedebullesCar"/>
    <w:semiHidden/>
    <w:unhideWhenUsed/>
    <w:rsid w:val="00D30B7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D30B73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semiHidden/>
    <w:unhideWhenUsed/>
    <w:rsid w:val="00D30B73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D30B7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D30B73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D30B7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D30B73"/>
    <w:rPr>
      <w:b/>
      <w:bCs/>
    </w:rPr>
  </w:style>
  <w:style w:type="paragraph" w:styleId="Paragraphedeliste">
    <w:name w:val="List Paragraph"/>
    <w:basedOn w:val="Normal"/>
    <w:uiPriority w:val="34"/>
    <w:qFormat/>
    <w:rsid w:val="00D30B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E19774-904C-42E1-9860-3FD937B67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n°xx au marché 40003xxxx</vt:lpstr>
    </vt:vector>
  </TitlesOfParts>
  <Company>CEA-GRENOBLE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n°xx au marché 40003xxxx</dc:title>
  <dc:creator>AG207221</dc:creator>
  <cp:lastModifiedBy>QUIAIS-MARTHON Sybil 111546</cp:lastModifiedBy>
  <cp:revision>2</cp:revision>
  <dcterms:created xsi:type="dcterms:W3CDTF">2023-01-20T12:56:00Z</dcterms:created>
  <dcterms:modified xsi:type="dcterms:W3CDTF">2023-01-20T12:56:00Z</dcterms:modified>
</cp:coreProperties>
</file>