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892F7" w14:textId="57EEA488" w:rsidR="006754C6" w:rsidRDefault="006754C6" w:rsidP="00F75FC9">
      <w:r w:rsidRPr="00A3732B">
        <w:rPr>
          <w:noProof/>
        </w:rPr>
        <w:drawing>
          <wp:inline distT="0" distB="0" distL="0" distR="0" wp14:anchorId="004450FB" wp14:editId="3230DED2">
            <wp:extent cx="3743325" cy="723900"/>
            <wp:effectExtent l="0" t="0" r="9525" b="0"/>
            <wp:docPr id="2" name="Image 2" descr="Une image contenant Police, logo, Graphique,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logo, Graphique, symbol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3325" cy="723900"/>
                    </a:xfrm>
                    <a:prstGeom prst="rect">
                      <a:avLst/>
                    </a:prstGeom>
                    <a:noFill/>
                    <a:ln>
                      <a:noFill/>
                    </a:ln>
                  </pic:spPr>
                </pic:pic>
              </a:graphicData>
            </a:graphic>
          </wp:inline>
        </w:drawing>
      </w:r>
    </w:p>
    <w:p w14:paraId="1BF54F38" w14:textId="3F2D181A" w:rsidR="006754C6" w:rsidRDefault="006754C6" w:rsidP="006754C6">
      <w:pPr>
        <w:jc w:val="center"/>
        <w:rPr>
          <w:rFonts w:ascii="Times New Roman" w:hAnsi="Times New Roman" w:cs="Times New Roman"/>
          <w:b/>
          <w:bCs/>
          <w:sz w:val="40"/>
          <w:szCs w:val="40"/>
        </w:rPr>
      </w:pPr>
      <w:r w:rsidRPr="006C60EC">
        <w:rPr>
          <w:rFonts w:ascii="Times New Roman" w:hAnsi="Times New Roman" w:cs="Times New Roman"/>
          <w:b/>
          <w:bCs/>
          <w:sz w:val="40"/>
          <w:szCs w:val="40"/>
        </w:rPr>
        <w:t xml:space="preserve">CADRE DE MEMOIRE </w:t>
      </w:r>
      <w:r w:rsidR="00C83221">
        <w:rPr>
          <w:rFonts w:ascii="Times New Roman" w:hAnsi="Times New Roman" w:cs="Times New Roman"/>
          <w:b/>
          <w:bCs/>
          <w:sz w:val="40"/>
          <w:szCs w:val="40"/>
        </w:rPr>
        <w:t>FINANCIER</w:t>
      </w:r>
    </w:p>
    <w:p w14:paraId="7C20E98E" w14:textId="566B59A1" w:rsidR="006754C6" w:rsidRPr="006C60EC" w:rsidRDefault="006754C6" w:rsidP="006754C6">
      <w:pPr>
        <w:jc w:val="center"/>
        <w:rPr>
          <w:rFonts w:ascii="Times New Roman" w:hAnsi="Times New Roman" w:cs="Times New Roman"/>
          <w:b/>
          <w:bCs/>
          <w:sz w:val="40"/>
          <w:szCs w:val="40"/>
        </w:rPr>
      </w:pPr>
      <w:r w:rsidRPr="006C60EC">
        <w:rPr>
          <w:rFonts w:ascii="Times New Roman" w:hAnsi="Times New Roman" w:cs="Times New Roman"/>
          <w:b/>
          <w:bCs/>
          <w:sz w:val="40"/>
          <w:szCs w:val="40"/>
        </w:rPr>
        <w:t>(CM</w:t>
      </w:r>
      <w:r w:rsidR="00C83221">
        <w:rPr>
          <w:rFonts w:ascii="Times New Roman" w:hAnsi="Times New Roman" w:cs="Times New Roman"/>
          <w:b/>
          <w:bCs/>
          <w:sz w:val="40"/>
          <w:szCs w:val="40"/>
        </w:rPr>
        <w:t>F</w:t>
      </w:r>
      <w:r w:rsidRPr="006C60EC">
        <w:rPr>
          <w:rFonts w:ascii="Times New Roman" w:hAnsi="Times New Roman" w:cs="Times New Roman"/>
          <w:b/>
          <w:bCs/>
          <w:sz w:val="40"/>
          <w:szCs w:val="40"/>
        </w:rPr>
        <w:t>)</w:t>
      </w:r>
    </w:p>
    <w:p w14:paraId="15ACF94E" w14:textId="468D8D43" w:rsidR="006754C6" w:rsidRPr="006C60EC" w:rsidRDefault="008222E3" w:rsidP="006754C6">
      <w:pPr>
        <w:jc w:val="center"/>
        <w:rPr>
          <w:rFonts w:ascii="Times New Roman" w:hAnsi="Times New Roman" w:cs="Times New Roman"/>
          <w:b/>
          <w:bCs/>
          <w:sz w:val="40"/>
          <w:szCs w:val="40"/>
        </w:rPr>
      </w:pPr>
      <w:r w:rsidRPr="008222E3">
        <w:rPr>
          <w:rFonts w:ascii="Times New Roman" w:hAnsi="Times New Roman" w:cs="Times New Roman"/>
          <w:b/>
          <w:bCs/>
          <w:sz w:val="40"/>
          <w:szCs w:val="40"/>
        </w:rPr>
        <w:t xml:space="preserve">VOLET </w:t>
      </w:r>
      <w:r w:rsidR="00C83221">
        <w:rPr>
          <w:rFonts w:ascii="Times New Roman" w:hAnsi="Times New Roman" w:cs="Times New Roman"/>
          <w:b/>
          <w:bCs/>
          <w:sz w:val="40"/>
          <w:szCs w:val="40"/>
        </w:rPr>
        <w:t>3</w:t>
      </w:r>
      <w:r w:rsidRPr="008222E3">
        <w:rPr>
          <w:rFonts w:ascii="Times New Roman" w:hAnsi="Times New Roman" w:cs="Times New Roman"/>
          <w:b/>
          <w:bCs/>
          <w:sz w:val="40"/>
          <w:szCs w:val="40"/>
        </w:rPr>
        <w:t xml:space="preserve"> : DONNEES </w:t>
      </w:r>
      <w:r w:rsidR="00C83221">
        <w:rPr>
          <w:rFonts w:ascii="Times New Roman" w:hAnsi="Times New Roman" w:cs="Times New Roman"/>
          <w:b/>
          <w:bCs/>
          <w:sz w:val="40"/>
          <w:szCs w:val="40"/>
        </w:rPr>
        <w:t>FINANCIERES</w:t>
      </w:r>
    </w:p>
    <w:p w14:paraId="74465789" w14:textId="77777777" w:rsidR="00DD1D5F" w:rsidRDefault="00DD1D5F" w:rsidP="006754C6">
      <w:pPr>
        <w:pStyle w:val="RedTitre1"/>
        <w:framePr w:hSpace="0" w:wrap="auto" w:vAnchor="margin" w:xAlign="left" w:yAlign="inline"/>
        <w:rPr>
          <w:rFonts w:ascii="Times New Roman" w:hAnsi="Times New Roman"/>
          <w:sz w:val="21"/>
          <w:szCs w:val="21"/>
          <w:shd w:val="clear" w:color="auto" w:fill="FFFFFF"/>
        </w:rPr>
      </w:pPr>
    </w:p>
    <w:p w14:paraId="13BCD22C" w14:textId="77777777" w:rsidR="00DD1D5F" w:rsidRDefault="00DD1D5F" w:rsidP="006754C6">
      <w:pPr>
        <w:pStyle w:val="RedTitre1"/>
        <w:framePr w:hSpace="0" w:wrap="auto" w:vAnchor="margin" w:xAlign="left" w:yAlign="inline"/>
        <w:rPr>
          <w:rFonts w:ascii="Times New Roman" w:hAnsi="Times New Roman"/>
          <w:sz w:val="21"/>
          <w:szCs w:val="21"/>
          <w:shd w:val="clear" w:color="auto" w:fill="FFFFFF"/>
        </w:rPr>
      </w:pPr>
    </w:p>
    <w:p w14:paraId="27E4DD9C" w14:textId="46C71D2D" w:rsidR="006754C6" w:rsidRPr="006C60EC" w:rsidRDefault="006754C6" w:rsidP="006754C6">
      <w:pPr>
        <w:pStyle w:val="RedTitre1"/>
        <w:framePr w:hSpace="0" w:wrap="auto" w:vAnchor="margin" w:xAlign="left" w:yAlign="inline"/>
        <w:rPr>
          <w:rFonts w:ascii="Times New Roman" w:hAnsi="Times New Roman"/>
          <w:szCs w:val="20"/>
        </w:rPr>
      </w:pPr>
      <w:r w:rsidRPr="006C60EC">
        <w:rPr>
          <w:rFonts w:ascii="Times New Roman" w:hAnsi="Times New Roman"/>
          <w:sz w:val="21"/>
          <w:szCs w:val="21"/>
          <w:shd w:val="clear" w:color="auto" w:fill="FFFFFF"/>
        </w:rPr>
        <w:t>Concession numéro</w:t>
      </w:r>
      <w:r w:rsidRPr="006C60EC">
        <w:rPr>
          <w:rFonts w:ascii="Times New Roman" w:hAnsi="Times New Roman"/>
          <w:szCs w:val="20"/>
        </w:rPr>
        <w:t xml:space="preserve"> : </w:t>
      </w:r>
      <w:r w:rsidRPr="00316188">
        <w:rPr>
          <w:rFonts w:ascii="Times New Roman" w:hAnsi="Times New Roman"/>
          <w:sz w:val="48"/>
          <w:szCs w:val="48"/>
        </w:rPr>
        <w:t>N°</w:t>
      </w:r>
      <w:r w:rsidR="00316188" w:rsidRPr="00316188">
        <w:rPr>
          <w:rFonts w:asciiTheme="minorHAnsi" w:eastAsiaTheme="minorHAnsi" w:hAnsiTheme="minorHAnsi" w:cstheme="minorBidi"/>
          <w:b w:val="0"/>
          <w:kern w:val="2"/>
          <w:sz w:val="22"/>
          <w14:ligatures w14:val="standardContextual"/>
        </w:rPr>
        <w:t xml:space="preserve"> </w:t>
      </w:r>
      <w:r w:rsidR="00316188" w:rsidRPr="00316188">
        <w:rPr>
          <w:rFonts w:ascii="Times New Roman" w:hAnsi="Times New Roman"/>
          <w:sz w:val="48"/>
          <w:szCs w:val="48"/>
        </w:rPr>
        <w:t>2025/99/SC/01/050</w:t>
      </w:r>
    </w:p>
    <w:p w14:paraId="12166CF6" w14:textId="77777777" w:rsidR="006754C6" w:rsidRPr="006C60EC" w:rsidRDefault="006754C6" w:rsidP="006754C6">
      <w:pPr>
        <w:adjustRightInd w:val="0"/>
        <w:rPr>
          <w:rFonts w:ascii="Times New Roman" w:hAnsi="Times New Roman" w:cs="Times New Roman"/>
          <w:sz w:val="24"/>
          <w:szCs w:val="24"/>
        </w:rPr>
      </w:pPr>
    </w:p>
    <w:p w14:paraId="015ED131" w14:textId="77777777" w:rsidR="006754C6" w:rsidRPr="006C60EC" w:rsidRDefault="006754C6" w:rsidP="006754C6">
      <w:pPr>
        <w:pStyle w:val="RedTitre1"/>
        <w:framePr w:hSpace="0" w:wrap="auto" w:vAnchor="margin" w:xAlign="left" w:yAlign="inline"/>
        <w:rPr>
          <w:rFonts w:ascii="Times New Roman" w:hAnsi="Times New Roman"/>
          <w:szCs w:val="20"/>
        </w:rPr>
      </w:pPr>
    </w:p>
    <w:p w14:paraId="2D8C04A4" w14:textId="0DC9E8D9" w:rsidR="006754C6" w:rsidRDefault="006754C6" w:rsidP="006754C6">
      <w:pPr>
        <w:jc w:val="center"/>
        <w:rPr>
          <w:rFonts w:ascii="Times New Roman" w:hAnsi="Times New Roman" w:cs="Times New Roman"/>
          <w:sz w:val="24"/>
          <w:szCs w:val="24"/>
        </w:rPr>
      </w:pPr>
      <w:bookmarkStart w:id="0" w:name="_Hlk212633006"/>
      <w:r>
        <w:rPr>
          <w:rFonts w:ascii="Times New Roman" w:hAnsi="Times New Roman" w:cs="Times New Roman"/>
          <w:sz w:val="24"/>
          <w:szCs w:val="24"/>
        </w:rPr>
        <w:t>C</w:t>
      </w:r>
      <w:r w:rsidRPr="006C60EC">
        <w:rPr>
          <w:rFonts w:ascii="Times New Roman" w:hAnsi="Times New Roman" w:cs="Times New Roman"/>
          <w:sz w:val="24"/>
          <w:szCs w:val="24"/>
        </w:rPr>
        <w:t xml:space="preserve">oncession de service passée en application des articles </w:t>
      </w:r>
      <w:r w:rsidR="00DD1D5F" w:rsidRPr="00DD1D5F">
        <w:rPr>
          <w:rFonts w:ascii="Times New Roman" w:hAnsi="Times New Roman" w:cs="Times New Roman"/>
          <w:sz w:val="24"/>
          <w:szCs w:val="24"/>
        </w:rPr>
        <w:t>L. 1121-1, L. 1121-3</w:t>
      </w:r>
      <w:r w:rsidR="00241022">
        <w:rPr>
          <w:rFonts w:ascii="Times New Roman" w:hAnsi="Times New Roman" w:cs="Times New Roman"/>
          <w:sz w:val="24"/>
          <w:szCs w:val="24"/>
        </w:rPr>
        <w:t xml:space="preserve">, </w:t>
      </w:r>
      <w:r w:rsidR="00DD1D5F" w:rsidRPr="00DD1D5F">
        <w:rPr>
          <w:rFonts w:ascii="Times New Roman" w:hAnsi="Times New Roman" w:cs="Times New Roman"/>
          <w:sz w:val="24"/>
          <w:szCs w:val="24"/>
        </w:rPr>
        <w:t xml:space="preserve">L. 3100-1 </w:t>
      </w:r>
      <w:r w:rsidRPr="006C60EC">
        <w:rPr>
          <w:rFonts w:ascii="Times New Roman" w:hAnsi="Times New Roman" w:cs="Times New Roman"/>
          <w:sz w:val="24"/>
          <w:szCs w:val="24"/>
        </w:rPr>
        <w:t xml:space="preserve">et suivants </w:t>
      </w:r>
      <w:r w:rsidR="00241022">
        <w:rPr>
          <w:rFonts w:ascii="Times New Roman" w:hAnsi="Times New Roman" w:cs="Times New Roman"/>
          <w:sz w:val="24"/>
          <w:szCs w:val="24"/>
        </w:rPr>
        <w:t xml:space="preserve">ainsi que </w:t>
      </w:r>
      <w:r w:rsidR="00241022" w:rsidRPr="00241022">
        <w:rPr>
          <w:rFonts w:ascii="Times New Roman" w:hAnsi="Times New Roman" w:cs="Times New Roman"/>
          <w:sz w:val="24"/>
          <w:szCs w:val="24"/>
        </w:rPr>
        <w:t xml:space="preserve">R. 3111-1 et suivants </w:t>
      </w:r>
      <w:r w:rsidRPr="006C60EC">
        <w:rPr>
          <w:rFonts w:ascii="Times New Roman" w:hAnsi="Times New Roman" w:cs="Times New Roman"/>
          <w:sz w:val="24"/>
          <w:szCs w:val="24"/>
        </w:rPr>
        <w:t>du Code de la commande publique</w:t>
      </w:r>
      <w:bookmarkEnd w:id="0"/>
      <w:r w:rsidRPr="006C60EC">
        <w:rPr>
          <w:rFonts w:ascii="Times New Roman" w:hAnsi="Times New Roman" w:cs="Times New Roman"/>
          <w:sz w:val="24"/>
          <w:szCs w:val="24"/>
        </w:rPr>
        <w:t>.</w:t>
      </w:r>
    </w:p>
    <w:p w14:paraId="6F9AD820" w14:textId="77777777" w:rsidR="006754C6" w:rsidRDefault="006754C6" w:rsidP="006754C6">
      <w:pPr>
        <w:pStyle w:val="RedTitre1"/>
        <w:framePr w:hSpace="0" w:wrap="auto" w:vAnchor="margin" w:xAlign="left" w:yAlign="inline"/>
        <w:rPr>
          <w:rFonts w:ascii="Times New Roman" w:hAnsi="Times New Roman"/>
          <w:szCs w:val="20"/>
        </w:rPr>
      </w:pPr>
    </w:p>
    <w:p w14:paraId="65D2ACF3" w14:textId="77777777" w:rsidR="00DD1D5F" w:rsidRPr="006C60EC" w:rsidRDefault="00DD1D5F" w:rsidP="006754C6">
      <w:pPr>
        <w:pStyle w:val="RedTitre1"/>
        <w:framePr w:hSpace="0" w:wrap="auto" w:vAnchor="margin" w:xAlign="left" w:yAlign="inline"/>
        <w:rPr>
          <w:rFonts w:ascii="Times New Roman" w:hAnsi="Times New Roman"/>
          <w:szCs w:val="20"/>
        </w:rPr>
      </w:pPr>
    </w:p>
    <w:p w14:paraId="22623315" w14:textId="272C1595" w:rsidR="006754C6" w:rsidRPr="006C60EC" w:rsidRDefault="006754C6" w:rsidP="006754C6">
      <w:pPr>
        <w:pBdr>
          <w:top w:val="single" w:sz="4" w:space="1" w:color="auto"/>
          <w:left w:val="single" w:sz="4" w:space="1" w:color="auto"/>
          <w:bottom w:val="single" w:sz="4" w:space="5" w:color="auto"/>
          <w:right w:val="single" w:sz="4" w:space="1" w:color="auto"/>
        </w:pBdr>
        <w:adjustRightInd w:val="0"/>
        <w:spacing w:after="0" w:line="240" w:lineRule="auto"/>
        <w:jc w:val="center"/>
        <w:rPr>
          <w:rFonts w:ascii="Times New Roman" w:hAnsi="Times New Roman" w:cs="Times New Roman"/>
          <w:szCs w:val="20"/>
        </w:rPr>
      </w:pPr>
      <w:bookmarkStart w:id="1" w:name="_Hlk50127702"/>
      <w:r>
        <w:rPr>
          <w:rFonts w:ascii="Times New Roman" w:hAnsi="Times New Roman" w:cs="Times New Roman"/>
          <w:b/>
          <w:sz w:val="28"/>
          <w:szCs w:val="28"/>
        </w:rPr>
        <w:t>Co</w:t>
      </w:r>
      <w:r w:rsidRPr="006C60EC">
        <w:rPr>
          <w:rFonts w:ascii="Times New Roman" w:hAnsi="Times New Roman" w:cs="Times New Roman"/>
          <w:b/>
          <w:sz w:val="28"/>
          <w:szCs w:val="28"/>
        </w:rPr>
        <w:t xml:space="preserve">ncession de service </w:t>
      </w:r>
      <w:r w:rsidR="005A26B5">
        <w:rPr>
          <w:rFonts w:ascii="Times New Roman" w:hAnsi="Times New Roman" w:cs="Times New Roman"/>
          <w:b/>
          <w:sz w:val="28"/>
          <w:szCs w:val="28"/>
        </w:rPr>
        <w:t xml:space="preserve">sans service public </w:t>
      </w:r>
      <w:r w:rsidRPr="006C60EC">
        <w:rPr>
          <w:rFonts w:ascii="Times New Roman" w:hAnsi="Times New Roman" w:cs="Times New Roman"/>
          <w:b/>
          <w:sz w:val="28"/>
          <w:szCs w:val="28"/>
        </w:rPr>
        <w:t xml:space="preserve">de </w:t>
      </w:r>
      <w:r w:rsidR="005A26B5">
        <w:rPr>
          <w:rFonts w:ascii="Times New Roman" w:hAnsi="Times New Roman" w:cs="Times New Roman"/>
          <w:b/>
          <w:sz w:val="28"/>
          <w:szCs w:val="28"/>
        </w:rPr>
        <w:t xml:space="preserve">la gestion, l’entretien et </w:t>
      </w:r>
      <w:r w:rsidRPr="006C60EC">
        <w:rPr>
          <w:rFonts w:ascii="Times New Roman" w:hAnsi="Times New Roman" w:cs="Times New Roman"/>
          <w:b/>
          <w:sz w:val="28"/>
          <w:szCs w:val="28"/>
        </w:rPr>
        <w:t xml:space="preserve">l’exploitation </w:t>
      </w:r>
      <w:bookmarkEnd w:id="1"/>
      <w:r>
        <w:rPr>
          <w:rFonts w:ascii="Times New Roman" w:hAnsi="Times New Roman" w:cs="Times New Roman"/>
          <w:b/>
          <w:sz w:val="28"/>
          <w:szCs w:val="28"/>
        </w:rPr>
        <w:t xml:space="preserve">de la salle polyvalente </w:t>
      </w:r>
      <w:r w:rsidR="00AD4EB9">
        <w:rPr>
          <w:rFonts w:ascii="Times New Roman" w:hAnsi="Times New Roman" w:cs="Times New Roman"/>
          <w:b/>
          <w:sz w:val="28"/>
          <w:szCs w:val="28"/>
        </w:rPr>
        <w:t>Le Dix-Huit</w:t>
      </w:r>
      <w:r>
        <w:rPr>
          <w:rFonts w:ascii="Times New Roman" w:hAnsi="Times New Roman" w:cs="Times New Roman"/>
          <w:b/>
          <w:sz w:val="28"/>
          <w:szCs w:val="28"/>
        </w:rPr>
        <w:t xml:space="preserve"> de la CCI Nice Côte d’Azur</w:t>
      </w:r>
    </w:p>
    <w:p w14:paraId="2C4E7AA1" w14:textId="77777777" w:rsidR="006754C6" w:rsidRPr="006C60EC" w:rsidRDefault="00000000" w:rsidP="006754C6">
      <w:pPr>
        <w:pStyle w:val="Paragraphedeliste"/>
        <w:ind w:left="840"/>
        <w:jc w:val="center"/>
        <w:rPr>
          <w:rFonts w:ascii="Times New Roman" w:eastAsia="Times New Roman" w:hAnsi="Times New Roman" w:cs="Times New Roman"/>
        </w:rPr>
      </w:pPr>
      <w:r>
        <w:rPr>
          <w:rFonts w:ascii="Times New Roman" w:hAnsi="Times New Roman" w:cs="Times New Roman"/>
          <w:noProof/>
          <w:sz w:val="24"/>
          <w:szCs w:val="24"/>
        </w:rPr>
        <w:pict w14:anchorId="1BB4A4BF">
          <v:rect id="_x0000_i1025" style="width:94.25pt;height:.05pt" o:hralign="center" o:hrstd="t" o:hrnoshade="t" o:hr="t" fillcolor="#7f7f7f" stroked="f"/>
        </w:pict>
      </w:r>
    </w:p>
    <w:p w14:paraId="59C34FB3" w14:textId="77777777" w:rsidR="006754C6" w:rsidRPr="006C60EC" w:rsidRDefault="006754C6" w:rsidP="006754C6">
      <w:pPr>
        <w:pStyle w:val="Paragraphedeliste"/>
        <w:ind w:left="840"/>
        <w:jc w:val="center"/>
        <w:rPr>
          <w:rFonts w:ascii="Times New Roman" w:eastAsia="Times New Roman" w:hAnsi="Times New Roman" w:cs="Times New Roman"/>
          <w:b/>
          <w:bCs/>
          <w:sz w:val="36"/>
          <w:szCs w:val="36"/>
          <w:u w:val="single"/>
        </w:rPr>
      </w:pPr>
    </w:p>
    <w:p w14:paraId="34D55E5E" w14:textId="084359F0" w:rsidR="006754C6" w:rsidRPr="00C06DDA" w:rsidRDefault="00C83221" w:rsidP="006754C6">
      <w:pPr>
        <w:pStyle w:val="Paragraphedeliste"/>
        <w:ind w:left="840"/>
        <w:jc w:val="center"/>
        <w:rPr>
          <w:rFonts w:ascii="Times New Roman" w:eastAsia="Times New Roman" w:hAnsi="Times New Roman" w:cs="Times New Roman"/>
          <w:b/>
          <w:bCs/>
          <w:i/>
          <w:iCs/>
          <w:sz w:val="24"/>
          <w:szCs w:val="24"/>
          <w:u w:val="single"/>
        </w:rPr>
      </w:pPr>
      <w:r w:rsidRPr="00C06DDA">
        <w:rPr>
          <w:rFonts w:ascii="Times New Roman" w:eastAsia="Times New Roman" w:hAnsi="Times New Roman" w:cs="Times New Roman"/>
          <w:b/>
          <w:bCs/>
          <w:i/>
          <w:iCs/>
          <w:sz w:val="24"/>
          <w:szCs w:val="24"/>
          <w:u w:val="single"/>
        </w:rPr>
        <w:t>T</w:t>
      </w:r>
      <w:r w:rsidR="006754C6" w:rsidRPr="00C06DDA">
        <w:rPr>
          <w:rFonts w:ascii="Times New Roman" w:eastAsia="Times New Roman" w:hAnsi="Times New Roman" w:cs="Times New Roman"/>
          <w:b/>
          <w:bCs/>
          <w:i/>
          <w:iCs/>
          <w:sz w:val="24"/>
          <w:szCs w:val="24"/>
          <w:u w:val="single"/>
        </w:rPr>
        <w:t>aille</w:t>
      </w:r>
      <w:r>
        <w:rPr>
          <w:rFonts w:ascii="Times New Roman" w:eastAsia="Times New Roman" w:hAnsi="Times New Roman" w:cs="Times New Roman"/>
          <w:b/>
          <w:bCs/>
          <w:i/>
          <w:iCs/>
          <w:sz w:val="24"/>
          <w:szCs w:val="24"/>
          <w:u w:val="single"/>
        </w:rPr>
        <w:t xml:space="preserve"> souhaitée </w:t>
      </w:r>
      <w:r w:rsidR="006754C6" w:rsidRPr="00C06DDA">
        <w:rPr>
          <w:rFonts w:ascii="Times New Roman" w:eastAsia="Times New Roman" w:hAnsi="Times New Roman" w:cs="Times New Roman"/>
          <w:b/>
          <w:bCs/>
          <w:i/>
          <w:iCs/>
          <w:sz w:val="24"/>
          <w:szCs w:val="24"/>
          <w:u w:val="single"/>
        </w:rPr>
        <w:t>du CM</w:t>
      </w:r>
      <w:r>
        <w:rPr>
          <w:rFonts w:ascii="Times New Roman" w:eastAsia="Times New Roman" w:hAnsi="Times New Roman" w:cs="Times New Roman"/>
          <w:b/>
          <w:bCs/>
          <w:i/>
          <w:iCs/>
          <w:sz w:val="24"/>
          <w:szCs w:val="24"/>
          <w:u w:val="single"/>
        </w:rPr>
        <w:t>F : 20 pages maximum</w:t>
      </w:r>
    </w:p>
    <w:p w14:paraId="2C6F87EE" w14:textId="77777777" w:rsidR="006754C6" w:rsidRDefault="006754C6" w:rsidP="00F75FC9"/>
    <w:p w14:paraId="759AFFA2" w14:textId="77777777" w:rsidR="006754C6" w:rsidRPr="00F816C6" w:rsidRDefault="006754C6" w:rsidP="006754C6">
      <w:pPr>
        <w:jc w:val="both"/>
        <w:rPr>
          <w:rFonts w:ascii="Times New Roman" w:hAnsi="Times New Roman" w:cs="Times New Roman"/>
          <w:b/>
          <w:bCs/>
          <w:i/>
          <w:iCs/>
          <w:sz w:val="20"/>
        </w:rPr>
      </w:pPr>
      <w:r w:rsidRPr="00F816C6">
        <w:rPr>
          <w:rFonts w:ascii="Times New Roman" w:hAnsi="Times New Roman" w:cs="Times New Roman"/>
          <w:b/>
          <w:bCs/>
          <w:i/>
          <w:iCs/>
          <w:sz w:val="20"/>
        </w:rPr>
        <w:t xml:space="preserve">Ce document permet d’évaluer les candidats et de faciliter le traitement des informations fournies dans le cadre de l’analyse des offres. Il doit donc être soigneusement rempli, et être le plus précis et le plus complet possible. Les réponses doivent être intégrées au sein du présent cadre. </w:t>
      </w:r>
    </w:p>
    <w:p w14:paraId="0E335196" w14:textId="77777777" w:rsidR="002B407E" w:rsidRDefault="002B407E" w:rsidP="00F75FC9">
      <w:pPr>
        <w:jc w:val="center"/>
        <w:rPr>
          <w:b/>
          <w:bCs/>
        </w:rPr>
      </w:pPr>
    </w:p>
    <w:sdt>
      <w:sdtPr>
        <w:rPr>
          <w:rFonts w:asciiTheme="minorHAnsi" w:eastAsiaTheme="minorHAnsi" w:hAnsiTheme="minorHAnsi" w:cstheme="minorBidi"/>
          <w:color w:val="auto"/>
          <w:kern w:val="2"/>
          <w:sz w:val="22"/>
          <w:szCs w:val="22"/>
          <w:lang w:eastAsia="en-US"/>
          <w14:ligatures w14:val="standardContextual"/>
        </w:rPr>
        <w:id w:val="-1515529169"/>
        <w:docPartObj>
          <w:docPartGallery w:val="Table of Contents"/>
          <w:docPartUnique/>
        </w:docPartObj>
      </w:sdtPr>
      <w:sdtEndPr>
        <w:rPr>
          <w:b/>
          <w:bCs/>
        </w:rPr>
      </w:sdtEndPr>
      <w:sdtContent>
        <w:p w14:paraId="13DB101D" w14:textId="28BF6D6D" w:rsidR="002B407E" w:rsidRDefault="002B407E">
          <w:pPr>
            <w:pStyle w:val="En-ttedetabledesmatires"/>
          </w:pPr>
          <w:r>
            <w:t>Table des matières</w:t>
          </w:r>
        </w:p>
        <w:p w14:paraId="218EB1ED" w14:textId="1567BF0D" w:rsidR="0023645D" w:rsidRDefault="002B407E">
          <w:pPr>
            <w:pStyle w:val="TM1"/>
            <w:tabs>
              <w:tab w:val="right" w:leader="dot" w:pos="9062"/>
            </w:tabs>
            <w:rPr>
              <w:rFonts w:eastAsiaTheme="minorEastAsia"/>
              <w:noProof/>
              <w:sz w:val="24"/>
              <w:szCs w:val="24"/>
              <w:lang w:eastAsia="fr-FR"/>
            </w:rPr>
          </w:pPr>
          <w:r>
            <w:fldChar w:fldCharType="begin"/>
          </w:r>
          <w:r>
            <w:instrText xml:space="preserve"> TOC \o "1-3" \h \z \u </w:instrText>
          </w:r>
          <w:r>
            <w:fldChar w:fldCharType="separate"/>
          </w:r>
          <w:hyperlink w:anchor="_Toc213428185" w:history="1">
            <w:r w:rsidR="0023645D" w:rsidRPr="00E808DF">
              <w:rPr>
                <w:rStyle w:val="Lienhypertexte"/>
                <w:noProof/>
                <w:lang w:eastAsia="ar-SA"/>
              </w:rPr>
              <w:t>3.1 : Compte d’exploitation prévisionnel</w:t>
            </w:r>
            <w:r w:rsidR="0023645D">
              <w:rPr>
                <w:noProof/>
                <w:webHidden/>
              </w:rPr>
              <w:tab/>
            </w:r>
            <w:r w:rsidR="0023645D">
              <w:rPr>
                <w:noProof/>
                <w:webHidden/>
              </w:rPr>
              <w:fldChar w:fldCharType="begin"/>
            </w:r>
            <w:r w:rsidR="0023645D">
              <w:rPr>
                <w:noProof/>
                <w:webHidden/>
              </w:rPr>
              <w:instrText xml:space="preserve"> PAGEREF _Toc213428185 \h </w:instrText>
            </w:r>
            <w:r w:rsidR="0023645D">
              <w:rPr>
                <w:noProof/>
                <w:webHidden/>
              </w:rPr>
            </w:r>
            <w:r w:rsidR="0023645D">
              <w:rPr>
                <w:noProof/>
                <w:webHidden/>
              </w:rPr>
              <w:fldChar w:fldCharType="separate"/>
            </w:r>
            <w:r w:rsidR="0023645D">
              <w:rPr>
                <w:noProof/>
                <w:webHidden/>
              </w:rPr>
              <w:t>2</w:t>
            </w:r>
            <w:r w:rsidR="0023645D">
              <w:rPr>
                <w:noProof/>
                <w:webHidden/>
              </w:rPr>
              <w:fldChar w:fldCharType="end"/>
            </w:r>
          </w:hyperlink>
        </w:p>
        <w:p w14:paraId="7A4C85C5" w14:textId="039F79E9" w:rsidR="0023645D" w:rsidRDefault="0023645D">
          <w:pPr>
            <w:pStyle w:val="TM1"/>
            <w:tabs>
              <w:tab w:val="right" w:leader="dot" w:pos="9062"/>
            </w:tabs>
            <w:rPr>
              <w:rFonts w:eastAsiaTheme="minorEastAsia"/>
              <w:noProof/>
              <w:sz w:val="24"/>
              <w:szCs w:val="24"/>
              <w:lang w:eastAsia="fr-FR"/>
            </w:rPr>
          </w:pPr>
          <w:hyperlink w:anchor="_Toc213428186" w:history="1">
            <w:r w:rsidRPr="00E808DF">
              <w:rPr>
                <w:rStyle w:val="Lienhypertexte"/>
                <w:noProof/>
                <w:lang w:eastAsia="ar-SA"/>
              </w:rPr>
              <w:t>3.2 : Redevances variables</w:t>
            </w:r>
            <w:r>
              <w:rPr>
                <w:noProof/>
                <w:webHidden/>
              </w:rPr>
              <w:tab/>
            </w:r>
            <w:r>
              <w:rPr>
                <w:noProof/>
                <w:webHidden/>
              </w:rPr>
              <w:fldChar w:fldCharType="begin"/>
            </w:r>
            <w:r>
              <w:rPr>
                <w:noProof/>
                <w:webHidden/>
              </w:rPr>
              <w:instrText xml:space="preserve"> PAGEREF _Toc213428186 \h </w:instrText>
            </w:r>
            <w:r>
              <w:rPr>
                <w:noProof/>
                <w:webHidden/>
              </w:rPr>
            </w:r>
            <w:r>
              <w:rPr>
                <w:noProof/>
                <w:webHidden/>
              </w:rPr>
              <w:fldChar w:fldCharType="separate"/>
            </w:r>
            <w:r>
              <w:rPr>
                <w:noProof/>
                <w:webHidden/>
              </w:rPr>
              <w:t>2</w:t>
            </w:r>
            <w:r>
              <w:rPr>
                <w:noProof/>
                <w:webHidden/>
              </w:rPr>
              <w:fldChar w:fldCharType="end"/>
            </w:r>
          </w:hyperlink>
        </w:p>
        <w:p w14:paraId="5605D617" w14:textId="64B4CB01" w:rsidR="002B407E" w:rsidRDefault="002B407E">
          <w:r>
            <w:rPr>
              <w:b/>
              <w:bCs/>
            </w:rPr>
            <w:fldChar w:fldCharType="end"/>
          </w:r>
        </w:p>
      </w:sdtContent>
    </w:sdt>
    <w:p w14:paraId="27407375" w14:textId="77777777" w:rsidR="002B407E" w:rsidRDefault="002B407E" w:rsidP="002B407E">
      <w:pPr>
        <w:rPr>
          <w:b/>
          <w:bCs/>
        </w:rPr>
      </w:pPr>
    </w:p>
    <w:p w14:paraId="006B4F1A" w14:textId="77777777" w:rsidR="002B407E" w:rsidRDefault="002B407E" w:rsidP="002B407E">
      <w:pPr>
        <w:rPr>
          <w:b/>
          <w:bCs/>
        </w:rPr>
      </w:pPr>
    </w:p>
    <w:p w14:paraId="2DF28CF9" w14:textId="4CB67D56" w:rsidR="002B407E" w:rsidRPr="000C017C" w:rsidRDefault="00C83221" w:rsidP="00B43EFE">
      <w:pPr>
        <w:pStyle w:val="Titre1"/>
        <w:shd w:val="pct12" w:color="auto" w:fill="auto"/>
        <w:rPr>
          <w:sz w:val="36"/>
          <w:szCs w:val="36"/>
          <w:lang w:eastAsia="ar-SA"/>
        </w:rPr>
      </w:pPr>
      <w:bookmarkStart w:id="2" w:name="_Toc213428185"/>
      <w:r>
        <w:rPr>
          <w:sz w:val="36"/>
          <w:szCs w:val="36"/>
          <w:lang w:eastAsia="ar-SA"/>
        </w:rPr>
        <w:lastRenderedPageBreak/>
        <w:t>3</w:t>
      </w:r>
      <w:r w:rsidR="008222E3">
        <w:rPr>
          <w:sz w:val="36"/>
          <w:szCs w:val="36"/>
          <w:lang w:eastAsia="ar-SA"/>
        </w:rPr>
        <w:t>.</w:t>
      </w:r>
      <w:r w:rsidR="00F75FC9" w:rsidRPr="000C017C">
        <w:rPr>
          <w:sz w:val="36"/>
          <w:szCs w:val="36"/>
          <w:lang w:eastAsia="ar-SA"/>
        </w:rPr>
        <w:t>1</w:t>
      </w:r>
      <w:r w:rsidR="00244FE6">
        <w:rPr>
          <w:sz w:val="36"/>
          <w:szCs w:val="36"/>
          <w:lang w:eastAsia="ar-SA"/>
        </w:rPr>
        <w:t xml:space="preserve"> : </w:t>
      </w:r>
      <w:r>
        <w:rPr>
          <w:sz w:val="36"/>
          <w:szCs w:val="36"/>
          <w:lang w:eastAsia="ar-SA"/>
        </w:rPr>
        <w:t>Compte d’exploitation prévisionnel</w:t>
      </w:r>
      <w:bookmarkEnd w:id="2"/>
      <w:r>
        <w:rPr>
          <w:sz w:val="36"/>
          <w:szCs w:val="36"/>
          <w:lang w:eastAsia="ar-SA"/>
        </w:rPr>
        <w:t xml:space="preserve"> </w:t>
      </w:r>
    </w:p>
    <w:p w14:paraId="4C073181" w14:textId="71A74603" w:rsidR="00244FE6" w:rsidRPr="00B43EFE" w:rsidRDefault="00244FE6" w:rsidP="00B43EFE">
      <w:pPr>
        <w:shd w:val="pct12" w:color="auto" w:fill="auto"/>
        <w:jc w:val="right"/>
        <w:rPr>
          <w:sz w:val="36"/>
          <w:szCs w:val="36"/>
          <w:highlight w:val="yellow"/>
        </w:rPr>
      </w:pPr>
      <w:r w:rsidRPr="00B43EFE">
        <w:rPr>
          <w:sz w:val="36"/>
          <w:szCs w:val="36"/>
        </w:rPr>
        <w:t>(</w:t>
      </w:r>
      <w:r w:rsidR="00B43EFE" w:rsidRPr="00B43EFE">
        <w:rPr>
          <w:sz w:val="36"/>
          <w:szCs w:val="36"/>
        </w:rPr>
        <w:t>20</w:t>
      </w:r>
      <w:r w:rsidRPr="00B43EFE">
        <w:rPr>
          <w:sz w:val="36"/>
          <w:szCs w:val="36"/>
        </w:rPr>
        <w:t xml:space="preserve"> points)</w:t>
      </w:r>
    </w:p>
    <w:p w14:paraId="21A64F65" w14:textId="77777777" w:rsidR="00F75FC9" w:rsidRPr="005E0010" w:rsidRDefault="00F75FC9" w:rsidP="00F75FC9">
      <w:pPr>
        <w:tabs>
          <w:tab w:val="left" w:pos="-3828"/>
          <w:tab w:val="left" w:pos="-3096"/>
          <w:tab w:val="left" w:pos="1672"/>
        </w:tabs>
        <w:suppressAutoHyphens/>
        <w:spacing w:before="57"/>
        <w:ind w:left="709"/>
        <w:jc w:val="both"/>
        <w:textAlignment w:val="baseline"/>
        <w:rPr>
          <w:rFonts w:ascii="Calibri Light" w:hAnsi="Calibri Light"/>
          <w:b/>
          <w:bCs/>
          <w:kern w:val="1"/>
          <w:lang w:eastAsia="ar-SA"/>
        </w:rPr>
      </w:pPr>
    </w:p>
    <w:p w14:paraId="0ECBF122" w14:textId="4174A027" w:rsidR="0023645D" w:rsidRDefault="00C83221"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r w:rsidRPr="00C83221">
        <w:rPr>
          <w:rFonts w:ascii="Calibri Light" w:hAnsi="Calibri Light"/>
          <w:i/>
          <w:iCs/>
          <w:kern w:val="1"/>
          <w:lang w:eastAsia="ar-SA"/>
        </w:rPr>
        <w:t xml:space="preserve">Un compte d’exploitation prévisionnel (CEP) détaillé sur la durée du contrat </w:t>
      </w:r>
      <w:r w:rsidR="0023645D">
        <w:rPr>
          <w:rFonts w:ascii="Calibri Light" w:hAnsi="Calibri Light"/>
          <w:i/>
          <w:iCs/>
          <w:kern w:val="1"/>
          <w:lang w:eastAsia="ar-SA"/>
        </w:rPr>
        <w:t xml:space="preserve">qui devra être présenté </w:t>
      </w:r>
      <w:r w:rsidRPr="00C83221">
        <w:rPr>
          <w:rFonts w:ascii="Calibri Light" w:hAnsi="Calibri Light"/>
          <w:i/>
          <w:iCs/>
          <w:kern w:val="1"/>
          <w:lang w:eastAsia="ar-SA"/>
        </w:rPr>
        <w:t xml:space="preserve">en format EXCEL selon la trame fournie </w:t>
      </w:r>
      <w:r w:rsidR="0023645D">
        <w:rPr>
          <w:rFonts w:ascii="Calibri Light" w:hAnsi="Calibri Light"/>
          <w:i/>
          <w:iCs/>
          <w:kern w:val="1"/>
          <w:lang w:eastAsia="ar-SA"/>
        </w:rPr>
        <w:t xml:space="preserve">en </w:t>
      </w:r>
      <w:r w:rsidRPr="00C83221">
        <w:rPr>
          <w:rFonts w:ascii="Calibri Light" w:hAnsi="Calibri Light"/>
          <w:i/>
          <w:iCs/>
          <w:kern w:val="1"/>
          <w:lang w:eastAsia="ar-SA"/>
        </w:rPr>
        <w:t>ANNEXE n°8</w:t>
      </w:r>
      <w:r w:rsidR="0023645D">
        <w:rPr>
          <w:rFonts w:ascii="Calibri Light" w:hAnsi="Calibri Light"/>
          <w:i/>
          <w:iCs/>
          <w:kern w:val="1"/>
          <w:lang w:eastAsia="ar-SA"/>
        </w:rPr>
        <w:t xml:space="preserve"> et être </w:t>
      </w:r>
      <w:r w:rsidRPr="00C83221">
        <w:rPr>
          <w:rFonts w:ascii="Calibri Light" w:hAnsi="Calibri Light"/>
          <w:i/>
          <w:iCs/>
          <w:kern w:val="1"/>
          <w:lang w:eastAsia="ar-SA"/>
        </w:rPr>
        <w:t>accompagné d’une note de synthèse</w:t>
      </w:r>
      <w:r w:rsidR="0023645D">
        <w:rPr>
          <w:rFonts w:ascii="Calibri Light" w:hAnsi="Calibri Light"/>
          <w:i/>
          <w:iCs/>
          <w:kern w:val="1"/>
          <w:lang w:eastAsia="ar-SA"/>
        </w:rPr>
        <w:t xml:space="preserve"> dans laquelle le candidat : </w:t>
      </w:r>
    </w:p>
    <w:p w14:paraId="5DC35105" w14:textId="5511A4EB" w:rsidR="0023645D" w:rsidRDefault="0023645D" w:rsidP="0023645D">
      <w:pPr>
        <w:numPr>
          <w:ilvl w:val="0"/>
          <w:numId w:val="1"/>
        </w:numPr>
        <w:tabs>
          <w:tab w:val="num" w:pos="993"/>
        </w:tabs>
        <w:spacing w:after="0" w:line="240" w:lineRule="auto"/>
        <w:ind w:left="993" w:hanging="284"/>
        <w:jc w:val="both"/>
        <w:rPr>
          <w:rFonts w:ascii="Calibri Light" w:hAnsi="Calibri Light"/>
          <w:i/>
          <w:iCs/>
          <w:kern w:val="1"/>
          <w:lang w:eastAsia="ar-SA"/>
        </w:rPr>
      </w:pPr>
      <w:r>
        <w:rPr>
          <w:rFonts w:ascii="Calibri Light" w:hAnsi="Calibri Light"/>
          <w:i/>
          <w:iCs/>
          <w:kern w:val="1"/>
          <w:lang w:eastAsia="ar-SA"/>
        </w:rPr>
        <w:t xml:space="preserve">reprendra </w:t>
      </w:r>
      <w:r w:rsidR="00C83221" w:rsidRPr="0023645D">
        <w:rPr>
          <w:rFonts w:ascii="Calibri Light" w:hAnsi="Calibri Light"/>
          <w:i/>
          <w:iCs/>
          <w:kern w:val="1"/>
          <w:lang w:eastAsia="ar-SA"/>
        </w:rPr>
        <w:t>les principales caractéristiques d</w:t>
      </w:r>
      <w:r>
        <w:rPr>
          <w:rFonts w:ascii="Calibri Light" w:hAnsi="Calibri Light"/>
          <w:i/>
          <w:iCs/>
          <w:kern w:val="1"/>
          <w:lang w:eastAsia="ar-SA"/>
        </w:rPr>
        <w:t xml:space="preserve">e son </w:t>
      </w:r>
      <w:r w:rsidR="00C83221" w:rsidRPr="0023645D">
        <w:rPr>
          <w:rFonts w:ascii="Calibri Light" w:hAnsi="Calibri Light"/>
          <w:i/>
          <w:iCs/>
          <w:kern w:val="1"/>
          <w:lang w:eastAsia="ar-SA"/>
        </w:rPr>
        <w:t xml:space="preserve">projet d’exploitation sur la durée de la concession sur le plan financier </w:t>
      </w:r>
    </w:p>
    <w:p w14:paraId="2B5AFC23" w14:textId="080CD64C" w:rsidR="00316188" w:rsidRPr="0023645D" w:rsidRDefault="00C83221" w:rsidP="0023645D">
      <w:pPr>
        <w:numPr>
          <w:ilvl w:val="0"/>
          <w:numId w:val="1"/>
        </w:numPr>
        <w:tabs>
          <w:tab w:val="num" w:pos="993"/>
        </w:tabs>
        <w:spacing w:after="0" w:line="240" w:lineRule="auto"/>
        <w:ind w:left="993" w:hanging="284"/>
        <w:jc w:val="both"/>
        <w:rPr>
          <w:rFonts w:ascii="Calibri Light" w:hAnsi="Calibri Light"/>
          <w:i/>
          <w:iCs/>
          <w:kern w:val="1"/>
          <w:lang w:eastAsia="ar-SA"/>
        </w:rPr>
      </w:pPr>
      <w:r w:rsidRPr="0023645D">
        <w:rPr>
          <w:rFonts w:ascii="Calibri Light" w:hAnsi="Calibri Light"/>
          <w:i/>
          <w:iCs/>
          <w:kern w:val="1"/>
          <w:lang w:eastAsia="ar-SA"/>
        </w:rPr>
        <w:t>et expliqu</w:t>
      </w:r>
      <w:r w:rsidR="0023645D">
        <w:rPr>
          <w:rFonts w:ascii="Calibri Light" w:hAnsi="Calibri Light"/>
          <w:i/>
          <w:iCs/>
          <w:kern w:val="1"/>
          <w:lang w:eastAsia="ar-SA"/>
        </w:rPr>
        <w:t xml:space="preserve">era </w:t>
      </w:r>
      <w:r w:rsidRPr="0023645D">
        <w:rPr>
          <w:rFonts w:ascii="Calibri Light" w:hAnsi="Calibri Light"/>
          <w:i/>
          <w:iCs/>
          <w:kern w:val="1"/>
          <w:lang w:eastAsia="ar-SA"/>
        </w:rPr>
        <w:t>la structuration des tarifs présentés en ANNEXE n°15</w:t>
      </w:r>
    </w:p>
    <w:p w14:paraId="35AA106B" w14:textId="77777777" w:rsidR="00F75FC9" w:rsidRDefault="00F75FC9" w:rsidP="00F75FC9">
      <w:pPr>
        <w:tabs>
          <w:tab w:val="left" w:pos="-3828"/>
          <w:tab w:val="left" w:pos="-3096"/>
          <w:tab w:val="left" w:pos="1672"/>
        </w:tabs>
        <w:suppressAutoHyphens/>
        <w:spacing w:before="57"/>
        <w:ind w:left="1416"/>
        <w:jc w:val="both"/>
        <w:textAlignment w:val="baseline"/>
        <w:rPr>
          <w:rFonts w:ascii="Calibri Light" w:hAnsi="Calibri Light"/>
          <w:kern w:val="1"/>
          <w:lang w:eastAsia="ar-SA"/>
        </w:rPr>
      </w:pPr>
    </w:p>
    <w:p w14:paraId="7CF817EA" w14:textId="77777777" w:rsidR="003B5EA7" w:rsidRPr="00756E4F" w:rsidRDefault="003B5EA7"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2059B1F1" w14:textId="5619107F" w:rsidR="00F75FC9" w:rsidRPr="000C017C" w:rsidRDefault="00C83221" w:rsidP="00B43EFE">
      <w:pPr>
        <w:pStyle w:val="Titre1"/>
        <w:shd w:val="pct12" w:color="auto" w:fill="auto"/>
        <w:rPr>
          <w:sz w:val="36"/>
          <w:szCs w:val="36"/>
          <w:lang w:eastAsia="ar-SA"/>
        </w:rPr>
      </w:pPr>
      <w:bookmarkStart w:id="3" w:name="_Toc213428186"/>
      <w:r>
        <w:rPr>
          <w:sz w:val="36"/>
          <w:szCs w:val="36"/>
          <w:lang w:eastAsia="ar-SA"/>
        </w:rPr>
        <w:t>3</w:t>
      </w:r>
      <w:r w:rsidR="008222E3">
        <w:rPr>
          <w:sz w:val="36"/>
          <w:szCs w:val="36"/>
          <w:lang w:eastAsia="ar-SA"/>
        </w:rPr>
        <w:t>.</w:t>
      </w:r>
      <w:r>
        <w:rPr>
          <w:sz w:val="36"/>
          <w:szCs w:val="36"/>
          <w:lang w:eastAsia="ar-SA"/>
        </w:rPr>
        <w:t>2</w:t>
      </w:r>
      <w:r w:rsidR="00244FE6">
        <w:rPr>
          <w:sz w:val="36"/>
          <w:szCs w:val="36"/>
          <w:lang w:eastAsia="ar-SA"/>
        </w:rPr>
        <w:t xml:space="preserve"> : </w:t>
      </w:r>
      <w:r>
        <w:rPr>
          <w:sz w:val="36"/>
          <w:szCs w:val="36"/>
          <w:lang w:eastAsia="ar-SA"/>
        </w:rPr>
        <w:t>Redevances</w:t>
      </w:r>
      <w:r w:rsidR="0023645D">
        <w:rPr>
          <w:sz w:val="36"/>
          <w:szCs w:val="36"/>
          <w:lang w:eastAsia="ar-SA"/>
        </w:rPr>
        <w:t xml:space="preserve"> variables</w:t>
      </w:r>
      <w:bookmarkEnd w:id="3"/>
    </w:p>
    <w:p w14:paraId="0A8E5E13" w14:textId="048AFB64" w:rsidR="00244FE6" w:rsidRPr="00B43EFE" w:rsidRDefault="00244FE6" w:rsidP="00B43EFE">
      <w:pPr>
        <w:shd w:val="pct12" w:color="auto" w:fill="auto"/>
        <w:jc w:val="right"/>
        <w:rPr>
          <w:sz w:val="36"/>
          <w:szCs w:val="36"/>
        </w:rPr>
      </w:pPr>
      <w:r w:rsidRPr="00B43EFE">
        <w:rPr>
          <w:sz w:val="36"/>
          <w:szCs w:val="36"/>
        </w:rPr>
        <w:t>(</w:t>
      </w:r>
      <w:r w:rsidR="00C83221">
        <w:rPr>
          <w:sz w:val="36"/>
          <w:szCs w:val="36"/>
        </w:rPr>
        <w:t>5</w:t>
      </w:r>
      <w:r w:rsidRPr="00B43EFE">
        <w:rPr>
          <w:sz w:val="36"/>
          <w:szCs w:val="36"/>
        </w:rPr>
        <w:t xml:space="preserve"> points)</w:t>
      </w:r>
    </w:p>
    <w:p w14:paraId="45113E60" w14:textId="77777777" w:rsidR="00886BA4" w:rsidRDefault="00886BA4" w:rsidP="007931A0">
      <w:pPr>
        <w:ind w:left="1416"/>
        <w:jc w:val="both"/>
        <w:rPr>
          <w:rFonts w:ascii="Calibri Light" w:hAnsi="Calibri Light"/>
          <w:i/>
          <w:iCs/>
          <w:kern w:val="1"/>
          <w:lang w:eastAsia="ar-SA"/>
        </w:rPr>
      </w:pPr>
    </w:p>
    <w:p w14:paraId="046FADB4" w14:textId="7881EDC7" w:rsidR="0023645D" w:rsidRPr="0023645D" w:rsidRDefault="0023645D" w:rsidP="0023645D">
      <w:pPr>
        <w:ind w:left="1416"/>
        <w:jc w:val="both"/>
        <w:rPr>
          <w:rFonts w:ascii="Calibri Light" w:hAnsi="Calibri Light"/>
          <w:i/>
          <w:iCs/>
          <w:kern w:val="1"/>
          <w:lang w:eastAsia="ar-SA"/>
        </w:rPr>
      </w:pPr>
      <w:r w:rsidRPr="0023645D">
        <w:rPr>
          <w:rFonts w:ascii="Calibri Light" w:hAnsi="Calibri Light"/>
          <w:i/>
          <w:iCs/>
          <w:kern w:val="1"/>
          <w:lang w:eastAsia="ar-SA"/>
        </w:rPr>
        <w:t>Une note sur la proposition formulée par le candidat en matière de redevance</w:t>
      </w:r>
      <w:r>
        <w:rPr>
          <w:rFonts w:ascii="Calibri Light" w:hAnsi="Calibri Light"/>
          <w:i/>
          <w:iCs/>
          <w:kern w:val="1"/>
          <w:lang w:eastAsia="ar-SA"/>
        </w:rPr>
        <w:t>s</w:t>
      </w:r>
      <w:r w:rsidRPr="0023645D">
        <w:rPr>
          <w:rFonts w:ascii="Calibri Light" w:hAnsi="Calibri Light"/>
          <w:i/>
          <w:iCs/>
          <w:kern w:val="1"/>
          <w:lang w:eastAsia="ar-SA"/>
        </w:rPr>
        <w:t xml:space="preserve"> variable</w:t>
      </w:r>
      <w:r>
        <w:rPr>
          <w:rFonts w:ascii="Calibri Light" w:hAnsi="Calibri Light"/>
          <w:i/>
          <w:iCs/>
          <w:kern w:val="1"/>
          <w:lang w:eastAsia="ar-SA"/>
        </w:rPr>
        <w:t>s</w:t>
      </w:r>
      <w:r w:rsidRPr="0023645D">
        <w:rPr>
          <w:rFonts w:ascii="Calibri Light" w:hAnsi="Calibri Light"/>
          <w:i/>
          <w:iCs/>
          <w:kern w:val="1"/>
          <w:lang w:eastAsia="ar-SA"/>
        </w:rPr>
        <w:t xml:space="preserve"> étant entendu que :</w:t>
      </w:r>
    </w:p>
    <w:p w14:paraId="4B677741" w14:textId="77777777" w:rsidR="0023645D" w:rsidRPr="00130A4A" w:rsidRDefault="0023645D" w:rsidP="0023645D">
      <w:pPr>
        <w:numPr>
          <w:ilvl w:val="0"/>
          <w:numId w:val="1"/>
        </w:numPr>
        <w:tabs>
          <w:tab w:val="num" w:pos="993"/>
        </w:tabs>
        <w:spacing w:after="0" w:line="240" w:lineRule="auto"/>
        <w:ind w:left="993" w:hanging="284"/>
        <w:jc w:val="both"/>
        <w:rPr>
          <w:rFonts w:ascii="Calibri Light" w:hAnsi="Calibri Light"/>
          <w:i/>
          <w:iCs/>
          <w:kern w:val="1"/>
          <w:lang w:eastAsia="ar-SA"/>
        </w:rPr>
      </w:pPr>
      <w:r w:rsidRPr="00130A4A">
        <w:rPr>
          <w:rFonts w:ascii="Calibri Light" w:hAnsi="Calibri Light"/>
          <w:i/>
          <w:iCs/>
          <w:kern w:val="1"/>
          <w:lang w:eastAsia="ar-SA"/>
        </w:rPr>
        <w:t xml:space="preserve">sur la partie « programmation culturelle et artistique », le pourcentage de la part variable de la redevance ne pourra être inférieur à </w:t>
      </w:r>
      <w:r>
        <w:rPr>
          <w:rFonts w:ascii="Calibri Light" w:hAnsi="Calibri Light"/>
          <w:i/>
          <w:iCs/>
          <w:kern w:val="1"/>
          <w:lang w:eastAsia="ar-SA"/>
        </w:rPr>
        <w:t>5</w:t>
      </w:r>
      <w:r w:rsidRPr="00130A4A">
        <w:rPr>
          <w:rFonts w:ascii="Calibri Light" w:hAnsi="Calibri Light"/>
          <w:i/>
          <w:iCs/>
          <w:kern w:val="1"/>
          <w:lang w:eastAsia="ar-SA"/>
        </w:rPr>
        <w:t>% minimum du CA total de billetterie</w:t>
      </w:r>
    </w:p>
    <w:p w14:paraId="5B56E08A" w14:textId="77777777" w:rsidR="0023645D" w:rsidRDefault="0023645D" w:rsidP="0023645D">
      <w:pPr>
        <w:numPr>
          <w:ilvl w:val="0"/>
          <w:numId w:val="1"/>
        </w:numPr>
        <w:tabs>
          <w:tab w:val="num" w:pos="993"/>
        </w:tabs>
        <w:spacing w:after="0" w:line="240" w:lineRule="auto"/>
        <w:ind w:left="993" w:hanging="284"/>
        <w:jc w:val="both"/>
        <w:rPr>
          <w:rFonts w:ascii="Calibri Light" w:hAnsi="Calibri Light"/>
          <w:i/>
          <w:iCs/>
          <w:kern w:val="1"/>
          <w:lang w:eastAsia="ar-SA"/>
        </w:rPr>
      </w:pPr>
      <w:r w:rsidRPr="00130A4A">
        <w:rPr>
          <w:rFonts w:ascii="Calibri Light" w:hAnsi="Calibri Light"/>
          <w:i/>
          <w:iCs/>
          <w:kern w:val="1"/>
          <w:lang w:eastAsia="ar-SA"/>
        </w:rPr>
        <w:t>sur la partie « locations événementielles », le pourcentage de la part variable de la redevance ne pourra être inférieur à 20% minimum du CA locatif total</w:t>
      </w:r>
      <w:r w:rsidRPr="00D63112">
        <w:rPr>
          <w:rFonts w:ascii="Calibri Light" w:hAnsi="Calibri Light"/>
          <w:i/>
          <w:iCs/>
          <w:kern w:val="1"/>
          <w:lang w:eastAsia="ar-SA"/>
        </w:rPr>
        <w:t>.</w:t>
      </w:r>
    </w:p>
    <w:p w14:paraId="2EF0E580" w14:textId="77777777" w:rsidR="0023645D" w:rsidRPr="00D63112" w:rsidRDefault="0023645D" w:rsidP="0023645D">
      <w:pPr>
        <w:numPr>
          <w:ilvl w:val="0"/>
          <w:numId w:val="1"/>
        </w:numPr>
        <w:tabs>
          <w:tab w:val="num" w:pos="993"/>
        </w:tabs>
        <w:spacing w:after="0" w:line="240" w:lineRule="auto"/>
        <w:ind w:left="993" w:hanging="284"/>
        <w:jc w:val="both"/>
        <w:rPr>
          <w:rFonts w:ascii="Calibri Light" w:hAnsi="Calibri Light"/>
          <w:i/>
          <w:iCs/>
          <w:kern w:val="1"/>
          <w:lang w:eastAsia="ar-SA"/>
        </w:rPr>
      </w:pPr>
      <w:bookmarkStart w:id="4" w:name="_Hlk213077213"/>
      <w:r>
        <w:rPr>
          <w:rFonts w:ascii="Calibri Light" w:hAnsi="Calibri Light"/>
          <w:i/>
          <w:iCs/>
          <w:kern w:val="1"/>
          <w:lang w:eastAsia="ar-SA"/>
        </w:rPr>
        <w:t>Sur les parties « </w:t>
      </w:r>
      <w:r w:rsidRPr="00130A4A">
        <w:rPr>
          <w:rFonts w:ascii="Calibri Light" w:hAnsi="Calibri Light"/>
          <w:i/>
          <w:iCs/>
          <w:kern w:val="1"/>
          <w:lang w:eastAsia="ar-SA"/>
        </w:rPr>
        <w:t xml:space="preserve">recettes de </w:t>
      </w:r>
      <w:r>
        <w:rPr>
          <w:rFonts w:ascii="Calibri Light" w:hAnsi="Calibri Light"/>
          <w:i/>
          <w:iCs/>
          <w:kern w:val="1"/>
          <w:lang w:eastAsia="ar-SA"/>
        </w:rPr>
        <w:t xml:space="preserve">la </w:t>
      </w:r>
      <w:r w:rsidRPr="00130A4A">
        <w:rPr>
          <w:rFonts w:ascii="Calibri Light" w:hAnsi="Calibri Light"/>
          <w:i/>
          <w:iCs/>
          <w:kern w:val="1"/>
          <w:lang w:eastAsia="ar-SA"/>
        </w:rPr>
        <w:t>b</w:t>
      </w:r>
      <w:r>
        <w:rPr>
          <w:rFonts w:ascii="Calibri Light" w:hAnsi="Calibri Light"/>
          <w:i/>
          <w:iCs/>
          <w:kern w:val="1"/>
          <w:lang w:eastAsia="ar-SA"/>
        </w:rPr>
        <w:t>uvette »</w:t>
      </w:r>
      <w:r w:rsidRPr="00130A4A">
        <w:rPr>
          <w:rFonts w:ascii="Calibri Light" w:hAnsi="Calibri Light"/>
          <w:i/>
          <w:iCs/>
          <w:kern w:val="1"/>
          <w:lang w:eastAsia="ar-SA"/>
        </w:rPr>
        <w:t xml:space="preserve"> et </w:t>
      </w:r>
      <w:r>
        <w:rPr>
          <w:rFonts w:ascii="Calibri Light" w:hAnsi="Calibri Light"/>
          <w:i/>
          <w:iCs/>
          <w:kern w:val="1"/>
          <w:lang w:eastAsia="ar-SA"/>
        </w:rPr>
        <w:t>« </w:t>
      </w:r>
      <w:r w:rsidRPr="00130A4A">
        <w:rPr>
          <w:rFonts w:ascii="Calibri Light" w:hAnsi="Calibri Light"/>
          <w:i/>
          <w:iCs/>
          <w:kern w:val="1"/>
          <w:lang w:eastAsia="ar-SA"/>
        </w:rPr>
        <w:t>prestations</w:t>
      </w:r>
      <w:r>
        <w:rPr>
          <w:rFonts w:ascii="Calibri Light" w:hAnsi="Calibri Light"/>
          <w:i/>
          <w:iCs/>
          <w:kern w:val="1"/>
          <w:lang w:eastAsia="ar-SA"/>
        </w:rPr>
        <w:t xml:space="preserve"> de location de matériels »</w:t>
      </w:r>
      <w:r w:rsidRPr="00130A4A">
        <w:rPr>
          <w:rFonts w:ascii="Calibri Light" w:hAnsi="Calibri Light"/>
          <w:i/>
          <w:iCs/>
          <w:kern w:val="1"/>
          <w:lang w:eastAsia="ar-SA"/>
        </w:rPr>
        <w:t xml:space="preserve">, le pourcentage de la part variable de la redevance </w:t>
      </w:r>
      <w:r>
        <w:rPr>
          <w:rFonts w:ascii="Calibri Light" w:hAnsi="Calibri Light"/>
          <w:i/>
          <w:iCs/>
          <w:kern w:val="1"/>
          <w:lang w:eastAsia="ar-SA"/>
        </w:rPr>
        <w:t xml:space="preserve">est laissé à l’appréciation des </w:t>
      </w:r>
      <w:r w:rsidRPr="00130A4A">
        <w:rPr>
          <w:rFonts w:ascii="Calibri Light" w:hAnsi="Calibri Light"/>
          <w:i/>
          <w:iCs/>
          <w:kern w:val="1"/>
          <w:lang w:eastAsia="ar-SA"/>
        </w:rPr>
        <w:t>candida</w:t>
      </w:r>
      <w:r>
        <w:rPr>
          <w:rFonts w:ascii="Calibri Light" w:hAnsi="Calibri Light"/>
          <w:i/>
          <w:iCs/>
          <w:kern w:val="1"/>
          <w:lang w:eastAsia="ar-SA"/>
        </w:rPr>
        <w:t>ts</w:t>
      </w:r>
      <w:bookmarkEnd w:id="4"/>
      <w:r>
        <w:rPr>
          <w:rFonts w:ascii="Calibri Light" w:hAnsi="Calibri Light"/>
          <w:i/>
          <w:iCs/>
          <w:kern w:val="1"/>
          <w:lang w:eastAsia="ar-SA"/>
        </w:rPr>
        <w:t>.</w:t>
      </w:r>
    </w:p>
    <w:p w14:paraId="6AA13165" w14:textId="77777777" w:rsidR="0023645D" w:rsidRPr="00D46696" w:rsidRDefault="0023645D" w:rsidP="0023645D">
      <w:pPr>
        <w:ind w:left="709"/>
        <w:jc w:val="both"/>
        <w:rPr>
          <w:rFonts w:ascii="Calibri Light" w:hAnsi="Calibri Light"/>
          <w:kern w:val="1"/>
          <w:highlight w:val="yellow"/>
          <w:lang w:eastAsia="ar-SA"/>
        </w:rPr>
      </w:pPr>
    </w:p>
    <w:sectPr w:rsidR="0023645D" w:rsidRPr="00D4669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15795" w14:textId="77777777" w:rsidR="00F07DEE" w:rsidRDefault="00F07DEE" w:rsidP="002B407E">
      <w:pPr>
        <w:spacing w:after="0" w:line="240" w:lineRule="auto"/>
      </w:pPr>
      <w:r>
        <w:separator/>
      </w:r>
    </w:p>
  </w:endnote>
  <w:endnote w:type="continuationSeparator" w:id="0">
    <w:p w14:paraId="41B81E05" w14:textId="77777777" w:rsidR="00F07DEE" w:rsidRDefault="00F07DEE" w:rsidP="002B4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4066259"/>
      <w:docPartObj>
        <w:docPartGallery w:val="Page Numbers (Bottom of Page)"/>
        <w:docPartUnique/>
      </w:docPartObj>
    </w:sdtPr>
    <w:sdtContent>
      <w:sdt>
        <w:sdtPr>
          <w:id w:val="-1769616900"/>
          <w:docPartObj>
            <w:docPartGallery w:val="Page Numbers (Top of Page)"/>
            <w:docPartUnique/>
          </w:docPartObj>
        </w:sdtPr>
        <w:sdtContent>
          <w:p w14:paraId="6322965A" w14:textId="0DAEBDD2" w:rsidR="002B407E" w:rsidRDefault="002B407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F1ADA97" w14:textId="77777777" w:rsidR="002B407E" w:rsidRDefault="002B40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CF684" w14:textId="77777777" w:rsidR="00F07DEE" w:rsidRDefault="00F07DEE" w:rsidP="002B407E">
      <w:pPr>
        <w:spacing w:after="0" w:line="240" w:lineRule="auto"/>
      </w:pPr>
      <w:r>
        <w:separator/>
      </w:r>
    </w:p>
  </w:footnote>
  <w:footnote w:type="continuationSeparator" w:id="0">
    <w:p w14:paraId="7DA83472" w14:textId="77777777" w:rsidR="00F07DEE" w:rsidRDefault="00F07DEE" w:rsidP="002B40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9705F4"/>
    <w:multiLevelType w:val="hybridMultilevel"/>
    <w:tmpl w:val="306C23C4"/>
    <w:lvl w:ilvl="0" w:tplc="117E8BD6">
      <w:start w:val="20"/>
      <w:numFmt w:val="bullet"/>
      <w:lvlText w:val="-"/>
      <w:lvlJc w:val="left"/>
      <w:pPr>
        <w:ind w:left="1776" w:hanging="360"/>
      </w:pPr>
      <w:rPr>
        <w:rFonts w:ascii="Calibri Light" w:eastAsiaTheme="minorHAnsi" w:hAnsi="Calibri Light" w:cs="Calibri Light"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79F916CF"/>
    <w:multiLevelType w:val="multilevel"/>
    <w:tmpl w:val="C554C72C"/>
    <w:lvl w:ilvl="0">
      <w:numFmt w:val="bullet"/>
      <w:lvlText w:val="-"/>
      <w:lvlJc w:val="left"/>
      <w:pPr>
        <w:tabs>
          <w:tab w:val="num" w:pos="1277"/>
        </w:tabs>
        <w:ind w:left="1277" w:firstLine="0"/>
      </w:pPr>
      <w:rPr>
        <w:rFonts w:ascii="Verdana" w:eastAsia="Times New Roman" w:hAnsi="Verdana" w:cs="Times New Roman" w:hint="default"/>
      </w:rPr>
    </w:lvl>
    <w:lvl w:ilvl="1">
      <w:start w:val="1"/>
      <w:numFmt w:val="decimal"/>
      <w:suff w:val="nothing"/>
      <w:lvlText w:val="1-%2)"/>
      <w:lvlJc w:val="left"/>
      <w:pPr>
        <w:tabs>
          <w:tab w:val="num" w:pos="1277"/>
        </w:tabs>
        <w:ind w:left="1277" w:firstLine="0"/>
      </w:pPr>
    </w:lvl>
    <w:lvl w:ilvl="2">
      <w:start w:val="1"/>
      <w:numFmt w:val="decimal"/>
      <w:suff w:val="nothing"/>
      <w:lvlText w:val="1-%3)"/>
      <w:lvlJc w:val="left"/>
      <w:pPr>
        <w:tabs>
          <w:tab w:val="num" w:pos="1277"/>
        </w:tabs>
        <w:ind w:left="1277" w:firstLine="0"/>
      </w:pPr>
    </w:lvl>
    <w:lvl w:ilvl="3">
      <w:start w:val="1"/>
      <w:numFmt w:val="decimal"/>
      <w:suff w:val="nothing"/>
      <w:lvlText w:val="1-%4)"/>
      <w:lvlJc w:val="left"/>
      <w:pPr>
        <w:tabs>
          <w:tab w:val="num" w:pos="1277"/>
        </w:tabs>
        <w:ind w:left="1277" w:firstLine="0"/>
      </w:pPr>
    </w:lvl>
    <w:lvl w:ilvl="4">
      <w:start w:val="1"/>
      <w:numFmt w:val="decimal"/>
      <w:suff w:val="nothing"/>
      <w:lvlText w:val="1-%5)"/>
      <w:lvlJc w:val="left"/>
      <w:pPr>
        <w:tabs>
          <w:tab w:val="num" w:pos="1277"/>
        </w:tabs>
        <w:ind w:left="1277" w:firstLine="0"/>
      </w:pPr>
    </w:lvl>
    <w:lvl w:ilvl="5">
      <w:start w:val="1"/>
      <w:numFmt w:val="decimal"/>
      <w:suff w:val="nothing"/>
      <w:lvlText w:val="1-%6)"/>
      <w:lvlJc w:val="left"/>
      <w:pPr>
        <w:tabs>
          <w:tab w:val="num" w:pos="1277"/>
        </w:tabs>
        <w:ind w:left="1277" w:firstLine="0"/>
      </w:pPr>
    </w:lvl>
    <w:lvl w:ilvl="6">
      <w:start w:val="1"/>
      <w:numFmt w:val="decimal"/>
      <w:suff w:val="nothing"/>
      <w:lvlText w:val="1-%7)"/>
      <w:lvlJc w:val="left"/>
      <w:pPr>
        <w:tabs>
          <w:tab w:val="num" w:pos="1277"/>
        </w:tabs>
        <w:ind w:left="1277" w:firstLine="0"/>
      </w:pPr>
    </w:lvl>
    <w:lvl w:ilvl="7">
      <w:start w:val="1"/>
      <w:numFmt w:val="decimal"/>
      <w:suff w:val="nothing"/>
      <w:lvlText w:val="1-%8)"/>
      <w:lvlJc w:val="left"/>
      <w:pPr>
        <w:tabs>
          <w:tab w:val="num" w:pos="1277"/>
        </w:tabs>
        <w:ind w:left="1277" w:firstLine="0"/>
      </w:pPr>
    </w:lvl>
    <w:lvl w:ilvl="8">
      <w:start w:val="1"/>
      <w:numFmt w:val="decimal"/>
      <w:suff w:val="nothing"/>
      <w:lvlText w:val="1-%9)"/>
      <w:lvlJc w:val="left"/>
      <w:pPr>
        <w:tabs>
          <w:tab w:val="num" w:pos="1277"/>
        </w:tabs>
        <w:ind w:left="1277" w:firstLine="0"/>
      </w:pPr>
    </w:lvl>
  </w:abstractNum>
  <w:num w:numId="1" w16cid:durableId="1403483958">
    <w:abstractNumId w:val="1"/>
  </w:num>
  <w:num w:numId="2" w16cid:durableId="677081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65A"/>
    <w:rsid w:val="00015CA6"/>
    <w:rsid w:val="00020AC9"/>
    <w:rsid w:val="00056934"/>
    <w:rsid w:val="000C017C"/>
    <w:rsid w:val="000E7E71"/>
    <w:rsid w:val="001311D9"/>
    <w:rsid w:val="0016319F"/>
    <w:rsid w:val="00166469"/>
    <w:rsid w:val="001F05D0"/>
    <w:rsid w:val="0023645D"/>
    <w:rsid w:val="00241022"/>
    <w:rsid w:val="00244FE6"/>
    <w:rsid w:val="00266D9B"/>
    <w:rsid w:val="002B407E"/>
    <w:rsid w:val="002F17FC"/>
    <w:rsid w:val="00316188"/>
    <w:rsid w:val="0034074B"/>
    <w:rsid w:val="003577F0"/>
    <w:rsid w:val="003A714F"/>
    <w:rsid w:val="003B5EA7"/>
    <w:rsid w:val="004F5AF7"/>
    <w:rsid w:val="00581596"/>
    <w:rsid w:val="00596D9D"/>
    <w:rsid w:val="005A26B5"/>
    <w:rsid w:val="006754C6"/>
    <w:rsid w:val="006C0169"/>
    <w:rsid w:val="00700571"/>
    <w:rsid w:val="00755F76"/>
    <w:rsid w:val="00756E4F"/>
    <w:rsid w:val="007931A0"/>
    <w:rsid w:val="008162B4"/>
    <w:rsid w:val="008222E3"/>
    <w:rsid w:val="00846B0B"/>
    <w:rsid w:val="00850B88"/>
    <w:rsid w:val="00865A81"/>
    <w:rsid w:val="008826F6"/>
    <w:rsid w:val="00886BA4"/>
    <w:rsid w:val="00897F59"/>
    <w:rsid w:val="008D7B0B"/>
    <w:rsid w:val="00953005"/>
    <w:rsid w:val="00962B79"/>
    <w:rsid w:val="009A4350"/>
    <w:rsid w:val="009F4FC0"/>
    <w:rsid w:val="00A4372D"/>
    <w:rsid w:val="00A70540"/>
    <w:rsid w:val="00A8165A"/>
    <w:rsid w:val="00A8669C"/>
    <w:rsid w:val="00AC1215"/>
    <w:rsid w:val="00AD4EB9"/>
    <w:rsid w:val="00AE674C"/>
    <w:rsid w:val="00B377EA"/>
    <w:rsid w:val="00B43EFE"/>
    <w:rsid w:val="00C6605E"/>
    <w:rsid w:val="00C72E16"/>
    <w:rsid w:val="00C83221"/>
    <w:rsid w:val="00CB379A"/>
    <w:rsid w:val="00CF7C06"/>
    <w:rsid w:val="00D27F4A"/>
    <w:rsid w:val="00D67E76"/>
    <w:rsid w:val="00DD1D5F"/>
    <w:rsid w:val="00E23AD0"/>
    <w:rsid w:val="00E36AD2"/>
    <w:rsid w:val="00E556CF"/>
    <w:rsid w:val="00EA4DDF"/>
    <w:rsid w:val="00EB3A9D"/>
    <w:rsid w:val="00ED4568"/>
    <w:rsid w:val="00F07DEE"/>
    <w:rsid w:val="00F34A2C"/>
    <w:rsid w:val="00F75FC9"/>
    <w:rsid w:val="00F8297A"/>
    <w:rsid w:val="00FC389A"/>
    <w:rsid w:val="00FC764F"/>
    <w:rsid w:val="00FF3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17CB3"/>
  <w15:chartTrackingRefBased/>
  <w15:docId w15:val="{5AED0487-E962-4FB2-A7DA-1CD618B40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816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A816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8165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8165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8165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8165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8165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8165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165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165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A8165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8165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8165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8165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8165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8165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8165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165A"/>
    <w:rPr>
      <w:rFonts w:eastAsiaTheme="majorEastAsia" w:cstheme="majorBidi"/>
      <w:color w:val="272727" w:themeColor="text1" w:themeTint="D8"/>
    </w:rPr>
  </w:style>
  <w:style w:type="paragraph" w:styleId="Titre">
    <w:name w:val="Title"/>
    <w:basedOn w:val="Normal"/>
    <w:next w:val="Normal"/>
    <w:link w:val="TitreCar"/>
    <w:uiPriority w:val="10"/>
    <w:qFormat/>
    <w:rsid w:val="00A816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165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165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165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165A"/>
    <w:pPr>
      <w:spacing w:before="160"/>
      <w:jc w:val="center"/>
    </w:pPr>
    <w:rPr>
      <w:i/>
      <w:iCs/>
      <w:color w:val="404040" w:themeColor="text1" w:themeTint="BF"/>
    </w:rPr>
  </w:style>
  <w:style w:type="character" w:customStyle="1" w:styleId="CitationCar">
    <w:name w:val="Citation Car"/>
    <w:basedOn w:val="Policepardfaut"/>
    <w:link w:val="Citation"/>
    <w:uiPriority w:val="29"/>
    <w:rsid w:val="00A8165A"/>
    <w:rPr>
      <w:i/>
      <w:iCs/>
      <w:color w:val="404040" w:themeColor="text1" w:themeTint="BF"/>
    </w:rPr>
  </w:style>
  <w:style w:type="paragraph" w:styleId="Paragraphedeliste">
    <w:name w:val="List Paragraph"/>
    <w:basedOn w:val="Normal"/>
    <w:link w:val="ParagraphedelisteCar"/>
    <w:uiPriority w:val="34"/>
    <w:qFormat/>
    <w:rsid w:val="00A8165A"/>
    <w:pPr>
      <w:ind w:left="720"/>
      <w:contextualSpacing/>
    </w:pPr>
  </w:style>
  <w:style w:type="character" w:styleId="Accentuationintense">
    <w:name w:val="Intense Emphasis"/>
    <w:basedOn w:val="Policepardfaut"/>
    <w:uiPriority w:val="21"/>
    <w:qFormat/>
    <w:rsid w:val="00A8165A"/>
    <w:rPr>
      <w:i/>
      <w:iCs/>
      <w:color w:val="0F4761" w:themeColor="accent1" w:themeShade="BF"/>
    </w:rPr>
  </w:style>
  <w:style w:type="paragraph" w:styleId="Citationintense">
    <w:name w:val="Intense Quote"/>
    <w:basedOn w:val="Normal"/>
    <w:next w:val="Normal"/>
    <w:link w:val="CitationintenseCar"/>
    <w:uiPriority w:val="30"/>
    <w:qFormat/>
    <w:rsid w:val="00A816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8165A"/>
    <w:rPr>
      <w:i/>
      <w:iCs/>
      <w:color w:val="0F4761" w:themeColor="accent1" w:themeShade="BF"/>
    </w:rPr>
  </w:style>
  <w:style w:type="character" w:styleId="Rfrenceintense">
    <w:name w:val="Intense Reference"/>
    <w:basedOn w:val="Policepardfaut"/>
    <w:uiPriority w:val="32"/>
    <w:qFormat/>
    <w:rsid w:val="00A8165A"/>
    <w:rPr>
      <w:b/>
      <w:bCs/>
      <w:smallCaps/>
      <w:color w:val="0F4761" w:themeColor="accent1" w:themeShade="BF"/>
      <w:spacing w:val="5"/>
    </w:rPr>
  </w:style>
  <w:style w:type="character" w:styleId="Marquedecommentaire">
    <w:name w:val="annotation reference"/>
    <w:rsid w:val="00F75FC9"/>
    <w:rPr>
      <w:sz w:val="16"/>
      <w:szCs w:val="16"/>
    </w:rPr>
  </w:style>
  <w:style w:type="paragraph" w:styleId="Commentaire">
    <w:name w:val="annotation text"/>
    <w:basedOn w:val="Normal"/>
    <w:link w:val="CommentaireCar"/>
    <w:rsid w:val="00F75FC9"/>
    <w:pPr>
      <w:spacing w:after="0" w:line="240" w:lineRule="auto"/>
    </w:pPr>
    <w:rPr>
      <w:rFonts w:ascii="Times New Roman" w:eastAsia="Times New Roman" w:hAnsi="Times New Roman" w:cs="Times New Roman"/>
      <w:kern w:val="0"/>
      <w:sz w:val="20"/>
      <w:szCs w:val="20"/>
      <w:lang w:eastAsia="fr-FR"/>
      <w14:ligatures w14:val="none"/>
    </w:rPr>
  </w:style>
  <w:style w:type="character" w:customStyle="1" w:styleId="CommentaireCar">
    <w:name w:val="Commentaire Car"/>
    <w:basedOn w:val="Policepardfaut"/>
    <w:link w:val="Commentaire"/>
    <w:rsid w:val="00F75FC9"/>
    <w:rPr>
      <w:rFonts w:ascii="Times New Roman" w:eastAsia="Times New Roman" w:hAnsi="Times New Roman" w:cs="Times New Roman"/>
      <w:kern w:val="0"/>
      <w:sz w:val="20"/>
      <w:szCs w:val="20"/>
      <w:lang w:eastAsia="fr-FR"/>
      <w14:ligatures w14:val="none"/>
    </w:rPr>
  </w:style>
  <w:style w:type="paragraph" w:styleId="En-tte">
    <w:name w:val="header"/>
    <w:basedOn w:val="Normal"/>
    <w:link w:val="En-tteCar"/>
    <w:uiPriority w:val="99"/>
    <w:unhideWhenUsed/>
    <w:rsid w:val="002B407E"/>
    <w:pPr>
      <w:tabs>
        <w:tab w:val="center" w:pos="4536"/>
        <w:tab w:val="right" w:pos="9072"/>
      </w:tabs>
      <w:spacing w:after="0" w:line="240" w:lineRule="auto"/>
    </w:pPr>
  </w:style>
  <w:style w:type="character" w:customStyle="1" w:styleId="En-tteCar">
    <w:name w:val="En-tête Car"/>
    <w:basedOn w:val="Policepardfaut"/>
    <w:link w:val="En-tte"/>
    <w:uiPriority w:val="99"/>
    <w:rsid w:val="002B407E"/>
  </w:style>
  <w:style w:type="paragraph" w:styleId="Pieddepage">
    <w:name w:val="footer"/>
    <w:basedOn w:val="Normal"/>
    <w:link w:val="PieddepageCar"/>
    <w:uiPriority w:val="99"/>
    <w:unhideWhenUsed/>
    <w:rsid w:val="002B407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407E"/>
  </w:style>
  <w:style w:type="paragraph" w:styleId="En-ttedetabledesmatires">
    <w:name w:val="TOC Heading"/>
    <w:basedOn w:val="Titre1"/>
    <w:next w:val="Normal"/>
    <w:uiPriority w:val="39"/>
    <w:unhideWhenUsed/>
    <w:qFormat/>
    <w:rsid w:val="002B407E"/>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2B407E"/>
    <w:pPr>
      <w:spacing w:after="100"/>
    </w:pPr>
  </w:style>
  <w:style w:type="paragraph" w:styleId="TM2">
    <w:name w:val="toc 2"/>
    <w:basedOn w:val="Normal"/>
    <w:next w:val="Normal"/>
    <w:autoRedefine/>
    <w:uiPriority w:val="39"/>
    <w:unhideWhenUsed/>
    <w:rsid w:val="002B407E"/>
    <w:pPr>
      <w:spacing w:after="100"/>
      <w:ind w:left="220"/>
    </w:pPr>
  </w:style>
  <w:style w:type="character" w:styleId="Lienhypertexte">
    <w:name w:val="Hyperlink"/>
    <w:basedOn w:val="Policepardfaut"/>
    <w:uiPriority w:val="99"/>
    <w:unhideWhenUsed/>
    <w:rsid w:val="002B407E"/>
    <w:rPr>
      <w:color w:val="467886" w:themeColor="hyperlink"/>
      <w:u w:val="single"/>
    </w:rPr>
  </w:style>
  <w:style w:type="character" w:customStyle="1" w:styleId="ParagraphedelisteCar">
    <w:name w:val="Paragraphe de liste Car"/>
    <w:link w:val="Paragraphedeliste"/>
    <w:uiPriority w:val="34"/>
    <w:locked/>
    <w:rsid w:val="006754C6"/>
  </w:style>
  <w:style w:type="paragraph" w:customStyle="1" w:styleId="RedTitre1">
    <w:name w:val="RedTitre1"/>
    <w:basedOn w:val="Normal"/>
    <w:semiHidden/>
    <w:rsid w:val="006754C6"/>
    <w:pPr>
      <w:framePr w:hSpace="142" w:wrap="auto" w:vAnchor="text" w:hAnchor="text" w:xAlign="center" w:y="1"/>
      <w:spacing w:after="0" w:line="240" w:lineRule="auto"/>
      <w:ind w:left="284"/>
      <w:jc w:val="center"/>
    </w:pPr>
    <w:rPr>
      <w:rFonts w:ascii="Arial" w:eastAsia="Calibri" w:hAnsi="Arial" w:cs="Times New Roman"/>
      <w:b/>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ED939-D02A-4CC2-93D5-12E692104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Pages>
  <Words>330</Words>
  <Characters>1819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Mylène Huard</dc:creator>
  <cp:keywords/>
  <dc:description/>
  <cp:lastModifiedBy>TAGHDJIAN Sandrine</cp:lastModifiedBy>
  <cp:revision>40</cp:revision>
  <dcterms:created xsi:type="dcterms:W3CDTF">2025-10-26T16:59:00Z</dcterms:created>
  <dcterms:modified xsi:type="dcterms:W3CDTF">2025-11-12T08:58:00Z</dcterms:modified>
</cp:coreProperties>
</file>