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892F7" w14:textId="57EEA488" w:rsidR="006754C6" w:rsidRDefault="006754C6" w:rsidP="00F75FC9">
      <w:r w:rsidRPr="00A3732B">
        <w:rPr>
          <w:noProof/>
        </w:rPr>
        <w:drawing>
          <wp:inline distT="0" distB="0" distL="0" distR="0" wp14:anchorId="004450FB" wp14:editId="0E031BBE">
            <wp:extent cx="3743325" cy="723900"/>
            <wp:effectExtent l="0" t="0" r="9525" b="0"/>
            <wp:docPr id="2" name="Image 2" descr="Une image contenant Police, logo, Graphiqu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logo, Graphique, symbol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43325" cy="723900"/>
                    </a:xfrm>
                    <a:prstGeom prst="rect">
                      <a:avLst/>
                    </a:prstGeom>
                    <a:noFill/>
                    <a:ln>
                      <a:noFill/>
                    </a:ln>
                  </pic:spPr>
                </pic:pic>
              </a:graphicData>
            </a:graphic>
          </wp:inline>
        </w:drawing>
      </w:r>
    </w:p>
    <w:p w14:paraId="1BF54F38" w14:textId="77777777" w:rsidR="006754C6" w:rsidRDefault="006754C6" w:rsidP="006754C6">
      <w:pPr>
        <w:jc w:val="center"/>
        <w:rPr>
          <w:rFonts w:ascii="Times New Roman" w:hAnsi="Times New Roman" w:cs="Times New Roman"/>
          <w:b/>
          <w:bCs/>
          <w:sz w:val="40"/>
          <w:szCs w:val="40"/>
        </w:rPr>
      </w:pPr>
      <w:r w:rsidRPr="006C60EC">
        <w:rPr>
          <w:rFonts w:ascii="Times New Roman" w:hAnsi="Times New Roman" w:cs="Times New Roman"/>
          <w:b/>
          <w:bCs/>
          <w:sz w:val="40"/>
          <w:szCs w:val="40"/>
        </w:rPr>
        <w:t>CADRE DE MEMOIRE TECHNIQUE</w:t>
      </w:r>
    </w:p>
    <w:p w14:paraId="7C20E98E" w14:textId="2CECC786" w:rsidR="006754C6" w:rsidRPr="006C60EC" w:rsidRDefault="006754C6" w:rsidP="006754C6">
      <w:pPr>
        <w:jc w:val="center"/>
        <w:rPr>
          <w:rFonts w:ascii="Times New Roman" w:hAnsi="Times New Roman" w:cs="Times New Roman"/>
          <w:b/>
          <w:bCs/>
          <w:sz w:val="40"/>
          <w:szCs w:val="40"/>
        </w:rPr>
      </w:pPr>
      <w:r w:rsidRPr="006C60EC">
        <w:rPr>
          <w:rFonts w:ascii="Times New Roman" w:hAnsi="Times New Roman" w:cs="Times New Roman"/>
          <w:b/>
          <w:bCs/>
          <w:sz w:val="40"/>
          <w:szCs w:val="40"/>
        </w:rPr>
        <w:t>(CMT)</w:t>
      </w:r>
    </w:p>
    <w:p w14:paraId="15ACF94E" w14:textId="1E077546" w:rsidR="006754C6" w:rsidRPr="006C60EC" w:rsidRDefault="008222E3" w:rsidP="006754C6">
      <w:pPr>
        <w:jc w:val="center"/>
        <w:rPr>
          <w:rFonts w:ascii="Times New Roman" w:hAnsi="Times New Roman" w:cs="Times New Roman"/>
          <w:b/>
          <w:bCs/>
          <w:sz w:val="40"/>
          <w:szCs w:val="40"/>
        </w:rPr>
      </w:pPr>
      <w:r w:rsidRPr="008222E3">
        <w:rPr>
          <w:rFonts w:ascii="Times New Roman" w:hAnsi="Times New Roman" w:cs="Times New Roman"/>
          <w:b/>
          <w:bCs/>
          <w:sz w:val="40"/>
          <w:szCs w:val="40"/>
        </w:rPr>
        <w:t>VOLET 2 : DONNEES D’EXPLOITATION</w:t>
      </w:r>
    </w:p>
    <w:p w14:paraId="74465789" w14:textId="77777777" w:rsidR="00DD1D5F" w:rsidRDefault="00DD1D5F" w:rsidP="006754C6">
      <w:pPr>
        <w:pStyle w:val="RedTitre1"/>
        <w:framePr w:hSpace="0" w:wrap="auto" w:vAnchor="margin" w:xAlign="left" w:yAlign="inline"/>
        <w:rPr>
          <w:rFonts w:ascii="Times New Roman" w:hAnsi="Times New Roman"/>
          <w:sz w:val="21"/>
          <w:szCs w:val="21"/>
          <w:shd w:val="clear" w:color="auto" w:fill="FFFFFF"/>
        </w:rPr>
      </w:pPr>
    </w:p>
    <w:p w14:paraId="13BCD22C" w14:textId="77777777" w:rsidR="00DD1D5F" w:rsidRDefault="00DD1D5F" w:rsidP="006754C6">
      <w:pPr>
        <w:pStyle w:val="RedTitre1"/>
        <w:framePr w:hSpace="0" w:wrap="auto" w:vAnchor="margin" w:xAlign="left" w:yAlign="inline"/>
        <w:rPr>
          <w:rFonts w:ascii="Times New Roman" w:hAnsi="Times New Roman"/>
          <w:sz w:val="21"/>
          <w:szCs w:val="21"/>
          <w:shd w:val="clear" w:color="auto" w:fill="FFFFFF"/>
        </w:rPr>
      </w:pPr>
    </w:p>
    <w:p w14:paraId="27E4DD9C" w14:textId="46C71D2D" w:rsidR="006754C6" w:rsidRPr="006C60EC" w:rsidRDefault="006754C6" w:rsidP="006754C6">
      <w:pPr>
        <w:pStyle w:val="RedTitre1"/>
        <w:framePr w:hSpace="0" w:wrap="auto" w:vAnchor="margin" w:xAlign="left" w:yAlign="inline"/>
        <w:rPr>
          <w:rFonts w:ascii="Times New Roman" w:hAnsi="Times New Roman"/>
          <w:szCs w:val="20"/>
        </w:rPr>
      </w:pPr>
      <w:r w:rsidRPr="006C60EC">
        <w:rPr>
          <w:rFonts w:ascii="Times New Roman" w:hAnsi="Times New Roman"/>
          <w:sz w:val="21"/>
          <w:szCs w:val="21"/>
          <w:shd w:val="clear" w:color="auto" w:fill="FFFFFF"/>
        </w:rPr>
        <w:t>Concession numéro</w:t>
      </w:r>
      <w:r w:rsidRPr="006C60EC">
        <w:rPr>
          <w:rFonts w:ascii="Times New Roman" w:hAnsi="Times New Roman"/>
          <w:szCs w:val="20"/>
        </w:rPr>
        <w:t xml:space="preserve"> : </w:t>
      </w:r>
      <w:r w:rsidRPr="00316188">
        <w:rPr>
          <w:rFonts w:ascii="Times New Roman" w:hAnsi="Times New Roman"/>
          <w:sz w:val="48"/>
          <w:szCs w:val="48"/>
        </w:rPr>
        <w:t>N°</w:t>
      </w:r>
      <w:r w:rsidR="00316188" w:rsidRPr="00316188">
        <w:rPr>
          <w:rFonts w:asciiTheme="minorHAnsi" w:eastAsiaTheme="minorHAnsi" w:hAnsiTheme="minorHAnsi" w:cstheme="minorBidi"/>
          <w:b w:val="0"/>
          <w:kern w:val="2"/>
          <w:sz w:val="22"/>
          <w14:ligatures w14:val="standardContextual"/>
        </w:rPr>
        <w:t xml:space="preserve"> </w:t>
      </w:r>
      <w:r w:rsidR="00316188" w:rsidRPr="00316188">
        <w:rPr>
          <w:rFonts w:ascii="Times New Roman" w:hAnsi="Times New Roman"/>
          <w:sz w:val="48"/>
          <w:szCs w:val="48"/>
        </w:rPr>
        <w:t>2025/99/SC/01/050</w:t>
      </w:r>
    </w:p>
    <w:p w14:paraId="12166CF6" w14:textId="77777777" w:rsidR="006754C6" w:rsidRPr="006C60EC" w:rsidRDefault="006754C6" w:rsidP="006754C6">
      <w:pPr>
        <w:adjustRightInd w:val="0"/>
        <w:rPr>
          <w:rFonts w:ascii="Times New Roman" w:hAnsi="Times New Roman" w:cs="Times New Roman"/>
          <w:sz w:val="24"/>
          <w:szCs w:val="24"/>
        </w:rPr>
      </w:pPr>
    </w:p>
    <w:p w14:paraId="015ED131" w14:textId="77777777" w:rsidR="006754C6" w:rsidRPr="006C60EC" w:rsidRDefault="006754C6" w:rsidP="006754C6">
      <w:pPr>
        <w:pStyle w:val="RedTitre1"/>
        <w:framePr w:hSpace="0" w:wrap="auto" w:vAnchor="margin" w:xAlign="left" w:yAlign="inline"/>
        <w:rPr>
          <w:rFonts w:ascii="Times New Roman" w:hAnsi="Times New Roman"/>
          <w:szCs w:val="20"/>
        </w:rPr>
      </w:pPr>
    </w:p>
    <w:p w14:paraId="2D8C04A4" w14:textId="0DC9E8D9" w:rsidR="006754C6" w:rsidRDefault="006754C6" w:rsidP="006754C6">
      <w:pPr>
        <w:jc w:val="center"/>
        <w:rPr>
          <w:rFonts w:ascii="Times New Roman" w:hAnsi="Times New Roman" w:cs="Times New Roman"/>
          <w:sz w:val="24"/>
          <w:szCs w:val="24"/>
        </w:rPr>
      </w:pPr>
      <w:bookmarkStart w:id="0" w:name="_Hlk212633006"/>
      <w:r>
        <w:rPr>
          <w:rFonts w:ascii="Times New Roman" w:hAnsi="Times New Roman" w:cs="Times New Roman"/>
          <w:sz w:val="24"/>
          <w:szCs w:val="24"/>
        </w:rPr>
        <w:t>C</w:t>
      </w:r>
      <w:r w:rsidRPr="006C60EC">
        <w:rPr>
          <w:rFonts w:ascii="Times New Roman" w:hAnsi="Times New Roman" w:cs="Times New Roman"/>
          <w:sz w:val="24"/>
          <w:szCs w:val="24"/>
        </w:rPr>
        <w:t xml:space="preserve">oncession de service passée en application des articles </w:t>
      </w:r>
      <w:r w:rsidR="00DD1D5F" w:rsidRPr="00DD1D5F">
        <w:rPr>
          <w:rFonts w:ascii="Times New Roman" w:hAnsi="Times New Roman" w:cs="Times New Roman"/>
          <w:sz w:val="24"/>
          <w:szCs w:val="24"/>
        </w:rPr>
        <w:t>L. 1121-1, L. 1121-3</w:t>
      </w:r>
      <w:r w:rsidR="00241022">
        <w:rPr>
          <w:rFonts w:ascii="Times New Roman" w:hAnsi="Times New Roman" w:cs="Times New Roman"/>
          <w:sz w:val="24"/>
          <w:szCs w:val="24"/>
        </w:rPr>
        <w:t xml:space="preserve">, </w:t>
      </w:r>
      <w:r w:rsidR="00DD1D5F" w:rsidRPr="00DD1D5F">
        <w:rPr>
          <w:rFonts w:ascii="Times New Roman" w:hAnsi="Times New Roman" w:cs="Times New Roman"/>
          <w:sz w:val="24"/>
          <w:szCs w:val="24"/>
        </w:rPr>
        <w:t xml:space="preserve">L. 3100-1 </w:t>
      </w:r>
      <w:r w:rsidRPr="006C60EC">
        <w:rPr>
          <w:rFonts w:ascii="Times New Roman" w:hAnsi="Times New Roman" w:cs="Times New Roman"/>
          <w:sz w:val="24"/>
          <w:szCs w:val="24"/>
        </w:rPr>
        <w:t xml:space="preserve">et suivants </w:t>
      </w:r>
      <w:r w:rsidR="00241022">
        <w:rPr>
          <w:rFonts w:ascii="Times New Roman" w:hAnsi="Times New Roman" w:cs="Times New Roman"/>
          <w:sz w:val="24"/>
          <w:szCs w:val="24"/>
        </w:rPr>
        <w:t xml:space="preserve">ainsi que </w:t>
      </w:r>
      <w:r w:rsidR="00241022" w:rsidRPr="00241022">
        <w:rPr>
          <w:rFonts w:ascii="Times New Roman" w:hAnsi="Times New Roman" w:cs="Times New Roman"/>
          <w:sz w:val="24"/>
          <w:szCs w:val="24"/>
        </w:rPr>
        <w:t xml:space="preserve">R. 3111-1 et suivants </w:t>
      </w:r>
      <w:r w:rsidRPr="006C60EC">
        <w:rPr>
          <w:rFonts w:ascii="Times New Roman" w:hAnsi="Times New Roman" w:cs="Times New Roman"/>
          <w:sz w:val="24"/>
          <w:szCs w:val="24"/>
        </w:rPr>
        <w:t>du Code de la commande publique</w:t>
      </w:r>
      <w:bookmarkEnd w:id="0"/>
      <w:r w:rsidRPr="006C60EC">
        <w:rPr>
          <w:rFonts w:ascii="Times New Roman" w:hAnsi="Times New Roman" w:cs="Times New Roman"/>
          <w:sz w:val="24"/>
          <w:szCs w:val="24"/>
        </w:rPr>
        <w:t>.</w:t>
      </w:r>
    </w:p>
    <w:p w14:paraId="6F9AD820" w14:textId="77777777" w:rsidR="006754C6" w:rsidRDefault="006754C6" w:rsidP="006754C6">
      <w:pPr>
        <w:pStyle w:val="RedTitre1"/>
        <w:framePr w:hSpace="0" w:wrap="auto" w:vAnchor="margin" w:xAlign="left" w:yAlign="inline"/>
        <w:rPr>
          <w:rFonts w:ascii="Times New Roman" w:hAnsi="Times New Roman"/>
          <w:szCs w:val="20"/>
        </w:rPr>
      </w:pPr>
    </w:p>
    <w:p w14:paraId="65D2ACF3" w14:textId="77777777" w:rsidR="00DD1D5F" w:rsidRPr="006C60EC" w:rsidRDefault="00DD1D5F" w:rsidP="006754C6">
      <w:pPr>
        <w:pStyle w:val="RedTitre1"/>
        <w:framePr w:hSpace="0" w:wrap="auto" w:vAnchor="margin" w:xAlign="left" w:yAlign="inline"/>
        <w:rPr>
          <w:rFonts w:ascii="Times New Roman" w:hAnsi="Times New Roman"/>
          <w:szCs w:val="20"/>
        </w:rPr>
      </w:pPr>
    </w:p>
    <w:p w14:paraId="22623315" w14:textId="272C1595" w:rsidR="006754C6" w:rsidRPr="006C60EC" w:rsidRDefault="006754C6" w:rsidP="006754C6">
      <w:pPr>
        <w:pBdr>
          <w:top w:val="single" w:sz="4" w:space="1" w:color="auto"/>
          <w:left w:val="single" w:sz="4" w:space="1" w:color="auto"/>
          <w:bottom w:val="single" w:sz="4" w:space="5" w:color="auto"/>
          <w:right w:val="single" w:sz="4" w:space="1" w:color="auto"/>
        </w:pBdr>
        <w:adjustRightInd w:val="0"/>
        <w:spacing w:after="0" w:line="240" w:lineRule="auto"/>
        <w:jc w:val="center"/>
        <w:rPr>
          <w:rFonts w:ascii="Times New Roman" w:hAnsi="Times New Roman" w:cs="Times New Roman"/>
          <w:szCs w:val="20"/>
        </w:rPr>
      </w:pPr>
      <w:bookmarkStart w:id="1" w:name="_Hlk50127702"/>
      <w:r>
        <w:rPr>
          <w:rFonts w:ascii="Times New Roman" w:hAnsi="Times New Roman" w:cs="Times New Roman"/>
          <w:b/>
          <w:sz w:val="28"/>
          <w:szCs w:val="28"/>
        </w:rPr>
        <w:t>Co</w:t>
      </w:r>
      <w:r w:rsidRPr="006C60EC">
        <w:rPr>
          <w:rFonts w:ascii="Times New Roman" w:hAnsi="Times New Roman" w:cs="Times New Roman"/>
          <w:b/>
          <w:sz w:val="28"/>
          <w:szCs w:val="28"/>
        </w:rPr>
        <w:t xml:space="preserve">ncession de service </w:t>
      </w:r>
      <w:r w:rsidR="005A26B5">
        <w:rPr>
          <w:rFonts w:ascii="Times New Roman" w:hAnsi="Times New Roman" w:cs="Times New Roman"/>
          <w:b/>
          <w:sz w:val="28"/>
          <w:szCs w:val="28"/>
        </w:rPr>
        <w:t xml:space="preserve">sans service public </w:t>
      </w:r>
      <w:r w:rsidRPr="006C60EC">
        <w:rPr>
          <w:rFonts w:ascii="Times New Roman" w:hAnsi="Times New Roman" w:cs="Times New Roman"/>
          <w:b/>
          <w:sz w:val="28"/>
          <w:szCs w:val="28"/>
        </w:rPr>
        <w:t xml:space="preserve">de </w:t>
      </w:r>
      <w:r w:rsidR="005A26B5">
        <w:rPr>
          <w:rFonts w:ascii="Times New Roman" w:hAnsi="Times New Roman" w:cs="Times New Roman"/>
          <w:b/>
          <w:sz w:val="28"/>
          <w:szCs w:val="28"/>
        </w:rPr>
        <w:t xml:space="preserve">la gestion, l’entretien et </w:t>
      </w:r>
      <w:r w:rsidRPr="006C60EC">
        <w:rPr>
          <w:rFonts w:ascii="Times New Roman" w:hAnsi="Times New Roman" w:cs="Times New Roman"/>
          <w:b/>
          <w:sz w:val="28"/>
          <w:szCs w:val="28"/>
        </w:rPr>
        <w:t xml:space="preserve">l’exploitation </w:t>
      </w:r>
      <w:bookmarkEnd w:id="1"/>
      <w:r>
        <w:rPr>
          <w:rFonts w:ascii="Times New Roman" w:hAnsi="Times New Roman" w:cs="Times New Roman"/>
          <w:b/>
          <w:sz w:val="28"/>
          <w:szCs w:val="28"/>
        </w:rPr>
        <w:t xml:space="preserve">de la salle polyvalente </w:t>
      </w:r>
      <w:r w:rsidR="00AD4EB9">
        <w:rPr>
          <w:rFonts w:ascii="Times New Roman" w:hAnsi="Times New Roman" w:cs="Times New Roman"/>
          <w:b/>
          <w:sz w:val="28"/>
          <w:szCs w:val="28"/>
        </w:rPr>
        <w:t>Le Dix-Huit</w:t>
      </w:r>
      <w:r>
        <w:rPr>
          <w:rFonts w:ascii="Times New Roman" w:hAnsi="Times New Roman" w:cs="Times New Roman"/>
          <w:b/>
          <w:sz w:val="28"/>
          <w:szCs w:val="28"/>
        </w:rPr>
        <w:t xml:space="preserve"> de la CCI Nice Côte d’Azur</w:t>
      </w:r>
    </w:p>
    <w:p w14:paraId="2C4E7AA1" w14:textId="77777777" w:rsidR="006754C6" w:rsidRPr="006C60EC" w:rsidRDefault="00000000" w:rsidP="006754C6">
      <w:pPr>
        <w:pStyle w:val="Paragraphedeliste"/>
        <w:ind w:left="840"/>
        <w:jc w:val="center"/>
        <w:rPr>
          <w:rFonts w:ascii="Times New Roman" w:eastAsia="Times New Roman" w:hAnsi="Times New Roman" w:cs="Times New Roman"/>
        </w:rPr>
      </w:pPr>
      <w:r>
        <w:rPr>
          <w:rFonts w:ascii="Times New Roman" w:hAnsi="Times New Roman" w:cs="Times New Roman"/>
          <w:noProof/>
          <w:sz w:val="24"/>
          <w:szCs w:val="24"/>
        </w:rPr>
        <w:pict w14:anchorId="1BB4A4BF">
          <v:rect id="_x0000_i1025" style="width:94.25pt;height:.05pt" o:hralign="center" o:hrstd="t" o:hrnoshade="t" o:hr="t" fillcolor="#7f7f7f" stroked="f"/>
        </w:pict>
      </w:r>
    </w:p>
    <w:p w14:paraId="59C34FB3" w14:textId="77777777" w:rsidR="006754C6" w:rsidRPr="006C60EC" w:rsidRDefault="006754C6" w:rsidP="006754C6">
      <w:pPr>
        <w:pStyle w:val="Paragraphedeliste"/>
        <w:ind w:left="840"/>
        <w:jc w:val="center"/>
        <w:rPr>
          <w:rFonts w:ascii="Times New Roman" w:eastAsia="Times New Roman" w:hAnsi="Times New Roman" w:cs="Times New Roman"/>
          <w:b/>
          <w:bCs/>
          <w:sz w:val="36"/>
          <w:szCs w:val="36"/>
          <w:u w:val="single"/>
        </w:rPr>
      </w:pPr>
    </w:p>
    <w:p w14:paraId="34D55E5E" w14:textId="768CAE2E" w:rsidR="006754C6" w:rsidRPr="00C06DDA" w:rsidRDefault="009120DF" w:rsidP="006754C6">
      <w:pPr>
        <w:pStyle w:val="Paragraphedeliste"/>
        <w:ind w:left="840"/>
        <w:jc w:val="center"/>
        <w:rPr>
          <w:rFonts w:ascii="Times New Roman" w:eastAsia="Times New Roman" w:hAnsi="Times New Roman" w:cs="Times New Roman"/>
          <w:b/>
          <w:bCs/>
          <w:i/>
          <w:iCs/>
          <w:sz w:val="24"/>
          <w:szCs w:val="24"/>
          <w:u w:val="single"/>
        </w:rPr>
      </w:pPr>
      <w:r>
        <w:rPr>
          <w:rFonts w:ascii="Times New Roman" w:eastAsia="Times New Roman" w:hAnsi="Times New Roman" w:cs="Times New Roman"/>
          <w:b/>
          <w:bCs/>
          <w:i/>
          <w:iCs/>
          <w:sz w:val="24"/>
          <w:szCs w:val="24"/>
          <w:u w:val="single"/>
        </w:rPr>
        <w:t>T</w:t>
      </w:r>
      <w:r w:rsidR="006754C6" w:rsidRPr="00C06DDA">
        <w:rPr>
          <w:rFonts w:ascii="Times New Roman" w:eastAsia="Times New Roman" w:hAnsi="Times New Roman" w:cs="Times New Roman"/>
          <w:b/>
          <w:bCs/>
          <w:i/>
          <w:iCs/>
          <w:sz w:val="24"/>
          <w:szCs w:val="24"/>
          <w:u w:val="single"/>
        </w:rPr>
        <w:t xml:space="preserve">aille </w:t>
      </w:r>
      <w:r>
        <w:rPr>
          <w:rFonts w:ascii="Times New Roman" w:eastAsia="Times New Roman" w:hAnsi="Times New Roman" w:cs="Times New Roman"/>
          <w:b/>
          <w:bCs/>
          <w:i/>
          <w:iCs/>
          <w:sz w:val="24"/>
          <w:szCs w:val="24"/>
          <w:u w:val="single"/>
        </w:rPr>
        <w:t xml:space="preserve">souhaitée </w:t>
      </w:r>
      <w:r w:rsidR="006754C6" w:rsidRPr="00C06DDA">
        <w:rPr>
          <w:rFonts w:ascii="Times New Roman" w:eastAsia="Times New Roman" w:hAnsi="Times New Roman" w:cs="Times New Roman"/>
          <w:b/>
          <w:bCs/>
          <w:i/>
          <w:iCs/>
          <w:sz w:val="24"/>
          <w:szCs w:val="24"/>
          <w:u w:val="single"/>
        </w:rPr>
        <w:t>du CMT</w:t>
      </w:r>
      <w:r>
        <w:rPr>
          <w:rFonts w:ascii="Times New Roman" w:eastAsia="Times New Roman" w:hAnsi="Times New Roman" w:cs="Times New Roman"/>
          <w:b/>
          <w:bCs/>
          <w:i/>
          <w:iCs/>
          <w:sz w:val="24"/>
          <w:szCs w:val="24"/>
          <w:u w:val="single"/>
        </w:rPr>
        <w:t> : 50 pages maximum</w:t>
      </w:r>
    </w:p>
    <w:p w14:paraId="2C6F87EE" w14:textId="77777777" w:rsidR="006754C6" w:rsidRDefault="006754C6" w:rsidP="00F75FC9"/>
    <w:p w14:paraId="759AFFA2" w14:textId="77777777" w:rsidR="006754C6" w:rsidRPr="00F816C6" w:rsidRDefault="006754C6" w:rsidP="006754C6">
      <w:pPr>
        <w:jc w:val="both"/>
        <w:rPr>
          <w:rFonts w:ascii="Times New Roman" w:hAnsi="Times New Roman" w:cs="Times New Roman"/>
          <w:b/>
          <w:bCs/>
          <w:i/>
          <w:iCs/>
          <w:sz w:val="20"/>
        </w:rPr>
      </w:pPr>
      <w:r w:rsidRPr="00F816C6">
        <w:rPr>
          <w:rFonts w:ascii="Times New Roman" w:hAnsi="Times New Roman" w:cs="Times New Roman"/>
          <w:b/>
          <w:bCs/>
          <w:i/>
          <w:iCs/>
          <w:sz w:val="20"/>
        </w:rPr>
        <w:t xml:space="preserve">Ce document permet d’évaluer les candidats et de faciliter le traitement des informations fournies dans le cadre de l’analyse des offres. Il doit donc être soigneusement rempli, et être le plus précis et le plus complet possible. Les réponses doivent être intégrées au sein du présent cadre. </w:t>
      </w:r>
    </w:p>
    <w:p w14:paraId="0E335196" w14:textId="77777777" w:rsidR="002B407E" w:rsidRDefault="002B407E" w:rsidP="00F75FC9">
      <w:pPr>
        <w:jc w:val="center"/>
        <w:rPr>
          <w:b/>
          <w:bCs/>
        </w:rPr>
      </w:pPr>
    </w:p>
    <w:sdt>
      <w:sdtPr>
        <w:rPr>
          <w:rFonts w:asciiTheme="minorHAnsi" w:eastAsiaTheme="minorHAnsi" w:hAnsiTheme="minorHAnsi" w:cstheme="minorBidi"/>
          <w:color w:val="auto"/>
          <w:kern w:val="2"/>
          <w:sz w:val="22"/>
          <w:szCs w:val="22"/>
          <w:lang w:eastAsia="en-US"/>
          <w14:ligatures w14:val="standardContextual"/>
        </w:rPr>
        <w:id w:val="-1515529169"/>
        <w:docPartObj>
          <w:docPartGallery w:val="Table of Contents"/>
          <w:docPartUnique/>
        </w:docPartObj>
      </w:sdtPr>
      <w:sdtEndPr>
        <w:rPr>
          <w:b/>
          <w:bCs/>
        </w:rPr>
      </w:sdtEndPr>
      <w:sdtContent>
        <w:p w14:paraId="13DB101D" w14:textId="28BF6D6D" w:rsidR="002B407E" w:rsidRDefault="002B407E">
          <w:pPr>
            <w:pStyle w:val="En-ttedetabledesmatires"/>
          </w:pPr>
          <w:r>
            <w:t>Table des matières</w:t>
          </w:r>
        </w:p>
        <w:p w14:paraId="2D59C9F4" w14:textId="33DA34FD" w:rsidR="00CF7C06" w:rsidRDefault="002B407E">
          <w:pPr>
            <w:pStyle w:val="TM1"/>
            <w:tabs>
              <w:tab w:val="right" w:leader="dot" w:pos="9062"/>
            </w:tabs>
            <w:rPr>
              <w:rFonts w:eastAsiaTheme="minorEastAsia"/>
              <w:noProof/>
              <w:sz w:val="24"/>
              <w:szCs w:val="24"/>
              <w:lang w:eastAsia="fr-FR"/>
            </w:rPr>
          </w:pPr>
          <w:r>
            <w:fldChar w:fldCharType="begin"/>
          </w:r>
          <w:r>
            <w:instrText xml:space="preserve"> TOC \o "1-3" \h \z \u </w:instrText>
          </w:r>
          <w:r>
            <w:fldChar w:fldCharType="separate"/>
          </w:r>
          <w:hyperlink w:anchor="_Toc213406289" w:history="1">
            <w:r w:rsidR="00CF7C06" w:rsidRPr="001D0854">
              <w:rPr>
                <w:rStyle w:val="Lienhypertexte"/>
                <w:noProof/>
                <w:lang w:eastAsia="ar-SA"/>
              </w:rPr>
              <w:t>2.1 : Analyse du contexte et stratégie de positionnement</w:t>
            </w:r>
            <w:r w:rsidR="00CF7C06">
              <w:rPr>
                <w:noProof/>
                <w:webHidden/>
              </w:rPr>
              <w:tab/>
            </w:r>
            <w:r w:rsidR="00CF7C06">
              <w:rPr>
                <w:noProof/>
                <w:webHidden/>
              </w:rPr>
              <w:fldChar w:fldCharType="begin"/>
            </w:r>
            <w:r w:rsidR="00CF7C06">
              <w:rPr>
                <w:noProof/>
                <w:webHidden/>
              </w:rPr>
              <w:instrText xml:space="preserve"> PAGEREF _Toc213406289 \h </w:instrText>
            </w:r>
            <w:r w:rsidR="00CF7C06">
              <w:rPr>
                <w:noProof/>
                <w:webHidden/>
              </w:rPr>
            </w:r>
            <w:r w:rsidR="00CF7C06">
              <w:rPr>
                <w:noProof/>
                <w:webHidden/>
              </w:rPr>
              <w:fldChar w:fldCharType="separate"/>
            </w:r>
            <w:r w:rsidR="00CF7C06">
              <w:rPr>
                <w:noProof/>
                <w:webHidden/>
              </w:rPr>
              <w:t>2</w:t>
            </w:r>
            <w:r w:rsidR="00CF7C06">
              <w:rPr>
                <w:noProof/>
                <w:webHidden/>
              </w:rPr>
              <w:fldChar w:fldCharType="end"/>
            </w:r>
          </w:hyperlink>
        </w:p>
        <w:p w14:paraId="68A553AE" w14:textId="20969EAC" w:rsidR="00CF7C06" w:rsidRDefault="00CF7C06">
          <w:pPr>
            <w:pStyle w:val="TM2"/>
            <w:tabs>
              <w:tab w:val="right" w:leader="dot" w:pos="9062"/>
            </w:tabs>
            <w:rPr>
              <w:rFonts w:eastAsiaTheme="minorEastAsia"/>
              <w:noProof/>
              <w:sz w:val="24"/>
              <w:szCs w:val="24"/>
              <w:lang w:eastAsia="fr-FR"/>
            </w:rPr>
          </w:pPr>
          <w:hyperlink w:anchor="_Toc213406290" w:history="1">
            <w:r w:rsidRPr="001D0854">
              <w:rPr>
                <w:rStyle w:val="Lienhypertexte"/>
                <w:noProof/>
                <w:lang w:eastAsia="ar-SA"/>
              </w:rPr>
              <w:t>2.1.1 Contexte local et stratégie de positionnement</w:t>
            </w:r>
            <w:r>
              <w:rPr>
                <w:noProof/>
                <w:webHidden/>
              </w:rPr>
              <w:tab/>
            </w:r>
            <w:r>
              <w:rPr>
                <w:noProof/>
                <w:webHidden/>
              </w:rPr>
              <w:fldChar w:fldCharType="begin"/>
            </w:r>
            <w:r>
              <w:rPr>
                <w:noProof/>
                <w:webHidden/>
              </w:rPr>
              <w:instrText xml:space="preserve"> PAGEREF _Toc213406290 \h </w:instrText>
            </w:r>
            <w:r>
              <w:rPr>
                <w:noProof/>
                <w:webHidden/>
              </w:rPr>
            </w:r>
            <w:r>
              <w:rPr>
                <w:noProof/>
                <w:webHidden/>
              </w:rPr>
              <w:fldChar w:fldCharType="separate"/>
            </w:r>
            <w:r>
              <w:rPr>
                <w:noProof/>
                <w:webHidden/>
              </w:rPr>
              <w:t>2</w:t>
            </w:r>
            <w:r>
              <w:rPr>
                <w:noProof/>
                <w:webHidden/>
              </w:rPr>
              <w:fldChar w:fldCharType="end"/>
            </w:r>
          </w:hyperlink>
        </w:p>
        <w:p w14:paraId="29882356" w14:textId="5E0E983B" w:rsidR="00CF7C06" w:rsidRDefault="00CF7C06">
          <w:pPr>
            <w:pStyle w:val="TM2"/>
            <w:tabs>
              <w:tab w:val="right" w:leader="dot" w:pos="9062"/>
            </w:tabs>
            <w:rPr>
              <w:rFonts w:eastAsiaTheme="minorEastAsia"/>
              <w:noProof/>
              <w:sz w:val="24"/>
              <w:szCs w:val="24"/>
              <w:lang w:eastAsia="fr-FR"/>
            </w:rPr>
          </w:pPr>
          <w:hyperlink w:anchor="_Toc213406291" w:history="1">
            <w:r w:rsidRPr="001D0854">
              <w:rPr>
                <w:rStyle w:val="Lienhypertexte"/>
                <w:noProof/>
                <w:lang w:eastAsia="ar-SA"/>
              </w:rPr>
              <w:t>2.1.2 Expériences et références du candidat</w:t>
            </w:r>
            <w:r>
              <w:rPr>
                <w:noProof/>
                <w:webHidden/>
              </w:rPr>
              <w:tab/>
            </w:r>
            <w:r>
              <w:rPr>
                <w:noProof/>
                <w:webHidden/>
              </w:rPr>
              <w:fldChar w:fldCharType="begin"/>
            </w:r>
            <w:r>
              <w:rPr>
                <w:noProof/>
                <w:webHidden/>
              </w:rPr>
              <w:instrText xml:space="preserve"> PAGEREF _Toc213406291 \h </w:instrText>
            </w:r>
            <w:r>
              <w:rPr>
                <w:noProof/>
                <w:webHidden/>
              </w:rPr>
            </w:r>
            <w:r>
              <w:rPr>
                <w:noProof/>
                <w:webHidden/>
              </w:rPr>
              <w:fldChar w:fldCharType="separate"/>
            </w:r>
            <w:r>
              <w:rPr>
                <w:noProof/>
                <w:webHidden/>
              </w:rPr>
              <w:t>2</w:t>
            </w:r>
            <w:r>
              <w:rPr>
                <w:noProof/>
                <w:webHidden/>
              </w:rPr>
              <w:fldChar w:fldCharType="end"/>
            </w:r>
          </w:hyperlink>
        </w:p>
        <w:p w14:paraId="66C06E03" w14:textId="31C0D60B" w:rsidR="00CF7C06" w:rsidRDefault="00CF7C06">
          <w:pPr>
            <w:pStyle w:val="TM1"/>
            <w:tabs>
              <w:tab w:val="right" w:leader="dot" w:pos="9062"/>
            </w:tabs>
            <w:rPr>
              <w:rFonts w:eastAsiaTheme="minorEastAsia"/>
              <w:noProof/>
              <w:sz w:val="24"/>
              <w:szCs w:val="24"/>
              <w:lang w:eastAsia="fr-FR"/>
            </w:rPr>
          </w:pPr>
          <w:hyperlink w:anchor="_Toc213406292" w:history="1">
            <w:r w:rsidRPr="001D0854">
              <w:rPr>
                <w:rStyle w:val="Lienhypertexte"/>
                <w:noProof/>
                <w:lang w:eastAsia="ar-SA"/>
              </w:rPr>
              <w:t>2.2 : Projet d’exploitation</w:t>
            </w:r>
            <w:r>
              <w:rPr>
                <w:noProof/>
                <w:webHidden/>
              </w:rPr>
              <w:tab/>
            </w:r>
            <w:r>
              <w:rPr>
                <w:noProof/>
                <w:webHidden/>
              </w:rPr>
              <w:fldChar w:fldCharType="begin"/>
            </w:r>
            <w:r>
              <w:rPr>
                <w:noProof/>
                <w:webHidden/>
              </w:rPr>
              <w:instrText xml:space="preserve"> PAGEREF _Toc213406292 \h </w:instrText>
            </w:r>
            <w:r>
              <w:rPr>
                <w:noProof/>
                <w:webHidden/>
              </w:rPr>
            </w:r>
            <w:r>
              <w:rPr>
                <w:noProof/>
                <w:webHidden/>
              </w:rPr>
              <w:fldChar w:fldCharType="separate"/>
            </w:r>
            <w:r>
              <w:rPr>
                <w:noProof/>
                <w:webHidden/>
              </w:rPr>
              <w:t>3</w:t>
            </w:r>
            <w:r>
              <w:rPr>
                <w:noProof/>
                <w:webHidden/>
              </w:rPr>
              <w:fldChar w:fldCharType="end"/>
            </w:r>
          </w:hyperlink>
        </w:p>
        <w:p w14:paraId="7F4945C6" w14:textId="2C66A6CC" w:rsidR="00CF7C06" w:rsidRDefault="00CF7C06">
          <w:pPr>
            <w:pStyle w:val="TM2"/>
            <w:tabs>
              <w:tab w:val="right" w:leader="dot" w:pos="9062"/>
            </w:tabs>
            <w:rPr>
              <w:rFonts w:eastAsiaTheme="minorEastAsia"/>
              <w:noProof/>
              <w:sz w:val="24"/>
              <w:szCs w:val="24"/>
              <w:lang w:eastAsia="fr-FR"/>
            </w:rPr>
          </w:pPr>
          <w:hyperlink w:anchor="_Toc213406293" w:history="1">
            <w:r w:rsidRPr="001D0854">
              <w:rPr>
                <w:rStyle w:val="Lienhypertexte"/>
                <w:noProof/>
                <w:lang w:eastAsia="ar-SA"/>
              </w:rPr>
              <w:t>2.2.1 Programmation culturelle</w:t>
            </w:r>
            <w:r>
              <w:rPr>
                <w:noProof/>
                <w:webHidden/>
              </w:rPr>
              <w:tab/>
            </w:r>
            <w:r>
              <w:rPr>
                <w:noProof/>
                <w:webHidden/>
              </w:rPr>
              <w:fldChar w:fldCharType="begin"/>
            </w:r>
            <w:r>
              <w:rPr>
                <w:noProof/>
                <w:webHidden/>
              </w:rPr>
              <w:instrText xml:space="preserve"> PAGEREF _Toc213406293 \h </w:instrText>
            </w:r>
            <w:r>
              <w:rPr>
                <w:noProof/>
                <w:webHidden/>
              </w:rPr>
            </w:r>
            <w:r>
              <w:rPr>
                <w:noProof/>
                <w:webHidden/>
              </w:rPr>
              <w:fldChar w:fldCharType="separate"/>
            </w:r>
            <w:r>
              <w:rPr>
                <w:noProof/>
                <w:webHidden/>
              </w:rPr>
              <w:t>3</w:t>
            </w:r>
            <w:r>
              <w:rPr>
                <w:noProof/>
                <w:webHidden/>
              </w:rPr>
              <w:fldChar w:fldCharType="end"/>
            </w:r>
          </w:hyperlink>
        </w:p>
        <w:p w14:paraId="3906B138" w14:textId="6A6FB76A" w:rsidR="00CF7C06" w:rsidRDefault="00CF7C06">
          <w:pPr>
            <w:pStyle w:val="TM2"/>
            <w:tabs>
              <w:tab w:val="right" w:leader="dot" w:pos="9062"/>
            </w:tabs>
            <w:rPr>
              <w:rFonts w:eastAsiaTheme="minorEastAsia"/>
              <w:noProof/>
              <w:sz w:val="24"/>
              <w:szCs w:val="24"/>
              <w:lang w:eastAsia="fr-FR"/>
            </w:rPr>
          </w:pPr>
          <w:hyperlink w:anchor="_Toc213406294" w:history="1">
            <w:r w:rsidRPr="001D0854">
              <w:rPr>
                <w:rStyle w:val="Lienhypertexte"/>
                <w:noProof/>
                <w:lang w:eastAsia="ar-SA"/>
              </w:rPr>
              <w:t>2.2.2 Stratégie globale (commerciale, communication et RSE)</w:t>
            </w:r>
            <w:r>
              <w:rPr>
                <w:noProof/>
                <w:webHidden/>
              </w:rPr>
              <w:tab/>
            </w:r>
            <w:r>
              <w:rPr>
                <w:noProof/>
                <w:webHidden/>
              </w:rPr>
              <w:fldChar w:fldCharType="begin"/>
            </w:r>
            <w:r>
              <w:rPr>
                <w:noProof/>
                <w:webHidden/>
              </w:rPr>
              <w:instrText xml:space="preserve"> PAGEREF _Toc213406294 \h </w:instrText>
            </w:r>
            <w:r>
              <w:rPr>
                <w:noProof/>
                <w:webHidden/>
              </w:rPr>
            </w:r>
            <w:r>
              <w:rPr>
                <w:noProof/>
                <w:webHidden/>
              </w:rPr>
              <w:fldChar w:fldCharType="separate"/>
            </w:r>
            <w:r>
              <w:rPr>
                <w:noProof/>
                <w:webHidden/>
              </w:rPr>
              <w:t>3</w:t>
            </w:r>
            <w:r>
              <w:rPr>
                <w:noProof/>
                <w:webHidden/>
              </w:rPr>
              <w:fldChar w:fldCharType="end"/>
            </w:r>
          </w:hyperlink>
        </w:p>
        <w:p w14:paraId="50C98796" w14:textId="4F550B35" w:rsidR="00CF7C06" w:rsidRDefault="00CF7C06">
          <w:pPr>
            <w:pStyle w:val="TM2"/>
            <w:tabs>
              <w:tab w:val="right" w:leader="dot" w:pos="9062"/>
            </w:tabs>
            <w:rPr>
              <w:rFonts w:eastAsiaTheme="minorEastAsia"/>
              <w:noProof/>
              <w:sz w:val="24"/>
              <w:szCs w:val="24"/>
              <w:lang w:eastAsia="fr-FR"/>
            </w:rPr>
          </w:pPr>
          <w:hyperlink w:anchor="_Toc213406295" w:history="1">
            <w:r w:rsidRPr="001D0854">
              <w:rPr>
                <w:rStyle w:val="Lienhypertexte"/>
                <w:noProof/>
                <w:lang w:eastAsia="ar-SA"/>
              </w:rPr>
              <w:t>2.2.3 Prévision d’activité</w:t>
            </w:r>
            <w:r>
              <w:rPr>
                <w:noProof/>
                <w:webHidden/>
              </w:rPr>
              <w:tab/>
            </w:r>
            <w:r>
              <w:rPr>
                <w:noProof/>
                <w:webHidden/>
              </w:rPr>
              <w:fldChar w:fldCharType="begin"/>
            </w:r>
            <w:r>
              <w:rPr>
                <w:noProof/>
                <w:webHidden/>
              </w:rPr>
              <w:instrText xml:space="preserve"> PAGEREF _Toc213406295 \h </w:instrText>
            </w:r>
            <w:r>
              <w:rPr>
                <w:noProof/>
                <w:webHidden/>
              </w:rPr>
            </w:r>
            <w:r>
              <w:rPr>
                <w:noProof/>
                <w:webHidden/>
              </w:rPr>
              <w:fldChar w:fldCharType="separate"/>
            </w:r>
            <w:r>
              <w:rPr>
                <w:noProof/>
                <w:webHidden/>
              </w:rPr>
              <w:t>3</w:t>
            </w:r>
            <w:r>
              <w:rPr>
                <w:noProof/>
                <w:webHidden/>
              </w:rPr>
              <w:fldChar w:fldCharType="end"/>
            </w:r>
          </w:hyperlink>
        </w:p>
        <w:p w14:paraId="5E6361F4" w14:textId="50EC7DA6" w:rsidR="00CF7C06" w:rsidRDefault="00CF7C06">
          <w:pPr>
            <w:pStyle w:val="TM1"/>
            <w:tabs>
              <w:tab w:val="right" w:leader="dot" w:pos="9062"/>
            </w:tabs>
            <w:rPr>
              <w:rFonts w:eastAsiaTheme="minorEastAsia"/>
              <w:noProof/>
              <w:sz w:val="24"/>
              <w:szCs w:val="24"/>
              <w:lang w:eastAsia="fr-FR"/>
            </w:rPr>
          </w:pPr>
          <w:hyperlink w:anchor="_Toc213406296" w:history="1">
            <w:r w:rsidRPr="001D0854">
              <w:rPr>
                <w:rStyle w:val="Lienhypertexte"/>
                <w:noProof/>
                <w:lang w:eastAsia="ar-SA"/>
              </w:rPr>
              <w:t>2.3 : Qualité de service</w:t>
            </w:r>
            <w:r>
              <w:rPr>
                <w:noProof/>
                <w:webHidden/>
              </w:rPr>
              <w:tab/>
            </w:r>
            <w:r>
              <w:rPr>
                <w:noProof/>
                <w:webHidden/>
              </w:rPr>
              <w:fldChar w:fldCharType="begin"/>
            </w:r>
            <w:r>
              <w:rPr>
                <w:noProof/>
                <w:webHidden/>
              </w:rPr>
              <w:instrText xml:space="preserve"> PAGEREF _Toc213406296 \h </w:instrText>
            </w:r>
            <w:r>
              <w:rPr>
                <w:noProof/>
                <w:webHidden/>
              </w:rPr>
            </w:r>
            <w:r>
              <w:rPr>
                <w:noProof/>
                <w:webHidden/>
              </w:rPr>
              <w:fldChar w:fldCharType="separate"/>
            </w:r>
            <w:r>
              <w:rPr>
                <w:noProof/>
                <w:webHidden/>
              </w:rPr>
              <w:t>4</w:t>
            </w:r>
            <w:r>
              <w:rPr>
                <w:noProof/>
                <w:webHidden/>
              </w:rPr>
              <w:fldChar w:fldCharType="end"/>
            </w:r>
          </w:hyperlink>
        </w:p>
        <w:p w14:paraId="25B1AD07" w14:textId="74DEA52E" w:rsidR="00CF7C06" w:rsidRDefault="00CF7C06">
          <w:pPr>
            <w:pStyle w:val="TM2"/>
            <w:tabs>
              <w:tab w:val="right" w:leader="dot" w:pos="9062"/>
            </w:tabs>
            <w:rPr>
              <w:rFonts w:eastAsiaTheme="minorEastAsia"/>
              <w:noProof/>
              <w:sz w:val="24"/>
              <w:szCs w:val="24"/>
              <w:lang w:eastAsia="fr-FR"/>
            </w:rPr>
          </w:pPr>
          <w:hyperlink w:anchor="_Toc213406297" w:history="1">
            <w:r w:rsidRPr="001D0854">
              <w:rPr>
                <w:rStyle w:val="Lienhypertexte"/>
                <w:noProof/>
                <w:lang w:eastAsia="ar-SA"/>
              </w:rPr>
              <w:t>2.3.1 Accueil du public</w:t>
            </w:r>
            <w:r>
              <w:rPr>
                <w:noProof/>
                <w:webHidden/>
              </w:rPr>
              <w:tab/>
            </w:r>
            <w:r>
              <w:rPr>
                <w:noProof/>
                <w:webHidden/>
              </w:rPr>
              <w:fldChar w:fldCharType="begin"/>
            </w:r>
            <w:r>
              <w:rPr>
                <w:noProof/>
                <w:webHidden/>
              </w:rPr>
              <w:instrText xml:space="preserve"> PAGEREF _Toc213406297 \h </w:instrText>
            </w:r>
            <w:r>
              <w:rPr>
                <w:noProof/>
                <w:webHidden/>
              </w:rPr>
            </w:r>
            <w:r>
              <w:rPr>
                <w:noProof/>
                <w:webHidden/>
              </w:rPr>
              <w:fldChar w:fldCharType="separate"/>
            </w:r>
            <w:r>
              <w:rPr>
                <w:noProof/>
                <w:webHidden/>
              </w:rPr>
              <w:t>4</w:t>
            </w:r>
            <w:r>
              <w:rPr>
                <w:noProof/>
                <w:webHidden/>
              </w:rPr>
              <w:fldChar w:fldCharType="end"/>
            </w:r>
          </w:hyperlink>
        </w:p>
        <w:p w14:paraId="2C47A1C9" w14:textId="23D978A2" w:rsidR="00CF7C06" w:rsidRDefault="00CF7C06">
          <w:pPr>
            <w:pStyle w:val="TM2"/>
            <w:tabs>
              <w:tab w:val="right" w:leader="dot" w:pos="9062"/>
            </w:tabs>
            <w:rPr>
              <w:rFonts w:eastAsiaTheme="minorEastAsia"/>
              <w:noProof/>
              <w:sz w:val="24"/>
              <w:szCs w:val="24"/>
              <w:lang w:eastAsia="fr-FR"/>
            </w:rPr>
          </w:pPr>
          <w:hyperlink w:anchor="_Toc213406298" w:history="1">
            <w:r w:rsidRPr="001D0854">
              <w:rPr>
                <w:rStyle w:val="Lienhypertexte"/>
                <w:noProof/>
                <w:lang w:eastAsia="ar-SA"/>
              </w:rPr>
              <w:t>2.3.2 Accueil des spectacles et événements</w:t>
            </w:r>
            <w:r>
              <w:rPr>
                <w:noProof/>
                <w:webHidden/>
              </w:rPr>
              <w:tab/>
            </w:r>
            <w:r>
              <w:rPr>
                <w:noProof/>
                <w:webHidden/>
              </w:rPr>
              <w:fldChar w:fldCharType="begin"/>
            </w:r>
            <w:r>
              <w:rPr>
                <w:noProof/>
                <w:webHidden/>
              </w:rPr>
              <w:instrText xml:space="preserve"> PAGEREF _Toc213406298 \h </w:instrText>
            </w:r>
            <w:r>
              <w:rPr>
                <w:noProof/>
                <w:webHidden/>
              </w:rPr>
            </w:r>
            <w:r>
              <w:rPr>
                <w:noProof/>
                <w:webHidden/>
              </w:rPr>
              <w:fldChar w:fldCharType="separate"/>
            </w:r>
            <w:r>
              <w:rPr>
                <w:noProof/>
                <w:webHidden/>
              </w:rPr>
              <w:t>4</w:t>
            </w:r>
            <w:r>
              <w:rPr>
                <w:noProof/>
                <w:webHidden/>
              </w:rPr>
              <w:fldChar w:fldCharType="end"/>
            </w:r>
          </w:hyperlink>
        </w:p>
        <w:p w14:paraId="5316775B" w14:textId="35569480" w:rsidR="00CF7C06" w:rsidRDefault="00CF7C06">
          <w:pPr>
            <w:pStyle w:val="TM2"/>
            <w:tabs>
              <w:tab w:val="right" w:leader="dot" w:pos="9062"/>
            </w:tabs>
            <w:rPr>
              <w:rFonts w:eastAsiaTheme="minorEastAsia"/>
              <w:noProof/>
              <w:sz w:val="24"/>
              <w:szCs w:val="24"/>
              <w:lang w:eastAsia="fr-FR"/>
            </w:rPr>
          </w:pPr>
          <w:hyperlink w:anchor="_Toc213406299" w:history="1">
            <w:r w:rsidRPr="001D0854">
              <w:rPr>
                <w:rStyle w:val="Lienhypertexte"/>
                <w:noProof/>
                <w:lang w:eastAsia="ar-SA"/>
              </w:rPr>
              <w:t>2.3.3 Relation avec CCINCA</w:t>
            </w:r>
            <w:r>
              <w:rPr>
                <w:noProof/>
                <w:webHidden/>
              </w:rPr>
              <w:tab/>
            </w:r>
            <w:r>
              <w:rPr>
                <w:noProof/>
                <w:webHidden/>
              </w:rPr>
              <w:fldChar w:fldCharType="begin"/>
            </w:r>
            <w:r>
              <w:rPr>
                <w:noProof/>
                <w:webHidden/>
              </w:rPr>
              <w:instrText xml:space="preserve"> PAGEREF _Toc213406299 \h </w:instrText>
            </w:r>
            <w:r>
              <w:rPr>
                <w:noProof/>
                <w:webHidden/>
              </w:rPr>
            </w:r>
            <w:r>
              <w:rPr>
                <w:noProof/>
                <w:webHidden/>
              </w:rPr>
              <w:fldChar w:fldCharType="separate"/>
            </w:r>
            <w:r>
              <w:rPr>
                <w:noProof/>
                <w:webHidden/>
              </w:rPr>
              <w:t>4</w:t>
            </w:r>
            <w:r>
              <w:rPr>
                <w:noProof/>
                <w:webHidden/>
              </w:rPr>
              <w:fldChar w:fldCharType="end"/>
            </w:r>
          </w:hyperlink>
        </w:p>
        <w:p w14:paraId="1FEDC802" w14:textId="6DB827F5" w:rsidR="00CF7C06" w:rsidRDefault="00CF7C06">
          <w:pPr>
            <w:pStyle w:val="TM1"/>
            <w:tabs>
              <w:tab w:val="right" w:leader="dot" w:pos="9062"/>
            </w:tabs>
            <w:rPr>
              <w:rFonts w:eastAsiaTheme="minorEastAsia"/>
              <w:noProof/>
              <w:sz w:val="24"/>
              <w:szCs w:val="24"/>
              <w:lang w:eastAsia="fr-FR"/>
            </w:rPr>
          </w:pPr>
          <w:hyperlink w:anchor="_Toc213406300" w:history="1">
            <w:r w:rsidRPr="001D0854">
              <w:rPr>
                <w:rStyle w:val="Lienhypertexte"/>
                <w:noProof/>
                <w:lang w:eastAsia="ar-SA"/>
              </w:rPr>
              <w:t>2.4 : Moyens humains et techniques dédiés à l’exploitation</w:t>
            </w:r>
            <w:r>
              <w:rPr>
                <w:noProof/>
                <w:webHidden/>
              </w:rPr>
              <w:tab/>
            </w:r>
            <w:r>
              <w:rPr>
                <w:noProof/>
                <w:webHidden/>
              </w:rPr>
              <w:fldChar w:fldCharType="begin"/>
            </w:r>
            <w:r>
              <w:rPr>
                <w:noProof/>
                <w:webHidden/>
              </w:rPr>
              <w:instrText xml:space="preserve"> PAGEREF _Toc213406300 \h </w:instrText>
            </w:r>
            <w:r>
              <w:rPr>
                <w:noProof/>
                <w:webHidden/>
              </w:rPr>
            </w:r>
            <w:r>
              <w:rPr>
                <w:noProof/>
                <w:webHidden/>
              </w:rPr>
              <w:fldChar w:fldCharType="separate"/>
            </w:r>
            <w:r>
              <w:rPr>
                <w:noProof/>
                <w:webHidden/>
              </w:rPr>
              <w:t>5</w:t>
            </w:r>
            <w:r>
              <w:rPr>
                <w:noProof/>
                <w:webHidden/>
              </w:rPr>
              <w:fldChar w:fldCharType="end"/>
            </w:r>
          </w:hyperlink>
        </w:p>
        <w:p w14:paraId="5605D617" w14:textId="001EC86D" w:rsidR="002B407E" w:rsidRDefault="002B407E">
          <w:r>
            <w:rPr>
              <w:b/>
              <w:bCs/>
            </w:rPr>
            <w:fldChar w:fldCharType="end"/>
          </w:r>
        </w:p>
      </w:sdtContent>
    </w:sdt>
    <w:p w14:paraId="27407375" w14:textId="77777777" w:rsidR="002B407E" w:rsidRDefault="002B407E" w:rsidP="002B407E">
      <w:pPr>
        <w:rPr>
          <w:b/>
          <w:bCs/>
        </w:rPr>
      </w:pPr>
    </w:p>
    <w:p w14:paraId="006B4F1A" w14:textId="77777777" w:rsidR="002B407E" w:rsidRDefault="002B407E" w:rsidP="002B407E">
      <w:pPr>
        <w:rPr>
          <w:b/>
          <w:bCs/>
        </w:rPr>
      </w:pPr>
    </w:p>
    <w:p w14:paraId="2DF28CF9" w14:textId="30787A66" w:rsidR="002B407E" w:rsidRPr="000C017C" w:rsidRDefault="008222E3" w:rsidP="00B43EFE">
      <w:pPr>
        <w:pStyle w:val="Titre1"/>
        <w:shd w:val="pct12" w:color="auto" w:fill="auto"/>
        <w:rPr>
          <w:sz w:val="36"/>
          <w:szCs w:val="36"/>
          <w:lang w:eastAsia="ar-SA"/>
        </w:rPr>
      </w:pPr>
      <w:bookmarkStart w:id="2" w:name="_Toc213406289"/>
      <w:r>
        <w:rPr>
          <w:sz w:val="36"/>
          <w:szCs w:val="36"/>
          <w:lang w:eastAsia="ar-SA"/>
        </w:rPr>
        <w:t>2.</w:t>
      </w:r>
      <w:r w:rsidR="00F75FC9" w:rsidRPr="000C017C">
        <w:rPr>
          <w:sz w:val="36"/>
          <w:szCs w:val="36"/>
          <w:lang w:eastAsia="ar-SA"/>
        </w:rPr>
        <w:t>1</w:t>
      </w:r>
      <w:r w:rsidR="00244FE6">
        <w:rPr>
          <w:sz w:val="36"/>
          <w:szCs w:val="36"/>
          <w:lang w:eastAsia="ar-SA"/>
        </w:rPr>
        <w:t xml:space="preserve"> : </w:t>
      </w:r>
      <w:r w:rsidR="00F75FC9" w:rsidRPr="000C017C">
        <w:rPr>
          <w:sz w:val="36"/>
          <w:szCs w:val="36"/>
          <w:lang w:eastAsia="ar-SA"/>
        </w:rPr>
        <w:t>Analyse du contexte et stratégie de positionnement</w:t>
      </w:r>
      <w:bookmarkEnd w:id="2"/>
    </w:p>
    <w:p w14:paraId="4C073181" w14:textId="71A74603" w:rsidR="00244FE6" w:rsidRPr="00B43EFE" w:rsidRDefault="00244FE6" w:rsidP="00B43EFE">
      <w:pPr>
        <w:shd w:val="pct12" w:color="auto" w:fill="auto"/>
        <w:jc w:val="right"/>
        <w:rPr>
          <w:sz w:val="36"/>
          <w:szCs w:val="36"/>
          <w:highlight w:val="yellow"/>
        </w:rPr>
      </w:pPr>
      <w:r w:rsidRPr="00B43EFE">
        <w:rPr>
          <w:sz w:val="36"/>
          <w:szCs w:val="36"/>
        </w:rPr>
        <w:t>(</w:t>
      </w:r>
      <w:r w:rsidR="00B43EFE" w:rsidRPr="00B43EFE">
        <w:rPr>
          <w:sz w:val="36"/>
          <w:szCs w:val="36"/>
        </w:rPr>
        <w:t>20</w:t>
      </w:r>
      <w:r w:rsidRPr="00B43EFE">
        <w:rPr>
          <w:sz w:val="36"/>
          <w:szCs w:val="36"/>
        </w:rPr>
        <w:t xml:space="preserve"> points)</w:t>
      </w:r>
    </w:p>
    <w:p w14:paraId="21A64F65" w14:textId="77777777" w:rsidR="00F75FC9" w:rsidRPr="005E0010" w:rsidRDefault="00F75FC9" w:rsidP="00F75FC9">
      <w:pPr>
        <w:tabs>
          <w:tab w:val="left" w:pos="-3828"/>
          <w:tab w:val="left" w:pos="-3096"/>
          <w:tab w:val="left" w:pos="1672"/>
        </w:tabs>
        <w:suppressAutoHyphens/>
        <w:spacing w:before="57"/>
        <w:ind w:left="709"/>
        <w:jc w:val="both"/>
        <w:textAlignment w:val="baseline"/>
        <w:rPr>
          <w:rFonts w:ascii="Calibri Light" w:hAnsi="Calibri Light"/>
          <w:b/>
          <w:bCs/>
          <w:kern w:val="1"/>
          <w:lang w:eastAsia="ar-SA"/>
        </w:rPr>
      </w:pPr>
    </w:p>
    <w:p w14:paraId="0440A1E6" w14:textId="73BC6405" w:rsidR="00F75FC9" w:rsidRDefault="008222E3" w:rsidP="00316188">
      <w:pPr>
        <w:pStyle w:val="Titre2"/>
        <w:spacing w:before="0" w:after="0"/>
        <w:ind w:firstLine="708"/>
        <w:rPr>
          <w:sz w:val="28"/>
          <w:szCs w:val="28"/>
          <w:lang w:eastAsia="ar-SA"/>
        </w:rPr>
      </w:pPr>
      <w:bookmarkStart w:id="3" w:name="_Toc213406290"/>
      <w:r>
        <w:rPr>
          <w:sz w:val="28"/>
          <w:szCs w:val="28"/>
          <w:lang w:eastAsia="ar-SA"/>
        </w:rPr>
        <w:t>2.</w:t>
      </w:r>
      <w:r w:rsidR="00F75FC9" w:rsidRPr="000C017C">
        <w:rPr>
          <w:sz w:val="28"/>
          <w:szCs w:val="28"/>
          <w:lang w:eastAsia="ar-SA"/>
        </w:rPr>
        <w:t>1.1 Contexte local et stratégie de positionnement</w:t>
      </w:r>
      <w:bookmarkEnd w:id="3"/>
      <w:r w:rsidR="00AC1215" w:rsidRPr="00AC1215">
        <w:rPr>
          <w:sz w:val="28"/>
          <w:szCs w:val="28"/>
          <w:lang w:eastAsia="ar-SA"/>
        </w:rPr>
        <w:t xml:space="preserve"> </w:t>
      </w:r>
    </w:p>
    <w:p w14:paraId="0A92C956" w14:textId="2C088C53" w:rsidR="00316188" w:rsidRPr="00316188" w:rsidRDefault="00316188" w:rsidP="00316188">
      <w:pPr>
        <w:spacing w:after="0"/>
        <w:jc w:val="right"/>
        <w:rPr>
          <w:sz w:val="28"/>
          <w:szCs w:val="28"/>
          <w:lang w:eastAsia="ar-SA"/>
        </w:rPr>
      </w:pPr>
      <w:r w:rsidRPr="00316188">
        <w:rPr>
          <w:sz w:val="28"/>
          <w:szCs w:val="28"/>
          <w:bdr w:val="single" w:sz="4" w:space="0" w:color="auto"/>
          <w:lang w:eastAsia="ar-SA"/>
        </w:rPr>
        <w:t>10 points</w:t>
      </w:r>
    </w:p>
    <w:p w14:paraId="2B5AFC23" w14:textId="77777777" w:rsidR="00316188" w:rsidRDefault="00316188"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3E8F9D9E" w14:textId="0FC59E6A" w:rsidR="00F75FC9" w:rsidRPr="00B43EFE" w:rsidRDefault="00F75FC9"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r w:rsidRPr="000304DA">
        <w:rPr>
          <w:rFonts w:ascii="Calibri Light" w:hAnsi="Calibri Light"/>
          <w:i/>
          <w:iCs/>
          <w:kern w:val="1"/>
          <w:lang w:eastAsia="ar-SA"/>
        </w:rPr>
        <w:t xml:space="preserve">Démontrer une compréhension fine et actualisée de l'environnement. Analyser, identifier les structures </w:t>
      </w:r>
      <w:r>
        <w:rPr>
          <w:rFonts w:ascii="Calibri Light" w:hAnsi="Calibri Light"/>
          <w:i/>
          <w:iCs/>
          <w:kern w:val="1"/>
          <w:lang w:eastAsia="ar-SA"/>
        </w:rPr>
        <w:t>du territoire</w:t>
      </w:r>
      <w:r w:rsidRPr="000304DA">
        <w:rPr>
          <w:rFonts w:ascii="Calibri Light" w:hAnsi="Calibri Light"/>
          <w:i/>
          <w:iCs/>
          <w:kern w:val="1"/>
          <w:lang w:eastAsia="ar-SA"/>
        </w:rPr>
        <w:t>, leurs offres respectives et les lacunes ou opportunités du marché local actuel pour une salle de cette jauge</w:t>
      </w:r>
      <w:r w:rsidR="00846B0B">
        <w:rPr>
          <w:rFonts w:ascii="Calibri Light" w:hAnsi="Calibri Light"/>
          <w:i/>
          <w:iCs/>
          <w:kern w:val="1"/>
          <w:lang w:eastAsia="ar-SA"/>
        </w:rPr>
        <w:t>.</w:t>
      </w:r>
    </w:p>
    <w:p w14:paraId="269E7E8E" w14:textId="5CE60279" w:rsidR="00F75FC9" w:rsidRPr="00B43EFE"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B43EFE">
        <w:rPr>
          <w:rFonts w:ascii="Calibri Light" w:hAnsi="Calibri Light"/>
          <w:i/>
          <w:iCs/>
          <w:kern w:val="1"/>
          <w:lang w:eastAsia="ar-SA"/>
        </w:rPr>
        <w:t>Définir l'identité de la salle, sa distinction et son attractivité sur le marché.</w:t>
      </w:r>
      <w:r w:rsidR="00244FE6" w:rsidRPr="00B43EFE">
        <w:rPr>
          <w:rFonts w:ascii="Calibri Light" w:hAnsi="Calibri Light" w:cs="Calibri Light"/>
          <w:bCs/>
        </w:rPr>
        <w:t xml:space="preserve"> </w:t>
      </w:r>
    </w:p>
    <w:p w14:paraId="2969E45B" w14:textId="77777777" w:rsidR="00F75FC9" w:rsidRDefault="00F75FC9" w:rsidP="00F75FC9">
      <w:pPr>
        <w:tabs>
          <w:tab w:val="left" w:pos="-3828"/>
          <w:tab w:val="left" w:pos="-3096"/>
          <w:tab w:val="left" w:pos="1672"/>
        </w:tabs>
        <w:suppressAutoHyphens/>
        <w:spacing w:before="57"/>
        <w:jc w:val="both"/>
        <w:textAlignment w:val="baseline"/>
        <w:rPr>
          <w:rFonts w:ascii="Calibri Light" w:hAnsi="Calibri Light"/>
          <w:kern w:val="1"/>
          <w:lang w:eastAsia="ar-SA"/>
        </w:rPr>
      </w:pPr>
    </w:p>
    <w:p w14:paraId="648243F4" w14:textId="77777777" w:rsidR="00846B0B" w:rsidRDefault="00846B0B" w:rsidP="00F75FC9">
      <w:pPr>
        <w:tabs>
          <w:tab w:val="left" w:pos="-3828"/>
          <w:tab w:val="left" w:pos="-3096"/>
          <w:tab w:val="left" w:pos="1672"/>
        </w:tabs>
        <w:suppressAutoHyphens/>
        <w:spacing w:before="57"/>
        <w:jc w:val="both"/>
        <w:textAlignment w:val="baseline"/>
        <w:rPr>
          <w:rFonts w:ascii="Calibri Light" w:hAnsi="Calibri Light"/>
          <w:kern w:val="1"/>
          <w:lang w:eastAsia="ar-SA"/>
        </w:rPr>
      </w:pPr>
    </w:p>
    <w:p w14:paraId="65F68D0F" w14:textId="77777777" w:rsidR="00846B0B" w:rsidRPr="00B43EFE" w:rsidRDefault="00846B0B" w:rsidP="00F75FC9">
      <w:pPr>
        <w:tabs>
          <w:tab w:val="left" w:pos="-3828"/>
          <w:tab w:val="left" w:pos="-3096"/>
          <w:tab w:val="left" w:pos="1672"/>
        </w:tabs>
        <w:suppressAutoHyphens/>
        <w:spacing w:before="57"/>
        <w:jc w:val="both"/>
        <w:textAlignment w:val="baseline"/>
        <w:rPr>
          <w:rFonts w:ascii="Calibri Light" w:hAnsi="Calibri Light"/>
          <w:kern w:val="1"/>
          <w:lang w:eastAsia="ar-SA"/>
        </w:rPr>
      </w:pPr>
    </w:p>
    <w:p w14:paraId="5E6A3792" w14:textId="735C3D29" w:rsidR="00F75FC9" w:rsidRPr="00B43EFE" w:rsidRDefault="008222E3" w:rsidP="00316188">
      <w:pPr>
        <w:pStyle w:val="Titre2"/>
        <w:spacing w:before="0" w:after="0"/>
        <w:ind w:firstLine="708"/>
        <w:rPr>
          <w:sz w:val="28"/>
          <w:szCs w:val="28"/>
          <w:lang w:eastAsia="ar-SA"/>
        </w:rPr>
      </w:pPr>
      <w:bookmarkStart w:id="4" w:name="_Toc213406291"/>
      <w:r w:rsidRPr="00B43EFE">
        <w:rPr>
          <w:sz w:val="28"/>
          <w:szCs w:val="28"/>
          <w:lang w:eastAsia="ar-SA"/>
        </w:rPr>
        <w:t>2.</w:t>
      </w:r>
      <w:r w:rsidR="00F75FC9" w:rsidRPr="00B43EFE">
        <w:rPr>
          <w:sz w:val="28"/>
          <w:szCs w:val="28"/>
          <w:lang w:eastAsia="ar-SA"/>
        </w:rPr>
        <w:t>1.2 Expériences et références du candidat</w:t>
      </w:r>
      <w:bookmarkEnd w:id="4"/>
    </w:p>
    <w:p w14:paraId="23B8D31E" w14:textId="77777777" w:rsidR="00316188" w:rsidRPr="00316188" w:rsidRDefault="00316188" w:rsidP="00316188">
      <w:pPr>
        <w:spacing w:after="0"/>
        <w:jc w:val="right"/>
        <w:rPr>
          <w:sz w:val="28"/>
          <w:szCs w:val="28"/>
          <w:lang w:eastAsia="ar-SA"/>
        </w:rPr>
      </w:pPr>
      <w:r w:rsidRPr="00316188">
        <w:rPr>
          <w:sz w:val="28"/>
          <w:szCs w:val="28"/>
          <w:bdr w:val="single" w:sz="4" w:space="0" w:color="auto"/>
          <w:lang w:eastAsia="ar-SA"/>
        </w:rPr>
        <w:t>10 points</w:t>
      </w:r>
    </w:p>
    <w:p w14:paraId="4BC01A2B" w14:textId="77777777" w:rsidR="00316188" w:rsidRDefault="00316188"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2BE2C4F1" w14:textId="4B1DA7ED" w:rsidR="00F75FC9" w:rsidRPr="005E0010"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B43EFE">
        <w:rPr>
          <w:rFonts w:ascii="Calibri Light" w:hAnsi="Calibri Light"/>
          <w:i/>
          <w:iCs/>
          <w:kern w:val="1"/>
          <w:lang w:eastAsia="ar-SA"/>
        </w:rPr>
        <w:t>Prouver sa capacité à mettre en œuvre avec succès des projets artistiques et opérationnels, gérer des lieux et des événements.</w:t>
      </w:r>
      <w:r w:rsidRPr="00B43EFE">
        <w:t xml:space="preserve"> </w:t>
      </w:r>
      <w:r w:rsidRPr="00B43EFE">
        <w:rPr>
          <w:rFonts w:ascii="Calibri Light" w:hAnsi="Calibri Light"/>
          <w:i/>
          <w:iCs/>
          <w:kern w:val="1"/>
          <w:lang w:eastAsia="ar-SA"/>
        </w:rPr>
        <w:t>Montrer une</w:t>
      </w:r>
      <w:r w:rsidRPr="00B43EFE">
        <w:t xml:space="preserve"> </w:t>
      </w:r>
      <w:r w:rsidRPr="00B43EFE">
        <w:rPr>
          <w:rFonts w:ascii="Calibri Light" w:hAnsi="Calibri Light"/>
          <w:i/>
          <w:iCs/>
          <w:kern w:val="1"/>
          <w:lang w:eastAsia="ar-SA"/>
        </w:rPr>
        <w:t>très bonne connaissance des acteurs culturels qu’ils soient locaux ou nationaux et mettre en œuvre une collaboration active avec ceux-ci</w:t>
      </w:r>
      <w:r w:rsidR="00AC1215">
        <w:rPr>
          <w:rFonts w:ascii="Calibri Light" w:hAnsi="Calibri Light"/>
          <w:i/>
          <w:iCs/>
          <w:kern w:val="1"/>
          <w:lang w:eastAsia="ar-SA"/>
        </w:rPr>
        <w:t>.</w:t>
      </w:r>
    </w:p>
    <w:p w14:paraId="35AA106B" w14:textId="77777777" w:rsidR="00F75FC9" w:rsidRDefault="00F75FC9"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020131C6"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46052B79"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008A2102"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6A4E1FA8"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451763DE"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4BA7213D"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kern w:val="1"/>
          <w:lang w:eastAsia="ar-SA"/>
        </w:rPr>
      </w:pPr>
    </w:p>
    <w:p w14:paraId="58449B8E" w14:textId="3B231823" w:rsidR="00F75FC9" w:rsidRPr="000C017C" w:rsidRDefault="008222E3" w:rsidP="00B43EFE">
      <w:pPr>
        <w:pStyle w:val="Titre1"/>
        <w:shd w:val="pct12" w:color="auto" w:fill="auto"/>
        <w:rPr>
          <w:sz w:val="36"/>
          <w:szCs w:val="36"/>
          <w:lang w:eastAsia="ar-SA"/>
        </w:rPr>
      </w:pPr>
      <w:bookmarkStart w:id="5" w:name="_Toc213406292"/>
      <w:r>
        <w:rPr>
          <w:sz w:val="36"/>
          <w:szCs w:val="36"/>
          <w:lang w:eastAsia="ar-SA"/>
        </w:rPr>
        <w:t>2.</w:t>
      </w:r>
      <w:r w:rsidR="00F75FC9" w:rsidRPr="000C017C">
        <w:rPr>
          <w:sz w:val="36"/>
          <w:szCs w:val="36"/>
          <w:lang w:eastAsia="ar-SA"/>
        </w:rPr>
        <w:t>2</w:t>
      </w:r>
      <w:r w:rsidR="00244FE6">
        <w:rPr>
          <w:sz w:val="36"/>
          <w:szCs w:val="36"/>
          <w:lang w:eastAsia="ar-SA"/>
        </w:rPr>
        <w:t xml:space="preserve"> : </w:t>
      </w:r>
      <w:r w:rsidR="00F75FC9" w:rsidRPr="000C017C">
        <w:rPr>
          <w:sz w:val="36"/>
          <w:szCs w:val="36"/>
          <w:lang w:eastAsia="ar-SA"/>
        </w:rPr>
        <w:t>Projet d’exploitation</w:t>
      </w:r>
      <w:bookmarkEnd w:id="5"/>
      <w:r w:rsidR="00F75FC9" w:rsidRPr="000C017C">
        <w:rPr>
          <w:sz w:val="36"/>
          <w:szCs w:val="36"/>
          <w:lang w:eastAsia="ar-SA"/>
        </w:rPr>
        <w:t xml:space="preserve"> </w:t>
      </w:r>
    </w:p>
    <w:p w14:paraId="05CCA92B" w14:textId="1B50B003" w:rsidR="00244FE6" w:rsidRPr="00B43EFE" w:rsidRDefault="00244FE6" w:rsidP="00B43EFE">
      <w:pPr>
        <w:shd w:val="pct12" w:color="auto" w:fill="auto"/>
        <w:jc w:val="right"/>
        <w:rPr>
          <w:sz w:val="36"/>
          <w:szCs w:val="36"/>
        </w:rPr>
      </w:pPr>
      <w:r w:rsidRPr="00B43EFE">
        <w:rPr>
          <w:sz w:val="36"/>
          <w:szCs w:val="36"/>
        </w:rPr>
        <w:t>(</w:t>
      </w:r>
      <w:r w:rsidR="00B43EFE" w:rsidRPr="00B43EFE">
        <w:rPr>
          <w:sz w:val="36"/>
          <w:szCs w:val="36"/>
        </w:rPr>
        <w:t>30</w:t>
      </w:r>
      <w:r w:rsidRPr="00B43EFE">
        <w:rPr>
          <w:sz w:val="36"/>
          <w:szCs w:val="36"/>
        </w:rPr>
        <w:t xml:space="preserve"> points)</w:t>
      </w:r>
    </w:p>
    <w:p w14:paraId="5B1089C0" w14:textId="695D703D" w:rsidR="00F75FC9" w:rsidRPr="000C017C" w:rsidRDefault="008222E3" w:rsidP="00316188">
      <w:pPr>
        <w:pStyle w:val="Titre2"/>
        <w:spacing w:before="0" w:after="0"/>
        <w:ind w:firstLine="708"/>
        <w:rPr>
          <w:sz w:val="28"/>
          <w:szCs w:val="28"/>
          <w:lang w:eastAsia="ar-SA"/>
        </w:rPr>
      </w:pPr>
      <w:bookmarkStart w:id="6" w:name="_Toc213406293"/>
      <w:r>
        <w:rPr>
          <w:sz w:val="28"/>
          <w:szCs w:val="28"/>
          <w:lang w:eastAsia="ar-SA"/>
        </w:rPr>
        <w:t>2.</w:t>
      </w:r>
      <w:r w:rsidR="00F75FC9" w:rsidRPr="000C017C">
        <w:rPr>
          <w:sz w:val="28"/>
          <w:szCs w:val="28"/>
          <w:lang w:eastAsia="ar-SA"/>
        </w:rPr>
        <w:t>2.1 Programmation culturelle</w:t>
      </w:r>
      <w:bookmarkEnd w:id="6"/>
    </w:p>
    <w:p w14:paraId="29071341" w14:textId="77777777" w:rsidR="00316188" w:rsidRPr="00316188" w:rsidRDefault="00316188" w:rsidP="00316188">
      <w:pPr>
        <w:spacing w:after="0"/>
        <w:jc w:val="right"/>
        <w:rPr>
          <w:sz w:val="28"/>
          <w:szCs w:val="28"/>
          <w:lang w:eastAsia="ar-SA"/>
        </w:rPr>
      </w:pPr>
      <w:r w:rsidRPr="00316188">
        <w:rPr>
          <w:sz w:val="28"/>
          <w:szCs w:val="28"/>
          <w:bdr w:val="single" w:sz="4" w:space="0" w:color="auto"/>
          <w:lang w:eastAsia="ar-SA"/>
        </w:rPr>
        <w:t>10 points</w:t>
      </w:r>
    </w:p>
    <w:p w14:paraId="753BAC40" w14:textId="77777777" w:rsidR="00316188" w:rsidRDefault="00316188"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24816B8F" w14:textId="1CDD6A17" w:rsidR="00F75FC9" w:rsidRPr="00B43EFE"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5E0010">
        <w:rPr>
          <w:rFonts w:ascii="Calibri Light" w:hAnsi="Calibri Light"/>
          <w:i/>
          <w:iCs/>
          <w:kern w:val="1"/>
          <w:lang w:eastAsia="ar-SA"/>
        </w:rPr>
        <w:t xml:space="preserve">Présenter un projet </w:t>
      </w:r>
      <w:r>
        <w:rPr>
          <w:rFonts w:ascii="Calibri Light" w:hAnsi="Calibri Light"/>
          <w:i/>
          <w:iCs/>
          <w:kern w:val="1"/>
          <w:lang w:eastAsia="ar-SA"/>
        </w:rPr>
        <w:t xml:space="preserve">de programmation </w:t>
      </w:r>
      <w:r w:rsidRPr="005E0010">
        <w:rPr>
          <w:rFonts w:ascii="Calibri Light" w:hAnsi="Calibri Light"/>
          <w:i/>
          <w:iCs/>
          <w:kern w:val="1"/>
          <w:lang w:eastAsia="ar-SA"/>
        </w:rPr>
        <w:t>artistique ambitieux, cohérent avec le positionnement choisi et adapté à la jauge de l'équipement.</w:t>
      </w:r>
      <w:r>
        <w:rPr>
          <w:rFonts w:ascii="Calibri Light" w:hAnsi="Calibri Light"/>
          <w:i/>
          <w:iCs/>
          <w:kern w:val="1"/>
          <w:lang w:eastAsia="ar-SA"/>
        </w:rPr>
        <w:t xml:space="preserve"> Proposer une programmation type pour la premi</w:t>
      </w:r>
      <w:r w:rsidRPr="00B43EFE">
        <w:rPr>
          <w:rFonts w:ascii="Calibri Light" w:hAnsi="Calibri Light"/>
          <w:i/>
          <w:iCs/>
          <w:kern w:val="1"/>
          <w:lang w:eastAsia="ar-SA"/>
        </w:rPr>
        <w:t>ère saison.</w:t>
      </w:r>
      <w:r w:rsidR="00244FE6" w:rsidRPr="00B43EFE">
        <w:rPr>
          <w:rFonts w:ascii="Calibri Light" w:hAnsi="Calibri Light" w:cs="Calibri Light"/>
          <w:bCs/>
        </w:rPr>
        <w:t xml:space="preserve"> </w:t>
      </w:r>
    </w:p>
    <w:p w14:paraId="14081A81" w14:textId="77777777" w:rsidR="00F75FC9"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32DD2C11" w14:textId="77777777" w:rsidR="00CF7C06" w:rsidRDefault="00CF7C06"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7F459A80" w14:textId="77777777" w:rsidR="00CF7C06" w:rsidRDefault="00CF7C06"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74157EEC" w14:textId="77777777" w:rsidR="00CF7C06" w:rsidRDefault="00CF7C06"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1E0ED6AA" w14:textId="77777777" w:rsidR="00846B0B" w:rsidRDefault="00846B0B"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72D75101" w14:textId="77777777" w:rsidR="00846B0B" w:rsidRPr="00B43EFE" w:rsidRDefault="00846B0B"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15ED7A44" w14:textId="535479EC" w:rsidR="00F75FC9" w:rsidRPr="00B43EFE" w:rsidRDefault="008222E3" w:rsidP="00316188">
      <w:pPr>
        <w:pStyle w:val="Titre2"/>
        <w:spacing w:before="0" w:after="0"/>
        <w:ind w:firstLine="708"/>
        <w:rPr>
          <w:sz w:val="28"/>
          <w:szCs w:val="28"/>
          <w:lang w:eastAsia="ar-SA"/>
        </w:rPr>
      </w:pPr>
      <w:bookmarkStart w:id="7" w:name="_Toc213406294"/>
      <w:r w:rsidRPr="00B43EFE">
        <w:rPr>
          <w:sz w:val="28"/>
          <w:szCs w:val="28"/>
          <w:lang w:eastAsia="ar-SA"/>
        </w:rPr>
        <w:t>2.</w:t>
      </w:r>
      <w:r w:rsidR="00F75FC9" w:rsidRPr="00B43EFE">
        <w:rPr>
          <w:sz w:val="28"/>
          <w:szCs w:val="28"/>
          <w:lang w:eastAsia="ar-SA"/>
        </w:rPr>
        <w:t>2.2 Stratégie</w:t>
      </w:r>
      <w:r w:rsidR="000E7E71">
        <w:rPr>
          <w:sz w:val="28"/>
          <w:szCs w:val="28"/>
          <w:lang w:eastAsia="ar-SA"/>
        </w:rPr>
        <w:t xml:space="preserve"> globale</w:t>
      </w:r>
      <w:r w:rsidR="00F75FC9" w:rsidRPr="00B43EFE">
        <w:rPr>
          <w:sz w:val="28"/>
          <w:szCs w:val="28"/>
          <w:lang w:eastAsia="ar-SA"/>
        </w:rPr>
        <w:t xml:space="preserve"> </w:t>
      </w:r>
      <w:r w:rsidR="000E7E71">
        <w:rPr>
          <w:sz w:val="28"/>
          <w:szCs w:val="28"/>
          <w:lang w:eastAsia="ar-SA"/>
        </w:rPr>
        <w:t>(</w:t>
      </w:r>
      <w:r w:rsidR="00F75FC9" w:rsidRPr="00B43EFE">
        <w:rPr>
          <w:sz w:val="28"/>
          <w:szCs w:val="28"/>
          <w:lang w:eastAsia="ar-SA"/>
        </w:rPr>
        <w:t>commerciale</w:t>
      </w:r>
      <w:r w:rsidR="000E7E71">
        <w:rPr>
          <w:sz w:val="28"/>
          <w:szCs w:val="28"/>
          <w:lang w:eastAsia="ar-SA"/>
        </w:rPr>
        <w:t>,</w:t>
      </w:r>
      <w:r w:rsidR="00F75FC9" w:rsidRPr="00B43EFE">
        <w:rPr>
          <w:sz w:val="28"/>
          <w:szCs w:val="28"/>
          <w:lang w:eastAsia="ar-SA"/>
        </w:rPr>
        <w:t xml:space="preserve"> communication</w:t>
      </w:r>
      <w:r w:rsidR="000E7E71">
        <w:rPr>
          <w:sz w:val="28"/>
          <w:szCs w:val="28"/>
          <w:lang w:eastAsia="ar-SA"/>
        </w:rPr>
        <w:t xml:space="preserve"> et RSE)</w:t>
      </w:r>
      <w:bookmarkEnd w:id="7"/>
    </w:p>
    <w:p w14:paraId="541AD432" w14:textId="77777777" w:rsidR="00316188" w:rsidRPr="00316188" w:rsidRDefault="00316188" w:rsidP="00316188">
      <w:pPr>
        <w:spacing w:after="0"/>
        <w:jc w:val="right"/>
        <w:rPr>
          <w:sz w:val="28"/>
          <w:szCs w:val="28"/>
          <w:lang w:eastAsia="ar-SA"/>
        </w:rPr>
      </w:pPr>
      <w:r w:rsidRPr="00316188">
        <w:rPr>
          <w:sz w:val="28"/>
          <w:szCs w:val="28"/>
          <w:bdr w:val="single" w:sz="4" w:space="0" w:color="auto"/>
          <w:lang w:eastAsia="ar-SA"/>
        </w:rPr>
        <w:t>10 points</w:t>
      </w:r>
    </w:p>
    <w:p w14:paraId="1084DCE4" w14:textId="77777777" w:rsidR="00316188" w:rsidRDefault="00316188"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52784D68" w14:textId="6C303597" w:rsidR="00F75FC9" w:rsidRPr="00B43EFE"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B43EFE">
        <w:rPr>
          <w:rFonts w:ascii="Calibri Light" w:hAnsi="Calibri Light"/>
          <w:i/>
          <w:iCs/>
          <w:kern w:val="1"/>
          <w:lang w:eastAsia="ar-SA"/>
        </w:rPr>
        <w:t>Détailler les modalités de vente qu’il s’agisse des spectacles programmés ou de la location des espaces et les prestations liées : préciser les éléments indiqués à l’ANNEXE 15 GRILLES TARIFAIRES.</w:t>
      </w:r>
    </w:p>
    <w:p w14:paraId="6C3E6C4A" w14:textId="72861E1D" w:rsidR="00F75FC9"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B43EFE">
        <w:rPr>
          <w:rFonts w:ascii="Calibri Light" w:hAnsi="Calibri Light"/>
          <w:i/>
          <w:iCs/>
          <w:kern w:val="1"/>
          <w:lang w:eastAsia="ar-SA"/>
        </w:rPr>
        <w:t xml:space="preserve">Définir une stratégie de communication efficace pour garantir la visibilité de la salle et de sa programmation pour l’ensemble des </w:t>
      </w:r>
      <w:r w:rsidR="005A26B5">
        <w:rPr>
          <w:rFonts w:ascii="Calibri Light" w:hAnsi="Calibri Light"/>
          <w:i/>
          <w:iCs/>
          <w:kern w:val="1"/>
          <w:lang w:eastAsia="ar-SA"/>
        </w:rPr>
        <w:t>client</w:t>
      </w:r>
      <w:r w:rsidRPr="00B43EFE">
        <w:rPr>
          <w:rFonts w:ascii="Calibri Light" w:hAnsi="Calibri Light"/>
          <w:i/>
          <w:iCs/>
          <w:kern w:val="1"/>
          <w:lang w:eastAsia="ar-SA"/>
        </w:rPr>
        <w:t>s. Coordonner la communication, utiliser la charte fournie par la CCINCA (ANNEXE 12).</w:t>
      </w:r>
    </w:p>
    <w:p w14:paraId="213DBC82" w14:textId="2E24DABC" w:rsidR="000E7E71" w:rsidRDefault="000E7E71"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B43EFE">
        <w:rPr>
          <w:rFonts w:ascii="Calibri Light" w:hAnsi="Calibri Light"/>
          <w:i/>
          <w:iCs/>
          <w:kern w:val="1"/>
          <w:lang w:eastAsia="ar-SA"/>
        </w:rPr>
        <w:t>Pour l’inauguration : proposer des événements permettant de faire découvrir la salle et son côté polyvalent dès l’ouverture. La CCINCA orchestra la séquence inaugurale, sur des modalités à définir avec le concessionnaire</w:t>
      </w:r>
      <w:r>
        <w:rPr>
          <w:rFonts w:ascii="Calibri Light" w:hAnsi="Calibri Light"/>
          <w:i/>
          <w:iCs/>
          <w:kern w:val="1"/>
          <w:lang w:eastAsia="ar-SA"/>
        </w:rPr>
        <w:t>.</w:t>
      </w:r>
    </w:p>
    <w:p w14:paraId="31CD4719" w14:textId="7CA554C1" w:rsidR="00F75FC9" w:rsidRDefault="000E7E71" w:rsidP="00F75FC9">
      <w:pPr>
        <w:tabs>
          <w:tab w:val="left" w:pos="-3828"/>
          <w:tab w:val="left" w:pos="-3096"/>
          <w:tab w:val="left" w:pos="1672"/>
        </w:tabs>
        <w:suppressAutoHyphens/>
        <w:spacing w:before="57"/>
        <w:ind w:left="1416"/>
        <w:jc w:val="both"/>
        <w:textAlignment w:val="baseline"/>
        <w:rPr>
          <w:rFonts w:ascii="Calibri Light" w:eastAsia="ヒラギノ角ゴ Pro W3" w:hAnsi="Calibri Light" w:cs="Calibri Light"/>
          <w:color w:val="000000"/>
          <w:bdr w:val="single" w:sz="4" w:space="0" w:color="auto"/>
        </w:rPr>
      </w:pPr>
      <w:bookmarkStart w:id="8" w:name="_Hlk213187474"/>
      <w:r>
        <w:rPr>
          <w:rFonts w:ascii="Calibri Light" w:hAnsi="Calibri Light"/>
          <w:i/>
          <w:iCs/>
          <w:kern w:val="1"/>
          <w:lang w:eastAsia="ar-SA"/>
        </w:rPr>
        <w:t>D</w:t>
      </w:r>
      <w:r w:rsidRPr="003F6518">
        <w:rPr>
          <w:rFonts w:ascii="Calibri Light" w:hAnsi="Calibri Light"/>
          <w:i/>
          <w:iCs/>
          <w:kern w:val="1"/>
          <w:lang w:eastAsia="ar-SA"/>
        </w:rPr>
        <w:t xml:space="preserve">étailler </w:t>
      </w:r>
      <w:r>
        <w:rPr>
          <w:rFonts w:ascii="Calibri Light" w:hAnsi="Calibri Light"/>
          <w:i/>
          <w:iCs/>
          <w:kern w:val="1"/>
          <w:lang w:eastAsia="ar-SA"/>
        </w:rPr>
        <w:t>l</w:t>
      </w:r>
      <w:r w:rsidRPr="003F6518">
        <w:rPr>
          <w:rFonts w:ascii="Calibri Light" w:hAnsi="Calibri Light"/>
          <w:i/>
          <w:iCs/>
          <w:kern w:val="1"/>
          <w:lang w:eastAsia="ar-SA"/>
        </w:rPr>
        <w:t xml:space="preserve">a démarche de Responsabilité Sociétale d'Entreprise (RSE), </w:t>
      </w:r>
      <w:r>
        <w:rPr>
          <w:rFonts w:ascii="Calibri Light" w:hAnsi="Calibri Light"/>
          <w:i/>
          <w:iCs/>
          <w:kern w:val="1"/>
          <w:lang w:eastAsia="ar-SA"/>
        </w:rPr>
        <w:t>s’inscrire</w:t>
      </w:r>
      <w:r w:rsidRPr="003F6518">
        <w:rPr>
          <w:rFonts w:ascii="Calibri Light" w:hAnsi="Calibri Light"/>
          <w:i/>
          <w:iCs/>
          <w:kern w:val="1"/>
          <w:lang w:eastAsia="ar-SA"/>
        </w:rPr>
        <w:t xml:space="preserve"> en tant que partie prenante dans la </w:t>
      </w:r>
      <w:r w:rsidRPr="00B43EFE">
        <w:rPr>
          <w:rFonts w:ascii="Calibri Light" w:hAnsi="Calibri Light"/>
          <w:i/>
          <w:iCs/>
          <w:kern w:val="1"/>
          <w:lang w:eastAsia="ar-SA"/>
        </w:rPr>
        <w:t>politique RSE globale du concédant. Mettre en avant sa stratégie particulièrement sur les sujets suivants : gestion des déchets, utilisation de circuits courts, inclusion, etc</w:t>
      </w:r>
      <w:bookmarkEnd w:id="8"/>
      <w:r w:rsidRPr="000E7E71">
        <w:rPr>
          <w:rFonts w:ascii="Calibri Light" w:hAnsi="Calibri Light"/>
          <w:i/>
          <w:iCs/>
          <w:kern w:val="1"/>
          <w:lang w:eastAsia="ar-SA"/>
        </w:rPr>
        <w:t xml:space="preserve">). </w:t>
      </w:r>
      <w:r w:rsidR="00244FE6" w:rsidRPr="00B43EFE">
        <w:rPr>
          <w:rFonts w:ascii="Calibri Light" w:hAnsi="Calibri Light" w:cs="Calibri Light"/>
          <w:bCs/>
        </w:rPr>
        <w:t xml:space="preserve"> </w:t>
      </w:r>
      <w:r w:rsidR="00244FE6" w:rsidRPr="00B43EFE">
        <w:rPr>
          <w:rFonts w:ascii="Calibri Light" w:eastAsia="ヒラギノ角ゴ Pro W3" w:hAnsi="Calibri Light" w:cs="Calibri Light"/>
          <w:color w:val="000000"/>
          <w:bdr w:val="single" w:sz="4" w:space="0" w:color="auto"/>
        </w:rPr>
        <w:t xml:space="preserve"> </w:t>
      </w:r>
    </w:p>
    <w:p w14:paraId="29B6DA06"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eastAsia="ヒラギノ角ゴ Pro W3" w:hAnsi="Calibri Light" w:cs="Calibri Light"/>
          <w:color w:val="000000"/>
          <w:bdr w:val="single" w:sz="4" w:space="0" w:color="auto"/>
        </w:rPr>
      </w:pPr>
    </w:p>
    <w:p w14:paraId="5D50EF9A"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eastAsia="ヒラギノ角ゴ Pro W3" w:hAnsi="Calibri Light" w:cs="Calibri Light"/>
          <w:color w:val="000000"/>
          <w:bdr w:val="single" w:sz="4" w:space="0" w:color="auto"/>
        </w:rPr>
      </w:pPr>
    </w:p>
    <w:p w14:paraId="36328ABE" w14:textId="77777777" w:rsidR="00CF7C06" w:rsidRPr="00B43EFE" w:rsidRDefault="00CF7C06"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05CCB884" w14:textId="2CBDCFAC" w:rsidR="00F75FC9" w:rsidRPr="00B43EFE" w:rsidRDefault="008222E3" w:rsidP="00316188">
      <w:pPr>
        <w:pStyle w:val="Titre2"/>
        <w:spacing w:before="0" w:after="0"/>
        <w:ind w:firstLine="708"/>
        <w:rPr>
          <w:sz w:val="28"/>
          <w:szCs w:val="28"/>
          <w:lang w:eastAsia="ar-SA"/>
        </w:rPr>
      </w:pPr>
      <w:bookmarkStart w:id="9" w:name="_Toc213406295"/>
      <w:r w:rsidRPr="00B43EFE">
        <w:rPr>
          <w:sz w:val="28"/>
          <w:szCs w:val="28"/>
          <w:lang w:eastAsia="ar-SA"/>
        </w:rPr>
        <w:lastRenderedPageBreak/>
        <w:t>2.</w:t>
      </w:r>
      <w:r w:rsidR="00F75FC9" w:rsidRPr="00B43EFE">
        <w:rPr>
          <w:sz w:val="28"/>
          <w:szCs w:val="28"/>
          <w:lang w:eastAsia="ar-SA"/>
        </w:rPr>
        <w:t>2.3 Prévision d’activité</w:t>
      </w:r>
      <w:bookmarkEnd w:id="9"/>
    </w:p>
    <w:p w14:paraId="163FC519" w14:textId="77777777" w:rsidR="00316188" w:rsidRPr="00316188" w:rsidRDefault="00316188" w:rsidP="00316188">
      <w:pPr>
        <w:spacing w:after="0"/>
        <w:jc w:val="right"/>
        <w:rPr>
          <w:sz w:val="28"/>
          <w:szCs w:val="28"/>
          <w:lang w:eastAsia="ar-SA"/>
        </w:rPr>
      </w:pPr>
      <w:r w:rsidRPr="00316188">
        <w:rPr>
          <w:sz w:val="28"/>
          <w:szCs w:val="28"/>
          <w:bdr w:val="single" w:sz="4" w:space="0" w:color="auto"/>
          <w:lang w:eastAsia="ar-SA"/>
        </w:rPr>
        <w:t>10 points</w:t>
      </w:r>
    </w:p>
    <w:p w14:paraId="45D0A581" w14:textId="77777777" w:rsidR="00316188" w:rsidRDefault="00316188"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19CF547B" w14:textId="706A14E9" w:rsidR="00F75FC9"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B43EFE">
        <w:rPr>
          <w:rFonts w:ascii="Calibri Light" w:hAnsi="Calibri Light"/>
          <w:i/>
          <w:iCs/>
          <w:kern w:val="1"/>
          <w:lang w:eastAsia="ar-SA"/>
        </w:rPr>
        <w:t>Présenter des prévisions d’activité sur 4 ans par type de manifestation pour les spectacles mais aussi les privatisations et autres événements d’entreprise. Ces prévisions doivent mentionner</w:t>
      </w:r>
      <w:r w:rsidR="00F8297A" w:rsidRPr="00B43EFE">
        <w:rPr>
          <w:rFonts w:ascii="Calibri Light" w:hAnsi="Calibri Light"/>
          <w:i/>
          <w:iCs/>
          <w:kern w:val="1"/>
          <w:lang w:eastAsia="ar-SA"/>
        </w:rPr>
        <w:t>,</w:t>
      </w:r>
      <w:r w:rsidRPr="00B43EFE">
        <w:rPr>
          <w:rFonts w:ascii="Calibri Light" w:hAnsi="Calibri Light"/>
          <w:i/>
          <w:iCs/>
          <w:kern w:val="1"/>
          <w:lang w:eastAsia="ar-SA"/>
        </w:rPr>
        <w:t xml:space="preserve"> pour chaque année</w:t>
      </w:r>
      <w:r w:rsidR="00F8297A" w:rsidRPr="00B43EFE">
        <w:rPr>
          <w:rFonts w:ascii="Calibri Light" w:hAnsi="Calibri Light"/>
          <w:i/>
          <w:iCs/>
          <w:kern w:val="1"/>
          <w:lang w:eastAsia="ar-SA"/>
        </w:rPr>
        <w:t>,</w:t>
      </w:r>
      <w:r w:rsidRPr="00B43EFE">
        <w:rPr>
          <w:rFonts w:ascii="Calibri Light" w:hAnsi="Calibri Light"/>
          <w:i/>
          <w:iCs/>
          <w:kern w:val="1"/>
          <w:lang w:eastAsia="ar-SA"/>
        </w:rPr>
        <w:t xml:space="preserve"> le nombre et le type de dates, la fréquentation cible par type de manifestation et le détail des recettes projetées pour chaque type de manifestation.</w:t>
      </w:r>
    </w:p>
    <w:p w14:paraId="27B1F5CD" w14:textId="77777777" w:rsidR="00846B0B" w:rsidRDefault="00846B0B"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27897031"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158A6A4B" w14:textId="77777777" w:rsidR="00846B0B" w:rsidRDefault="00846B0B"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555D5DB4" w14:textId="77777777" w:rsidR="00846B0B" w:rsidRDefault="00846B0B"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21BB6073" w14:textId="77777777" w:rsidR="00846B0B" w:rsidRDefault="00846B0B" w:rsidP="00F75FC9">
      <w:pPr>
        <w:tabs>
          <w:tab w:val="left" w:pos="-3828"/>
          <w:tab w:val="left" w:pos="-3096"/>
          <w:tab w:val="left" w:pos="1672"/>
        </w:tabs>
        <w:suppressAutoHyphens/>
        <w:spacing w:before="57"/>
        <w:ind w:left="1416"/>
        <w:jc w:val="both"/>
        <w:textAlignment w:val="baseline"/>
        <w:rPr>
          <w:rFonts w:ascii="Calibri Light" w:hAnsi="Calibri Light"/>
          <w:b/>
          <w:bCs/>
          <w:i/>
          <w:iCs/>
          <w:kern w:val="1"/>
          <w:lang w:eastAsia="ar-SA"/>
        </w:rPr>
      </w:pPr>
    </w:p>
    <w:p w14:paraId="6EB474AA" w14:textId="2FBE6CAF" w:rsidR="00F75FC9" w:rsidRPr="000C017C" w:rsidRDefault="008222E3" w:rsidP="00B43EFE">
      <w:pPr>
        <w:pStyle w:val="Titre1"/>
        <w:shd w:val="pct12" w:color="auto" w:fill="auto"/>
        <w:rPr>
          <w:sz w:val="36"/>
          <w:szCs w:val="36"/>
          <w:lang w:eastAsia="ar-SA"/>
        </w:rPr>
      </w:pPr>
      <w:bookmarkStart w:id="10" w:name="_Toc213406296"/>
      <w:r>
        <w:rPr>
          <w:sz w:val="36"/>
          <w:szCs w:val="36"/>
          <w:lang w:eastAsia="ar-SA"/>
        </w:rPr>
        <w:t>2.</w:t>
      </w:r>
      <w:r w:rsidR="00F75FC9" w:rsidRPr="000C017C">
        <w:rPr>
          <w:sz w:val="36"/>
          <w:szCs w:val="36"/>
          <w:lang w:eastAsia="ar-SA"/>
        </w:rPr>
        <w:t>3</w:t>
      </w:r>
      <w:r w:rsidR="00244FE6">
        <w:rPr>
          <w:sz w:val="36"/>
          <w:szCs w:val="36"/>
          <w:lang w:eastAsia="ar-SA"/>
        </w:rPr>
        <w:t> :</w:t>
      </w:r>
      <w:r w:rsidR="00F75FC9" w:rsidRPr="000C017C">
        <w:rPr>
          <w:sz w:val="36"/>
          <w:szCs w:val="36"/>
          <w:lang w:eastAsia="ar-SA"/>
        </w:rPr>
        <w:t xml:space="preserve"> Qualité de service</w:t>
      </w:r>
      <w:bookmarkEnd w:id="10"/>
      <w:r w:rsidR="00F75FC9" w:rsidRPr="000C017C">
        <w:rPr>
          <w:sz w:val="36"/>
          <w:szCs w:val="36"/>
          <w:lang w:eastAsia="ar-SA"/>
        </w:rPr>
        <w:t xml:space="preserve"> </w:t>
      </w:r>
    </w:p>
    <w:p w14:paraId="724CE231" w14:textId="4C528D93" w:rsidR="00244FE6" w:rsidRPr="00B43EFE" w:rsidRDefault="00244FE6" w:rsidP="00B43EFE">
      <w:pPr>
        <w:shd w:val="pct12" w:color="auto" w:fill="auto"/>
        <w:jc w:val="right"/>
        <w:rPr>
          <w:sz w:val="36"/>
          <w:szCs w:val="36"/>
        </w:rPr>
      </w:pPr>
      <w:r w:rsidRPr="00B43EFE">
        <w:rPr>
          <w:sz w:val="36"/>
          <w:szCs w:val="36"/>
        </w:rPr>
        <w:t>(</w:t>
      </w:r>
      <w:r w:rsidR="00B43EFE" w:rsidRPr="00B43EFE">
        <w:rPr>
          <w:sz w:val="36"/>
          <w:szCs w:val="36"/>
        </w:rPr>
        <w:t>15</w:t>
      </w:r>
      <w:r w:rsidRPr="00B43EFE">
        <w:rPr>
          <w:sz w:val="36"/>
          <w:szCs w:val="36"/>
        </w:rPr>
        <w:t xml:space="preserve"> points)</w:t>
      </w:r>
    </w:p>
    <w:p w14:paraId="1BECA289" w14:textId="3B46A4A7" w:rsidR="00F75FC9" w:rsidRPr="000C017C" w:rsidRDefault="008222E3" w:rsidP="00316188">
      <w:pPr>
        <w:pStyle w:val="Titre2"/>
        <w:spacing w:before="0" w:after="0"/>
        <w:ind w:firstLine="708"/>
        <w:rPr>
          <w:sz w:val="28"/>
          <w:szCs w:val="28"/>
          <w:lang w:eastAsia="ar-SA"/>
        </w:rPr>
      </w:pPr>
      <w:bookmarkStart w:id="11" w:name="_Toc213406297"/>
      <w:r>
        <w:rPr>
          <w:sz w:val="28"/>
          <w:szCs w:val="28"/>
          <w:lang w:eastAsia="ar-SA"/>
        </w:rPr>
        <w:t>2.</w:t>
      </w:r>
      <w:r w:rsidR="00F75FC9" w:rsidRPr="000C017C">
        <w:rPr>
          <w:sz w:val="28"/>
          <w:szCs w:val="28"/>
          <w:lang w:eastAsia="ar-SA"/>
        </w:rPr>
        <w:t>3.1 Accueil du public</w:t>
      </w:r>
      <w:bookmarkEnd w:id="11"/>
    </w:p>
    <w:p w14:paraId="4D1DD0D6" w14:textId="4D1346BD" w:rsidR="00316188" w:rsidRPr="00316188" w:rsidRDefault="00316188" w:rsidP="00316188">
      <w:pPr>
        <w:spacing w:after="0"/>
        <w:jc w:val="right"/>
        <w:rPr>
          <w:sz w:val="28"/>
          <w:szCs w:val="28"/>
          <w:lang w:eastAsia="ar-SA"/>
        </w:rPr>
      </w:pPr>
      <w:r>
        <w:rPr>
          <w:sz w:val="28"/>
          <w:szCs w:val="28"/>
          <w:bdr w:val="single" w:sz="4" w:space="0" w:color="auto"/>
          <w:lang w:eastAsia="ar-SA"/>
        </w:rPr>
        <w:t>5</w:t>
      </w:r>
      <w:r w:rsidRPr="00316188">
        <w:rPr>
          <w:sz w:val="28"/>
          <w:szCs w:val="28"/>
          <w:bdr w:val="single" w:sz="4" w:space="0" w:color="auto"/>
          <w:lang w:eastAsia="ar-SA"/>
        </w:rPr>
        <w:t xml:space="preserve"> points</w:t>
      </w:r>
    </w:p>
    <w:p w14:paraId="6BCDB175" w14:textId="77777777" w:rsidR="00316188" w:rsidRDefault="00316188" w:rsidP="00F75FC9">
      <w:pPr>
        <w:ind w:left="993"/>
        <w:jc w:val="both"/>
        <w:rPr>
          <w:rFonts w:ascii="Calibri Light" w:hAnsi="Calibri Light"/>
          <w:i/>
          <w:iCs/>
          <w:kern w:val="1"/>
          <w:lang w:eastAsia="ar-SA"/>
        </w:rPr>
      </w:pPr>
    </w:p>
    <w:p w14:paraId="628C6C5A" w14:textId="5DA7073E" w:rsidR="00F75FC9" w:rsidRDefault="00F75FC9" w:rsidP="00F75FC9">
      <w:pPr>
        <w:ind w:left="993"/>
        <w:jc w:val="both"/>
        <w:rPr>
          <w:rFonts w:ascii="Calibri Light" w:hAnsi="Calibri Light"/>
          <w:i/>
          <w:iCs/>
          <w:kern w:val="1"/>
          <w:lang w:eastAsia="ar-SA"/>
        </w:rPr>
      </w:pPr>
      <w:r w:rsidRPr="005E0010">
        <w:rPr>
          <w:rFonts w:ascii="Calibri Light" w:hAnsi="Calibri Light"/>
          <w:i/>
          <w:iCs/>
          <w:kern w:val="1"/>
          <w:lang w:eastAsia="ar-SA"/>
        </w:rPr>
        <w:t xml:space="preserve">Décrire </w:t>
      </w:r>
      <w:r>
        <w:rPr>
          <w:rFonts w:ascii="Calibri Light" w:hAnsi="Calibri Light"/>
          <w:i/>
          <w:iCs/>
          <w:kern w:val="1"/>
          <w:lang w:eastAsia="ar-SA"/>
        </w:rPr>
        <w:t>« </w:t>
      </w:r>
      <w:r w:rsidRPr="005E0010">
        <w:rPr>
          <w:rFonts w:ascii="Calibri Light" w:hAnsi="Calibri Light"/>
          <w:i/>
          <w:iCs/>
          <w:kern w:val="1"/>
          <w:lang w:eastAsia="ar-SA"/>
        </w:rPr>
        <w:t>l’expérience spectateur</w:t>
      </w:r>
      <w:r>
        <w:rPr>
          <w:rFonts w:ascii="Calibri Light" w:hAnsi="Calibri Light"/>
          <w:i/>
          <w:iCs/>
          <w:kern w:val="1"/>
          <w:lang w:eastAsia="ar-SA"/>
        </w:rPr>
        <w:t> »</w:t>
      </w:r>
      <w:r w:rsidRPr="005E0010">
        <w:rPr>
          <w:rFonts w:ascii="Calibri Light" w:hAnsi="Calibri Light"/>
          <w:i/>
          <w:iCs/>
          <w:kern w:val="1"/>
          <w:lang w:eastAsia="ar-SA"/>
        </w:rPr>
        <w:t xml:space="preserve"> envisagée et </w:t>
      </w:r>
      <w:r>
        <w:rPr>
          <w:rFonts w:ascii="Calibri Light" w:hAnsi="Calibri Light"/>
          <w:i/>
          <w:iCs/>
          <w:kern w:val="1"/>
          <w:lang w:eastAsia="ar-SA"/>
        </w:rPr>
        <w:t xml:space="preserve">les </w:t>
      </w:r>
      <w:r w:rsidRPr="005E0010">
        <w:rPr>
          <w:rFonts w:ascii="Calibri Light" w:hAnsi="Calibri Light"/>
          <w:i/>
          <w:iCs/>
          <w:kern w:val="1"/>
          <w:lang w:eastAsia="ar-SA"/>
        </w:rPr>
        <w:t>services proposés de l’achat du billet à la sortie du spectacle</w:t>
      </w:r>
      <w:r>
        <w:rPr>
          <w:rFonts w:ascii="Calibri Light" w:hAnsi="Calibri Light"/>
          <w:i/>
          <w:iCs/>
          <w:kern w:val="1"/>
          <w:lang w:eastAsia="ar-SA"/>
        </w:rPr>
        <w:t xml:space="preserve"> ou de l’événement. Inclure les sujets d’accessibilité et de </w:t>
      </w:r>
      <w:r w:rsidRPr="00E556CF">
        <w:rPr>
          <w:rFonts w:ascii="Calibri Light" w:hAnsi="Calibri Light"/>
          <w:i/>
          <w:iCs/>
          <w:kern w:val="1"/>
          <w:lang w:eastAsia="ar-SA"/>
        </w:rPr>
        <w:t>sécurité.</w:t>
      </w:r>
    </w:p>
    <w:p w14:paraId="0456C711" w14:textId="108F2719" w:rsidR="00846B0B" w:rsidRDefault="00846B0B" w:rsidP="00F75FC9">
      <w:pPr>
        <w:ind w:left="993"/>
        <w:jc w:val="both"/>
        <w:rPr>
          <w:rFonts w:ascii="Calibri Light" w:hAnsi="Calibri Light"/>
          <w:i/>
          <w:iCs/>
          <w:kern w:val="1"/>
          <w:lang w:eastAsia="ar-SA"/>
        </w:rPr>
      </w:pPr>
      <w:r w:rsidRPr="00846B0B">
        <w:rPr>
          <w:rFonts w:ascii="Calibri Light" w:hAnsi="Calibri Light"/>
          <w:i/>
          <w:iCs/>
          <w:kern w:val="1"/>
          <w:lang w:eastAsia="ar-SA"/>
        </w:rPr>
        <w:t>La capacité et les moyens mis en œuvre pour assurer la sécurité</w:t>
      </w:r>
      <w:r>
        <w:rPr>
          <w:rFonts w:ascii="Calibri Light" w:hAnsi="Calibri Light"/>
          <w:i/>
          <w:iCs/>
          <w:kern w:val="1"/>
          <w:lang w:eastAsia="ar-SA"/>
        </w:rPr>
        <w:t>.</w:t>
      </w:r>
    </w:p>
    <w:p w14:paraId="5B8D9B9A" w14:textId="77777777" w:rsidR="003B5EA7" w:rsidRDefault="003B5EA7" w:rsidP="00F75FC9">
      <w:pPr>
        <w:ind w:left="993"/>
        <w:jc w:val="both"/>
        <w:rPr>
          <w:rFonts w:ascii="Calibri Light" w:hAnsi="Calibri Light"/>
          <w:i/>
          <w:iCs/>
          <w:kern w:val="1"/>
          <w:lang w:eastAsia="ar-SA"/>
        </w:rPr>
      </w:pPr>
    </w:p>
    <w:p w14:paraId="2F4E1650" w14:textId="77777777" w:rsidR="00CF7C06" w:rsidRDefault="00CF7C06" w:rsidP="00F75FC9">
      <w:pPr>
        <w:ind w:left="993"/>
        <w:jc w:val="both"/>
        <w:rPr>
          <w:rFonts w:ascii="Calibri Light" w:hAnsi="Calibri Light"/>
          <w:i/>
          <w:iCs/>
          <w:kern w:val="1"/>
          <w:lang w:eastAsia="ar-SA"/>
        </w:rPr>
      </w:pPr>
    </w:p>
    <w:p w14:paraId="537BA225" w14:textId="77777777" w:rsidR="00CF7C06" w:rsidRDefault="00CF7C06" w:rsidP="00F75FC9">
      <w:pPr>
        <w:ind w:left="993"/>
        <w:jc w:val="both"/>
        <w:rPr>
          <w:rFonts w:ascii="Calibri Light" w:hAnsi="Calibri Light"/>
          <w:i/>
          <w:iCs/>
          <w:kern w:val="1"/>
          <w:lang w:eastAsia="ar-SA"/>
        </w:rPr>
      </w:pPr>
    </w:p>
    <w:p w14:paraId="304CFB2C" w14:textId="77777777" w:rsidR="003B5EA7" w:rsidRPr="00E556CF" w:rsidRDefault="003B5EA7" w:rsidP="00F75FC9">
      <w:pPr>
        <w:ind w:left="993"/>
        <w:jc w:val="both"/>
        <w:rPr>
          <w:rFonts w:ascii="Calibri Light" w:hAnsi="Calibri Light"/>
          <w:i/>
          <w:iCs/>
          <w:kern w:val="1"/>
          <w:lang w:eastAsia="ar-SA"/>
        </w:rPr>
      </w:pPr>
    </w:p>
    <w:p w14:paraId="0EFCCB0B" w14:textId="432A2895" w:rsidR="00F75FC9" w:rsidRPr="00E36AD2" w:rsidRDefault="008222E3" w:rsidP="00316188">
      <w:pPr>
        <w:pStyle w:val="Titre2"/>
        <w:spacing w:before="0" w:after="0"/>
        <w:ind w:firstLine="708"/>
        <w:rPr>
          <w:sz w:val="28"/>
          <w:szCs w:val="28"/>
          <w:lang w:eastAsia="ar-SA"/>
        </w:rPr>
      </w:pPr>
      <w:bookmarkStart w:id="12" w:name="_Toc213406298"/>
      <w:r w:rsidRPr="00E36AD2">
        <w:rPr>
          <w:sz w:val="28"/>
          <w:szCs w:val="28"/>
          <w:lang w:eastAsia="ar-SA"/>
        </w:rPr>
        <w:t>2.</w:t>
      </w:r>
      <w:r w:rsidR="00F75FC9" w:rsidRPr="00E36AD2">
        <w:rPr>
          <w:sz w:val="28"/>
          <w:szCs w:val="28"/>
          <w:lang w:eastAsia="ar-SA"/>
        </w:rPr>
        <w:t>3.2 Accueil des spectacles et événements</w:t>
      </w:r>
      <w:bookmarkEnd w:id="12"/>
    </w:p>
    <w:p w14:paraId="3FC8B0DB" w14:textId="6675543D" w:rsidR="00316188" w:rsidRPr="00316188" w:rsidRDefault="00316188" w:rsidP="00316188">
      <w:pPr>
        <w:spacing w:after="0"/>
        <w:jc w:val="right"/>
        <w:rPr>
          <w:sz w:val="28"/>
          <w:szCs w:val="28"/>
          <w:lang w:eastAsia="ar-SA"/>
        </w:rPr>
      </w:pPr>
      <w:r>
        <w:rPr>
          <w:sz w:val="28"/>
          <w:szCs w:val="28"/>
          <w:bdr w:val="single" w:sz="4" w:space="0" w:color="auto"/>
          <w:lang w:eastAsia="ar-SA"/>
        </w:rPr>
        <w:t xml:space="preserve">5 </w:t>
      </w:r>
      <w:r w:rsidRPr="00316188">
        <w:rPr>
          <w:sz w:val="28"/>
          <w:szCs w:val="28"/>
          <w:bdr w:val="single" w:sz="4" w:space="0" w:color="auto"/>
          <w:lang w:eastAsia="ar-SA"/>
        </w:rPr>
        <w:t>points</w:t>
      </w:r>
    </w:p>
    <w:p w14:paraId="16FDA4DE" w14:textId="77777777" w:rsidR="00316188" w:rsidRDefault="00316188" w:rsidP="00F75FC9">
      <w:pPr>
        <w:ind w:left="1277"/>
        <w:jc w:val="both"/>
        <w:rPr>
          <w:rFonts w:ascii="Calibri Light" w:hAnsi="Calibri Light"/>
          <w:i/>
          <w:iCs/>
          <w:kern w:val="1"/>
          <w:lang w:eastAsia="ar-SA"/>
        </w:rPr>
      </w:pPr>
    </w:p>
    <w:p w14:paraId="77E5A3C5" w14:textId="77777777" w:rsidR="00316188" w:rsidRDefault="00316188" w:rsidP="00F75FC9">
      <w:pPr>
        <w:ind w:left="1277"/>
        <w:jc w:val="both"/>
        <w:rPr>
          <w:rFonts w:ascii="Calibri Light" w:hAnsi="Calibri Light"/>
          <w:i/>
          <w:iCs/>
          <w:kern w:val="1"/>
          <w:lang w:eastAsia="ar-SA"/>
        </w:rPr>
      </w:pPr>
    </w:p>
    <w:p w14:paraId="13061EC5" w14:textId="1BAA860F" w:rsidR="00F75FC9" w:rsidRDefault="00F75FC9" w:rsidP="00F75FC9">
      <w:pPr>
        <w:ind w:left="1277"/>
        <w:jc w:val="both"/>
        <w:rPr>
          <w:rFonts w:ascii="Calibri Light" w:hAnsi="Calibri Light"/>
          <w:i/>
          <w:iCs/>
          <w:kern w:val="1"/>
          <w:lang w:eastAsia="ar-SA"/>
        </w:rPr>
      </w:pPr>
      <w:r w:rsidRPr="00E556CF">
        <w:rPr>
          <w:rFonts w:ascii="Calibri Light" w:hAnsi="Calibri Light"/>
          <w:i/>
          <w:iCs/>
          <w:kern w:val="1"/>
          <w:lang w:eastAsia="ar-SA"/>
        </w:rPr>
        <w:t>Préciser les modalités concernant l’organisation de l’accueil technique et logistique des événements. Apporter des éléments de connaissance du matériel technique, de la régie des événements et du respect des normes de sécurité.</w:t>
      </w:r>
    </w:p>
    <w:p w14:paraId="6F7B27FD" w14:textId="77777777" w:rsidR="003B5EA7" w:rsidRDefault="003B5EA7" w:rsidP="00F75FC9">
      <w:pPr>
        <w:ind w:left="1277"/>
        <w:jc w:val="both"/>
        <w:rPr>
          <w:rFonts w:ascii="Calibri Light" w:hAnsi="Calibri Light"/>
          <w:i/>
          <w:iCs/>
          <w:kern w:val="1"/>
          <w:lang w:eastAsia="ar-SA"/>
        </w:rPr>
      </w:pPr>
    </w:p>
    <w:p w14:paraId="5A80734C" w14:textId="77777777" w:rsidR="003B5EA7" w:rsidRDefault="003B5EA7" w:rsidP="00F75FC9">
      <w:pPr>
        <w:ind w:left="1277"/>
        <w:jc w:val="both"/>
        <w:rPr>
          <w:rFonts w:ascii="Calibri Light" w:hAnsi="Calibri Light"/>
          <w:i/>
          <w:iCs/>
          <w:kern w:val="1"/>
          <w:lang w:eastAsia="ar-SA"/>
        </w:rPr>
      </w:pPr>
    </w:p>
    <w:p w14:paraId="6097C4C4" w14:textId="77777777" w:rsidR="003B5EA7" w:rsidRPr="00E556CF" w:rsidRDefault="003B5EA7" w:rsidP="00F75FC9">
      <w:pPr>
        <w:ind w:left="1277"/>
        <w:jc w:val="both"/>
        <w:rPr>
          <w:rFonts w:ascii="Calibri Light" w:hAnsi="Calibri Light"/>
          <w:kern w:val="1"/>
          <w:lang w:eastAsia="ar-SA"/>
        </w:rPr>
      </w:pPr>
    </w:p>
    <w:p w14:paraId="1410D7B2" w14:textId="5B67256C" w:rsidR="00F75FC9" w:rsidRPr="00B43EFE" w:rsidRDefault="008222E3" w:rsidP="00886BA4">
      <w:pPr>
        <w:pStyle w:val="Titre2"/>
        <w:spacing w:before="0" w:after="0"/>
        <w:ind w:firstLine="708"/>
        <w:rPr>
          <w:sz w:val="28"/>
          <w:szCs w:val="28"/>
          <w:lang w:eastAsia="ar-SA"/>
        </w:rPr>
      </w:pPr>
      <w:bookmarkStart w:id="13" w:name="_Toc213406299"/>
      <w:r w:rsidRPr="00B43EFE">
        <w:rPr>
          <w:sz w:val="28"/>
          <w:szCs w:val="28"/>
          <w:lang w:eastAsia="ar-SA"/>
        </w:rPr>
        <w:t>2.</w:t>
      </w:r>
      <w:r w:rsidR="00F75FC9" w:rsidRPr="00B43EFE">
        <w:rPr>
          <w:sz w:val="28"/>
          <w:szCs w:val="28"/>
          <w:lang w:eastAsia="ar-SA"/>
        </w:rPr>
        <w:t>3.3 Relation avec CCINCA</w:t>
      </w:r>
      <w:bookmarkEnd w:id="13"/>
    </w:p>
    <w:p w14:paraId="645F1484" w14:textId="67BD30B2" w:rsidR="00316188" w:rsidRPr="00316188" w:rsidRDefault="00316188" w:rsidP="00886BA4">
      <w:pPr>
        <w:spacing w:after="0"/>
        <w:jc w:val="right"/>
        <w:rPr>
          <w:sz w:val="28"/>
          <w:szCs w:val="28"/>
          <w:lang w:eastAsia="ar-SA"/>
        </w:rPr>
      </w:pPr>
      <w:r>
        <w:rPr>
          <w:sz w:val="28"/>
          <w:szCs w:val="28"/>
          <w:bdr w:val="single" w:sz="4" w:space="0" w:color="auto"/>
          <w:lang w:eastAsia="ar-SA"/>
        </w:rPr>
        <w:t>5</w:t>
      </w:r>
      <w:r w:rsidRPr="00316188">
        <w:rPr>
          <w:sz w:val="28"/>
          <w:szCs w:val="28"/>
          <w:bdr w:val="single" w:sz="4" w:space="0" w:color="auto"/>
          <w:lang w:eastAsia="ar-SA"/>
        </w:rPr>
        <w:t xml:space="preserve"> points</w:t>
      </w:r>
    </w:p>
    <w:p w14:paraId="784D14AC" w14:textId="77777777" w:rsidR="00886BA4" w:rsidRDefault="00886BA4"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7F0BD70D" w14:textId="401F1434" w:rsidR="00F75FC9" w:rsidRDefault="00F75FC9"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r w:rsidRPr="00B43EFE">
        <w:rPr>
          <w:rFonts w:ascii="Calibri Light" w:hAnsi="Calibri Light"/>
          <w:i/>
          <w:iCs/>
          <w:kern w:val="1"/>
          <w:lang w:eastAsia="ar-SA"/>
        </w:rPr>
        <w:t>Décrire l’organisation opérationnelle avec le concédant notamment concernant les mises à disposition, les comités de pilotage</w:t>
      </w:r>
      <w:r w:rsidR="00756E4F">
        <w:rPr>
          <w:rFonts w:ascii="Calibri Light" w:hAnsi="Calibri Light"/>
          <w:i/>
          <w:iCs/>
          <w:kern w:val="1"/>
          <w:lang w:eastAsia="ar-SA"/>
        </w:rPr>
        <w:t xml:space="preserve">, </w:t>
      </w:r>
      <w:r w:rsidRPr="00B43EFE">
        <w:rPr>
          <w:rFonts w:ascii="Calibri Light" w:hAnsi="Calibri Light"/>
          <w:i/>
          <w:iCs/>
          <w:kern w:val="1"/>
          <w:lang w:eastAsia="ar-SA"/>
        </w:rPr>
        <w:t>les rapports d’activité</w:t>
      </w:r>
      <w:r w:rsidR="00756E4F">
        <w:rPr>
          <w:rFonts w:ascii="Calibri Light" w:hAnsi="Calibri Light"/>
          <w:i/>
          <w:iCs/>
          <w:kern w:val="1"/>
          <w:lang w:eastAsia="ar-SA"/>
        </w:rPr>
        <w:t xml:space="preserve">, </w:t>
      </w:r>
      <w:bookmarkStart w:id="14" w:name="_Hlk213187614"/>
      <w:r w:rsidR="00756E4F">
        <w:rPr>
          <w:rFonts w:ascii="Calibri Light" w:hAnsi="Calibri Light"/>
          <w:i/>
          <w:iCs/>
          <w:kern w:val="1"/>
          <w:lang w:eastAsia="ar-SA"/>
        </w:rPr>
        <w:t xml:space="preserve">la maintenance des équipements techniques fournis (matériel de </w:t>
      </w:r>
      <w:r w:rsidR="00756E4F" w:rsidRPr="00596D9D">
        <w:rPr>
          <w:rFonts w:ascii="Calibri Light" w:hAnsi="Calibri Light"/>
          <w:i/>
          <w:iCs/>
          <w:kern w:val="1"/>
          <w:lang w:eastAsia="ar-SA"/>
        </w:rPr>
        <w:t>scénographie, bornes WIFI, et</w:t>
      </w:r>
      <w:bookmarkEnd w:id="14"/>
      <w:r w:rsidR="00756E4F" w:rsidRPr="00596D9D">
        <w:rPr>
          <w:rFonts w:ascii="Calibri Light" w:hAnsi="Calibri Light"/>
          <w:i/>
          <w:iCs/>
          <w:kern w:val="1"/>
          <w:lang w:eastAsia="ar-SA"/>
        </w:rPr>
        <w:t>c</w:t>
      </w:r>
      <w:r w:rsidR="00756E4F">
        <w:rPr>
          <w:rFonts w:ascii="Calibri Light" w:hAnsi="Calibri Light"/>
          <w:i/>
          <w:iCs/>
          <w:kern w:val="1"/>
          <w:lang w:eastAsia="ar-SA"/>
        </w:rPr>
        <w:t>)</w:t>
      </w:r>
      <w:r w:rsidRPr="00B43EFE">
        <w:rPr>
          <w:rFonts w:ascii="Calibri Light" w:hAnsi="Calibri Light"/>
          <w:i/>
          <w:iCs/>
          <w:kern w:val="1"/>
          <w:lang w:eastAsia="ar-SA"/>
        </w:rPr>
        <w:t>.</w:t>
      </w:r>
    </w:p>
    <w:p w14:paraId="32150EBD"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65559BDA" w14:textId="77777777" w:rsidR="003B5EA7" w:rsidRDefault="003B5EA7"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7CF817EA" w14:textId="77777777" w:rsidR="003B5EA7" w:rsidRPr="00756E4F" w:rsidRDefault="003B5EA7" w:rsidP="00F75FC9">
      <w:pPr>
        <w:tabs>
          <w:tab w:val="left" w:pos="-3828"/>
          <w:tab w:val="left" w:pos="-3096"/>
          <w:tab w:val="left" w:pos="1672"/>
        </w:tabs>
        <w:suppressAutoHyphens/>
        <w:spacing w:before="57"/>
        <w:ind w:left="1416"/>
        <w:jc w:val="both"/>
        <w:textAlignment w:val="baseline"/>
        <w:rPr>
          <w:rFonts w:ascii="Calibri Light" w:hAnsi="Calibri Light"/>
          <w:i/>
          <w:iCs/>
          <w:kern w:val="1"/>
          <w:lang w:eastAsia="ar-SA"/>
        </w:rPr>
      </w:pPr>
    </w:p>
    <w:p w14:paraId="2059B1F1" w14:textId="075D7EC0" w:rsidR="00F75FC9" w:rsidRPr="000C017C" w:rsidRDefault="008222E3" w:rsidP="00B43EFE">
      <w:pPr>
        <w:pStyle w:val="Titre1"/>
        <w:shd w:val="pct12" w:color="auto" w:fill="auto"/>
        <w:rPr>
          <w:sz w:val="36"/>
          <w:szCs w:val="36"/>
          <w:lang w:eastAsia="ar-SA"/>
        </w:rPr>
      </w:pPr>
      <w:bookmarkStart w:id="15" w:name="_Toc213406300"/>
      <w:r>
        <w:rPr>
          <w:sz w:val="36"/>
          <w:szCs w:val="36"/>
          <w:lang w:eastAsia="ar-SA"/>
        </w:rPr>
        <w:t>2.</w:t>
      </w:r>
      <w:r w:rsidR="00F75FC9" w:rsidRPr="000C017C">
        <w:rPr>
          <w:sz w:val="36"/>
          <w:szCs w:val="36"/>
          <w:lang w:eastAsia="ar-SA"/>
        </w:rPr>
        <w:t>4</w:t>
      </w:r>
      <w:r w:rsidR="00244FE6">
        <w:rPr>
          <w:sz w:val="36"/>
          <w:szCs w:val="36"/>
          <w:lang w:eastAsia="ar-SA"/>
        </w:rPr>
        <w:t xml:space="preserve"> : </w:t>
      </w:r>
      <w:r w:rsidR="00F75FC9" w:rsidRPr="000C017C">
        <w:rPr>
          <w:sz w:val="36"/>
          <w:szCs w:val="36"/>
          <w:lang w:eastAsia="ar-SA"/>
        </w:rPr>
        <w:t>Moyens humains et techniques dédiés à l’exploitation</w:t>
      </w:r>
      <w:bookmarkEnd w:id="15"/>
    </w:p>
    <w:p w14:paraId="0A8E5E13" w14:textId="70634D14" w:rsidR="00244FE6" w:rsidRPr="00B43EFE" w:rsidRDefault="00244FE6" w:rsidP="00B43EFE">
      <w:pPr>
        <w:shd w:val="pct12" w:color="auto" w:fill="auto"/>
        <w:jc w:val="right"/>
        <w:rPr>
          <w:sz w:val="36"/>
          <w:szCs w:val="36"/>
        </w:rPr>
      </w:pPr>
      <w:r w:rsidRPr="00B43EFE">
        <w:rPr>
          <w:sz w:val="36"/>
          <w:szCs w:val="36"/>
        </w:rPr>
        <w:t>(</w:t>
      </w:r>
      <w:r w:rsidR="00B43EFE" w:rsidRPr="00B43EFE">
        <w:rPr>
          <w:sz w:val="36"/>
          <w:szCs w:val="36"/>
        </w:rPr>
        <w:t>10</w:t>
      </w:r>
      <w:r w:rsidRPr="00B43EFE">
        <w:rPr>
          <w:sz w:val="36"/>
          <w:szCs w:val="36"/>
        </w:rPr>
        <w:t xml:space="preserve"> points)</w:t>
      </w:r>
    </w:p>
    <w:p w14:paraId="45113E60" w14:textId="77777777" w:rsidR="00886BA4" w:rsidRDefault="00886BA4" w:rsidP="007931A0">
      <w:pPr>
        <w:ind w:left="1416"/>
        <w:jc w:val="both"/>
        <w:rPr>
          <w:rFonts w:ascii="Calibri Light" w:hAnsi="Calibri Light"/>
          <w:i/>
          <w:iCs/>
          <w:kern w:val="1"/>
          <w:lang w:eastAsia="ar-SA"/>
        </w:rPr>
      </w:pPr>
    </w:p>
    <w:p w14:paraId="49DEE177" w14:textId="35F64DBE" w:rsidR="00F75FC9" w:rsidRPr="005E0010" w:rsidRDefault="00F75FC9" w:rsidP="007931A0">
      <w:pPr>
        <w:ind w:left="1416"/>
        <w:jc w:val="both"/>
        <w:rPr>
          <w:rFonts w:ascii="Calibri Light" w:hAnsi="Calibri Light"/>
          <w:i/>
          <w:iCs/>
          <w:kern w:val="1"/>
          <w:lang w:eastAsia="ar-SA"/>
        </w:rPr>
      </w:pPr>
      <w:r w:rsidRPr="005E0010">
        <w:rPr>
          <w:rFonts w:ascii="Calibri Light" w:hAnsi="Calibri Light"/>
          <w:i/>
          <w:iCs/>
          <w:kern w:val="1"/>
          <w:lang w:eastAsia="ar-SA"/>
        </w:rPr>
        <w:t>Détailler les fonctions clés de l’équipe dédiée à la concession, et indiquer la qualification et l’expérience du personnel. Précise</w:t>
      </w:r>
      <w:r>
        <w:rPr>
          <w:rFonts w:ascii="Calibri Light" w:hAnsi="Calibri Light"/>
          <w:i/>
          <w:iCs/>
          <w:kern w:val="1"/>
          <w:lang w:eastAsia="ar-SA"/>
        </w:rPr>
        <w:t>r</w:t>
      </w:r>
      <w:r w:rsidRPr="005E0010">
        <w:rPr>
          <w:rFonts w:ascii="Calibri Light" w:hAnsi="Calibri Light"/>
          <w:i/>
          <w:iCs/>
          <w:kern w:val="1"/>
          <w:lang w:eastAsia="ar-SA"/>
        </w:rPr>
        <w:t xml:space="preserve"> le recours à du personnel et des prestataires externes le cas échéant</w:t>
      </w:r>
      <w:r w:rsidR="00756E4F">
        <w:rPr>
          <w:rFonts w:ascii="Calibri Light" w:hAnsi="Calibri Light"/>
          <w:i/>
          <w:iCs/>
          <w:kern w:val="1"/>
          <w:lang w:eastAsia="ar-SA"/>
        </w:rPr>
        <w:t>.</w:t>
      </w:r>
    </w:p>
    <w:p w14:paraId="683D0DAF" w14:textId="681F4F36" w:rsidR="00756E4F" w:rsidRPr="00756E4F" w:rsidRDefault="00F75FC9" w:rsidP="007931A0">
      <w:pPr>
        <w:ind w:left="1416"/>
        <w:jc w:val="both"/>
        <w:rPr>
          <w:rFonts w:ascii="Calibri Light" w:hAnsi="Calibri Light"/>
          <w:i/>
          <w:iCs/>
          <w:kern w:val="1"/>
          <w:lang w:eastAsia="ar-SA"/>
        </w:rPr>
      </w:pPr>
      <w:r w:rsidRPr="00F17069">
        <w:rPr>
          <w:rFonts w:ascii="Calibri Light" w:hAnsi="Calibri Light"/>
          <w:i/>
          <w:iCs/>
          <w:kern w:val="1"/>
          <w:lang w:eastAsia="ar-SA"/>
        </w:rPr>
        <w:t>Décrire les moyens matériels spécifiques qui seront mis en œuvre pour compléter l’équipement existant de la salle</w:t>
      </w:r>
      <w:r>
        <w:rPr>
          <w:rFonts w:ascii="Calibri Light" w:hAnsi="Calibri Light"/>
          <w:i/>
          <w:iCs/>
          <w:kern w:val="1"/>
          <w:lang w:eastAsia="ar-SA"/>
        </w:rPr>
        <w:t xml:space="preserve"> </w:t>
      </w:r>
      <w:r w:rsidRPr="00756E4F">
        <w:rPr>
          <w:rFonts w:ascii="Calibri Light" w:hAnsi="Calibri Light"/>
          <w:i/>
          <w:iCs/>
          <w:kern w:val="1"/>
          <w:lang w:eastAsia="ar-SA"/>
        </w:rPr>
        <w:t xml:space="preserve">(billetterie, contrôle d’accès, </w:t>
      </w:r>
      <w:r w:rsidR="00756E4F" w:rsidRPr="00756E4F">
        <w:rPr>
          <w:rFonts w:ascii="Calibri Light" w:hAnsi="Calibri Light"/>
          <w:i/>
          <w:iCs/>
          <w:kern w:val="1"/>
          <w:lang w:eastAsia="ar-SA"/>
        </w:rPr>
        <w:t xml:space="preserve">logiciels, PC, </w:t>
      </w:r>
      <w:r w:rsidRPr="00756E4F">
        <w:rPr>
          <w:rFonts w:ascii="Calibri Light" w:hAnsi="Calibri Light"/>
          <w:i/>
          <w:iCs/>
          <w:kern w:val="1"/>
          <w:lang w:eastAsia="ar-SA"/>
        </w:rPr>
        <w:t xml:space="preserve">caisses enregistreuses, </w:t>
      </w:r>
      <w:r w:rsidR="00A8669C">
        <w:rPr>
          <w:rFonts w:ascii="Calibri Light" w:hAnsi="Calibri Light"/>
          <w:i/>
          <w:iCs/>
          <w:kern w:val="1"/>
          <w:lang w:eastAsia="ar-SA"/>
        </w:rPr>
        <w:t xml:space="preserve">site internet, </w:t>
      </w:r>
      <w:r w:rsidR="00D67E76">
        <w:rPr>
          <w:rFonts w:ascii="Calibri Light" w:hAnsi="Calibri Light"/>
          <w:i/>
          <w:iCs/>
          <w:kern w:val="1"/>
          <w:lang w:eastAsia="ar-SA"/>
        </w:rPr>
        <w:t xml:space="preserve">équipements buvette, </w:t>
      </w:r>
      <w:r w:rsidRPr="00756E4F">
        <w:rPr>
          <w:rFonts w:ascii="Calibri Light" w:hAnsi="Calibri Light"/>
          <w:i/>
          <w:iCs/>
          <w:kern w:val="1"/>
          <w:lang w:eastAsia="ar-SA"/>
        </w:rPr>
        <w:t>etc)</w:t>
      </w:r>
      <w:r w:rsidR="00756E4F">
        <w:rPr>
          <w:rFonts w:ascii="Calibri Light" w:hAnsi="Calibri Light"/>
          <w:i/>
          <w:iCs/>
          <w:kern w:val="1"/>
          <w:lang w:eastAsia="ar-SA"/>
        </w:rPr>
        <w:t>.</w:t>
      </w:r>
      <w:r w:rsidRPr="00756E4F">
        <w:rPr>
          <w:rFonts w:ascii="Calibri Light" w:hAnsi="Calibri Light"/>
          <w:i/>
          <w:iCs/>
          <w:kern w:val="1"/>
          <w:lang w:eastAsia="ar-SA"/>
        </w:rPr>
        <w:t> </w:t>
      </w:r>
    </w:p>
    <w:sectPr w:rsidR="00756E4F" w:rsidRPr="00756E4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BC994" w14:textId="77777777" w:rsidR="00E34CE9" w:rsidRDefault="00E34CE9" w:rsidP="002B407E">
      <w:pPr>
        <w:spacing w:after="0" w:line="240" w:lineRule="auto"/>
      </w:pPr>
      <w:r>
        <w:separator/>
      </w:r>
    </w:p>
  </w:endnote>
  <w:endnote w:type="continuationSeparator" w:id="0">
    <w:p w14:paraId="0F747781" w14:textId="77777777" w:rsidR="00E34CE9" w:rsidRDefault="00E34CE9" w:rsidP="002B4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4066259"/>
      <w:docPartObj>
        <w:docPartGallery w:val="Page Numbers (Bottom of Page)"/>
        <w:docPartUnique/>
      </w:docPartObj>
    </w:sdtPr>
    <w:sdtContent>
      <w:sdt>
        <w:sdtPr>
          <w:id w:val="-1769616900"/>
          <w:docPartObj>
            <w:docPartGallery w:val="Page Numbers (Top of Page)"/>
            <w:docPartUnique/>
          </w:docPartObj>
        </w:sdtPr>
        <w:sdtContent>
          <w:p w14:paraId="6322965A" w14:textId="0DAEBDD2" w:rsidR="002B407E" w:rsidRDefault="002B407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F1ADA97" w14:textId="77777777" w:rsidR="002B407E" w:rsidRDefault="002B40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01469" w14:textId="77777777" w:rsidR="00E34CE9" w:rsidRDefault="00E34CE9" w:rsidP="002B407E">
      <w:pPr>
        <w:spacing w:after="0" w:line="240" w:lineRule="auto"/>
      </w:pPr>
      <w:r>
        <w:separator/>
      </w:r>
    </w:p>
  </w:footnote>
  <w:footnote w:type="continuationSeparator" w:id="0">
    <w:p w14:paraId="5B35F83E" w14:textId="77777777" w:rsidR="00E34CE9" w:rsidRDefault="00E34CE9" w:rsidP="002B40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F916CF"/>
    <w:multiLevelType w:val="multilevel"/>
    <w:tmpl w:val="C554C72C"/>
    <w:lvl w:ilvl="0">
      <w:numFmt w:val="bullet"/>
      <w:lvlText w:val="-"/>
      <w:lvlJc w:val="left"/>
      <w:pPr>
        <w:tabs>
          <w:tab w:val="num" w:pos="709"/>
        </w:tabs>
        <w:ind w:left="709" w:firstLine="0"/>
      </w:pPr>
      <w:rPr>
        <w:rFonts w:ascii="Verdana" w:eastAsia="Times New Roman" w:hAnsi="Verdana" w:cs="Times New Roman" w:hint="default"/>
      </w:rPr>
    </w:lvl>
    <w:lvl w:ilvl="1">
      <w:start w:val="1"/>
      <w:numFmt w:val="decimal"/>
      <w:suff w:val="nothing"/>
      <w:lvlText w:val="1-%2)"/>
      <w:lvlJc w:val="left"/>
      <w:pPr>
        <w:tabs>
          <w:tab w:val="num" w:pos="709"/>
        </w:tabs>
        <w:ind w:left="709" w:firstLine="0"/>
      </w:pPr>
    </w:lvl>
    <w:lvl w:ilvl="2">
      <w:start w:val="1"/>
      <w:numFmt w:val="decimal"/>
      <w:suff w:val="nothing"/>
      <w:lvlText w:val="1-%3)"/>
      <w:lvlJc w:val="left"/>
      <w:pPr>
        <w:tabs>
          <w:tab w:val="num" w:pos="709"/>
        </w:tabs>
        <w:ind w:left="709" w:firstLine="0"/>
      </w:pPr>
    </w:lvl>
    <w:lvl w:ilvl="3">
      <w:start w:val="1"/>
      <w:numFmt w:val="decimal"/>
      <w:suff w:val="nothing"/>
      <w:lvlText w:val="1-%4)"/>
      <w:lvlJc w:val="left"/>
      <w:pPr>
        <w:tabs>
          <w:tab w:val="num" w:pos="709"/>
        </w:tabs>
        <w:ind w:left="709" w:firstLine="0"/>
      </w:pPr>
    </w:lvl>
    <w:lvl w:ilvl="4">
      <w:start w:val="1"/>
      <w:numFmt w:val="decimal"/>
      <w:suff w:val="nothing"/>
      <w:lvlText w:val="1-%5)"/>
      <w:lvlJc w:val="left"/>
      <w:pPr>
        <w:tabs>
          <w:tab w:val="num" w:pos="709"/>
        </w:tabs>
        <w:ind w:left="709" w:firstLine="0"/>
      </w:pPr>
    </w:lvl>
    <w:lvl w:ilvl="5">
      <w:start w:val="1"/>
      <w:numFmt w:val="decimal"/>
      <w:suff w:val="nothing"/>
      <w:lvlText w:val="1-%6)"/>
      <w:lvlJc w:val="left"/>
      <w:pPr>
        <w:tabs>
          <w:tab w:val="num" w:pos="709"/>
        </w:tabs>
        <w:ind w:left="709" w:firstLine="0"/>
      </w:pPr>
    </w:lvl>
    <w:lvl w:ilvl="6">
      <w:start w:val="1"/>
      <w:numFmt w:val="decimal"/>
      <w:suff w:val="nothing"/>
      <w:lvlText w:val="1-%7)"/>
      <w:lvlJc w:val="left"/>
      <w:pPr>
        <w:tabs>
          <w:tab w:val="num" w:pos="709"/>
        </w:tabs>
        <w:ind w:left="709" w:firstLine="0"/>
      </w:pPr>
    </w:lvl>
    <w:lvl w:ilvl="7">
      <w:start w:val="1"/>
      <w:numFmt w:val="decimal"/>
      <w:suff w:val="nothing"/>
      <w:lvlText w:val="1-%8)"/>
      <w:lvlJc w:val="left"/>
      <w:pPr>
        <w:tabs>
          <w:tab w:val="num" w:pos="709"/>
        </w:tabs>
        <w:ind w:left="709" w:firstLine="0"/>
      </w:pPr>
    </w:lvl>
    <w:lvl w:ilvl="8">
      <w:start w:val="1"/>
      <w:numFmt w:val="decimal"/>
      <w:suff w:val="nothing"/>
      <w:lvlText w:val="1-%9)"/>
      <w:lvlJc w:val="left"/>
      <w:pPr>
        <w:tabs>
          <w:tab w:val="num" w:pos="709"/>
        </w:tabs>
        <w:ind w:left="709" w:firstLine="0"/>
      </w:pPr>
    </w:lvl>
  </w:abstractNum>
  <w:num w:numId="1" w16cid:durableId="1403483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65A"/>
    <w:rsid w:val="00015CA6"/>
    <w:rsid w:val="00020AC9"/>
    <w:rsid w:val="00056934"/>
    <w:rsid w:val="000C017C"/>
    <w:rsid w:val="000E7E71"/>
    <w:rsid w:val="001311D9"/>
    <w:rsid w:val="0016319F"/>
    <w:rsid w:val="00166469"/>
    <w:rsid w:val="001F05D0"/>
    <w:rsid w:val="00241022"/>
    <w:rsid w:val="00244FE6"/>
    <w:rsid w:val="00266D9B"/>
    <w:rsid w:val="002B407E"/>
    <w:rsid w:val="00316188"/>
    <w:rsid w:val="0034074B"/>
    <w:rsid w:val="003577F0"/>
    <w:rsid w:val="003A714F"/>
    <w:rsid w:val="003B5EA7"/>
    <w:rsid w:val="004F5AF7"/>
    <w:rsid w:val="00581596"/>
    <w:rsid w:val="00596D9D"/>
    <w:rsid w:val="005A26B5"/>
    <w:rsid w:val="006754C6"/>
    <w:rsid w:val="006C0169"/>
    <w:rsid w:val="00755F76"/>
    <w:rsid w:val="00756E4F"/>
    <w:rsid w:val="007931A0"/>
    <w:rsid w:val="008162B4"/>
    <w:rsid w:val="008222E3"/>
    <w:rsid w:val="00846B0B"/>
    <w:rsid w:val="00850B88"/>
    <w:rsid w:val="00865A81"/>
    <w:rsid w:val="008826F6"/>
    <w:rsid w:val="00886BA4"/>
    <w:rsid w:val="00897F59"/>
    <w:rsid w:val="008D7B0B"/>
    <w:rsid w:val="009120DF"/>
    <w:rsid w:val="00953005"/>
    <w:rsid w:val="00962B79"/>
    <w:rsid w:val="009A4350"/>
    <w:rsid w:val="009F4FC0"/>
    <w:rsid w:val="00A4372D"/>
    <w:rsid w:val="00A70540"/>
    <w:rsid w:val="00A8165A"/>
    <w:rsid w:val="00A8669C"/>
    <w:rsid w:val="00AC1215"/>
    <w:rsid w:val="00AD4EB9"/>
    <w:rsid w:val="00AE674C"/>
    <w:rsid w:val="00B377EA"/>
    <w:rsid w:val="00B43EFE"/>
    <w:rsid w:val="00C6605E"/>
    <w:rsid w:val="00C72E16"/>
    <w:rsid w:val="00CB379A"/>
    <w:rsid w:val="00CF7C06"/>
    <w:rsid w:val="00D27F4A"/>
    <w:rsid w:val="00D67E76"/>
    <w:rsid w:val="00DD1D5F"/>
    <w:rsid w:val="00E34CE9"/>
    <w:rsid w:val="00E36AD2"/>
    <w:rsid w:val="00E556CF"/>
    <w:rsid w:val="00EA4DDF"/>
    <w:rsid w:val="00EB3A9D"/>
    <w:rsid w:val="00ED4568"/>
    <w:rsid w:val="00F34A2C"/>
    <w:rsid w:val="00F75FC9"/>
    <w:rsid w:val="00F8297A"/>
    <w:rsid w:val="00FC389A"/>
    <w:rsid w:val="00FF3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17CB3"/>
  <w15:chartTrackingRefBased/>
  <w15:docId w15:val="{5AED0487-E962-4FB2-A7DA-1CD618B40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816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A816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8165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8165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8165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8165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8165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8165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8165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165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A8165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8165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8165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8165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8165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8165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8165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8165A"/>
    <w:rPr>
      <w:rFonts w:eastAsiaTheme="majorEastAsia" w:cstheme="majorBidi"/>
      <w:color w:val="272727" w:themeColor="text1" w:themeTint="D8"/>
    </w:rPr>
  </w:style>
  <w:style w:type="paragraph" w:styleId="Titre">
    <w:name w:val="Title"/>
    <w:basedOn w:val="Normal"/>
    <w:next w:val="Normal"/>
    <w:link w:val="TitreCar"/>
    <w:uiPriority w:val="10"/>
    <w:qFormat/>
    <w:rsid w:val="00A816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8165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8165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8165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8165A"/>
    <w:pPr>
      <w:spacing w:before="160"/>
      <w:jc w:val="center"/>
    </w:pPr>
    <w:rPr>
      <w:i/>
      <w:iCs/>
      <w:color w:val="404040" w:themeColor="text1" w:themeTint="BF"/>
    </w:rPr>
  </w:style>
  <w:style w:type="character" w:customStyle="1" w:styleId="CitationCar">
    <w:name w:val="Citation Car"/>
    <w:basedOn w:val="Policepardfaut"/>
    <w:link w:val="Citation"/>
    <w:uiPriority w:val="29"/>
    <w:rsid w:val="00A8165A"/>
    <w:rPr>
      <w:i/>
      <w:iCs/>
      <w:color w:val="404040" w:themeColor="text1" w:themeTint="BF"/>
    </w:rPr>
  </w:style>
  <w:style w:type="paragraph" w:styleId="Paragraphedeliste">
    <w:name w:val="List Paragraph"/>
    <w:basedOn w:val="Normal"/>
    <w:link w:val="ParagraphedelisteCar"/>
    <w:uiPriority w:val="34"/>
    <w:qFormat/>
    <w:rsid w:val="00A8165A"/>
    <w:pPr>
      <w:ind w:left="720"/>
      <w:contextualSpacing/>
    </w:pPr>
  </w:style>
  <w:style w:type="character" w:styleId="Accentuationintense">
    <w:name w:val="Intense Emphasis"/>
    <w:basedOn w:val="Policepardfaut"/>
    <w:uiPriority w:val="21"/>
    <w:qFormat/>
    <w:rsid w:val="00A8165A"/>
    <w:rPr>
      <w:i/>
      <w:iCs/>
      <w:color w:val="0F4761" w:themeColor="accent1" w:themeShade="BF"/>
    </w:rPr>
  </w:style>
  <w:style w:type="paragraph" w:styleId="Citationintense">
    <w:name w:val="Intense Quote"/>
    <w:basedOn w:val="Normal"/>
    <w:next w:val="Normal"/>
    <w:link w:val="CitationintenseCar"/>
    <w:uiPriority w:val="30"/>
    <w:qFormat/>
    <w:rsid w:val="00A816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8165A"/>
    <w:rPr>
      <w:i/>
      <w:iCs/>
      <w:color w:val="0F4761" w:themeColor="accent1" w:themeShade="BF"/>
    </w:rPr>
  </w:style>
  <w:style w:type="character" w:styleId="Rfrenceintense">
    <w:name w:val="Intense Reference"/>
    <w:basedOn w:val="Policepardfaut"/>
    <w:uiPriority w:val="32"/>
    <w:qFormat/>
    <w:rsid w:val="00A8165A"/>
    <w:rPr>
      <w:b/>
      <w:bCs/>
      <w:smallCaps/>
      <w:color w:val="0F4761" w:themeColor="accent1" w:themeShade="BF"/>
      <w:spacing w:val="5"/>
    </w:rPr>
  </w:style>
  <w:style w:type="character" w:styleId="Marquedecommentaire">
    <w:name w:val="annotation reference"/>
    <w:rsid w:val="00F75FC9"/>
    <w:rPr>
      <w:sz w:val="16"/>
      <w:szCs w:val="16"/>
    </w:rPr>
  </w:style>
  <w:style w:type="paragraph" w:styleId="Commentaire">
    <w:name w:val="annotation text"/>
    <w:basedOn w:val="Normal"/>
    <w:link w:val="CommentaireCar"/>
    <w:rsid w:val="00F75FC9"/>
    <w:pPr>
      <w:spacing w:after="0" w:line="240" w:lineRule="auto"/>
    </w:pPr>
    <w:rPr>
      <w:rFonts w:ascii="Times New Roman" w:eastAsia="Times New Roman" w:hAnsi="Times New Roman" w:cs="Times New Roman"/>
      <w:kern w:val="0"/>
      <w:sz w:val="20"/>
      <w:szCs w:val="20"/>
      <w:lang w:eastAsia="fr-FR"/>
      <w14:ligatures w14:val="none"/>
    </w:rPr>
  </w:style>
  <w:style w:type="character" w:customStyle="1" w:styleId="CommentaireCar">
    <w:name w:val="Commentaire Car"/>
    <w:basedOn w:val="Policepardfaut"/>
    <w:link w:val="Commentaire"/>
    <w:rsid w:val="00F75FC9"/>
    <w:rPr>
      <w:rFonts w:ascii="Times New Roman" w:eastAsia="Times New Roman" w:hAnsi="Times New Roman" w:cs="Times New Roman"/>
      <w:kern w:val="0"/>
      <w:sz w:val="20"/>
      <w:szCs w:val="20"/>
      <w:lang w:eastAsia="fr-FR"/>
      <w14:ligatures w14:val="none"/>
    </w:rPr>
  </w:style>
  <w:style w:type="paragraph" w:styleId="En-tte">
    <w:name w:val="header"/>
    <w:basedOn w:val="Normal"/>
    <w:link w:val="En-tteCar"/>
    <w:uiPriority w:val="99"/>
    <w:unhideWhenUsed/>
    <w:rsid w:val="002B407E"/>
    <w:pPr>
      <w:tabs>
        <w:tab w:val="center" w:pos="4536"/>
        <w:tab w:val="right" w:pos="9072"/>
      </w:tabs>
      <w:spacing w:after="0" w:line="240" w:lineRule="auto"/>
    </w:pPr>
  </w:style>
  <w:style w:type="character" w:customStyle="1" w:styleId="En-tteCar">
    <w:name w:val="En-tête Car"/>
    <w:basedOn w:val="Policepardfaut"/>
    <w:link w:val="En-tte"/>
    <w:uiPriority w:val="99"/>
    <w:rsid w:val="002B407E"/>
  </w:style>
  <w:style w:type="paragraph" w:styleId="Pieddepage">
    <w:name w:val="footer"/>
    <w:basedOn w:val="Normal"/>
    <w:link w:val="PieddepageCar"/>
    <w:uiPriority w:val="99"/>
    <w:unhideWhenUsed/>
    <w:rsid w:val="002B40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407E"/>
  </w:style>
  <w:style w:type="paragraph" w:styleId="En-ttedetabledesmatires">
    <w:name w:val="TOC Heading"/>
    <w:basedOn w:val="Titre1"/>
    <w:next w:val="Normal"/>
    <w:uiPriority w:val="39"/>
    <w:unhideWhenUsed/>
    <w:qFormat/>
    <w:rsid w:val="002B407E"/>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B407E"/>
    <w:pPr>
      <w:spacing w:after="100"/>
    </w:pPr>
  </w:style>
  <w:style w:type="paragraph" w:styleId="TM2">
    <w:name w:val="toc 2"/>
    <w:basedOn w:val="Normal"/>
    <w:next w:val="Normal"/>
    <w:autoRedefine/>
    <w:uiPriority w:val="39"/>
    <w:unhideWhenUsed/>
    <w:rsid w:val="002B407E"/>
    <w:pPr>
      <w:spacing w:after="100"/>
      <w:ind w:left="220"/>
    </w:pPr>
  </w:style>
  <w:style w:type="character" w:styleId="Lienhypertexte">
    <w:name w:val="Hyperlink"/>
    <w:basedOn w:val="Policepardfaut"/>
    <w:uiPriority w:val="99"/>
    <w:unhideWhenUsed/>
    <w:rsid w:val="002B407E"/>
    <w:rPr>
      <w:color w:val="467886" w:themeColor="hyperlink"/>
      <w:u w:val="single"/>
    </w:rPr>
  </w:style>
  <w:style w:type="character" w:customStyle="1" w:styleId="ParagraphedelisteCar">
    <w:name w:val="Paragraphe de liste Car"/>
    <w:link w:val="Paragraphedeliste"/>
    <w:uiPriority w:val="34"/>
    <w:locked/>
    <w:rsid w:val="006754C6"/>
  </w:style>
  <w:style w:type="paragraph" w:customStyle="1" w:styleId="RedTitre1">
    <w:name w:val="RedTitre1"/>
    <w:basedOn w:val="Normal"/>
    <w:semiHidden/>
    <w:rsid w:val="006754C6"/>
    <w:pPr>
      <w:framePr w:hSpace="142" w:wrap="auto" w:vAnchor="text" w:hAnchor="text" w:xAlign="center" w:y="1"/>
      <w:spacing w:after="0" w:line="240" w:lineRule="auto"/>
      <w:ind w:left="284"/>
      <w:jc w:val="center"/>
    </w:pPr>
    <w:rPr>
      <w:rFonts w:ascii="Arial" w:eastAsia="Calibri" w:hAnsi="Arial" w:cs="Times New Roman"/>
      <w:b/>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ED939-D02A-4CC2-93D5-12E692104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5</Pages>
  <Words>916</Words>
  <Characters>5044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Mylène Huard</dc:creator>
  <cp:keywords/>
  <dc:description/>
  <cp:lastModifiedBy>TAGHDJIAN Sandrine</cp:lastModifiedBy>
  <cp:revision>38</cp:revision>
  <dcterms:created xsi:type="dcterms:W3CDTF">2025-10-26T16:59:00Z</dcterms:created>
  <dcterms:modified xsi:type="dcterms:W3CDTF">2025-11-07T16:01:00Z</dcterms:modified>
</cp:coreProperties>
</file>