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52" w:type="dxa"/>
        <w:jc w:val="left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8097"/>
        <w:gridCol w:w="1654"/>
      </w:tblGrid>
      <w:tr>
        <w:trPr/>
        <w:tc>
          <w:tcPr>
            <w:tcW w:w="8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ACCORD CADRE DE MAINTENANCE SSI EA ELI – 2026 2030</w:t>
            </w:r>
          </w:p>
          <w:p>
            <w:pPr>
              <w:pStyle w:val="Contenudetableau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« Annexe : Ordre de préférence d’attribution des lots »</w:t>
            </w:r>
          </w:p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FF0000"/>
              </w:rPr>
              <w:t>A remplir par le candidat et à joindre à l’offre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000000" w:val="clear"/>
          </w:tcPr>
          <w:p>
            <w:pPr>
              <w:pStyle w:val="Contenudetableau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36"/>
                <w:szCs w:val="36"/>
              </w:rPr>
              <w:t>Annexe</w:t>
            </w:r>
          </w:p>
          <w:p>
            <w:pPr>
              <w:pStyle w:val="Contenudetableau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36"/>
                <w:szCs w:val="36"/>
              </w:rPr>
              <w:t>1</w:t>
            </w:r>
            <w:r>
              <w:rPr>
                <w:rFonts w:ascii="Arial" w:hAnsi="Arial"/>
                <w:b/>
                <w:bCs/>
                <w:sz w:val="36"/>
                <w:szCs w:val="36"/>
              </w:rPr>
              <w:t xml:space="preserve"> au RC</w:t>
            </w:r>
          </w:p>
        </w:tc>
      </w:tr>
    </w:tbl>
    <w:p>
      <w:pPr>
        <w:pStyle w:val="Normal"/>
        <w:rPr/>
      </w:pPr>
      <w:r>
        <w:rPr/>
      </w:r>
    </w:p>
    <w:p>
      <w:pPr>
        <w:pStyle w:val="Standard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Rappel du système :</w:t>
      </w:r>
    </w:p>
    <w:p>
      <w:pPr>
        <w:pStyle w:val="Standard"/>
        <w:rPr/>
      </w:pPr>
      <w:r>
        <w:rPr/>
      </w:r>
    </w:p>
    <w:p>
      <w:pPr>
        <w:pStyle w:val="Standard"/>
        <w:jc w:val="both"/>
        <w:rPr/>
      </w:pPr>
      <w:r>
        <w:rPr>
          <w:rFonts w:ascii="Arial" w:hAnsi="Arial"/>
          <w:b/>
          <w:sz w:val="20"/>
          <w:szCs w:val="20"/>
          <w:lang w:eastAsia="fr-FR"/>
        </w:rPr>
        <w:t>Les soumissionnaires sont libres de présenter une offre pour chacun des lots.</w:t>
      </w:r>
    </w:p>
    <w:p>
      <w:pPr>
        <w:pStyle w:val="Standard"/>
        <w:jc w:val="both"/>
        <w:rPr>
          <w:rFonts w:ascii="Arial" w:hAnsi="Arial"/>
          <w:sz w:val="20"/>
          <w:szCs w:val="20"/>
          <w:lang w:eastAsia="fr-FR"/>
        </w:rPr>
      </w:pPr>
      <w:r>
        <w:rPr>
          <w:rFonts w:ascii="Arial" w:hAnsi="Arial"/>
          <w:sz w:val="20"/>
          <w:szCs w:val="20"/>
          <w:lang w:eastAsia="fr-FR"/>
        </w:rPr>
      </w:r>
    </w:p>
    <w:p>
      <w:pPr>
        <w:pStyle w:val="Standard"/>
        <w:jc w:val="both"/>
        <w:rPr/>
      </w:pPr>
      <w:r>
        <w:rPr>
          <w:rFonts w:ascii="Arial" w:hAnsi="Arial"/>
          <w:sz w:val="20"/>
          <w:szCs w:val="20"/>
          <w:lang w:eastAsia="fr-FR"/>
        </w:rPr>
        <w:t xml:space="preserve">En revanche, l’accord-cadre comporte </w:t>
      </w:r>
      <w:r>
        <w:rPr>
          <w:rFonts w:ascii="Arial" w:hAnsi="Arial"/>
          <w:sz w:val="20"/>
          <w:szCs w:val="20"/>
          <w:u w:val="single"/>
          <w:lang w:eastAsia="fr-FR"/>
        </w:rPr>
        <w:t>une clause de limitation du nombre de lots pouvant être attribués</w:t>
      </w:r>
      <w:r>
        <w:rPr>
          <w:rFonts w:ascii="Arial" w:hAnsi="Arial"/>
          <w:sz w:val="20"/>
          <w:szCs w:val="20"/>
          <w:lang w:eastAsia="fr-FR"/>
        </w:rPr>
        <w:t xml:space="preserve"> à une même entreprise </w:t>
      </w:r>
      <w:r>
        <w:rPr>
          <w:rFonts w:ascii="Arial" w:hAnsi="Arial"/>
          <w:sz w:val="20"/>
          <w:szCs w:val="20"/>
          <w:lang w:eastAsia="fr-FR"/>
        </w:rPr>
        <w:t>(article 1.5.b du CCAP)</w:t>
      </w:r>
      <w:r>
        <w:rPr>
          <w:rFonts w:ascii="Arial" w:hAnsi="Arial"/>
          <w:sz w:val="20"/>
          <w:szCs w:val="20"/>
          <w:lang w:eastAsia="fr-FR"/>
        </w:rPr>
        <w:t>.</w:t>
      </w:r>
    </w:p>
    <w:p>
      <w:pPr>
        <w:pStyle w:val="Standard"/>
        <w:jc w:val="both"/>
        <w:rPr>
          <w:rFonts w:ascii="Arial" w:hAnsi="Arial"/>
          <w:sz w:val="20"/>
          <w:szCs w:val="20"/>
          <w:lang w:eastAsia="fr-FR"/>
        </w:rPr>
      </w:pPr>
      <w:r>
        <w:rPr>
          <w:rFonts w:ascii="Arial" w:hAnsi="Arial"/>
          <w:sz w:val="20"/>
          <w:szCs w:val="20"/>
          <w:lang w:eastAsia="fr-FR"/>
        </w:rPr>
      </w:r>
    </w:p>
    <w:p>
      <w:pPr>
        <w:pStyle w:val="Standard"/>
        <w:jc w:val="both"/>
        <w:rPr/>
      </w:pPr>
      <w:r>
        <w:rPr>
          <w:rFonts w:ascii="Arial" w:hAnsi="Arial"/>
          <w:sz w:val="20"/>
          <w:szCs w:val="20"/>
          <w:lang w:eastAsia="fr-FR"/>
        </w:rPr>
        <w:t xml:space="preserve">Le nombre de lots pouvant être attribué à un même candidat est limité à </w:t>
      </w:r>
      <w:r>
        <w:rPr>
          <w:rFonts w:ascii="Arial" w:hAnsi="Arial"/>
          <w:b/>
          <w:sz w:val="20"/>
          <w:szCs w:val="20"/>
          <w:lang w:eastAsia="fr-FR"/>
        </w:rPr>
        <w:t>2</w:t>
      </w:r>
      <w:r>
        <w:rPr>
          <w:rFonts w:ascii="Arial" w:hAnsi="Arial"/>
          <w:sz w:val="20"/>
          <w:szCs w:val="20"/>
          <w:lang w:eastAsia="fr-FR"/>
        </w:rPr>
        <w:t>.</w:t>
      </w:r>
    </w:p>
    <w:p>
      <w:pPr>
        <w:pStyle w:val="Standard"/>
        <w:jc w:val="both"/>
        <w:rPr/>
      </w:pPr>
      <w:r>
        <w:rPr>
          <w:rFonts w:ascii="Arial" w:hAnsi="Arial"/>
          <w:sz w:val="20"/>
          <w:szCs w:val="20"/>
          <w:lang w:eastAsia="fr-FR"/>
        </w:rPr>
        <w:t xml:space="preserve">Les soumissionnaires indiquent l’ordre de préférence d’attribution des lots dans la présente annexe. Cette annexe est </w:t>
      </w:r>
      <w:r>
        <w:rPr>
          <w:rFonts w:ascii="Arial" w:hAnsi="Arial"/>
          <w:color w:val="FF0000"/>
          <w:sz w:val="20"/>
          <w:szCs w:val="20"/>
          <w:lang w:eastAsia="fr-FR"/>
        </w:rPr>
        <w:t xml:space="preserve">obligatoirement remise au moment </w:t>
      </w:r>
      <w:r>
        <w:rPr>
          <w:rFonts w:ascii="Arial" w:hAnsi="Arial"/>
          <w:b/>
          <w:bCs/>
          <w:color w:val="FF0000"/>
          <w:sz w:val="20"/>
          <w:szCs w:val="20"/>
          <w:lang w:eastAsia="fr-FR"/>
        </w:rPr>
        <w:t>du dépôt de l’offre</w:t>
      </w:r>
      <w:r>
        <w:rPr>
          <w:rFonts w:ascii="Arial" w:hAnsi="Arial"/>
          <w:sz w:val="20"/>
          <w:szCs w:val="20"/>
          <w:lang w:eastAsia="fr-FR"/>
        </w:rPr>
        <w:t>.</w:t>
      </w:r>
    </w:p>
    <w:p>
      <w:pPr>
        <w:pStyle w:val="Standard"/>
        <w:jc w:val="both"/>
        <w:rPr>
          <w:rFonts w:ascii="Arial" w:hAnsi="Arial"/>
          <w:sz w:val="20"/>
          <w:szCs w:val="20"/>
          <w:lang w:eastAsia="fr-FR"/>
        </w:rPr>
      </w:pPr>
      <w:r>
        <w:rPr>
          <w:rFonts w:ascii="Arial" w:hAnsi="Arial"/>
          <w:sz w:val="20"/>
          <w:szCs w:val="20"/>
          <w:lang w:eastAsia="fr-FR"/>
        </w:rPr>
      </w:r>
    </w:p>
    <w:p>
      <w:pPr>
        <w:pStyle w:val="Standard"/>
        <w:jc w:val="both"/>
        <w:rPr/>
      </w:pPr>
      <w:r>
        <w:rPr>
          <w:rFonts w:ascii="Arial" w:hAnsi="Arial"/>
          <w:sz w:val="20"/>
          <w:szCs w:val="20"/>
          <w:lang w:eastAsia="fr-FR"/>
        </w:rPr>
        <w:t>Le classement est effectué suivant les notes obtenues au regard des critères de jugement des offres.</w:t>
      </w:r>
    </w:p>
    <w:p>
      <w:pPr>
        <w:pStyle w:val="Standard"/>
        <w:jc w:val="both"/>
        <w:rPr>
          <w:rFonts w:ascii="Arial" w:hAnsi="Arial"/>
          <w:sz w:val="20"/>
          <w:szCs w:val="20"/>
          <w:lang w:eastAsia="fr-FR"/>
        </w:rPr>
      </w:pPr>
      <w:r>
        <w:rPr>
          <w:rFonts w:ascii="Arial" w:hAnsi="Arial"/>
          <w:sz w:val="20"/>
          <w:szCs w:val="20"/>
          <w:lang w:eastAsia="fr-FR"/>
        </w:rPr>
      </w:r>
    </w:p>
    <w:p>
      <w:pPr>
        <w:pStyle w:val="Standard"/>
        <w:jc w:val="both"/>
        <w:rPr/>
      </w:pPr>
      <w:r>
        <w:rPr>
          <w:rFonts w:ascii="Arial" w:hAnsi="Arial"/>
          <w:sz w:val="20"/>
          <w:szCs w:val="20"/>
          <w:lang w:eastAsia="fr-FR"/>
        </w:rPr>
        <w:t xml:space="preserve">L’annexe </w:t>
      </w:r>
      <w:r>
        <w:rPr>
          <w:rFonts w:ascii="Arial" w:hAnsi="Arial"/>
          <w:sz w:val="20"/>
          <w:szCs w:val="20"/>
          <w:lang w:eastAsia="fr-FR"/>
        </w:rPr>
        <w:t>1</w:t>
      </w:r>
      <w:r>
        <w:rPr>
          <w:rFonts w:ascii="Arial" w:hAnsi="Arial"/>
          <w:sz w:val="20"/>
          <w:szCs w:val="20"/>
          <w:lang w:eastAsia="fr-FR"/>
        </w:rPr>
        <w:t xml:space="preserve"> au RC « ordre de préférence d’attribution des lots » est mise en œuvre uniquement dans le cas où un candidat est classé en première position pour 3 lots à l’issue de l’analyse des offres. Dans ce cas, le candidat se voit attribuer deux des trois lots dans l’ordre de préférence de sa liste.</w:t>
      </w:r>
    </w:p>
    <w:p>
      <w:pPr>
        <w:pStyle w:val="Standard"/>
        <w:jc w:val="both"/>
        <w:rPr>
          <w:rFonts w:ascii="Arial" w:hAnsi="Arial"/>
          <w:sz w:val="20"/>
          <w:szCs w:val="20"/>
          <w:lang w:eastAsia="fr-FR"/>
        </w:rPr>
      </w:pPr>
      <w:r>
        <w:rPr>
          <w:rFonts w:ascii="Arial" w:hAnsi="Arial"/>
          <w:sz w:val="20"/>
          <w:szCs w:val="20"/>
          <w:lang w:eastAsia="fr-FR"/>
        </w:rPr>
      </w:r>
    </w:p>
    <w:p>
      <w:pPr>
        <w:pStyle w:val="Standard"/>
        <w:jc w:val="both"/>
        <w:rPr/>
      </w:pPr>
      <w:r>
        <w:rPr>
          <w:rFonts w:ascii="Arial" w:hAnsi="Arial"/>
          <w:sz w:val="20"/>
          <w:szCs w:val="20"/>
          <w:lang w:eastAsia="fr-FR"/>
        </w:rPr>
        <w:t>Le lot qui n’aura pas pu être attribué à un soumissionnaire du fait de la règle rappelée ci-dessus sera attribué au candidat suivant du classement de l’analyse des offres pour le lot considéré.</w:t>
      </w:r>
    </w:p>
    <w:p>
      <w:pPr>
        <w:pStyle w:val="Standard"/>
        <w:jc w:val="both"/>
        <w:rPr>
          <w:rFonts w:ascii="Arial" w:hAnsi="Arial"/>
          <w:sz w:val="20"/>
          <w:szCs w:val="20"/>
          <w:lang w:eastAsia="fr-FR"/>
        </w:rPr>
      </w:pPr>
      <w:r>
        <w:rPr>
          <w:rFonts w:ascii="Arial" w:hAnsi="Arial"/>
          <w:sz w:val="20"/>
          <w:szCs w:val="20"/>
          <w:lang w:eastAsia="fr-FR"/>
        </w:rPr>
      </w:r>
    </w:p>
    <w:p>
      <w:pPr>
        <w:pStyle w:val="Standard"/>
        <w:jc w:val="both"/>
        <w:rPr/>
      </w:pPr>
      <w:r>
        <w:rPr>
          <w:rFonts w:ascii="Arial" w:hAnsi="Arial"/>
          <w:sz w:val="20"/>
          <w:szCs w:val="20"/>
          <w:lang w:eastAsia="fr-FR"/>
        </w:rPr>
        <w:t xml:space="preserve">La clause s’applique sauf cas d’infructuosité. </w:t>
      </w:r>
    </w:p>
    <w:p>
      <w:pPr>
        <w:pStyle w:val="Standard"/>
        <w:jc w:val="both"/>
        <w:rPr>
          <w:rFonts w:ascii="Arial" w:hAnsi="Arial"/>
          <w:sz w:val="20"/>
          <w:szCs w:val="20"/>
          <w:lang w:eastAsia="fr-FR"/>
        </w:rPr>
      </w:pPr>
      <w:r>
        <w:rPr>
          <w:rFonts w:ascii="Arial" w:hAnsi="Arial"/>
          <w:sz w:val="20"/>
          <w:szCs w:val="20"/>
          <w:lang w:eastAsia="fr-FR"/>
        </w:rPr>
      </w:r>
    </w:p>
    <w:p>
      <w:pPr>
        <w:pStyle w:val="Standard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shd w:fill="auto" w:val="clear"/>
        </w:rPr>
        <w:t>Dans la colonne « ordre de préférence », les soumissionnaires suppriment les mentions inutiles.</w:t>
      </w:r>
    </w:p>
    <w:p>
      <w:pPr>
        <w:pStyle w:val="Standard"/>
        <w:rPr/>
      </w:pPr>
      <w:r>
        <w:rPr/>
      </w:r>
      <w:bookmarkStart w:id="0" w:name="_GoBack"/>
      <w:bookmarkStart w:id="1" w:name="_GoBack"/>
      <w:bookmarkEnd w:id="1"/>
    </w:p>
    <w:tbl>
      <w:tblPr>
        <w:tblW w:w="5000" w:type="pct"/>
        <w:jc w:val="left"/>
        <w:tblInd w:w="5" w:type="dxa"/>
        <w:tblLayout w:type="fixed"/>
        <w:tblCellMar>
          <w:top w:w="100" w:type="dxa"/>
          <w:left w:w="105" w:type="dxa"/>
          <w:bottom w:w="100" w:type="dxa"/>
          <w:right w:w="100" w:type="dxa"/>
        </w:tblCellMar>
        <w:tblLook w:firstRow="0" w:noVBand="0" w:lastRow="0" w:firstColumn="0" w:lastColumn="0" w:noHBand="0" w:val="0000"/>
      </w:tblPr>
      <w:tblGrid>
        <w:gridCol w:w="933"/>
        <w:gridCol w:w="6777"/>
        <w:gridCol w:w="1928"/>
      </w:tblGrid>
      <w:tr>
        <w:trPr>
          <w:trHeight w:val="860" w:hRule="atLeast"/>
        </w:trPr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Standard"/>
              <w:spacing w:before="119" w:after="119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A"/>
                <w:sz w:val="20"/>
                <w:szCs w:val="20"/>
                <w:lang w:eastAsia="fr-FR"/>
              </w:rPr>
              <w:t>LOT N°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Standard"/>
              <w:spacing w:before="119" w:after="119"/>
              <w:jc w:val="center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A"/>
                <w:szCs w:val="20"/>
                <w:lang w:eastAsia="fr-FR"/>
              </w:rPr>
              <w:t>Intitulés des lots</w:t>
            </w:r>
          </w:p>
        </w:tc>
        <w:tc>
          <w:tcPr>
            <w:tcW w:w="1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Standard"/>
              <w:spacing w:before="119" w:after="119"/>
              <w:jc w:val="center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A"/>
                <w:szCs w:val="20"/>
                <w:shd w:fill="auto" w:val="clear"/>
                <w:lang w:eastAsia="fr-FR"/>
              </w:rPr>
              <w:t>Ordre de préférence</w:t>
            </w:r>
          </w:p>
        </w:tc>
      </w:tr>
      <w:tr>
        <w:trPr>
          <w:trHeight w:val="310" w:hRule="atLeast"/>
        </w:trPr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color w:val="00000A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57" w:after="0"/>
              <w:ind w:hanging="0" w:left="0" w:right="0"/>
              <w:jc w:val="center"/>
              <w:textAlignment w:val="center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color w:val="auto"/>
                <w:sz w:val="24"/>
                <w:szCs w:val="20"/>
                <w:lang w:eastAsia="fr-FR"/>
              </w:rPr>
              <w:t>SSI EA - NORD</w:t>
            </w:r>
          </w:p>
        </w:tc>
        <w:tc>
          <w:tcPr>
            <w:tcW w:w="1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 w:eastAsia="Times New Roman" w:cs="Times New Roman"/>
                <w:color w:val="00000A"/>
                <w:lang w:eastAsia="fr-FR"/>
              </w:rPr>
            </w:pPr>
            <w:r>
              <w:rPr>
                <w:rFonts w:eastAsia="Times New Roman" w:cs="Times New Roman" w:ascii="Arial" w:hAnsi="Arial"/>
                <w:color w:val="00000A"/>
                <w:lang w:eastAsia="fr-FR"/>
              </w:rPr>
            </w:r>
          </w:p>
        </w:tc>
      </w:tr>
      <w:tr>
        <w:trPr/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color w:val="00000A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57" w:after="0"/>
              <w:ind w:hanging="0" w:left="0" w:right="0"/>
              <w:jc w:val="center"/>
              <w:textAlignment w:val="center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color w:val="auto"/>
                <w:sz w:val="24"/>
                <w:szCs w:val="20"/>
                <w:lang w:eastAsia="fr-FR"/>
              </w:rPr>
              <w:t>SSI EA - PAS-DE-CALAIS</w:t>
            </w:r>
          </w:p>
        </w:tc>
        <w:tc>
          <w:tcPr>
            <w:tcW w:w="1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 w:eastAsia="Times New Roman" w:cs="Times New Roman"/>
                <w:color w:val="00000A"/>
                <w:lang w:eastAsia="fr-FR"/>
              </w:rPr>
            </w:pPr>
            <w:r>
              <w:rPr>
                <w:rFonts w:eastAsia="Times New Roman" w:cs="Times New Roman" w:ascii="Arial" w:hAnsi="Arial"/>
                <w:color w:val="00000A"/>
                <w:lang w:eastAsia="fr-FR"/>
              </w:rPr>
            </w:r>
          </w:p>
        </w:tc>
      </w:tr>
      <w:tr>
        <w:trPr/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color w:val="00000A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hanging="0" w:left="0" w:right="0"/>
              <w:jc w:val="center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color w:val="auto"/>
                <w:sz w:val="24"/>
                <w:szCs w:val="20"/>
                <w:lang w:eastAsia="fr-FR"/>
              </w:rPr>
              <w:t>SSI EA  - SOMME</w:t>
            </w:r>
          </w:p>
        </w:tc>
        <w:tc>
          <w:tcPr>
            <w:tcW w:w="1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 w:eastAsia="Times New Roman" w:cs="Times New Roman"/>
                <w:color w:val="00000A"/>
                <w:lang w:eastAsia="fr-FR"/>
              </w:rPr>
            </w:pPr>
            <w:r>
              <w:rPr>
                <w:rFonts w:eastAsia="Times New Roman" w:cs="Times New Roman" w:ascii="Arial" w:hAnsi="Arial"/>
                <w:color w:val="00000A"/>
                <w:lang w:eastAsia="fr-FR"/>
              </w:rPr>
            </w:r>
          </w:p>
        </w:tc>
      </w:tr>
      <w:tr>
        <w:trPr/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6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hanging="0" w:left="0" w:right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SSI EA - OISE</w:t>
            </w:r>
          </w:p>
        </w:tc>
        <w:tc>
          <w:tcPr>
            <w:tcW w:w="1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67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hanging="0" w:left="0" w:right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SSI EA - AISNE</w:t>
            </w:r>
          </w:p>
        </w:tc>
        <w:tc>
          <w:tcPr>
            <w:tcW w:w="19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67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hanging="0" w:left="0" w:right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ELI - NORD</w:t>
            </w:r>
          </w:p>
        </w:tc>
        <w:tc>
          <w:tcPr>
            <w:tcW w:w="19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67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hanging="0" w:left="0" w:right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ELI - PAS-DE-CALAIS</w:t>
            </w:r>
          </w:p>
        </w:tc>
        <w:tc>
          <w:tcPr>
            <w:tcW w:w="19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67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hanging="0" w:left="0" w:right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ELI - SOMME</w:t>
            </w:r>
          </w:p>
        </w:tc>
        <w:tc>
          <w:tcPr>
            <w:tcW w:w="19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67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hanging="0" w:left="0" w:right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ELI - OISE</w:t>
            </w:r>
          </w:p>
        </w:tc>
        <w:tc>
          <w:tcPr>
            <w:tcW w:w="19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67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ind w:hanging="0" w:left="0" w:right="0"/>
              <w:jc w:val="center"/>
              <w:rPr>
                <w:rFonts w:ascii="Arial" w:hAnsi="Arial"/>
              </w:rPr>
            </w:pPr>
            <w:r>
              <w:rPr>
                <w:rFonts w:eastAsia="Times New Roman" w:cs="Times New Roman" w:ascii="Arial" w:hAnsi="Arial"/>
                <w:color w:val="auto"/>
                <w:sz w:val="24"/>
                <w:szCs w:val="20"/>
                <w:lang w:eastAsia="fr-FR"/>
              </w:rPr>
              <w:t>ELI - AISNE</w:t>
            </w:r>
          </w:p>
        </w:tc>
        <w:tc>
          <w:tcPr>
            <w:tcW w:w="19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andard"/>
              <w:jc w:val="center"/>
              <w:rPr>
                <w:rFonts w:ascii="Arial" w:hAnsi="Arial" w:eastAsia="Times New Roman" w:cs="Times New Roman"/>
                <w:color w:val="00000A"/>
                <w:lang w:eastAsia="fr-FR"/>
              </w:rPr>
            </w:pPr>
            <w:r>
              <w:rPr>
                <w:rFonts w:eastAsia="Times New Roman" w:cs="Times New Roman" w:ascii="Arial" w:hAnsi="Arial"/>
                <w:color w:val="00000A"/>
                <w:lang w:eastAsia="fr-FR"/>
              </w:rPr>
            </w:r>
          </w:p>
        </w:tc>
      </w:tr>
    </w:tbl>
    <w:p>
      <w:pPr>
        <w:pStyle w:val="Standard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Calibri">
    <w:charset w:val="01"/>
    <w:family w:val="auto"/>
    <w:pitch w:val="default"/>
  </w:font>
  <w:font w:name="Arial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9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paragraph" w:styleId="Contenudetableau">
    <w:name w:val="Contenu de tableau"/>
    <w:basedOn w:val="Standard"/>
    <w:qFormat/>
    <w:pPr>
      <w:suppressLineNumbers/>
    </w:pPr>
    <w:rPr/>
  </w:style>
  <w:style w:type="paragraph" w:styleId="ListParagraph">
    <w:name w:val="List Paragraph"/>
    <w:basedOn w:val="Normal"/>
    <w:qFormat/>
    <w:pPr>
      <w:ind w:hanging="0" w:left="720" w:right="0"/>
    </w:pPr>
    <w:rPr>
      <w:rFonts w:ascii="Calibri" w:hAnsi="Calibri" w:eastAsia="Calibri" w:cs="Calibri"/>
      <w:color w:val="auto"/>
      <w:sz w:val="22"/>
      <w:szCs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289</Words>
  <Characters>1330</Characters>
  <CharactersWithSpaces>1584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2025-10-30T15:36:34Z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