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line="240" w:lineRule="auto"/>
        <w:jc w:val="center"/>
        <w:rPr>
          <w:rFonts w:ascii="Calibri" w:eastAsia="Times New Roman" w:hAnsi="Calibri" w:cs="Calibri"/>
          <w:b/>
          <w:sz w:val="24"/>
          <w:szCs w:val="24"/>
          <w:lang w:eastAsia="fr-FR"/>
        </w:rPr>
      </w:pPr>
      <w:r>
        <w:rPr>
          <w:rFonts w:ascii="Calibri" w:eastAsia="Times New Roman" w:hAnsi="Calibri" w:cs="Calibri"/>
          <w:b/>
          <w:sz w:val="24"/>
          <w:szCs w:val="24"/>
          <w:lang w:eastAsia="fr-FR"/>
        </w:rPr>
        <w:t>CENTRE HOSPITALIER REGIONAL UNIVERSITAIRE DE BESANCON</w:t>
      </w:r>
    </w:p>
    <w:p>
      <w:pPr>
        <w:spacing w:line="240" w:lineRule="auto"/>
        <w:jc w:val="center"/>
        <w:rPr>
          <w:rFonts w:ascii="Calibri" w:eastAsia="Times New Roman" w:hAnsi="Calibri" w:cs="Calibri"/>
          <w:b/>
          <w:sz w:val="24"/>
          <w:szCs w:val="24"/>
          <w:lang w:eastAsia="fr-FR"/>
        </w:rPr>
      </w:pPr>
      <w:r>
        <w:rPr>
          <w:rFonts w:ascii="Calibri" w:eastAsia="Times New Roman" w:hAnsi="Calibri" w:cs="Calibri"/>
          <w:b/>
          <w:iCs/>
          <w:sz w:val="24"/>
          <w:szCs w:val="24"/>
          <w:lang w:eastAsia="fr-FR"/>
        </w:rPr>
        <w:t>DIRECTION DES SERVICES HOTALIERS ET DES ACHATS</w:t>
      </w:r>
    </w:p>
    <w:p>
      <w:pPr>
        <w:spacing w:line="240" w:lineRule="auto"/>
        <w:ind w:left="2832"/>
        <w:jc w:val="center"/>
        <w:rPr>
          <w:rFonts w:ascii="Calibri" w:eastAsia="Times New Roman" w:hAnsi="Calibri" w:cs="Calibri"/>
          <w:b/>
          <w:sz w:val="24"/>
          <w:szCs w:val="24"/>
          <w:lang w:eastAsia="fr-FR"/>
        </w:rPr>
      </w:pPr>
      <w:r>
        <w:rPr>
          <w:rFonts w:ascii="Calibri" w:eastAsia="Times New Roman" w:hAnsi="Calibri" w:cs="Calibri"/>
          <w:b/>
          <w:sz w:val="24"/>
          <w:szCs w:val="24"/>
          <w:lang w:eastAsia="fr-FR"/>
        </w:rPr>
        <w:t xml:space="preserve">3 Boulevard Alexandre Fleming </w:t>
      </w:r>
    </w:p>
    <w:p>
      <w:pPr>
        <w:spacing w:line="240" w:lineRule="auto"/>
        <w:ind w:left="2832"/>
        <w:jc w:val="center"/>
        <w:rPr>
          <w:rFonts w:ascii="Calibri" w:eastAsia="Times New Roman" w:hAnsi="Calibri" w:cs="Calibri"/>
          <w:b/>
          <w:iCs/>
          <w:sz w:val="24"/>
          <w:szCs w:val="24"/>
          <w:lang w:eastAsia="fr-FR"/>
        </w:rPr>
      </w:pPr>
      <w:r>
        <w:rPr>
          <w:rFonts w:ascii="Calibri" w:eastAsia="Times New Roman" w:hAnsi="Calibri" w:cs="Calibri"/>
          <w:b/>
          <w:iCs/>
          <w:sz w:val="24"/>
          <w:szCs w:val="24"/>
          <w:lang w:eastAsia="fr-FR"/>
        </w:rPr>
        <w:t>25030 - BESANÇON CEDEX</w:t>
      </w:r>
    </w:p>
    <w:p>
      <w:pPr>
        <w:spacing w:line="240" w:lineRule="auto"/>
        <w:jc w:val="left"/>
        <w:rPr>
          <w:rFonts w:ascii="Times New Roman" w:eastAsia="Times New Roman" w:hAnsi="Times New Roman" w:cs="Times New Roman"/>
          <w:sz w:val="24"/>
          <w:szCs w:val="24"/>
          <w:lang w:eastAsia="fr-FR"/>
        </w:rPr>
      </w:pPr>
    </w:p>
    <w:p>
      <w:pPr>
        <w:spacing w:line="240" w:lineRule="auto"/>
        <w:jc w:val="left"/>
        <w:rPr>
          <w:rFonts w:ascii="Times New Roman" w:eastAsia="Times New Roman" w:hAnsi="Times New Roman" w:cs="Times New Roman"/>
          <w:sz w:val="24"/>
          <w:szCs w:val="24"/>
          <w:lang w:eastAsia="fr-FR"/>
        </w:rPr>
      </w:pPr>
    </w:p>
    <w:p>
      <w:pPr>
        <w:spacing w:line="240" w:lineRule="auto"/>
        <w:jc w:val="left"/>
        <w:rPr>
          <w:rFonts w:ascii="Arial" w:eastAsia="Times New Roman" w:hAnsi="Arial" w:cs="Arial"/>
          <w:sz w:val="32"/>
          <w:szCs w:val="32"/>
          <w:lang w:eastAsia="fr-FR"/>
        </w:rPr>
      </w:pPr>
    </w:p>
    <w:p>
      <w:pPr>
        <w:spacing w:line="240" w:lineRule="auto"/>
        <w:jc w:val="left"/>
        <w:rPr>
          <w:rFonts w:ascii="Arial" w:eastAsia="Times New Roman" w:hAnsi="Arial" w:cs="Arial"/>
          <w:sz w:val="32"/>
          <w:szCs w:val="32"/>
          <w:lang w:eastAsia="fr-FR"/>
        </w:rPr>
      </w:pPr>
    </w:p>
    <w:p>
      <w:pPr>
        <w:spacing w:line="240" w:lineRule="auto"/>
        <w:jc w:val="left"/>
        <w:rPr>
          <w:rFonts w:ascii="Arial" w:eastAsia="Times New Roman" w:hAnsi="Arial" w:cs="Arial"/>
          <w:sz w:val="32"/>
          <w:szCs w:val="32"/>
          <w:lang w:eastAsia="fr-FR"/>
        </w:rPr>
      </w:pPr>
    </w:p>
    <w:p>
      <w:pPr>
        <w:spacing w:line="240" w:lineRule="auto"/>
        <w:jc w:val="center"/>
        <w:rPr>
          <w:rFonts w:ascii="Arial" w:eastAsia="Times New Roman" w:hAnsi="Arial" w:cs="Arial"/>
          <w:b/>
          <w:bCs/>
          <w:sz w:val="36"/>
          <w:szCs w:val="36"/>
          <w:lang w:eastAsia="fr-FR"/>
        </w:rPr>
      </w:pPr>
      <w:r>
        <w:rPr>
          <w:rFonts w:ascii="Arial" w:eastAsia="Times New Roman" w:hAnsi="Arial" w:cs="Arial"/>
          <w:b/>
          <w:bCs/>
          <w:sz w:val="36"/>
          <w:szCs w:val="36"/>
          <w:lang w:eastAsia="fr-FR"/>
        </w:rPr>
        <w:t xml:space="preserve">Cahier des clauses techniques particulières </w:t>
      </w:r>
    </w:p>
    <w:p>
      <w:pPr>
        <w:spacing w:line="240" w:lineRule="auto"/>
        <w:jc w:val="center"/>
        <w:rPr>
          <w:rFonts w:ascii="Arial" w:eastAsia="Times New Roman" w:hAnsi="Arial" w:cs="Arial"/>
          <w:b/>
          <w:bCs/>
          <w:sz w:val="36"/>
          <w:szCs w:val="36"/>
          <w:lang w:val="en-US" w:eastAsia="fr-FR"/>
        </w:rPr>
      </w:pPr>
      <w:r>
        <w:rPr>
          <w:rFonts w:ascii="Arial" w:eastAsia="Times New Roman" w:hAnsi="Arial" w:cs="Arial"/>
          <w:b/>
          <w:bCs/>
          <w:sz w:val="36"/>
          <w:szCs w:val="36"/>
          <w:lang w:val="en-US" w:eastAsia="fr-FR"/>
        </w:rPr>
        <w:t>(C.C.T.P)</w:t>
      </w:r>
    </w:p>
    <w:p>
      <w:pPr>
        <w:spacing w:line="240" w:lineRule="auto"/>
        <w:rPr>
          <w:rFonts w:ascii="Arial" w:eastAsia="Times New Roman" w:hAnsi="Arial" w:cs="Arial"/>
          <w:b/>
          <w:bCs/>
          <w:sz w:val="28"/>
          <w:szCs w:val="28"/>
          <w:lang w:val="en-US" w:eastAsia="fr-FR"/>
        </w:rPr>
      </w:pPr>
    </w:p>
    <w:p>
      <w:pPr>
        <w:keepNext/>
        <w:spacing w:line="240" w:lineRule="auto"/>
        <w:jc w:val="center"/>
        <w:outlineLvl w:val="1"/>
        <w:rPr>
          <w:rFonts w:ascii="Arial" w:eastAsia="Times New Roman" w:hAnsi="Arial" w:cs="Arial"/>
          <w:bCs/>
          <w:sz w:val="28"/>
          <w:szCs w:val="28"/>
          <w:lang w:val="en-US" w:eastAsia="fr-FR"/>
        </w:rPr>
      </w:pPr>
      <w:r>
        <w:rPr>
          <w:rFonts w:ascii="Arial" w:eastAsia="Times New Roman" w:hAnsi="Arial" w:cs="Arial"/>
          <w:bCs/>
          <w:sz w:val="28"/>
          <w:szCs w:val="28"/>
          <w:lang w:val="en-US" w:eastAsia="fr-FR"/>
        </w:rPr>
        <w:t>MARCHE A PROCEDURE ADAPTEE N° 2025-58</w:t>
      </w:r>
    </w:p>
    <w:p>
      <w:pPr>
        <w:spacing w:line="240" w:lineRule="auto"/>
        <w:rPr>
          <w:rFonts w:ascii="Arial" w:eastAsia="Times New Roman" w:hAnsi="Arial" w:cs="Arial"/>
          <w:b/>
          <w:color w:val="000000"/>
          <w:szCs w:val="20"/>
          <w:lang w:val="en-US" w:eastAsia="fr-FR"/>
        </w:rPr>
      </w:pPr>
    </w:p>
    <w:p>
      <w:pPr>
        <w:spacing w:line="240" w:lineRule="auto"/>
        <w:rPr>
          <w:rFonts w:ascii="Arial" w:eastAsia="Times New Roman" w:hAnsi="Arial" w:cs="Arial"/>
          <w:b/>
          <w:color w:val="000000"/>
          <w:szCs w:val="20"/>
          <w:lang w:val="en-US" w:eastAsia="fr-FR"/>
        </w:rPr>
      </w:pPr>
    </w:p>
    <w:tbl>
      <w:tblPr>
        <w:tblpPr w:leftFromText="141" w:rightFromText="141" w:vertAnchor="text" w:horzAnchor="page" w:tblpX="2015" w:tblpY="-57"/>
        <w:tblW w:w="0" w:type="auto"/>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8123"/>
      </w:tblGrid>
      <w:tr>
        <w:trPr>
          <w:cantSplit/>
          <w:trHeight w:val="1575"/>
        </w:trPr>
        <w:tc>
          <w:tcPr>
            <w:tcW w:w="8123" w:type="dxa"/>
          </w:tcPr>
          <w:p>
            <w:pPr>
              <w:spacing w:line="240" w:lineRule="auto"/>
              <w:jc w:val="center"/>
              <w:rPr>
                <w:rFonts w:ascii="Arial" w:eastAsia="Times New Roman" w:hAnsi="Arial" w:cs="Arial"/>
                <w:b/>
                <w:color w:val="000000"/>
                <w:sz w:val="32"/>
                <w:szCs w:val="20"/>
                <w:lang w:val="en-US" w:eastAsia="fr-FR"/>
              </w:rPr>
            </w:pPr>
          </w:p>
          <w:p>
            <w:pPr>
              <w:spacing w:after="200" w:line="240" w:lineRule="auto"/>
              <w:jc w:val="center"/>
              <w:rPr>
                <w:rFonts w:ascii="Arial" w:eastAsia="Times New Roman" w:hAnsi="Arial" w:cs="Arial"/>
                <w:b/>
                <w:color w:val="000000"/>
                <w:sz w:val="32"/>
                <w:szCs w:val="20"/>
                <w:lang w:eastAsia="fr-FR"/>
              </w:rPr>
            </w:pPr>
            <w:r>
              <w:rPr>
                <w:rFonts w:ascii="Arial" w:eastAsia="Times New Roman" w:hAnsi="Arial" w:cs="Arial"/>
                <w:b/>
                <w:color w:val="000000"/>
                <w:sz w:val="32"/>
                <w:szCs w:val="20"/>
                <w:lang w:eastAsia="fr-FR"/>
              </w:rPr>
              <w:t xml:space="preserve">Groupement de commandes GHT Centre Franche-Comté et GHT Nord Franche-Comté : masques chirurgicaux </w:t>
            </w:r>
          </w:p>
        </w:tc>
      </w:tr>
    </w:tbl>
    <w:p>
      <w:pPr>
        <w:spacing w:line="240" w:lineRule="auto"/>
        <w:jc w:val="center"/>
        <w:rPr>
          <w:rFonts w:ascii="Arial" w:eastAsia="Times New Roman" w:hAnsi="Arial" w:cs="Arial"/>
          <w:b/>
          <w:bCs/>
          <w:sz w:val="28"/>
          <w:szCs w:val="28"/>
          <w:lang w:eastAsia="fr-FR"/>
        </w:rPr>
      </w:pPr>
    </w:p>
    <w:p>
      <w:pPr>
        <w:spacing w:line="240" w:lineRule="auto"/>
        <w:jc w:val="center"/>
        <w:rPr>
          <w:rFonts w:ascii="Arial" w:eastAsia="Times New Roman" w:hAnsi="Arial" w:cs="Arial"/>
          <w:b/>
          <w:bCs/>
          <w:sz w:val="24"/>
          <w:szCs w:val="24"/>
          <w:lang w:eastAsia="fr-FR"/>
        </w:rPr>
      </w:pPr>
    </w:p>
    <w:p>
      <w:pPr>
        <w:spacing w:line="240" w:lineRule="auto"/>
        <w:jc w:val="center"/>
        <w:rPr>
          <w:rFonts w:ascii="Arial" w:eastAsia="Times New Roman" w:hAnsi="Arial" w:cs="Arial"/>
          <w:b/>
          <w:bCs/>
          <w:sz w:val="24"/>
          <w:szCs w:val="24"/>
          <w:lang w:eastAsia="fr-FR"/>
        </w:rPr>
      </w:pPr>
    </w:p>
    <w:p>
      <w:pPr>
        <w:spacing w:line="240" w:lineRule="auto"/>
        <w:jc w:val="center"/>
        <w:rPr>
          <w:rFonts w:ascii="Arial" w:eastAsia="Times New Roman" w:hAnsi="Arial" w:cs="Arial"/>
          <w:b/>
          <w:color w:val="000000"/>
          <w:sz w:val="24"/>
          <w:szCs w:val="20"/>
          <w:lang w:eastAsia="fr-FR"/>
        </w:rPr>
      </w:pPr>
    </w:p>
    <w:p>
      <w:pPr>
        <w:spacing w:line="240" w:lineRule="auto"/>
        <w:jc w:val="center"/>
        <w:rPr>
          <w:rFonts w:ascii="Arial" w:eastAsia="Times New Roman" w:hAnsi="Arial" w:cs="Arial"/>
          <w:b/>
          <w:color w:val="000000"/>
          <w:sz w:val="24"/>
          <w:szCs w:val="20"/>
          <w:lang w:eastAsia="fr-FR"/>
        </w:rPr>
      </w:pPr>
    </w:p>
    <w:p>
      <w:pPr>
        <w:spacing w:line="240" w:lineRule="auto"/>
        <w:jc w:val="center"/>
        <w:rPr>
          <w:rFonts w:ascii="Arial" w:eastAsia="Times New Roman" w:hAnsi="Arial" w:cs="Arial"/>
          <w:b/>
          <w:color w:val="000000"/>
          <w:sz w:val="24"/>
          <w:szCs w:val="20"/>
          <w:lang w:eastAsia="fr-FR"/>
        </w:rPr>
      </w:pPr>
    </w:p>
    <w:p>
      <w:pPr>
        <w:spacing w:line="240" w:lineRule="auto"/>
        <w:jc w:val="center"/>
        <w:rPr>
          <w:rFonts w:ascii="Arial" w:eastAsia="Times New Roman" w:hAnsi="Arial" w:cs="Arial"/>
          <w:b/>
          <w:color w:val="000000"/>
          <w:sz w:val="24"/>
          <w:szCs w:val="20"/>
          <w:lang w:eastAsia="fr-FR"/>
        </w:rPr>
      </w:pPr>
    </w:p>
    <w:p>
      <w:pPr>
        <w:spacing w:line="240" w:lineRule="auto"/>
        <w:jc w:val="center"/>
        <w:rPr>
          <w:rFonts w:ascii="Arial" w:eastAsia="Times New Roman" w:hAnsi="Arial" w:cs="Arial"/>
          <w:b/>
          <w:color w:val="000000"/>
          <w:sz w:val="24"/>
          <w:szCs w:val="20"/>
          <w:lang w:eastAsia="fr-FR"/>
        </w:rPr>
      </w:pPr>
    </w:p>
    <w:p>
      <w:pPr>
        <w:spacing w:line="240" w:lineRule="auto"/>
        <w:rPr>
          <w:rFonts w:ascii="Arial" w:eastAsia="Times New Roman" w:hAnsi="Arial" w:cs="Arial"/>
          <w:b/>
          <w:color w:val="000000"/>
          <w:szCs w:val="20"/>
          <w:lang w:eastAsia="fr-FR"/>
        </w:rPr>
      </w:pPr>
    </w:p>
    <w:p>
      <w:pPr>
        <w:spacing w:line="240" w:lineRule="auto"/>
        <w:jc w:val="center"/>
        <w:rPr>
          <w:rFonts w:ascii="Calibri" w:eastAsia="Times New Roman" w:hAnsi="Calibri" w:cs="Calibri"/>
          <w:b/>
          <w:color w:val="000000"/>
          <w:szCs w:val="20"/>
          <w:lang w:eastAsia="fr-FR"/>
        </w:rPr>
      </w:pPr>
      <w:r>
        <w:rPr>
          <w:rFonts w:ascii="Arial" w:eastAsia="Times New Roman" w:hAnsi="Arial" w:cs="Arial"/>
          <w:b/>
          <w:color w:val="000000"/>
          <w:szCs w:val="20"/>
          <w:lang w:eastAsia="fr-FR"/>
        </w:rPr>
        <w:t>Le présent marché est passé selon une procédure adaptée, en application des articles L2123-1 et R2123-1 à R2123-8 du Code de la commande publique, tel qu’issu de l’Ordonnance n°2018-1074 du 26 novembre 2018 et du Décret n°2018-1075 du 3 décembre 2018, portant partie législative et réglementaire du Code de la commande publique, entré en vigueur le 1er avril 2019.</w:t>
      </w:r>
    </w:p>
    <w:p>
      <w:pPr>
        <w:spacing w:line="240" w:lineRule="auto"/>
        <w:rPr>
          <w:rFonts w:ascii="Times New Roman" w:eastAsia="Times New Roman" w:hAnsi="Times New Roman" w:cs="Times New Roman"/>
          <w:b/>
          <w:color w:val="000000"/>
          <w:szCs w:val="20"/>
          <w:lang w:eastAsia="fr-FR"/>
        </w:rPr>
      </w:pPr>
    </w:p>
    <w:p>
      <w:pPr>
        <w:spacing w:line="240" w:lineRule="auto"/>
        <w:rPr>
          <w:rFonts w:ascii="Times New Roman" w:eastAsia="Times New Roman" w:hAnsi="Times New Roman" w:cs="Times New Roman"/>
          <w:b/>
          <w:color w:val="000000"/>
          <w:szCs w:val="20"/>
          <w:lang w:eastAsia="fr-FR"/>
        </w:rPr>
      </w:pPr>
    </w:p>
    <w:p>
      <w:pPr>
        <w:spacing w:line="240" w:lineRule="auto"/>
        <w:rPr>
          <w:rFonts w:ascii="Times New Roman" w:eastAsia="Times New Roman" w:hAnsi="Times New Roman" w:cs="Times New Roman"/>
          <w:b/>
          <w:color w:val="000000"/>
          <w:szCs w:val="20"/>
          <w:lang w:eastAsia="fr-FR"/>
        </w:rPr>
      </w:pPr>
    </w:p>
    <w:p>
      <w:pPr>
        <w:spacing w:line="240" w:lineRule="auto"/>
        <w:rPr>
          <w:rFonts w:ascii="Times New Roman" w:eastAsia="Times New Roman" w:hAnsi="Times New Roman" w:cs="Times New Roman"/>
          <w:b/>
          <w:color w:val="000000"/>
          <w:szCs w:val="20"/>
          <w:lang w:eastAsia="fr-FR"/>
        </w:rPr>
      </w:pPr>
    </w:p>
    <w:p>
      <w:pPr>
        <w:spacing w:line="240" w:lineRule="auto"/>
        <w:rPr>
          <w:rFonts w:ascii="Times New Roman" w:eastAsia="Times New Roman" w:hAnsi="Times New Roman" w:cs="Times New Roman"/>
          <w:b/>
          <w:color w:val="000000"/>
          <w:szCs w:val="20"/>
          <w:lang w:eastAsia="fr-FR"/>
        </w:rPr>
      </w:pPr>
    </w:p>
    <w:p>
      <w:pPr>
        <w:spacing w:line="240" w:lineRule="auto"/>
        <w:rPr>
          <w:rFonts w:ascii="Times New Roman" w:eastAsia="Times New Roman" w:hAnsi="Times New Roman" w:cs="Times New Roman"/>
          <w:b/>
          <w:color w:val="000000"/>
          <w:szCs w:val="20"/>
          <w:lang w:eastAsia="fr-FR"/>
        </w:rPr>
      </w:pPr>
    </w:p>
    <w:p>
      <w:pPr>
        <w:spacing w:line="240" w:lineRule="auto"/>
        <w:rPr>
          <w:rFonts w:ascii="Times New Roman" w:eastAsia="Times New Roman" w:hAnsi="Times New Roman" w:cs="Times New Roman"/>
          <w:b/>
          <w:color w:val="000000"/>
          <w:szCs w:val="20"/>
          <w:lang w:eastAsia="fr-FR"/>
        </w:rPr>
      </w:pPr>
    </w:p>
    <w:p>
      <w:pPr>
        <w:spacing w:line="240" w:lineRule="auto"/>
        <w:rPr>
          <w:rFonts w:ascii="Times New Roman" w:eastAsia="Times New Roman" w:hAnsi="Times New Roman" w:cs="Times New Roman"/>
          <w:b/>
          <w:color w:val="000000"/>
          <w:szCs w:val="20"/>
          <w:lang w:eastAsia="fr-FR"/>
        </w:rPr>
      </w:pPr>
    </w:p>
    <w:p>
      <w:pPr>
        <w:spacing w:line="240" w:lineRule="auto"/>
        <w:rPr>
          <w:rFonts w:ascii="Times New Roman" w:eastAsia="Times New Roman" w:hAnsi="Times New Roman" w:cs="Times New Roman"/>
          <w:b/>
          <w:color w:val="000000"/>
          <w:szCs w:val="20"/>
          <w:lang w:eastAsia="fr-FR"/>
        </w:rPr>
      </w:pPr>
    </w:p>
    <w:p>
      <w:pPr>
        <w:spacing w:line="240" w:lineRule="auto"/>
        <w:rPr>
          <w:rFonts w:ascii="Times New Roman" w:eastAsia="Times New Roman" w:hAnsi="Times New Roman" w:cs="Times New Roman"/>
          <w:b/>
          <w:color w:val="000000"/>
          <w:szCs w:val="20"/>
          <w:lang w:eastAsia="fr-FR"/>
        </w:rPr>
      </w:pPr>
    </w:p>
    <w:p>
      <w:pPr>
        <w:spacing w:line="240" w:lineRule="auto"/>
        <w:rPr>
          <w:rFonts w:ascii="Times New Roman" w:eastAsia="Times New Roman" w:hAnsi="Times New Roman" w:cs="Times New Roman"/>
          <w:b/>
          <w:color w:val="000000"/>
          <w:szCs w:val="20"/>
          <w:lang w:eastAsia="fr-FR"/>
        </w:rPr>
      </w:pPr>
    </w:p>
    <w:p>
      <w:pPr>
        <w:spacing w:line="240" w:lineRule="auto"/>
        <w:jc w:val="center"/>
        <w:rPr>
          <w:rFonts w:ascii="Arial" w:eastAsia="Times New Roman" w:hAnsi="Arial" w:cs="Arial"/>
          <w:b/>
          <w:color w:val="000000"/>
          <w:szCs w:val="20"/>
          <w:lang w:eastAsia="fr-FR"/>
        </w:rPr>
      </w:pPr>
    </w:p>
    <w:p>
      <w:pPr>
        <w:spacing w:line="240" w:lineRule="auto"/>
        <w:jc w:val="center"/>
        <w:rPr>
          <w:rFonts w:ascii="Arial" w:eastAsia="Times New Roman" w:hAnsi="Arial" w:cs="Arial"/>
          <w:b/>
          <w:color w:val="000000"/>
          <w:szCs w:val="20"/>
          <w:lang w:eastAsia="fr-FR"/>
        </w:rPr>
      </w:pPr>
    </w:p>
    <w:p>
      <w:pPr>
        <w:spacing w:line="240" w:lineRule="auto"/>
        <w:jc w:val="center"/>
        <w:rPr>
          <w:rFonts w:ascii="Arial" w:eastAsia="Times New Roman" w:hAnsi="Arial" w:cs="Arial"/>
          <w:color w:val="000000"/>
          <w:szCs w:val="20"/>
          <w:lang w:eastAsia="fr-FR"/>
        </w:rPr>
      </w:pPr>
      <w:r>
        <w:rPr>
          <w:rFonts w:ascii="Arial" w:eastAsia="Times New Roman" w:hAnsi="Arial" w:cs="Arial"/>
          <w:color w:val="000000"/>
          <w:szCs w:val="20"/>
          <w:lang w:eastAsia="fr-FR"/>
        </w:rPr>
        <w:t>Ce document comporte 3 pages numérotées de 1 à 3</w:t>
      </w:r>
    </w:p>
    <w:p>
      <w:pPr>
        <w:rPr>
          <w:rFonts w:ascii="Arial" w:hAnsi="Arial" w:cs="Arial"/>
          <w:u w:val="single"/>
        </w:rPr>
      </w:pPr>
      <w:r>
        <w:rPr>
          <w:rFonts w:ascii="Arial" w:hAnsi="Arial" w:cs="Arial"/>
          <w:u w:val="single"/>
        </w:rPr>
        <w:br w:type="page"/>
      </w:r>
    </w:p>
    <w:p>
      <w:pPr>
        <w:spacing w:line="240" w:lineRule="auto"/>
        <w:jc w:val="left"/>
        <w:rPr>
          <w:rFonts w:ascii="Calibri" w:hAnsi="Calibri" w:cs="Arial"/>
          <w:b/>
          <w:sz w:val="24"/>
          <w:szCs w:val="24"/>
          <w:u w:val="single"/>
        </w:rPr>
      </w:pPr>
      <w:r>
        <w:rPr>
          <w:rFonts w:ascii="Calibri" w:hAnsi="Calibri" w:cs="Arial"/>
          <w:b/>
          <w:sz w:val="24"/>
          <w:szCs w:val="24"/>
          <w:u w:val="single"/>
        </w:rPr>
        <w:lastRenderedPageBreak/>
        <w:t>ARTICLE 1 – OBJET</w:t>
      </w:r>
    </w:p>
    <w:p>
      <w:pPr>
        <w:spacing w:line="240" w:lineRule="auto"/>
        <w:jc w:val="left"/>
        <w:rPr>
          <w:rFonts w:ascii="Calibri" w:hAnsi="Calibri" w:cs="Arial"/>
          <w:b/>
          <w:sz w:val="24"/>
          <w:szCs w:val="24"/>
          <w:u w:val="single"/>
        </w:rPr>
      </w:pPr>
    </w:p>
    <w:p>
      <w:pPr>
        <w:spacing w:line="240" w:lineRule="auto"/>
        <w:jc w:val="left"/>
        <w:rPr>
          <w:rFonts w:ascii="Calibri" w:hAnsi="Calibri" w:cs="Arial"/>
          <w:bCs/>
          <w:sz w:val="24"/>
          <w:szCs w:val="24"/>
        </w:rPr>
      </w:pPr>
      <w:r>
        <w:rPr>
          <w:rFonts w:ascii="Calibri" w:hAnsi="Calibri" w:cs="Arial"/>
          <w:bCs/>
          <w:sz w:val="24"/>
          <w:szCs w:val="24"/>
        </w:rPr>
        <w:t>Le présent marché a pour objet la fourniture de masques de chirurgie pédiatriques et adultes à usage médical de type II et IIR.</w:t>
      </w:r>
    </w:p>
    <w:p>
      <w:pPr>
        <w:spacing w:line="240" w:lineRule="auto"/>
        <w:jc w:val="left"/>
        <w:rPr>
          <w:rFonts w:ascii="Calibri" w:hAnsi="Calibri" w:cs="Arial"/>
          <w:b/>
          <w:sz w:val="24"/>
          <w:szCs w:val="24"/>
          <w:u w:val="single"/>
        </w:rPr>
      </w:pPr>
    </w:p>
    <w:p>
      <w:pPr>
        <w:spacing w:line="240" w:lineRule="auto"/>
        <w:jc w:val="left"/>
        <w:rPr>
          <w:rFonts w:ascii="Calibri" w:hAnsi="Calibri" w:cs="Arial"/>
          <w:b/>
          <w:sz w:val="24"/>
          <w:szCs w:val="24"/>
          <w:u w:val="single"/>
        </w:rPr>
      </w:pPr>
    </w:p>
    <w:p>
      <w:pPr>
        <w:spacing w:line="240" w:lineRule="auto"/>
        <w:jc w:val="left"/>
        <w:rPr>
          <w:rFonts w:ascii="Calibri" w:hAnsi="Calibri" w:cs="Arial"/>
          <w:b/>
          <w:sz w:val="24"/>
          <w:szCs w:val="24"/>
          <w:u w:val="single"/>
        </w:rPr>
      </w:pPr>
      <w:r>
        <w:rPr>
          <w:rFonts w:ascii="Calibri" w:hAnsi="Calibri" w:cs="Arial"/>
          <w:b/>
          <w:sz w:val="24"/>
          <w:szCs w:val="24"/>
          <w:u w:val="single"/>
        </w:rPr>
        <w:t>ARTICLE 2 – CONFORMITE LEGISLATIVE ET REGLEMENTAIRE, NORMES</w:t>
      </w:r>
    </w:p>
    <w:p>
      <w:pPr>
        <w:spacing w:line="240" w:lineRule="auto"/>
        <w:jc w:val="left"/>
        <w:rPr>
          <w:rFonts w:ascii="Calibri" w:hAnsi="Calibri" w:cs="Arial"/>
          <w:b/>
          <w:sz w:val="24"/>
          <w:szCs w:val="24"/>
          <w:u w:val="single"/>
        </w:rPr>
      </w:pPr>
    </w:p>
    <w:p>
      <w:pPr>
        <w:spacing w:line="240" w:lineRule="auto"/>
        <w:jc w:val="left"/>
        <w:rPr>
          <w:rFonts w:ascii="Calibri" w:hAnsi="Calibri" w:cs="Arial"/>
          <w:bCs/>
          <w:sz w:val="24"/>
          <w:szCs w:val="24"/>
        </w:rPr>
      </w:pPr>
      <w:r>
        <w:rPr>
          <w:rFonts w:ascii="Calibri" w:hAnsi="Calibri" w:cs="Arial"/>
          <w:bCs/>
          <w:sz w:val="24"/>
          <w:szCs w:val="24"/>
        </w:rPr>
        <w:t xml:space="preserve">Les masques chirurgicaux fournis dans le cadre du présent marché devront être conformes au Règlement (UE) 2017/745 relatif aux dispositifs médicaux, et porter le marquage </w:t>
      </w:r>
      <w:proofErr w:type="gramStart"/>
      <w:r>
        <w:rPr>
          <w:rFonts w:ascii="Calibri" w:hAnsi="Calibri" w:cs="Arial"/>
          <w:bCs/>
          <w:sz w:val="24"/>
          <w:szCs w:val="24"/>
        </w:rPr>
        <w:t>CE</w:t>
      </w:r>
      <w:proofErr w:type="gramEnd"/>
      <w:r>
        <w:rPr>
          <w:rFonts w:ascii="Calibri" w:hAnsi="Calibri" w:cs="Arial"/>
          <w:bCs/>
          <w:sz w:val="24"/>
          <w:szCs w:val="24"/>
        </w:rPr>
        <w:t xml:space="preserve"> attestant de leur conformité.</w:t>
      </w:r>
    </w:p>
    <w:p>
      <w:pPr>
        <w:spacing w:line="240" w:lineRule="auto"/>
        <w:jc w:val="left"/>
        <w:rPr>
          <w:rFonts w:ascii="Calibri" w:hAnsi="Calibri" w:cs="Arial"/>
          <w:bCs/>
          <w:sz w:val="24"/>
          <w:szCs w:val="24"/>
        </w:rPr>
      </w:pPr>
    </w:p>
    <w:p>
      <w:pPr>
        <w:spacing w:line="240" w:lineRule="auto"/>
        <w:jc w:val="left"/>
        <w:rPr>
          <w:rFonts w:ascii="Calibri" w:hAnsi="Calibri" w:cs="Arial"/>
          <w:bCs/>
          <w:sz w:val="24"/>
          <w:szCs w:val="24"/>
        </w:rPr>
      </w:pPr>
      <w:r>
        <w:rPr>
          <w:rFonts w:ascii="Calibri" w:hAnsi="Calibri" w:cs="Arial"/>
          <w:bCs/>
          <w:sz w:val="24"/>
          <w:szCs w:val="24"/>
        </w:rPr>
        <w:t xml:space="preserve">Ils devront répondre aux exigences de la norme EN </w:t>
      </w:r>
      <w:proofErr w:type="gramStart"/>
      <w:r>
        <w:rPr>
          <w:rFonts w:ascii="Calibri" w:hAnsi="Calibri" w:cs="Arial"/>
          <w:bCs/>
          <w:sz w:val="24"/>
          <w:szCs w:val="24"/>
        </w:rPr>
        <w:t>14683:</w:t>
      </w:r>
      <w:proofErr w:type="gramEnd"/>
      <w:r>
        <w:rPr>
          <w:rFonts w:ascii="Calibri" w:hAnsi="Calibri" w:cs="Arial"/>
          <w:bCs/>
          <w:sz w:val="24"/>
          <w:szCs w:val="24"/>
        </w:rPr>
        <w:t>2019+AC:2019</w:t>
      </w:r>
    </w:p>
    <w:p>
      <w:pPr>
        <w:spacing w:line="240" w:lineRule="auto"/>
        <w:jc w:val="left"/>
        <w:rPr>
          <w:rFonts w:ascii="Calibri" w:hAnsi="Calibri" w:cs="Arial"/>
          <w:b/>
          <w:sz w:val="24"/>
          <w:szCs w:val="24"/>
          <w:u w:val="single"/>
        </w:rPr>
      </w:pPr>
    </w:p>
    <w:p>
      <w:pPr>
        <w:spacing w:line="240" w:lineRule="auto"/>
        <w:jc w:val="left"/>
        <w:rPr>
          <w:rFonts w:ascii="Calibri" w:hAnsi="Calibri" w:cs="Arial"/>
          <w:b/>
          <w:sz w:val="24"/>
          <w:szCs w:val="24"/>
          <w:u w:val="single"/>
        </w:rPr>
      </w:pPr>
      <w:r>
        <w:rPr>
          <w:rFonts w:ascii="Calibri" w:hAnsi="Calibri" w:cs="Arial"/>
          <w:b/>
          <w:sz w:val="24"/>
          <w:szCs w:val="24"/>
          <w:u w:val="single"/>
        </w:rPr>
        <w:t>ARTICLE 3 – ALLOTISSEMENT – DESCRIPTIF TECHNIQUE</w:t>
      </w:r>
    </w:p>
    <w:p>
      <w:pPr>
        <w:spacing w:line="240" w:lineRule="auto"/>
        <w:jc w:val="left"/>
        <w:rPr>
          <w:rFonts w:ascii="Calibri" w:hAnsi="Calibri" w:cs="Arial"/>
          <w:b/>
          <w:sz w:val="24"/>
          <w:szCs w:val="24"/>
          <w:u w:val="single"/>
        </w:rPr>
      </w:pPr>
    </w:p>
    <w:p>
      <w:pPr>
        <w:spacing w:line="240" w:lineRule="auto"/>
        <w:ind w:firstLine="708"/>
        <w:jc w:val="left"/>
        <w:rPr>
          <w:rFonts w:ascii="Calibri" w:hAnsi="Calibri" w:cs="Arial"/>
          <w:bCs/>
          <w:sz w:val="24"/>
          <w:szCs w:val="24"/>
          <w:u w:val="single"/>
        </w:rPr>
      </w:pPr>
      <w:r>
        <w:rPr>
          <w:rFonts w:ascii="Calibri" w:hAnsi="Calibri" w:cs="Arial"/>
          <w:bCs/>
          <w:sz w:val="24"/>
          <w:szCs w:val="24"/>
          <w:u w:val="single"/>
        </w:rPr>
        <w:t>3.1. Lot 1 : Masques de chirurgie pédiatriques</w:t>
      </w:r>
    </w:p>
    <w:p>
      <w:pPr>
        <w:spacing w:line="240" w:lineRule="auto"/>
        <w:ind w:firstLine="708"/>
        <w:jc w:val="left"/>
        <w:rPr>
          <w:rFonts w:ascii="Calibri" w:hAnsi="Calibri" w:cs="Arial"/>
          <w:bCs/>
          <w:sz w:val="24"/>
          <w:szCs w:val="24"/>
          <w:u w:val="single"/>
        </w:rPr>
      </w:pPr>
    </w:p>
    <w:p>
      <w:pPr>
        <w:pStyle w:val="Paragraphedeliste"/>
        <w:numPr>
          <w:ilvl w:val="0"/>
          <w:numId w:val="14"/>
        </w:numPr>
        <w:spacing w:line="240" w:lineRule="auto"/>
        <w:jc w:val="left"/>
        <w:rPr>
          <w:rFonts w:ascii="Calibri" w:hAnsi="Calibri" w:cs="Arial"/>
          <w:bCs/>
          <w:sz w:val="24"/>
          <w:szCs w:val="24"/>
        </w:rPr>
      </w:pPr>
      <w:r>
        <w:rPr>
          <w:rFonts w:ascii="Calibri" w:hAnsi="Calibri" w:cs="Arial"/>
          <w:bCs/>
          <w:sz w:val="24"/>
          <w:szCs w:val="24"/>
        </w:rPr>
        <w:t>Type : masque chirurgical de type II</w:t>
      </w:r>
    </w:p>
    <w:p>
      <w:pPr>
        <w:pStyle w:val="Paragraphedeliste"/>
        <w:numPr>
          <w:ilvl w:val="0"/>
          <w:numId w:val="14"/>
        </w:numPr>
        <w:spacing w:line="240" w:lineRule="auto"/>
        <w:jc w:val="left"/>
        <w:rPr>
          <w:rFonts w:ascii="Calibri" w:hAnsi="Calibri" w:cs="Arial"/>
          <w:bCs/>
          <w:sz w:val="24"/>
          <w:szCs w:val="24"/>
        </w:rPr>
      </w:pPr>
      <w:r>
        <w:rPr>
          <w:rFonts w:ascii="Calibri" w:hAnsi="Calibri" w:cs="Arial"/>
          <w:bCs/>
          <w:sz w:val="24"/>
          <w:szCs w:val="24"/>
        </w:rPr>
        <w:t>Format : pédiatrique, adapté aux visages d’enfants (dimensions réduites)</w:t>
      </w:r>
    </w:p>
    <w:p>
      <w:pPr>
        <w:pStyle w:val="Paragraphedeliste"/>
        <w:numPr>
          <w:ilvl w:val="0"/>
          <w:numId w:val="14"/>
        </w:numPr>
        <w:spacing w:line="240" w:lineRule="auto"/>
        <w:jc w:val="left"/>
        <w:rPr>
          <w:rFonts w:ascii="Calibri" w:hAnsi="Calibri" w:cs="Arial"/>
          <w:bCs/>
          <w:sz w:val="24"/>
          <w:szCs w:val="24"/>
        </w:rPr>
      </w:pPr>
      <w:r>
        <w:rPr>
          <w:rFonts w:ascii="Calibri" w:hAnsi="Calibri" w:cs="Arial"/>
          <w:bCs/>
          <w:sz w:val="24"/>
          <w:szCs w:val="24"/>
        </w:rPr>
        <w:t>Tailles : 1 à 5 ans et 6 à 12 ans</w:t>
      </w:r>
    </w:p>
    <w:p>
      <w:pPr>
        <w:pStyle w:val="Paragraphedeliste"/>
        <w:numPr>
          <w:ilvl w:val="0"/>
          <w:numId w:val="14"/>
        </w:numPr>
        <w:spacing w:line="240" w:lineRule="auto"/>
        <w:jc w:val="left"/>
        <w:rPr>
          <w:rFonts w:ascii="Calibri" w:hAnsi="Calibri" w:cs="Arial"/>
          <w:bCs/>
          <w:sz w:val="24"/>
          <w:szCs w:val="24"/>
        </w:rPr>
      </w:pPr>
      <w:r>
        <w:rPr>
          <w:rFonts w:ascii="Calibri" w:hAnsi="Calibri" w:cs="Arial"/>
          <w:bCs/>
          <w:sz w:val="24"/>
          <w:szCs w:val="24"/>
        </w:rPr>
        <w:t>Fixation : élastiques auriculaires souples</w:t>
      </w:r>
    </w:p>
    <w:p>
      <w:pPr>
        <w:pStyle w:val="Paragraphedeliste"/>
        <w:numPr>
          <w:ilvl w:val="0"/>
          <w:numId w:val="14"/>
        </w:numPr>
        <w:spacing w:line="240" w:lineRule="auto"/>
        <w:jc w:val="left"/>
        <w:rPr>
          <w:rFonts w:ascii="Calibri" w:hAnsi="Calibri" w:cs="Arial"/>
          <w:bCs/>
          <w:sz w:val="24"/>
          <w:szCs w:val="24"/>
        </w:rPr>
      </w:pPr>
      <w:r>
        <w:rPr>
          <w:rFonts w:ascii="Calibri" w:hAnsi="Calibri" w:cs="Arial"/>
          <w:bCs/>
          <w:sz w:val="24"/>
          <w:szCs w:val="24"/>
        </w:rPr>
        <w:t>Conditionnement : boîte de 50 unités</w:t>
      </w:r>
    </w:p>
    <w:p>
      <w:pPr>
        <w:pStyle w:val="Paragraphedeliste"/>
        <w:numPr>
          <w:ilvl w:val="0"/>
          <w:numId w:val="14"/>
        </w:numPr>
        <w:spacing w:line="240" w:lineRule="auto"/>
        <w:jc w:val="left"/>
        <w:rPr>
          <w:rFonts w:ascii="Calibri" w:hAnsi="Calibri" w:cs="Arial"/>
          <w:bCs/>
          <w:sz w:val="24"/>
          <w:szCs w:val="24"/>
        </w:rPr>
      </w:pPr>
      <w:r>
        <w:rPr>
          <w:rFonts w:ascii="Calibri" w:hAnsi="Calibri" w:cs="Arial"/>
          <w:bCs/>
          <w:sz w:val="24"/>
          <w:szCs w:val="24"/>
        </w:rPr>
        <w:t>Sans latex : matériaux garantis sans latex naturel</w:t>
      </w:r>
    </w:p>
    <w:p>
      <w:pPr>
        <w:pStyle w:val="Paragraphedeliste"/>
        <w:numPr>
          <w:ilvl w:val="0"/>
          <w:numId w:val="14"/>
        </w:numPr>
        <w:spacing w:line="240" w:lineRule="auto"/>
        <w:jc w:val="left"/>
        <w:rPr>
          <w:rFonts w:ascii="Calibri" w:hAnsi="Calibri" w:cs="Arial"/>
          <w:bCs/>
          <w:sz w:val="24"/>
          <w:szCs w:val="24"/>
        </w:rPr>
      </w:pPr>
      <w:r>
        <w:rPr>
          <w:rFonts w:ascii="Calibri" w:hAnsi="Calibri" w:cs="Arial"/>
          <w:bCs/>
          <w:sz w:val="24"/>
          <w:szCs w:val="24"/>
        </w:rPr>
        <w:t>Hypoallergénique : conçu pour limiter les risques d’irritation ou de sensibilisation cutanée</w:t>
      </w:r>
    </w:p>
    <w:p>
      <w:pPr>
        <w:spacing w:line="240" w:lineRule="auto"/>
        <w:jc w:val="left"/>
        <w:rPr>
          <w:rFonts w:ascii="Calibri" w:hAnsi="Calibri" w:cs="Arial"/>
          <w:b/>
          <w:sz w:val="24"/>
          <w:szCs w:val="24"/>
          <w:u w:val="single"/>
        </w:rPr>
      </w:pPr>
    </w:p>
    <w:p>
      <w:pPr>
        <w:spacing w:line="240" w:lineRule="auto"/>
        <w:ind w:firstLine="708"/>
        <w:jc w:val="left"/>
        <w:rPr>
          <w:rFonts w:ascii="Calibri" w:hAnsi="Calibri" w:cs="Arial"/>
          <w:bCs/>
          <w:sz w:val="24"/>
          <w:szCs w:val="24"/>
          <w:u w:val="single"/>
        </w:rPr>
      </w:pPr>
      <w:r>
        <w:rPr>
          <w:rFonts w:ascii="Calibri" w:hAnsi="Calibri" w:cs="Arial"/>
          <w:bCs/>
          <w:sz w:val="24"/>
          <w:szCs w:val="24"/>
          <w:u w:val="single"/>
        </w:rPr>
        <w:t xml:space="preserve">3.2. Lot 2 : Masques de chirurgie adultes </w:t>
      </w:r>
    </w:p>
    <w:p>
      <w:pPr>
        <w:spacing w:line="240" w:lineRule="auto"/>
        <w:jc w:val="left"/>
        <w:rPr>
          <w:rFonts w:ascii="Calibri" w:hAnsi="Calibri" w:cs="Arial"/>
          <w:b/>
          <w:sz w:val="24"/>
          <w:szCs w:val="24"/>
          <w:u w:val="single"/>
        </w:rPr>
      </w:pPr>
    </w:p>
    <w:p>
      <w:pPr>
        <w:tabs>
          <w:tab w:val="left" w:pos="6135"/>
        </w:tabs>
        <w:spacing w:line="240" w:lineRule="auto"/>
        <w:ind w:firstLine="708"/>
        <w:jc w:val="left"/>
        <w:rPr>
          <w:rFonts w:ascii="Calibri" w:hAnsi="Calibri" w:cs="Arial"/>
          <w:bCs/>
          <w:sz w:val="24"/>
          <w:szCs w:val="24"/>
          <w:u w:val="single"/>
        </w:rPr>
      </w:pPr>
      <w:r>
        <w:rPr>
          <w:rFonts w:ascii="Calibri" w:hAnsi="Calibri" w:cs="Arial"/>
          <w:bCs/>
          <w:sz w:val="24"/>
          <w:szCs w:val="24"/>
        </w:rPr>
        <w:t xml:space="preserve">      </w:t>
      </w:r>
      <w:r>
        <w:rPr>
          <w:rFonts w:ascii="Calibri" w:hAnsi="Calibri" w:cs="Arial"/>
          <w:bCs/>
          <w:sz w:val="24"/>
          <w:szCs w:val="24"/>
          <w:u w:val="single"/>
        </w:rPr>
        <w:t>3.2.1. Sous-lot 2.1 : Masques de chirurgie adultes type IIR à liens</w:t>
      </w:r>
    </w:p>
    <w:p>
      <w:pPr>
        <w:tabs>
          <w:tab w:val="left" w:pos="6135"/>
        </w:tabs>
        <w:spacing w:line="240" w:lineRule="auto"/>
        <w:ind w:firstLine="708"/>
        <w:jc w:val="left"/>
        <w:rPr>
          <w:rFonts w:ascii="Calibri" w:hAnsi="Calibri" w:cs="Arial"/>
          <w:bCs/>
          <w:sz w:val="24"/>
          <w:szCs w:val="24"/>
          <w:u w:val="single"/>
        </w:rPr>
      </w:pPr>
    </w:p>
    <w:p>
      <w:pPr>
        <w:pStyle w:val="Paragraphedeliste"/>
        <w:numPr>
          <w:ilvl w:val="0"/>
          <w:numId w:val="13"/>
        </w:numPr>
        <w:tabs>
          <w:tab w:val="left" w:pos="6135"/>
        </w:tabs>
        <w:spacing w:line="240" w:lineRule="auto"/>
        <w:jc w:val="left"/>
        <w:rPr>
          <w:rFonts w:ascii="Calibri" w:hAnsi="Calibri" w:cs="Arial"/>
          <w:bCs/>
          <w:sz w:val="24"/>
          <w:szCs w:val="24"/>
        </w:rPr>
      </w:pPr>
      <w:r>
        <w:rPr>
          <w:rFonts w:ascii="Calibri" w:hAnsi="Calibri" w:cs="Arial"/>
          <w:bCs/>
          <w:sz w:val="24"/>
          <w:szCs w:val="24"/>
        </w:rPr>
        <w:t>Type : masque chirurgical de type IIR</w:t>
      </w:r>
    </w:p>
    <w:p>
      <w:pPr>
        <w:pStyle w:val="Paragraphedeliste"/>
        <w:numPr>
          <w:ilvl w:val="0"/>
          <w:numId w:val="13"/>
        </w:numPr>
        <w:tabs>
          <w:tab w:val="left" w:pos="6135"/>
        </w:tabs>
        <w:spacing w:line="240" w:lineRule="auto"/>
        <w:jc w:val="left"/>
        <w:rPr>
          <w:rFonts w:ascii="Calibri" w:hAnsi="Calibri" w:cs="Arial"/>
          <w:bCs/>
          <w:sz w:val="24"/>
          <w:szCs w:val="24"/>
        </w:rPr>
      </w:pPr>
      <w:r>
        <w:rPr>
          <w:rFonts w:ascii="Calibri" w:hAnsi="Calibri" w:cs="Arial"/>
          <w:bCs/>
          <w:sz w:val="24"/>
          <w:szCs w:val="24"/>
        </w:rPr>
        <w:t>Fixation : à liens, permettant un ajustement sécurisé et stable</w:t>
      </w:r>
    </w:p>
    <w:p>
      <w:pPr>
        <w:pStyle w:val="Paragraphedeliste"/>
        <w:numPr>
          <w:ilvl w:val="0"/>
          <w:numId w:val="13"/>
        </w:numPr>
        <w:tabs>
          <w:tab w:val="left" w:pos="6135"/>
        </w:tabs>
        <w:spacing w:line="240" w:lineRule="auto"/>
        <w:jc w:val="left"/>
        <w:rPr>
          <w:rFonts w:ascii="Calibri" w:hAnsi="Calibri" w:cs="Arial"/>
          <w:bCs/>
          <w:sz w:val="24"/>
          <w:szCs w:val="24"/>
        </w:rPr>
      </w:pPr>
      <w:r>
        <w:rPr>
          <w:rFonts w:ascii="Calibri" w:hAnsi="Calibri" w:cs="Arial"/>
          <w:bCs/>
          <w:sz w:val="24"/>
          <w:szCs w:val="24"/>
        </w:rPr>
        <w:t>Conditionnement : boîte de 50 unités</w:t>
      </w:r>
    </w:p>
    <w:p>
      <w:pPr>
        <w:pStyle w:val="Paragraphedeliste"/>
        <w:numPr>
          <w:ilvl w:val="0"/>
          <w:numId w:val="13"/>
        </w:numPr>
        <w:tabs>
          <w:tab w:val="left" w:pos="6135"/>
        </w:tabs>
        <w:spacing w:line="240" w:lineRule="auto"/>
        <w:jc w:val="left"/>
        <w:rPr>
          <w:rFonts w:ascii="Calibri" w:hAnsi="Calibri" w:cs="Arial"/>
          <w:bCs/>
          <w:sz w:val="24"/>
          <w:szCs w:val="24"/>
        </w:rPr>
      </w:pPr>
      <w:r>
        <w:rPr>
          <w:rFonts w:ascii="Calibri" w:hAnsi="Calibri" w:cs="Arial"/>
          <w:bCs/>
          <w:sz w:val="24"/>
          <w:szCs w:val="24"/>
        </w:rPr>
        <w:t>Sans latex : matériaux garantis sans latex naturel</w:t>
      </w:r>
    </w:p>
    <w:p>
      <w:pPr>
        <w:pStyle w:val="Paragraphedeliste"/>
        <w:numPr>
          <w:ilvl w:val="0"/>
          <w:numId w:val="13"/>
        </w:numPr>
        <w:spacing w:line="240" w:lineRule="auto"/>
        <w:jc w:val="left"/>
        <w:rPr>
          <w:rFonts w:ascii="Calibri" w:hAnsi="Calibri" w:cs="Arial"/>
          <w:bCs/>
          <w:sz w:val="24"/>
          <w:szCs w:val="24"/>
        </w:rPr>
      </w:pPr>
      <w:r>
        <w:rPr>
          <w:rFonts w:ascii="Calibri" w:hAnsi="Calibri" w:cs="Arial"/>
          <w:bCs/>
          <w:sz w:val="24"/>
          <w:szCs w:val="24"/>
        </w:rPr>
        <w:t>Hypoallergénique : conçu pour limiter les risques d’irritation ou de sensibilisation cutanée</w:t>
      </w:r>
    </w:p>
    <w:p>
      <w:pPr>
        <w:pStyle w:val="Paragraphedeliste"/>
        <w:numPr>
          <w:ilvl w:val="0"/>
          <w:numId w:val="13"/>
        </w:numPr>
        <w:spacing w:line="240" w:lineRule="auto"/>
        <w:jc w:val="left"/>
        <w:rPr>
          <w:rFonts w:ascii="Calibri" w:hAnsi="Calibri" w:cs="Arial"/>
          <w:b/>
          <w:sz w:val="24"/>
          <w:szCs w:val="24"/>
          <w:u w:val="single"/>
        </w:rPr>
      </w:pPr>
      <w:r>
        <w:rPr>
          <w:rFonts w:ascii="Calibri" w:hAnsi="Calibri" w:cs="Arial"/>
          <w:bCs/>
          <w:sz w:val="24"/>
          <w:szCs w:val="24"/>
        </w:rPr>
        <w:t>Destiné aux professionnels médicaux et para médicaux, plus particulièrement blocs opératoires et secteurs interventionnels.</w:t>
      </w:r>
    </w:p>
    <w:p>
      <w:pPr>
        <w:tabs>
          <w:tab w:val="left" w:pos="6135"/>
        </w:tabs>
        <w:spacing w:line="240" w:lineRule="auto"/>
        <w:ind w:firstLine="708"/>
        <w:jc w:val="left"/>
        <w:rPr>
          <w:rFonts w:ascii="Calibri" w:hAnsi="Calibri" w:cs="Arial"/>
          <w:bCs/>
          <w:sz w:val="24"/>
          <w:szCs w:val="24"/>
        </w:rPr>
      </w:pPr>
      <w:r>
        <w:rPr>
          <w:rFonts w:ascii="Calibri" w:hAnsi="Calibri" w:cs="Arial"/>
          <w:bCs/>
          <w:sz w:val="24"/>
          <w:szCs w:val="24"/>
        </w:rPr>
        <w:t xml:space="preserve">      </w:t>
      </w:r>
    </w:p>
    <w:p>
      <w:pPr>
        <w:spacing w:line="240" w:lineRule="auto"/>
        <w:jc w:val="left"/>
        <w:rPr>
          <w:rFonts w:ascii="Calibri" w:hAnsi="Calibri" w:cs="Arial"/>
          <w:b/>
          <w:sz w:val="24"/>
          <w:szCs w:val="24"/>
          <w:u w:val="single"/>
        </w:rPr>
      </w:pPr>
    </w:p>
    <w:p>
      <w:pPr>
        <w:spacing w:line="240" w:lineRule="auto"/>
        <w:ind w:firstLine="708"/>
        <w:jc w:val="left"/>
        <w:rPr>
          <w:rFonts w:ascii="Calibri" w:hAnsi="Calibri" w:cs="Arial"/>
          <w:bCs/>
          <w:sz w:val="24"/>
          <w:szCs w:val="24"/>
          <w:u w:val="single"/>
        </w:rPr>
      </w:pPr>
      <w:r>
        <w:rPr>
          <w:rFonts w:ascii="Calibri" w:hAnsi="Calibri" w:cs="Arial"/>
          <w:bCs/>
          <w:sz w:val="24"/>
          <w:szCs w:val="24"/>
        </w:rPr>
        <w:t xml:space="preserve">      </w:t>
      </w:r>
      <w:r>
        <w:rPr>
          <w:rFonts w:ascii="Calibri" w:hAnsi="Calibri" w:cs="Arial"/>
          <w:bCs/>
          <w:sz w:val="24"/>
          <w:szCs w:val="24"/>
          <w:u w:val="single"/>
        </w:rPr>
        <w:t>3.2.2. Sous-lot 2.2 : Masques de chirurgie adultes type IIR à liens avec visière</w:t>
      </w:r>
    </w:p>
    <w:p>
      <w:pPr>
        <w:spacing w:line="240" w:lineRule="auto"/>
        <w:ind w:firstLine="708"/>
        <w:jc w:val="left"/>
        <w:rPr>
          <w:rFonts w:ascii="Calibri" w:hAnsi="Calibri" w:cs="Arial"/>
          <w:bCs/>
          <w:sz w:val="24"/>
          <w:szCs w:val="24"/>
          <w:u w:val="single"/>
        </w:rPr>
      </w:pPr>
    </w:p>
    <w:p>
      <w:pPr>
        <w:pStyle w:val="Paragraphedeliste"/>
        <w:numPr>
          <w:ilvl w:val="0"/>
          <w:numId w:val="13"/>
        </w:numPr>
        <w:tabs>
          <w:tab w:val="left" w:pos="6135"/>
        </w:tabs>
        <w:spacing w:line="240" w:lineRule="auto"/>
        <w:jc w:val="left"/>
        <w:rPr>
          <w:rFonts w:ascii="Calibri" w:hAnsi="Calibri" w:cs="Arial"/>
          <w:bCs/>
          <w:sz w:val="24"/>
          <w:szCs w:val="24"/>
        </w:rPr>
      </w:pPr>
      <w:r>
        <w:rPr>
          <w:rFonts w:ascii="Calibri" w:hAnsi="Calibri" w:cs="Arial"/>
          <w:bCs/>
          <w:sz w:val="24"/>
          <w:szCs w:val="24"/>
        </w:rPr>
        <w:t>Type : masque chirurgical de type IIR avec visière intégrée</w:t>
      </w:r>
    </w:p>
    <w:p>
      <w:pPr>
        <w:pStyle w:val="Paragraphedeliste"/>
        <w:numPr>
          <w:ilvl w:val="0"/>
          <w:numId w:val="13"/>
        </w:numPr>
        <w:tabs>
          <w:tab w:val="left" w:pos="6135"/>
        </w:tabs>
        <w:spacing w:line="240" w:lineRule="auto"/>
        <w:jc w:val="left"/>
        <w:rPr>
          <w:rFonts w:ascii="Calibri" w:hAnsi="Calibri" w:cs="Arial"/>
          <w:bCs/>
          <w:sz w:val="24"/>
          <w:szCs w:val="24"/>
        </w:rPr>
      </w:pPr>
      <w:r>
        <w:rPr>
          <w:rFonts w:ascii="Calibri" w:hAnsi="Calibri" w:cs="Arial"/>
          <w:bCs/>
          <w:sz w:val="24"/>
          <w:szCs w:val="24"/>
        </w:rPr>
        <w:t>Fixation : à liens, assurant un ajustement stable et sécurisé</w:t>
      </w:r>
    </w:p>
    <w:p>
      <w:pPr>
        <w:pStyle w:val="Paragraphedeliste"/>
        <w:numPr>
          <w:ilvl w:val="0"/>
          <w:numId w:val="13"/>
        </w:numPr>
        <w:tabs>
          <w:tab w:val="left" w:pos="6135"/>
        </w:tabs>
        <w:spacing w:line="240" w:lineRule="auto"/>
        <w:jc w:val="left"/>
        <w:rPr>
          <w:rFonts w:ascii="Calibri" w:hAnsi="Calibri" w:cs="Arial"/>
          <w:bCs/>
          <w:sz w:val="24"/>
          <w:szCs w:val="24"/>
        </w:rPr>
      </w:pPr>
      <w:r>
        <w:rPr>
          <w:rFonts w:ascii="Calibri" w:hAnsi="Calibri" w:cs="Arial"/>
          <w:bCs/>
          <w:sz w:val="24"/>
          <w:szCs w:val="24"/>
        </w:rPr>
        <w:t>Conditionnement : boîte de 50 unités</w:t>
      </w:r>
    </w:p>
    <w:p>
      <w:pPr>
        <w:pStyle w:val="Paragraphedeliste"/>
        <w:numPr>
          <w:ilvl w:val="0"/>
          <w:numId w:val="13"/>
        </w:numPr>
        <w:tabs>
          <w:tab w:val="left" w:pos="6135"/>
        </w:tabs>
        <w:spacing w:line="240" w:lineRule="auto"/>
        <w:jc w:val="left"/>
        <w:rPr>
          <w:rFonts w:ascii="Calibri" w:hAnsi="Calibri" w:cs="Arial"/>
          <w:bCs/>
          <w:sz w:val="24"/>
          <w:szCs w:val="24"/>
        </w:rPr>
      </w:pPr>
      <w:r>
        <w:rPr>
          <w:rFonts w:ascii="Calibri" w:hAnsi="Calibri" w:cs="Arial"/>
          <w:bCs/>
          <w:sz w:val="24"/>
          <w:szCs w:val="24"/>
        </w:rPr>
        <w:t xml:space="preserve">Visière : intégrée, transparente, </w:t>
      </w:r>
      <w:proofErr w:type="spellStart"/>
      <w:r>
        <w:rPr>
          <w:rFonts w:ascii="Calibri" w:hAnsi="Calibri" w:cs="Arial"/>
          <w:bCs/>
          <w:sz w:val="24"/>
          <w:szCs w:val="24"/>
        </w:rPr>
        <w:t>anti-buée</w:t>
      </w:r>
      <w:proofErr w:type="spellEnd"/>
      <w:r>
        <w:rPr>
          <w:rFonts w:ascii="Calibri" w:hAnsi="Calibri" w:cs="Arial"/>
          <w:bCs/>
          <w:sz w:val="24"/>
          <w:szCs w:val="24"/>
        </w:rPr>
        <w:t>, couvrant les yeux et le haut du visage</w:t>
      </w:r>
    </w:p>
    <w:p>
      <w:pPr>
        <w:pStyle w:val="Paragraphedeliste"/>
        <w:numPr>
          <w:ilvl w:val="0"/>
          <w:numId w:val="13"/>
        </w:numPr>
        <w:tabs>
          <w:tab w:val="left" w:pos="6135"/>
        </w:tabs>
        <w:spacing w:line="240" w:lineRule="auto"/>
        <w:jc w:val="left"/>
        <w:rPr>
          <w:rFonts w:ascii="Calibri" w:hAnsi="Calibri" w:cs="Arial"/>
          <w:bCs/>
          <w:sz w:val="24"/>
          <w:szCs w:val="24"/>
        </w:rPr>
      </w:pPr>
      <w:r>
        <w:rPr>
          <w:rFonts w:ascii="Calibri" w:hAnsi="Calibri" w:cs="Arial"/>
          <w:bCs/>
          <w:sz w:val="24"/>
          <w:szCs w:val="24"/>
        </w:rPr>
        <w:lastRenderedPageBreak/>
        <w:t>Sans latex : matériaux garantis sans latex naturel</w:t>
      </w:r>
    </w:p>
    <w:p>
      <w:pPr>
        <w:pStyle w:val="Paragraphedeliste"/>
        <w:numPr>
          <w:ilvl w:val="0"/>
          <w:numId w:val="13"/>
        </w:numPr>
        <w:tabs>
          <w:tab w:val="left" w:pos="6135"/>
        </w:tabs>
        <w:spacing w:line="240" w:lineRule="auto"/>
        <w:jc w:val="left"/>
        <w:rPr>
          <w:rFonts w:ascii="Calibri" w:hAnsi="Calibri" w:cs="Arial"/>
          <w:bCs/>
          <w:sz w:val="24"/>
          <w:szCs w:val="24"/>
        </w:rPr>
      </w:pPr>
      <w:r>
        <w:rPr>
          <w:rFonts w:ascii="Calibri" w:hAnsi="Calibri" w:cs="Arial"/>
          <w:bCs/>
          <w:sz w:val="24"/>
          <w:szCs w:val="24"/>
        </w:rPr>
        <w:t>Hypoallergénique : conçu pour limiter les risques d’irritation ou de sensibilisation cutanée</w:t>
      </w:r>
    </w:p>
    <w:p>
      <w:pPr>
        <w:pStyle w:val="Paragraphedeliste"/>
        <w:numPr>
          <w:ilvl w:val="0"/>
          <w:numId w:val="13"/>
        </w:numPr>
        <w:spacing w:line="240" w:lineRule="auto"/>
        <w:jc w:val="left"/>
        <w:rPr>
          <w:rFonts w:ascii="Calibri" w:hAnsi="Calibri" w:cs="Arial"/>
          <w:b/>
          <w:sz w:val="24"/>
          <w:szCs w:val="24"/>
          <w:u w:val="single"/>
        </w:rPr>
      </w:pPr>
      <w:r>
        <w:rPr>
          <w:rFonts w:ascii="Calibri" w:hAnsi="Calibri" w:cs="Arial"/>
          <w:bCs/>
          <w:sz w:val="24"/>
          <w:szCs w:val="24"/>
        </w:rPr>
        <w:t>Destiné aux professionnels médicaux et para médicaux, plus particulièrement blocs opératoires et secteurs interventionnels</w:t>
      </w:r>
    </w:p>
    <w:p>
      <w:pPr>
        <w:spacing w:line="240" w:lineRule="auto"/>
        <w:jc w:val="left"/>
        <w:rPr>
          <w:rFonts w:ascii="Calibri" w:hAnsi="Calibri" w:cs="Arial"/>
          <w:b/>
          <w:sz w:val="24"/>
          <w:szCs w:val="24"/>
          <w:u w:val="single"/>
        </w:rPr>
      </w:pPr>
    </w:p>
    <w:p>
      <w:pPr>
        <w:spacing w:line="240" w:lineRule="auto"/>
        <w:rPr>
          <w:rFonts w:cs="Arial"/>
          <w:sz w:val="24"/>
          <w:szCs w:val="24"/>
        </w:rPr>
      </w:pPr>
    </w:p>
    <w:p>
      <w:pPr>
        <w:spacing w:line="240" w:lineRule="auto"/>
        <w:rPr>
          <w:rFonts w:cs="Arial"/>
          <w:b/>
          <w:sz w:val="24"/>
          <w:szCs w:val="24"/>
          <w:u w:val="single"/>
        </w:rPr>
      </w:pPr>
      <w:r>
        <w:rPr>
          <w:rFonts w:cs="Arial"/>
          <w:b/>
          <w:sz w:val="24"/>
          <w:szCs w:val="24"/>
          <w:u w:val="single"/>
        </w:rPr>
        <w:t>ARTICLE 4 - LOGISTIQUE</w:t>
      </w:r>
    </w:p>
    <w:p>
      <w:pPr>
        <w:spacing w:line="240" w:lineRule="auto"/>
        <w:rPr>
          <w:rFonts w:cs="Arial"/>
          <w:sz w:val="24"/>
          <w:szCs w:val="24"/>
        </w:rPr>
      </w:pPr>
    </w:p>
    <w:p>
      <w:pPr>
        <w:spacing w:line="240" w:lineRule="auto"/>
        <w:rPr>
          <w:rFonts w:cs="Arial"/>
          <w:sz w:val="24"/>
          <w:szCs w:val="24"/>
        </w:rPr>
      </w:pPr>
      <w:r>
        <w:rPr>
          <w:rFonts w:cs="Arial"/>
          <w:sz w:val="24"/>
          <w:szCs w:val="24"/>
        </w:rPr>
        <w:t xml:space="preserve">Le candidat présentera un mémoire technique de </w:t>
      </w:r>
      <w:r>
        <w:rPr>
          <w:rFonts w:cs="Arial"/>
          <w:sz w:val="24"/>
          <w:szCs w:val="24"/>
          <w:u w:val="single"/>
        </w:rPr>
        <w:t>20 pages maximum</w:t>
      </w:r>
      <w:r>
        <w:rPr>
          <w:rFonts w:cs="Arial"/>
          <w:sz w:val="24"/>
          <w:szCs w:val="24"/>
        </w:rPr>
        <w:t xml:space="preserve"> décrivant sa chaîne d’approvisionnement ainsi que ses capacités et conditions de stockage et de livraison.</w:t>
      </w:r>
    </w:p>
    <w:p>
      <w:pPr>
        <w:tabs>
          <w:tab w:val="left" w:pos="5475"/>
        </w:tabs>
        <w:spacing w:line="240" w:lineRule="auto"/>
        <w:rPr>
          <w:rFonts w:cs="Arial"/>
          <w:sz w:val="24"/>
          <w:szCs w:val="24"/>
        </w:rPr>
      </w:pPr>
      <w:r>
        <w:rPr>
          <w:rFonts w:cs="Arial"/>
          <w:sz w:val="24"/>
          <w:szCs w:val="24"/>
        </w:rPr>
        <w:tab/>
      </w:r>
    </w:p>
    <w:p>
      <w:pPr>
        <w:spacing w:line="240" w:lineRule="auto"/>
        <w:rPr>
          <w:rFonts w:cs="Arial"/>
          <w:b/>
          <w:sz w:val="24"/>
          <w:szCs w:val="24"/>
          <w:u w:val="single"/>
        </w:rPr>
      </w:pPr>
      <w:r>
        <w:rPr>
          <w:rFonts w:cs="Arial"/>
          <w:b/>
          <w:sz w:val="24"/>
          <w:szCs w:val="24"/>
          <w:u w:val="single"/>
        </w:rPr>
        <w:t>Article 5 - STOCK DE SECURITE</w:t>
      </w:r>
    </w:p>
    <w:p>
      <w:pPr>
        <w:spacing w:line="240" w:lineRule="auto"/>
        <w:rPr>
          <w:rFonts w:cs="Arial"/>
          <w:sz w:val="24"/>
          <w:szCs w:val="24"/>
        </w:rPr>
      </w:pPr>
    </w:p>
    <w:p>
      <w:pPr>
        <w:spacing w:line="240" w:lineRule="auto"/>
        <w:rPr>
          <w:rFonts w:cs="Arial"/>
          <w:sz w:val="24"/>
          <w:szCs w:val="24"/>
        </w:rPr>
      </w:pPr>
      <w:r>
        <w:rPr>
          <w:rFonts w:cs="Arial"/>
          <w:sz w:val="24"/>
          <w:szCs w:val="24"/>
        </w:rPr>
        <w:t xml:space="preserve">Un stock de sécurité devra être localisé sur le territoire des états membre de l’union européenne, afin de maximiser la sécurité d’approvisionnement en masques pour l’ensemble des membres du groupement conformément à l’article L2112-4 du code de la commande publique.    </w:t>
      </w:r>
    </w:p>
    <w:p>
      <w:pPr>
        <w:spacing w:line="240" w:lineRule="auto"/>
        <w:rPr>
          <w:rFonts w:cs="Arial"/>
          <w:sz w:val="24"/>
          <w:szCs w:val="24"/>
        </w:rPr>
      </w:pPr>
    </w:p>
    <w:p>
      <w:pPr>
        <w:spacing w:line="240" w:lineRule="auto"/>
        <w:rPr>
          <w:rFonts w:cs="Arial"/>
          <w:sz w:val="24"/>
          <w:szCs w:val="24"/>
        </w:rPr>
      </w:pPr>
      <w:r>
        <w:rPr>
          <w:rFonts w:cs="Arial"/>
          <w:sz w:val="24"/>
          <w:szCs w:val="24"/>
        </w:rPr>
        <w:t>Le stock demeure la propriété du titulaire. Il n’est pas la propriété du coordonnateur, ni des membres du groupement, sauf dans la mesure où il est utilisé pour procéder à des livraisons et que celles-ci donnent lieu à admission.</w:t>
      </w:r>
    </w:p>
    <w:p>
      <w:pPr>
        <w:spacing w:line="240" w:lineRule="auto"/>
        <w:rPr>
          <w:rFonts w:cs="Arial"/>
          <w:sz w:val="24"/>
          <w:szCs w:val="24"/>
        </w:rPr>
      </w:pPr>
    </w:p>
    <w:p>
      <w:pPr>
        <w:spacing w:line="240" w:lineRule="auto"/>
        <w:rPr>
          <w:rFonts w:cs="Arial"/>
          <w:sz w:val="24"/>
          <w:szCs w:val="24"/>
        </w:rPr>
      </w:pPr>
      <w:r>
        <w:rPr>
          <w:rFonts w:cs="Arial"/>
          <w:sz w:val="24"/>
          <w:szCs w:val="24"/>
        </w:rPr>
        <w:t xml:space="preserve">Le candidat proposera dans son offre le volume du stock tampon qui lui semble pertinent au vu du volume des quantités estimatives non contractuelles données dans le BPU. Le stock de sécurité pourra être modifié d’un commun accord entre le coordonnateur et le titulaire lors de la mise en place du marché, et selon l’évolution du contexte sanitaire. </w:t>
      </w:r>
    </w:p>
    <w:p>
      <w:pPr>
        <w:spacing w:line="240" w:lineRule="auto"/>
        <w:rPr>
          <w:rFonts w:cs="Arial"/>
          <w:sz w:val="24"/>
          <w:szCs w:val="24"/>
        </w:rPr>
      </w:pPr>
    </w:p>
    <w:p>
      <w:pPr>
        <w:spacing w:line="240" w:lineRule="auto"/>
        <w:rPr>
          <w:rFonts w:cs="Arial"/>
          <w:sz w:val="24"/>
          <w:szCs w:val="24"/>
        </w:rPr>
      </w:pPr>
      <w:r>
        <w:rPr>
          <w:rFonts w:cs="Arial"/>
          <w:sz w:val="24"/>
          <w:szCs w:val="24"/>
        </w:rPr>
        <w:t>Le titulaire devra informer de l’avancement du stock de sécurité qui doit être complet au plus tard 2 mois après la prise d’effet du marché.</w:t>
      </w:r>
    </w:p>
    <w:p>
      <w:pPr>
        <w:spacing w:line="240" w:lineRule="auto"/>
        <w:rPr>
          <w:rFonts w:cs="Arial"/>
          <w:sz w:val="24"/>
          <w:szCs w:val="24"/>
        </w:rPr>
      </w:pPr>
    </w:p>
    <w:p>
      <w:pPr>
        <w:spacing w:line="240" w:lineRule="auto"/>
        <w:rPr>
          <w:rFonts w:cs="Arial"/>
          <w:sz w:val="24"/>
          <w:szCs w:val="24"/>
        </w:rPr>
      </w:pPr>
      <w:r>
        <w:rPr>
          <w:rFonts w:cs="Arial"/>
          <w:sz w:val="24"/>
          <w:szCs w:val="24"/>
        </w:rPr>
        <w:t xml:space="preserve">Le titulaire devra informer régulièrement le coordonnateur du groupement de l’état des stocks. </w:t>
      </w:r>
    </w:p>
    <w:p>
      <w:pPr>
        <w:spacing w:line="240" w:lineRule="auto"/>
        <w:rPr>
          <w:rFonts w:cs="Arial"/>
          <w:sz w:val="24"/>
          <w:szCs w:val="24"/>
        </w:rPr>
      </w:pPr>
    </w:p>
    <w:p>
      <w:pPr>
        <w:spacing w:line="240" w:lineRule="auto"/>
        <w:rPr>
          <w:rFonts w:eastAsia="Times New Roman" w:cstheme="minorHAnsi"/>
          <w:b/>
          <w:bCs/>
          <w:iCs/>
          <w:lang w:eastAsia="fr-FR"/>
        </w:rPr>
      </w:pPr>
    </w:p>
    <w:sectPr>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549662"/>
      <w:docPartObj>
        <w:docPartGallery w:val="Page Numbers (Bottom of Page)"/>
        <w:docPartUnique/>
      </w:docPartObj>
    </w:sdtPr>
    <w:sdtContent>
      <w:p>
        <w:pPr>
          <w:pStyle w:val="Pieddepage"/>
          <w:jc w:val="right"/>
        </w:pPr>
        <w:r>
          <w:fldChar w:fldCharType="begin"/>
        </w:r>
        <w:r>
          <w:instrText>PAGE   \* MERGEFORMAT</w:instrText>
        </w:r>
        <w:r>
          <w:fldChar w:fldCharType="separate"/>
        </w:r>
        <w:r>
          <w:rPr>
            <w:noProof/>
          </w:rPr>
          <w:t>1</w:t>
        </w:r>
        <w:r>
          <w:fldChar w:fldCharType="end"/>
        </w:r>
      </w:p>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line="240" w:lineRule="auto"/>
      </w:pPr>
      <w:r>
        <w:separator/>
      </w:r>
    </w:p>
  </w:footnote>
  <w:footnote w:type="continuationSeparator" w:id="0">
    <w:p>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D6678"/>
    <w:multiLevelType w:val="multilevel"/>
    <w:tmpl w:val="C18ED9A4"/>
    <w:lvl w:ilvl="0">
      <w:start w:val="2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9D66324"/>
    <w:multiLevelType w:val="hybridMultilevel"/>
    <w:tmpl w:val="72D82DF4"/>
    <w:lvl w:ilvl="0" w:tplc="80B0503C">
      <w:start w:val="1"/>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26F24E9E"/>
    <w:multiLevelType w:val="multilevel"/>
    <w:tmpl w:val="7A4E746A"/>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B632F21"/>
    <w:multiLevelType w:val="hybridMultilevel"/>
    <w:tmpl w:val="5120B19C"/>
    <w:lvl w:ilvl="0" w:tplc="3DE6203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4F6F79"/>
    <w:multiLevelType w:val="hybridMultilevel"/>
    <w:tmpl w:val="AF7809E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C193C3C"/>
    <w:multiLevelType w:val="multilevel"/>
    <w:tmpl w:val="F682695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3543AC8"/>
    <w:multiLevelType w:val="hybridMultilevel"/>
    <w:tmpl w:val="4802E5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ADA4F98"/>
    <w:multiLevelType w:val="hybridMultilevel"/>
    <w:tmpl w:val="7E0C2112"/>
    <w:lvl w:ilvl="0" w:tplc="D0FE1C06">
      <w:start w:val="3"/>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4BE24FC5"/>
    <w:multiLevelType w:val="multilevel"/>
    <w:tmpl w:val="11C4E6A2"/>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8BF6276"/>
    <w:multiLevelType w:val="hybridMultilevel"/>
    <w:tmpl w:val="E4B80B96"/>
    <w:lvl w:ilvl="0" w:tplc="9E4A2496">
      <w:start w:val="3"/>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601C5172"/>
    <w:multiLevelType w:val="hybridMultilevel"/>
    <w:tmpl w:val="2F228604"/>
    <w:lvl w:ilvl="0" w:tplc="C6A8AAF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3B84972"/>
    <w:multiLevelType w:val="multilevel"/>
    <w:tmpl w:val="C08E8E1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A8702D7"/>
    <w:multiLevelType w:val="hybridMultilevel"/>
    <w:tmpl w:val="6930ED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DBF7499"/>
    <w:multiLevelType w:val="hybridMultilevel"/>
    <w:tmpl w:val="6DDE6E04"/>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0"/>
  </w:num>
  <w:num w:numId="3">
    <w:abstractNumId w:val="4"/>
  </w:num>
  <w:num w:numId="4">
    <w:abstractNumId w:val="2"/>
  </w:num>
  <w:num w:numId="5">
    <w:abstractNumId w:val="0"/>
  </w:num>
  <w:num w:numId="6">
    <w:abstractNumId w:val="8"/>
  </w:num>
  <w:num w:numId="7">
    <w:abstractNumId w:val="11"/>
  </w:num>
  <w:num w:numId="8">
    <w:abstractNumId w:val="6"/>
  </w:num>
  <w:num w:numId="9">
    <w:abstractNumId w:val="12"/>
  </w:num>
  <w:num w:numId="10">
    <w:abstractNumId w:val="13"/>
  </w:num>
  <w:num w:numId="11">
    <w:abstractNumId w:val="5"/>
  </w:num>
  <w:num w:numId="12">
    <w:abstractNumId w:val="1"/>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384045-662D-4736-AAFC-0D1F2A7ED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line="240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 w:type="character" w:styleId="lev">
    <w:name w:val="Strong"/>
    <w:basedOn w:val="Policepardfaut"/>
    <w:uiPriority w:val="22"/>
    <w:qFormat/>
    <w:rPr>
      <w:b/>
      <w:bCs/>
    </w:rPr>
  </w:style>
  <w:style w:type="paragraph" w:styleId="En-tte">
    <w:name w:val="header"/>
    <w:basedOn w:val="Normal"/>
    <w:link w:val="En-tteCar"/>
    <w:uiPriority w:val="99"/>
    <w:unhideWhenUsed/>
    <w:pPr>
      <w:tabs>
        <w:tab w:val="center" w:pos="4536"/>
        <w:tab w:val="right" w:pos="9072"/>
      </w:tabs>
      <w:spacing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line="240" w:lineRule="auto"/>
    </w:pPr>
  </w:style>
  <w:style w:type="character" w:customStyle="1" w:styleId="PieddepageCar">
    <w:name w:val="Pied de page Car"/>
    <w:basedOn w:val="Policepardfaut"/>
    <w:link w:val="Pieddepage"/>
    <w:uiPriority w:val="99"/>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3284">
      <w:bodyDiv w:val="1"/>
      <w:marLeft w:val="0"/>
      <w:marRight w:val="0"/>
      <w:marTop w:val="0"/>
      <w:marBottom w:val="0"/>
      <w:divBdr>
        <w:top w:val="none" w:sz="0" w:space="0" w:color="auto"/>
        <w:left w:val="none" w:sz="0" w:space="0" w:color="auto"/>
        <w:bottom w:val="none" w:sz="0" w:space="0" w:color="auto"/>
        <w:right w:val="none" w:sz="0" w:space="0" w:color="auto"/>
      </w:divBdr>
    </w:div>
    <w:div w:id="374698854">
      <w:bodyDiv w:val="1"/>
      <w:marLeft w:val="0"/>
      <w:marRight w:val="0"/>
      <w:marTop w:val="0"/>
      <w:marBottom w:val="0"/>
      <w:divBdr>
        <w:top w:val="none" w:sz="0" w:space="0" w:color="auto"/>
        <w:left w:val="none" w:sz="0" w:space="0" w:color="auto"/>
        <w:bottom w:val="none" w:sz="0" w:space="0" w:color="auto"/>
        <w:right w:val="none" w:sz="0" w:space="0" w:color="auto"/>
      </w:divBdr>
    </w:div>
    <w:div w:id="386877551">
      <w:bodyDiv w:val="1"/>
      <w:marLeft w:val="0"/>
      <w:marRight w:val="0"/>
      <w:marTop w:val="0"/>
      <w:marBottom w:val="0"/>
      <w:divBdr>
        <w:top w:val="none" w:sz="0" w:space="0" w:color="auto"/>
        <w:left w:val="none" w:sz="0" w:space="0" w:color="auto"/>
        <w:bottom w:val="none" w:sz="0" w:space="0" w:color="auto"/>
        <w:right w:val="none" w:sz="0" w:space="0" w:color="auto"/>
      </w:divBdr>
    </w:div>
    <w:div w:id="1224364994">
      <w:bodyDiv w:val="1"/>
      <w:marLeft w:val="0"/>
      <w:marRight w:val="0"/>
      <w:marTop w:val="0"/>
      <w:marBottom w:val="0"/>
      <w:divBdr>
        <w:top w:val="none" w:sz="0" w:space="0" w:color="auto"/>
        <w:left w:val="none" w:sz="0" w:space="0" w:color="auto"/>
        <w:bottom w:val="none" w:sz="0" w:space="0" w:color="auto"/>
        <w:right w:val="none" w:sz="0" w:space="0" w:color="auto"/>
      </w:divBdr>
    </w:div>
    <w:div w:id="1750613106">
      <w:bodyDiv w:val="1"/>
      <w:marLeft w:val="0"/>
      <w:marRight w:val="0"/>
      <w:marTop w:val="0"/>
      <w:marBottom w:val="0"/>
      <w:divBdr>
        <w:top w:val="none" w:sz="0" w:space="0" w:color="auto"/>
        <w:left w:val="none" w:sz="0" w:space="0" w:color="auto"/>
        <w:bottom w:val="none" w:sz="0" w:space="0" w:color="auto"/>
        <w:right w:val="none" w:sz="0" w:space="0" w:color="auto"/>
      </w:divBdr>
    </w:div>
    <w:div w:id="1927349175">
      <w:bodyDiv w:val="1"/>
      <w:marLeft w:val="0"/>
      <w:marRight w:val="0"/>
      <w:marTop w:val="0"/>
      <w:marBottom w:val="0"/>
      <w:divBdr>
        <w:top w:val="none" w:sz="0" w:space="0" w:color="auto"/>
        <w:left w:val="none" w:sz="0" w:space="0" w:color="auto"/>
        <w:bottom w:val="none" w:sz="0" w:space="0" w:color="auto"/>
        <w:right w:val="none" w:sz="0" w:space="0" w:color="auto"/>
      </w:divBdr>
    </w:div>
    <w:div w:id="196438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EEE07-FA83-4553-8DCC-D82C8EE28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Pages>
  <Words>646</Words>
  <Characters>3558</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CHRU de Besançon</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MONDOLONI</dc:creator>
  <cp:keywords/>
  <dc:description/>
  <cp:lastModifiedBy>Marie Blandin</cp:lastModifiedBy>
  <cp:revision>21</cp:revision>
  <dcterms:created xsi:type="dcterms:W3CDTF">2025-10-14T14:31:00Z</dcterms:created>
  <dcterms:modified xsi:type="dcterms:W3CDTF">2025-10-31T14:19:00Z</dcterms:modified>
</cp:coreProperties>
</file>