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ind w:left="1000" w:right="1000"/>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76.5pt">
            <v:imagedata r:id="rId6" o:title=""/>
          </v:shape>
        </w:pict>
      </w:r>
    </w:p>
    <w:p>
      <w:pPr>
        <w:spacing w:after="160" w:line="240" w:lineRule="exact"/>
      </w:pPr>
    </w:p>
    <w:tbl>
      <w:tblPr>
        <w:tblW w:w="0" w:type="auto"/>
        <w:tblLayout w:type="fixed"/>
        <w:tblLook w:val="04A0" w:firstRow="1" w:lastRow="0" w:firstColumn="1" w:lastColumn="0" w:noHBand="0" w:noVBand="1"/>
      </w:tblPr>
      <w:tblGrid>
        <w:gridCol w:w="9620"/>
      </w:tblGrid>
      <w:tr>
        <w:tc>
          <w:tcPr>
            <w:tcW w:w="9620" w:type="dxa"/>
            <w:shd w:val="clear" w:color="666553" w:fill="666553"/>
            <w:tcMar>
              <w:top w:w="30" w:type="dxa"/>
              <w:left w:w="0" w:type="dxa"/>
              <w:bottom w:w="0" w:type="dxa"/>
              <w:right w:w="0" w:type="dxa"/>
            </w:tcMar>
            <w:vAlign w:val="center"/>
          </w:tcPr>
          <w:p>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pPr>
        <w:spacing w:line="240" w:lineRule="exact"/>
      </w:pPr>
      <w:r>
        <w:t xml:space="preserve"> </w:t>
      </w:r>
    </w:p>
    <w:p>
      <w:pPr>
        <w:spacing w:after="120" w:line="240" w:lineRule="exact"/>
      </w:pPr>
    </w:p>
    <w:p>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tc>
          <w:tcPr>
            <w:tcW w:w="7100" w:type="dxa"/>
            <w:tcBorders>
              <w:top w:val="single" w:sz="4" w:space="0" w:color="000000"/>
              <w:bottom w:val="single" w:sz="4" w:space="0" w:color="000000"/>
            </w:tcBorders>
            <w:tcMar>
              <w:top w:w="300" w:type="dxa"/>
              <w:left w:w="0" w:type="dxa"/>
              <w:bottom w:w="300" w:type="dxa"/>
              <w:right w:w="0" w:type="dxa"/>
            </w:tcMar>
            <w:vAlign w:val="center"/>
          </w:tcPr>
          <w:p>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de masques de chirurgie pour le GHT Centre Franche-Comté et le GHT Nord Franche-Comté</w:t>
            </w:r>
          </w:p>
        </w:tc>
      </w:tr>
    </w:tbl>
    <w:p>
      <w:pPr>
        <w:spacing w:line="240" w:lineRule="exact"/>
        <w:rPr>
          <w:lang w:val="fr-FR"/>
        </w:rPr>
      </w:pPr>
      <w:r>
        <w:rPr>
          <w:lang w:val="fr-FR"/>
        </w:rPr>
        <w:t xml:space="preserve"> </w:t>
      </w:r>
    </w:p>
    <w:p>
      <w:pPr>
        <w:spacing w:after="180" w:line="240" w:lineRule="exact"/>
        <w:rPr>
          <w:lang w:val="fr-FR"/>
        </w:rPr>
      </w:pPr>
    </w:p>
    <w:p>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Mardi 25 novembre 2025 à 16:00</w:t>
      </w: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CHU de BESANCON</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Etablissement support du GHT-CFC </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Boulevard Alexandre Fleming</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25030 BESANCON CEDEX</w:t>
      </w:r>
    </w:p>
    <w:p>
      <w:pPr>
        <w:spacing w:line="279" w:lineRule="exact"/>
        <w:jc w:val="center"/>
        <w:rPr>
          <w:rFonts w:ascii="Trebuchet MS" w:eastAsia="Trebuchet MS" w:hAnsi="Trebuchet MS" w:cs="Trebuchet MS"/>
          <w:color w:val="000000"/>
          <w:lang w:val="fr-FR"/>
        </w:rPr>
        <w:sectPr>
          <w:pgSz w:w="11900" w:h="16840"/>
          <w:pgMar w:top="1400" w:right="1140" w:bottom="1440" w:left="1140" w:header="1400" w:footer="1440" w:gutter="0"/>
          <w:cols w:space="708"/>
        </w:sectPr>
      </w:pPr>
      <w:r>
        <w:rPr>
          <w:rFonts w:ascii="Trebuchet MS" w:eastAsia="Trebuchet MS" w:hAnsi="Trebuchet MS" w:cs="Trebuchet MS"/>
          <w:color w:val="000000"/>
          <w:lang w:val="fr-FR"/>
        </w:rPr>
        <w:t>Tél : 03 81 21 80 47</w:t>
      </w:r>
    </w:p>
    <w:tbl>
      <w:tblPr>
        <w:tblW w:w="0" w:type="auto"/>
        <w:tblLayout w:type="fixed"/>
        <w:tblLook w:val="04A0" w:firstRow="1" w:lastRow="0" w:firstColumn="1" w:lastColumn="0" w:noHBand="0" w:noVBand="1"/>
      </w:tblPr>
      <w:tblGrid>
        <w:gridCol w:w="1200"/>
        <w:gridCol w:w="2400"/>
        <w:gridCol w:w="6000"/>
      </w:tblGrid>
      <w:tr>
        <w:trPr>
          <w:trHeight w:val="436"/>
        </w:trPr>
        <w:tc>
          <w:tcPr>
            <w:tcW w:w="9600" w:type="dxa"/>
            <w:gridSpan w:val="3"/>
            <w:tcBorders>
              <w:top w:val="single" w:sz="2" w:space="0" w:color="000000"/>
              <w:left w:val="single" w:sz="2" w:space="0" w:color="000000"/>
              <w:right w:val="single" w:sz="2" w:space="0" w:color="000000"/>
            </w:tcBorders>
            <w:shd w:val="clear" w:color="2A7CBF" w:fill="2A7CBF"/>
            <w:tcMar>
              <w:top w:w="0" w:type="dxa"/>
              <w:left w:w="0" w:type="dxa"/>
              <w:bottom w:w="0" w:type="dxa"/>
              <w:right w:w="0" w:type="dxa"/>
            </w:tcMar>
            <w:vAlign w:val="center"/>
          </w:tcPr>
          <w:p>
            <w:pPr>
              <w:pStyle w:val="Titletable"/>
              <w:jc w:val="center"/>
              <w:rPr>
                <w:lang w:val="fr-FR"/>
              </w:rPr>
            </w:pPr>
            <w:r>
              <w:rPr>
                <w:lang w:val="fr-FR"/>
              </w:rPr>
              <w:lastRenderedPageBreak/>
              <w:t>L'ESSENTIEL DE LA PROCÉDURE</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masques de chirurgie pour le GHT Centre Franche-Comté</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lang w:val="fr-FR"/>
              </w:rPr>
            </w:pPr>
          </w:p>
          <w:p>
            <w:pPr>
              <w:ind w:left="420"/>
              <w:rPr>
                <w:sz w:val="2"/>
              </w:rPr>
            </w:pPr>
            <w:r>
              <w:pict>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140 jours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lang w:val="fr-FR"/>
              </w:rPr>
            </w:pPr>
          </w:p>
          <w:p>
            <w:pPr>
              <w:ind w:left="420"/>
              <w:rPr>
                <w:sz w:val="2"/>
              </w:rPr>
            </w:pPr>
            <w:r>
              <w:pict>
                <v:shape id="_x0000_i1032"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 autorisé</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5"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6"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7" type="#_x0000_t75" style="width:18pt;height:18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8" type="#_x0000_t75" style="width:18pt;height:18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pPr>
        <w:sectPr>
          <w:pgSz w:w="11900" w:h="16840"/>
          <w:pgMar w:top="1080" w:right="1160" w:bottom="1440" w:left="1140" w:header="1080" w:footer="1440" w:gutter="0"/>
          <w:cols w:space="708"/>
        </w:sectPr>
      </w:pPr>
    </w:p>
    <w:p>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pPr>
        <w:spacing w:after="80" w:line="240" w:lineRule="exact"/>
      </w:pPr>
    </w:p>
    <w:p>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noProof/>
            <w:lang w:val="fr-FR"/>
          </w:rPr>
          <w:t>1 - Objet et étendue de la consultation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_Toc256000000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4</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noProof/>
            <w:lang w:val="fr-FR"/>
          </w:rPr>
          <w:t>1.1 - Objet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_Toc256000001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4</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noProof/>
            <w:lang w:val="fr-FR"/>
          </w:rPr>
          <w:t>1.2 - Mode de passation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_Toc256000002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4</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noProof/>
            <w:lang w:val="fr-FR"/>
          </w:rPr>
          <w:t>1.3 - Type et forme de contrat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_Toc256000003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4</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noProof/>
            <w:lang w:val="fr-FR"/>
          </w:rPr>
          <w:t>1.4 - Décomposition de la consultation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_Toc256000004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4</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noProof/>
            <w:lang w:val="fr-FR"/>
          </w:rPr>
          <w:t>1.5 - Nomenclature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_Toc256000005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noProof/>
            <w:lang w:val="fr-FR"/>
          </w:rPr>
          <w:t>2 - Conditions de la consultation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_Toc256000006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noProof/>
            <w:lang w:val="fr-FR"/>
          </w:rPr>
          <w:t>2.1 - Délai de validité des offres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_Toc256000007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noProof/>
            <w:lang w:val="fr-FR"/>
          </w:rPr>
          <w:t>2.2 - Forme juridique du groupement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_Toc256000008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noProof/>
            <w:lang w:val="fr-FR"/>
          </w:rPr>
          <w:t>2.3 - Variantes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_Toc256000009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noProof/>
            <w:lang w:val="fr-FR"/>
          </w:rPr>
          <w:t>3 - Conditions relatives au contrat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_Toc256000010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noProof/>
            <w:lang w:val="fr-FR"/>
          </w:rPr>
          <w:t>3.1 - Durée du contrat ou délai d'exécution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_Toc256000011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noProof/>
            <w:lang w:val="fr-FR"/>
          </w:rPr>
          <w:t>3.2 - Modalités essentielles de financement et de paiement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_Toc256000012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noProof/>
            <w:lang w:val="fr-FR"/>
          </w:rPr>
          <w:t>3.3 - Confidentialité et mesures de sécurité</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_Toc256000013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noProof/>
            <w:lang w:val="fr-FR"/>
          </w:rPr>
          <w:t>4 - Contenu du dossier de consultation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_Toc256000014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noProof/>
            <w:lang w:val="fr-FR"/>
          </w:rPr>
          <w:t>5 - Présentation des candidatures et des offres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_Toc256000015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noProof/>
            <w:lang w:val="fr-FR"/>
          </w:rPr>
          <w:t>5.1 - Documents à produire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_Toc256000016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noProof/>
            <w:lang w:val="fr-FR"/>
          </w:rPr>
          <w:t>5.2 - Echantillons, maquettes ou prototypes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_Toc256000018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8</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noProof/>
            <w:lang w:val="fr-FR"/>
          </w:rPr>
          <w:t>6 - Conditions d'envoi ou de remise des plis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_Toc256000019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9</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noProof/>
            <w:lang w:val="fr-FR"/>
          </w:rPr>
          <w:t>6.1 - Transmission électronique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_Toc256000020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9</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noProof/>
            <w:lang w:val="fr-FR"/>
          </w:rPr>
          <w:t>6.2 - Transmission sous support papier</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_Toc256000021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10</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noProof/>
            <w:lang w:val="fr-FR"/>
          </w:rPr>
          <w:t>7 - Examen des candidatures et des offres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_Toc256000022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10</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noProof/>
            <w:lang w:val="fr-FR"/>
          </w:rPr>
          <w:t>7.1 - Sélection des candidatures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_Toc256000023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10</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noProof/>
            <w:lang w:val="fr-FR"/>
          </w:rPr>
          <w:t>7.2 - Attribution des accords-cadres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_Toc256000024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10</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noProof/>
            <w:lang w:val="fr-FR"/>
          </w:rPr>
          <w:t>7.3 - Suite à donner à la consultation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_Toc256000025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11</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noProof/>
            <w:lang w:val="fr-FR"/>
          </w:rPr>
          <w:t>8 - Renseignements complémentaires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_Toc256000026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11</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noProof/>
            <w:lang w:val="fr-FR"/>
          </w:rPr>
          <w:t>8.1 - Adresses supplémentaires et points de contact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_Toc256000027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11</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noProof/>
            <w:lang w:val="fr-FR"/>
          </w:rPr>
          <w:t>8.2 - Procédures de recours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_Toc256000028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12</w:t>
        </w:r>
        <w:r>
          <w:rPr>
            <w:rFonts w:ascii="Trebuchet MS" w:eastAsia="Trebuchet MS" w:hAnsi="Trebuchet MS" w:cs="Trebuchet MS"/>
            <w:noProof/>
          </w:rPr>
          <w:fldChar w:fldCharType="end"/>
        </w:r>
      </w:hyperlink>
    </w:p>
    <w:p>
      <w:pPr>
        <w:spacing w:after="100"/>
        <w:jc w:val="both"/>
        <w:rPr>
          <w:rFonts w:ascii="Trebuchet MS" w:eastAsia="Trebuchet MS" w:hAnsi="Trebuchet MS" w:cs="Trebuchet MS"/>
          <w:color w:val="000000"/>
          <w:sz w:val="22"/>
          <w:lang w:val="fr-FR"/>
        </w:rPr>
        <w:sectPr>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pPr>
        <w:pStyle w:val="Titre1"/>
        <w:shd w:val="clear" w:color="2A7CBF" w:fill="2A7CBF"/>
        <w:rPr>
          <w:rFonts w:ascii="Trebuchet MS" w:eastAsia="Trebuchet MS" w:hAnsi="Trebuchet MS" w:cs="Trebuchet MS"/>
          <w:color w:val="FFFFFF"/>
          <w:sz w:val="28"/>
          <w:lang w:val="fr-FR"/>
        </w:rPr>
      </w:pPr>
      <w:bookmarkStart w:id="0" w:name="ArtL1_RC-2-A2"/>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pPr>
        <w:spacing w:line="60" w:lineRule="exact"/>
        <w:rPr>
          <w:sz w:val="6"/>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2" w:name="ArtL2_RC-2-A2.1"/>
      <w:bookmarkStart w:id="3" w:name="_Toc256000001"/>
      <w:bookmarkEnd w:id="2"/>
      <w:r>
        <w:rPr>
          <w:rFonts w:ascii="Trebuchet MS" w:eastAsia="Trebuchet MS" w:hAnsi="Trebuchet MS" w:cs="Trebuchet MS"/>
          <w:i w:val="0"/>
          <w:color w:val="000000"/>
          <w:sz w:val="24"/>
          <w:lang w:val="fr-FR"/>
        </w:rPr>
        <w:t>1.1 - Objet</w:t>
      </w:r>
      <w:bookmarkEnd w:id="3"/>
    </w:p>
    <w:p>
      <w:pPr>
        <w:pStyle w:val="ParagrapheIndent2"/>
        <w:spacing w:line="232" w:lineRule="exact"/>
        <w:jc w:val="both"/>
        <w:rPr>
          <w:color w:val="000000"/>
          <w:lang w:val="fr-FR"/>
        </w:rPr>
      </w:pPr>
      <w:r>
        <w:rPr>
          <w:color w:val="000000"/>
          <w:lang w:val="fr-FR"/>
        </w:rPr>
        <w:t>La présente consultation concerne :</w:t>
      </w:r>
    </w:p>
    <w:p>
      <w:pPr>
        <w:pStyle w:val="ParagrapheIndent2"/>
        <w:spacing w:line="232" w:lineRule="exact"/>
        <w:jc w:val="both"/>
        <w:rPr>
          <w:color w:val="000000"/>
          <w:lang w:val="fr-FR"/>
        </w:rPr>
      </w:pPr>
      <w:bookmarkStart w:id="4" w:name="_Hlk212816503"/>
      <w:r>
        <w:rPr>
          <w:color w:val="000000"/>
          <w:lang w:val="fr-FR"/>
        </w:rPr>
        <w:t>Fourniture de masques de chirurgie pour le GHT Centre Franche-Comté et le GHT Nord Franche-Comté.</w:t>
      </w:r>
    </w:p>
    <w:bookmarkEnd w:id="4"/>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Fourniture de masques chirurgicaux à usage médical pour les besoins d’un groupement de commande conformes à la norme EN 14683, incluant:</w:t>
      </w:r>
    </w:p>
    <w:p>
      <w:pPr>
        <w:pStyle w:val="ParagrapheIndent2"/>
        <w:spacing w:line="232" w:lineRule="exact"/>
        <w:jc w:val="both"/>
        <w:rPr>
          <w:color w:val="000000"/>
          <w:lang w:val="fr-FR"/>
        </w:rPr>
      </w:pPr>
      <w:r>
        <w:rPr>
          <w:color w:val="000000"/>
          <w:lang w:val="fr-FR"/>
        </w:rPr>
        <w:t>- des masques de type II pédiatriques à élastiques,</w:t>
      </w:r>
    </w:p>
    <w:p>
      <w:pPr>
        <w:pStyle w:val="ParagrapheIndent2"/>
        <w:spacing w:line="232" w:lineRule="exact"/>
        <w:jc w:val="both"/>
        <w:rPr>
          <w:color w:val="000000"/>
          <w:lang w:val="fr-FR"/>
        </w:rPr>
      </w:pPr>
      <w:r>
        <w:rPr>
          <w:color w:val="000000"/>
          <w:lang w:val="fr-FR"/>
        </w:rPr>
        <w:t>- des masques de type IIR à liens,</w:t>
      </w:r>
    </w:p>
    <w:p>
      <w:pPr>
        <w:pStyle w:val="ParagrapheIndent2"/>
        <w:spacing w:after="240" w:line="232" w:lineRule="exact"/>
        <w:jc w:val="both"/>
        <w:rPr>
          <w:color w:val="000000"/>
          <w:lang w:val="fr-FR"/>
        </w:rPr>
      </w:pPr>
      <w:r>
        <w:rPr>
          <w:color w:val="000000"/>
          <w:lang w:val="fr-FR"/>
        </w:rPr>
        <w:t>- des masques de type IIR à liens avec visière.</w:t>
      </w:r>
    </w:p>
    <w:p>
      <w:pPr>
        <w:pStyle w:val="ParagrapheIndent2"/>
        <w:spacing w:line="232" w:lineRule="exact"/>
        <w:jc w:val="both"/>
        <w:rPr>
          <w:color w:val="000000"/>
          <w:lang w:val="fr-FR"/>
        </w:rPr>
      </w:pPr>
      <w:r>
        <w:rPr>
          <w:color w:val="000000"/>
          <w:lang w:val="fr-FR"/>
        </w:rPr>
        <w:t>Lieu(x) d'exécution :</w:t>
      </w:r>
    </w:p>
    <w:p>
      <w:pPr>
        <w:pStyle w:val="ParagrapheIndent2"/>
        <w:spacing w:line="232" w:lineRule="exact"/>
        <w:jc w:val="both"/>
        <w:rPr>
          <w:color w:val="000000"/>
          <w:lang w:val="fr-FR"/>
        </w:rPr>
      </w:pPr>
      <w:r>
        <w:rPr>
          <w:color w:val="000000"/>
          <w:lang w:val="fr-FR"/>
        </w:rPr>
        <w:t>Chaque établissement exécute les prestations. Les adresses de chaque établissement sont indiquées en annexe du CCAP.</w:t>
      </w:r>
    </w:p>
    <w:p>
      <w:pPr>
        <w:pStyle w:val="ParagrapheIndent2"/>
        <w:spacing w:after="240" w:line="232" w:lineRule="exact"/>
        <w:jc w:val="both"/>
        <w:rPr>
          <w:color w:val="000000"/>
          <w:lang w:val="fr-FR"/>
        </w:rPr>
      </w:pPr>
    </w:p>
    <w:p>
      <w:pPr>
        <w:pStyle w:val="ParagrapheIndent2"/>
        <w:rPr>
          <w:color w:val="000000"/>
          <w:lang w:val="fr-FR"/>
        </w:rPr>
      </w:pPr>
      <w:bookmarkStart w:id="5" w:name="_Hlk212816495"/>
      <w:r>
        <w:rPr>
          <w:color w:val="000000"/>
          <w:lang w:val="fr-FR"/>
        </w:rPr>
        <w:t>Cette consultation s'effectue dans le cadre d'un groupement de commandes conformément aux articles L. 2113-6 à L. 2113-8 du Code de la commande publique.</w:t>
      </w:r>
    </w:p>
    <w:p>
      <w:pPr>
        <w:pStyle w:val="ParagrapheIndent2"/>
        <w:spacing w:line="232" w:lineRule="exact"/>
        <w:jc w:val="both"/>
        <w:rPr>
          <w:color w:val="000000"/>
          <w:lang w:val="fr-FR"/>
        </w:rPr>
      </w:pP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établissements concernés par cette consultation sont :</w:t>
      </w:r>
    </w:p>
    <w:bookmarkEnd w:id="5"/>
    <w:p>
      <w:pPr>
        <w:rPr>
          <w:rFonts w:ascii="Trebuchet MS" w:eastAsia="Trebuchet MS" w:hAnsi="Trebuchet MS" w:cs="Trebuchet MS"/>
          <w:color w:val="000000"/>
          <w:sz w:val="20"/>
          <w:lang w:val="fr-FR"/>
        </w:rPr>
      </w:pPr>
    </w:p>
    <w:p>
      <w:pPr>
        <w:rPr>
          <w:rFonts w:ascii="Trebuchet MS" w:eastAsia="Trebuchet MS" w:hAnsi="Trebuchet MS" w:cs="Trebuchet MS"/>
          <w:b/>
          <w:bCs/>
          <w:color w:val="000000"/>
          <w:sz w:val="20"/>
          <w:lang w:val="fr-FR"/>
        </w:rPr>
      </w:pPr>
      <w:bookmarkStart w:id="6" w:name="_Hlk212816475"/>
      <w:r>
        <w:rPr>
          <w:rFonts w:ascii="Trebuchet MS" w:eastAsia="Trebuchet MS" w:hAnsi="Trebuchet MS" w:cs="Trebuchet MS"/>
          <w:b/>
          <w:bCs/>
          <w:color w:val="000000"/>
          <w:sz w:val="20"/>
          <w:lang w:val="fr-FR"/>
        </w:rPr>
        <w:t>Groupement Hospitalier de Territoire Centre Franche-Comté (GHT-CFC) :</w:t>
      </w:r>
    </w:p>
    <w:p>
      <w:pP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 xml:space="preserve">- </w:t>
      </w:r>
      <w:r>
        <w:rPr>
          <w:rFonts w:ascii="Trebuchet MS" w:eastAsia="Trebuchet MS" w:hAnsi="Trebuchet MS" w:cs="Trebuchet MS"/>
          <w:color w:val="000000"/>
          <w:sz w:val="20"/>
          <w:lang w:val="fr-FR"/>
        </w:rPr>
        <w:t>CHU de BESANCON</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Centre Hospitalier Intercommunal de Haute-Comté</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Centre Hospitalier Paul Nappez, Morteau</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Centre Hospitalier Louis Pasteur de Dole</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Centre Hospitalier Spécialisé Saint-Ylie de Dole</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Etablissement de santé de Quingey</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Centre Hospitalier de Novillars</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Centre Hospitalier de la Sainte-Croix, Baumes les Dames</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Centre Hospitalier Saint Louis Ornans</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Centre de Soins et d'Hébergement Jacques Weinman d'Avanne</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Centre de Long Séjour de Bellevaux</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Centre de Soins et de Réadaptation les Tilleroyes</w:t>
      </w:r>
    </w:p>
    <w:p>
      <w:pPr>
        <w:rPr>
          <w:rFonts w:ascii="Trebuchet MS" w:eastAsia="Trebuchet MS" w:hAnsi="Trebuchet MS" w:cs="Trebuchet MS"/>
          <w:color w:val="000000"/>
          <w:sz w:val="20"/>
          <w:lang w:val="fr-FR"/>
        </w:rPr>
      </w:pPr>
    </w:p>
    <w:p>
      <w:pP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Groupement Hospitalier de Territoire Nord Franche Comté (GHT NFC) :</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Hopital Nord Franche-Comté </w:t>
      </w:r>
    </w:p>
    <w:p>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CHSLD Chenois</w:t>
      </w:r>
    </w:p>
    <w:p>
      <w:pPr>
        <w:rPr>
          <w:lang w:val="fr-FR"/>
        </w:rPr>
      </w:pPr>
      <w:bookmarkStart w:id="7" w:name="_Hlk212816513"/>
      <w:bookmarkEnd w:id="6"/>
    </w:p>
    <w:p>
      <w:pPr>
        <w:pStyle w:val="ParagrapheIndent2"/>
        <w:spacing w:after="240" w:line="232" w:lineRule="exact"/>
        <w:jc w:val="both"/>
        <w:rPr>
          <w:color w:val="000000"/>
          <w:lang w:val="fr-FR"/>
        </w:rPr>
      </w:pPr>
      <w:bookmarkStart w:id="8" w:name="ArtL2_RC-2-A2.3"/>
      <w:bookmarkStart w:id="9" w:name="_Toc256000002"/>
      <w:bookmarkEnd w:id="8"/>
      <w:r>
        <w:rPr>
          <w:color w:val="000000"/>
          <w:lang w:val="fr-FR"/>
        </w:rPr>
        <w:t>Le coordonnateur du groupement de commandes est : CHU de BESANCON Etablissement support du GHT-CFC. Il aura en charge la passation, la signature et la notification de l'accord-cadre. Chaque membre devra suivre l'exécution de l'accord-cadre.</w:t>
      </w:r>
    </w:p>
    <w:bookmarkEnd w:id="7"/>
    <w:p>
      <w:pPr>
        <w:pStyle w:val="Titre2"/>
        <w:ind w:left="280"/>
        <w:jc w:val="both"/>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1.2 - Mode de passation</w:t>
      </w:r>
      <w:bookmarkEnd w:id="9"/>
    </w:p>
    <w:p>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pPr>
        <w:pStyle w:val="Titre2"/>
        <w:ind w:left="280"/>
        <w:jc w:val="both"/>
        <w:rPr>
          <w:rFonts w:ascii="Trebuchet MS" w:eastAsia="Trebuchet MS" w:hAnsi="Trebuchet MS" w:cs="Trebuchet MS"/>
          <w:i w:val="0"/>
          <w:color w:val="000000"/>
          <w:sz w:val="24"/>
          <w:lang w:val="fr-FR"/>
        </w:rPr>
      </w:pPr>
      <w:bookmarkStart w:id="10" w:name="ArtL2_RC-2-A2.4"/>
      <w:bookmarkStart w:id="11" w:name="_Toc256000003"/>
      <w:bookmarkEnd w:id="10"/>
      <w:r>
        <w:rPr>
          <w:rFonts w:ascii="Trebuchet MS" w:eastAsia="Trebuchet MS" w:hAnsi="Trebuchet MS" w:cs="Trebuchet MS"/>
          <w:i w:val="0"/>
          <w:color w:val="000000"/>
          <w:sz w:val="24"/>
          <w:lang w:val="fr-FR"/>
        </w:rPr>
        <w:t>1.3 - Type et forme de contrat</w:t>
      </w:r>
      <w:bookmarkEnd w:id="11"/>
    </w:p>
    <w:p>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pPr>
        <w:pStyle w:val="ParagrapheIndent2"/>
        <w:spacing w:after="240"/>
        <w:jc w:val="both"/>
        <w:rPr>
          <w:color w:val="000000"/>
          <w:lang w:val="fr-FR"/>
        </w:rPr>
      </w:pPr>
      <w:r>
        <w:rPr>
          <w:color w:val="000000"/>
          <w:lang w:val="fr-FR"/>
        </w:rPr>
        <w:t>Chaque accord-cadre sera attribué à un seul opérateur économique.</w:t>
      </w:r>
    </w:p>
    <w:p>
      <w:pPr>
        <w:pStyle w:val="Titre2"/>
        <w:ind w:left="280"/>
        <w:jc w:val="both"/>
        <w:rPr>
          <w:rFonts w:ascii="Trebuchet MS" w:eastAsia="Trebuchet MS" w:hAnsi="Trebuchet MS" w:cs="Trebuchet MS"/>
          <w:i w:val="0"/>
          <w:color w:val="000000"/>
          <w:sz w:val="24"/>
          <w:lang w:val="fr-FR"/>
        </w:rPr>
      </w:pPr>
      <w:bookmarkStart w:id="12" w:name="ArtL2_RC-2-A2.5"/>
      <w:bookmarkStart w:id="13" w:name="_Toc256000004"/>
      <w:bookmarkEnd w:id="12"/>
      <w:r>
        <w:rPr>
          <w:rFonts w:ascii="Trebuchet MS" w:eastAsia="Trebuchet MS" w:hAnsi="Trebuchet MS" w:cs="Trebuchet MS"/>
          <w:i w:val="0"/>
          <w:color w:val="000000"/>
          <w:sz w:val="24"/>
          <w:lang w:val="fr-FR"/>
        </w:rPr>
        <w:t>1.4 - Décomposition de la consultation</w:t>
      </w:r>
      <w:bookmarkEnd w:id="13"/>
    </w:p>
    <w:p>
      <w:pPr>
        <w:pStyle w:val="ParagrapheIndent2"/>
        <w:spacing w:line="232" w:lineRule="exact"/>
        <w:jc w:val="both"/>
        <w:rPr>
          <w:color w:val="000000"/>
          <w:lang w:val="fr-FR"/>
        </w:rPr>
      </w:pPr>
      <w:r>
        <w:rPr>
          <w:color w:val="000000"/>
          <w:lang w:val="fr-FR"/>
        </w:rPr>
        <w:t>Les prestations sont réparties en 2 Lot(s) :</w:t>
      </w:r>
    </w:p>
    <w:p>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Masques chirurgicaux pour enfants</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Masques chirurgicaux pour adultes</w:t>
            </w:r>
          </w:p>
        </w:tc>
      </w:tr>
    </w:tbl>
    <w:p>
      <w:pPr>
        <w:sectPr>
          <w:footerReference w:type="default" r:id="rId20"/>
          <w:pgSz w:w="11900" w:h="16840"/>
          <w:pgMar w:top="580" w:right="1140" w:bottom="580" w:left="1140" w:header="580" w:footer="580" w:gutter="0"/>
          <w:cols w:space="708"/>
        </w:sectPr>
      </w:pPr>
    </w:p>
    <w:p>
      <w:pPr>
        <w:pStyle w:val="ParagrapheIndent2"/>
        <w:spacing w:after="240"/>
        <w:jc w:val="both"/>
        <w:rPr>
          <w:color w:val="000000"/>
          <w:lang w:val="fr-FR"/>
        </w:rPr>
      </w:pPr>
      <w:r>
        <w:rPr>
          <w:color w:val="000000"/>
          <w:lang w:val="fr-FR"/>
        </w:rPr>
        <w:lastRenderedPageBreak/>
        <w:t>Chaque lot fera l'objet d'un accord-cadre.</w:t>
      </w:r>
    </w:p>
    <w:p>
      <w:pPr>
        <w:pStyle w:val="ParagrapheIndent2"/>
        <w:spacing w:after="240"/>
        <w:jc w:val="both"/>
        <w:rPr>
          <w:color w:val="000000"/>
          <w:lang w:val="fr-FR"/>
        </w:rPr>
      </w:pPr>
      <w:r>
        <w:rPr>
          <w:color w:val="000000"/>
          <w:lang w:val="fr-FR"/>
        </w:rPr>
        <w:t>Les candidats ont la possibilité de soumettre des offres pour tous les lots.</w:t>
      </w:r>
    </w:p>
    <w:p>
      <w:pPr>
        <w:pStyle w:val="Titre2"/>
        <w:ind w:left="280"/>
        <w:jc w:val="both"/>
        <w:rPr>
          <w:rFonts w:ascii="Trebuchet MS" w:eastAsia="Trebuchet MS" w:hAnsi="Trebuchet MS" w:cs="Trebuchet MS"/>
          <w:i w:val="0"/>
          <w:color w:val="000000"/>
          <w:sz w:val="24"/>
          <w:lang w:val="fr-FR"/>
        </w:rPr>
      </w:pPr>
      <w:bookmarkStart w:id="14" w:name="ArtL2_RC-2-A2.7"/>
      <w:bookmarkStart w:id="15" w:name="_Toc256000005"/>
      <w:bookmarkEnd w:id="14"/>
      <w:r>
        <w:rPr>
          <w:rFonts w:ascii="Trebuchet MS" w:eastAsia="Trebuchet MS" w:hAnsi="Trebuchet MS" w:cs="Trebuchet MS"/>
          <w:i w:val="0"/>
          <w:color w:val="000000"/>
          <w:sz w:val="24"/>
          <w:lang w:val="fr-FR"/>
        </w:rPr>
        <w:t>1.5 - Nomenclature</w:t>
      </w:r>
      <w:bookmarkEnd w:id="15"/>
    </w:p>
    <w:p>
      <w:pPr>
        <w:pStyle w:val="ParagrapheIndent2"/>
        <w:spacing w:line="232" w:lineRule="exact"/>
        <w:jc w:val="both"/>
        <w:rPr>
          <w:color w:val="000000"/>
          <w:lang w:val="fr-FR"/>
        </w:rPr>
      </w:pPr>
      <w:r>
        <w:rPr>
          <w:color w:val="000000"/>
          <w:lang w:val="fr-FR"/>
        </w:rPr>
        <w:t>La classification conforme au vocabulaire commun des marchés européens (CPV) est :</w:t>
      </w:r>
    </w:p>
    <w:p>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33140000-3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Consommables médicaux</w:t>
            </w:r>
          </w:p>
        </w:tc>
      </w:tr>
    </w:tbl>
    <w:p>
      <w:pPr>
        <w:spacing w:line="220" w:lineRule="exact"/>
        <w:rPr>
          <w:sz w:val="22"/>
        </w:rPr>
      </w:pPr>
      <w:r>
        <w:t xml:space="preserve"> </w:t>
      </w:r>
    </w:p>
    <w:tbl>
      <w:tblPr>
        <w:tblW w:w="0" w:type="auto"/>
        <w:tblLayout w:type="fixed"/>
        <w:tblLook w:val="04A0" w:firstRow="1" w:lastRow="0" w:firstColumn="1" w:lastColumn="0" w:noHBand="0" w:noVBand="1"/>
      </w:tblPr>
      <w:tblGrid>
        <w:gridCol w:w="900"/>
        <w:gridCol w:w="1800"/>
        <w:gridCol w:w="6900"/>
      </w:tblGrid>
      <w:tr>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33140000-3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Consommables médicaux</w:t>
            </w:r>
          </w:p>
        </w:tc>
      </w:tr>
      <w:tr>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33140000-3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40"/>
              <w:ind w:left="40" w:right="4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Consommables médicaux</w:t>
            </w:r>
          </w:p>
        </w:tc>
      </w:tr>
    </w:tbl>
    <w:p>
      <w:pPr>
        <w:spacing w:after="220" w:line="240" w:lineRule="exact"/>
      </w:pPr>
      <w:r>
        <w:t xml:space="preserve"> </w:t>
      </w:r>
    </w:p>
    <w:p>
      <w:pPr>
        <w:pStyle w:val="Titre1"/>
        <w:shd w:val="clear" w:color="2A7CBF" w:fill="2A7CBF"/>
        <w:rPr>
          <w:rFonts w:ascii="Trebuchet MS" w:eastAsia="Trebuchet MS" w:hAnsi="Trebuchet MS" w:cs="Trebuchet MS"/>
          <w:color w:val="FFFFFF"/>
          <w:sz w:val="28"/>
          <w:lang w:val="fr-FR"/>
        </w:rPr>
      </w:pPr>
      <w:bookmarkStart w:id="16" w:name="ArtL1_RC-2-A3"/>
      <w:bookmarkStart w:id="17" w:name="_Toc256000006"/>
      <w:bookmarkEnd w:id="16"/>
      <w:r>
        <w:rPr>
          <w:rFonts w:ascii="Trebuchet MS" w:eastAsia="Trebuchet MS" w:hAnsi="Trebuchet MS" w:cs="Trebuchet MS"/>
          <w:color w:val="FFFFFF"/>
          <w:sz w:val="28"/>
          <w:lang w:val="fr-FR"/>
        </w:rPr>
        <w:t>2 - Conditions de la consultation</w:t>
      </w:r>
      <w:bookmarkEnd w:id="17"/>
    </w:p>
    <w:p>
      <w:pPr>
        <w:spacing w:line="60" w:lineRule="exact"/>
        <w:rPr>
          <w:sz w:val="6"/>
        </w:rPr>
      </w:pPr>
      <w:r>
        <w:t xml:space="preserve"> </w:t>
      </w:r>
    </w:p>
    <w:p>
      <w:pPr>
        <w:pStyle w:val="Titre2"/>
        <w:ind w:left="280"/>
        <w:jc w:val="both"/>
        <w:rPr>
          <w:rFonts w:ascii="Trebuchet MS" w:eastAsia="Trebuchet MS" w:hAnsi="Trebuchet MS" w:cs="Trebuchet MS"/>
          <w:i w:val="0"/>
          <w:color w:val="000000"/>
          <w:sz w:val="24"/>
          <w:lang w:val="fr-FR"/>
        </w:rPr>
      </w:pPr>
      <w:bookmarkStart w:id="18" w:name="ArtL2_RC-2-A3.2"/>
      <w:bookmarkStart w:id="19" w:name="_Toc256000007"/>
      <w:bookmarkEnd w:id="18"/>
      <w:r>
        <w:rPr>
          <w:rFonts w:ascii="Trebuchet MS" w:eastAsia="Trebuchet MS" w:hAnsi="Trebuchet MS" w:cs="Trebuchet MS"/>
          <w:i w:val="0"/>
          <w:color w:val="000000"/>
          <w:sz w:val="24"/>
          <w:lang w:val="fr-FR"/>
        </w:rPr>
        <w:t>2.1 - Délai de validité des offres</w:t>
      </w:r>
      <w:bookmarkEnd w:id="19"/>
    </w:p>
    <w:p>
      <w:pPr>
        <w:pStyle w:val="ParagrapheIndent2"/>
        <w:spacing w:after="240"/>
        <w:jc w:val="both"/>
        <w:rPr>
          <w:color w:val="000000"/>
          <w:lang w:val="fr-FR"/>
        </w:rPr>
      </w:pPr>
      <w:r>
        <w:rPr>
          <w:color w:val="000000"/>
          <w:lang w:val="fr-FR"/>
        </w:rPr>
        <w:t>Le délai de validité des offres est fixé à 140 jours à compter de la date limite de réception des offres.</w:t>
      </w:r>
    </w:p>
    <w:p>
      <w:pPr>
        <w:pStyle w:val="Titre2"/>
        <w:ind w:left="280"/>
        <w:jc w:val="both"/>
        <w:rPr>
          <w:rFonts w:ascii="Trebuchet MS" w:eastAsia="Trebuchet MS" w:hAnsi="Trebuchet MS" w:cs="Trebuchet MS"/>
          <w:i w:val="0"/>
          <w:color w:val="000000"/>
          <w:sz w:val="24"/>
          <w:lang w:val="fr-FR"/>
        </w:rPr>
      </w:pPr>
      <w:bookmarkStart w:id="20" w:name="ArtL2_RC-2-A3.3"/>
      <w:bookmarkStart w:id="21" w:name="_Toc256000008"/>
      <w:bookmarkEnd w:id="20"/>
      <w:r>
        <w:rPr>
          <w:rFonts w:ascii="Trebuchet MS" w:eastAsia="Trebuchet MS" w:hAnsi="Trebuchet MS" w:cs="Trebuchet MS"/>
          <w:i w:val="0"/>
          <w:color w:val="000000"/>
          <w:sz w:val="24"/>
          <w:lang w:val="fr-FR"/>
        </w:rPr>
        <w:t>2.2 - Forme juridique du groupement</w:t>
      </w:r>
      <w:bookmarkEnd w:id="21"/>
    </w:p>
    <w:p>
      <w:pPr>
        <w:pStyle w:val="ParagrapheIndent2"/>
        <w:spacing w:after="240" w:line="232" w:lineRule="exact"/>
        <w:jc w:val="both"/>
        <w:rPr>
          <w:color w:val="000000"/>
          <w:lang w:val="fr-FR"/>
        </w:rPr>
      </w:pPr>
      <w:r>
        <w:rPr>
          <w:color w:val="000000"/>
          <w:lang w:val="fr-FR"/>
        </w:rPr>
        <w:t>Le pouvoir adjudicateur ne souhaite imposer aucune forme de groupement à l'attributaire de l'accord-cadre.</w:t>
      </w:r>
    </w:p>
    <w:p>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w:t>
      </w:r>
    </w:p>
    <w:p>
      <w:pPr>
        <w:pStyle w:val="Titre2"/>
        <w:ind w:left="280"/>
        <w:jc w:val="both"/>
        <w:rPr>
          <w:rFonts w:ascii="Trebuchet MS" w:eastAsia="Trebuchet MS" w:hAnsi="Trebuchet MS" w:cs="Trebuchet MS"/>
          <w:i w:val="0"/>
          <w:color w:val="000000"/>
          <w:sz w:val="24"/>
          <w:lang w:val="fr-FR"/>
        </w:rPr>
      </w:pPr>
      <w:bookmarkStart w:id="22" w:name="ArtL2_RC-2-A3.5"/>
      <w:bookmarkStart w:id="23" w:name="_Toc256000009"/>
      <w:bookmarkEnd w:id="22"/>
      <w:r>
        <w:rPr>
          <w:rFonts w:ascii="Trebuchet MS" w:eastAsia="Trebuchet MS" w:hAnsi="Trebuchet MS" w:cs="Trebuchet MS"/>
          <w:i w:val="0"/>
          <w:color w:val="000000"/>
          <w:sz w:val="24"/>
          <w:lang w:val="fr-FR"/>
        </w:rPr>
        <w:t>2.3 - Variantes</w:t>
      </w:r>
      <w:bookmarkEnd w:id="23"/>
    </w:p>
    <w:p>
      <w:pPr>
        <w:pStyle w:val="ParagrapheIndent2"/>
        <w:spacing w:after="240"/>
        <w:jc w:val="both"/>
        <w:rPr>
          <w:color w:val="000000"/>
          <w:lang w:val="fr-FR"/>
        </w:rPr>
      </w:pPr>
      <w:r>
        <w:rPr>
          <w:color w:val="000000"/>
          <w:lang w:val="fr-FR"/>
        </w:rPr>
        <w:t>Aucune variante n'est autorisée.</w:t>
      </w:r>
    </w:p>
    <w:tbl>
      <w:tblPr>
        <w:tblW w:w="0" w:type="auto"/>
        <w:tblInd w:w="500" w:type="dxa"/>
        <w:tblLayout w:type="fixed"/>
        <w:tblLook w:val="04A0" w:firstRow="1" w:lastRow="0" w:firstColumn="1" w:lastColumn="0" w:noHBand="0" w:noVBand="1"/>
      </w:tblPr>
      <w:tblGrid>
        <w:gridCol w:w="8600"/>
      </w:tblGrid>
      <w:tr>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trPr>
                <w:trHeight w:val="40"/>
              </w:trPr>
              <w:tc>
                <w:tcPr>
                  <w:tcW w:w="400" w:type="dxa"/>
                  <w:tcMar>
                    <w:top w:w="0" w:type="dxa"/>
                    <w:left w:w="0" w:type="dxa"/>
                    <w:bottom w:w="0" w:type="dxa"/>
                    <w:right w:w="0" w:type="dxa"/>
                  </w:tcMar>
                </w:tcPr>
                <w:p>
                  <w:pPr>
                    <w:rPr>
                      <w:sz w:val="2"/>
                      <w:lang w:val="fr-FR"/>
                    </w:rPr>
                  </w:pPr>
                </w:p>
              </w:tc>
              <w:tc>
                <w:tcPr>
                  <w:tcW w:w="300" w:type="dxa"/>
                  <w:tcMar>
                    <w:top w:w="0" w:type="dxa"/>
                    <w:left w:w="0" w:type="dxa"/>
                    <w:bottom w:w="0" w:type="dxa"/>
                    <w:right w:w="0" w:type="dxa"/>
                  </w:tcMar>
                </w:tcPr>
                <w:p>
                  <w:pPr>
                    <w:rPr>
                      <w:sz w:val="2"/>
                      <w:lang w:val="fr-FR"/>
                    </w:rPr>
                  </w:pPr>
                </w:p>
              </w:tc>
              <w:tc>
                <w:tcPr>
                  <w:tcW w:w="7300" w:type="dxa"/>
                  <w:vMerge w:val="restart"/>
                  <w:tcMar>
                    <w:top w:w="0" w:type="dxa"/>
                    <w:left w:w="0" w:type="dxa"/>
                    <w:bottom w:w="0" w:type="dxa"/>
                    <w:right w:w="0" w:type="dxa"/>
                  </w:tcMar>
                  <w:vAlign w:val="center"/>
                </w:tcPr>
                <w:p>
                  <w:pPr>
                    <w:jc w:val="both"/>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La réponse à la solution de base est obligatoire.</w:t>
                  </w:r>
                </w:p>
              </w:tc>
            </w:tr>
            <w:tr>
              <w:trPr>
                <w:trHeight w:val="385"/>
              </w:trPr>
              <w:tc>
                <w:tcPr>
                  <w:tcW w:w="400" w:type="dxa"/>
                  <w:tcMar>
                    <w:top w:w="0" w:type="dxa"/>
                    <w:left w:w="0" w:type="dxa"/>
                    <w:bottom w:w="0" w:type="dxa"/>
                    <w:right w:w="0" w:type="dxa"/>
                  </w:tcMar>
                </w:tcPr>
                <w:p>
                  <w:pPr>
                    <w:rPr>
                      <w:sz w:val="2"/>
                    </w:rPr>
                  </w:pPr>
                  <w:r>
                    <w:pict>
                      <v:shape id="_x0000_i1039" type="#_x0000_t75" style="width:20.25pt;height:20.25pt">
                        <v:imagedata r:id="rId21" o:title=""/>
                      </v:shape>
                    </w:pict>
                  </w:r>
                </w:p>
              </w:tc>
              <w:tc>
                <w:tcPr>
                  <w:tcW w:w="300" w:type="dxa"/>
                  <w:tcMar>
                    <w:top w:w="0" w:type="dxa"/>
                    <w:left w:w="0" w:type="dxa"/>
                    <w:bottom w:w="0" w:type="dxa"/>
                    <w:right w:w="0" w:type="dxa"/>
                  </w:tcMar>
                </w:tcPr>
                <w:p>
                  <w:pPr>
                    <w:rPr>
                      <w:sz w:val="2"/>
                    </w:rPr>
                  </w:pPr>
                </w:p>
              </w:tc>
              <w:tc>
                <w:tcPr>
                  <w:tcW w:w="7300" w:type="dxa"/>
                  <w:vMerge/>
                  <w:tcMar>
                    <w:top w:w="0" w:type="dxa"/>
                    <w:left w:w="0" w:type="dxa"/>
                    <w:bottom w:w="0" w:type="dxa"/>
                    <w:right w:w="0" w:type="dxa"/>
                  </w:tcMar>
                </w:tcPr>
                <w:p/>
              </w:tc>
            </w:tr>
            <w:tr>
              <w:trPr>
                <w:trHeight w:val="45"/>
              </w:trPr>
              <w:tc>
                <w:tcPr>
                  <w:tcW w:w="400" w:type="dxa"/>
                  <w:tcMar>
                    <w:top w:w="0" w:type="dxa"/>
                    <w:left w:w="0" w:type="dxa"/>
                    <w:bottom w:w="0" w:type="dxa"/>
                    <w:right w:w="0" w:type="dxa"/>
                  </w:tcMar>
                </w:tcPr>
                <w:p>
                  <w:pPr>
                    <w:rPr>
                      <w:sz w:val="2"/>
                    </w:rPr>
                  </w:pPr>
                </w:p>
              </w:tc>
              <w:tc>
                <w:tcPr>
                  <w:tcW w:w="300" w:type="dxa"/>
                  <w:tcMar>
                    <w:top w:w="0" w:type="dxa"/>
                    <w:left w:w="0" w:type="dxa"/>
                    <w:bottom w:w="0" w:type="dxa"/>
                    <w:right w:w="0" w:type="dxa"/>
                  </w:tcMar>
                </w:tcPr>
                <w:p>
                  <w:pPr>
                    <w:rPr>
                      <w:sz w:val="2"/>
                    </w:rPr>
                  </w:pPr>
                </w:p>
              </w:tc>
              <w:tc>
                <w:tcPr>
                  <w:tcW w:w="7300" w:type="dxa"/>
                  <w:vMerge/>
                  <w:tcMar>
                    <w:top w:w="0" w:type="dxa"/>
                    <w:left w:w="0" w:type="dxa"/>
                    <w:bottom w:w="0" w:type="dxa"/>
                    <w:right w:w="0" w:type="dxa"/>
                  </w:tcMar>
                </w:tcPr>
                <w:p/>
              </w:tc>
            </w:tr>
          </w:tbl>
          <w:p>
            <w:pPr>
              <w:rPr>
                <w:sz w:val="2"/>
              </w:rPr>
            </w:pPr>
          </w:p>
        </w:tc>
      </w:tr>
    </w:tbl>
    <w:p>
      <w:pPr>
        <w:spacing w:line="240" w:lineRule="exact"/>
        <w:rPr>
          <w:lang w:val="fr-FR"/>
        </w:rPr>
      </w:pPr>
      <w:r>
        <w:rPr>
          <w:lang w:val="fr-FR"/>
        </w:rPr>
        <w:t xml:space="preserve"> </w:t>
      </w:r>
    </w:p>
    <w:p>
      <w:pPr>
        <w:pStyle w:val="Titre1"/>
        <w:shd w:val="clear" w:color="2A7CBF" w:fill="2A7CBF"/>
        <w:rPr>
          <w:rFonts w:ascii="Trebuchet MS" w:eastAsia="Trebuchet MS" w:hAnsi="Trebuchet MS" w:cs="Trebuchet MS"/>
          <w:color w:val="FFFFFF"/>
          <w:sz w:val="28"/>
          <w:lang w:val="fr-FR"/>
        </w:rPr>
      </w:pPr>
      <w:bookmarkStart w:id="24" w:name="ArtL1_RC-2-A5"/>
      <w:bookmarkStart w:id="25" w:name="_Toc256000010"/>
      <w:bookmarkEnd w:id="24"/>
      <w:r>
        <w:rPr>
          <w:rFonts w:ascii="Trebuchet MS" w:eastAsia="Trebuchet MS" w:hAnsi="Trebuchet MS" w:cs="Trebuchet MS"/>
          <w:color w:val="FFFFFF"/>
          <w:sz w:val="28"/>
          <w:lang w:val="fr-FR"/>
        </w:rPr>
        <w:t>3 - Conditions relatives au contrat</w:t>
      </w:r>
      <w:bookmarkEnd w:id="25"/>
    </w:p>
    <w:p>
      <w:pPr>
        <w:spacing w:line="60" w:lineRule="exact"/>
        <w:rPr>
          <w:sz w:val="6"/>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26" w:name="ArtL2_RC-2-A5.1"/>
      <w:bookmarkStart w:id="27" w:name="_Toc256000011"/>
      <w:bookmarkEnd w:id="26"/>
      <w:r>
        <w:rPr>
          <w:rFonts w:ascii="Trebuchet MS" w:eastAsia="Trebuchet MS" w:hAnsi="Trebuchet MS" w:cs="Trebuchet MS"/>
          <w:i w:val="0"/>
          <w:color w:val="000000"/>
          <w:sz w:val="24"/>
          <w:lang w:val="fr-FR"/>
        </w:rPr>
        <w:t>3.1 - Durée du contrat ou délai d'exécution</w:t>
      </w:r>
      <w:bookmarkEnd w:id="27"/>
    </w:p>
    <w:p>
      <w:pPr>
        <w:pStyle w:val="ParagrapheIndent2"/>
        <w:spacing w:after="240"/>
        <w:jc w:val="both"/>
        <w:rPr>
          <w:color w:val="000000"/>
          <w:lang w:val="fr-FR"/>
        </w:rPr>
      </w:pPr>
      <w:r>
        <w:rPr>
          <w:color w:val="000000"/>
          <w:lang w:val="fr-FR"/>
        </w:rPr>
        <w:t>La durée du contrat est fixée au CCAP.</w:t>
      </w:r>
    </w:p>
    <w:p>
      <w:pPr>
        <w:pStyle w:val="Titre2"/>
        <w:ind w:left="280"/>
        <w:jc w:val="both"/>
        <w:rPr>
          <w:rFonts w:ascii="Trebuchet MS" w:eastAsia="Trebuchet MS" w:hAnsi="Trebuchet MS" w:cs="Trebuchet MS"/>
          <w:i w:val="0"/>
          <w:color w:val="000000"/>
          <w:sz w:val="24"/>
          <w:lang w:val="fr-FR"/>
        </w:rPr>
      </w:pPr>
      <w:bookmarkStart w:id="28" w:name="ArtL2_RC-2-A5.2"/>
      <w:bookmarkStart w:id="29" w:name="_Toc256000012"/>
      <w:bookmarkEnd w:id="28"/>
      <w:r>
        <w:rPr>
          <w:rFonts w:ascii="Trebuchet MS" w:eastAsia="Trebuchet MS" w:hAnsi="Trebuchet MS" w:cs="Trebuchet MS"/>
          <w:i w:val="0"/>
          <w:color w:val="000000"/>
          <w:sz w:val="24"/>
          <w:lang w:val="fr-FR"/>
        </w:rPr>
        <w:t>3.2 - Modalités essentielles de financement et de paiement</w:t>
      </w:r>
      <w:bookmarkEnd w:id="29"/>
    </w:p>
    <w:p>
      <w:pPr>
        <w:pStyle w:val="ParagrapheIndent2"/>
        <w:spacing w:after="240" w:line="232" w:lineRule="exact"/>
        <w:jc w:val="both"/>
        <w:rPr>
          <w:color w:val="000000"/>
          <w:lang w:val="fr-FR"/>
        </w:rPr>
      </w:pPr>
      <w:r>
        <w:rPr>
          <w:color w:val="000000"/>
          <w:lang w:val="fr-FR"/>
        </w:rPr>
        <w:t>Les sommes dues au(x) titulaire(s) de l'accord-cadre seront payées dans un délai global de 50 jours à compter de la date de réception des factures ou des demandes de paiement équivalentes.</w:t>
      </w:r>
    </w:p>
    <w:p>
      <w:pPr>
        <w:pStyle w:val="Titre2"/>
        <w:ind w:left="280"/>
        <w:jc w:val="both"/>
        <w:rPr>
          <w:rFonts w:ascii="Trebuchet MS" w:eastAsia="Trebuchet MS" w:hAnsi="Trebuchet MS" w:cs="Trebuchet MS"/>
          <w:i w:val="0"/>
          <w:color w:val="000000"/>
          <w:sz w:val="24"/>
          <w:lang w:val="fr-FR"/>
        </w:rPr>
      </w:pPr>
      <w:bookmarkStart w:id="30" w:name="ArtL2_RC-2-A5.4"/>
      <w:bookmarkStart w:id="31" w:name="_Toc256000013"/>
      <w:bookmarkEnd w:id="30"/>
      <w:r>
        <w:rPr>
          <w:rFonts w:ascii="Trebuchet MS" w:eastAsia="Trebuchet MS" w:hAnsi="Trebuchet MS" w:cs="Trebuchet MS"/>
          <w:i w:val="0"/>
          <w:color w:val="000000"/>
          <w:sz w:val="24"/>
          <w:lang w:val="fr-FR"/>
        </w:rPr>
        <w:t>3.3 - Confidentialité et mesures de sécurité</w:t>
      </w:r>
      <w:bookmarkEnd w:id="31"/>
    </w:p>
    <w:p>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pPr>
        <w:pStyle w:val="ParagrapheIndent2"/>
        <w:spacing w:line="232" w:lineRule="exact"/>
        <w:jc w:val="both"/>
        <w:rPr>
          <w:color w:val="000000"/>
          <w:lang w:val="fr-FR"/>
        </w:rPr>
      </w:pPr>
    </w:p>
    <w:p>
      <w:pPr>
        <w:pStyle w:val="ParagrapheIndent2"/>
        <w:spacing w:line="232" w:lineRule="exact"/>
        <w:jc w:val="both"/>
        <w:rPr>
          <w:color w:val="000000"/>
          <w:lang w:val="fr-FR"/>
        </w:rPr>
        <w:sectPr>
          <w:footerReference w:type="default" r:id="rId22"/>
          <w:pgSz w:w="11900" w:h="16840"/>
          <w:pgMar w:top="820" w:right="1140" w:bottom="580" w:left="1140" w:header="820" w:footer="580" w:gutter="0"/>
          <w:cols w:space="708"/>
        </w:sect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r>
        <w:rPr>
          <w:color w:val="000000"/>
          <w:lang w:val="fr-FR"/>
        </w:rPr>
        <w:cr/>
      </w:r>
    </w:p>
    <w:p>
      <w:pPr>
        <w:pStyle w:val="Titre1"/>
        <w:shd w:val="clear" w:color="2A7CBF" w:fill="2A7CBF"/>
        <w:rPr>
          <w:rFonts w:ascii="Trebuchet MS" w:eastAsia="Trebuchet MS" w:hAnsi="Trebuchet MS" w:cs="Trebuchet MS"/>
          <w:color w:val="FFFFFF"/>
          <w:sz w:val="28"/>
          <w:lang w:val="fr-FR"/>
        </w:rPr>
      </w:pPr>
      <w:bookmarkStart w:id="32" w:name="ArtL1_RC-2-A6"/>
      <w:bookmarkStart w:id="33" w:name="_Toc256000014"/>
      <w:bookmarkEnd w:id="32"/>
      <w:r>
        <w:rPr>
          <w:rFonts w:ascii="Trebuchet MS" w:eastAsia="Trebuchet MS" w:hAnsi="Trebuchet MS" w:cs="Trebuchet MS"/>
          <w:color w:val="FFFFFF"/>
          <w:sz w:val="28"/>
          <w:lang w:val="fr-FR"/>
        </w:rPr>
        <w:lastRenderedPageBreak/>
        <w:t>4 - Contenu du dossier de consultation</w:t>
      </w:r>
      <w:bookmarkEnd w:id="33"/>
    </w:p>
    <w:p>
      <w:pPr>
        <w:spacing w:line="60" w:lineRule="exact"/>
        <w:rPr>
          <w:sz w:val="6"/>
          <w:lang w:val="fr-FR"/>
        </w:rPr>
      </w:pPr>
      <w:r>
        <w:rPr>
          <w:lang w:val="fr-FR"/>
        </w:rPr>
        <w:t xml:space="preserve"> </w:t>
      </w:r>
    </w:p>
    <w:p>
      <w:pPr>
        <w:pStyle w:val="ParagrapheIndent1"/>
        <w:spacing w:line="232" w:lineRule="exact"/>
        <w:jc w:val="both"/>
        <w:rPr>
          <w:color w:val="000000"/>
          <w:lang w:val="fr-FR"/>
        </w:rPr>
      </w:pPr>
      <w:r>
        <w:rPr>
          <w:color w:val="000000"/>
          <w:lang w:val="fr-FR"/>
        </w:rPr>
        <w:t>Le dossier de consultation des entreprises (DCE) contient les pièces suivantes :</w:t>
      </w:r>
    </w:p>
    <w:p>
      <w:pPr>
        <w:pStyle w:val="ParagrapheIndent1"/>
        <w:spacing w:line="232" w:lineRule="exact"/>
        <w:jc w:val="both"/>
        <w:rPr>
          <w:color w:val="000000"/>
          <w:lang w:val="fr-FR"/>
        </w:rPr>
      </w:pPr>
      <w:r>
        <w:rPr>
          <w:color w:val="000000"/>
          <w:lang w:val="fr-FR"/>
        </w:rPr>
        <w:t>- Le règlement de la consultation (RC)</w:t>
      </w:r>
    </w:p>
    <w:p>
      <w:pPr>
        <w:pStyle w:val="ParagrapheIndent1"/>
        <w:spacing w:line="232" w:lineRule="exact"/>
        <w:jc w:val="both"/>
        <w:rPr>
          <w:color w:val="000000"/>
          <w:lang w:val="fr-FR"/>
        </w:rPr>
      </w:pPr>
      <w:r>
        <w:rPr>
          <w:color w:val="000000"/>
          <w:lang w:val="fr-FR"/>
        </w:rPr>
        <w:t>- L'acte d'engagement (AE) et ses annexes éventuelles</w:t>
      </w:r>
    </w:p>
    <w:p>
      <w:pPr>
        <w:pStyle w:val="ParagrapheIndent1"/>
        <w:spacing w:line="232" w:lineRule="exact"/>
        <w:jc w:val="both"/>
        <w:rPr>
          <w:color w:val="000000"/>
          <w:lang w:val="fr-FR"/>
        </w:rPr>
      </w:pPr>
      <w:r>
        <w:rPr>
          <w:color w:val="000000"/>
          <w:lang w:val="fr-FR"/>
        </w:rPr>
        <w:t>- Le cahier des clauses administratives particulières (CCAP) et ses annexes éventuelles</w:t>
      </w:r>
    </w:p>
    <w:p>
      <w:pPr>
        <w:pStyle w:val="ParagrapheIndent1"/>
        <w:spacing w:line="232" w:lineRule="exact"/>
        <w:jc w:val="both"/>
        <w:rPr>
          <w:color w:val="000000"/>
          <w:lang w:val="fr-FR"/>
        </w:rPr>
      </w:pPr>
      <w:r>
        <w:rPr>
          <w:color w:val="000000"/>
          <w:lang w:val="fr-FR"/>
        </w:rPr>
        <w:t>- Le cahier des clauses techniques particulières (CCTP) et ses annexes</w:t>
      </w:r>
    </w:p>
    <w:p>
      <w:pPr>
        <w:pStyle w:val="ParagrapheIndent1"/>
        <w:spacing w:line="232" w:lineRule="exact"/>
        <w:jc w:val="both"/>
        <w:rPr>
          <w:color w:val="000000"/>
          <w:lang w:val="fr-FR"/>
        </w:rPr>
      </w:pPr>
      <w:r>
        <w:rPr>
          <w:color w:val="000000"/>
          <w:lang w:val="fr-FR"/>
        </w:rPr>
        <w:t>- Le bordereau des prix unitaires (BPU)</w:t>
      </w:r>
    </w:p>
    <w:p>
      <w:pPr>
        <w:pStyle w:val="ParagrapheIndent1"/>
        <w:spacing w:line="232" w:lineRule="exact"/>
        <w:jc w:val="both"/>
        <w:rPr>
          <w:color w:val="000000"/>
          <w:lang w:val="fr-FR"/>
        </w:rPr>
      </w:pPr>
      <w:r>
        <w:rPr>
          <w:color w:val="000000"/>
          <w:lang w:val="fr-FR"/>
        </w:rPr>
        <w:t>- Les formulaires types (DC4, DC1 et DC2 ou DUME (qui remplacera très prochainement le DC1 et DC2 et simplifie la candidature : pour la création du DUME, l’opérateur économique doit se rendre sur https://dume.chorus-pro.gouv.fr partie entreprise))</w:t>
      </w:r>
    </w:p>
    <w:p>
      <w:pPr>
        <w:pStyle w:val="ParagrapheIndent1"/>
        <w:spacing w:line="232" w:lineRule="exact"/>
        <w:jc w:val="both"/>
        <w:rPr>
          <w:color w:val="000000"/>
          <w:lang w:val="fr-FR"/>
        </w:rPr>
      </w:pPr>
      <w:r>
        <w:rPr>
          <w:color w:val="000000"/>
          <w:lang w:val="fr-FR"/>
        </w:rPr>
        <w:t>- Le Détail Quantitatif Estimatif (DQE)</w:t>
      </w:r>
    </w:p>
    <w:p>
      <w:pPr>
        <w:pStyle w:val="ParagrapheIndent1"/>
        <w:spacing w:line="232" w:lineRule="exact"/>
        <w:jc w:val="both"/>
        <w:rPr>
          <w:color w:val="000000"/>
          <w:lang w:val="fr-FR"/>
        </w:rPr>
      </w:pPr>
      <w:r>
        <w:rPr>
          <w:color w:val="000000"/>
          <w:lang w:val="fr-FR"/>
        </w:rPr>
        <w:t>- Le cadre de réponse complété par le candidat (annexe 3)</w:t>
      </w:r>
    </w:p>
    <w:p>
      <w:pPr>
        <w:pStyle w:val="ParagrapheIndent1"/>
        <w:spacing w:after="240" w:line="232" w:lineRule="exact"/>
        <w:jc w:val="both"/>
        <w:rPr>
          <w:color w:val="000000"/>
          <w:lang w:val="fr-FR"/>
        </w:rPr>
      </w:pPr>
    </w:p>
    <w:p>
      <w:pPr>
        <w:pStyle w:val="ParagrapheIndent1"/>
        <w:spacing w:after="240"/>
        <w:jc w:val="both"/>
        <w:rPr>
          <w:color w:val="000000"/>
          <w:lang w:val="fr-FR"/>
        </w:rPr>
      </w:pPr>
      <w:r>
        <w:rPr>
          <w:color w:val="000000"/>
          <w:lang w:val="fr-FR"/>
        </w:rPr>
        <w:t>Il est remis gratuitement à chaque candidat.</w:t>
      </w:r>
    </w:p>
    <w:p>
      <w:pPr>
        <w:pStyle w:val="ParagrapheIndent1"/>
        <w:spacing w:after="240"/>
        <w:jc w:val="both"/>
        <w:rPr>
          <w:color w:val="000000"/>
          <w:lang w:val="fr-FR"/>
        </w:rPr>
      </w:pPr>
      <w:r>
        <w:rPr>
          <w:color w:val="000000"/>
          <w:lang w:val="fr-FR"/>
        </w:rPr>
        <w:t>Aucune demande d'envoi du DCE sur support physique électronique n'est autorisée.</w:t>
      </w:r>
    </w:p>
    <w:p>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8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pPr>
        <w:pStyle w:val="ParagrapheIndent1"/>
        <w:spacing w:line="232" w:lineRule="exact"/>
        <w:jc w:val="both"/>
        <w:rPr>
          <w:color w:val="000000"/>
          <w:lang w:val="fr-FR"/>
        </w:rPr>
      </w:pPr>
    </w:p>
    <w:p>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pPr>
        <w:pStyle w:val="ParagrapheIndent2"/>
        <w:spacing w:after="240" w:line="232" w:lineRule="exact"/>
        <w:jc w:val="both"/>
        <w:rPr>
          <w:color w:val="000000"/>
          <w:lang w:val="fr-FR"/>
        </w:rPr>
      </w:pPr>
      <w:r>
        <w:rPr>
          <w:b/>
          <w:color w:val="000000"/>
          <w:u w:val="single"/>
          <w:lang w:val="fr-FR"/>
        </w:rPr>
        <w:t xml:space="preserve">Attention : </w:t>
      </w:r>
      <w:r>
        <w:rPr>
          <w:color w:val="000000"/>
          <w:lang w:val="fr-FR"/>
        </w:rPr>
        <w:t>seules les annexes contenues dans le DCE ont valeur contractuelle. Sauf disposition expresse contraire, les candidats ne sont pas autorisés à proposer leur propre bordereau de prix. Si les candidats fournissent l’annexe de bordereau des prix ainsi que leur propre bordereau de prix et que des divergences apparaissent entre les deux documents, le CHU de BESANCON considèrera qu’il s’agit de deux offres distinctes et les rejettera.</w:t>
      </w:r>
    </w:p>
    <w:p>
      <w:pPr>
        <w:pStyle w:val="Titre1"/>
        <w:shd w:val="clear" w:color="2A7CBF" w:fill="2A7CBF"/>
        <w:rPr>
          <w:rFonts w:ascii="Trebuchet MS" w:eastAsia="Trebuchet MS" w:hAnsi="Trebuchet MS" w:cs="Trebuchet MS"/>
          <w:color w:val="FFFFFF"/>
          <w:sz w:val="28"/>
          <w:lang w:val="fr-FR"/>
        </w:rPr>
      </w:pPr>
      <w:bookmarkStart w:id="34" w:name="ArtL1_RC-2-A7"/>
      <w:bookmarkStart w:id="35" w:name="_Toc256000015"/>
      <w:bookmarkEnd w:id="34"/>
      <w:r>
        <w:rPr>
          <w:rFonts w:ascii="Trebuchet MS" w:eastAsia="Trebuchet MS" w:hAnsi="Trebuchet MS" w:cs="Trebuchet MS"/>
          <w:color w:val="FFFFFF"/>
          <w:sz w:val="28"/>
          <w:lang w:val="fr-FR"/>
        </w:rPr>
        <w:t>5 - Présentation des candidatures et des offres</w:t>
      </w:r>
      <w:bookmarkEnd w:id="35"/>
    </w:p>
    <w:p>
      <w:pPr>
        <w:spacing w:line="60" w:lineRule="exact"/>
        <w:rPr>
          <w:sz w:val="6"/>
          <w:lang w:val="fr-FR"/>
        </w:rPr>
      </w:pPr>
      <w:r>
        <w:rPr>
          <w:lang w:val="fr-FR"/>
        </w:rPr>
        <w:t xml:space="preserve"> </w:t>
      </w:r>
    </w:p>
    <w:p>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pPr>
        <w:pStyle w:val="Titre2"/>
        <w:ind w:left="280"/>
        <w:jc w:val="both"/>
        <w:rPr>
          <w:rFonts w:ascii="Trebuchet MS" w:eastAsia="Trebuchet MS" w:hAnsi="Trebuchet MS" w:cs="Trebuchet MS"/>
          <w:i w:val="0"/>
          <w:color w:val="000000"/>
          <w:sz w:val="24"/>
          <w:lang w:val="fr-FR"/>
        </w:rPr>
      </w:pPr>
      <w:bookmarkStart w:id="36" w:name="ArtL2_RC-2-A7.5"/>
      <w:bookmarkStart w:id="37" w:name="_Toc256000016"/>
      <w:bookmarkEnd w:id="36"/>
      <w:r>
        <w:rPr>
          <w:rFonts w:ascii="Trebuchet MS" w:eastAsia="Trebuchet MS" w:hAnsi="Trebuchet MS" w:cs="Trebuchet MS"/>
          <w:i w:val="0"/>
          <w:color w:val="000000"/>
          <w:sz w:val="24"/>
          <w:lang w:val="fr-FR"/>
        </w:rPr>
        <w:t>5.1 - Documents à produire</w:t>
      </w:r>
      <w:bookmarkEnd w:id="37"/>
    </w:p>
    <w:p>
      <w:pPr>
        <w:pStyle w:val="ParagrapheIndent2"/>
        <w:spacing w:line="232" w:lineRule="exact"/>
        <w:jc w:val="both"/>
        <w:rPr>
          <w:color w:val="000000"/>
          <w:lang w:val="fr-FR"/>
        </w:rPr>
      </w:pPr>
      <w:r>
        <w:rPr>
          <w:color w:val="000000"/>
          <w:lang w:val="fr-FR"/>
        </w:rPr>
        <w:t>Chaque candidat aura à produire un dossier complet comprenant les pièces suivantes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Renseignements concernant la situation juridique de l'entreprise :</w:t>
      </w:r>
    </w:p>
    <w:p>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trPr>
          <w:trHeight w:val="814"/>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 en application des articles L2141-1 à L2141-5 et L2141-7 à L2141-11 notamment qu’il satisfait aux obligations concernant l’emploi des travailleurs handicapés définies aux articles L.5212-1 à L5212-11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pPr>
        <w:spacing w:after="220" w:line="240" w:lineRule="exact"/>
      </w:pPr>
      <w:r>
        <w:t xml:space="preserve"> </w:t>
      </w:r>
    </w:p>
    <w:p>
      <w:pPr>
        <w:spacing w:line="240" w:lineRule="exact"/>
        <w:rPr>
          <w:rFonts w:ascii="Trebuchet MS" w:eastAsia="Trebuchet MS" w:hAnsi="Trebuchet MS" w:cs="Trebuchet MS"/>
          <w:color w:val="000000"/>
          <w:sz w:val="20"/>
        </w:rPr>
      </w:pPr>
    </w:p>
    <w:p>
      <w:pPr>
        <w:spacing w:line="240" w:lineRule="exact"/>
        <w:rPr>
          <w:rFonts w:ascii="Trebuchet MS" w:eastAsia="Trebuchet MS" w:hAnsi="Trebuchet MS" w:cs="Trebuchet MS"/>
          <w:color w:val="000000"/>
          <w:sz w:val="20"/>
        </w:rPr>
      </w:pPr>
    </w:p>
    <w:p>
      <w:pPr>
        <w:spacing w:line="240" w:lineRule="exact"/>
        <w:rPr>
          <w:rFonts w:ascii="Trebuchet MS" w:eastAsia="Trebuchet MS" w:hAnsi="Trebuchet MS" w:cs="Trebuchet MS"/>
          <w:color w:val="000000"/>
          <w:sz w:val="20"/>
        </w:rPr>
      </w:pPr>
    </w:p>
    <w:p>
      <w:pPr>
        <w:spacing w:line="240" w:lineRule="exact"/>
        <w:rPr>
          <w:rFonts w:ascii="Trebuchet MS" w:eastAsia="Trebuchet MS" w:hAnsi="Trebuchet MS" w:cs="Trebuchet MS"/>
          <w:color w:val="000000"/>
          <w:sz w:val="20"/>
        </w:rPr>
      </w:pPr>
    </w:p>
    <w:p>
      <w:pPr>
        <w:spacing w:line="240"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Renseignements concernant la capacité économique et financière de l'entreprise :</w:t>
      </w:r>
    </w:p>
    <w:p>
      <w:pPr>
        <w:spacing w:line="240" w:lineRule="exact"/>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8000"/>
        <w:gridCol w:w="1600"/>
      </w:tblGrid>
      <w:tr>
        <w:trPr>
          <w:trHeight w:val="505"/>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line="240"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line="240"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trPr>
          <w:trHeight w:val="52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40"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40"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pPr>
        <w:spacing w:line="240" w:lineRule="exact"/>
        <w:rPr>
          <w:rFonts w:ascii="Trebuchet MS" w:eastAsia="Trebuchet MS" w:hAnsi="Trebuchet MS" w:cs="Trebuchet MS"/>
          <w:color w:val="000000"/>
          <w:sz w:val="20"/>
        </w:rPr>
      </w:pPr>
      <w:r>
        <w:rPr>
          <w:rFonts w:ascii="Trebuchet MS" w:eastAsia="Trebuchet MS" w:hAnsi="Trebuchet MS" w:cs="Trebuchet MS"/>
          <w:color w:val="000000"/>
          <w:sz w:val="20"/>
        </w:rPr>
        <w:t xml:space="preserve"> </w:t>
      </w:r>
    </w:p>
    <w:p>
      <w:pPr>
        <w:spacing w:line="240" w:lineRule="exact"/>
        <w:rPr>
          <w:rFonts w:ascii="Trebuchet MS" w:eastAsia="Trebuchet MS" w:hAnsi="Trebuchet MS" w:cs="Trebuchet MS"/>
          <w:color w:val="000000"/>
          <w:sz w:val="20"/>
        </w:rPr>
      </w:pPr>
    </w:p>
    <w:p>
      <w:pPr>
        <w:spacing w:line="240"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Renseignements concernant les références professionnelles et la capacité technique de l'entreprise :</w:t>
      </w:r>
    </w:p>
    <w:p>
      <w:pPr>
        <w:spacing w:line="240" w:lineRule="exact"/>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8000"/>
        <w:gridCol w:w="1600"/>
      </w:tblGrid>
      <w:tr>
        <w:trPr>
          <w:trHeight w:val="505"/>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line="240"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line="240"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trPr>
          <w:trHeight w:val="52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40"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40" w:lineRule="exac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pPr>
        <w:spacing w:after="220" w:line="240" w:lineRule="exact"/>
      </w:pPr>
    </w:p>
    <w:p>
      <w:pPr>
        <w:pStyle w:val="ParagrapheIndent2"/>
        <w:spacing w:line="232" w:lineRule="exact"/>
        <w:jc w:val="both"/>
        <w:rPr>
          <w:color w:val="000000"/>
          <w:lang w:val="fr-FR"/>
        </w:rPr>
      </w:pPr>
      <w:r>
        <w:rPr>
          <w:color w:val="000000"/>
          <w:lang w:val="fr-FR"/>
        </w:rPr>
        <w:t>Pour présenter leur candidature, les candidats peuvent utiliser les formulaires DC1 (lettre de candidature) et DC2 (déclaration du candidat). Ces documents sont disponibles gratuitement sur le site www.economie.</w:t>
      </w:r>
      <w:r>
        <w:rPr>
          <w:color w:val="000000"/>
          <w:lang w:val="fr-FR"/>
        </w:rPr>
        <w:cr/>
        <w:t>gouv.fr.</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Ils peuvent aussi utiliser le Document Unique de Marché Européen (DUME).</w:t>
      </w:r>
    </w:p>
    <w:p>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pPr>
        <w:pStyle w:val="ParagrapheIndent2"/>
        <w:spacing w:after="40" w:line="232" w:lineRule="exact"/>
        <w:jc w:val="both"/>
        <w:rPr>
          <w:color w:val="000000"/>
          <w:lang w:val="fr-FR"/>
        </w:rPr>
        <w:sectPr>
          <w:footerReference w:type="default" r:id="rId23"/>
          <w:pgSz w:w="11900" w:h="16840"/>
          <w:pgMar w:top="580" w:right="1140" w:bottom="580" w:left="1140" w:header="580" w:footer="580" w:gutter="0"/>
          <w:cols w:space="708"/>
        </w:sectPr>
      </w:pPr>
    </w:p>
    <w:p>
      <w:pPr>
        <w:rPr>
          <w:lang w:val="fr-FR"/>
        </w:rPr>
      </w:pPr>
    </w:p>
    <w:p>
      <w:pPr>
        <w:pStyle w:val="ParagrapheIndent2"/>
        <w:spacing w:line="232" w:lineRule="exact"/>
        <w:jc w:val="both"/>
        <w:rPr>
          <w:color w:val="000000"/>
          <w:lang w:val="fr-FR"/>
        </w:rPr>
      </w:pPr>
      <w:r>
        <w:rPr>
          <w:color w:val="000000"/>
          <w:lang w:val="fr-FR"/>
        </w:rPr>
        <w:t>Pièces de l'offre :</w:t>
      </w:r>
    </w:p>
    <w:p>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trPr>
          <w:trHeight w:val="12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technique qui devra comporter les éléments ci-dessous:</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l'organisation de l'entreprise</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les modalités de commande et de livraison</w:t>
            </w:r>
          </w:p>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les éléments permettant de répondre aux critères de développement durable et technique</w:t>
            </w:r>
          </w:p>
          <w:p>
            <w:pPr>
              <w:spacing w:line="232" w:lineRule="exact"/>
              <w:ind w:left="80" w:right="80"/>
              <w:jc w:val="both"/>
              <w:rPr>
                <w:rFonts w:ascii="Trebuchet MS" w:eastAsia="Trebuchet MS" w:hAnsi="Trebuchet MS" w:cs="Trebuchet MS"/>
                <w:color w:val="000000"/>
                <w:sz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fiches techniques correspondant aux produits et prestations proposés par le candidat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(BPU) (annexe 1)</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Détail Quantitatif Estimatif (DQE) (annexe 2)</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cadre de réponse technique complété (annexe 3 du RC). Ce document est obligatoire pour l’analyse des critères techniques.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pPr>
        <w:spacing w:after="220" w:line="240" w:lineRule="exact"/>
      </w:pPr>
      <w:r>
        <w:t xml:space="preserve"> </w:t>
      </w:r>
    </w:p>
    <w:p>
      <w:pPr>
        <w:pStyle w:val="ParagrapheIndent3"/>
        <w:spacing w:line="232" w:lineRule="exact"/>
        <w:jc w:val="both"/>
        <w:rPr>
          <w:color w:val="000000"/>
          <w:lang w:val="fr-FR"/>
        </w:rPr>
      </w:pPr>
      <w:r>
        <w:rPr>
          <w:color w:val="000000"/>
          <w:lang w:val="fr-FR"/>
        </w:rPr>
        <w:t xml:space="preserve">Afin d’éviter tout retard dans la notification ainsi que toute démarche supplémentaire, les candidats ont la </w:t>
      </w:r>
      <w:r>
        <w:rPr>
          <w:b/>
          <w:color w:val="000000"/>
          <w:lang w:val="fr-FR"/>
        </w:rPr>
        <w:t>possibilité de compléter et signer le formulaire ATTRI1</w:t>
      </w:r>
      <w:r>
        <w:rPr>
          <w:color w:val="000000"/>
          <w:lang w:val="fr-FR"/>
        </w:rPr>
        <w:t xml:space="preserve"> (acte d’engagement). La signature du formulaire est possible mais n’est pas obligatoire; seul le candidat dont l’offre est retenue est tenu de le signer.</w:t>
      </w:r>
      <w:r>
        <w:rPr>
          <w:b/>
          <w:color w:val="000000"/>
          <w:lang w:val="fr-FR"/>
        </w:rPr>
        <w:t xml:space="preserve"> La signature électronique n’est pas obligatoire mais fortement conseillée.</w:t>
      </w:r>
      <w:r>
        <w:rPr>
          <w:color w:val="000000"/>
          <w:lang w:val="fr-FR"/>
        </w:rPr>
        <w:t> </w:t>
      </w:r>
    </w:p>
    <w:p>
      <w:pPr>
        <w:pStyle w:val="ParagrapheIndent3"/>
        <w:spacing w:after="240" w:line="232" w:lineRule="exact"/>
        <w:jc w:val="both"/>
        <w:rPr>
          <w:color w:val="000000"/>
          <w:lang w:val="fr-FR"/>
        </w:rPr>
      </w:pPr>
      <w:r>
        <w:rPr>
          <w:color w:val="000000"/>
          <w:lang w:val="fr-FR"/>
        </w:rPr>
        <w:t>Les candidats sont, à défaut, informés que seul le dépôt de leur offre (offre financière, BPU, autre annexes financières) vaut engagement de leur part à signer ultérieurement le marché qui sera attribué, aux conditions de l’offre transmise: tout défaut de signature, retard ou réticence exposera le candidat auteur de l’offre retenue à une action en responsabilité.</w:t>
      </w:r>
    </w:p>
    <w:p>
      <w:pPr>
        <w:pStyle w:val="Titre2"/>
        <w:ind w:left="280"/>
        <w:jc w:val="both"/>
        <w:rPr>
          <w:rFonts w:ascii="Trebuchet MS" w:eastAsia="Trebuchet MS" w:hAnsi="Trebuchet MS" w:cs="Trebuchet MS"/>
          <w:i w:val="0"/>
          <w:color w:val="000000"/>
          <w:sz w:val="24"/>
          <w:lang w:val="fr-FR"/>
        </w:rPr>
      </w:pPr>
      <w:bookmarkStart w:id="38" w:name="ArtL2_RC-2-A7.6"/>
      <w:bookmarkStart w:id="39" w:name="ArtL2_RC-2-A7.8"/>
      <w:bookmarkStart w:id="40" w:name="_Toc256000018"/>
      <w:bookmarkEnd w:id="38"/>
      <w:bookmarkEnd w:id="39"/>
      <w:r>
        <w:rPr>
          <w:rFonts w:ascii="Trebuchet MS" w:eastAsia="Trebuchet MS" w:hAnsi="Trebuchet MS" w:cs="Trebuchet MS"/>
          <w:i w:val="0"/>
          <w:color w:val="000000"/>
          <w:sz w:val="24"/>
          <w:lang w:val="fr-FR"/>
        </w:rPr>
        <w:t>5.2 - Echantillons, maquettes ou prototypes</w:t>
      </w:r>
      <w:bookmarkEnd w:id="40"/>
    </w:p>
    <w:p>
      <w:pPr>
        <w:pStyle w:val="ParagrapheIndent2"/>
        <w:spacing w:line="232" w:lineRule="exact"/>
        <w:jc w:val="both"/>
        <w:rPr>
          <w:color w:val="000000"/>
          <w:lang w:val="fr-FR"/>
        </w:rPr>
      </w:pPr>
      <w:r>
        <w:rPr>
          <w:color w:val="000000"/>
          <w:lang w:val="fr-FR"/>
        </w:rPr>
        <w:t>Afin d'optimiser l'analyse des offres, les candidats fourniront les échantillons, maquettes ou prototypes suivants :</w:t>
      </w:r>
    </w:p>
    <w:p>
      <w:pPr>
        <w:pStyle w:val="ParagrapheIndent2"/>
        <w:spacing w:after="40" w:line="232" w:lineRule="exact"/>
        <w:jc w:val="both"/>
        <w:rPr>
          <w:color w:val="000000"/>
          <w:lang w:val="fr-FR"/>
        </w:rPr>
      </w:pPr>
      <w:r>
        <w:rPr>
          <w:color w:val="000000"/>
          <w:lang w:val="fr-FR"/>
        </w:rPr>
        <w:t xml:space="preserve">Les échantillons devront être fournis pour tous les lots gratuitement. Toutefois, le candidat peut demander la facturation des échantillons aux prix indiqués dans le BPU au moment du dépôt de son offre à l'adresse suivante : marches-dsha@chu-besancon.fr. Les candidats sont invités à indiquer dans leur offre s’ils souhaitent récupérer les échantillons fournis gratuitement. À défaut de précision, les échantillons non réclamés dans un délai de 30 jours à compter de la notification du marché au titulaire deviendront la propriété de l’acheteur public, sans possibilité de recours. Il en ira de même en cas d’absence de mention explicite dans l’offre quant à leur récupération. </w:t>
      </w:r>
    </w:p>
    <w:p>
      <w:pPr>
        <w:pStyle w:val="ParagrapheIndent2"/>
        <w:spacing w:after="40" w:line="232" w:lineRule="exact"/>
        <w:jc w:val="both"/>
        <w:rPr>
          <w:color w:val="000000"/>
          <w:lang w:val="fr-FR"/>
        </w:rPr>
      </w:pPr>
    </w:p>
    <w:p>
      <w:pPr>
        <w:pStyle w:val="ParagrapheIndent2"/>
        <w:spacing w:after="40" w:line="232" w:lineRule="exact"/>
        <w:jc w:val="both"/>
        <w:rPr>
          <w:color w:val="000000"/>
          <w:lang w:val="fr-FR"/>
        </w:rPr>
      </w:pPr>
      <w:r>
        <w:rPr>
          <w:color w:val="000000"/>
          <w:lang w:val="fr-FR"/>
        </w:rPr>
        <w:t>Les échantillons seront à envoyer à l'adresse: Unité Logistique Monsieur Pierre Marie LERCHE 32 rue de terre rouge 25000 BESANCON Tél: 03.81.66.92.86 Des échantillons sont attendus pour chaque ligne de produit. Ainsi lorsque toutes les tailles sont demandées au sein d’un lot, il est attendu du candidat qu’il fasse parvenir un échantillon de ces dernières. Un seul échantillon par produit est suffisant. La date limite de réception des échantillons est identique à la date limite de réception des offres.</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La livraison des échantillons devra être effectuée à l’adresse suivante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Centre Hospitalier Universitaire Unité Logistique</w:t>
      </w:r>
    </w:p>
    <w:p>
      <w:pPr>
        <w:pStyle w:val="ParagrapheIndent2"/>
        <w:spacing w:line="232" w:lineRule="exact"/>
        <w:jc w:val="both"/>
        <w:rPr>
          <w:color w:val="000000"/>
          <w:lang w:val="fr-FR"/>
        </w:rPr>
      </w:pPr>
      <w:r>
        <w:rPr>
          <w:color w:val="000000"/>
          <w:lang w:val="fr-FR"/>
        </w:rPr>
        <w:t>Monsieur Pierre Marie LERCHE</w:t>
      </w:r>
    </w:p>
    <w:p>
      <w:pPr>
        <w:pStyle w:val="ParagrapheIndent2"/>
        <w:spacing w:line="232" w:lineRule="exact"/>
        <w:jc w:val="both"/>
        <w:rPr>
          <w:color w:val="000000"/>
          <w:lang w:val="fr-FR"/>
        </w:rPr>
      </w:pPr>
      <w:r>
        <w:rPr>
          <w:color w:val="000000"/>
          <w:lang w:val="fr-FR"/>
        </w:rPr>
        <w:t>32 rue de terre rouge</w:t>
      </w:r>
    </w:p>
    <w:p>
      <w:pPr>
        <w:pStyle w:val="ParagrapheIndent2"/>
        <w:spacing w:line="232" w:lineRule="exact"/>
        <w:jc w:val="both"/>
        <w:rPr>
          <w:color w:val="000000"/>
          <w:lang w:val="fr-FR"/>
        </w:rPr>
      </w:pPr>
      <w:r>
        <w:rPr>
          <w:color w:val="000000"/>
          <w:lang w:val="fr-FR"/>
        </w:rPr>
        <w:t>25000 BESANCON</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Le colis devra porter obligatoirement la mention suivante :</w:t>
      </w:r>
    </w:p>
    <w:p>
      <w:pPr>
        <w:pStyle w:val="ParagrapheIndent2"/>
        <w:spacing w:line="232" w:lineRule="exact"/>
        <w:jc w:val="both"/>
        <w:rPr>
          <w:color w:val="000000"/>
          <w:lang w:val="fr-FR"/>
        </w:rPr>
      </w:pPr>
      <w:r>
        <w:rPr>
          <w:color w:val="000000"/>
          <w:lang w:val="fr-FR"/>
        </w:rPr>
        <w:t>MAPA 2025-58</w:t>
      </w:r>
    </w:p>
    <w:p>
      <w:pPr>
        <w:pStyle w:val="ParagrapheIndent2"/>
        <w:spacing w:line="232" w:lineRule="exact"/>
        <w:jc w:val="both"/>
        <w:rPr>
          <w:color w:val="000000"/>
          <w:lang w:val="fr-FR"/>
        </w:rPr>
      </w:pPr>
      <w:r>
        <w:rPr>
          <w:color w:val="000000"/>
          <w:lang w:val="fr-FR"/>
        </w:rPr>
        <w:t>« Groupement de commandes GHT CFC, GHT NFC : Masques chirurgicaux - ECHANTILLONS» Ne pas ouvrir + nom du candidat</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Il sera accompagné d'un bordereau détaillé, établi en double exemplaire, et chaque échantillon portera une étiquette sur laquelle sera indiquée :</w:t>
      </w:r>
    </w:p>
    <w:p>
      <w:pPr>
        <w:pStyle w:val="ParagrapheIndent2"/>
        <w:spacing w:line="232" w:lineRule="exact"/>
        <w:jc w:val="both"/>
        <w:rPr>
          <w:color w:val="000000"/>
          <w:lang w:val="fr-FR"/>
        </w:rPr>
      </w:pPr>
      <w:r>
        <w:rPr>
          <w:color w:val="000000"/>
          <w:lang w:val="fr-FR"/>
        </w:rPr>
        <w:t>- le nom du fournisseur</w:t>
      </w:r>
    </w:p>
    <w:p>
      <w:pPr>
        <w:pStyle w:val="ParagrapheIndent2"/>
        <w:spacing w:line="232" w:lineRule="exact"/>
        <w:jc w:val="both"/>
        <w:rPr>
          <w:color w:val="000000"/>
          <w:lang w:val="fr-FR"/>
        </w:rPr>
      </w:pPr>
      <w:r>
        <w:rPr>
          <w:color w:val="000000"/>
          <w:lang w:val="fr-FR"/>
        </w:rPr>
        <w:t>- le n° de lot</w:t>
      </w:r>
    </w:p>
    <w:p>
      <w:pPr>
        <w:pStyle w:val="ParagrapheIndent2"/>
        <w:spacing w:line="232" w:lineRule="exact"/>
        <w:jc w:val="both"/>
        <w:rPr>
          <w:color w:val="000000"/>
          <w:lang w:val="fr-FR"/>
        </w:rPr>
      </w:pPr>
      <w:r>
        <w:rPr>
          <w:color w:val="000000"/>
          <w:lang w:val="fr-FR"/>
        </w:rPr>
        <w:lastRenderedPageBreak/>
        <w:t>- la désignation</w:t>
      </w:r>
    </w:p>
    <w:p>
      <w:pPr>
        <w:pStyle w:val="ParagrapheIndent2"/>
        <w:spacing w:line="232" w:lineRule="exact"/>
        <w:jc w:val="both"/>
        <w:rPr>
          <w:color w:val="000000"/>
          <w:lang w:val="fr-FR"/>
        </w:rPr>
      </w:pPr>
      <w:r>
        <w:rPr>
          <w:color w:val="000000"/>
          <w:lang w:val="fr-FR"/>
        </w:rPr>
        <w:t>- la référence du produit</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 xml:space="preserve">La non-fourniture d'échantillons, le retard dans l'envoi ou le mauvais étiquetage entraîneront le non-examen de l'offre. A la demande des candidats, les échantillons des candidats non retenus pourront faire l’objet d’une demande de récupération. La demande doit arriver 30 jours au plus tard après la notification du marché auprès de l’Unité logistique : Unité Logistique Monsieur Pierre Marie LERCHE 32 rue de terre rouge 25000 BESANCON - Tél: 03.81.66.92.86 </w:t>
      </w:r>
    </w:p>
    <w:p>
      <w:pPr>
        <w:pStyle w:val="ParagrapheIndent2"/>
        <w:spacing w:after="240" w:line="232" w:lineRule="exact"/>
        <w:jc w:val="both"/>
        <w:rPr>
          <w:color w:val="000000"/>
          <w:lang w:val="fr-FR"/>
        </w:rPr>
      </w:pPr>
    </w:p>
    <w:p>
      <w:pPr>
        <w:pStyle w:val="Titre1"/>
        <w:shd w:val="clear" w:color="2A7CBF" w:fill="2A7CBF"/>
        <w:rPr>
          <w:rFonts w:ascii="Trebuchet MS" w:eastAsia="Trebuchet MS" w:hAnsi="Trebuchet MS" w:cs="Trebuchet MS"/>
          <w:color w:val="FFFFFF"/>
          <w:sz w:val="28"/>
          <w:lang w:val="fr-FR"/>
        </w:rPr>
      </w:pPr>
      <w:bookmarkStart w:id="41" w:name="ArtL1_RC-2-A8"/>
      <w:bookmarkStart w:id="42" w:name="_Toc256000019"/>
      <w:bookmarkEnd w:id="41"/>
      <w:r>
        <w:rPr>
          <w:rFonts w:ascii="Trebuchet MS" w:eastAsia="Trebuchet MS" w:hAnsi="Trebuchet MS" w:cs="Trebuchet MS"/>
          <w:color w:val="FFFFFF"/>
          <w:sz w:val="28"/>
          <w:lang w:val="fr-FR"/>
        </w:rPr>
        <w:t>6 - Conditions d'envoi ou de remise des plis</w:t>
      </w:r>
      <w:bookmarkEnd w:id="42"/>
    </w:p>
    <w:p>
      <w:pPr>
        <w:spacing w:line="60" w:lineRule="exact"/>
        <w:rPr>
          <w:sz w:val="6"/>
          <w:lang w:val="fr-FR"/>
        </w:rPr>
      </w:pPr>
      <w:r>
        <w:rPr>
          <w:lang w:val="fr-FR"/>
        </w:rPr>
        <w:t xml:space="preserve"> </w:t>
      </w:r>
    </w:p>
    <w:p>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pPr>
        <w:pStyle w:val="Titre2"/>
        <w:ind w:left="280"/>
        <w:jc w:val="both"/>
        <w:rPr>
          <w:rFonts w:ascii="Trebuchet MS" w:eastAsia="Trebuchet MS" w:hAnsi="Trebuchet MS" w:cs="Trebuchet MS"/>
          <w:i w:val="0"/>
          <w:color w:val="000000"/>
          <w:sz w:val="24"/>
          <w:lang w:val="fr-FR"/>
        </w:rPr>
      </w:pPr>
      <w:bookmarkStart w:id="43" w:name="ArtL2_RC-2-A8.4"/>
      <w:bookmarkStart w:id="44" w:name="_Toc256000020"/>
      <w:bookmarkEnd w:id="43"/>
      <w:r>
        <w:rPr>
          <w:rFonts w:ascii="Trebuchet MS" w:eastAsia="Trebuchet MS" w:hAnsi="Trebuchet MS" w:cs="Trebuchet MS"/>
          <w:i w:val="0"/>
          <w:color w:val="000000"/>
          <w:sz w:val="24"/>
          <w:lang w:val="fr-FR"/>
        </w:rPr>
        <w:t>6.1 - Transmission électronique</w:t>
      </w:r>
      <w:bookmarkEnd w:id="44"/>
    </w:p>
    <w:p>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pPr>
        <w:pStyle w:val="ParagrapheIndent2"/>
        <w:spacing w:line="232" w:lineRule="exact"/>
        <w:jc w:val="both"/>
        <w:rPr>
          <w:color w:val="000000"/>
          <w:lang w:val="fr-FR"/>
        </w:rPr>
      </w:pP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pPr>
        <w:pStyle w:val="ParagrapheIndent2"/>
        <w:spacing w:line="232" w:lineRule="exact"/>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pPr>
        <w:pStyle w:val="ParagrapheIndent2"/>
        <w:spacing w:after="140" w:line="232" w:lineRule="exact"/>
        <w:jc w:val="both"/>
        <w:rPr>
          <w:color w:val="000000"/>
          <w:lang w:val="fr-FR"/>
        </w:rPr>
        <w:sectPr>
          <w:footerReference w:type="default" r:id="rId24"/>
          <w:pgSz w:w="11900" w:h="16840"/>
          <w:pgMar w:top="580" w:right="1140" w:bottom="580" w:left="1140" w:header="580" w:footer="580" w:gutter="0"/>
          <w:cols w:space="708"/>
        </w:sectPr>
      </w:pPr>
    </w:p>
    <w:p>
      <w:pPr>
        <w:pStyle w:val="ParagrapheIndent2"/>
        <w:spacing w:line="232" w:lineRule="exact"/>
        <w:jc w:val="both"/>
        <w:rPr>
          <w:color w:val="000000"/>
          <w:lang w:val="fr-FR"/>
        </w:rPr>
      </w:pPr>
      <w:r>
        <w:rPr>
          <w:color w:val="000000"/>
          <w:lang w:val="fr-FR"/>
        </w:rPr>
        <w:lastRenderedPageBreak/>
        <w:t>- lorsque le pli électronique est reçu de façon incomplète, hors délai ou n'a pu être ouvert, à condition que sa transmission ait commencé avant la clôture de la remise des plis.</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La copie de sauvegarde peut être transmise ou déposée à l'adresse suivante :</w:t>
      </w:r>
    </w:p>
    <w:p>
      <w:pPr>
        <w:pStyle w:val="ParagrapheIndent2"/>
        <w:spacing w:line="232" w:lineRule="exact"/>
        <w:jc w:val="both"/>
        <w:rPr>
          <w:color w:val="000000"/>
          <w:lang w:val="fr-FR"/>
        </w:rPr>
      </w:pPr>
      <w:r>
        <w:rPr>
          <w:color w:val="000000"/>
          <w:lang w:val="fr-FR"/>
        </w:rPr>
        <w:t>CHU de BESANCON</w:t>
      </w:r>
    </w:p>
    <w:p>
      <w:pPr>
        <w:pStyle w:val="ParagrapheIndent2"/>
        <w:spacing w:line="232" w:lineRule="exact"/>
        <w:jc w:val="both"/>
        <w:rPr>
          <w:color w:val="000000"/>
          <w:lang w:val="fr-FR"/>
        </w:rPr>
      </w:pPr>
      <w:r>
        <w:rPr>
          <w:color w:val="000000"/>
          <w:lang w:val="fr-FR"/>
        </w:rPr>
        <w:t>DSHA Bâtiment blanc +2</w:t>
      </w:r>
    </w:p>
    <w:p>
      <w:pPr>
        <w:pStyle w:val="ParagrapheIndent2"/>
        <w:spacing w:line="232" w:lineRule="exact"/>
        <w:jc w:val="both"/>
        <w:rPr>
          <w:color w:val="000000"/>
          <w:lang w:val="fr-FR"/>
        </w:rPr>
      </w:pPr>
      <w:r>
        <w:rPr>
          <w:color w:val="000000"/>
          <w:lang w:val="fr-FR"/>
        </w:rPr>
        <w:t>3 Boulevard Alexandre Fleming</w:t>
      </w:r>
    </w:p>
    <w:p>
      <w:pPr>
        <w:pStyle w:val="ParagrapheIndent2"/>
        <w:spacing w:line="232" w:lineRule="exact"/>
        <w:jc w:val="both"/>
        <w:rPr>
          <w:color w:val="000000"/>
          <w:lang w:val="fr-FR"/>
        </w:rPr>
      </w:pPr>
      <w:r>
        <w:rPr>
          <w:color w:val="000000"/>
          <w:lang w:val="fr-FR"/>
        </w:rPr>
        <w:t>25030 BESANCON Cedex</w:t>
      </w:r>
    </w:p>
    <w:p>
      <w:pPr>
        <w:pStyle w:val="ParagrapheIndent2"/>
        <w:spacing w:after="240" w:line="232" w:lineRule="exact"/>
        <w:jc w:val="both"/>
        <w:rPr>
          <w:color w:val="000000"/>
          <w:lang w:val="fr-FR"/>
        </w:rPr>
      </w:pPr>
    </w:p>
    <w:p>
      <w:pPr>
        <w:pStyle w:val="ParagrapheIndent2"/>
        <w:spacing w:line="232" w:lineRule="exact"/>
        <w:jc w:val="both"/>
        <w:rPr>
          <w:color w:val="000000"/>
          <w:lang w:val="fr-FR"/>
        </w:rPr>
      </w:pPr>
      <w:r>
        <w:rPr>
          <w:color w:val="000000"/>
          <w:lang w:val="fr-FR"/>
        </w:rPr>
        <w:t>Les formats électroniques dans lesquels les documents peuvent être transmis sont les suivants : WORD, EXCEL, POWERPOINT, ACROBAT RIDER 5.0, PDF.</w:t>
      </w:r>
    </w:p>
    <w:p>
      <w:pPr>
        <w:pStyle w:val="ParagrapheIndent2"/>
        <w:spacing w:line="232" w:lineRule="exact"/>
        <w:jc w:val="both"/>
        <w:rPr>
          <w:color w:val="000000"/>
          <w:lang w:val="fr-FR"/>
        </w:rPr>
      </w:pPr>
      <w:r>
        <w:rPr>
          <w:color w:val="000000"/>
          <w:lang w:val="fr-FR"/>
        </w:rPr>
        <w:t>Le bordereau de prix sera communiqué au format EXCEL de préférence.</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Le soumissionnaire ne doit utiliser notamment les "exe", ni les "macros".</w:t>
      </w:r>
    </w:p>
    <w:p>
      <w:pPr>
        <w:pStyle w:val="ParagrapheIndent2"/>
        <w:spacing w:after="240"/>
        <w:jc w:val="both"/>
        <w:rPr>
          <w:color w:val="000000"/>
          <w:lang w:val="fr-FR"/>
        </w:rPr>
      </w:pPr>
      <w:r>
        <w:rPr>
          <w:color w:val="000000"/>
          <w:lang w:val="fr-FR"/>
        </w:rPr>
        <w:t>La taille maximum acceptée pour un pli électronique est de 999 Mo.</w:t>
      </w:r>
    </w:p>
    <w:p>
      <w:pPr>
        <w:pStyle w:val="ParagrapheIndent2"/>
        <w:spacing w:after="240"/>
        <w:jc w:val="both"/>
        <w:rPr>
          <w:color w:val="000000"/>
          <w:lang w:val="fr-FR"/>
        </w:rPr>
      </w:pPr>
      <w:r>
        <w:rPr>
          <w:color w:val="000000"/>
          <w:lang w:val="fr-FR"/>
        </w:rPr>
        <w:t>La signature électronique des documents n'est pas exigée dans le cadre de cette consultation.</w:t>
      </w:r>
    </w:p>
    <w:p>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pPr>
        <w:pStyle w:val="ParagrapheIndent2"/>
        <w:spacing w:line="232" w:lineRule="exact"/>
        <w:jc w:val="both"/>
        <w:rPr>
          <w:color w:val="000000"/>
          <w:lang w:val="fr-FR"/>
        </w:rPr>
      </w:pPr>
      <w:r>
        <w:rPr>
          <w:color w:val="000000"/>
          <w:lang w:val="fr-FR"/>
        </w:rPr>
        <w:t>Les frais d'accès au réseau et de recours à la signature électronique sont à la charge des candidats.</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Pour faciliter la signature et l'envoi de vos fichiers, les copier sur des disques durs « locaux » et éviter la sélection à partir de disques durs réseaux, clés USB ou disques « virtuels ». Éviter les caractères spéciaux et accentués.</w:t>
      </w:r>
    </w:p>
    <w:p>
      <w:pPr>
        <w:pStyle w:val="ParagrapheIndent2"/>
        <w:spacing w:after="240" w:line="232" w:lineRule="exact"/>
        <w:jc w:val="both"/>
        <w:rPr>
          <w:color w:val="000000"/>
          <w:lang w:val="fr-FR"/>
        </w:rPr>
      </w:pPr>
    </w:p>
    <w:tbl>
      <w:tblPr>
        <w:tblW w:w="0" w:type="auto"/>
        <w:tblInd w:w="500" w:type="dxa"/>
        <w:tblLayout w:type="fixed"/>
        <w:tblLook w:val="04A0" w:firstRow="1" w:lastRow="0" w:firstColumn="1" w:lastColumn="0" w:noHBand="0" w:noVBand="1"/>
      </w:tblPr>
      <w:tblGrid>
        <w:gridCol w:w="8600"/>
      </w:tblGrid>
      <w:tr>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trPr>
                <w:trHeight w:val="40"/>
              </w:trPr>
              <w:tc>
                <w:tcPr>
                  <w:tcW w:w="400" w:type="dxa"/>
                  <w:tcMar>
                    <w:top w:w="0" w:type="dxa"/>
                    <w:left w:w="0" w:type="dxa"/>
                    <w:bottom w:w="0" w:type="dxa"/>
                    <w:right w:w="0" w:type="dxa"/>
                  </w:tcMar>
                </w:tcPr>
                <w:p>
                  <w:pPr>
                    <w:rPr>
                      <w:sz w:val="2"/>
                    </w:rPr>
                  </w:pPr>
                </w:p>
              </w:tc>
              <w:tc>
                <w:tcPr>
                  <w:tcW w:w="300" w:type="dxa"/>
                  <w:tcMar>
                    <w:top w:w="0" w:type="dxa"/>
                    <w:left w:w="0" w:type="dxa"/>
                    <w:bottom w:w="0" w:type="dxa"/>
                    <w:right w:w="0" w:type="dxa"/>
                  </w:tcMar>
                </w:tcPr>
                <w:p>
                  <w:pPr>
                    <w:rPr>
                      <w:sz w:val="2"/>
                    </w:rPr>
                  </w:pPr>
                </w:p>
              </w:tc>
              <w:tc>
                <w:tcPr>
                  <w:tcW w:w="7300" w:type="dxa"/>
                  <w:vMerge w:val="restart"/>
                  <w:tcMar>
                    <w:top w:w="0" w:type="dxa"/>
                    <w:left w:w="0" w:type="dxa"/>
                    <w:bottom w:w="0" w:type="dxa"/>
                    <w:right w:w="0" w:type="dxa"/>
                  </w:tcMar>
                  <w:vAlign w:val="center"/>
                </w:tcPr>
                <w:p>
                  <w:pPr>
                    <w:jc w:val="both"/>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trPr>
                <w:trHeight w:val="385"/>
              </w:trPr>
              <w:tc>
                <w:tcPr>
                  <w:tcW w:w="400" w:type="dxa"/>
                  <w:tcMar>
                    <w:top w:w="0" w:type="dxa"/>
                    <w:left w:w="0" w:type="dxa"/>
                    <w:bottom w:w="0" w:type="dxa"/>
                    <w:right w:w="0" w:type="dxa"/>
                  </w:tcMar>
                </w:tcPr>
                <w:p>
                  <w:pPr>
                    <w:rPr>
                      <w:sz w:val="2"/>
                    </w:rPr>
                  </w:pPr>
                  <w:r>
                    <w:pict>
                      <v:shape id="_x0000_i1040" type="#_x0000_t75" style="width:20.25pt;height:20.25pt">
                        <v:imagedata r:id="rId21" o:title=""/>
                      </v:shape>
                    </w:pict>
                  </w:r>
                </w:p>
              </w:tc>
              <w:tc>
                <w:tcPr>
                  <w:tcW w:w="300" w:type="dxa"/>
                  <w:tcMar>
                    <w:top w:w="0" w:type="dxa"/>
                    <w:left w:w="0" w:type="dxa"/>
                    <w:bottom w:w="0" w:type="dxa"/>
                    <w:right w:w="0" w:type="dxa"/>
                  </w:tcMar>
                </w:tcPr>
                <w:p>
                  <w:pPr>
                    <w:rPr>
                      <w:sz w:val="2"/>
                    </w:rPr>
                  </w:pPr>
                </w:p>
              </w:tc>
              <w:tc>
                <w:tcPr>
                  <w:tcW w:w="7300" w:type="dxa"/>
                  <w:vMerge/>
                  <w:tcMar>
                    <w:top w:w="0" w:type="dxa"/>
                    <w:left w:w="0" w:type="dxa"/>
                    <w:bottom w:w="0" w:type="dxa"/>
                    <w:right w:w="0" w:type="dxa"/>
                  </w:tcMar>
                </w:tcPr>
                <w:p/>
              </w:tc>
            </w:tr>
            <w:tr>
              <w:trPr>
                <w:trHeight w:val="45"/>
              </w:trPr>
              <w:tc>
                <w:tcPr>
                  <w:tcW w:w="400" w:type="dxa"/>
                  <w:tcMar>
                    <w:top w:w="0" w:type="dxa"/>
                    <w:left w:w="0" w:type="dxa"/>
                    <w:bottom w:w="0" w:type="dxa"/>
                    <w:right w:w="0" w:type="dxa"/>
                  </w:tcMar>
                </w:tcPr>
                <w:p>
                  <w:pPr>
                    <w:rPr>
                      <w:sz w:val="2"/>
                    </w:rPr>
                  </w:pPr>
                </w:p>
              </w:tc>
              <w:tc>
                <w:tcPr>
                  <w:tcW w:w="300" w:type="dxa"/>
                  <w:tcMar>
                    <w:top w:w="0" w:type="dxa"/>
                    <w:left w:w="0" w:type="dxa"/>
                    <w:bottom w:w="0" w:type="dxa"/>
                    <w:right w:w="0" w:type="dxa"/>
                  </w:tcMar>
                </w:tcPr>
                <w:p>
                  <w:pPr>
                    <w:rPr>
                      <w:sz w:val="2"/>
                    </w:rPr>
                  </w:pPr>
                </w:p>
              </w:tc>
              <w:tc>
                <w:tcPr>
                  <w:tcW w:w="7300" w:type="dxa"/>
                  <w:vMerge/>
                  <w:tcMar>
                    <w:top w:w="0" w:type="dxa"/>
                    <w:left w:w="0" w:type="dxa"/>
                    <w:bottom w:w="0" w:type="dxa"/>
                    <w:right w:w="0" w:type="dxa"/>
                  </w:tcMar>
                </w:tcPr>
                <w:p/>
              </w:tc>
            </w:tr>
          </w:tbl>
          <w:p>
            <w:pPr>
              <w:rPr>
                <w:sz w:val="2"/>
              </w:rPr>
            </w:pPr>
          </w:p>
        </w:tc>
      </w:tr>
    </w:tbl>
    <w:p>
      <w:pPr>
        <w:spacing w:line="240" w:lineRule="exact"/>
        <w:rPr>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45" w:name="ArtL2_RC-2-A8.5"/>
      <w:bookmarkStart w:id="46" w:name="_Toc256000021"/>
      <w:bookmarkEnd w:id="45"/>
      <w:r>
        <w:rPr>
          <w:rFonts w:ascii="Trebuchet MS" w:eastAsia="Trebuchet MS" w:hAnsi="Trebuchet MS" w:cs="Trebuchet MS"/>
          <w:i w:val="0"/>
          <w:color w:val="000000"/>
          <w:sz w:val="24"/>
          <w:lang w:val="fr-FR"/>
        </w:rPr>
        <w:t>6.2 - Transmission sous support papier</w:t>
      </w:r>
      <w:bookmarkEnd w:id="46"/>
    </w:p>
    <w:p>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pPr>
        <w:pStyle w:val="Titre1"/>
        <w:shd w:val="clear" w:color="2A7CBF" w:fill="2A7CBF"/>
        <w:rPr>
          <w:rFonts w:ascii="Trebuchet MS" w:eastAsia="Trebuchet MS" w:hAnsi="Trebuchet MS" w:cs="Trebuchet MS"/>
          <w:color w:val="FFFFFF"/>
          <w:sz w:val="28"/>
          <w:lang w:val="fr-FR"/>
        </w:rPr>
      </w:pPr>
      <w:bookmarkStart w:id="47" w:name="ArtL1_RC-2-A10"/>
      <w:bookmarkStart w:id="48" w:name="_Toc256000022"/>
      <w:bookmarkEnd w:id="47"/>
      <w:r>
        <w:rPr>
          <w:rFonts w:ascii="Trebuchet MS" w:eastAsia="Trebuchet MS" w:hAnsi="Trebuchet MS" w:cs="Trebuchet MS"/>
          <w:color w:val="FFFFFF"/>
          <w:sz w:val="28"/>
          <w:lang w:val="fr-FR"/>
        </w:rPr>
        <w:t>7 - Examen des candidatures et des offres</w:t>
      </w:r>
      <w:bookmarkEnd w:id="48"/>
    </w:p>
    <w:p>
      <w:pPr>
        <w:spacing w:line="60" w:lineRule="exact"/>
        <w:rPr>
          <w:sz w:val="6"/>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49" w:name="ArtL2_RC-2-A10.1"/>
      <w:bookmarkStart w:id="50" w:name="_Toc256000023"/>
      <w:bookmarkEnd w:id="49"/>
      <w:r>
        <w:rPr>
          <w:rFonts w:ascii="Trebuchet MS" w:eastAsia="Trebuchet MS" w:hAnsi="Trebuchet MS" w:cs="Trebuchet MS"/>
          <w:i w:val="0"/>
          <w:color w:val="000000"/>
          <w:sz w:val="24"/>
          <w:lang w:val="fr-FR"/>
        </w:rPr>
        <w:t>7.1 - Sélection des candidatures</w:t>
      </w:r>
      <w:bookmarkEnd w:id="50"/>
    </w:p>
    <w:p>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pPr>
        <w:pStyle w:val="Titre2"/>
        <w:ind w:left="280"/>
        <w:jc w:val="both"/>
        <w:rPr>
          <w:rFonts w:ascii="Trebuchet MS" w:eastAsia="Trebuchet MS" w:hAnsi="Trebuchet MS" w:cs="Trebuchet MS"/>
          <w:i w:val="0"/>
          <w:color w:val="000000"/>
          <w:sz w:val="24"/>
          <w:lang w:val="fr-FR"/>
        </w:rPr>
      </w:pPr>
      <w:bookmarkStart w:id="51" w:name="ArtL2_RC-2-A10.3"/>
      <w:bookmarkStart w:id="52" w:name="_Toc256000024"/>
      <w:bookmarkEnd w:id="51"/>
      <w:r>
        <w:rPr>
          <w:rFonts w:ascii="Trebuchet MS" w:eastAsia="Trebuchet MS" w:hAnsi="Trebuchet MS" w:cs="Trebuchet MS"/>
          <w:i w:val="0"/>
          <w:color w:val="000000"/>
          <w:sz w:val="24"/>
          <w:lang w:val="fr-FR"/>
        </w:rPr>
        <w:t>7.2 - Attribution des accords-cadres</w:t>
      </w:r>
      <w:bookmarkEnd w:id="52"/>
    </w:p>
    <w:p>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pPr>
        <w:pStyle w:val="ParagrapheIndent2"/>
        <w:spacing w:after="120" w:line="232" w:lineRule="exact"/>
        <w:jc w:val="both"/>
        <w:rPr>
          <w:color w:val="000000"/>
          <w:lang w:val="fr-FR"/>
        </w:rPr>
        <w:sectPr>
          <w:footerReference w:type="default" r:id="rId25"/>
          <w:pgSz w:w="11900" w:h="16840"/>
          <w:pgMar w:top="580" w:right="1140" w:bottom="580" w:left="1140" w:header="580" w:footer="580" w:gutter="0"/>
          <w:cols w:space="708"/>
        </w:sectPr>
      </w:pP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Toute offre demeurant irrégulière pourra être régularisée dans un délai approprié.</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pPr>
        <w:pStyle w:val="ParagrapheIndent2"/>
        <w:spacing w:line="232" w:lineRule="exact"/>
        <w:jc w:val="both"/>
        <w:rPr>
          <w:color w:val="000000"/>
          <w:lang w:val="fr-FR"/>
        </w:rPr>
      </w:pPr>
    </w:p>
    <w:p>
      <w:pPr>
        <w:spacing w:line="232" w:lineRule="exact"/>
        <w:ind w:right="10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tous les lots</w:t>
      </w:r>
    </w:p>
    <w:p>
      <w:pPr>
        <w:spacing w:line="232" w:lineRule="exact"/>
        <w:ind w:right="1020"/>
        <w:jc w:val="both"/>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l'analyse sera basée sur le DQE en application de la règle de trois inversée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w:t>
            </w:r>
          </w:p>
        </w:tc>
      </w:tr>
      <w:tr>
        <w:trPr>
          <w:trHeight w:val="59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 l'analyse sera basée sur les tests produits (confort respiratoire, adaptabilité morphologique, confort cutané, aspect visuel… ) et la logistique (délais de livraison standard, capacité à livrer en urgence, localisation stock tampon…)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50.0 %</w:t>
            </w:r>
          </w:p>
        </w:tc>
      </w:tr>
      <w:tr>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232" w:lineRule="exact"/>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3-Développement durable: l'analyse sera basée sur le lieu de production et l'éco-conception (matières premières, fabrication, fin de vie…)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w:t>
            </w:r>
          </w:p>
        </w:tc>
      </w:tr>
    </w:tbl>
    <w:p>
      <w:pPr>
        <w:spacing w:after="20" w:line="240" w:lineRule="exact"/>
      </w:pPr>
      <w:r>
        <w:t xml:space="preserve"> </w:t>
      </w:r>
    </w:p>
    <w:p>
      <w:pPr>
        <w:pStyle w:val="ParagrapheIndent2"/>
        <w:spacing w:after="240" w:line="232" w:lineRule="exact"/>
        <w:jc w:val="both"/>
        <w:rPr>
          <w:color w:val="000000"/>
          <w:lang w:val="fr-FR"/>
        </w:rPr>
      </w:pPr>
      <w:r>
        <w:rPr>
          <w:color w:val="000000"/>
          <w:lang w:val="fr-FR"/>
        </w:rPr>
        <w:t>Le pouvoir adjudicateur ne peut retenir des dispositifs médicaux (DM) de qualité technique insuffisante pour les utilisateurs et les patients. Si un candidat obtient une note pour performance technique insuffisante ou essais négatifs, son offre sera rejetée. L’offre sera déclarée irrégulière.</w:t>
      </w:r>
    </w:p>
    <w:p>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pPr>
        <w:pStyle w:val="Titre2"/>
        <w:ind w:left="280"/>
        <w:jc w:val="both"/>
        <w:rPr>
          <w:rFonts w:ascii="Trebuchet MS" w:eastAsia="Trebuchet MS" w:hAnsi="Trebuchet MS" w:cs="Trebuchet MS"/>
          <w:i w:val="0"/>
          <w:color w:val="000000"/>
          <w:sz w:val="24"/>
          <w:lang w:val="fr-FR"/>
        </w:rPr>
      </w:pPr>
      <w:bookmarkStart w:id="53" w:name="ArtL2_RC-2-A10.4"/>
      <w:bookmarkStart w:id="54" w:name="_Toc256000025"/>
      <w:bookmarkEnd w:id="53"/>
      <w:r>
        <w:rPr>
          <w:rFonts w:ascii="Trebuchet MS" w:eastAsia="Trebuchet MS" w:hAnsi="Trebuchet MS" w:cs="Trebuchet MS"/>
          <w:i w:val="0"/>
          <w:color w:val="000000"/>
          <w:sz w:val="24"/>
          <w:lang w:val="fr-FR"/>
        </w:rPr>
        <w:t>7.3 - Suite à donner à la consultation</w:t>
      </w:r>
      <w:bookmarkEnd w:id="54"/>
    </w:p>
    <w:p>
      <w:pPr>
        <w:pStyle w:val="ParagrapheIndent2"/>
        <w:spacing w:line="232" w:lineRule="exact"/>
        <w:jc w:val="both"/>
        <w:rPr>
          <w:color w:val="000000"/>
          <w:lang w:val="fr-FR"/>
        </w:rPr>
      </w:pPr>
      <w:r>
        <w:rPr>
          <w:color w:val="000000"/>
          <w:lang w:val="fr-FR"/>
        </w:rPr>
        <w:t>Après examen des offres, le pouvoir adjudicateur engagera des négociations avec tous les candidats sélectionnés. Toutefois, le pouvoir adjudicateur se réserve la possibilité d'attribuer l'accord-cadre sur la base des offres initiales, sans négociation.</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-Soit sous forme d’échange électronique via le profil acheteur ; - Soit sous forme d’entretien en visio-conférence ou bien dans les locaux du pouvoir adjudicateur. Dans ce cas, le calendrier des réunions est fixé d’un commun accord par les représentants du pouvoir adjudicateur et des candidats concernés. La négociation pourra conduire à modifier ou compléter un ou plusieurs points de l’offre initial des candidats, y compris les prix. Dans ce cas, le pouvoir adjudicateur pourra inviter les candidats à lui remettre une nouvelle version des documents concernés pour prendre en compte les résultats de la négociation dans la notation des offres. Si toutefois le Pouvoir Adjudicateur estime que les offres des candidats sont assez explicites d’un point de vue technique, il pourra limiter la négociation à une période de négociation tarifaire, où les candidats seront invités à étudier leurs prix et le cas échéant, à consentir un pourcentage de remise sur leurs offres initiales.</w:t>
      </w:r>
    </w:p>
    <w:p>
      <w:pPr>
        <w:pStyle w:val="ParagrapheIndent2"/>
        <w:spacing w:after="240" w:line="232" w:lineRule="exact"/>
        <w:jc w:val="both"/>
        <w:rPr>
          <w:color w:val="000000"/>
          <w:lang w:val="fr-FR"/>
        </w:rPr>
      </w:pPr>
      <w:r>
        <w:rPr>
          <w:color w:val="000000"/>
          <w:lang w:val="fr-FR"/>
        </w:rPr>
        <w:t xml:space="preserve">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 A cet effet, les opérateurs économiques sont invités à utiliser l’espace de stockage numérique disponible sur le profil acheteur </w:t>
      </w:r>
      <w:hyperlink r:id="rId26" w:history="1">
        <w:r>
          <w:rPr>
            <w:color w:val="000000"/>
            <w:lang w:val="fr-FR"/>
          </w:rPr>
          <w:t>https://www.marches-publics.gouv.fr</w:t>
        </w:r>
      </w:hyperlink>
      <w:r>
        <w:rPr>
          <w:color w:val="000000"/>
          <w:lang w:val="fr-FR"/>
        </w:rPr>
        <w:t xml:space="preserve"> afin d’y déposer les pièces.</w:t>
      </w:r>
    </w:p>
    <w:p>
      <w:pPr>
        <w:pStyle w:val="Titre1"/>
        <w:shd w:val="clear" w:color="2A7CBF" w:fill="2A7CBF"/>
        <w:rPr>
          <w:rFonts w:ascii="Trebuchet MS" w:eastAsia="Trebuchet MS" w:hAnsi="Trebuchet MS" w:cs="Trebuchet MS"/>
          <w:color w:val="FFFFFF"/>
          <w:sz w:val="28"/>
          <w:lang w:val="fr-FR"/>
        </w:rPr>
      </w:pPr>
      <w:bookmarkStart w:id="55" w:name="ArtL1_RC-2-A14"/>
      <w:bookmarkStart w:id="56" w:name="_Toc256000026"/>
      <w:bookmarkEnd w:id="55"/>
      <w:r>
        <w:rPr>
          <w:rFonts w:ascii="Trebuchet MS" w:eastAsia="Trebuchet MS" w:hAnsi="Trebuchet MS" w:cs="Trebuchet MS"/>
          <w:color w:val="FFFFFF"/>
          <w:sz w:val="28"/>
          <w:lang w:val="fr-FR"/>
        </w:rPr>
        <w:t>8 - Renseignements complémentaires</w:t>
      </w:r>
      <w:bookmarkEnd w:id="56"/>
    </w:p>
    <w:p>
      <w:pPr>
        <w:spacing w:line="60" w:lineRule="exact"/>
        <w:rPr>
          <w:sz w:val="6"/>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57" w:name="ArtL2_RC-2-A14.1"/>
      <w:bookmarkStart w:id="58" w:name="_Toc256000027"/>
      <w:bookmarkEnd w:id="57"/>
      <w:r>
        <w:rPr>
          <w:rFonts w:ascii="Trebuchet MS" w:eastAsia="Trebuchet MS" w:hAnsi="Trebuchet MS" w:cs="Trebuchet MS"/>
          <w:i w:val="0"/>
          <w:color w:val="000000"/>
          <w:sz w:val="24"/>
          <w:lang w:val="fr-FR"/>
        </w:rPr>
        <w:t>8.1 - Adresses supplémentaires et points de contact</w:t>
      </w:r>
      <w:bookmarkEnd w:id="58"/>
    </w:p>
    <w:p>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pPr>
        <w:pStyle w:val="ParagrapheIndent2"/>
        <w:spacing w:line="232" w:lineRule="exact"/>
        <w:jc w:val="both"/>
        <w:rPr>
          <w:color w:val="000000"/>
          <w:lang w:val="fr-FR"/>
        </w:rPr>
      </w:pPr>
    </w:p>
    <w:p>
      <w:pPr>
        <w:pStyle w:val="ParagrapheIndent2"/>
        <w:spacing w:line="232" w:lineRule="exact"/>
        <w:jc w:val="both"/>
        <w:rPr>
          <w:color w:val="000000"/>
          <w:lang w:val="fr-FR"/>
        </w:rPr>
        <w:sectPr>
          <w:footerReference w:type="default" r:id="rId27"/>
          <w:pgSz w:w="11900" w:h="16840"/>
          <w:pgMar w:top="580" w:right="1140" w:bottom="580" w:left="1140" w:header="580" w:footer="580" w:gutter="0"/>
          <w:cols w:space="708"/>
        </w:sectPr>
      </w:pPr>
      <w:r>
        <w:rPr>
          <w:color w:val="000000"/>
          <w:lang w:val="fr-FR"/>
        </w:rPr>
        <w:t>Cette demande doit intervenir au plus tard 10 jours avant la date limite de remise des plis.</w:t>
      </w:r>
      <w:r>
        <w:rPr>
          <w:color w:val="000000"/>
          <w:lang w:val="fr-FR"/>
        </w:rPr>
        <w:cr/>
      </w:r>
    </w:p>
    <w:p>
      <w:pPr>
        <w:pStyle w:val="ParagrapheIndent2"/>
        <w:spacing w:after="240" w:line="232" w:lineRule="exact"/>
        <w:jc w:val="both"/>
        <w:rPr>
          <w:color w:val="000000"/>
          <w:lang w:val="fr-FR"/>
        </w:rPr>
      </w:pPr>
      <w:r>
        <w:rPr>
          <w:color w:val="000000"/>
          <w:lang w:val="fr-FR"/>
        </w:rPr>
        <w:lastRenderedPageBreak/>
        <w:t>Une réponse sera alors adressée, à toutes les entreprises ayant retiré le dossier ou l'ayant téléchargé après identification, 6 jours au plus tard avant la date limite de remise des plis.</w:t>
      </w:r>
    </w:p>
    <w:p>
      <w:pPr>
        <w:pStyle w:val="Titre2"/>
        <w:ind w:left="280"/>
        <w:jc w:val="both"/>
        <w:rPr>
          <w:rFonts w:ascii="Trebuchet MS" w:eastAsia="Trebuchet MS" w:hAnsi="Trebuchet MS" w:cs="Trebuchet MS"/>
          <w:i w:val="0"/>
          <w:color w:val="000000"/>
          <w:sz w:val="24"/>
          <w:lang w:val="fr-FR"/>
        </w:rPr>
      </w:pPr>
      <w:bookmarkStart w:id="59" w:name="ArtL2_RC-2-A14.2"/>
      <w:bookmarkStart w:id="60" w:name="_Toc256000028"/>
      <w:bookmarkEnd w:id="59"/>
      <w:r>
        <w:rPr>
          <w:rFonts w:ascii="Trebuchet MS" w:eastAsia="Trebuchet MS" w:hAnsi="Trebuchet MS" w:cs="Trebuchet MS"/>
          <w:i w:val="0"/>
          <w:color w:val="000000"/>
          <w:sz w:val="24"/>
          <w:lang w:val="fr-FR"/>
        </w:rPr>
        <w:t>8.2 - Procédures de recours</w:t>
      </w:r>
      <w:bookmarkEnd w:id="60"/>
    </w:p>
    <w:p>
      <w:pPr>
        <w:pStyle w:val="ParagrapheIndent2"/>
        <w:spacing w:line="232" w:lineRule="exact"/>
        <w:jc w:val="both"/>
        <w:rPr>
          <w:color w:val="000000"/>
          <w:lang w:val="fr-FR"/>
        </w:rPr>
      </w:pPr>
      <w:r>
        <w:rPr>
          <w:color w:val="000000"/>
          <w:lang w:val="fr-FR"/>
        </w:rPr>
        <w:t>Le tribunal territorialement compétent est :</w:t>
      </w:r>
    </w:p>
    <w:p>
      <w:pPr>
        <w:pStyle w:val="ParagrapheIndent2"/>
        <w:spacing w:line="232" w:lineRule="exact"/>
        <w:jc w:val="both"/>
        <w:rPr>
          <w:color w:val="000000"/>
          <w:lang w:val="fr-FR"/>
        </w:rPr>
      </w:pPr>
      <w:r>
        <w:rPr>
          <w:color w:val="000000"/>
          <w:lang w:val="fr-FR"/>
        </w:rPr>
        <w:t>Tribunal Administratif de Besançon</w:t>
      </w:r>
    </w:p>
    <w:p>
      <w:pPr>
        <w:pStyle w:val="ParagrapheIndent2"/>
        <w:spacing w:line="232" w:lineRule="exact"/>
        <w:jc w:val="both"/>
        <w:rPr>
          <w:color w:val="000000"/>
          <w:lang w:val="fr-FR"/>
        </w:rPr>
      </w:pPr>
      <w:r>
        <w:rPr>
          <w:color w:val="000000"/>
          <w:lang w:val="fr-FR"/>
        </w:rPr>
        <w:t>30 rue Charles Nodier</w:t>
      </w:r>
    </w:p>
    <w:p>
      <w:pPr>
        <w:pStyle w:val="ParagrapheIndent2"/>
        <w:spacing w:line="232" w:lineRule="exact"/>
        <w:jc w:val="both"/>
        <w:rPr>
          <w:color w:val="000000"/>
          <w:lang w:val="fr-FR"/>
        </w:rPr>
      </w:pPr>
      <w:r>
        <w:rPr>
          <w:color w:val="000000"/>
          <w:lang w:val="fr-FR"/>
        </w:rPr>
        <w:t>25044 BESANCON CEDEX</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Tél : 03 81 82 60 00</w:t>
      </w:r>
    </w:p>
    <w:p>
      <w:pPr>
        <w:pStyle w:val="ParagrapheIndent2"/>
        <w:spacing w:line="232" w:lineRule="exact"/>
        <w:jc w:val="both"/>
        <w:rPr>
          <w:color w:val="000000"/>
          <w:lang w:val="fr-FR"/>
        </w:rPr>
      </w:pPr>
      <w:r>
        <w:rPr>
          <w:color w:val="000000"/>
          <w:lang w:val="fr-FR"/>
        </w:rPr>
        <w:t>Télécopie : 03 81 82 60 01</w:t>
      </w:r>
    </w:p>
    <w:p>
      <w:pPr>
        <w:pStyle w:val="ParagrapheIndent2"/>
        <w:spacing w:line="232" w:lineRule="exact"/>
        <w:jc w:val="both"/>
        <w:rPr>
          <w:color w:val="000000"/>
          <w:lang w:val="fr-FR"/>
        </w:rPr>
      </w:pPr>
      <w:r>
        <w:rPr>
          <w:color w:val="000000"/>
          <w:lang w:val="fr-FR"/>
        </w:rPr>
        <w:t>Courriel : greffe.ta-besancon@juradm.fr</w:t>
      </w:r>
    </w:p>
    <w:p>
      <w:pPr>
        <w:pStyle w:val="ParagrapheIndent2"/>
        <w:spacing w:after="240" w:line="232" w:lineRule="exact"/>
        <w:jc w:val="both"/>
        <w:rPr>
          <w:color w:val="000000"/>
          <w:lang w:val="fr-FR"/>
        </w:rPr>
      </w:pPr>
      <w:r>
        <w:rPr>
          <w:color w:val="000000"/>
          <w:lang w:val="fr-FR"/>
        </w:rPr>
        <w:t>Adresse internet(U.R.L) : http://besancon.tribunal-administratif.fr/</w:t>
      </w:r>
    </w:p>
    <w:p>
      <w:pPr>
        <w:pStyle w:val="ParagrapheIndent2"/>
        <w:spacing w:after="240" w:line="232" w:lineRule="exact"/>
        <w:jc w:val="both"/>
        <w:rPr>
          <w:color w:val="000000"/>
          <w:lang w:val="fr-FR"/>
        </w:rPr>
      </w:pPr>
      <w:r>
        <w:rPr>
          <w:color w:val="000000"/>
          <w:lang w:val="fr-FR"/>
        </w:rPr>
        <w:t>Les voies de recours ouvertes aux candidats sont les suivantes : Référé pré-contractuel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justifiant d’un intérêt lésé, et pouvant être exercé dans les deux mois suivant la date à laquelle la conclusion du contrat est rendue publique.</w:t>
      </w:r>
    </w:p>
    <w:p>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pPr>
        <w:pStyle w:val="ParagrapheIndent2"/>
        <w:spacing w:line="232" w:lineRule="exact"/>
        <w:jc w:val="both"/>
        <w:rPr>
          <w:color w:val="000000"/>
          <w:lang w:val="fr-FR"/>
        </w:rPr>
      </w:pPr>
      <w:r>
        <w:rPr>
          <w:color w:val="000000"/>
          <w:lang w:val="fr-FR"/>
        </w:rPr>
        <w:t>Tribunal Administratif de Besançon</w:t>
      </w:r>
    </w:p>
    <w:p>
      <w:pPr>
        <w:pStyle w:val="ParagrapheIndent2"/>
        <w:spacing w:line="232" w:lineRule="exact"/>
        <w:jc w:val="both"/>
        <w:rPr>
          <w:color w:val="000000"/>
          <w:lang w:val="fr-FR"/>
        </w:rPr>
      </w:pPr>
      <w:r>
        <w:rPr>
          <w:color w:val="000000"/>
          <w:lang w:val="fr-FR"/>
        </w:rPr>
        <w:t>30 rue Charles Nodier</w:t>
      </w:r>
    </w:p>
    <w:p>
      <w:pPr>
        <w:pStyle w:val="ParagrapheIndent2"/>
        <w:spacing w:line="232" w:lineRule="exact"/>
        <w:jc w:val="both"/>
        <w:rPr>
          <w:color w:val="000000"/>
          <w:lang w:val="fr-FR"/>
        </w:rPr>
      </w:pPr>
      <w:r>
        <w:rPr>
          <w:color w:val="000000"/>
          <w:lang w:val="fr-FR"/>
        </w:rPr>
        <w:t>25044 BESANCON CEDEX</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Tél : 03 81 82 60 00</w:t>
      </w:r>
    </w:p>
    <w:p>
      <w:pPr>
        <w:pStyle w:val="ParagrapheIndent2"/>
        <w:spacing w:line="232" w:lineRule="exact"/>
        <w:jc w:val="both"/>
        <w:rPr>
          <w:color w:val="000000"/>
          <w:lang w:val="fr-FR"/>
        </w:rPr>
      </w:pPr>
      <w:r>
        <w:rPr>
          <w:color w:val="000000"/>
          <w:lang w:val="fr-FR"/>
        </w:rPr>
        <w:t>Télécopie : 03 81 82 60 01</w:t>
      </w:r>
    </w:p>
    <w:p>
      <w:pPr>
        <w:pStyle w:val="ParagrapheIndent2"/>
        <w:spacing w:line="232" w:lineRule="exact"/>
        <w:jc w:val="both"/>
        <w:rPr>
          <w:color w:val="000000"/>
          <w:lang w:val="fr-FR"/>
        </w:rPr>
      </w:pPr>
      <w:r>
        <w:rPr>
          <w:color w:val="000000"/>
          <w:lang w:val="fr-FR"/>
        </w:rPr>
        <w:t>Courriel : greffe.ta-besancon@juradm.fr</w:t>
      </w:r>
    </w:p>
    <w:p>
      <w:pPr>
        <w:pStyle w:val="ParagrapheIndent2"/>
        <w:spacing w:after="240" w:line="232" w:lineRule="exact"/>
        <w:jc w:val="both"/>
        <w:rPr>
          <w:color w:val="000000"/>
          <w:lang w:val="fr-FR"/>
        </w:rPr>
      </w:pPr>
      <w:r>
        <w:rPr>
          <w:color w:val="000000"/>
          <w:lang w:val="fr-FR"/>
        </w:rPr>
        <w:t>Adresse internet(U.R.L) : http://besancon.tribunal-administratif.fr/</w:t>
      </w:r>
    </w:p>
    <w:p>
      <w:pPr>
        <w:pStyle w:val="ParagrapheIndent2"/>
        <w:spacing w:line="232" w:lineRule="exact"/>
        <w:jc w:val="both"/>
        <w:rPr>
          <w:color w:val="000000"/>
          <w:lang w:val="fr-FR"/>
        </w:rPr>
      </w:pPr>
      <w:r>
        <w:rPr>
          <w:color w:val="000000"/>
          <w:lang w:val="fr-FR"/>
        </w:rPr>
        <w:t>En cas de difficultés survenant lors de la procédure de passation, l'organe chargé de jouer le rôle de médiateur est :</w:t>
      </w:r>
    </w:p>
    <w:p>
      <w:pPr>
        <w:pStyle w:val="ParagrapheIndent2"/>
        <w:spacing w:line="232" w:lineRule="exact"/>
        <w:jc w:val="both"/>
        <w:rPr>
          <w:color w:val="000000"/>
          <w:lang w:val="fr-FR"/>
        </w:rPr>
      </w:pPr>
      <w:r>
        <w:rPr>
          <w:color w:val="000000"/>
          <w:lang w:val="fr-FR"/>
        </w:rPr>
        <w:t>Comité consultatif interrégional de règlement amiable des différends ou litiges relatifs aux marchés publics de Nançy</w:t>
      </w:r>
    </w:p>
    <w:p>
      <w:pPr>
        <w:pStyle w:val="ParagrapheIndent2"/>
        <w:spacing w:line="232" w:lineRule="exact"/>
        <w:jc w:val="both"/>
        <w:rPr>
          <w:color w:val="000000"/>
          <w:lang w:val="fr-FR"/>
        </w:rPr>
      </w:pPr>
      <w:r>
        <w:rPr>
          <w:color w:val="000000"/>
          <w:lang w:val="fr-FR"/>
        </w:rPr>
        <w:t>1 rue Préfet Claude Erignac</w:t>
      </w:r>
    </w:p>
    <w:p>
      <w:pPr>
        <w:pStyle w:val="ParagrapheIndent2"/>
        <w:spacing w:line="232" w:lineRule="exact"/>
        <w:jc w:val="both"/>
        <w:rPr>
          <w:color w:val="000000"/>
          <w:lang w:val="fr-FR"/>
        </w:rPr>
      </w:pPr>
      <w:r>
        <w:rPr>
          <w:color w:val="000000"/>
          <w:lang w:val="fr-FR"/>
        </w:rPr>
        <w:t>54038 Nançy</w:t>
      </w:r>
    </w:p>
    <w:sectPr>
      <w:footerReference w:type="default" r:id="rId28"/>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5:docId w15:val="{6D6BE077-5330-47DE-B52C-C4E8908CE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spacing w:after="120"/>
      <w:outlineLvl w:val="0"/>
    </w:pPr>
    <w:rPr>
      <w:rFonts w:ascii="Arial" w:hAnsi="Arial" w:cs="Arial"/>
      <w:b/>
      <w:bCs/>
      <w:kern w:val="32"/>
      <w:sz w:val="32"/>
      <w:szCs w:val="32"/>
    </w:rPr>
  </w:style>
  <w:style w:type="paragraph" w:styleId="Titre2">
    <w:name w:val="heading 2"/>
    <w:basedOn w:val="Normal"/>
    <w:next w:val="Normal"/>
    <w:qFormat/>
    <w:pPr>
      <w:keepNext/>
      <w:spacing w:after="60"/>
      <w:outlineLvl w:val="1"/>
    </w:pPr>
    <w:rPr>
      <w:rFonts w:ascii="Arial" w:hAnsi="Arial" w:cs="Arial"/>
      <w:b/>
      <w:bCs/>
      <w:i/>
      <w:iCs/>
      <w:sz w:val="28"/>
      <w:szCs w:val="28"/>
    </w:rPr>
  </w:style>
  <w:style w:type="paragraph" w:styleId="Titre3">
    <w:name w:val="heading 3"/>
    <w:basedOn w:val="Normal"/>
    <w:next w:val="Normal"/>
    <w:qFormat/>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style>
  <w:style w:type="character" w:styleId="Lienhypertexte">
    <w:name w:val="Hyperlink"/>
    <w:basedOn w:val="Policepardfaut"/>
    <w:rPr>
      <w:color w:val="0000FF"/>
      <w:u w:val="single"/>
    </w:rPr>
  </w:style>
  <w:style w:type="paragraph" w:styleId="TM2">
    <w:name w:val="toc 2"/>
    <w:basedOn w:val="Normal"/>
    <w:next w:val="Normal"/>
    <w:autoRedefine/>
    <w:pPr>
      <w:ind w:left="240"/>
    </w:p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semiHidden/>
    <w:unhideWhenUsed/>
    <w:rPr>
      <w:sz w:val="20"/>
      <w:szCs w:val="20"/>
    </w:rPr>
  </w:style>
  <w:style w:type="character" w:customStyle="1" w:styleId="CommentaireCar">
    <w:name w:val="Commentaire Car"/>
    <w:basedOn w:val="Policepardfaut"/>
    <w:link w:val="Commentaire"/>
    <w:semiHidden/>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yperlink" Target="https://www.marches-publics.gouv.fr" TargetMode="External"/><Relationship Id="rId3" Type="http://schemas.openxmlformats.org/officeDocument/2006/relationships/webSettings" Target="webSettings.xml"/><Relationship Id="rId21" Type="http://schemas.openxmlformats.org/officeDocument/2006/relationships/image" Target="media/image15.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3.xml"/><Relationship Id="rId28"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2.xml"/><Relationship Id="rId27" Type="http://schemas.openxmlformats.org/officeDocument/2006/relationships/footer" Target="foot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12</Pages>
  <Words>4111</Words>
  <Characters>22615</Characters>
  <Application>Microsoft Office Word</Application>
  <DocSecurity>0</DocSecurity>
  <Lines>188</Lines>
  <Paragraphs>53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Marie Blandin</cp:lastModifiedBy>
  <cp:revision>10</cp:revision>
  <dcterms:created xsi:type="dcterms:W3CDTF">2025-10-17T11:21:00Z</dcterms:created>
  <dcterms:modified xsi:type="dcterms:W3CDTF">2025-10-31T14:47:00Z</dcterms:modified>
</cp:coreProperties>
</file>