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46BB0692" w14:textId="0B0E97B5" w:rsidR="00FF46C6" w:rsidRDefault="00FF46C6" w:rsidP="008D41FF">
            <w:pPr>
              <w:tabs>
                <w:tab w:val="left" w:pos="851"/>
              </w:tabs>
              <w:spacing w:before="120" w:after="120"/>
              <w:jc w:val="center"/>
              <w:rPr>
                <w:cap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4C0652" w:rsidRPr="004C0652">
              <w:rPr>
                <w:rFonts w:ascii="Arial" w:hAnsi="Arial" w:cs="Arial"/>
                <w:b/>
                <w:bCs/>
                <w:sz w:val="28"/>
                <w:szCs w:val="28"/>
              </w:rPr>
              <w:t>25S0</w:t>
            </w:r>
            <w:r w:rsidR="000A257A">
              <w:rPr>
                <w:rFonts w:ascii="Arial" w:hAnsi="Arial" w:cs="Arial"/>
                <w:b/>
                <w:bCs/>
                <w:sz w:val="28"/>
                <w:szCs w:val="28"/>
              </w:rPr>
              <w:t>20</w:t>
            </w:r>
            <w:r w:rsidR="004C0652" w:rsidRPr="004C0652">
              <w:rPr>
                <w:rFonts w:ascii="Arial" w:hAnsi="Arial" w:cs="Arial"/>
                <w:b/>
                <w:bCs/>
                <w:sz w:val="28"/>
                <w:szCs w:val="28"/>
              </w:rPr>
              <w:t>-</w:t>
            </w:r>
            <w:r w:rsidR="000A257A">
              <w:rPr>
                <w:rFonts w:ascii="Arial" w:hAnsi="Arial" w:cs="Arial"/>
                <w:b/>
                <w:bCs/>
                <w:sz w:val="28"/>
                <w:szCs w:val="28"/>
              </w:rPr>
              <w:t xml:space="preserve"> Etude sur la connaissance de la gestion de l’eau </w:t>
            </w:r>
            <w:r w:rsidR="00CE15C8">
              <w:rPr>
                <w:rFonts w:ascii="Arial" w:hAnsi="Arial" w:cs="Arial"/>
                <w:b/>
                <w:bCs/>
                <w:sz w:val="28"/>
                <w:szCs w:val="28"/>
              </w:rPr>
              <w:t xml:space="preserve">sur l’Axe Allier </w:t>
            </w:r>
            <w:proofErr w:type="gramStart"/>
            <w:r w:rsidR="00CE15C8">
              <w:rPr>
                <w:rFonts w:ascii="Arial" w:hAnsi="Arial" w:cs="Arial"/>
                <w:b/>
                <w:bCs/>
                <w:sz w:val="28"/>
                <w:szCs w:val="28"/>
              </w:rPr>
              <w:t>Réalimenté</w:t>
            </w:r>
            <w:r w:rsidR="000A257A">
              <w:rPr>
                <w:rFonts w:ascii="Arial" w:hAnsi="Arial" w:cs="Arial"/>
                <w:b/>
                <w:bCs/>
                <w:sz w:val="28"/>
                <w:szCs w:val="28"/>
              </w:rPr>
              <w:t>:</w:t>
            </w:r>
            <w:proofErr w:type="gramEnd"/>
            <w:r w:rsidR="000A257A">
              <w:rPr>
                <w:rFonts w:ascii="Arial" w:hAnsi="Arial" w:cs="Arial"/>
                <w:b/>
                <w:bCs/>
                <w:sz w:val="28"/>
                <w:szCs w:val="28"/>
              </w:rPr>
              <w:t xml:space="preserve"> </w:t>
            </w:r>
            <w:r w:rsidR="00CE15C8">
              <w:rPr>
                <w:rFonts w:ascii="Arial" w:hAnsi="Arial" w:cs="Arial"/>
                <w:b/>
                <w:bCs/>
                <w:sz w:val="28"/>
                <w:szCs w:val="28"/>
              </w:rPr>
              <w:t>Complément d’étude et finalisation de l’analyse de type Hydrologie Milieux Usages et Climat (HMUC)</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17E3FEFD" w:rsidR="009B1CD0" w:rsidRDefault="009B1CD0" w:rsidP="006C4338">
      <w:pPr>
        <w:tabs>
          <w:tab w:val="left" w:pos="426"/>
          <w:tab w:val="left" w:pos="851"/>
        </w:tabs>
        <w:jc w:val="both"/>
        <w:rPr>
          <w:rFonts w:ascii="Arial" w:hAnsi="Arial" w:cs="Arial"/>
          <w:i/>
          <w:sz w:val="18"/>
          <w:szCs w:val="18"/>
        </w:rPr>
      </w:pPr>
      <w:bookmarkStart w:id="0" w:name="_Hlk205804933"/>
      <w:r>
        <w:rPr>
          <w:rFonts w:ascii="Wingdings" w:eastAsia="Wingdings" w:hAnsi="Wingdings" w:cs="Wingdings"/>
          <w:b/>
          <w:color w:val="66CCFF"/>
          <w:spacing w:val="-10"/>
        </w:rPr>
        <w:t></w:t>
      </w:r>
      <w:r>
        <w:rPr>
          <w:rFonts w:ascii="Arial" w:eastAsia="Arial" w:hAnsi="Arial" w:cs="Arial"/>
          <w:spacing w:val="-10"/>
        </w:rPr>
        <w:t xml:space="preserve"> </w:t>
      </w:r>
      <w:bookmarkEnd w:id="0"/>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3DCE6B1F" w14:textId="75B924DB" w:rsidR="009B1CD0" w:rsidRDefault="008D41FF" w:rsidP="005846FB">
      <w:pPr>
        <w:tabs>
          <w:tab w:val="left" w:pos="426"/>
          <w:tab w:val="left" w:pos="851"/>
        </w:tabs>
        <w:jc w:val="both"/>
        <w:rPr>
          <w:rFonts w:ascii="Arial" w:hAnsi="Arial" w:cs="Arial"/>
        </w:rPr>
      </w:pPr>
      <w:r>
        <w:rPr>
          <w:rFonts w:ascii="Arial" w:hAnsi="Arial" w:cs="Arial"/>
        </w:rPr>
        <w:t xml:space="preserve">Référence : </w:t>
      </w:r>
      <w:r w:rsidR="00CE15C8">
        <w:rPr>
          <w:rFonts w:ascii="Arial" w:hAnsi="Arial" w:cs="Arial"/>
        </w:rPr>
        <w:t>25S020</w:t>
      </w:r>
    </w:p>
    <w:p w14:paraId="18C4E293" w14:textId="77777777" w:rsidR="008D41FF" w:rsidRDefault="008D41FF" w:rsidP="005846FB">
      <w:pPr>
        <w:tabs>
          <w:tab w:val="left" w:pos="426"/>
          <w:tab w:val="left" w:pos="851"/>
        </w:tabs>
        <w:jc w:val="both"/>
        <w:rPr>
          <w:rFonts w:ascii="Arial" w:hAnsi="Arial" w:cs="Arial"/>
        </w:rPr>
      </w:pPr>
    </w:p>
    <w:p w14:paraId="45EBC5EA" w14:textId="77777777" w:rsidR="004C0652" w:rsidRPr="00F90E21" w:rsidRDefault="004C0652" w:rsidP="009147F4">
      <w:pPr>
        <w:tabs>
          <w:tab w:val="left" w:pos="426"/>
          <w:tab w:val="left" w:pos="851"/>
        </w:tabs>
        <w:jc w:val="both"/>
        <w:rPr>
          <w:rFonts w:ascii="Arial" w:hAnsi="Arial" w:cs="Arial"/>
          <w:b/>
        </w:rPr>
      </w:pPr>
    </w:p>
    <w:p w14:paraId="65EE86B2" w14:textId="77777777" w:rsidR="00CE15C8" w:rsidRPr="00CE15C8" w:rsidRDefault="00CE15C8" w:rsidP="00CE15C8">
      <w:pPr>
        <w:suppressAutoHyphens w:val="0"/>
        <w:spacing w:after="120" w:line="264" w:lineRule="auto"/>
        <w:rPr>
          <w:rFonts w:ascii="Arial" w:hAnsi="Arial" w:cs="Arial"/>
          <w:shd w:val="clear" w:color="auto" w:fill="FFFFFF"/>
          <w:lang w:eastAsia="fr-FR"/>
        </w:rPr>
      </w:pPr>
      <w:r w:rsidRPr="00CE15C8">
        <w:rPr>
          <w:rFonts w:ascii="Arial" w:hAnsi="Arial" w:cs="Arial"/>
          <w:shd w:val="clear" w:color="auto" w:fill="FFFFFF"/>
          <w:lang w:eastAsia="fr-FR"/>
        </w:rPr>
        <w:t xml:space="preserve">Pour parfaire l’étude HMUC en cours sur le bassin de l’Allier porté par l’Etablissement public Loire, des compléments sont à réaliser sur le périmètre concernant uniquement l’axe Allier réalimenté (rivière et nappe d’accompagnement) afin de définir des débits d’objectifs saisonniers aux points nodaux du territoire et des volumes prélevables pour chaque unité de gestion. Un accompagnement à la définition de la gestion conjoncturelle est aussi attendu. </w:t>
      </w:r>
    </w:p>
    <w:p w14:paraId="5A52B1BC" w14:textId="77777777" w:rsidR="00AE2A0F" w:rsidRDefault="00AE2A0F">
      <w:pPr>
        <w:suppressAutoHyphens w:val="0"/>
        <w:rPr>
          <w:rFonts w:ascii="Arial" w:hAnsi="Arial" w:cs="Arial"/>
          <w:shd w:val="clear" w:color="auto" w:fill="FFFFFF"/>
          <w:lang w:eastAsia="fr-FR"/>
        </w:rPr>
      </w:pPr>
      <w:r>
        <w:rPr>
          <w:rFonts w:ascii="Arial" w:hAnsi="Arial" w:cs="Arial"/>
          <w:shd w:val="clear" w:color="auto" w:fill="FFFFFF"/>
          <w:lang w:eastAsia="fr-FR"/>
        </w:rPr>
        <w:br w:type="page"/>
      </w:r>
    </w:p>
    <w:p w14:paraId="0AB25553" w14:textId="52852E6B" w:rsidR="00CE15C8" w:rsidRPr="00CE15C8" w:rsidRDefault="00CE15C8" w:rsidP="00CE15C8">
      <w:pPr>
        <w:suppressAutoHyphens w:val="0"/>
        <w:spacing w:after="120" w:line="264" w:lineRule="auto"/>
        <w:rPr>
          <w:rFonts w:ascii="Arial" w:hAnsi="Arial" w:cs="Arial"/>
          <w:shd w:val="clear" w:color="auto" w:fill="FFFFFF"/>
          <w:lang w:eastAsia="fr-FR"/>
        </w:rPr>
      </w:pPr>
      <w:r w:rsidRPr="00CE15C8">
        <w:rPr>
          <w:rFonts w:ascii="Arial" w:hAnsi="Arial" w:cs="Arial"/>
          <w:shd w:val="clear" w:color="auto" w:fill="FFFFFF"/>
          <w:lang w:eastAsia="fr-FR"/>
        </w:rPr>
        <w:lastRenderedPageBreak/>
        <w:t>Les prestations attendues sont les suivantes :</w:t>
      </w:r>
    </w:p>
    <w:p w14:paraId="62AE29E0" w14:textId="77777777" w:rsidR="00AE2A0F" w:rsidRPr="003666FE" w:rsidRDefault="00AE2A0F" w:rsidP="00AE2A0F">
      <w:pPr>
        <w:rPr>
          <w:rFonts w:cs="Arial"/>
        </w:rPr>
      </w:pPr>
      <w:r w:rsidRPr="003666FE">
        <w:rPr>
          <w:rFonts w:cs="Arial"/>
        </w:rPr>
        <w:t>•</w:t>
      </w:r>
      <w:r w:rsidRPr="003666FE">
        <w:rPr>
          <w:rFonts w:cs="Arial"/>
        </w:rPr>
        <w:tab/>
        <w:t>Réalisation des compléments sur le volet Hydrologie afin d’uniformiser les méthodes avec l’étude axe Loire et d’allonger la période de référence (2000-2022)</w:t>
      </w:r>
      <w:r>
        <w:rPr>
          <w:rFonts w:cs="Arial"/>
        </w:rPr>
        <w:t xml:space="preserve"> et i</w:t>
      </w:r>
      <w:r w:rsidRPr="003666FE">
        <w:rPr>
          <w:rFonts w:cs="Arial"/>
        </w:rPr>
        <w:t>ntégration des éléments « soutien d’étiage de Naussac » issus de l’étude de l’Etablissement public Loire</w:t>
      </w:r>
    </w:p>
    <w:p w14:paraId="4E8972AE" w14:textId="77777777" w:rsidR="00AE2A0F" w:rsidRPr="003666FE" w:rsidRDefault="00AE2A0F" w:rsidP="00AE2A0F">
      <w:pPr>
        <w:rPr>
          <w:rFonts w:cs="Arial"/>
        </w:rPr>
      </w:pPr>
      <w:r w:rsidRPr="003666FE">
        <w:rPr>
          <w:rFonts w:cs="Arial"/>
        </w:rPr>
        <w:t>•</w:t>
      </w:r>
      <w:r w:rsidRPr="003666FE">
        <w:rPr>
          <w:rFonts w:cs="Arial"/>
        </w:rPr>
        <w:tab/>
        <w:t>Réalisation des compléments sur le volet Usages (2000-2022),</w:t>
      </w:r>
    </w:p>
    <w:p w14:paraId="0A01642B" w14:textId="77777777" w:rsidR="00AE2A0F" w:rsidRPr="003666FE" w:rsidRDefault="00AE2A0F" w:rsidP="00AE2A0F">
      <w:pPr>
        <w:rPr>
          <w:rFonts w:cs="Arial"/>
        </w:rPr>
      </w:pPr>
      <w:r w:rsidRPr="003666FE">
        <w:rPr>
          <w:rFonts w:cs="Arial"/>
        </w:rPr>
        <w:t>•</w:t>
      </w:r>
      <w:r w:rsidRPr="003666FE">
        <w:rPr>
          <w:rFonts w:cs="Arial"/>
        </w:rPr>
        <w:tab/>
        <w:t>Intégration des éléments Climat disponibles issus d’Explore 2.0 et via le projet ECHLO de l’INRAE</w:t>
      </w:r>
    </w:p>
    <w:p w14:paraId="726C68C2" w14:textId="77777777" w:rsidR="00AE2A0F" w:rsidRPr="003666FE" w:rsidRDefault="00AE2A0F" w:rsidP="00AE2A0F">
      <w:pPr>
        <w:rPr>
          <w:rFonts w:cs="Arial"/>
        </w:rPr>
      </w:pPr>
      <w:r w:rsidRPr="003666FE">
        <w:rPr>
          <w:rFonts w:cs="Arial"/>
        </w:rPr>
        <w:t>•</w:t>
      </w:r>
      <w:r w:rsidRPr="003666FE">
        <w:rPr>
          <w:rFonts w:cs="Arial"/>
        </w:rPr>
        <w:tab/>
        <w:t>Intégration des éléments Milieux qui seront disponibles via une autre consultation</w:t>
      </w:r>
    </w:p>
    <w:p w14:paraId="43FBE1F2" w14:textId="77777777" w:rsidR="00AE2A0F" w:rsidRDefault="00AE2A0F" w:rsidP="00AE2A0F">
      <w:pPr>
        <w:rPr>
          <w:rFonts w:cs="Arial"/>
        </w:rPr>
      </w:pPr>
      <w:r w:rsidRPr="003666FE">
        <w:rPr>
          <w:rFonts w:cs="Arial"/>
        </w:rPr>
        <w:t>•</w:t>
      </w:r>
      <w:r w:rsidRPr="003666FE">
        <w:rPr>
          <w:rFonts w:cs="Arial"/>
        </w:rPr>
        <w:tab/>
        <w:t>Définition des Débits d’objectifs aux points nodaux et des volumes prélevables (VP)</w:t>
      </w:r>
      <w:r>
        <w:rPr>
          <w:rFonts w:cs="Arial"/>
        </w:rPr>
        <w:t xml:space="preserve"> </w:t>
      </w:r>
      <w:r w:rsidRPr="003666FE">
        <w:rPr>
          <w:rFonts w:cs="Arial"/>
        </w:rPr>
        <w:t>associés à chaque unités gestion (UG)</w:t>
      </w:r>
      <w:r>
        <w:rPr>
          <w:rFonts w:cs="Arial"/>
        </w:rPr>
        <w:t xml:space="preserve"> par le croisement des 4 volets</w:t>
      </w:r>
    </w:p>
    <w:p w14:paraId="3117EA57" w14:textId="77777777" w:rsidR="00AE2A0F" w:rsidRPr="003666FE" w:rsidRDefault="00AE2A0F" w:rsidP="00AE2A0F">
      <w:pPr>
        <w:pStyle w:val="Paragraphedeliste"/>
        <w:numPr>
          <w:ilvl w:val="0"/>
          <w:numId w:val="10"/>
        </w:numPr>
        <w:spacing w:before="0"/>
        <w:ind w:hanging="693"/>
        <w:rPr>
          <w:rFonts w:cs="Arial"/>
        </w:rPr>
      </w:pPr>
      <w:r w:rsidRPr="220AC750">
        <w:rPr>
          <w:rFonts w:cs="Arial"/>
        </w:rPr>
        <w:t xml:space="preserve">Accompagnement à la gestion structurelle et à la définition de la gestion conjoncturelle </w:t>
      </w:r>
    </w:p>
    <w:p w14:paraId="5B9B0FE8" w14:textId="77777777" w:rsidR="00CE15C8" w:rsidRPr="00CE15C8" w:rsidRDefault="00CE15C8" w:rsidP="00CE15C8">
      <w:pPr>
        <w:suppressAutoHyphens w:val="0"/>
        <w:spacing w:after="120"/>
        <w:ind w:left="360"/>
        <w:rPr>
          <w:rFonts w:ascii="Arial" w:hAnsi="Arial" w:cs="Arial"/>
          <w:i/>
          <w:iCs/>
          <w:sz w:val="18"/>
          <w:szCs w:val="18"/>
          <w:shd w:val="clear" w:color="auto" w:fill="FFFFFF"/>
          <w:lang w:eastAsia="fr-FR"/>
        </w:rPr>
      </w:pPr>
      <w:r w:rsidRPr="00CE15C8">
        <w:rPr>
          <w:rFonts w:ascii="Arial" w:hAnsi="Arial" w:cs="Arial"/>
          <w:i/>
          <w:iCs/>
          <w:sz w:val="18"/>
          <w:szCs w:val="18"/>
          <w:shd w:val="clear" w:color="auto" w:fill="FFFFFF"/>
          <w:lang w:eastAsia="fr-FR"/>
        </w:rPr>
        <w:t xml:space="preserve">* ECHLO : Une convention de recherche et développement entre l’INRAE et l’Agence de l’eau a été signée afin de développer un outil opérationnel permettant de définir des narratifs hydro climatiques pour le bassin de la Loire en cohérence avec les résultats du projet Explore2 et de la trajectoire de réchauffement de référence pour l’adaptation au </w:t>
      </w:r>
      <w:proofErr w:type="gramStart"/>
      <w:r w:rsidRPr="00CE15C8">
        <w:rPr>
          <w:rFonts w:ascii="Arial" w:hAnsi="Arial" w:cs="Arial"/>
          <w:i/>
          <w:iCs/>
          <w:sz w:val="18"/>
          <w:szCs w:val="18"/>
          <w:shd w:val="clear" w:color="auto" w:fill="FFFFFF"/>
          <w:lang w:eastAsia="fr-FR"/>
        </w:rPr>
        <w:t>changement</w:t>
      </w:r>
      <w:proofErr w:type="gramEnd"/>
      <w:r w:rsidRPr="00CE15C8">
        <w:rPr>
          <w:rFonts w:ascii="Arial" w:hAnsi="Arial" w:cs="Arial"/>
          <w:i/>
          <w:iCs/>
          <w:sz w:val="18"/>
          <w:szCs w:val="18"/>
          <w:shd w:val="clear" w:color="auto" w:fill="FFFFFF"/>
          <w:lang w:eastAsia="fr-FR"/>
        </w:rPr>
        <w:t xml:space="preserve"> climatique (TRACC).</w:t>
      </w:r>
    </w:p>
    <w:p w14:paraId="28133C5D" w14:textId="77777777" w:rsidR="00CE15C8" w:rsidRPr="00CE15C8" w:rsidRDefault="00CE15C8" w:rsidP="00CE15C8">
      <w:pPr>
        <w:suppressAutoHyphens w:val="0"/>
        <w:spacing w:after="120" w:line="264" w:lineRule="auto"/>
        <w:rPr>
          <w:rFonts w:ascii="Arial" w:hAnsi="Arial" w:cs="Arial"/>
          <w:shd w:val="clear" w:color="auto" w:fill="FFFFFF"/>
          <w:lang w:eastAsia="fr-FR"/>
        </w:rPr>
      </w:pPr>
      <w:r w:rsidRPr="00CE15C8">
        <w:rPr>
          <w:rFonts w:ascii="Arial" w:hAnsi="Arial" w:cs="Arial"/>
          <w:shd w:val="clear" w:color="auto" w:fill="FFFFFF"/>
          <w:lang w:eastAsia="fr-FR"/>
        </w:rPr>
        <w:t xml:space="preserve">Plus globalement cette démarche doit permettre de : </w:t>
      </w:r>
    </w:p>
    <w:p w14:paraId="04FF73C3" w14:textId="77777777" w:rsidR="00CE15C8" w:rsidRPr="00CE15C8" w:rsidRDefault="00CE15C8" w:rsidP="00CE15C8">
      <w:pPr>
        <w:numPr>
          <w:ilvl w:val="0"/>
          <w:numId w:val="9"/>
        </w:numPr>
        <w:suppressAutoHyphens w:val="0"/>
        <w:spacing w:after="120" w:line="264" w:lineRule="auto"/>
        <w:contextualSpacing/>
        <w:rPr>
          <w:rFonts w:ascii="Arial" w:hAnsi="Arial" w:cs="Arial"/>
          <w:b/>
          <w:bCs/>
          <w:shd w:val="clear" w:color="auto" w:fill="FFFFFF"/>
          <w:lang w:eastAsia="fr-FR"/>
        </w:rPr>
      </w:pPr>
      <w:r w:rsidRPr="00CE15C8">
        <w:rPr>
          <w:rFonts w:ascii="Arial" w:hAnsi="Arial" w:cs="Arial"/>
          <w:b/>
          <w:bCs/>
          <w:shd w:val="clear" w:color="auto" w:fill="FFFFFF"/>
          <w:lang w:eastAsia="fr-FR"/>
        </w:rPr>
        <w:t>Finaliser l’analyse de type HMUC sur l’axe Allier réalimenté (détermination des DOE à chaque point nodaux) et l’accompagnement à la gestion conjoncturelle.</w:t>
      </w:r>
    </w:p>
    <w:p w14:paraId="206F22DB" w14:textId="77777777" w:rsidR="005546A9" w:rsidRDefault="005546A9" w:rsidP="006C4338">
      <w:pPr>
        <w:tabs>
          <w:tab w:val="left" w:pos="851"/>
        </w:tabs>
        <w:rPr>
          <w:rFonts w:ascii="Arial" w:eastAsia="Arial" w:hAnsi="Arial" w:cs="Arial"/>
          <w:shd w:val="clear" w:color="auto" w:fill="FFFFFF"/>
        </w:rPr>
      </w:pPr>
    </w:p>
    <w:p w14:paraId="2DDBC89E" w14:textId="77777777" w:rsidR="008D41FF" w:rsidRDefault="008D41FF" w:rsidP="006C4338">
      <w:pPr>
        <w:tabs>
          <w:tab w:val="left" w:pos="851"/>
        </w:tabs>
        <w:rPr>
          <w:rFonts w:ascii="Arial" w:eastAsia="Arial" w:hAnsi="Arial" w:cs="Arial"/>
          <w:shd w:val="clear" w:color="auto" w:fill="FFFFFF"/>
        </w:rPr>
      </w:pPr>
    </w:p>
    <w:p w14:paraId="5F04AFAF" w14:textId="77777777" w:rsidR="008D41FF" w:rsidRDefault="008D41FF"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035F63DC" w:rsidR="009B1CD0" w:rsidRPr="001F3682" w:rsidRDefault="00AE2A0F"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 xml:space="preserve">de la consultation </w:t>
      </w:r>
      <w:r w:rsidR="004C0652">
        <w:rPr>
          <w:rFonts w:ascii="Arial" w:hAnsi="Arial" w:cs="Arial"/>
        </w:rPr>
        <w:t>25S0</w:t>
      </w:r>
      <w:r w:rsidR="00CE15C8">
        <w:rPr>
          <w:rFonts w:ascii="Arial" w:hAnsi="Arial" w:cs="Arial"/>
        </w:rPr>
        <w:t>20</w:t>
      </w:r>
    </w:p>
    <w:bookmarkStart w:id="1" w:name="_Hlk203992589"/>
    <w:p w14:paraId="577F8F91" w14:textId="45FAEEF1" w:rsidR="009147F4" w:rsidRDefault="00AE2A0F"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1"/>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w:t>
      </w:r>
      <w:r w:rsidR="004C0652">
        <w:rPr>
          <w:rFonts w:ascii="Arial" w:hAnsi="Arial" w:cs="Arial"/>
        </w:rPr>
        <w:t>prestations intellectuelles</w:t>
      </w:r>
      <w:r w:rsidR="009147F4" w:rsidRPr="009147F4">
        <w:rPr>
          <w:rFonts w:ascii="Arial" w:hAnsi="Arial" w:cs="Arial"/>
        </w:rPr>
        <w:t xml:space="preserve"> </w:t>
      </w:r>
      <w:r w:rsidR="009147F4">
        <w:rPr>
          <w:rFonts w:ascii="Arial" w:hAnsi="Arial" w:cs="Arial"/>
        </w:rPr>
        <w:t>entré en vigueur le 1er avril 2021</w:t>
      </w:r>
    </w:p>
    <w:p w14:paraId="7FE6E0CE" w14:textId="14CA8EF8" w:rsidR="009B1CD0" w:rsidRPr="001F3682" w:rsidRDefault="00AE2A0F"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 xml:space="preserve">de la consultation </w:t>
      </w:r>
      <w:r w:rsidR="004C0652">
        <w:rPr>
          <w:rFonts w:ascii="Arial" w:hAnsi="Arial" w:cs="Arial"/>
        </w:rPr>
        <w:t>25S0</w:t>
      </w:r>
      <w:r w:rsidR="00CE15C8">
        <w:rPr>
          <w:rFonts w:ascii="Arial" w:hAnsi="Arial" w:cs="Arial"/>
        </w:rPr>
        <w:t>20</w:t>
      </w:r>
      <w:r w:rsidR="009147F4">
        <w:rPr>
          <w:rFonts w:ascii="Arial" w:hAnsi="Arial" w:cs="Arial"/>
        </w:rPr>
        <w:t xml:space="preserve"> et </w:t>
      </w:r>
      <w:r w:rsidR="004C0652">
        <w:rPr>
          <w:rFonts w:ascii="Arial" w:hAnsi="Arial" w:cs="Arial"/>
        </w:rPr>
        <w:t>son</w:t>
      </w:r>
      <w:r w:rsidR="009147F4">
        <w:rPr>
          <w:rFonts w:ascii="Arial" w:hAnsi="Arial" w:cs="Arial"/>
        </w:rPr>
        <w:t xml:space="preserve"> annexe</w:t>
      </w:r>
      <w:r w:rsidR="009B1CD0" w:rsidRPr="001F3682">
        <w:rPr>
          <w:rFonts w:ascii="Arial" w:hAnsi="Arial" w:cs="Arial"/>
        </w:rPr>
        <w:t>.</w:t>
      </w:r>
    </w:p>
    <w:p w14:paraId="574B481A" w14:textId="7B0D4AE7" w:rsidR="009B1CD0" w:rsidRDefault="00AE2A0F"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BP</w:t>
      </w:r>
      <w:r w:rsidR="000A257A">
        <w:rPr>
          <w:rFonts w:ascii="Arial" w:hAnsi="Arial" w:cs="Arial"/>
        </w:rPr>
        <w:t>M</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sidR="00D90A00" w:rsidRPr="009147F4">
        <w:rPr>
          <w:rFonts w:ascii="Arial" w:hAnsi="Arial" w:cs="Arial"/>
          <w:b/>
          <w:bCs/>
        </w:rPr>
        <w:t>le</w:t>
      </w:r>
      <w:proofErr w:type="gramEnd"/>
      <w:r w:rsidR="00D90A00" w:rsidRPr="009147F4">
        <w:rPr>
          <w:rFonts w:ascii="Arial" w:hAnsi="Arial" w:cs="Arial"/>
          <w:b/>
          <w:bCs/>
        </w:rPr>
        <w:t xml:space="preserv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proofErr w:type="gramStart"/>
            <w:r>
              <w:rPr>
                <w:rFonts w:ascii="Arial" w:hAnsi="Arial" w:cs="Arial"/>
                <w:i/>
                <w:sz w:val="18"/>
                <w:szCs w:val="18"/>
              </w:rPr>
              <w:t>nom</w:t>
            </w:r>
            <w:proofErr w:type="gramEnd"/>
            <w:r>
              <w:rPr>
                <w:rFonts w:ascii="Arial" w:hAnsi="Arial" w:cs="Arial"/>
                <w:i/>
                <w:sz w:val="18"/>
                <w:szCs w:val="18"/>
              </w:rPr>
              <w:t xml:space="preserve">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proofErr w:type="gramStart"/>
            <w:r>
              <w:rPr>
                <w:rFonts w:ascii="Arial" w:hAnsi="Arial" w:cs="Arial"/>
                <w:i/>
                <w:sz w:val="18"/>
                <w:szCs w:val="18"/>
              </w:rPr>
              <w:t>le</w:t>
            </w:r>
            <w:proofErr w:type="gramEnd"/>
            <w:r>
              <w:rPr>
                <w:rFonts w:ascii="Arial" w:hAnsi="Arial" w:cs="Arial"/>
                <w:i/>
                <w:sz w:val="18"/>
                <w:szCs w:val="18"/>
              </w:rPr>
              <w:t>,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proofErr w:type="gramStart"/>
            <w:r>
              <w:rPr>
                <w:rFonts w:ascii="Arial" w:hAnsi="Arial" w:cs="Arial"/>
                <w:i/>
                <w:sz w:val="18"/>
                <w:szCs w:val="18"/>
              </w:rPr>
              <w:t>adresse</w:t>
            </w:r>
            <w:proofErr w:type="gramEnd"/>
            <w:r>
              <w:rPr>
                <w:rFonts w:ascii="Arial" w:hAnsi="Arial" w:cs="Arial"/>
                <w:i/>
                <w:sz w:val="18"/>
                <w:szCs w:val="18"/>
              </w:rPr>
              <w:t xml:space="preserv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proofErr w:type="gramStart"/>
            <w:r>
              <w:rPr>
                <w:rFonts w:ascii="Arial" w:hAnsi="Arial" w:cs="Arial"/>
                <w:i/>
                <w:sz w:val="18"/>
                <w:szCs w:val="18"/>
              </w:rPr>
              <w:t>numéros</w:t>
            </w:r>
            <w:proofErr w:type="gramEnd"/>
            <w:r>
              <w:rPr>
                <w:rFonts w:ascii="Arial" w:hAnsi="Arial" w:cs="Arial"/>
                <w:i/>
                <w:sz w:val="18"/>
                <w:szCs w:val="18"/>
              </w:rPr>
              <w:t xml:space="preserve">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23E73312" w:rsidR="009B1CD0" w:rsidRDefault="00AE2A0F"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w:t>
      </w:r>
      <w:r>
        <w:rPr>
          <w:rFonts w:ascii="Arial" w:hAnsi="Arial" w:cs="Arial"/>
        </w:rPr>
        <w:t xml:space="preserve"> technique et financière</w:t>
      </w:r>
      <w:r w:rsidR="009B1CD0">
        <w:rPr>
          <w:rFonts w:ascii="Arial" w:hAnsi="Arial" w:cs="Arial"/>
        </w:rPr>
        <w:t>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lastRenderedPageBreak/>
              <w:t>nom</w:t>
            </w:r>
            <w:proofErr w:type="gramEnd"/>
            <w:r>
              <w:rPr>
                <w:rFonts w:ascii="Arial" w:hAnsi="Arial" w:cs="Arial"/>
                <w:i/>
                <w:sz w:val="18"/>
                <w:szCs w:val="18"/>
              </w:rPr>
              <w:t xml:space="preserve">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le</w:t>
            </w:r>
            <w:proofErr w:type="gramEnd"/>
            <w:r>
              <w:rPr>
                <w:rFonts w:ascii="Arial" w:hAnsi="Arial" w:cs="Arial"/>
                <w:i/>
                <w:sz w:val="18"/>
                <w:szCs w:val="18"/>
              </w:rPr>
              <w:t>,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adresse</w:t>
            </w:r>
            <w:proofErr w:type="gramEnd"/>
            <w:r>
              <w:rPr>
                <w:rFonts w:ascii="Arial" w:hAnsi="Arial" w:cs="Arial"/>
                <w:i/>
                <w:sz w:val="18"/>
                <w:szCs w:val="18"/>
              </w:rPr>
              <w:t xml:space="preserv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numéros</w:t>
            </w:r>
            <w:proofErr w:type="gramEnd"/>
            <w:r>
              <w:rPr>
                <w:rFonts w:ascii="Arial" w:hAnsi="Arial" w:cs="Arial"/>
                <w:i/>
                <w:sz w:val="18"/>
                <w:szCs w:val="18"/>
              </w:rPr>
              <w:t xml:space="preserve">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proofErr w:type="gramStart"/>
            <w:r w:rsidRPr="00A63726">
              <w:rPr>
                <w:rFonts w:ascii="Arial" w:hAnsi="Arial" w:cs="Arial"/>
                <w:i/>
              </w:rPr>
              <w:t>nom</w:t>
            </w:r>
            <w:proofErr w:type="gramEnd"/>
            <w:r w:rsidRPr="00A63726">
              <w:rPr>
                <w:rFonts w:ascii="Arial" w:hAnsi="Arial" w:cs="Arial"/>
                <w:i/>
              </w:rPr>
              <w:t xml:space="preserve">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proofErr w:type="gramStart"/>
            <w:r w:rsidRPr="00A63726">
              <w:rPr>
                <w:rFonts w:ascii="Arial" w:hAnsi="Arial" w:cs="Arial"/>
                <w:i/>
              </w:rPr>
              <w:t>le</w:t>
            </w:r>
            <w:proofErr w:type="gramEnd"/>
            <w:r w:rsidRPr="00A63726">
              <w:rPr>
                <w:rFonts w:ascii="Arial" w:hAnsi="Arial" w:cs="Arial"/>
                <w:i/>
              </w:rPr>
              <w:t>,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proofErr w:type="gramStart"/>
            <w:r w:rsidRPr="00A63726">
              <w:rPr>
                <w:rFonts w:ascii="Arial" w:hAnsi="Arial" w:cs="Arial"/>
                <w:i/>
              </w:rPr>
              <w:t>adresse</w:t>
            </w:r>
            <w:proofErr w:type="gramEnd"/>
            <w:r w:rsidRPr="00A63726">
              <w:rPr>
                <w:rFonts w:ascii="Arial" w:hAnsi="Arial" w:cs="Arial"/>
                <w:i/>
              </w:rPr>
              <w:t xml:space="preserv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proofErr w:type="gramStart"/>
            <w:r w:rsidRPr="00A63726">
              <w:rPr>
                <w:rFonts w:ascii="Arial" w:hAnsi="Arial" w:cs="Arial"/>
                <w:i/>
              </w:rPr>
              <w:t>numéros</w:t>
            </w:r>
            <w:proofErr w:type="gramEnd"/>
            <w:r w:rsidRPr="00A63726">
              <w:rPr>
                <w:rFonts w:ascii="Arial" w:hAnsi="Arial" w:cs="Arial"/>
                <w:i/>
              </w:rPr>
              <w:t xml:space="preserve">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proofErr w:type="gramStart"/>
            <w:r w:rsidRPr="00A63726">
              <w:rPr>
                <w:rFonts w:ascii="Arial" w:hAnsi="Arial" w:cs="Arial"/>
                <w:i/>
              </w:rPr>
              <w:t>nom</w:t>
            </w:r>
            <w:proofErr w:type="gramEnd"/>
            <w:r w:rsidRPr="00A63726">
              <w:rPr>
                <w:rFonts w:ascii="Arial" w:hAnsi="Arial" w:cs="Arial"/>
                <w:i/>
              </w:rPr>
              <w:t xml:space="preserve">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proofErr w:type="gramStart"/>
            <w:r w:rsidRPr="00A63726">
              <w:rPr>
                <w:rFonts w:ascii="Arial" w:hAnsi="Arial" w:cs="Arial"/>
                <w:i/>
              </w:rPr>
              <w:t>le</w:t>
            </w:r>
            <w:proofErr w:type="gramEnd"/>
            <w:r w:rsidRPr="00A63726">
              <w:rPr>
                <w:rFonts w:ascii="Arial" w:hAnsi="Arial" w:cs="Arial"/>
                <w:i/>
              </w:rPr>
              <w:t>,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proofErr w:type="gramStart"/>
            <w:r w:rsidRPr="00A63726">
              <w:rPr>
                <w:rFonts w:ascii="Arial" w:hAnsi="Arial" w:cs="Arial"/>
                <w:i/>
              </w:rPr>
              <w:t>adresse</w:t>
            </w:r>
            <w:proofErr w:type="gramEnd"/>
            <w:r w:rsidRPr="00A63726">
              <w:rPr>
                <w:rFonts w:ascii="Arial" w:hAnsi="Arial" w:cs="Arial"/>
                <w:i/>
              </w:rPr>
              <w:t xml:space="preserv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proofErr w:type="gramStart"/>
            <w:r w:rsidRPr="00A63726">
              <w:rPr>
                <w:rFonts w:ascii="Arial" w:hAnsi="Arial" w:cs="Arial"/>
                <w:i/>
              </w:rPr>
              <w:t>numéros</w:t>
            </w:r>
            <w:proofErr w:type="gramEnd"/>
            <w:r w:rsidRPr="00A63726">
              <w:rPr>
                <w:rFonts w:ascii="Arial" w:hAnsi="Arial" w:cs="Arial"/>
                <w:i/>
              </w:rPr>
              <w:t xml:space="preserve">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13ED14A1" w:rsidR="009B1CD0" w:rsidRPr="00A63726" w:rsidRDefault="009B1CD0" w:rsidP="00A63726">
      <w:pPr>
        <w:pStyle w:val="fcase1ertab"/>
        <w:tabs>
          <w:tab w:val="left" w:pos="851"/>
        </w:tabs>
        <w:ind w:left="0" w:firstLine="0"/>
        <w:rPr>
          <w:rFonts w:ascii="Arial" w:hAnsi="Arial" w:cs="Arial"/>
          <w:b/>
          <w:bCs/>
        </w:rPr>
      </w:pPr>
      <w:proofErr w:type="gramStart"/>
      <w:r w:rsidRPr="00A63726">
        <w:rPr>
          <w:rFonts w:ascii="Arial" w:hAnsi="Arial" w:cs="Arial"/>
          <w:b/>
          <w:bCs/>
        </w:rPr>
        <w:t>à</w:t>
      </w:r>
      <w:proofErr w:type="gramEnd"/>
      <w:r w:rsidRPr="00A63726">
        <w:rPr>
          <w:rFonts w:ascii="Arial" w:hAnsi="Arial" w:cs="Arial"/>
          <w:b/>
          <w:bCs/>
        </w:rPr>
        <w:t xml:space="preserve">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xml:space="preserve"> : le bordereau des prix </w:t>
      </w:r>
      <w:r w:rsidR="00CE15C8">
        <w:rPr>
          <w:rFonts w:ascii="Arial" w:hAnsi="Arial" w:cs="Arial"/>
          <w:b/>
          <w:bCs/>
        </w:rPr>
        <w:t>mixtes.</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3B7AB50" w:rsidR="00F90E21" w:rsidRDefault="00F90E21">
      <w:pPr>
        <w:suppressAutoHyphens w:val="0"/>
        <w:rPr>
          <w:rFonts w:ascii="Arial" w:hAnsi="Arial" w:cs="Arial"/>
        </w:rPr>
      </w:pPr>
      <w:r>
        <w:rPr>
          <w:rFonts w:ascii="Arial" w:hAnsi="Arial" w:cs="Arial"/>
        </w:rPr>
        <w:br w:type="page"/>
      </w:r>
    </w:p>
    <w:p w14:paraId="2D9C2965" w14:textId="73D2658C" w:rsidR="00F90E21" w:rsidRPr="00F90E21" w:rsidRDefault="00F90E21" w:rsidP="00F90E21">
      <w:pPr>
        <w:pStyle w:val="fcase1ertab"/>
        <w:tabs>
          <w:tab w:val="left" w:pos="851"/>
        </w:tabs>
        <w:rPr>
          <w:rFonts w:ascii="Arial" w:hAnsi="Arial" w:cs="Arial"/>
        </w:rPr>
      </w:pPr>
      <w:r w:rsidRPr="00F90E21">
        <w:rPr>
          <w:rFonts w:ascii="Arial" w:hAnsi="Arial" w:cs="Arial"/>
          <w:sz w:val="18"/>
          <w:szCs w:val="18"/>
        </w:rPr>
        <w:lastRenderedPageBreak/>
        <w:t>EN CAS DE GROUPEMENT D’OPERATEURS ECONOMIQUES</w:t>
      </w:r>
      <w:r>
        <w:rPr>
          <w:rFonts w:ascii="Arial" w:hAnsi="Arial" w:cs="Arial"/>
          <w:sz w:val="18"/>
          <w:szCs w:val="18"/>
        </w:rPr>
        <w:t> :</w:t>
      </w:r>
    </w:p>
    <w:p w14:paraId="68341585"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AE2A0F"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3A35BC55" w14:textId="77777777" w:rsidR="00AE2A0F" w:rsidRDefault="00AE2A0F" w:rsidP="00AE2A0F">
      <w:pPr>
        <w:rPr>
          <w:rFonts w:ascii="Arial" w:eastAsia="Arial" w:hAnsi="Arial" w:cs="Arial"/>
          <w:shd w:val="clear" w:color="auto" w:fill="FFFFFF"/>
          <w:lang w:eastAsia="ja-JP"/>
        </w:rPr>
      </w:pPr>
      <w:r>
        <w:rPr>
          <w:rFonts w:eastAsia="Arial" w:cs="Arial"/>
          <w:shd w:val="clear" w:color="auto" w:fill="FFFFFF"/>
        </w:rPr>
        <w:t>L’accord cadre prendra effet à sa notification pour une durée de 18 mois.</w:t>
      </w:r>
    </w:p>
    <w:p w14:paraId="3A86CF89" w14:textId="77777777" w:rsidR="00AE2A0F" w:rsidRDefault="00AE2A0F" w:rsidP="00AE2A0F">
      <w:pPr>
        <w:tabs>
          <w:tab w:val="left" w:pos="426"/>
          <w:tab w:val="left" w:pos="851"/>
        </w:tabs>
        <w:rPr>
          <w:rFonts w:eastAsia="Andale Sans UI" w:cs="Arial"/>
        </w:rPr>
      </w:pPr>
      <w:r>
        <w:rPr>
          <w:rFonts w:cs="Arial"/>
        </w:rPr>
        <w:t>La durée est ferme et non reconductible.</w:t>
      </w:r>
    </w:p>
    <w:p w14:paraId="60D49F9F" w14:textId="77777777" w:rsidR="00AE2A0F" w:rsidRDefault="00AE2A0F" w:rsidP="00AE2A0F">
      <w:pPr>
        <w:tabs>
          <w:tab w:val="left" w:pos="426"/>
          <w:tab w:val="left" w:pos="851"/>
        </w:tabs>
        <w:rPr>
          <w:rFonts w:cs="Arial"/>
        </w:rPr>
      </w:pPr>
      <w:r>
        <w:rPr>
          <w:rFonts w:cs="Arial"/>
        </w:rPr>
        <w:t>Les bons de commande pourront être émis jusqu’au terme contractuel du marché.</w:t>
      </w:r>
    </w:p>
    <w:p w14:paraId="57FC8355" w14:textId="77777777" w:rsidR="00AE2A0F" w:rsidRDefault="00AE2A0F" w:rsidP="00AE2A0F">
      <w:pPr>
        <w:tabs>
          <w:tab w:val="left" w:pos="426"/>
          <w:tab w:val="left" w:pos="851"/>
        </w:tabs>
        <w:rPr>
          <w:rFonts w:cs="Arial"/>
        </w:rPr>
      </w:pPr>
      <w:r>
        <w:rPr>
          <w:rFonts w:cs="Arial"/>
        </w:rPr>
        <w:t>Le délai d’exécution des bons de commande pourra se poursuivre jusqu’à 6 mois après l’échéance du marché.</w:t>
      </w:r>
    </w:p>
    <w:p w14:paraId="4C5CA7EB" w14:textId="77777777" w:rsidR="009B1CD0" w:rsidRDefault="009B1CD0" w:rsidP="009B45B9">
      <w:pPr>
        <w:tabs>
          <w:tab w:val="left" w:pos="576"/>
          <w:tab w:val="left" w:pos="851"/>
        </w:tabs>
        <w:jc w:val="both"/>
        <w:rPr>
          <w:rFonts w:ascii="Arial" w:hAnsi="Arial" w:cs="Arial"/>
        </w:rPr>
      </w:pPr>
    </w:p>
    <w:p w14:paraId="58D738DD" w14:textId="698EB174" w:rsidR="00F90E21" w:rsidRDefault="00F90E21">
      <w:pPr>
        <w:suppressAutoHyphens w:val="0"/>
        <w:rPr>
          <w:rFonts w:ascii="Arial" w:hAnsi="Arial" w:cs="Arial"/>
          <w:b/>
        </w:rPr>
      </w:pPr>
      <w:r>
        <w:rPr>
          <w:rFonts w:ascii="Arial" w:hAnsi="Arial" w:cs="Arial"/>
          <w:b/>
        </w:rPr>
        <w:br w:type="page"/>
      </w:r>
    </w:p>
    <w:p w14:paraId="223AAA40" w14:textId="77777777"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113AEAF" w14:textId="77777777" w:rsidR="00332B12" w:rsidRDefault="00332B12" w:rsidP="00B054DA">
            <w:pPr>
              <w:tabs>
                <w:tab w:val="left" w:pos="851"/>
              </w:tabs>
              <w:snapToGrid w:val="0"/>
              <w:jc w:val="both"/>
              <w:rPr>
                <w:rFonts w:ascii="Arial" w:hAnsi="Arial" w:cs="Arial"/>
                <w:b/>
                <w:bCs/>
              </w:rPr>
            </w:pPr>
          </w:p>
          <w:p w14:paraId="1674BFE8" w14:textId="77777777" w:rsidR="00F90E21" w:rsidRDefault="00F90E21" w:rsidP="00B054DA">
            <w:pPr>
              <w:tabs>
                <w:tab w:val="left" w:pos="851"/>
              </w:tabs>
              <w:snapToGrid w:val="0"/>
              <w:jc w:val="both"/>
              <w:rPr>
                <w:rFonts w:ascii="Arial" w:hAnsi="Arial" w:cs="Arial"/>
                <w:b/>
                <w:bCs/>
              </w:rPr>
            </w:pPr>
          </w:p>
          <w:p w14:paraId="5E0C3020" w14:textId="77777777" w:rsidR="00F90E21" w:rsidRDefault="00F90E21" w:rsidP="00B054DA">
            <w:pPr>
              <w:tabs>
                <w:tab w:val="left" w:pos="851"/>
              </w:tabs>
              <w:snapToGrid w:val="0"/>
              <w:jc w:val="both"/>
              <w:rPr>
                <w:rFonts w:ascii="Arial" w:hAnsi="Arial" w:cs="Arial"/>
                <w:b/>
                <w:bCs/>
              </w:rPr>
            </w:pPr>
          </w:p>
          <w:p w14:paraId="385D2D01" w14:textId="77777777" w:rsidR="00F90E21" w:rsidRDefault="00F90E21" w:rsidP="00B054DA">
            <w:pPr>
              <w:tabs>
                <w:tab w:val="left" w:pos="851"/>
              </w:tabs>
              <w:snapToGrid w:val="0"/>
              <w:jc w:val="both"/>
              <w:rPr>
                <w:rFonts w:ascii="Arial" w:hAnsi="Arial" w:cs="Arial"/>
                <w:b/>
                <w:bCs/>
              </w:rPr>
            </w:pPr>
          </w:p>
          <w:p w14:paraId="7923C919" w14:textId="77777777" w:rsidR="00F90E21" w:rsidRDefault="00F90E21" w:rsidP="00B054DA">
            <w:pPr>
              <w:tabs>
                <w:tab w:val="left" w:pos="851"/>
              </w:tabs>
              <w:snapToGrid w:val="0"/>
              <w:jc w:val="both"/>
              <w:rPr>
                <w:rFonts w:ascii="Arial" w:hAnsi="Arial" w:cs="Arial"/>
                <w:b/>
                <w:bCs/>
              </w:rPr>
            </w:pPr>
          </w:p>
          <w:p w14:paraId="3CB8BB70" w14:textId="77777777" w:rsidR="00F90E21" w:rsidRDefault="00F90E2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F921A88" w14:textId="77777777" w:rsidR="00F90E21" w:rsidRDefault="00F90E21" w:rsidP="00332B12">
      <w:pPr>
        <w:pStyle w:val="fcase1ertab"/>
        <w:tabs>
          <w:tab w:val="left" w:pos="851"/>
        </w:tabs>
        <w:ind w:left="0" w:firstLine="0"/>
        <w:rPr>
          <w:rFonts w:ascii="Arial" w:hAnsi="Arial" w:cs="Arial"/>
          <w:b/>
          <w:sz w:val="22"/>
          <w:szCs w:val="22"/>
        </w:rPr>
      </w:pPr>
    </w:p>
    <w:p w14:paraId="4D755383" w14:textId="4950106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AE2A0F"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AE2A0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AE2A0F"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AE2A0F"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AE2A0F"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AE2A0F"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11B23D5" w14:textId="77777777" w:rsidR="00F90E21" w:rsidRDefault="00F90E21" w:rsidP="009B45B9">
      <w:pPr>
        <w:tabs>
          <w:tab w:val="left" w:pos="851"/>
        </w:tabs>
        <w:ind w:left="1134" w:hanging="850"/>
        <w:rPr>
          <w:rFonts w:ascii="Arial" w:hAnsi="Arial" w:cs="Arial"/>
          <w:i/>
          <w:sz w:val="18"/>
          <w:szCs w:val="18"/>
        </w:rPr>
      </w:pPr>
    </w:p>
    <w:p w14:paraId="18B2C8EE" w14:textId="77777777" w:rsidR="00F90E21" w:rsidRDefault="00F90E21" w:rsidP="009B45B9">
      <w:pPr>
        <w:tabs>
          <w:tab w:val="left" w:pos="851"/>
        </w:tabs>
        <w:ind w:left="1134" w:hanging="850"/>
        <w:rPr>
          <w:rFonts w:ascii="Arial" w:hAnsi="Arial" w:cs="Arial"/>
          <w:i/>
          <w:sz w:val="18"/>
          <w:szCs w:val="18"/>
        </w:rPr>
      </w:pPr>
    </w:p>
    <w:p w14:paraId="478E4C35" w14:textId="77777777" w:rsidR="00F90E21" w:rsidRDefault="00F90E21" w:rsidP="009B45B9">
      <w:pPr>
        <w:tabs>
          <w:tab w:val="left" w:pos="851"/>
        </w:tabs>
        <w:ind w:left="1134" w:hanging="850"/>
        <w:rPr>
          <w:rFonts w:ascii="Arial" w:hAnsi="Arial" w:cs="Arial"/>
          <w:i/>
          <w:sz w:val="18"/>
          <w:szCs w:val="18"/>
        </w:rPr>
      </w:pPr>
    </w:p>
    <w:p w14:paraId="78FA70DC" w14:textId="77777777" w:rsidR="00F90E21" w:rsidRDefault="00F90E21" w:rsidP="009B45B9">
      <w:pPr>
        <w:tabs>
          <w:tab w:val="left" w:pos="851"/>
        </w:tabs>
        <w:ind w:left="1134" w:hanging="850"/>
        <w:rPr>
          <w:rFonts w:ascii="Arial" w:hAnsi="Arial" w:cs="Arial"/>
          <w:i/>
          <w:sz w:val="18"/>
          <w:szCs w:val="18"/>
        </w:rPr>
      </w:pPr>
    </w:p>
    <w:p w14:paraId="4036F62B" w14:textId="77777777" w:rsidR="00F90E21" w:rsidRDefault="00F90E21" w:rsidP="009B45B9">
      <w:pPr>
        <w:tabs>
          <w:tab w:val="left" w:pos="851"/>
        </w:tabs>
        <w:ind w:left="1134" w:hanging="850"/>
        <w:rPr>
          <w:rFonts w:ascii="Arial" w:hAnsi="Arial" w:cs="Arial"/>
          <w:i/>
          <w:sz w:val="18"/>
          <w:szCs w:val="18"/>
        </w:rPr>
      </w:pPr>
    </w:p>
    <w:p w14:paraId="53B22BF3" w14:textId="77777777" w:rsidR="00F90E21" w:rsidRDefault="00F90E21" w:rsidP="009B45B9">
      <w:pPr>
        <w:tabs>
          <w:tab w:val="left" w:pos="851"/>
        </w:tabs>
        <w:ind w:left="1134" w:hanging="850"/>
        <w:rPr>
          <w:rFonts w:ascii="Arial" w:hAnsi="Arial" w:cs="Arial"/>
        </w:rPr>
      </w:pPr>
    </w:p>
    <w:p w14:paraId="0A46C816"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18D93BF8" w14:textId="77777777" w:rsidTr="004C0652">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4C0652">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4C0652">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4C0652">
        <w:trPr>
          <w:trHeight w:val="1021"/>
        </w:trPr>
        <w:tc>
          <w:tcPr>
            <w:tcW w:w="4644" w:type="dxa"/>
            <w:tcBorders>
              <w:left w:val="single" w:sz="4" w:space="0" w:color="000000"/>
              <w:bottom w:val="single" w:sz="4" w:space="0" w:color="auto"/>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 xml:space="preserve">Ou par délégation, le directeur général adjoint Valéry </w:t>
      </w:r>
      <w:proofErr w:type="spellStart"/>
      <w:r>
        <w:rPr>
          <w:rFonts w:ascii="Arial" w:hAnsi="Arial" w:cs="Arial"/>
        </w:rPr>
        <w:t>Morard</w:t>
      </w:r>
      <w:proofErr w:type="spellEnd"/>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Agence de l'eau Loire-</w:t>
      </w:r>
      <w:proofErr w:type="gramStart"/>
      <w:r w:rsidRPr="00027008">
        <w:rPr>
          <w:rFonts w:ascii="Arial" w:hAnsi="Arial" w:cs="Arial"/>
        </w:rPr>
        <w:t>Bretagne  -</w:t>
      </w:r>
      <w:proofErr w:type="gramEnd"/>
      <w:r w:rsidRPr="00027008">
        <w:rPr>
          <w:rFonts w:ascii="Arial" w:hAnsi="Arial" w:cs="Arial"/>
        </w:rPr>
        <w:t xml:space="preserve">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69FAD3D9" w:rsidR="009B1CD0" w:rsidRDefault="009B1CD0" w:rsidP="009B45B9">
      <w:pPr>
        <w:pStyle w:val="fcase2metab"/>
        <w:rPr>
          <w:rFonts w:ascii="Arial" w:hAnsi="Arial" w:cs="Arial"/>
        </w:rPr>
      </w:pPr>
      <w:bookmarkStart w:id="2" w:name="_Hlk204001061"/>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730EA6">
        <w:rPr>
          <w:rFonts w:ascii="Arial" w:hAnsi="Arial" w:cs="Arial"/>
        </w:rPr>
        <w:t xml:space="preserve"> : </w:t>
      </w:r>
      <w:bookmarkEnd w:id="2"/>
      <w:r w:rsidR="00730EA6">
        <w:rPr>
          <w:rFonts w:ascii="Arial" w:hAnsi="Arial" w:cs="Arial"/>
        </w:rPr>
        <w:t>6</w:t>
      </w:r>
      <w:r w:rsidR="00EC4F8F">
        <w:rPr>
          <w:rFonts w:ascii="Arial" w:hAnsi="Arial" w:cs="Arial"/>
        </w:rPr>
        <w:t>57832</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xml:space="preserve"> ou avis de l’autorité chargée du contrôle financier :</w:t>
      </w:r>
    </w:p>
    <w:p w14:paraId="695E94C9" w14:textId="28374CFB" w:rsidR="00F90E21" w:rsidRDefault="00F90E21" w:rsidP="009B45B9">
      <w:pPr>
        <w:tabs>
          <w:tab w:val="left" w:pos="851"/>
        </w:tabs>
        <w:rPr>
          <w:rFonts w:ascii="Arial" w:hAnsi="Arial" w:cs="Arial"/>
        </w:rPr>
      </w:pPr>
      <w:r>
        <w:rPr>
          <w:rFonts w:ascii="Arial" w:hAnsi="Arial" w:cs="Arial"/>
        </w:rPr>
        <w:t xml:space="preserve">Le : </w:t>
      </w:r>
    </w:p>
    <w:p w14:paraId="617FC9D1" w14:textId="6CE6B299"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512ABE46" w14:textId="5D021CC8" w:rsidR="009B1CD0" w:rsidRDefault="009B1CD0" w:rsidP="00F90E21">
      <w:pPr>
        <w:tabs>
          <w:tab w:val="left" w:pos="851"/>
          <w:tab w:val="left" w:pos="5245"/>
          <w:tab w:val="left" w:pos="7371"/>
          <w:tab w:val="left" w:pos="7655"/>
        </w:tabs>
        <w:jc w:val="both"/>
      </w:pPr>
      <w:r>
        <w:rPr>
          <w:rFonts w:ascii="Arial" w:hAnsi="Arial" w:cs="Arial"/>
        </w:rPr>
        <w:tab/>
        <w:t xml:space="preserve">A : </w:t>
      </w:r>
      <w:proofErr w:type="gramStart"/>
      <w:r w:rsidR="00730EA6">
        <w:rPr>
          <w:rFonts w:ascii="Arial" w:hAnsi="Arial" w:cs="Arial"/>
        </w:rPr>
        <w:t>Orléans</w:t>
      </w:r>
      <w:r>
        <w:rPr>
          <w:rFonts w:ascii="Arial" w:hAnsi="Arial" w:cs="Arial"/>
        </w:rPr>
        <w:t xml:space="preserve"> ,</w:t>
      </w:r>
      <w:proofErr w:type="gramEnd"/>
      <w:r>
        <w:rPr>
          <w:rFonts w:ascii="Arial" w:hAnsi="Arial" w:cs="Arial"/>
        </w:rPr>
        <w:t xml:space="preserve"> le …………………</w:t>
      </w: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1DAEA8BC" w:rsidR="000A257A" w:rsidRPr="000A257A" w:rsidRDefault="003736CE" w:rsidP="000A257A">
          <w:pPr>
            <w:jc w:val="center"/>
            <w:rPr>
              <w:rFonts w:ascii="Arial" w:hAnsi="Arial" w:cs="Arial"/>
              <w:b/>
              <w:i/>
            </w:rPr>
          </w:pPr>
          <w:r>
            <w:rPr>
              <w:rFonts w:ascii="Arial" w:hAnsi="Arial" w:cs="Arial"/>
              <w:b/>
              <w:i/>
            </w:rPr>
            <w:t>25S0</w:t>
          </w:r>
          <w:r w:rsidR="000A257A">
            <w:rPr>
              <w:rFonts w:ascii="Arial" w:hAnsi="Arial" w:cs="Arial"/>
              <w:b/>
              <w:i/>
            </w:rPr>
            <w:t>20</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218"/>
        </w:tabs>
        <w:ind w:left="214" w:hanging="432"/>
      </w:pPr>
    </w:lvl>
    <w:lvl w:ilvl="1">
      <w:start w:val="1"/>
      <w:numFmt w:val="none"/>
      <w:pStyle w:val="Titre2"/>
      <w:suff w:val="nothing"/>
      <w:lvlText w:val=""/>
      <w:lvlJc w:val="left"/>
      <w:pPr>
        <w:tabs>
          <w:tab w:val="num" w:pos="-218"/>
        </w:tabs>
        <w:ind w:left="358" w:hanging="576"/>
      </w:pPr>
    </w:lvl>
    <w:lvl w:ilvl="2">
      <w:start w:val="1"/>
      <w:numFmt w:val="none"/>
      <w:pStyle w:val="Titre3"/>
      <w:suff w:val="nothing"/>
      <w:lvlText w:val=""/>
      <w:lvlJc w:val="left"/>
      <w:pPr>
        <w:tabs>
          <w:tab w:val="num" w:pos="-218"/>
        </w:tabs>
        <w:ind w:left="502" w:hanging="720"/>
      </w:pPr>
    </w:lvl>
    <w:lvl w:ilvl="3">
      <w:start w:val="1"/>
      <w:numFmt w:val="none"/>
      <w:pStyle w:val="Titre4"/>
      <w:suff w:val="nothing"/>
      <w:lvlText w:val=""/>
      <w:lvlJc w:val="left"/>
      <w:pPr>
        <w:tabs>
          <w:tab w:val="num" w:pos="-218"/>
        </w:tabs>
        <w:ind w:left="646" w:hanging="864"/>
      </w:pPr>
    </w:lvl>
    <w:lvl w:ilvl="4">
      <w:start w:val="1"/>
      <w:numFmt w:val="none"/>
      <w:pStyle w:val="Titre5"/>
      <w:suff w:val="nothing"/>
      <w:lvlText w:val=""/>
      <w:lvlJc w:val="left"/>
      <w:pPr>
        <w:tabs>
          <w:tab w:val="num" w:pos="-218"/>
        </w:tabs>
        <w:ind w:left="790" w:hanging="1008"/>
      </w:pPr>
    </w:lvl>
    <w:lvl w:ilvl="5">
      <w:start w:val="1"/>
      <w:numFmt w:val="none"/>
      <w:pStyle w:val="Titre6"/>
      <w:suff w:val="nothing"/>
      <w:lvlText w:val=""/>
      <w:lvlJc w:val="left"/>
      <w:pPr>
        <w:tabs>
          <w:tab w:val="num" w:pos="-218"/>
        </w:tabs>
        <w:ind w:left="934" w:hanging="1152"/>
      </w:pPr>
    </w:lvl>
    <w:lvl w:ilvl="6">
      <w:start w:val="1"/>
      <w:numFmt w:val="none"/>
      <w:pStyle w:val="Titre7"/>
      <w:suff w:val="nothing"/>
      <w:lvlText w:val=""/>
      <w:lvlJc w:val="left"/>
      <w:pPr>
        <w:tabs>
          <w:tab w:val="num" w:pos="-218"/>
        </w:tabs>
        <w:ind w:left="1078" w:hanging="1296"/>
      </w:pPr>
    </w:lvl>
    <w:lvl w:ilvl="7">
      <w:start w:val="1"/>
      <w:numFmt w:val="none"/>
      <w:pStyle w:val="Titre8"/>
      <w:suff w:val="nothing"/>
      <w:lvlText w:val=""/>
      <w:lvlJc w:val="left"/>
      <w:pPr>
        <w:tabs>
          <w:tab w:val="num" w:pos="-218"/>
        </w:tabs>
        <w:ind w:left="1222" w:hanging="1440"/>
      </w:pPr>
    </w:lvl>
    <w:lvl w:ilvl="8">
      <w:start w:val="1"/>
      <w:numFmt w:val="none"/>
      <w:pStyle w:val="Titre9"/>
      <w:suff w:val="nothing"/>
      <w:lvlText w:val=""/>
      <w:lvlJc w:val="left"/>
      <w:pPr>
        <w:tabs>
          <w:tab w:val="num" w:pos="-218"/>
        </w:tabs>
        <w:ind w:left="1366"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3DB3021"/>
    <w:multiLevelType w:val="hybridMultilevel"/>
    <w:tmpl w:val="64B03D30"/>
    <w:lvl w:ilvl="0" w:tplc="70A6EED8">
      <w:numFmt w:val="bullet"/>
      <w:lvlText w:val=""/>
      <w:lvlJc w:val="left"/>
      <w:pPr>
        <w:ind w:left="1080"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639341EC"/>
    <w:multiLevelType w:val="hybridMultilevel"/>
    <w:tmpl w:val="44DE48EE"/>
    <w:lvl w:ilvl="0" w:tplc="3378F8EC">
      <w:start w:val="1"/>
      <w:numFmt w:val="bullet"/>
      <w:lvlText w:val=""/>
      <w:lvlJc w:val="left"/>
      <w:pPr>
        <w:ind w:left="720" w:hanging="360"/>
      </w:pPr>
      <w:rPr>
        <w:rFonts w:ascii="Symbol" w:hAnsi="Symbol" w:hint="default"/>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C07436"/>
    <w:multiLevelType w:val="hybridMultilevel"/>
    <w:tmpl w:val="F3107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7"/>
  </w:num>
  <w:num w:numId="5" w16cid:durableId="1789736719">
    <w:abstractNumId w:val="4"/>
  </w:num>
  <w:num w:numId="6" w16cid:durableId="1923679802">
    <w:abstractNumId w:val="9"/>
  </w:num>
  <w:num w:numId="7" w16cid:durableId="849368878">
    <w:abstractNumId w:val="3"/>
  </w:num>
  <w:num w:numId="8" w16cid:durableId="875235665">
    <w:abstractNumId w:val="8"/>
  </w:num>
  <w:num w:numId="9" w16cid:durableId="198976682">
    <w:abstractNumId w:val="5"/>
  </w:num>
  <w:num w:numId="10" w16cid:durableId="19315460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C1F"/>
    <w:rsid w:val="00036500"/>
    <w:rsid w:val="00067F94"/>
    <w:rsid w:val="000A257A"/>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9416B"/>
    <w:rsid w:val="002C2CA3"/>
    <w:rsid w:val="002C4B3E"/>
    <w:rsid w:val="002C79D6"/>
    <w:rsid w:val="002E56C1"/>
    <w:rsid w:val="00306797"/>
    <w:rsid w:val="00332B12"/>
    <w:rsid w:val="00354C04"/>
    <w:rsid w:val="003736CE"/>
    <w:rsid w:val="00385E76"/>
    <w:rsid w:val="003A7270"/>
    <w:rsid w:val="003C5CA3"/>
    <w:rsid w:val="003D7B71"/>
    <w:rsid w:val="0043706E"/>
    <w:rsid w:val="0044597F"/>
    <w:rsid w:val="004A2CB3"/>
    <w:rsid w:val="004A7169"/>
    <w:rsid w:val="004C0652"/>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27AD7"/>
    <w:rsid w:val="0064560F"/>
    <w:rsid w:val="00660727"/>
    <w:rsid w:val="00662A86"/>
    <w:rsid w:val="006A37B0"/>
    <w:rsid w:val="006A6B62"/>
    <w:rsid w:val="006B5057"/>
    <w:rsid w:val="006C4338"/>
    <w:rsid w:val="006F3DF9"/>
    <w:rsid w:val="007060E5"/>
    <w:rsid w:val="00710FD6"/>
    <w:rsid w:val="00722FB2"/>
    <w:rsid w:val="00730A78"/>
    <w:rsid w:val="00730EA6"/>
    <w:rsid w:val="00757151"/>
    <w:rsid w:val="007909E0"/>
    <w:rsid w:val="0079785C"/>
    <w:rsid w:val="007D4001"/>
    <w:rsid w:val="007D408E"/>
    <w:rsid w:val="007D7A65"/>
    <w:rsid w:val="007F68A6"/>
    <w:rsid w:val="0080300D"/>
    <w:rsid w:val="0083205E"/>
    <w:rsid w:val="00840934"/>
    <w:rsid w:val="00844DAA"/>
    <w:rsid w:val="008450C7"/>
    <w:rsid w:val="00876A73"/>
    <w:rsid w:val="008A0224"/>
    <w:rsid w:val="008B2A38"/>
    <w:rsid w:val="008B56FA"/>
    <w:rsid w:val="008D41FF"/>
    <w:rsid w:val="009147F4"/>
    <w:rsid w:val="00930A5C"/>
    <w:rsid w:val="00934503"/>
    <w:rsid w:val="00972598"/>
    <w:rsid w:val="00983FF3"/>
    <w:rsid w:val="009B1CD0"/>
    <w:rsid w:val="009B45B9"/>
    <w:rsid w:val="009C4738"/>
    <w:rsid w:val="009D661E"/>
    <w:rsid w:val="00A34D04"/>
    <w:rsid w:val="00A46EF0"/>
    <w:rsid w:val="00A63726"/>
    <w:rsid w:val="00AB5FB5"/>
    <w:rsid w:val="00AE2A0F"/>
    <w:rsid w:val="00AE7831"/>
    <w:rsid w:val="00B02608"/>
    <w:rsid w:val="00B0289C"/>
    <w:rsid w:val="00B054DA"/>
    <w:rsid w:val="00B42ACB"/>
    <w:rsid w:val="00B87564"/>
    <w:rsid w:val="00BA44E5"/>
    <w:rsid w:val="00BD767E"/>
    <w:rsid w:val="00BE6078"/>
    <w:rsid w:val="00C23457"/>
    <w:rsid w:val="00C40C12"/>
    <w:rsid w:val="00C630AD"/>
    <w:rsid w:val="00C635C1"/>
    <w:rsid w:val="00C8181D"/>
    <w:rsid w:val="00C83930"/>
    <w:rsid w:val="00C91060"/>
    <w:rsid w:val="00C911FE"/>
    <w:rsid w:val="00CD185D"/>
    <w:rsid w:val="00CD46CC"/>
    <w:rsid w:val="00CE15C8"/>
    <w:rsid w:val="00CE67FD"/>
    <w:rsid w:val="00D20227"/>
    <w:rsid w:val="00D26AD2"/>
    <w:rsid w:val="00D337D7"/>
    <w:rsid w:val="00D412FD"/>
    <w:rsid w:val="00D46BC7"/>
    <w:rsid w:val="00D90A00"/>
    <w:rsid w:val="00E008DF"/>
    <w:rsid w:val="00E20DB0"/>
    <w:rsid w:val="00E47798"/>
    <w:rsid w:val="00E74C76"/>
    <w:rsid w:val="00E8111D"/>
    <w:rsid w:val="00E96FF6"/>
    <w:rsid w:val="00E97492"/>
    <w:rsid w:val="00EC4F8F"/>
    <w:rsid w:val="00F4307E"/>
    <w:rsid w:val="00F90E21"/>
    <w:rsid w:val="00F92811"/>
    <w:rsid w:val="00FB2C74"/>
    <w:rsid w:val="00FE32ED"/>
    <w:rsid w:val="00FE48C9"/>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 w:type="paragraph" w:styleId="Paragraphedeliste">
    <w:name w:val="List Paragraph"/>
    <w:aliases w:val="Lettre d'introduction,Normal bullet 2,Resume Title,Listes,source,Liste niveau 1,List Paragraph1,Paragraphe de liste num,Paragraphe de liste 1,Table of contents numbered,Bullet List Paragraph,Liste à puce - SC,lp1"/>
    <w:basedOn w:val="Normal"/>
    <w:link w:val="ParagraphedelisteCar"/>
    <w:uiPriority w:val="34"/>
    <w:qFormat/>
    <w:rsid w:val="00AE2A0F"/>
    <w:pPr>
      <w:suppressAutoHyphens w:val="0"/>
      <w:spacing w:before="120"/>
      <w:ind w:left="720"/>
      <w:contextualSpacing/>
      <w:jc w:val="both"/>
    </w:pPr>
    <w:rPr>
      <w:rFonts w:ascii="Arial" w:eastAsia="Andale Sans UI" w:hAnsi="Arial" w:cs="Tahoma"/>
      <w:szCs w:val="24"/>
      <w:lang w:eastAsia="ja-JP" w:bidi="fa-IR"/>
    </w:rPr>
  </w:style>
  <w:style w:type="character" w:customStyle="1" w:styleId="ParagraphedelisteCar">
    <w:name w:val="Paragraphe de liste Car"/>
    <w:aliases w:val="Lettre d'introduction Car,Normal bullet 2 Car,Resume Title Car,Listes Car,source Car,Liste niveau 1 Car,List Paragraph1 Car,Paragraphe de liste num Car,Paragraphe de liste 1 Car,Table of contents numbered Car,lp1 Car"/>
    <w:link w:val="Paragraphedeliste"/>
    <w:uiPriority w:val="34"/>
    <w:locked/>
    <w:rsid w:val="00AE2A0F"/>
    <w:rPr>
      <w:rFonts w:ascii="Arial" w:eastAsia="Andale Sans UI" w:hAnsi="Arial" w:cs="Tahoma"/>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420443853">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2247</Words>
  <Characters>12362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2</cp:revision>
  <cp:lastPrinted>2016-11-04T11:53:00Z</cp:lastPrinted>
  <dcterms:created xsi:type="dcterms:W3CDTF">2025-10-28T11:04:00Z</dcterms:created>
  <dcterms:modified xsi:type="dcterms:W3CDTF">2025-10-28T11:04:00Z</dcterms:modified>
</cp:coreProperties>
</file>