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bookmarkStart w:id="0" w:name="_Toc185857301"/>
      <w:bookmarkStart w:id="1" w:name="_Toc184826280"/>
      <w:r>
        <w:rPr/>
        <w:drawing>
          <wp:inline distT="0" distB="0" distL="0" distR="0">
            <wp:extent cx="2628900" cy="97155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628900" cy="971550"/>
                    </a:xfrm>
                    <a:prstGeom prst="rect">
                      <a:avLst/>
                    </a:prstGeom>
                  </pic:spPr>
                </pic:pic>
              </a:graphicData>
            </a:graphic>
          </wp:inline>
        </w:drawing>
      </w:r>
      <w:bookmarkEnd w:id="0"/>
      <w:bookmarkEnd w:id="1"/>
    </w:p>
    <w:p>
      <w:pPr>
        <w:pStyle w:val="Normal"/>
        <w:spacing w:lineRule="exact" w:line="240" w:before="0" w:after="160"/>
        <w:rPr>
          <w:rFonts w:ascii="Arial" w:hAnsi="Arial" w:cs="Arial"/>
        </w:rPr>
      </w:pPr>
      <w:r>
        <w:rPr>
          <w:rFonts w:cs="Arial" w:ascii="Arial" w:hAnsi="Arial"/>
        </w:rPr>
      </w:r>
    </w:p>
    <w:p>
      <w:pPr>
        <w:pStyle w:val="Normal"/>
        <w:spacing w:lineRule="exact" w:line="240"/>
        <w:jc w:val="center"/>
        <w:rPr>
          <w:rFonts w:ascii="Arial" w:hAnsi="Arial" w:cs="Arial"/>
          <w:sz w:val="22"/>
        </w:rPr>
      </w:pPr>
      <w:r>
        <w:rPr>
          <w:rFonts w:cs="Arial" w:ascii="Arial" w:hAnsi="Arial"/>
          <w:b/>
          <w:sz w:val="22"/>
        </w:rPr>
        <w:t>Maître d'ouvrage</w:t>
      </w:r>
      <w:r>
        <w:rPr>
          <w:rFonts w:cs="Arial" w:ascii="Arial" w:hAnsi="Arial"/>
          <w:sz w:val="22"/>
        </w:rPr>
        <w:t xml:space="preserve"> : EPA DE LA MASSE DES DOUANES</w:t>
      </w:r>
    </w:p>
    <w:p>
      <w:pPr>
        <w:pStyle w:val="Normal"/>
        <w:spacing w:lineRule="exact" w:line="240"/>
        <w:jc w:val="center"/>
        <w:rPr>
          <w:rFonts w:ascii="Arial" w:hAnsi="Arial" w:cs="Arial"/>
          <w:sz w:val="22"/>
        </w:rPr>
      </w:pPr>
      <w:r>
        <w:rPr>
          <w:rFonts w:cs="Arial" w:ascii="Arial" w:hAnsi="Arial"/>
          <w:sz w:val="22"/>
        </w:rPr>
      </w:r>
    </w:p>
    <w:p>
      <w:pPr>
        <w:pStyle w:val="Normal"/>
        <w:spacing w:lineRule="exact" w:line="240"/>
        <w:jc w:val="center"/>
        <w:rPr>
          <w:rFonts w:ascii="Arial" w:hAnsi="Arial" w:cs="Arial"/>
          <w:sz w:val="22"/>
        </w:rPr>
      </w:pPr>
      <w:r>
        <w:rPr>
          <w:rFonts w:cs="Arial" w:ascii="Arial" w:hAnsi="Arial"/>
          <w:b/>
          <w:sz w:val="22"/>
        </w:rPr>
        <w:t>Mandataire</w:t>
      </w:r>
      <w:r>
        <w:rPr>
          <w:rFonts w:cs="Arial" w:ascii="Arial" w:hAnsi="Arial"/>
          <w:sz w:val="22"/>
        </w:rPr>
        <w:t xml:space="preserve"> : </w:t>
        <w:tab/>
        <w:t>VAR AMENAGEMENT DEVELOPPEMENT</w:t>
      </w:r>
    </w:p>
    <w:p>
      <w:pPr>
        <w:pStyle w:val="Normal"/>
        <w:spacing w:lineRule="exact" w:line="240"/>
        <w:jc w:val="center"/>
        <w:rPr>
          <w:rFonts w:ascii="Arial" w:hAnsi="Arial" w:cs="Arial"/>
          <w:sz w:val="22"/>
        </w:rPr>
      </w:pPr>
      <w:r>
        <w:rPr>
          <w:rFonts w:cs="Arial" w:ascii="Arial" w:hAnsi="Arial"/>
          <w:sz w:val="22"/>
        </w:rPr>
        <w:t>Agissant au nom et pour le compte du Maître d’Ouvrage</w:t>
      </w:r>
    </w:p>
    <w:p>
      <w:pPr>
        <w:pStyle w:val="Normal"/>
        <w:spacing w:lineRule="exact" w:line="240"/>
        <w:jc w:val="center"/>
        <w:rPr>
          <w:rFonts w:ascii="Arial" w:hAnsi="Arial" w:cs="Arial"/>
          <w:bCs/>
          <w:sz w:val="22"/>
        </w:rPr>
      </w:pPr>
      <w:r>
        <w:rPr>
          <w:rFonts w:cs="Arial" w:ascii="Arial" w:hAnsi="Arial"/>
          <w:bCs/>
          <w:sz w:val="22"/>
        </w:rPr>
        <w:t>Tour l'Albatros – 109 avenue d'Entrecasteaux</w:t>
      </w:r>
    </w:p>
    <w:p>
      <w:pPr>
        <w:pStyle w:val="Normal"/>
        <w:spacing w:lineRule="exact" w:line="240"/>
        <w:jc w:val="center"/>
        <w:rPr>
          <w:rFonts w:ascii="Arial" w:hAnsi="Arial" w:cs="Arial"/>
          <w:bCs/>
          <w:sz w:val="22"/>
        </w:rPr>
      </w:pPr>
      <w:r>
        <w:rPr>
          <w:rFonts w:cs="Arial" w:ascii="Arial" w:hAnsi="Arial"/>
          <w:bCs/>
          <w:sz w:val="22"/>
        </w:rPr>
        <w:t>BP 1406</w:t>
      </w:r>
    </w:p>
    <w:p>
      <w:pPr>
        <w:pStyle w:val="Normal"/>
        <w:spacing w:lineRule="exact" w:line="240"/>
        <w:jc w:val="center"/>
        <w:rPr>
          <w:rFonts w:ascii="Arial" w:hAnsi="Arial" w:cs="Arial"/>
          <w:bCs/>
          <w:sz w:val="22"/>
        </w:rPr>
      </w:pPr>
      <w:r>
        <w:rPr>
          <w:rFonts w:cs="Arial" w:ascii="Arial" w:hAnsi="Arial"/>
          <w:bCs/>
          <w:sz w:val="22"/>
        </w:rPr>
        <w:t>83056 TOULON CEDEX</w:t>
        <w:br/>
      </w:r>
    </w:p>
    <w:p>
      <w:pPr>
        <w:pStyle w:val="Normal"/>
        <w:spacing w:lineRule="exact" w:line="240" w:before="0" w:after="160"/>
        <w:rPr>
          <w:rFonts w:ascii="Arial" w:hAnsi="Arial" w:cs="Arial"/>
        </w:rPr>
      </w:pPr>
      <w:r>
        <w:rPr>
          <w:rFonts w:cs="Arial" w:ascii="Arial" w:hAnsi="Arial"/>
        </w:rPr>
      </w:r>
    </w:p>
    <w:p>
      <w:pPr>
        <w:pStyle w:val="Normal"/>
        <w:spacing w:lineRule="exact" w:line="240" w:before="0" w:after="160"/>
        <w:rPr>
          <w:rFonts w:ascii="Arial" w:hAnsi="Arial" w:cs="Arial"/>
        </w:rPr>
      </w:pPr>
      <w:r>
        <w:rPr>
          <w:rFonts w:cs="Arial" w:ascii="Arial" w:hAnsi="Arial"/>
        </w:rPr>
      </w:r>
    </w:p>
    <w:tbl>
      <w:tblPr>
        <w:tblW w:w="9620" w:type="dxa"/>
        <w:jc w:val="left"/>
        <w:tblInd w:w="-88" w:type="dxa"/>
        <w:tblLayout w:type="fixed"/>
        <w:tblCellMar>
          <w:top w:w="40" w:type="dxa"/>
          <w:left w:w="0" w:type="dxa"/>
          <w:bottom w:w="0" w:type="dxa"/>
          <w:right w:w="0" w:type="dxa"/>
        </w:tblCellMar>
        <w:tblLook w:firstRow="1" w:noVBand="1" w:lastRow="0" w:firstColumn="1" w:lastColumn="0" w:noHBand="0" w:val="04a0"/>
      </w:tblPr>
      <w:tblGrid>
        <w:gridCol w:w="9620"/>
      </w:tblGrid>
      <w:tr>
        <w:trPr/>
        <w:tc>
          <w:tcPr>
            <w:tcW w:w="9620" w:type="dxa"/>
            <w:tcBorders/>
            <w:shd w:color="666553" w:fill="666553" w:val="clear"/>
            <w:vAlign w:val="center"/>
          </w:tcPr>
          <w:p>
            <w:pPr>
              <w:pStyle w:val="Normal"/>
              <w:widowControl w:val="false"/>
              <w:jc w:val="center"/>
              <w:rPr>
                <w:rFonts w:ascii="Arial" w:hAnsi="Arial" w:eastAsia="Arial" w:cs="Arial"/>
                <w:b/>
                <w:color w:val="FFFFFF"/>
                <w:sz w:val="28"/>
              </w:rPr>
            </w:pPr>
            <w:r>
              <w:rPr>
                <w:rFonts w:eastAsia="Arial" w:cs="Arial" w:ascii="Arial" w:hAnsi="Arial"/>
                <w:b/>
                <w:color w:val="FFFFFF"/>
                <w:sz w:val="28"/>
              </w:rPr>
              <w:t>RÈGLEMENT DE LA CONSULTATION</w:t>
            </w:r>
          </w:p>
        </w:tc>
      </w:tr>
    </w:tbl>
    <w:p>
      <w:pPr>
        <w:pStyle w:val="Normal"/>
        <w:spacing w:lineRule="exact" w:line="240"/>
        <w:rPr>
          <w:rFonts w:ascii="Arial" w:hAnsi="Arial" w:cs="Arial"/>
        </w:rPr>
      </w:pPr>
      <w:r>
        <w:rPr>
          <w:rFonts w:cs="Arial" w:ascii="Arial" w:hAnsi="Arial"/>
        </w:rPr>
        <w:t xml:space="preserve"> </w:t>
      </w:r>
    </w:p>
    <w:p>
      <w:pPr>
        <w:pStyle w:val="Normal"/>
        <w:spacing w:lineRule="exact" w:line="240" w:before="0" w:after="120"/>
        <w:rPr>
          <w:rFonts w:ascii="Arial" w:hAnsi="Arial" w:cs="Arial"/>
        </w:rPr>
      </w:pPr>
      <w:r>
        <w:rPr>
          <w:rFonts w:cs="Arial" w:ascii="Arial" w:hAnsi="Arial"/>
        </w:rPr>
      </w:r>
    </w:p>
    <w:p>
      <w:pPr>
        <w:pStyle w:val="Normal"/>
        <w:spacing w:before="40" w:after="0"/>
        <w:ind w:left="20" w:right="20" w:hanging="0"/>
        <w:jc w:val="center"/>
        <w:rPr>
          <w:rFonts w:ascii="Arial" w:hAnsi="Arial" w:eastAsia="Arial" w:cs="Arial"/>
          <w:b/>
          <w:color w:val="000000"/>
          <w:sz w:val="28"/>
        </w:rPr>
      </w:pPr>
      <w:r>
        <w:rPr>
          <w:rFonts w:eastAsia="Arial" w:cs="Arial" w:ascii="Arial" w:hAnsi="Arial"/>
          <w:b/>
          <w:color w:val="000000"/>
          <w:sz w:val="28"/>
        </w:rPr>
        <w:t xml:space="preserve">MARCHE PUBLIC DE MAÎTRISE D’ŒUVRE </w:t>
      </w:r>
      <w:bookmarkStart w:id="2" w:name="_Hlk153458299"/>
    </w:p>
    <w:p>
      <w:pPr>
        <w:pStyle w:val="Normal"/>
        <w:spacing w:before="40" w:after="0"/>
        <w:ind w:left="20" w:right="20" w:hanging="0"/>
        <w:jc w:val="center"/>
        <w:rPr>
          <w:rFonts w:ascii="Arial" w:hAnsi="Arial" w:eastAsia="Arial" w:cs="Arial"/>
          <w:b/>
          <w:color w:val="000000"/>
          <w:sz w:val="28"/>
        </w:rPr>
      </w:pPr>
      <w:r>
        <w:rPr>
          <w:rFonts w:eastAsia="Arial" w:cs="Arial" w:ascii="Arial" w:hAnsi="Arial"/>
          <w:b/>
          <w:color w:val="000000"/>
          <w:sz w:val="28"/>
        </w:rPr>
      </w:r>
    </w:p>
    <w:p>
      <w:pPr>
        <w:pStyle w:val="Normal"/>
        <w:spacing w:before="40" w:after="0"/>
        <w:ind w:left="20" w:right="20" w:hanging="0"/>
        <w:jc w:val="center"/>
        <w:rPr>
          <w:rFonts w:ascii="Arial" w:hAnsi="Arial" w:eastAsia="Arial" w:cs="Arial"/>
          <w:b/>
          <w:color w:val="000000"/>
          <w:sz w:val="28"/>
        </w:rPr>
      </w:pPr>
      <w:r>
        <w:rPr>
          <w:rFonts w:eastAsia="Arial" w:cs="Arial" w:ascii="Arial" w:hAnsi="Arial"/>
          <w:b/>
          <w:color w:val="000000"/>
          <w:sz w:val="28"/>
        </w:rPr>
      </w:r>
    </w:p>
    <w:p>
      <w:pPr>
        <w:pStyle w:val="Normal"/>
        <w:pBdr>
          <w:top w:val="single" w:sz="4" w:space="1" w:color="000000"/>
        </w:pBdr>
        <w:jc w:val="center"/>
        <w:rPr>
          <w:rFonts w:ascii="Arial" w:hAnsi="Arial" w:cs="Arial"/>
          <w:b/>
        </w:rPr>
      </w:pPr>
      <w:r>
        <w:rPr>
          <w:rFonts w:cs="Arial" w:ascii="Arial" w:hAnsi="Arial"/>
          <w:b/>
        </w:rPr>
      </w:r>
    </w:p>
    <w:p>
      <w:pPr>
        <w:pStyle w:val="Normal"/>
        <w:pBdr>
          <w:top w:val="single" w:sz="4" w:space="1" w:color="000000"/>
        </w:pBdr>
        <w:jc w:val="center"/>
        <w:rPr>
          <w:rFonts w:ascii="Arial" w:hAnsi="Arial" w:cs="Arial"/>
          <w:b/>
        </w:rPr>
      </w:pPr>
      <w:r>
        <w:rPr>
          <w:rFonts w:cs="Arial" w:ascii="Arial" w:hAnsi="Arial"/>
          <w:b/>
        </w:rPr>
        <w:t>Maîtrise d’œuvre pour la rénovation de logements vacants</w:t>
      </w:r>
    </w:p>
    <w:p>
      <w:pPr>
        <w:pStyle w:val="Normal"/>
        <w:spacing w:before="40" w:after="0"/>
        <w:ind w:left="20" w:right="20" w:hanging="0"/>
        <w:jc w:val="center"/>
        <w:rPr>
          <w:rFonts w:ascii="Arial" w:hAnsi="Arial" w:cs="Arial"/>
          <w:b/>
        </w:rPr>
      </w:pPr>
      <w:r>
        <w:rPr>
          <w:rFonts w:cs="Arial" w:ascii="Arial" w:hAnsi="Arial"/>
          <w:b/>
        </w:rPr>
      </w:r>
    </w:p>
    <w:p>
      <w:pPr>
        <w:pStyle w:val="Normal"/>
        <w:pBdr>
          <w:top w:val="single" w:sz="4" w:space="1" w:color="000000"/>
        </w:pBdr>
        <w:jc w:val="center"/>
        <w:rPr>
          <w:rFonts w:ascii="Arial" w:hAnsi="Arial" w:cs="Arial"/>
          <w:b/>
        </w:rPr>
      </w:pPr>
      <w:r>
        <w:rPr>
          <w:rFonts w:cs="Arial" w:ascii="Arial" w:hAnsi="Arial"/>
          <w:b/>
        </w:rPr>
      </w:r>
    </w:p>
    <w:p>
      <w:pPr>
        <w:pStyle w:val="ListParagraph"/>
        <w:spacing w:before="0" w:after="120"/>
        <w:ind w:left="714" w:hanging="0"/>
        <w:contextualSpacing w:val="false"/>
        <w:jc w:val="both"/>
        <w:rPr>
          <w:rFonts w:ascii="Arial" w:hAnsi="Arial" w:cs="Arial"/>
          <w:b/>
          <w:sz w:val="22"/>
          <w:szCs w:val="22"/>
        </w:rPr>
      </w:pPr>
      <w:r>
        <w:rPr>
          <w:rFonts w:cs="Arial" w:ascii="Arial" w:hAnsi="Arial"/>
          <w:b/>
          <w:sz w:val="22"/>
          <w:szCs w:val="22"/>
        </w:rPr>
      </w:r>
      <w:bookmarkEnd w:id="2"/>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before="0" w:after="120"/>
        <w:ind w:right="-370" w:hanging="0"/>
        <w:jc w:val="both"/>
        <w:rPr>
          <w:rFonts w:ascii="Arial" w:hAnsi="Arial" w:cs="Arial"/>
        </w:rPr>
      </w:pPr>
      <w:r>
        <w:rPr>
          <w:rFonts w:cs="Arial" w:ascii="Arial" w:hAnsi="Arial"/>
        </w:rPr>
      </w:r>
    </w:p>
    <w:p>
      <w:pPr>
        <w:pStyle w:val="Normal"/>
        <w:spacing w:before="80" w:after="20"/>
        <w:ind w:left="20" w:right="20" w:hanging="0"/>
        <w:jc w:val="center"/>
        <w:rPr>
          <w:rFonts w:ascii="Arial" w:hAnsi="Arial" w:eastAsia="Arial" w:cs="Arial"/>
          <w:color w:val="000000"/>
        </w:rPr>
      </w:pPr>
      <w:r>
        <w:rPr>
          <w:rFonts w:eastAsia="Arial" w:cs="Arial" w:ascii="Arial" w:hAnsi="Arial"/>
          <w:color w:val="000000"/>
        </w:rPr>
        <w:t>Date et heure limites de réception des offres :</w:t>
      </w:r>
    </w:p>
    <w:p>
      <w:pPr>
        <w:pStyle w:val="Normal"/>
        <w:spacing w:lineRule="exact" w:line="240"/>
        <w:jc w:val="center"/>
        <w:rPr>
          <w:rFonts w:ascii="Arial" w:hAnsi="Arial" w:eastAsia="Arial" w:cs="Arial"/>
          <w:color w:val="000000"/>
        </w:rPr>
      </w:pPr>
      <w:r>
        <w:rPr>
          <w:rFonts w:eastAsia="Arial" w:cs="Arial" w:ascii="Arial" w:hAnsi="Arial"/>
          <w:color w:val="000000"/>
        </w:rPr>
      </w:r>
    </w:p>
    <w:p>
      <w:pPr>
        <w:pStyle w:val="Normal"/>
        <w:spacing w:lineRule="exact" w:line="240"/>
        <w:jc w:val="center"/>
        <w:rPr>
          <w:rFonts w:ascii="Arial" w:hAnsi="Arial" w:eastAsia="Arial" w:cs="Arial"/>
          <w:b/>
          <w:color w:val="000000"/>
          <w:sz w:val="28"/>
          <w:u w:val="single"/>
        </w:rPr>
      </w:pPr>
      <w:r>
        <w:rPr>
          <w:rFonts w:eastAsia="Arial" w:cs="Arial" w:ascii="Arial" w:hAnsi="Arial"/>
          <w:b/>
          <w:color w:val="000000"/>
          <w:u w:val="single"/>
        </w:rPr>
        <w:t xml:space="preserve">Le 21 novembre 2025, à 12h00 </w:t>
      </w:r>
    </w:p>
    <w:p>
      <w:pPr>
        <w:pStyle w:val="Normal"/>
        <w:jc w:val="both"/>
        <w:rPr>
          <w:rFonts w:ascii="Arial" w:hAnsi="Arial" w:cs="Arial"/>
          <w:sz w:val="22"/>
          <w:szCs w:val="22"/>
        </w:rPr>
      </w:pPr>
      <w:r>
        <w:rPr>
          <w:rFonts w:cs="Arial" w:ascii="Arial" w:hAnsi="Arial"/>
          <w:sz w:val="22"/>
          <w:szCs w:val="22"/>
        </w:rPr>
      </w:r>
    </w:p>
    <w:p>
      <w:pPr>
        <w:pStyle w:val="Normal"/>
        <w:rPr/>
      </w:pPr>
      <w:r>
        <w:rPr/>
      </w:r>
    </w:p>
    <w:p>
      <w:pPr>
        <w:pStyle w:val="Normal"/>
        <w:rPr>
          <w:rFonts w:ascii="Arial" w:hAnsi="Arial" w:eastAsia="Arial" w:cs="Arial"/>
          <w:b/>
          <w:color w:val="000000"/>
        </w:rPr>
      </w:pPr>
      <w:r>
        <w:rPr>
          <w:rFonts w:eastAsia="Arial" w:cs="Arial" w:ascii="Arial" w:hAnsi="Arial"/>
          <w:b/>
          <w:color w:val="000000"/>
        </w:rPr>
      </w:r>
      <w:r>
        <w:br w:type="page"/>
      </w:r>
    </w:p>
    <w:p>
      <w:pPr>
        <w:pStyle w:val="Normal"/>
        <w:spacing w:before="0" w:after="120"/>
        <w:ind w:left="20" w:right="20" w:hanging="0"/>
        <w:jc w:val="center"/>
        <w:rPr>
          <w:rFonts w:ascii="Arial" w:hAnsi="Arial" w:eastAsia="Arial" w:cs="Arial"/>
          <w:b/>
          <w:color w:val="000000"/>
        </w:rPr>
      </w:pPr>
      <w:r>
        <w:rPr>
          <w:rFonts w:eastAsia="Arial" w:cs="Arial" w:ascii="Arial" w:hAnsi="Arial"/>
          <w:b/>
          <w:color w:val="000000"/>
        </w:rPr>
      </w:r>
    </w:p>
    <w:p>
      <w:pPr>
        <w:pStyle w:val="Normal"/>
        <w:spacing w:before="0" w:after="120"/>
        <w:ind w:left="20" w:right="20" w:hanging="0"/>
        <w:jc w:val="center"/>
        <w:rPr>
          <w:rFonts w:ascii="Arial" w:hAnsi="Arial" w:eastAsia="Arial" w:cs="Arial"/>
          <w:b/>
          <w:color w:val="000000"/>
        </w:rPr>
      </w:pPr>
      <w:r>
        <w:rPr>
          <w:rFonts w:eastAsia="Arial" w:cs="Arial" w:ascii="Arial" w:hAnsi="Arial"/>
          <w:b/>
          <w:color w:val="000000"/>
        </w:rPr>
      </w:r>
    </w:p>
    <w:p>
      <w:pPr>
        <w:pStyle w:val="Normal"/>
        <w:spacing w:before="0" w:after="120"/>
        <w:ind w:left="20" w:right="20" w:hanging="0"/>
        <w:jc w:val="center"/>
        <w:rPr>
          <w:rFonts w:ascii="Arial" w:hAnsi="Arial" w:eastAsia="Arial" w:cs="Arial"/>
          <w:b/>
          <w:color w:val="000000"/>
        </w:rPr>
      </w:pPr>
      <w:r>
        <w:rPr>
          <w:rFonts w:eastAsia="Arial" w:cs="Arial" w:ascii="Arial" w:hAnsi="Arial"/>
          <w:b/>
          <w:color w:val="000000"/>
        </w:rPr>
      </w:r>
    </w:p>
    <w:p>
      <w:pPr>
        <w:pStyle w:val="Normal"/>
        <w:spacing w:before="0" w:after="120"/>
        <w:ind w:left="20" w:right="20" w:hanging="0"/>
        <w:jc w:val="center"/>
        <w:rPr>
          <w:rFonts w:ascii="Arial" w:hAnsi="Arial" w:eastAsia="Arial" w:cs="Arial"/>
          <w:b/>
          <w:color w:val="000000"/>
          <w:sz w:val="28"/>
        </w:rPr>
      </w:pPr>
      <w:r>
        <w:rPr>
          <w:rFonts w:eastAsia="Arial" w:cs="Arial" w:ascii="Arial" w:hAnsi="Arial"/>
          <w:b/>
          <w:color w:val="000000"/>
          <w:sz w:val="28"/>
        </w:rPr>
        <w:t>SOMMAIRE</w:t>
      </w:r>
    </w:p>
    <w:p>
      <w:pPr>
        <w:pStyle w:val="Normal"/>
        <w:spacing w:lineRule="exact" w:line="240" w:before="0" w:after="80"/>
        <w:rPr>
          <w:rFonts w:ascii="Arial" w:hAnsi="Arial" w:cs="Arial"/>
        </w:rPr>
      </w:pPr>
      <w:r>
        <w:rPr>
          <w:rFonts w:cs="Arial" w:ascii="Arial" w:hAnsi="Arial"/>
        </w:rPr>
      </w:r>
    </w:p>
    <w:sdt>
      <w:sdtPr>
        <w:docPartObj>
          <w:docPartGallery w:val="Table of Contents"/>
          <w:docPartUnique w:val="true"/>
        </w:docPartObj>
      </w:sdtPr>
      <w:sdtContent>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fldChar w:fldCharType="begin"/>
          </w:r>
          <w:r>
            <w:rPr>
              <w:rFonts w:eastAsia="Arial"/>
              <w:color w:val="000000"/>
            </w:rPr>
            <w:instrText xml:space="preserve"> TOC \o "1-9" \h</w:instrText>
          </w:r>
          <w:r>
            <w:rPr>
              <w:rFonts w:eastAsia="Arial"/>
              <w:color w:val="000000"/>
            </w:rPr>
            <w:fldChar w:fldCharType="separate"/>
          </w:r>
          <w:r>
            <w:rPr>
              <w:rFonts w:eastAsia="Arial"/>
              <w:color w:val="000000"/>
            </w:rPr>
            <w:t>1 - Objet et étendue de la consultation</w:t>
          </w:r>
          <w:r>
            <w:rPr/>
            <w:tab/>
            <w:t>2</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1.1 - Objet</w:t>
          </w:r>
          <w:r>
            <w:rPr/>
            <w:tab/>
            <w:t>2</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1.2 - Mode de passation</w:t>
          </w:r>
          <w:r>
            <w:rPr/>
            <w:tab/>
            <w:t>2</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1.3 - Type de contrat</w:t>
          </w:r>
          <w:r>
            <w:rPr/>
            <w:tab/>
            <w:t>2</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1.4 - Décomposition de la consultation</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1.5 - Nomenclature</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1.6 - Réalisation de prestations similaires</w:t>
          </w:r>
          <w:r>
            <w:rPr/>
            <w:tab/>
            <w:t>3</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2 - Conditions de la consultation</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2.1 - Délai de validité des offres</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2.2 - Forme juridique du groupement</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2.3 - Variantes</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2.4 - Confidentialité et mesures de sécurité</w:t>
          </w:r>
          <w:r>
            <w:rPr/>
            <w:tab/>
            <w:t>4</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3 - Les intervenants</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3.1 - Désignation de l'acheteur</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3.2 - Représentant de l'acheteur</w:t>
          </w:r>
          <w:r>
            <w:rPr/>
            <w:tab/>
            <w:t>4</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4 - Conditions relatives au contrat</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4.1 - Durée du contrat ou délai d'exécution</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4.2 - Modalités essentielles de financement et de paiement</w:t>
          </w:r>
          <w:r>
            <w:rPr/>
            <w:tab/>
            <w:t>4</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5 - Contenu du dossier de consultation</w:t>
          </w:r>
          <w:r>
            <w:rPr/>
            <w:tab/>
            <w:t>4</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6 - Présentation des candidatures et des offres</w:t>
          </w:r>
          <w:r>
            <w:rPr/>
            <w:tab/>
            <w:t>5</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t>7 – Visite sur site</w:t>
            <w:tab/>
            <w:t>7</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8 - Conditions d'envoi ou de remise des plis</w:t>
          </w:r>
          <w:r>
            <w:rPr/>
            <w:tab/>
            <w:t>7</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9 - Examen des candidatures et des offres</w:t>
          </w:r>
          <w:r>
            <w:rPr/>
            <w:tab/>
            <w:t>8</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9.1 - Sélection des candidatures</w:t>
          </w:r>
          <w:r>
            <w:rPr/>
            <w:tab/>
            <w:t>8</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9.2 - Attribution du marché</w:t>
          </w:r>
          <w:r>
            <w:rPr/>
            <w:tab/>
            <w:t>8</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9.3 - Suite à donner à la consultation</w:t>
          </w:r>
          <w:r>
            <w:rPr/>
            <w:tab/>
            <w:t>10</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10 - Renseignements complémentaires</w:t>
          </w:r>
          <w:r>
            <w:rPr/>
            <w:tab/>
            <w:t>10</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10.1 - Adresses supplémentaires et points de contact</w:t>
          </w:r>
          <w:r>
            <w:rPr/>
            <w:tab/>
            <w:t>10</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10.2 - Procédures de recours</w:t>
          </w:r>
          <w:r>
            <w:rPr/>
            <w:tab/>
            <w:t>10</w:t>
          </w:r>
          <w:r>
            <w:rPr/>
            <w:fldChar w:fldCharType="end"/>
          </w:r>
        </w:p>
      </w:sdtContent>
    </w:sdt>
    <w:p>
      <w:pPr>
        <w:pStyle w:val="Normal"/>
        <w:spacing w:before="0" w:after="140"/>
        <w:ind w:left="20" w:right="20" w:hanging="0"/>
        <w:rPr>
          <w:rFonts w:ascii="Arial" w:hAnsi="Arial" w:eastAsia="Arial" w:cs="Arial"/>
          <w:color w:val="000000"/>
          <w:sz w:val="22"/>
          <w:szCs w:val="22"/>
        </w:rPr>
      </w:pPr>
      <w:r>
        <w:rPr>
          <w:rFonts w:eastAsia="Arial" w:cs="Arial" w:ascii="Arial" w:hAnsi="Arial"/>
          <w:color w:val="000000"/>
          <w:sz w:val="22"/>
          <w:szCs w:val="2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p>
    <w:p>
      <w:pPr>
        <w:pStyle w:val="Normal"/>
        <w:spacing w:before="0" w:after="140"/>
        <w:ind w:left="20" w:right="20" w:hanging="0"/>
        <w:rPr>
          <w:rFonts w:ascii="Arial" w:hAnsi="Arial" w:cs="Arial"/>
          <w:sz w:val="2"/>
        </w:rPr>
      </w:pPr>
      <w:r>
        <w:rPr>
          <w:rFonts w:cs="Arial" w:ascii="Arial" w:hAnsi="Arial"/>
          <w:sz w:val="2"/>
        </w:rPr>
      </w:r>
      <w:bookmarkStart w:id="3" w:name="_GoBack"/>
      <w:bookmarkStart w:id="4" w:name="_GoBack"/>
      <w:bookmarkEnd w:id="4"/>
    </w:p>
    <w:p>
      <w:pPr>
        <w:pStyle w:val="Titre1"/>
        <w:rPr>
          <w:rFonts w:eastAsia="Arial"/>
          <w:color w:val="000000"/>
          <w:sz w:val="28"/>
        </w:rPr>
      </w:pPr>
      <w:bookmarkStart w:id="5" w:name="_Toc211605780"/>
      <w:r>
        <w:rPr>
          <w:rFonts w:eastAsia="Arial"/>
          <w:color w:val="000000"/>
          <w:sz w:val="28"/>
        </w:rPr>
        <w:t>1 - Objet et étendue de la consultation</w:t>
      </w:r>
      <w:bookmarkEnd w:id="5"/>
    </w:p>
    <w:p>
      <w:pPr>
        <w:pStyle w:val="Titre2"/>
        <w:ind w:left="300" w:right="20" w:hanging="0"/>
        <w:rPr>
          <w:rFonts w:eastAsia="Arial"/>
          <w:i w:val="false"/>
          <w:i w:val="false"/>
          <w:color w:val="000000"/>
          <w:sz w:val="24"/>
        </w:rPr>
      </w:pPr>
      <w:bookmarkStart w:id="6" w:name="_Toc211605781"/>
      <w:r>
        <w:rPr>
          <w:rFonts w:eastAsia="Arial"/>
          <w:i w:val="false"/>
          <w:color w:val="000000"/>
          <w:sz w:val="24"/>
        </w:rPr>
        <w:t>1.1 - Objet</w:t>
      </w:r>
      <w:bookmarkEnd w:id="6"/>
    </w:p>
    <w:p>
      <w:pPr>
        <w:pStyle w:val="ParagrapheIndent2"/>
        <w:spacing w:lineRule="exact" w:line="253"/>
        <w:ind w:left="20" w:right="20" w:hanging="0"/>
        <w:jc w:val="both"/>
        <w:rPr>
          <w:szCs w:val="22"/>
        </w:rPr>
      </w:pPr>
      <w:r>
        <w:rPr>
          <w:color w:val="000000"/>
        </w:rPr>
        <w:t>La présente consultation concerne un marché de maitrise d’œuvre pour </w:t>
      </w:r>
      <w:r>
        <w:rPr>
          <w:b/>
        </w:rPr>
        <w:t xml:space="preserve">la rénovation de logements vacants. </w:t>
      </w:r>
      <w:r>
        <w:rPr>
          <w:szCs w:val="22"/>
        </w:rPr>
        <w:t xml:space="preserve"> </w:t>
      </w:r>
    </w:p>
    <w:p>
      <w:pPr>
        <w:pStyle w:val="Normal"/>
        <w:jc w:val="both"/>
        <w:rPr>
          <w:rFonts w:ascii="Arial" w:hAnsi="Arial" w:eastAsia="CIDFont+F3" w:cs="Arial"/>
          <w:sz w:val="22"/>
          <w:szCs w:val="22"/>
        </w:rPr>
      </w:pPr>
      <w:r>
        <w:rPr>
          <w:rFonts w:eastAsia="CIDFont+F3" w:cs="Arial" w:ascii="Arial" w:hAnsi="Arial"/>
          <w:sz w:val="22"/>
          <w:szCs w:val="22"/>
        </w:rPr>
      </w:r>
    </w:p>
    <w:p>
      <w:pPr>
        <w:pStyle w:val="Normal"/>
        <w:jc w:val="both"/>
        <w:rPr>
          <w:rFonts w:ascii="Arial" w:hAnsi="Arial" w:cs="Arial"/>
          <w:sz w:val="22"/>
          <w:szCs w:val="22"/>
          <w:lang w:eastAsia="fr-FR"/>
        </w:rPr>
      </w:pPr>
      <w:r>
        <w:rPr>
          <w:rFonts w:eastAsia="CIDFont+F3" w:cs="Arial" w:ascii="Arial" w:hAnsi="Arial"/>
          <w:sz w:val="22"/>
          <w:szCs w:val="22"/>
        </w:rPr>
        <w:t xml:space="preserve">Lieu d’exécution : Cité des Douanes de la Joliette, Marseille. </w:t>
      </w:r>
    </w:p>
    <w:p>
      <w:pPr>
        <w:pStyle w:val="Normal"/>
        <w:rPr>
          <w:rFonts w:ascii="Arial" w:hAnsi="Arial" w:cs="Arial"/>
        </w:rPr>
      </w:pPr>
      <w:r>
        <w:rPr>
          <w:rFonts w:cs="Arial" w:ascii="Arial" w:hAnsi="Arial"/>
        </w:rPr>
      </w:r>
    </w:p>
    <w:p>
      <w:pPr>
        <w:pStyle w:val="Titre2"/>
        <w:spacing w:before="0" w:after="0"/>
        <w:ind w:left="300" w:right="20" w:hanging="0"/>
        <w:rPr>
          <w:rFonts w:eastAsia="Arial"/>
          <w:i w:val="false"/>
          <w:i w:val="false"/>
          <w:color w:val="000000"/>
          <w:sz w:val="24"/>
        </w:rPr>
      </w:pPr>
      <w:bookmarkStart w:id="7" w:name="_Toc211605782"/>
      <w:r>
        <w:rPr>
          <w:rFonts w:eastAsia="Arial"/>
          <w:i w:val="false"/>
          <w:color w:val="000000"/>
          <w:sz w:val="24"/>
        </w:rPr>
        <w:t>1.2 - Mode de passation</w:t>
      </w:r>
      <w:bookmarkEnd w:id="7"/>
    </w:p>
    <w:p>
      <w:pPr>
        <w:pStyle w:val="Normal"/>
        <w:jc w:val="both"/>
        <w:rPr>
          <w:rFonts w:ascii="Arial" w:hAnsi="Arial" w:eastAsia="Arial" w:cs="Arial"/>
          <w:sz w:val="22"/>
        </w:rPr>
      </w:pPr>
      <w:bookmarkStart w:id="8" w:name="_Hlk194394245"/>
      <w:r>
        <w:rPr>
          <w:rFonts w:eastAsia="Arial" w:cs="Arial" w:ascii="Arial" w:hAnsi="Arial"/>
          <w:sz w:val="22"/>
        </w:rPr>
        <w:t>La procédure de passation utilisée est : la procédure adaptée ouverte avec possibilité de négociation. Elle est soumise aux dispositions des articles L. 2123-1 et R. 2123-1 1° du Code de la commande publique.</w:t>
      </w:r>
      <w:bookmarkEnd w:id="8"/>
    </w:p>
    <w:p>
      <w:pPr>
        <w:pStyle w:val="Normal"/>
        <w:rPr/>
      </w:pPr>
      <w:r>
        <w:rPr/>
      </w:r>
    </w:p>
    <w:p>
      <w:pPr>
        <w:pStyle w:val="Titre2"/>
        <w:ind w:left="300" w:right="20" w:hanging="0"/>
        <w:rPr>
          <w:rFonts w:eastAsia="Arial"/>
          <w:i w:val="false"/>
          <w:i w:val="false"/>
          <w:color w:val="000000"/>
          <w:sz w:val="24"/>
        </w:rPr>
      </w:pPr>
      <w:bookmarkStart w:id="9" w:name="_Toc211605783"/>
      <w:r>
        <w:rPr>
          <w:rFonts w:eastAsia="Arial"/>
          <w:i w:val="false"/>
          <w:color w:val="000000"/>
          <w:sz w:val="24"/>
        </w:rPr>
        <w:t>1.3 - Type de contrat</w:t>
      </w:r>
      <w:bookmarkEnd w:id="9"/>
    </w:p>
    <w:p>
      <w:pPr>
        <w:pStyle w:val="ParagrapheIndent2"/>
        <w:spacing w:lineRule="exact" w:line="253" w:before="0" w:after="240"/>
        <w:ind w:left="20" w:right="20" w:hanging="0"/>
        <w:jc w:val="both"/>
        <w:rPr/>
      </w:pPr>
      <w:r>
        <w:rPr/>
        <w:t>Il s’agit d’un marché ordinaire.</w:t>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Titre2"/>
        <w:spacing w:before="20" w:after="120"/>
        <w:ind w:left="300" w:right="20" w:hanging="0"/>
        <w:jc w:val="both"/>
        <w:rPr>
          <w:rFonts w:eastAsia="Arial"/>
          <w:i w:val="false"/>
          <w:i w:val="false"/>
          <w:color w:val="000000"/>
          <w:sz w:val="24"/>
        </w:rPr>
      </w:pPr>
      <w:bookmarkStart w:id="10" w:name="_Toc211605784"/>
      <w:bookmarkStart w:id="11" w:name="_Toc44581260"/>
      <w:r>
        <w:rPr>
          <w:rFonts w:eastAsia="Arial"/>
          <w:i w:val="false"/>
          <w:color w:val="000000"/>
          <w:sz w:val="24"/>
        </w:rPr>
        <w:t>1.4 - Décomposition de la consultation</w:t>
      </w:r>
      <w:bookmarkEnd w:id="10"/>
      <w:bookmarkEnd w:id="11"/>
    </w:p>
    <w:p>
      <w:pPr>
        <w:pStyle w:val="Normal"/>
        <w:rPr>
          <w:rFonts w:ascii="Arial" w:hAnsi="Arial" w:eastAsia="Arial" w:cs="Arial"/>
          <w:sz w:val="22"/>
          <w:szCs w:val="22"/>
        </w:rPr>
      </w:pPr>
      <w:r>
        <w:rPr>
          <w:rFonts w:eastAsia="Arial" w:cs="Arial" w:ascii="Arial" w:hAnsi="Arial"/>
          <w:sz w:val="22"/>
          <w:szCs w:val="22"/>
        </w:rPr>
        <w:t xml:space="preserve">Sans objet. </w:t>
      </w:r>
    </w:p>
    <w:p>
      <w:pPr>
        <w:pStyle w:val="Corpsdetexte"/>
        <w:rPr/>
      </w:pPr>
      <w:r>
        <w:rPr/>
      </w:r>
    </w:p>
    <w:p>
      <w:pPr>
        <w:pStyle w:val="Titre2"/>
        <w:spacing w:before="20" w:after="120"/>
        <w:ind w:left="300" w:right="20" w:hanging="0"/>
        <w:jc w:val="both"/>
        <w:rPr>
          <w:rFonts w:eastAsia="Arial"/>
          <w:i w:val="false"/>
          <w:i w:val="false"/>
          <w:color w:val="000000"/>
          <w:sz w:val="24"/>
        </w:rPr>
      </w:pPr>
      <w:bookmarkStart w:id="12" w:name="_Toc211605785"/>
      <w:r>
        <w:rPr>
          <w:rFonts w:eastAsia="Arial"/>
          <w:i w:val="false"/>
          <w:color w:val="000000"/>
          <w:sz w:val="24"/>
        </w:rPr>
        <w:t>1.5 - Nomenclature</w:t>
      </w:r>
      <w:bookmarkEnd w:id="12"/>
      <w:r>
        <w:rPr>
          <w:rFonts w:eastAsia="Arial"/>
          <w:i w:val="false"/>
          <w:color w:val="000000"/>
          <w:sz w:val="24"/>
        </w:rPr>
        <w:t xml:space="preserve">  </w:t>
      </w:r>
    </w:p>
    <w:p>
      <w:pPr>
        <w:pStyle w:val="Normal"/>
        <w:rPr>
          <w:rFonts w:ascii="Arial" w:hAnsi="Arial" w:eastAsia="Arial" w:cs="Arial"/>
          <w:sz w:val="22"/>
          <w:szCs w:val="22"/>
        </w:rPr>
      </w:pPr>
      <w:r>
        <w:rPr>
          <w:rFonts w:eastAsia="Arial" w:cs="Arial" w:ascii="Arial" w:hAnsi="Arial"/>
          <w:sz w:val="22"/>
          <w:szCs w:val="22"/>
        </w:rPr>
        <w:t xml:space="preserve">La classification conforme au vocabulaire commun des marchés européens (CPV) est : </w:t>
      </w:r>
    </w:p>
    <w:p>
      <w:pPr>
        <w:pStyle w:val="Normal"/>
        <w:rPr>
          <w:rFonts w:eastAsia="Arial"/>
        </w:rPr>
      </w:pPr>
      <w:r>
        <w:rPr>
          <w:rFonts w:eastAsia="Arial"/>
        </w:rPr>
      </w:r>
    </w:p>
    <w:tbl>
      <w:tblPr>
        <w:tblStyle w:val="Grilledutableau"/>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37"/>
        <w:gridCol w:w="7784"/>
      </w:tblGrid>
      <w:tr>
        <w:trPr>
          <w:trHeight w:val="428" w:hRule="atLeast"/>
        </w:trPr>
        <w:tc>
          <w:tcPr>
            <w:tcW w:w="1837" w:type="dxa"/>
            <w:tcBorders/>
            <w:shd w:color="auto" w:fill="D9E2F3" w:themeFill="accent5" w:themeFillTint="33" w:val="clear"/>
            <w:vAlign w:val="center"/>
          </w:tcPr>
          <w:p>
            <w:pPr>
              <w:pStyle w:val="Normal"/>
              <w:widowControl/>
              <w:spacing w:before="0" w:after="0"/>
              <w:jc w:val="center"/>
              <w:rPr>
                <w:rFonts w:ascii="Arial" w:hAnsi="Arial" w:eastAsia="Arial" w:cs="Arial"/>
                <w:sz w:val="22"/>
                <w:szCs w:val="22"/>
              </w:rPr>
            </w:pPr>
            <w:r>
              <w:rPr>
                <w:rFonts w:eastAsia="Arial" w:cs="Arial" w:ascii="Arial" w:hAnsi="Arial"/>
                <w:kern w:val="0"/>
                <w:sz w:val="22"/>
                <w:szCs w:val="22"/>
                <w:lang w:eastAsia="en-US" w:bidi="ar-SA"/>
              </w:rPr>
              <w:t>Code principal</w:t>
            </w:r>
          </w:p>
        </w:tc>
        <w:tc>
          <w:tcPr>
            <w:tcW w:w="7784" w:type="dxa"/>
            <w:tcBorders/>
            <w:shd w:color="auto" w:fill="D9E2F3" w:themeFill="accent5" w:themeFillTint="33" w:val="clear"/>
            <w:vAlign w:val="center"/>
          </w:tcPr>
          <w:p>
            <w:pPr>
              <w:pStyle w:val="Normal"/>
              <w:widowControl/>
              <w:spacing w:before="0" w:after="0"/>
              <w:jc w:val="center"/>
              <w:rPr>
                <w:rFonts w:ascii="Arial" w:hAnsi="Arial" w:eastAsia="Arial" w:cs="Arial"/>
                <w:sz w:val="22"/>
                <w:szCs w:val="22"/>
              </w:rPr>
            </w:pPr>
            <w:r>
              <w:rPr>
                <w:rFonts w:eastAsia="Arial" w:cs="Arial" w:ascii="Arial" w:hAnsi="Arial"/>
                <w:kern w:val="0"/>
                <w:sz w:val="22"/>
                <w:szCs w:val="22"/>
                <w:lang w:eastAsia="en-US" w:bidi="ar-SA"/>
              </w:rPr>
              <w:t>Description</w:t>
            </w:r>
          </w:p>
        </w:tc>
      </w:tr>
      <w:tr>
        <w:trPr>
          <w:trHeight w:val="417" w:hRule="atLeast"/>
        </w:trPr>
        <w:tc>
          <w:tcPr>
            <w:tcW w:w="1837" w:type="dxa"/>
            <w:tcBorders/>
            <w:vAlign w:val="center"/>
          </w:tcPr>
          <w:p>
            <w:pPr>
              <w:pStyle w:val="Normal"/>
              <w:widowControl/>
              <w:spacing w:before="0" w:after="0"/>
              <w:jc w:val="left"/>
              <w:rPr>
                <w:rFonts w:ascii="Arial" w:hAnsi="Arial" w:eastAsia="Arial" w:cs="Arial"/>
                <w:sz w:val="22"/>
                <w:szCs w:val="22"/>
              </w:rPr>
            </w:pPr>
            <w:r>
              <w:rPr>
                <w:rFonts w:eastAsia="Arial" w:cs="Arial" w:ascii="Arial" w:hAnsi="Arial"/>
                <w:kern w:val="0"/>
                <w:sz w:val="22"/>
                <w:szCs w:val="22"/>
                <w:lang w:eastAsia="en-US" w:bidi="ar-SA"/>
              </w:rPr>
              <w:t>71200000-0</w:t>
            </w:r>
          </w:p>
        </w:tc>
        <w:tc>
          <w:tcPr>
            <w:tcW w:w="7784" w:type="dxa"/>
            <w:tcBorders/>
            <w:vAlign w:val="center"/>
          </w:tcPr>
          <w:p>
            <w:pPr>
              <w:pStyle w:val="Normal"/>
              <w:widowControl/>
              <w:spacing w:before="0" w:after="0"/>
              <w:jc w:val="left"/>
              <w:rPr>
                <w:rFonts w:ascii="Arial" w:hAnsi="Arial" w:eastAsia="Arial" w:cs="Arial"/>
                <w:sz w:val="22"/>
                <w:szCs w:val="22"/>
              </w:rPr>
            </w:pPr>
            <w:r>
              <w:rPr>
                <w:rFonts w:eastAsia="Arial" w:cs="Arial" w:ascii="Arial" w:hAnsi="Arial"/>
                <w:kern w:val="0"/>
                <w:sz w:val="22"/>
                <w:szCs w:val="22"/>
                <w:lang w:eastAsia="en-US" w:bidi="ar-SA"/>
              </w:rPr>
              <w:t>Services d’architecture</w:t>
            </w:r>
          </w:p>
        </w:tc>
      </w:tr>
      <w:tr>
        <w:trPr>
          <w:trHeight w:val="533" w:hRule="atLeast"/>
        </w:trPr>
        <w:tc>
          <w:tcPr>
            <w:tcW w:w="1837" w:type="dxa"/>
            <w:tcBorders/>
            <w:vAlign w:val="center"/>
          </w:tcPr>
          <w:p>
            <w:pPr>
              <w:pStyle w:val="Normal"/>
              <w:widowControl/>
              <w:spacing w:before="0" w:after="0"/>
              <w:jc w:val="left"/>
              <w:rPr>
                <w:rFonts w:ascii="Arial" w:hAnsi="Arial" w:eastAsia="Arial" w:cs="Arial"/>
                <w:sz w:val="22"/>
                <w:szCs w:val="22"/>
              </w:rPr>
            </w:pPr>
            <w:r>
              <w:rPr>
                <w:rFonts w:eastAsia="Arial" w:cs="Arial" w:ascii="Arial" w:hAnsi="Arial"/>
                <w:kern w:val="0"/>
                <w:sz w:val="22"/>
                <w:szCs w:val="22"/>
                <w:lang w:eastAsia="en-US" w:bidi="ar-SA"/>
              </w:rPr>
              <w:t>71000000-8</w:t>
            </w:r>
          </w:p>
        </w:tc>
        <w:tc>
          <w:tcPr>
            <w:tcW w:w="7784" w:type="dxa"/>
            <w:tcBorders/>
            <w:vAlign w:val="center"/>
          </w:tcPr>
          <w:p>
            <w:pPr>
              <w:pStyle w:val="Normal"/>
              <w:widowControl/>
              <w:spacing w:before="0" w:after="0"/>
              <w:jc w:val="left"/>
              <w:rPr>
                <w:rFonts w:ascii="Arial" w:hAnsi="Arial" w:eastAsia="Arial" w:cs="Arial"/>
                <w:sz w:val="22"/>
                <w:szCs w:val="22"/>
              </w:rPr>
            </w:pPr>
            <w:r>
              <w:rPr>
                <w:rFonts w:eastAsia="Arial" w:cs="Arial" w:ascii="Arial" w:hAnsi="Arial"/>
                <w:kern w:val="0"/>
                <w:sz w:val="22"/>
                <w:szCs w:val="22"/>
                <w:lang w:eastAsia="en-US" w:bidi="ar-SA"/>
              </w:rPr>
              <w:t>Services d’architecture, services de construction, services d’ingénierie et services d’inspection</w:t>
            </w:r>
          </w:p>
        </w:tc>
      </w:tr>
      <w:tr>
        <w:trPr>
          <w:trHeight w:val="405" w:hRule="atLeast"/>
        </w:trPr>
        <w:tc>
          <w:tcPr>
            <w:tcW w:w="1837" w:type="dxa"/>
            <w:tcBorders/>
            <w:vAlign w:val="center"/>
          </w:tcPr>
          <w:p>
            <w:pPr>
              <w:pStyle w:val="Normal"/>
              <w:widowControl/>
              <w:spacing w:before="0" w:after="0"/>
              <w:jc w:val="left"/>
              <w:rPr>
                <w:rFonts w:ascii="Arial" w:hAnsi="Arial" w:eastAsia="Arial" w:cs="Arial"/>
                <w:sz w:val="22"/>
                <w:szCs w:val="22"/>
              </w:rPr>
            </w:pPr>
            <w:r>
              <w:rPr>
                <w:rFonts w:eastAsia="Arial" w:cs="Arial" w:ascii="Arial" w:hAnsi="Arial"/>
                <w:kern w:val="0"/>
                <w:sz w:val="22"/>
                <w:szCs w:val="22"/>
                <w:lang w:eastAsia="en-US" w:bidi="ar-SA"/>
              </w:rPr>
              <w:t>71300000-1</w:t>
            </w:r>
          </w:p>
        </w:tc>
        <w:tc>
          <w:tcPr>
            <w:tcW w:w="7784" w:type="dxa"/>
            <w:tcBorders/>
            <w:vAlign w:val="center"/>
          </w:tcPr>
          <w:p>
            <w:pPr>
              <w:pStyle w:val="Normal"/>
              <w:widowControl/>
              <w:spacing w:before="0" w:after="0"/>
              <w:jc w:val="left"/>
              <w:rPr>
                <w:rFonts w:ascii="Arial" w:hAnsi="Arial" w:eastAsia="Arial" w:cs="Arial"/>
                <w:sz w:val="22"/>
                <w:szCs w:val="22"/>
              </w:rPr>
            </w:pPr>
            <w:r>
              <w:rPr>
                <w:rFonts w:eastAsia="Arial" w:cs="Arial" w:ascii="Arial" w:hAnsi="Arial"/>
                <w:kern w:val="0"/>
                <w:sz w:val="22"/>
                <w:szCs w:val="22"/>
                <w:lang w:eastAsia="en-US" w:bidi="ar-SA"/>
              </w:rPr>
              <w:t>Services d’ingénierie</w:t>
            </w:r>
          </w:p>
        </w:tc>
      </w:tr>
    </w:tbl>
    <w:p>
      <w:pPr>
        <w:pStyle w:val="Normal"/>
        <w:rPr>
          <w:rFonts w:ascii="Arial" w:hAnsi="Arial" w:eastAsia="Arial" w:cs="Arial"/>
          <w:sz w:val="22"/>
          <w:szCs w:val="22"/>
        </w:rPr>
      </w:pPr>
      <w:r>
        <w:rPr>
          <w:rFonts w:eastAsia="Arial" w:cs="Arial" w:ascii="Arial" w:hAnsi="Arial"/>
          <w:sz w:val="22"/>
          <w:szCs w:val="22"/>
        </w:rPr>
      </w:r>
    </w:p>
    <w:p>
      <w:pPr>
        <w:pStyle w:val="Titre2"/>
        <w:spacing w:before="20" w:after="120"/>
        <w:ind w:left="300" w:right="20" w:hanging="0"/>
        <w:jc w:val="both"/>
        <w:rPr>
          <w:rFonts w:eastAsia="Arial"/>
          <w:i w:val="false"/>
          <w:i w:val="false"/>
          <w:color w:val="000000"/>
          <w:sz w:val="24"/>
        </w:rPr>
      </w:pPr>
      <w:bookmarkStart w:id="13" w:name="_Toc211605786"/>
      <w:r>
        <w:rPr>
          <w:rFonts w:eastAsia="Arial"/>
          <w:i w:val="false"/>
          <w:color w:val="000000"/>
          <w:sz w:val="24"/>
        </w:rPr>
        <w:t>1.6 - Réalisation de prestations similaires</w:t>
      </w:r>
      <w:bookmarkEnd w:id="13"/>
      <w:r>
        <w:rPr>
          <w:rFonts w:eastAsia="Arial"/>
          <w:i w:val="false"/>
          <w:color w:val="000000"/>
          <w:sz w:val="24"/>
        </w:rPr>
        <w:t xml:space="preserve"> </w:t>
      </w:r>
    </w:p>
    <w:p>
      <w:pPr>
        <w:pStyle w:val="Normal"/>
        <w:jc w:val="both"/>
        <w:rPr>
          <w:rFonts w:ascii="Arial" w:hAnsi="Arial" w:cs="Arial"/>
          <w:sz w:val="22"/>
          <w:szCs w:val="22"/>
        </w:rPr>
      </w:pPr>
      <w:r>
        <w:rPr>
          <w:rFonts w:eastAsia="Arial" w:cs="Arial" w:ascii="Arial" w:hAnsi="Arial"/>
          <w:sz w:val="22"/>
          <w:szCs w:val="22"/>
        </w:rPr>
        <w:t xml:space="preserve">L’acheteur </w:t>
      </w:r>
      <w:r>
        <w:rPr>
          <w:rFonts w:cs="Arial" w:ascii="Arial" w:hAnsi="Arial"/>
          <w:color w:val="000000"/>
          <w:sz w:val="22"/>
          <w:szCs w:val="22"/>
        </w:rPr>
        <w:t>se réserve la possibilité de confier ultérieurement au titulaire du marché, en application des articles L. 2122-1 et R. 2122-7 du Code de la commande publique, un ou plusieurs nouveaux marchés ayant pour objet la réalisation de prestations similaires.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La durée pendant laquelle ces nouveaux marchés pourront être conclus ne peut dépasser trois ans à compter de la notification du présent marché. </w:t>
      </w:r>
    </w:p>
    <w:p>
      <w:pPr>
        <w:pStyle w:val="Normal"/>
        <w:jc w:val="both"/>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Titre1"/>
        <w:rPr>
          <w:rFonts w:eastAsia="Arial"/>
          <w:color w:val="000000"/>
          <w:sz w:val="28"/>
        </w:rPr>
      </w:pPr>
      <w:bookmarkStart w:id="14" w:name="_Toc211605787"/>
      <w:r>
        <w:rPr>
          <w:rFonts w:eastAsia="Arial"/>
          <w:color w:val="000000"/>
          <w:sz w:val="28"/>
        </w:rPr>
        <w:t>2 - Conditions de la consultation</w:t>
      </w:r>
      <w:bookmarkEnd w:id="14"/>
    </w:p>
    <w:p>
      <w:pPr>
        <w:pStyle w:val="Titre2"/>
        <w:ind w:left="300" w:right="20" w:hanging="0"/>
        <w:rPr>
          <w:rFonts w:eastAsia="Arial"/>
          <w:i w:val="false"/>
          <w:i w:val="false"/>
          <w:color w:val="000000"/>
          <w:sz w:val="24"/>
        </w:rPr>
      </w:pPr>
      <w:bookmarkStart w:id="15" w:name="_Toc211605788"/>
      <w:r>
        <w:rPr>
          <w:rFonts w:eastAsia="Arial"/>
          <w:i w:val="false"/>
          <w:color w:val="000000"/>
          <w:sz w:val="24"/>
        </w:rPr>
        <w:t>2.1 - Délai de validité des offres</w:t>
      </w:r>
      <w:bookmarkEnd w:id="15"/>
    </w:p>
    <w:p>
      <w:pPr>
        <w:pStyle w:val="ParagrapheIndent2"/>
        <w:spacing w:lineRule="exact" w:line="253" w:before="0" w:after="240"/>
        <w:ind w:left="20" w:right="20" w:hanging="0"/>
        <w:jc w:val="both"/>
        <w:rPr>
          <w:color w:val="000000"/>
        </w:rPr>
      </w:pPr>
      <w:r>
        <w:rPr>
          <w:color w:val="000000"/>
        </w:rPr>
        <w:t>Le délai de validité des offres est fixé à 4 mois à compter de la date limite de réception des offres.</w:t>
      </w:r>
    </w:p>
    <w:p>
      <w:pPr>
        <w:pStyle w:val="Titre2"/>
        <w:ind w:left="300" w:right="20" w:hanging="0"/>
        <w:rPr>
          <w:rFonts w:eastAsia="Arial"/>
          <w:i w:val="false"/>
          <w:i w:val="false"/>
          <w:color w:val="000000"/>
          <w:sz w:val="24"/>
        </w:rPr>
      </w:pPr>
      <w:bookmarkStart w:id="16" w:name="_Toc211605789"/>
      <w:r>
        <w:rPr>
          <w:rFonts w:eastAsia="Arial"/>
          <w:i w:val="false"/>
          <w:color w:val="000000"/>
          <w:sz w:val="24"/>
        </w:rPr>
        <w:t>2.2 - Forme juridique du groupement</w:t>
      </w:r>
      <w:bookmarkEnd w:id="16"/>
    </w:p>
    <w:p>
      <w:pPr>
        <w:pStyle w:val="Normal"/>
        <w:jc w:val="both"/>
        <w:rPr>
          <w:rFonts w:ascii="Arial" w:hAnsi="Arial" w:cs="Arial"/>
          <w:color w:val="000000"/>
          <w:sz w:val="22"/>
          <w:szCs w:val="22"/>
        </w:rPr>
      </w:pPr>
      <w:r>
        <w:rPr>
          <w:rFonts w:cs="Arial" w:ascii="Arial" w:hAnsi="Arial"/>
          <w:color w:val="000000"/>
          <w:sz w:val="22"/>
          <w:szCs w:val="22"/>
        </w:rPr>
        <w:t xml:space="preserve">Un membre de l’équipe devra être un architecte inscrit à l’ordre des architectes (ou formalité équivalente pour les candidats étrangers) en vertu de la loi n° 77-2 du 03 janvier 1977. </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b/>
          <w:color w:val="000000"/>
          <w:sz w:val="22"/>
          <w:szCs w:val="22"/>
        </w:rPr>
      </w:pPr>
      <w:r>
        <w:rPr>
          <w:rFonts w:cs="Arial" w:ascii="Arial" w:hAnsi="Arial"/>
          <w:color w:val="000000"/>
          <w:sz w:val="22"/>
          <w:szCs w:val="22"/>
        </w:rPr>
        <w:t xml:space="preserve">Il sera le </w:t>
      </w:r>
      <w:r>
        <w:rPr>
          <w:rFonts w:cs="Arial" w:ascii="Arial" w:hAnsi="Arial"/>
          <w:b/>
          <w:color w:val="000000"/>
          <w:sz w:val="22"/>
          <w:szCs w:val="22"/>
        </w:rPr>
        <w:t>mandataire du groupement.</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La composition de l’équipe proposée devra justifier pouvoir disposer à minima des compétences suivantes :</w:t>
      </w:r>
    </w:p>
    <w:p>
      <w:pPr>
        <w:pStyle w:val="Normal"/>
        <w:jc w:val="both"/>
        <w:rPr>
          <w:rFonts w:ascii="Arial" w:hAnsi="Arial" w:cs="Arial"/>
          <w:color w:val="000000"/>
          <w:sz w:val="22"/>
          <w:szCs w:val="22"/>
        </w:rPr>
      </w:pPr>
      <w:r>
        <w:rPr>
          <w:rFonts w:cs="Arial" w:ascii="Arial" w:hAnsi="Arial"/>
          <w:color w:val="000000"/>
          <w:sz w:val="22"/>
          <w:szCs w:val="22"/>
        </w:rPr>
      </w:r>
    </w:p>
    <w:p>
      <w:pPr>
        <w:pStyle w:val="Normal"/>
        <w:spacing w:lineRule="atLeast" w:line="235"/>
        <w:jc w:val="both"/>
        <w:rPr>
          <w:rFonts w:ascii="Arial" w:hAnsi="Arial" w:cs="Arial"/>
          <w:sz w:val="22"/>
          <w:szCs w:val="22"/>
        </w:rPr>
      </w:pPr>
      <w:bookmarkStart w:id="17" w:name="_Hlk172034446"/>
      <w:r>
        <w:rPr>
          <w:rFonts w:cs="Arial" w:ascii="Arial" w:hAnsi="Arial"/>
          <w:sz w:val="22"/>
          <w:szCs w:val="22"/>
        </w:rPr>
        <w:t>1) Architecture (l’architecte devra être titulaire d’un titre d’architecte ou d’un titre équivalent délivré par un état de l’Union Européenne. Il devra avoir la capacité juridique de déposer un permis de construire conformément au droit de l’urbanisme français).</w:t>
      </w:r>
      <w:bookmarkEnd w:id="17"/>
    </w:p>
    <w:p>
      <w:pPr>
        <w:pStyle w:val="Normal"/>
        <w:spacing w:lineRule="atLeast" w:line="235"/>
        <w:jc w:val="both"/>
        <w:rPr>
          <w:rFonts w:ascii="Arial" w:hAnsi="Arial" w:cs="Arial"/>
          <w:sz w:val="22"/>
          <w:szCs w:val="22"/>
        </w:rPr>
      </w:pPr>
      <w:r>
        <w:rPr>
          <w:rFonts w:cs="Arial" w:ascii="Arial" w:hAnsi="Arial"/>
          <w:sz w:val="22"/>
          <w:szCs w:val="22"/>
        </w:rPr>
        <w:t>2) Ingénierie courants forts et faibles, fluides, thermique</w:t>
      </w:r>
    </w:p>
    <w:p>
      <w:pPr>
        <w:pStyle w:val="Normal"/>
        <w:spacing w:lineRule="atLeast" w:line="235"/>
        <w:jc w:val="both"/>
        <w:rPr>
          <w:rFonts w:ascii="Arial" w:hAnsi="Arial" w:cs="Arial"/>
          <w:sz w:val="22"/>
          <w:szCs w:val="22"/>
        </w:rPr>
      </w:pPr>
      <w:r>
        <w:rPr>
          <w:rFonts w:cs="Arial" w:ascii="Arial" w:hAnsi="Arial"/>
          <w:sz w:val="22"/>
          <w:szCs w:val="22"/>
        </w:rPr>
        <w:t>3) OPC</w:t>
      </w:r>
    </w:p>
    <w:p>
      <w:pPr>
        <w:pStyle w:val="Normal"/>
        <w:spacing w:lineRule="atLeast" w:line="235"/>
        <w:jc w:val="both"/>
        <w:rPr>
          <w:rFonts w:ascii="Arial" w:hAnsi="Arial" w:cs="Arial"/>
          <w:sz w:val="22"/>
          <w:szCs w:val="22"/>
        </w:rPr>
      </w:pPr>
      <w:r>
        <w:rPr>
          <w:rFonts w:cs="Arial" w:ascii="Arial" w:hAnsi="Arial"/>
          <w:sz w:val="22"/>
          <w:szCs w:val="22"/>
        </w:rPr>
      </w:r>
    </w:p>
    <w:p>
      <w:pPr>
        <w:pStyle w:val="Normal"/>
        <w:spacing w:lineRule="atLeast" w:line="235"/>
        <w:jc w:val="both"/>
        <w:rPr>
          <w:rFonts w:ascii="Arial" w:hAnsi="Arial" w:cs="Arial"/>
          <w:sz w:val="22"/>
          <w:szCs w:val="22"/>
        </w:rPr>
      </w:pPr>
      <w:r>
        <w:rPr>
          <w:rFonts w:cs="Arial" w:ascii="Arial" w:hAnsi="Arial"/>
          <w:sz w:val="22"/>
          <w:szCs w:val="22"/>
        </w:rPr>
        <w:t>Autres compétences que le groupement jugerait nécessaire.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En application de l’article R.2142-21 du Code de la commande publique, il est interdit aux autres candidats de présenter plusieurs offres en agissant à la fois en qualité de </w:t>
      </w:r>
      <w:r>
        <w:rPr>
          <w:rFonts w:cs="Arial" w:ascii="Arial" w:hAnsi="Arial"/>
          <w:b/>
          <w:sz w:val="22"/>
          <w:szCs w:val="22"/>
        </w:rPr>
        <w:t>mandataire</w:t>
      </w:r>
      <w:r>
        <w:rPr>
          <w:rFonts w:cs="Arial" w:ascii="Arial" w:hAnsi="Arial"/>
          <w:sz w:val="22"/>
          <w:szCs w:val="22"/>
        </w:rPr>
        <w:t xml:space="preserve"> et de membres de plus de trois groupements. </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Le nombre de membres du groupement peut être variable en fonctions des capacités professionnelles (compétences), dont chaque membre dispose.</w:t>
      </w:r>
    </w:p>
    <w:p>
      <w:pPr>
        <w:pStyle w:val="Normal"/>
        <w:jc w:val="both"/>
        <w:rPr>
          <w:rFonts w:ascii="Arial" w:hAnsi="Arial" w:cs="Arial"/>
          <w:sz w:val="22"/>
          <w:szCs w:val="22"/>
        </w:rPr>
      </w:pPr>
      <w:r>
        <w:rPr>
          <w:rFonts w:cs="Arial" w:ascii="Arial" w:hAnsi="Arial"/>
          <w:sz w:val="22"/>
          <w:szCs w:val="22"/>
        </w:rPr>
      </w:r>
    </w:p>
    <w:p>
      <w:pPr>
        <w:pStyle w:val="Titre2"/>
        <w:ind w:left="300" w:right="20" w:hanging="0"/>
        <w:rPr>
          <w:rFonts w:eastAsia="Arial"/>
          <w:i w:val="false"/>
          <w:i w:val="false"/>
          <w:color w:val="000000"/>
          <w:sz w:val="24"/>
        </w:rPr>
      </w:pPr>
      <w:bookmarkStart w:id="18" w:name="_Toc211605790"/>
      <w:r>
        <w:rPr>
          <w:rFonts w:eastAsia="Arial"/>
          <w:i w:val="false"/>
          <w:color w:val="000000"/>
          <w:sz w:val="24"/>
        </w:rPr>
        <w:t>2.3 - Variantes</w:t>
      </w:r>
      <w:bookmarkEnd w:id="18"/>
    </w:p>
    <w:p>
      <w:pPr>
        <w:pStyle w:val="Normal"/>
        <w:rPr>
          <w:rFonts w:ascii="Arial" w:hAnsi="Arial" w:cs="Arial"/>
          <w:sz w:val="22"/>
        </w:rPr>
      </w:pPr>
      <w:r>
        <w:rPr>
          <w:rFonts w:cs="Arial" w:ascii="Arial" w:hAnsi="Arial"/>
          <w:sz w:val="22"/>
        </w:rPr>
        <w:t>Aucune variante n’est autorisée.</w:t>
      </w:r>
    </w:p>
    <w:p>
      <w:pPr>
        <w:pStyle w:val="Normal"/>
        <w:rPr>
          <w:rFonts w:ascii="Arial" w:hAnsi="Arial" w:cs="Arial"/>
          <w:sz w:val="22"/>
        </w:rPr>
      </w:pPr>
      <w:r>
        <w:rPr>
          <w:rFonts w:cs="Arial" w:ascii="Arial" w:hAnsi="Arial"/>
          <w:sz w:val="22"/>
        </w:rPr>
      </w:r>
    </w:p>
    <w:p>
      <w:pPr>
        <w:pStyle w:val="Titre2"/>
        <w:ind w:left="300" w:right="20" w:hanging="0"/>
        <w:rPr>
          <w:rFonts w:eastAsia="Arial"/>
          <w:i w:val="false"/>
          <w:i w:val="false"/>
          <w:color w:val="000000"/>
          <w:sz w:val="24"/>
        </w:rPr>
      </w:pPr>
      <w:bookmarkStart w:id="19" w:name="_Toc211605791"/>
      <w:r>
        <w:rPr>
          <w:rFonts w:eastAsia="Arial"/>
          <w:i w:val="false"/>
          <w:color w:val="000000"/>
          <w:sz w:val="24"/>
        </w:rPr>
        <w:t>2.4 - Confidentialité et mesures de sécurité</w:t>
      </w:r>
      <w:bookmarkEnd w:id="19"/>
    </w:p>
    <w:p>
      <w:pPr>
        <w:pStyle w:val="ParagrapheIndent2"/>
        <w:spacing w:lineRule="exact" w:line="253"/>
        <w:ind w:left="20" w:right="20" w:hanging="0"/>
        <w:jc w:val="both"/>
        <w:rPr>
          <w:color w:val="000000"/>
        </w:rPr>
      </w:pPr>
      <w:r>
        <w:rPr>
          <w:color w:val="000000"/>
        </w:rPr>
        <w:t>Les candidats doivent respecter l'obligation de confidentialité requise pour l'exécution des prestations.</w:t>
      </w:r>
    </w:p>
    <w:p>
      <w:pPr>
        <w:pStyle w:val="ParagrapheIndent2"/>
        <w:spacing w:lineRule="exact" w:line="253"/>
        <w:ind w:left="20" w:right="20" w:hanging="0"/>
        <w:jc w:val="both"/>
        <w:rPr>
          <w:color w:val="000000"/>
        </w:rPr>
      </w:pPr>
      <w:r>
        <w:rPr>
          <w:color w:val="000000"/>
        </w:rPr>
      </w:r>
    </w:p>
    <w:p>
      <w:pPr>
        <w:pStyle w:val="ParagrapheIndent2"/>
        <w:spacing w:lineRule="exact" w:line="253" w:before="0" w:after="240"/>
        <w:ind w:left="20" w:right="20" w:hanging="0"/>
        <w:jc w:val="both"/>
        <w:rPr>
          <w:color w:val="000000"/>
        </w:rPr>
      </w:pPr>
      <w:r>
        <w:rPr>
          <w:color w:val="000000"/>
        </w:rPr>
        <w:t>L'attention des candidats est particulièrement attirée sur les dispositions du Cahier des clauses particulières qui énoncent les formalités à accomplir et les consignes à respecter du fait de cette obligation de confidentialité.</w:t>
      </w:r>
    </w:p>
    <w:p>
      <w:pPr>
        <w:pStyle w:val="Titre1"/>
        <w:rPr>
          <w:rFonts w:eastAsia="Arial"/>
          <w:color w:val="000000"/>
          <w:sz w:val="28"/>
        </w:rPr>
      </w:pPr>
      <w:bookmarkStart w:id="20" w:name="_Toc211605792"/>
      <w:r>
        <w:rPr>
          <w:rFonts w:eastAsia="Arial"/>
          <w:color w:val="000000"/>
          <w:sz w:val="28"/>
        </w:rPr>
        <w:t>3 - Les intervenants</w:t>
      </w:r>
      <w:bookmarkEnd w:id="20"/>
    </w:p>
    <w:p>
      <w:pPr>
        <w:pStyle w:val="Titre2"/>
        <w:ind w:left="300" w:right="20" w:hanging="0"/>
        <w:rPr>
          <w:rFonts w:eastAsia="Arial"/>
          <w:i w:val="false"/>
          <w:i w:val="false"/>
          <w:color w:val="000000"/>
          <w:sz w:val="24"/>
        </w:rPr>
      </w:pPr>
      <w:bookmarkStart w:id="21" w:name="_Toc211605793"/>
      <w:r>
        <w:rPr>
          <w:rFonts w:eastAsia="Arial"/>
          <w:i w:val="false"/>
          <w:color w:val="000000"/>
          <w:sz w:val="24"/>
        </w:rPr>
        <w:t>3.1 - Désignation de l'acheteur</w:t>
      </w:r>
      <w:bookmarkEnd w:id="21"/>
    </w:p>
    <w:p>
      <w:pPr>
        <w:pStyle w:val="Normal"/>
        <w:jc w:val="both"/>
        <w:rPr>
          <w:rFonts w:ascii="Arial" w:hAnsi="Arial" w:cs="Arial"/>
          <w:sz w:val="22"/>
          <w:szCs w:val="22"/>
        </w:rPr>
      </w:pPr>
      <w:r>
        <w:rPr>
          <w:rFonts w:cs="Arial" w:ascii="Arial" w:hAnsi="Arial"/>
          <w:sz w:val="22"/>
          <w:szCs w:val="22"/>
        </w:rPr>
        <w:t>VAR AMENAGEMENT DEVELOPPEMENT, agissant au nom et pour le compte de l’EPA Masse des Douanes</w:t>
      </w:r>
    </w:p>
    <w:p>
      <w:pPr>
        <w:pStyle w:val="Normal"/>
        <w:jc w:val="both"/>
        <w:rPr>
          <w:rFonts w:ascii="Arial" w:hAnsi="Arial" w:cs="Arial"/>
          <w:sz w:val="22"/>
          <w:szCs w:val="22"/>
        </w:rPr>
      </w:pPr>
      <w:r>
        <w:rPr>
          <w:rFonts w:cs="Arial" w:ascii="Arial" w:hAnsi="Arial"/>
          <w:sz w:val="22"/>
          <w:szCs w:val="22"/>
        </w:rPr>
        <w:t>Tour l’Albatros</w:t>
      </w:r>
    </w:p>
    <w:p>
      <w:pPr>
        <w:pStyle w:val="Normal"/>
        <w:jc w:val="both"/>
        <w:rPr>
          <w:rFonts w:ascii="Arial" w:hAnsi="Arial" w:cs="Arial"/>
          <w:sz w:val="22"/>
          <w:szCs w:val="22"/>
        </w:rPr>
      </w:pPr>
      <w:r>
        <w:rPr>
          <w:rFonts w:cs="Arial" w:ascii="Arial" w:hAnsi="Arial"/>
          <w:sz w:val="22"/>
          <w:szCs w:val="22"/>
        </w:rPr>
        <w:t>109 avenue d’Entrecasteaux - BP 1406 - 83056 Toulon cedex</w:t>
      </w:r>
    </w:p>
    <w:p>
      <w:pPr>
        <w:pStyle w:val="Normal"/>
        <w:jc w:val="both"/>
        <w:rPr>
          <w:rFonts w:ascii="Arial" w:hAnsi="Arial" w:cs="Arial"/>
          <w:sz w:val="22"/>
          <w:szCs w:val="22"/>
        </w:rPr>
      </w:pPr>
      <w:r>
        <w:rPr>
          <w:rFonts w:cs="Arial" w:ascii="Arial" w:hAnsi="Arial"/>
          <w:sz w:val="22"/>
          <w:szCs w:val="22"/>
        </w:rPr>
        <w:t xml:space="preserve">Tél. : 04.94.03.95.71         </w:t>
      </w:r>
    </w:p>
    <w:p>
      <w:pPr>
        <w:pStyle w:val="Default"/>
        <w:rPr>
          <w:b/>
          <w:bCs/>
          <w:sz w:val="23"/>
          <w:szCs w:val="23"/>
        </w:rPr>
      </w:pPr>
      <w:r>
        <w:rPr>
          <w:b/>
          <w:bCs/>
          <w:sz w:val="23"/>
          <w:szCs w:val="23"/>
        </w:rPr>
      </w:r>
    </w:p>
    <w:p>
      <w:pPr>
        <w:pStyle w:val="Titre2"/>
        <w:ind w:left="300" w:right="20" w:hanging="0"/>
        <w:rPr>
          <w:rFonts w:eastAsia="Arial"/>
          <w:i w:val="false"/>
          <w:i w:val="false"/>
          <w:color w:val="000000"/>
          <w:sz w:val="24"/>
        </w:rPr>
      </w:pPr>
      <w:bookmarkStart w:id="22" w:name="_Toc211605794"/>
      <w:r>
        <w:rPr>
          <w:rFonts w:eastAsia="Arial"/>
          <w:i w:val="false"/>
          <w:color w:val="000000"/>
          <w:sz w:val="24"/>
        </w:rPr>
        <w:t>3.2 - Représentant de l'acheteur</w:t>
      </w:r>
      <w:bookmarkEnd w:id="22"/>
    </w:p>
    <w:p>
      <w:pPr>
        <w:pStyle w:val="Normal"/>
        <w:jc w:val="both"/>
        <w:rPr>
          <w:rFonts w:ascii="Arial" w:hAnsi="Arial" w:eastAsia="Arial" w:cs="Arial"/>
          <w:color w:val="000000"/>
          <w:sz w:val="22"/>
        </w:rPr>
      </w:pPr>
      <w:r>
        <w:rPr>
          <w:rFonts w:eastAsia="Arial" w:cs="Arial" w:ascii="Arial" w:hAnsi="Arial"/>
          <w:color w:val="000000"/>
          <w:sz w:val="22"/>
        </w:rPr>
        <w:t>Monsieur Jérôme CHABERT, Directeur Général de VAR AMENAGEMENT DEVELOPPEMENT.</w:t>
      </w:r>
    </w:p>
    <w:p>
      <w:pPr>
        <w:pStyle w:val="Normal"/>
        <w:jc w:val="both"/>
        <w:rPr>
          <w:rFonts w:ascii="Arial" w:hAnsi="Arial" w:cs="Arial"/>
          <w:sz w:val="22"/>
          <w:szCs w:val="22"/>
        </w:rPr>
      </w:pPr>
      <w:r>
        <w:rPr>
          <w:rFonts w:cs="Arial" w:ascii="Arial" w:hAnsi="Arial"/>
          <w:sz w:val="22"/>
          <w:szCs w:val="22"/>
        </w:rPr>
      </w:r>
    </w:p>
    <w:p>
      <w:pPr>
        <w:pStyle w:val="Titre1"/>
        <w:rPr>
          <w:rFonts w:eastAsia="Arial"/>
          <w:color w:val="000000"/>
          <w:sz w:val="28"/>
        </w:rPr>
      </w:pPr>
      <w:bookmarkStart w:id="23" w:name="_Toc211605795"/>
      <w:r>
        <w:rPr>
          <w:rFonts w:eastAsia="Arial"/>
          <w:color w:val="000000"/>
          <w:sz w:val="28"/>
        </w:rPr>
        <w:t>4 - Conditions relatives au contrat</w:t>
      </w:r>
      <w:bookmarkEnd w:id="23"/>
    </w:p>
    <w:p>
      <w:pPr>
        <w:pStyle w:val="Titre2"/>
        <w:ind w:left="300" w:right="20" w:hanging="0"/>
        <w:rPr>
          <w:rFonts w:eastAsia="Arial"/>
          <w:i w:val="false"/>
          <w:i w:val="false"/>
          <w:color w:val="000000"/>
          <w:sz w:val="24"/>
        </w:rPr>
      </w:pPr>
      <w:bookmarkStart w:id="24" w:name="_Toc211605796"/>
      <w:r>
        <w:rPr>
          <w:rFonts w:eastAsia="Arial"/>
          <w:i w:val="false"/>
          <w:color w:val="000000"/>
          <w:sz w:val="24"/>
        </w:rPr>
        <w:t>4.1 - Durée du contrat ou délai d'exécution</w:t>
      </w:r>
      <w:bookmarkEnd w:id="24"/>
    </w:p>
    <w:p>
      <w:pPr>
        <w:pStyle w:val="ParagrapheIndent2"/>
        <w:spacing w:before="0" w:after="240"/>
        <w:ind w:left="20" w:right="20" w:hanging="0"/>
        <w:jc w:val="both"/>
        <w:rPr>
          <w:color w:val="000000"/>
        </w:rPr>
      </w:pPr>
      <w:r>
        <w:rPr>
          <w:color w:val="000000"/>
        </w:rPr>
        <w:t>La durée du contrat est fixée au CCAP.</w:t>
      </w:r>
    </w:p>
    <w:p>
      <w:pPr>
        <w:pStyle w:val="Titre2"/>
        <w:ind w:left="300" w:right="20" w:hanging="0"/>
        <w:rPr>
          <w:rFonts w:eastAsia="Arial"/>
          <w:i w:val="false"/>
          <w:i w:val="false"/>
          <w:color w:val="000000"/>
          <w:sz w:val="24"/>
        </w:rPr>
      </w:pPr>
      <w:bookmarkStart w:id="25" w:name="_Toc211605797"/>
      <w:r>
        <w:rPr>
          <w:rFonts w:eastAsia="Arial"/>
          <w:i w:val="false"/>
          <w:color w:val="000000"/>
          <w:sz w:val="24"/>
        </w:rPr>
        <w:t>4.2 - Modalités essentielles de financement et de paiement</w:t>
      </w:r>
      <w:bookmarkEnd w:id="25"/>
    </w:p>
    <w:p>
      <w:pPr>
        <w:pStyle w:val="ParagrapheIndent2"/>
        <w:spacing w:lineRule="exact" w:line="253" w:before="0" w:after="240"/>
        <w:ind w:left="20" w:right="20" w:hanging="0"/>
        <w:jc w:val="both"/>
        <w:rPr>
          <w:color w:val="000000"/>
        </w:rPr>
      </w:pPr>
      <w:r>
        <w:rPr>
          <w:color w:val="000000"/>
        </w:rPr>
        <w:t>Les sommes dues au(x) titulaire(s) et au(x) sous-traitant(s) de premier rang éventuel(s) du marché seront payées dans un délai global de 30 jours à compter de la date de réception des factures ou des demandes de paiement équivalentes.</w:t>
      </w:r>
    </w:p>
    <w:p>
      <w:pPr>
        <w:pStyle w:val="Titre1"/>
        <w:rPr>
          <w:rFonts w:eastAsia="Arial"/>
          <w:color w:val="000000"/>
          <w:sz w:val="28"/>
        </w:rPr>
      </w:pPr>
      <w:bookmarkStart w:id="26" w:name="_Toc211605798"/>
      <w:r>
        <w:rPr>
          <w:rFonts w:eastAsia="Arial"/>
          <w:color w:val="000000"/>
          <w:sz w:val="28"/>
        </w:rPr>
        <w:t>5 - Contenu du dossier de consultation</w:t>
      </w:r>
      <w:bookmarkEnd w:id="26"/>
    </w:p>
    <w:p>
      <w:pPr>
        <w:pStyle w:val="ParagrapheIndent1"/>
        <w:spacing w:lineRule="exact" w:line="253"/>
        <w:ind w:left="20" w:right="20" w:hanging="0"/>
        <w:jc w:val="both"/>
        <w:rPr>
          <w:color w:val="000000"/>
        </w:rPr>
      </w:pPr>
      <w:r>
        <w:rPr>
          <w:color w:val="000000"/>
        </w:rPr>
        <w:t>Le dossier de consultation des entreprises (DCE) contient les pièces suivantes :</w:t>
      </w:r>
    </w:p>
    <w:p>
      <w:pPr>
        <w:pStyle w:val="ParagrapheIndent1"/>
        <w:spacing w:lineRule="exact" w:line="253"/>
        <w:ind w:left="20" w:right="20" w:hanging="0"/>
        <w:jc w:val="both"/>
        <w:rPr>
          <w:color w:val="000000"/>
        </w:rPr>
      </w:pPr>
      <w:r>
        <w:rPr>
          <w:color w:val="000000"/>
        </w:rPr>
      </w:r>
    </w:p>
    <w:p>
      <w:pPr>
        <w:pStyle w:val="Normal"/>
        <w:numPr>
          <w:ilvl w:val="0"/>
          <w:numId w:val="3"/>
        </w:numPr>
        <w:ind w:left="357" w:hanging="357"/>
        <w:jc w:val="both"/>
        <w:rPr>
          <w:rFonts w:ascii="Arial" w:hAnsi="Arial" w:cs="Arial"/>
          <w:sz w:val="22"/>
          <w:szCs w:val="22"/>
        </w:rPr>
      </w:pPr>
      <w:r>
        <w:rPr>
          <w:rFonts w:cs="Arial" w:ascii="Arial" w:hAnsi="Arial"/>
          <w:sz w:val="22"/>
          <w:szCs w:val="22"/>
        </w:rPr>
        <w:t>Règlement de la consultation</w:t>
      </w:r>
    </w:p>
    <w:p>
      <w:pPr>
        <w:pStyle w:val="Normal"/>
        <w:numPr>
          <w:ilvl w:val="0"/>
          <w:numId w:val="3"/>
        </w:numPr>
        <w:ind w:left="357" w:hanging="357"/>
        <w:jc w:val="both"/>
        <w:rPr>
          <w:rFonts w:ascii="Arial" w:hAnsi="Arial" w:cs="Arial"/>
          <w:sz w:val="22"/>
          <w:szCs w:val="22"/>
        </w:rPr>
      </w:pPr>
      <w:r>
        <w:rPr>
          <w:rFonts w:cs="Arial" w:ascii="Arial" w:hAnsi="Arial"/>
          <w:sz w:val="22"/>
          <w:szCs w:val="22"/>
        </w:rPr>
        <w:t>Acte d’engagement et ses annexes</w:t>
      </w:r>
    </w:p>
    <w:p>
      <w:pPr>
        <w:pStyle w:val="Normal"/>
        <w:numPr>
          <w:ilvl w:val="0"/>
          <w:numId w:val="3"/>
        </w:numPr>
        <w:ind w:left="357" w:hanging="357"/>
        <w:jc w:val="both"/>
        <w:rPr>
          <w:rFonts w:ascii="Arial" w:hAnsi="Arial" w:cs="Arial"/>
          <w:sz w:val="22"/>
          <w:szCs w:val="22"/>
        </w:rPr>
      </w:pPr>
      <w:r>
        <w:rPr>
          <w:rFonts w:cs="Arial" w:ascii="Arial" w:hAnsi="Arial"/>
          <w:sz w:val="22"/>
          <w:szCs w:val="22"/>
        </w:rPr>
        <w:t>Cahier des Clauses Administratives Particulières (C.C.A.P.)</w:t>
      </w:r>
    </w:p>
    <w:p>
      <w:pPr>
        <w:pStyle w:val="Normal"/>
        <w:numPr>
          <w:ilvl w:val="0"/>
          <w:numId w:val="3"/>
        </w:numPr>
        <w:ind w:left="357" w:hanging="357"/>
        <w:jc w:val="both"/>
        <w:rPr>
          <w:rFonts w:ascii="Arial" w:hAnsi="Arial" w:cs="Arial"/>
          <w:sz w:val="22"/>
          <w:szCs w:val="22"/>
        </w:rPr>
      </w:pPr>
      <w:r>
        <w:rPr>
          <w:rFonts w:cs="Arial" w:ascii="Arial" w:hAnsi="Arial"/>
          <w:sz w:val="22"/>
          <w:szCs w:val="22"/>
        </w:rPr>
        <w:t>Programme des travaux</w:t>
      </w:r>
    </w:p>
    <w:p>
      <w:pPr>
        <w:pStyle w:val="Normal"/>
        <w:numPr>
          <w:ilvl w:val="0"/>
          <w:numId w:val="3"/>
        </w:numPr>
        <w:ind w:left="357" w:hanging="357"/>
        <w:jc w:val="both"/>
        <w:rPr>
          <w:rFonts w:ascii="Arial" w:hAnsi="Arial" w:cs="Arial"/>
          <w:sz w:val="22"/>
          <w:szCs w:val="22"/>
        </w:rPr>
      </w:pPr>
      <w:r>
        <w:rPr>
          <w:rFonts w:cs="Arial" w:ascii="Arial" w:hAnsi="Arial"/>
          <w:sz w:val="22"/>
          <w:szCs w:val="22"/>
        </w:rPr>
        <w:t>Attestation de visite des lieux.</w:t>
      </w:r>
    </w:p>
    <w:p>
      <w:pPr>
        <w:pStyle w:val="Normal"/>
        <w:rPr>
          <w:rFonts w:ascii="Arial" w:hAnsi="Arial" w:cs="Arial"/>
          <w:sz w:val="22"/>
          <w:szCs w:val="22"/>
        </w:rPr>
      </w:pPr>
      <w:r>
        <w:rPr>
          <w:rFonts w:cs="Arial" w:ascii="Arial" w:hAnsi="Arial"/>
          <w:sz w:val="22"/>
          <w:szCs w:val="22"/>
        </w:rPr>
      </w:r>
    </w:p>
    <w:p>
      <w:pPr>
        <w:pStyle w:val="Normal"/>
        <w:keepLines/>
        <w:tabs>
          <w:tab w:val="clear" w:pos="720"/>
          <w:tab w:val="left" w:pos="284" w:leader="none"/>
          <w:tab w:val="left" w:pos="567" w:leader="none"/>
          <w:tab w:val="left" w:pos="851" w:leader="none"/>
        </w:tabs>
        <w:jc w:val="both"/>
        <w:rPr>
          <w:color w:val="000000"/>
          <w:szCs w:val="22"/>
        </w:rPr>
      </w:pPr>
      <w:r>
        <w:rPr>
          <w:rFonts w:cs="Arial" w:ascii="Arial" w:hAnsi="Arial"/>
          <w:sz w:val="22"/>
          <w:szCs w:val="22"/>
        </w:rPr>
        <w:t>Le retrait libre, gratuit et intégral du dossier de consultation des entreprises se fait uniquement par voie dématérialisée à l’adresse électronique suivante </w:t>
      </w:r>
      <w:r>
        <w:rPr>
          <w:color w:val="000000"/>
          <w:szCs w:val="22"/>
        </w:rPr>
        <w:t xml:space="preserve">: </w:t>
      </w:r>
    </w:p>
    <w:p>
      <w:pPr>
        <w:pStyle w:val="Normal"/>
        <w:tabs>
          <w:tab w:val="clear" w:pos="720"/>
          <w:tab w:val="left" w:pos="284" w:leader="none"/>
          <w:tab w:val="left" w:pos="567" w:leader="none"/>
          <w:tab w:val="left" w:pos="851" w:leader="none"/>
        </w:tabs>
        <w:jc w:val="both"/>
        <w:rPr>
          <w:sz w:val="22"/>
          <w:szCs w:val="22"/>
        </w:rPr>
      </w:pPr>
      <w:r>
        <w:rPr>
          <w:rFonts w:cs="Arial" w:ascii="Marianne;Arial;sans-serif" w:hAnsi="Marianne;Arial;sans-serif"/>
          <w:b w:val="false"/>
          <w:bCs/>
          <w:i w:val="false"/>
          <w:caps w:val="false"/>
          <w:smallCaps w:val="false"/>
          <w:color w:val="666666"/>
          <w:spacing w:val="0"/>
          <w:sz w:val="22"/>
          <w:szCs w:val="22"/>
        </w:rPr>
        <w:t>https://www.marches-publics.gouv.fr/?page=Entreprise.EntrepriseAdvancedSearch&amp;AllCons&amp;id=2879352&amp;orgAcronyme=a4n</w:t>
      </w:r>
      <w:r>
        <w:rPr>
          <w:rFonts w:cs="Arial" w:ascii="Arial" w:hAnsi="Arial"/>
          <w:b/>
          <w:bCs/>
          <w:sz w:val="22"/>
          <w:szCs w:val="22"/>
        </w:rPr>
        <w:t xml:space="preserve"> </w:t>
      </w:r>
    </w:p>
    <w:p>
      <w:pPr>
        <w:pStyle w:val="Normal"/>
        <w:tabs>
          <w:tab w:val="clear" w:pos="720"/>
          <w:tab w:val="left" w:pos="284" w:leader="none"/>
          <w:tab w:val="left" w:pos="567" w:leader="none"/>
          <w:tab w:val="left" w:pos="851" w:leader="none"/>
        </w:tabs>
        <w:jc w:val="both"/>
        <w:rPr>
          <w:rFonts w:ascii="Arial" w:hAnsi="Arial" w:cs="Arial"/>
          <w:b/>
          <w:bCs/>
        </w:rPr>
      </w:pPr>
      <w:r>
        <w:rPr>
          <w:sz w:val="22"/>
          <w:szCs w:val="22"/>
        </w:rPr>
      </w:r>
    </w:p>
    <w:p>
      <w:pPr>
        <w:pStyle w:val="Normal"/>
        <w:keepLines/>
        <w:tabs>
          <w:tab w:val="clear" w:pos="720"/>
          <w:tab w:val="left" w:pos="284" w:leader="none"/>
          <w:tab w:val="left" w:pos="567" w:leader="none"/>
          <w:tab w:val="left" w:pos="851" w:leader="none"/>
        </w:tabs>
        <w:jc w:val="both"/>
        <w:rPr>
          <w:rFonts w:ascii="Arial" w:hAnsi="Arial" w:eastAsia="Arial" w:cs="Arial"/>
          <w:bCs/>
          <w:sz w:val="22"/>
          <w:szCs w:val="22"/>
        </w:rPr>
      </w:pPr>
      <w:r>
        <w:rPr>
          <w:rFonts w:eastAsia="Arial" w:cs="Arial" w:ascii="Arial" w:hAnsi="Arial"/>
          <w:bCs/>
          <w:sz w:val="22"/>
          <w:szCs w:val="22"/>
        </w:rPr>
        <w:t xml:space="preserve">Un lien d’accès à la consultation est également disponible sur le site </w:t>
      </w:r>
      <w:hyperlink r:id="rId3">
        <w:r>
          <w:rPr>
            <w:rStyle w:val="LienInternet"/>
            <w:rFonts w:eastAsia="Arial" w:cs="Arial" w:ascii="Arial" w:hAnsi="Arial"/>
            <w:bCs/>
            <w:sz w:val="22"/>
            <w:szCs w:val="22"/>
          </w:rPr>
          <w:t>www.var-amenagement-developpement.fr</w:t>
        </w:r>
      </w:hyperlink>
      <w:r>
        <w:rPr>
          <w:rFonts w:eastAsia="Arial" w:cs="Arial" w:ascii="Arial" w:hAnsi="Arial"/>
          <w:bCs/>
          <w:sz w:val="22"/>
          <w:szCs w:val="22"/>
        </w:rPr>
        <w:t xml:space="preserve"> </w:t>
      </w:r>
    </w:p>
    <w:p>
      <w:pPr>
        <w:pStyle w:val="Normal"/>
        <w:keepLines/>
        <w:tabs>
          <w:tab w:val="clear" w:pos="720"/>
          <w:tab w:val="left" w:pos="284" w:leader="none"/>
          <w:tab w:val="left" w:pos="567" w:leader="none"/>
          <w:tab w:val="left" w:pos="851" w:leader="none"/>
        </w:tabs>
        <w:jc w:val="both"/>
        <w:rPr>
          <w:rFonts w:ascii="Arial" w:hAnsi="Arial" w:eastAsia="Arial" w:cs="Arial"/>
          <w:bCs/>
          <w:sz w:val="22"/>
          <w:szCs w:val="22"/>
        </w:rPr>
      </w:pPr>
      <w:r>
        <w:rPr>
          <w:rFonts w:eastAsia="Arial" w:cs="Arial" w:ascii="Arial" w:hAnsi="Arial"/>
          <w:bCs/>
          <w:sz w:val="22"/>
          <w:szCs w:val="22"/>
        </w:rPr>
      </w:r>
    </w:p>
    <w:p>
      <w:pPr>
        <w:pStyle w:val="Normal"/>
        <w:keepLines/>
        <w:tabs>
          <w:tab w:val="clear" w:pos="720"/>
          <w:tab w:val="left" w:pos="284" w:leader="none"/>
          <w:tab w:val="left" w:pos="567" w:leader="none"/>
          <w:tab w:val="left" w:pos="851" w:leader="none"/>
        </w:tabs>
        <w:jc w:val="both"/>
        <w:rPr>
          <w:rFonts w:ascii="Arial" w:hAnsi="Arial" w:eastAsia="Arial" w:cs="Arial"/>
          <w:bCs/>
          <w:sz w:val="22"/>
          <w:szCs w:val="22"/>
        </w:rPr>
      </w:pPr>
      <w:r>
        <w:rPr>
          <w:rFonts w:eastAsia="Arial" w:cs="Arial" w:ascii="Arial" w:hAnsi="Arial"/>
          <w:bCs/>
          <w:sz w:val="22"/>
          <w:szCs w:val="22"/>
        </w:rPr>
        <w:t xml:space="preserve">Aucune demande d’envoi du dossier sur support papier ou sur support physique électronique n’est autorisée. </w:t>
      </w:r>
    </w:p>
    <w:p>
      <w:pPr>
        <w:pStyle w:val="Normal"/>
        <w:keepLines/>
        <w:tabs>
          <w:tab w:val="clear" w:pos="720"/>
          <w:tab w:val="left" w:pos="284" w:leader="none"/>
          <w:tab w:val="left" w:pos="567" w:leader="none"/>
          <w:tab w:val="left" w:pos="851" w:leader="none"/>
        </w:tabs>
        <w:jc w:val="both"/>
        <w:rPr>
          <w:rFonts w:ascii="Arial" w:hAnsi="Arial" w:eastAsia="Arial" w:cs="Arial"/>
          <w:bCs/>
          <w:sz w:val="22"/>
          <w:szCs w:val="22"/>
        </w:rPr>
      </w:pPr>
      <w:r>
        <w:rPr>
          <w:rFonts w:eastAsia="Arial" w:cs="Arial" w:ascii="Arial" w:hAnsi="Arial"/>
          <w:bCs/>
          <w:sz w:val="22"/>
          <w:szCs w:val="22"/>
        </w:rPr>
      </w:r>
    </w:p>
    <w:p>
      <w:pPr>
        <w:pStyle w:val="Normal"/>
        <w:keepLines/>
        <w:tabs>
          <w:tab w:val="clear" w:pos="720"/>
          <w:tab w:val="left" w:pos="284" w:leader="none"/>
          <w:tab w:val="left" w:pos="567" w:leader="none"/>
          <w:tab w:val="left" w:pos="851" w:leader="none"/>
        </w:tabs>
        <w:jc w:val="both"/>
        <w:rPr>
          <w:rFonts w:ascii="Arial" w:hAnsi="Arial" w:eastAsia="Arial" w:cs="Arial"/>
          <w:bCs/>
          <w:sz w:val="22"/>
          <w:szCs w:val="22"/>
        </w:rPr>
      </w:pPr>
      <w:r>
        <w:rPr>
          <w:rFonts w:eastAsia="Arial" w:cs="Arial" w:ascii="Arial" w:hAnsi="Arial"/>
          <w:bCs/>
          <w:sz w:val="22"/>
          <w:szCs w:val="22"/>
        </w:rPr>
        <w:t xml:space="preserve">Lors du téléchargement du dossier de consultation sur la plateforme </w:t>
      </w:r>
      <w:r>
        <w:rPr>
          <w:rFonts w:eastAsia="Arial" w:cs="Arial" w:ascii="Arial" w:hAnsi="Arial"/>
          <w:b/>
          <w:bCs/>
          <w:sz w:val="22"/>
          <w:szCs w:val="22"/>
        </w:rPr>
        <w:t>PLACE</w:t>
      </w:r>
      <w:r>
        <w:rPr>
          <w:rFonts w:eastAsia="Arial" w:cs="Arial" w:ascii="Arial" w:hAnsi="Arial"/>
          <w:bCs/>
          <w:sz w:val="22"/>
          <w:szCs w:val="22"/>
        </w:rPr>
        <w:t xml:space="preserve">, il est conseillé au candidat de s’identifier en renseignant le nom de la société, le nom de la personne physique téléchargeant les documents et une adresse électronique permettant de façon certaine une correspondance électronique, afin qu’il puisse bénéficier de toutes les informations complémentaires diffusées lors du déroulement de la présente consultation, en particulier les éventuelles modification, précisions ou report de délais.    </w:t>
      </w:r>
    </w:p>
    <w:p>
      <w:pPr>
        <w:pStyle w:val="Normal"/>
        <w:keepLines/>
        <w:tabs>
          <w:tab w:val="clear" w:pos="720"/>
          <w:tab w:val="left" w:pos="284" w:leader="none"/>
          <w:tab w:val="left" w:pos="567" w:leader="none"/>
          <w:tab w:val="left" w:pos="851" w:leader="none"/>
        </w:tabs>
        <w:jc w:val="both"/>
        <w:rPr>
          <w:rFonts w:ascii="Arial" w:hAnsi="Arial" w:eastAsia="Arial" w:cs="Arial"/>
          <w:bCs/>
          <w:sz w:val="22"/>
          <w:szCs w:val="22"/>
        </w:rPr>
      </w:pPr>
      <w:r>
        <w:rPr>
          <w:rFonts w:eastAsia="Arial" w:cs="Arial" w:ascii="Arial" w:hAnsi="Arial"/>
          <w:bCs/>
          <w:sz w:val="22"/>
          <w:szCs w:val="22"/>
        </w:rPr>
      </w:r>
    </w:p>
    <w:p>
      <w:pPr>
        <w:pStyle w:val="Normal"/>
        <w:jc w:val="both"/>
        <w:rPr>
          <w:rFonts w:ascii="Arial" w:hAnsi="Arial" w:cs="Arial"/>
          <w:sz w:val="22"/>
          <w:szCs w:val="22"/>
          <w:lang w:eastAsia="fr-FR"/>
        </w:rPr>
      </w:pPr>
      <w:r>
        <w:rPr>
          <w:rFonts w:cs="Arial" w:ascii="Arial" w:hAnsi="Arial"/>
          <w:sz w:val="22"/>
          <w:szCs w:val="22"/>
          <w:lang w:eastAsia="fr-FR"/>
        </w:rPr>
        <w:t xml:space="preserve">Le candidat ne pourra porter aucune réclamation s’il ne bénéficie pas de toutes les informations complémentaires diffusées par la plateforme de dématérialisation lors du déroulement de la présente consultation en raison d’une erreur qu’il aurait faite dans la saisie de son adresse électronique, en cas de non identification de la personne lors du téléchargement, en cas de non indication de ladite adresse électronique ou en cas de suppression de l'adresse. </w:t>
      </w:r>
    </w:p>
    <w:p>
      <w:pPr>
        <w:pStyle w:val="Normal"/>
        <w:jc w:val="both"/>
        <w:rPr>
          <w:rFonts w:ascii="Arial" w:hAnsi="Arial" w:cs="Arial"/>
          <w:sz w:val="22"/>
          <w:szCs w:val="22"/>
          <w:lang w:eastAsia="fr-FR"/>
        </w:rPr>
      </w:pPr>
      <w:r>
        <w:rPr>
          <w:rFonts w:cs="Arial" w:ascii="Arial" w:hAnsi="Arial"/>
          <w:sz w:val="22"/>
          <w:szCs w:val="22"/>
          <w:lang w:eastAsia="fr-FR"/>
        </w:rPr>
      </w:r>
    </w:p>
    <w:p>
      <w:pPr>
        <w:pStyle w:val="Normal"/>
        <w:spacing w:before="0" w:after="120"/>
        <w:jc w:val="both"/>
        <w:rPr>
          <w:rFonts w:ascii="Arial" w:hAnsi="Arial" w:cs="Arial"/>
          <w:sz w:val="22"/>
          <w:szCs w:val="22"/>
          <w:lang w:eastAsia="fr-FR"/>
        </w:rPr>
      </w:pPr>
      <w:r>
        <w:rPr>
          <w:rFonts w:cs="Arial" w:ascii="Arial" w:hAnsi="Arial"/>
          <w:sz w:val="22"/>
          <w:szCs w:val="22"/>
          <w:lang w:eastAsia="fr-FR"/>
        </w:rPr>
        <w:t xml:space="preserve">Il est recommandé à tout candidat de consulter régulièrement la plateforme afin de s'assurer qu'il bénéficie bien des dernières modifications éventuelles. </w:t>
      </w:r>
    </w:p>
    <w:p>
      <w:pPr>
        <w:pStyle w:val="Normal"/>
        <w:spacing w:lineRule="exact" w:line="253" w:before="0" w:after="120"/>
        <w:ind w:left="20" w:right="20" w:hanging="0"/>
        <w:jc w:val="both"/>
        <w:rPr>
          <w:rFonts w:ascii="Arial" w:hAnsi="Arial" w:cs="Arial"/>
          <w:sz w:val="22"/>
          <w:szCs w:val="22"/>
          <w:lang w:eastAsia="fr-FR"/>
        </w:rPr>
      </w:pPr>
      <w:r>
        <w:rPr>
          <w:rFonts w:cs="Arial" w:ascii="Arial" w:hAnsi="Arial"/>
          <w:sz w:val="22"/>
          <w:szCs w:val="22"/>
          <w:lang w:eastAsia="fr-FR"/>
        </w:rPr>
        <w:t>En cas de difficulté quant au téléchargement du D.C.E, le candidat est invité à se rapprocher de la hotline technique de la plate-forme.</w:t>
      </w:r>
    </w:p>
    <w:p>
      <w:pPr>
        <w:pStyle w:val="Normal"/>
        <w:spacing w:lineRule="exact" w:line="253" w:before="0" w:after="120"/>
        <w:ind w:left="20" w:right="20" w:hanging="0"/>
        <w:jc w:val="both"/>
        <w:rPr>
          <w:rFonts w:ascii="Arial" w:hAnsi="Arial" w:eastAsia="Arial" w:cs="Arial"/>
          <w:sz w:val="22"/>
        </w:rPr>
      </w:pPr>
      <w:r>
        <w:rPr>
          <w:rFonts w:eastAsia="Arial" w:cs="Arial" w:ascii="Arial" w:hAnsi="Arial"/>
          <w:sz w:val="22"/>
        </w:rPr>
        <w:t xml:space="preserve">L’acheteur se réserve le droit d'apporter des modifications de détail au dossier de consultation au plus tard 8 jours avant la date limite de réception des offres. </w:t>
      </w:r>
    </w:p>
    <w:p>
      <w:pPr>
        <w:pStyle w:val="Normal"/>
        <w:spacing w:lineRule="exact" w:line="253" w:before="0" w:after="120"/>
        <w:ind w:left="20" w:right="20" w:hanging="0"/>
        <w:jc w:val="both"/>
        <w:rPr>
          <w:rFonts w:ascii="Arial" w:hAnsi="Arial" w:eastAsia="Arial" w:cs="Arial"/>
          <w:sz w:val="22"/>
        </w:rPr>
      </w:pPr>
      <w:r>
        <w:rPr>
          <w:rFonts w:eastAsia="Arial" w:cs="Arial" w:ascii="Arial" w:hAnsi="Arial"/>
          <w:sz w:val="22"/>
        </w:rPr>
        <w:t>Ce délai est décompté à partir de la date d'envoi par l’acheteur</w:t>
      </w:r>
      <w:r>
        <w:rPr>
          <w:rFonts w:eastAsia="Arial" w:cs="Arial" w:ascii="Arial" w:hAnsi="Arial"/>
          <w:sz w:val="22"/>
          <w:szCs w:val="22"/>
        </w:rPr>
        <w:t xml:space="preserve"> </w:t>
      </w:r>
      <w:r>
        <w:rPr>
          <w:rFonts w:eastAsia="Arial" w:cs="Arial" w:ascii="Arial" w:hAnsi="Arial"/>
          <w:sz w:val="22"/>
        </w:rPr>
        <w:t>des modifications aux candidats ayant retiré le dossier initial. Les candidats devront alors répondre sur la base du dossier modifié sans pouvoir n'élever aucune réclamation à ce sujet.</w:t>
      </w:r>
    </w:p>
    <w:p>
      <w:pPr>
        <w:pStyle w:val="Normal"/>
        <w:spacing w:lineRule="exact" w:line="253" w:before="0" w:after="240"/>
        <w:ind w:left="20" w:right="20" w:hanging="0"/>
        <w:jc w:val="both"/>
        <w:rPr>
          <w:rFonts w:ascii="Arial" w:hAnsi="Arial" w:eastAsia="Arial" w:cs="Arial"/>
          <w:sz w:val="22"/>
        </w:rPr>
      </w:pPr>
      <w:r>
        <w:rPr>
          <w:rFonts w:eastAsia="Arial" w:cs="Arial" w:ascii="Arial" w:hAnsi="Arial"/>
          <w:sz w:val="22"/>
        </w:rPr>
        <w:t>Si, pendant l'étude du dossier par les candidats, la date limite de réception des offres est reportée, la disposition précédente est applicable en fonction de cette nouvelle date.</w:t>
      </w:r>
    </w:p>
    <w:p>
      <w:pPr>
        <w:pStyle w:val="Normal"/>
        <w:jc w:val="both"/>
        <w:rPr/>
      </w:pPr>
      <w:r>
        <w:rPr>
          <w:rFonts w:cs="Arial" w:ascii="Arial" w:hAnsi="Arial"/>
          <w:sz w:val="22"/>
        </w:rPr>
        <w:t>En cas de difficulté rencontrée sur la plateforme à l’occasion du dépôt du retrait du DCE, les candidats sont invités à contacter directement la plateforme :</w:t>
      </w:r>
    </w:p>
    <w:p>
      <w:pPr>
        <w:pStyle w:val="Normal"/>
        <w:jc w:val="both"/>
        <w:rPr>
          <w:rFonts w:ascii="Arial" w:hAnsi="Arial" w:cs="Arial"/>
          <w:sz w:val="22"/>
        </w:rPr>
      </w:pPr>
      <w:r>
        <w:rPr>
          <w:rFonts w:cs="Arial" w:ascii="Arial" w:hAnsi="Arial"/>
          <w:sz w:val="22"/>
        </w:rPr>
        <w:t>Service Support </w:t>
      </w:r>
      <w:r>
        <w:rPr>
          <w:rFonts w:cs="Arial" w:ascii="Arial" w:hAnsi="Arial"/>
          <w:sz w:val="22"/>
        </w:rPr>
        <w:t>PLACE</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lineRule="exact" w:line="20"/>
        <w:rPr>
          <w:rFonts w:ascii="Arial" w:hAnsi="Arial" w:cs="Arial"/>
          <w:sz w:val="2"/>
        </w:rPr>
      </w:pPr>
      <w:r>
        <w:rPr>
          <w:rFonts w:cs="Arial" w:ascii="Arial" w:hAnsi="Arial"/>
          <w:sz w:val="2"/>
        </w:rPr>
      </w:r>
    </w:p>
    <w:p>
      <w:pPr>
        <w:pStyle w:val="Titre1"/>
        <w:rPr>
          <w:rFonts w:eastAsia="Arial"/>
          <w:color w:val="000000"/>
          <w:sz w:val="28"/>
        </w:rPr>
      </w:pPr>
      <w:bookmarkStart w:id="27" w:name="_Toc211605799"/>
      <w:r>
        <w:rPr>
          <w:rFonts w:eastAsia="Arial"/>
          <w:color w:val="000000"/>
          <w:sz w:val="28"/>
        </w:rPr>
        <w:t>6 - Présentation des candidatures et des offres</w:t>
      </w:r>
      <w:bookmarkEnd w:id="27"/>
    </w:p>
    <w:p>
      <w:pPr>
        <w:pStyle w:val="ParagrapheIndent1"/>
        <w:spacing w:lineRule="exact" w:line="253" w:before="0" w:after="240"/>
        <w:ind w:left="20" w:right="20" w:hanging="0"/>
        <w:jc w:val="both"/>
        <w:rPr>
          <w:color w:val="000000"/>
        </w:rPr>
      </w:pPr>
      <w:r>
        <w:rPr>
          <w:color w:val="000000"/>
        </w:rPr>
        <w:t>Les offres des candidats seront entièrement rédigées en langue française et exprimées en EURO. Si les offres des candidats sont rédigées dans une autre langue, elles doivent être accompagnées d’une traduction en français, cette traduction doit concerner l’ensemble des documents remis dans l’offre. Chaque candidat aura à produire un dossier complet comprenant les pièces suivantes :</w:t>
      </w:r>
    </w:p>
    <w:p>
      <w:pPr>
        <w:pStyle w:val="ParagrapheIndent2"/>
        <w:spacing w:lineRule="exact" w:line="253"/>
        <w:ind w:left="20" w:right="-149" w:hanging="0"/>
        <w:jc w:val="both"/>
        <w:rPr>
          <w:color w:val="000000"/>
        </w:rPr>
      </w:pPr>
      <w:r>
        <w:rPr>
          <w:color w:val="000000"/>
        </w:rPr>
        <w:t>Pièces de la candidature telles que prévues aux articles L. 2142-1, R. 2142-3, R. 2142-4, R. 2143-3 et R. 2143-4 du Code de la commande publique :</w:t>
      </w:r>
    </w:p>
    <w:p>
      <w:pPr>
        <w:pStyle w:val="ParagrapheIndent2"/>
        <w:spacing w:lineRule="exact" w:line="253"/>
        <w:ind w:right="20" w:hanging="0"/>
        <w:jc w:val="both"/>
        <w:rPr>
          <w:color w:val="000000"/>
          <w:sz w:val="16"/>
          <w:szCs w:val="16"/>
        </w:rPr>
      </w:pPr>
      <w:r>
        <w:rPr>
          <w:color w:val="000000"/>
          <w:sz w:val="16"/>
          <w:szCs w:val="16"/>
        </w:rPr>
      </w:r>
    </w:p>
    <w:p>
      <w:pPr>
        <w:pStyle w:val="ParagrapheIndent2"/>
        <w:spacing w:lineRule="exact" w:line="253"/>
        <w:ind w:right="20" w:hanging="0"/>
        <w:jc w:val="both"/>
        <w:rPr>
          <w:color w:val="000000"/>
        </w:rPr>
      </w:pPr>
      <w:r>
        <w:rPr>
          <w:color w:val="000000"/>
        </w:rPr>
        <w:t>Renseignements concernant la situation juridique de l'entreprise :</w:t>
      </w:r>
    </w:p>
    <w:p>
      <w:pPr>
        <w:pStyle w:val="Normal"/>
        <w:rPr/>
      </w:pPr>
      <w:r>
        <w:rPr/>
      </w:r>
    </w:p>
    <w:p>
      <w:pPr>
        <w:pStyle w:val="ParagrapheIndent2"/>
        <w:spacing w:lineRule="exact" w:line="253"/>
        <w:ind w:left="20" w:right="20" w:hanging="0"/>
        <w:jc w:val="both"/>
        <w:rPr>
          <w:color w:val="000000"/>
          <w:sz w:val="16"/>
          <w:szCs w:val="16"/>
        </w:rPr>
      </w:pPr>
      <w:r>
        <w:rPr>
          <w:color w:val="000000"/>
          <w:sz w:val="16"/>
          <w:szCs w:val="16"/>
        </w:rPr>
      </w:r>
    </w:p>
    <w:tbl>
      <w:tblPr>
        <w:tblW w:w="9600" w:type="dxa"/>
        <w:jc w:val="left"/>
        <w:tblInd w:w="-88" w:type="dxa"/>
        <w:tblLayout w:type="fixed"/>
        <w:tblCellMar>
          <w:top w:w="0" w:type="dxa"/>
          <w:left w:w="0" w:type="dxa"/>
          <w:bottom w:w="0" w:type="dxa"/>
          <w:right w:w="0" w:type="dxa"/>
        </w:tblCellMar>
        <w:tblLook w:firstRow="1" w:noVBand="1" w:lastRow="0" w:firstColumn="1" w:lastColumn="0" w:noHBand="0" w:val="04a0"/>
      </w:tblPr>
      <w:tblGrid>
        <w:gridCol w:w="8400"/>
        <w:gridCol w:w="1199"/>
      </w:tblGrid>
      <w:tr>
        <w:trPr>
          <w:trHeight w:val="306" w:hRule="atLeast"/>
        </w:trPr>
        <w:tc>
          <w:tcPr>
            <w:tcW w:w="8400" w:type="dxa"/>
            <w:tcBorders>
              <w:top w:val="single" w:sz="2" w:space="0" w:color="000000"/>
              <w:left w:val="single" w:sz="2" w:space="0" w:color="000000"/>
              <w:right w:val="single" w:sz="2" w:space="0" w:color="000000"/>
            </w:tcBorders>
            <w:shd w:color="auto" w:fill="DEEAF6" w:themeFill="accent1" w:themeFillTint="33" w:val="clear"/>
          </w:tcPr>
          <w:p>
            <w:pPr>
              <w:pStyle w:val="Normal"/>
              <w:widowControl w:val="false"/>
              <w:spacing w:before="60" w:after="20"/>
              <w:jc w:val="center"/>
              <w:rPr>
                <w:rFonts w:ascii="Arial" w:hAnsi="Arial" w:eastAsia="Arial" w:cs="Arial"/>
                <w:color w:val="000000"/>
                <w:sz w:val="22"/>
              </w:rPr>
            </w:pPr>
            <w:r>
              <w:rPr>
                <w:rFonts w:eastAsia="Arial" w:cs="Arial" w:ascii="Arial" w:hAnsi="Arial"/>
                <w:color w:val="000000"/>
                <w:sz w:val="22"/>
              </w:rPr>
              <w:t>Libellés</w:t>
            </w:r>
          </w:p>
        </w:tc>
        <w:tc>
          <w:tcPr>
            <w:tcW w:w="1199" w:type="dxa"/>
            <w:tcBorders>
              <w:top w:val="single" w:sz="2" w:space="0" w:color="000000"/>
              <w:left w:val="single" w:sz="2" w:space="0" w:color="000000"/>
              <w:right w:val="single" w:sz="2" w:space="0" w:color="000000"/>
            </w:tcBorders>
            <w:shd w:color="auto" w:fill="DEEAF6" w:themeFill="accent1" w:themeFillTint="33" w:val="clear"/>
          </w:tcPr>
          <w:p>
            <w:pPr>
              <w:pStyle w:val="Normal"/>
              <w:widowControl w:val="false"/>
              <w:spacing w:before="60" w:after="20"/>
              <w:jc w:val="center"/>
              <w:rPr>
                <w:rFonts w:ascii="Arial" w:hAnsi="Arial" w:eastAsia="Arial" w:cs="Arial"/>
                <w:color w:val="000000"/>
                <w:sz w:val="22"/>
              </w:rPr>
            </w:pPr>
            <w:r>
              <w:rPr>
                <w:rFonts w:eastAsia="Arial" w:cs="Arial" w:ascii="Arial" w:hAnsi="Arial"/>
                <w:color w:val="000000"/>
                <w:sz w:val="22"/>
              </w:rPr>
              <w:t>Signature</w:t>
            </w:r>
          </w:p>
        </w:tc>
      </w:tr>
      <w:tr>
        <w:trPr>
          <w:trHeight w:val="45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53"/>
              <w:ind w:left="80" w:right="80" w:hanging="0"/>
              <w:jc w:val="both"/>
              <w:rPr>
                <w:rFonts w:ascii="Arial" w:hAnsi="Arial" w:eastAsia="Arial" w:cs="Arial"/>
                <w:color w:val="000000"/>
                <w:sz w:val="22"/>
              </w:rPr>
            </w:pPr>
            <w:r>
              <w:rPr>
                <w:rFonts w:eastAsia="Arial" w:cs="Arial" w:ascii="Arial" w:hAnsi="Arial"/>
                <w:color w:val="000000"/>
                <w:sz w:val="22"/>
              </w:rPr>
              <w:t>Déclaration sur l'honneur pour justifier que le candidat n'entre dans aucun des cas d'interdiction de soumissionner ou d’exclusion visées aux articles L.2141-1 à L.2141-11 du Code de la commande publique (si le soumissionnaire ne fournit pas de DC1)</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45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53"/>
              <w:ind w:right="80" w:hanging="0"/>
              <w:jc w:val="both"/>
              <w:rPr>
                <w:rFonts w:ascii="Arial" w:hAnsi="Arial" w:eastAsia="Arial" w:cs="Arial"/>
                <w:color w:val="000000"/>
                <w:sz w:val="22"/>
              </w:rPr>
            </w:pPr>
            <w:r>
              <w:rPr>
                <w:rFonts w:eastAsia="Arial" w:cs="Arial" w:ascii="Arial" w:hAnsi="Arial"/>
                <w:color w:val="000000"/>
                <w:sz w:val="22"/>
              </w:rPr>
              <w:t>En cas de groupement, les documents relatifs aux pouvoirs de la personne habilitée (mandataire) pour engager les membres du groupement</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Arial" w:hAnsi="Arial" w:eastAsia="Arial" w:cs="Arial"/>
                <w:color w:val="000000"/>
                <w:sz w:val="22"/>
              </w:rPr>
            </w:pPr>
            <w:r>
              <w:rPr>
                <w:rFonts w:eastAsia="Arial" w:cs="Arial" w:ascii="Arial" w:hAnsi="Arial"/>
                <w:color w:val="000000"/>
                <w:sz w:val="22"/>
              </w:rPr>
              <w:t>Oui</w:t>
            </w:r>
          </w:p>
        </w:tc>
      </w:tr>
    </w:tbl>
    <w:p>
      <w:pPr>
        <w:pStyle w:val="Normal"/>
        <w:spacing w:lineRule="exact" w:line="240"/>
        <w:rPr>
          <w:rFonts w:ascii="Arial" w:hAnsi="Arial" w:eastAsia="Arial" w:cs="Arial"/>
          <w:color w:val="000000"/>
          <w:sz w:val="22"/>
        </w:rPr>
      </w:pPr>
      <w:r>
        <w:rPr>
          <w:rFonts w:cs="Arial" w:ascii="Arial" w:hAnsi="Arial"/>
          <w:sz w:val="16"/>
          <w:szCs w:val="16"/>
        </w:rPr>
        <w:t xml:space="preserve"> </w:t>
      </w:r>
    </w:p>
    <w:p>
      <w:pPr>
        <w:pStyle w:val="ParagrapheIndent2"/>
        <w:spacing w:lineRule="exact" w:line="253"/>
        <w:ind w:right="20" w:hanging="0"/>
        <w:jc w:val="both"/>
        <w:rPr>
          <w:color w:val="000000"/>
        </w:rPr>
      </w:pPr>
      <w:r>
        <w:rPr>
          <w:color w:val="000000"/>
        </w:rPr>
        <w:t>Renseignements concernant la capacité économique et financière de l'entreprise :</w:t>
      </w:r>
    </w:p>
    <w:p>
      <w:pPr>
        <w:pStyle w:val="ParagrapheIndent2"/>
        <w:spacing w:lineRule="exact" w:line="253"/>
        <w:ind w:left="20" w:right="20" w:hanging="0"/>
        <w:jc w:val="both"/>
        <w:rPr>
          <w:color w:val="000000"/>
          <w:sz w:val="16"/>
          <w:szCs w:val="16"/>
        </w:rPr>
      </w:pPr>
      <w:r>
        <w:rPr>
          <w:color w:val="000000"/>
          <w:sz w:val="16"/>
          <w:szCs w:val="16"/>
        </w:rPr>
      </w:r>
    </w:p>
    <w:tbl>
      <w:tblPr>
        <w:tblW w:w="9616" w:type="dxa"/>
        <w:jc w:val="left"/>
        <w:tblInd w:w="-88" w:type="dxa"/>
        <w:tblLayout w:type="fixed"/>
        <w:tblCellMar>
          <w:top w:w="0" w:type="dxa"/>
          <w:left w:w="0" w:type="dxa"/>
          <w:bottom w:w="0" w:type="dxa"/>
          <w:right w:w="0" w:type="dxa"/>
        </w:tblCellMar>
        <w:tblLook w:firstRow="1" w:noVBand="1" w:lastRow="0" w:firstColumn="1" w:lastColumn="0" w:noHBand="0" w:val="04a0"/>
      </w:tblPr>
      <w:tblGrid>
        <w:gridCol w:w="8482"/>
        <w:gridCol w:w="1133"/>
      </w:tblGrid>
      <w:tr>
        <w:trPr>
          <w:trHeight w:val="306" w:hRule="atLeast"/>
        </w:trPr>
        <w:tc>
          <w:tcPr>
            <w:tcW w:w="8482" w:type="dxa"/>
            <w:tcBorders>
              <w:top w:val="single" w:sz="2" w:space="0" w:color="000000"/>
              <w:left w:val="single" w:sz="2" w:space="0" w:color="000000"/>
              <w:right w:val="single" w:sz="2" w:space="0" w:color="000000"/>
            </w:tcBorders>
            <w:shd w:color="auto" w:fill="DEEAF6" w:themeFill="accent1" w:themeFillTint="33" w:val="clear"/>
          </w:tcPr>
          <w:p>
            <w:pPr>
              <w:pStyle w:val="Normal"/>
              <w:widowControl w:val="false"/>
              <w:spacing w:before="60" w:after="20"/>
              <w:jc w:val="center"/>
              <w:rPr>
                <w:rFonts w:ascii="Arial" w:hAnsi="Arial" w:eastAsia="Arial" w:cs="Arial"/>
                <w:color w:val="000000"/>
                <w:sz w:val="22"/>
              </w:rPr>
            </w:pPr>
            <w:r>
              <w:rPr>
                <w:rFonts w:eastAsia="Arial" w:cs="Arial" w:ascii="Arial" w:hAnsi="Arial"/>
                <w:color w:val="000000"/>
                <w:sz w:val="22"/>
              </w:rPr>
              <w:t>Libellés</w:t>
            </w:r>
          </w:p>
        </w:tc>
        <w:tc>
          <w:tcPr>
            <w:tcW w:w="1133" w:type="dxa"/>
            <w:tcBorders>
              <w:top w:val="single" w:sz="2" w:space="0" w:color="000000"/>
              <w:left w:val="single" w:sz="2" w:space="0" w:color="000000"/>
              <w:right w:val="single" w:sz="2" w:space="0" w:color="000000"/>
            </w:tcBorders>
            <w:shd w:color="auto" w:fill="DEEAF6" w:themeFill="accent1" w:themeFillTint="33" w:val="clear"/>
          </w:tcPr>
          <w:p>
            <w:pPr>
              <w:pStyle w:val="Normal"/>
              <w:widowControl w:val="false"/>
              <w:spacing w:before="60" w:after="20"/>
              <w:jc w:val="center"/>
              <w:rPr>
                <w:rFonts w:ascii="Arial" w:hAnsi="Arial" w:eastAsia="Arial" w:cs="Arial"/>
                <w:color w:val="000000"/>
                <w:sz w:val="22"/>
              </w:rPr>
            </w:pPr>
            <w:r>
              <w:rPr>
                <w:rFonts w:eastAsia="Arial" w:cs="Arial" w:ascii="Arial" w:hAnsi="Arial"/>
                <w:color w:val="000000"/>
                <w:sz w:val="22"/>
              </w:rPr>
              <w:t>Signature</w:t>
            </w:r>
          </w:p>
        </w:tc>
      </w:tr>
      <w:tr>
        <w:trPr>
          <w:trHeight w:val="666" w:hRule="atLeast"/>
        </w:trPr>
        <w:tc>
          <w:tcPr>
            <w:tcW w:w="8482"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color w:val="000000"/>
                <w:sz w:val="22"/>
              </w:rPr>
            </w:pPr>
            <w:r>
              <w:rPr>
                <w:rFonts w:eastAsia="Arial" w:cs="Arial" w:ascii="Arial" w:hAnsi="Arial"/>
                <w:color w:val="000000"/>
                <w:sz w:val="22"/>
              </w:rPr>
              <w:t>Déclaration concernant le chiffre d'affaires global et le chiffre d'affaires concernant les prestations objet du contrat, réalisées au cours des trois derniers exercices disponibles (si le soumissionnaire ne fournit pas de DC2)</w:t>
            </w:r>
          </w:p>
        </w:tc>
        <w:tc>
          <w:tcPr>
            <w:tcW w:w="11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666" w:hRule="atLeast"/>
        </w:trPr>
        <w:tc>
          <w:tcPr>
            <w:tcW w:w="8482"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color w:val="000000"/>
                <w:sz w:val="22"/>
              </w:rPr>
            </w:pPr>
            <w:r>
              <w:rPr>
                <w:rFonts w:eastAsia="Arial" w:cs="Arial" w:ascii="Arial" w:hAnsi="Arial"/>
                <w:color w:val="000000"/>
                <w:sz w:val="22"/>
              </w:rPr>
              <w:t>Déclaration appropriée de banque ou preuve d’une assurance pour les risques professionnels</w:t>
            </w:r>
          </w:p>
        </w:tc>
        <w:tc>
          <w:tcPr>
            <w:tcW w:w="11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bl>
    <w:p>
      <w:pPr>
        <w:pStyle w:val="Normal"/>
        <w:spacing w:lineRule="exact" w:line="240"/>
        <w:rPr>
          <w:rFonts w:ascii="Arial" w:hAnsi="Arial" w:cs="Arial"/>
        </w:rPr>
      </w:pPr>
      <w:r>
        <w:rPr>
          <w:rFonts w:cs="Arial" w:ascii="Arial" w:hAnsi="Arial"/>
        </w:rPr>
        <w:t xml:space="preserve"> </w:t>
      </w:r>
    </w:p>
    <w:p>
      <w:pPr>
        <w:pStyle w:val="Normal"/>
        <w:spacing w:lineRule="exact" w:line="240"/>
        <w:rPr>
          <w:rFonts w:ascii="Arial" w:hAnsi="Arial" w:cs="Arial"/>
        </w:rPr>
      </w:pPr>
      <w:r>
        <w:rPr>
          <w:rFonts w:cs="Arial" w:ascii="Arial" w:hAnsi="Arial"/>
        </w:rPr>
      </w:r>
    </w:p>
    <w:p>
      <w:pPr>
        <w:pStyle w:val="ParagrapheIndent2"/>
        <w:spacing w:lineRule="exact" w:line="253"/>
        <w:ind w:right="-149" w:hanging="0"/>
        <w:jc w:val="both"/>
        <w:rPr>
          <w:color w:val="000000"/>
        </w:rPr>
      </w:pPr>
      <w:r>
        <w:rPr>
          <w:color w:val="000000"/>
        </w:rPr>
        <w:t>Renseignements concernant les références professionnelles et la capacité technique de l'entreprise :</w:t>
      </w:r>
    </w:p>
    <w:p>
      <w:pPr>
        <w:pStyle w:val="Normal"/>
        <w:rPr/>
      </w:pPr>
      <w:r>
        <w:rPr/>
      </w:r>
    </w:p>
    <w:tbl>
      <w:tblPr>
        <w:tblW w:w="9616" w:type="dxa"/>
        <w:jc w:val="left"/>
        <w:tblInd w:w="-88" w:type="dxa"/>
        <w:tblLayout w:type="fixed"/>
        <w:tblCellMar>
          <w:top w:w="0" w:type="dxa"/>
          <w:left w:w="0" w:type="dxa"/>
          <w:bottom w:w="0" w:type="dxa"/>
          <w:right w:w="0" w:type="dxa"/>
        </w:tblCellMar>
        <w:tblLook w:firstRow="1" w:noVBand="1" w:lastRow="0" w:firstColumn="1" w:lastColumn="0" w:noHBand="0" w:val="04a0"/>
      </w:tblPr>
      <w:tblGrid>
        <w:gridCol w:w="8482"/>
        <w:gridCol w:w="1133"/>
      </w:tblGrid>
      <w:tr>
        <w:trPr>
          <w:trHeight w:val="306" w:hRule="atLeast"/>
        </w:trPr>
        <w:tc>
          <w:tcPr>
            <w:tcW w:w="8482" w:type="dxa"/>
            <w:tcBorders>
              <w:top w:val="single" w:sz="2" w:space="0" w:color="000000"/>
              <w:left w:val="single" w:sz="2" w:space="0" w:color="000000"/>
              <w:right w:val="single" w:sz="2" w:space="0" w:color="000000"/>
            </w:tcBorders>
            <w:shd w:color="auto" w:fill="DEEAF6" w:themeFill="accent1" w:themeFillTint="33" w:val="clear"/>
          </w:tcPr>
          <w:p>
            <w:pPr>
              <w:pStyle w:val="Normal"/>
              <w:widowControl w:val="false"/>
              <w:spacing w:before="60" w:after="20"/>
              <w:jc w:val="center"/>
              <w:rPr>
                <w:rFonts w:ascii="Arial" w:hAnsi="Arial" w:eastAsia="Arial" w:cs="Arial"/>
                <w:color w:val="000000"/>
                <w:sz w:val="22"/>
              </w:rPr>
            </w:pPr>
            <w:r>
              <w:rPr>
                <w:rFonts w:eastAsia="Arial" w:cs="Arial" w:ascii="Arial" w:hAnsi="Arial"/>
                <w:color w:val="000000"/>
                <w:sz w:val="22"/>
              </w:rPr>
              <w:t>Libellés</w:t>
            </w:r>
          </w:p>
        </w:tc>
        <w:tc>
          <w:tcPr>
            <w:tcW w:w="1133" w:type="dxa"/>
            <w:tcBorders>
              <w:top w:val="single" w:sz="2" w:space="0" w:color="000000"/>
              <w:left w:val="single" w:sz="2" w:space="0" w:color="000000"/>
              <w:right w:val="single" w:sz="2" w:space="0" w:color="000000"/>
            </w:tcBorders>
            <w:shd w:color="auto" w:fill="DEEAF6" w:themeFill="accent1" w:themeFillTint="33" w:val="clear"/>
          </w:tcPr>
          <w:p>
            <w:pPr>
              <w:pStyle w:val="Normal"/>
              <w:widowControl w:val="false"/>
              <w:spacing w:before="60" w:after="20"/>
              <w:jc w:val="center"/>
              <w:rPr>
                <w:rFonts w:ascii="Arial" w:hAnsi="Arial" w:eastAsia="Arial" w:cs="Arial"/>
                <w:color w:val="000000"/>
                <w:sz w:val="22"/>
              </w:rPr>
            </w:pPr>
            <w:r>
              <w:rPr>
                <w:rFonts w:eastAsia="Arial" w:cs="Arial" w:ascii="Arial" w:hAnsi="Arial"/>
                <w:color w:val="000000"/>
                <w:sz w:val="22"/>
              </w:rPr>
              <w:t>Signature</w:t>
            </w:r>
          </w:p>
        </w:tc>
      </w:tr>
      <w:tr>
        <w:trPr>
          <w:trHeight w:val="900" w:hRule="atLeast"/>
        </w:trPr>
        <w:tc>
          <w:tcPr>
            <w:tcW w:w="8482"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color w:val="000000"/>
                <w:sz w:val="22"/>
              </w:rPr>
            </w:pPr>
            <w:r>
              <w:rPr>
                <w:rFonts w:eastAsia="Arial" w:cs="Arial" w:ascii="Arial" w:hAnsi="Arial"/>
                <w:color w:val="000000"/>
                <w:sz w:val="22"/>
              </w:rPr>
              <w:t>Liste des principales prestations réalisées au cours des trois dernières années en rapport avec l’objet du marché, indiquant le montant, la date et le destinataire. Elles sont prouvées par des attestations de bonne exécution du maître d’ouvrage ou, à défaut, par une déclaration du candidat.</w:t>
            </w:r>
          </w:p>
        </w:tc>
        <w:tc>
          <w:tcPr>
            <w:tcW w:w="11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900" w:hRule="atLeast"/>
        </w:trPr>
        <w:tc>
          <w:tcPr>
            <w:tcW w:w="8482"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color w:val="000000"/>
                <w:sz w:val="22"/>
              </w:rPr>
            </w:pPr>
            <w:r>
              <w:rPr>
                <w:rFonts w:eastAsia="Arial" w:cs="Arial" w:ascii="Arial" w:hAnsi="Arial"/>
                <w:color w:val="000000"/>
                <w:sz w:val="22"/>
              </w:rPr>
              <w:t>Indication des titres d’études et professionnels de l’opérateur économique et/ou des cadres de l’entreprise, et notamment des responsables de prestations de services ou de conduite des travaux de même nature que celle du contrat</w:t>
            </w:r>
          </w:p>
        </w:tc>
        <w:tc>
          <w:tcPr>
            <w:tcW w:w="11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650" w:hRule="atLeast"/>
        </w:trPr>
        <w:tc>
          <w:tcPr>
            <w:tcW w:w="8482"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color w:val="000000"/>
                <w:sz w:val="22"/>
              </w:rPr>
            </w:pPr>
            <w:r>
              <w:rPr>
                <w:rFonts w:eastAsia="Arial" w:cs="Arial" w:ascii="Arial" w:hAnsi="Arial"/>
                <w:color w:val="000000"/>
                <w:sz w:val="22"/>
              </w:rPr>
              <w:t>Déclaration indiquant les effectifs moyens annuels du candidat et l’importance du personnel d’encadrement pour chacun des trois dernières années</w:t>
            </w:r>
          </w:p>
        </w:tc>
        <w:tc>
          <w:tcPr>
            <w:tcW w:w="11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430" w:hRule="atLeast"/>
        </w:trPr>
        <w:tc>
          <w:tcPr>
            <w:tcW w:w="8482"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b/>
                <w:color w:val="000000"/>
                <w:sz w:val="22"/>
              </w:rPr>
            </w:pPr>
            <w:r>
              <w:rPr>
                <w:rFonts w:eastAsia="Arial" w:cs="Arial" w:ascii="Arial" w:hAnsi="Arial"/>
                <w:b/>
                <w:color w:val="000000"/>
                <w:sz w:val="22"/>
              </w:rPr>
              <w:t>Inscription à l’Ordre des Architectes</w:t>
            </w:r>
          </w:p>
        </w:tc>
        <w:tc>
          <w:tcPr>
            <w:tcW w:w="113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bl>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0"/>
        <w:rPr>
          <w:rFonts w:ascii="Arial" w:hAnsi="Arial" w:cs="Arial"/>
          <w:sz w:val="2"/>
        </w:rPr>
      </w:pPr>
      <w:r>
        <w:rPr>
          <w:rFonts w:cs="Arial" w:ascii="Arial" w:hAnsi="Arial"/>
          <w:sz w:val="2"/>
        </w:rPr>
      </w:r>
    </w:p>
    <w:p>
      <w:pPr>
        <w:pStyle w:val="Normal"/>
        <w:spacing w:lineRule="exact" w:line="240"/>
        <w:rPr>
          <w:rFonts w:ascii="Arial" w:hAnsi="Arial" w:cs="Arial"/>
        </w:rPr>
      </w:pPr>
      <w:r>
        <w:rPr>
          <w:rFonts w:cs="Arial" w:ascii="Arial" w:hAnsi="Arial"/>
        </w:rPr>
        <w:t xml:space="preserve"> </w:t>
      </w:r>
    </w:p>
    <w:p>
      <w:pPr>
        <w:pStyle w:val="ParagrapheIndent2"/>
        <w:spacing w:lineRule="exact" w:line="253" w:before="0" w:after="240"/>
        <w:ind w:left="20" w:right="20" w:hanging="0"/>
        <w:jc w:val="both"/>
        <w:rPr>
          <w:color w:val="000000"/>
        </w:rPr>
      </w:pPr>
      <w:r>
        <w:rPr>
          <w:color w:val="000000"/>
        </w:rPr>
        <w:t xml:space="preserve">Pour présenter leur candidature, </w:t>
      </w:r>
      <w:r>
        <w:rPr>
          <w:b/>
          <w:color w:val="000000"/>
        </w:rPr>
        <w:t xml:space="preserve">les candidats utilisent soit les formulaires DC1 (lettre de candidature) et DC2 (déclaration du candidat) </w:t>
      </w:r>
      <w:r>
        <w:rPr>
          <w:color w:val="000000"/>
        </w:rPr>
        <w:t xml:space="preserve">disponibles gratuitement sur le site www.economie.gouv.fr, soit le Document Unique de Marché Européen (DUME), conformément à l’article R.2123-4 du Code de la commande publique. </w:t>
      </w:r>
    </w:p>
    <w:p>
      <w:pPr>
        <w:pStyle w:val="ParagrapheIndent2"/>
        <w:spacing w:lineRule="exact" w:line="253" w:before="0" w:after="240"/>
        <w:ind w:left="20" w:right="20" w:hanging="0"/>
        <w:jc w:val="both"/>
        <w:rPr>
          <w:color w:val="000000"/>
        </w:rPr>
      </w:pPr>
      <w:r>
        <w:rPr>
          <w:color w:val="000000"/>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l’acheteur. En outre, pour justifier qu'il dispose des capacités de cet opérateur économique pour l'exécution des prestations, le candidat produit un engagement écrit de l'opérateur économique.</w:t>
      </w:r>
    </w:p>
    <w:p>
      <w:pPr>
        <w:pStyle w:val="Normal"/>
        <w:jc w:val="both"/>
        <w:rPr>
          <w:rFonts w:ascii="Arial" w:hAnsi="Arial" w:cs="Arial"/>
          <w:b/>
          <w:sz w:val="22"/>
          <w:szCs w:val="22"/>
        </w:rPr>
      </w:pPr>
      <w:r>
        <w:rPr>
          <w:rFonts w:cs="Arial" w:ascii="Arial" w:hAnsi="Arial"/>
          <w:sz w:val="22"/>
          <w:szCs w:val="22"/>
        </w:rPr>
        <w:t xml:space="preserve">Conformément à l’article R.2143-12 du Code de la commande publique, les candidats ne sont pas tenus de fournir les documents et renseignements que l’acheteur peut obtenir directement par le biais d’un système électronique de mise à disposition d’informations administré par un organisme officiel ou d’un espace de stockage numérique, </w:t>
      </w:r>
      <w:r>
        <w:rPr>
          <w:rFonts w:cs="Arial" w:ascii="Arial" w:hAnsi="Arial"/>
          <w:b/>
          <w:sz w:val="22"/>
          <w:szCs w:val="22"/>
        </w:rPr>
        <w:t>à condition que figurent dans le dossier de candidature toutes les informations nécessaires à la consultation de ce système ou de cet espace et que l’accès à ceux-ci soit gratuit.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Les candidats indiqueront donc le cas échéant dans leur dossier de candidature, sous peine de voir leur candidature écartée :</w:t>
      </w:r>
    </w:p>
    <w:p>
      <w:pPr>
        <w:pStyle w:val="Normal"/>
        <w:jc w:val="both"/>
        <w:rPr>
          <w:rFonts w:ascii="Arial" w:hAnsi="Arial" w:cs="Arial"/>
          <w:sz w:val="22"/>
          <w:szCs w:val="22"/>
        </w:rPr>
      </w:pPr>
      <w:r>
        <w:rPr>
          <w:rFonts w:cs="Arial" w:ascii="Arial" w:hAnsi="Arial"/>
          <w:sz w:val="22"/>
          <w:szCs w:val="22"/>
        </w:rPr>
      </w:r>
    </w:p>
    <w:p>
      <w:pPr>
        <w:pStyle w:val="ListParagraph"/>
        <w:numPr>
          <w:ilvl w:val="0"/>
          <w:numId w:val="2"/>
        </w:numPr>
        <w:jc w:val="both"/>
        <w:rPr>
          <w:rFonts w:ascii="Arial" w:hAnsi="Arial" w:cs="Arial"/>
          <w:sz w:val="22"/>
          <w:szCs w:val="22"/>
        </w:rPr>
      </w:pPr>
      <w:r>
        <w:rPr>
          <w:rFonts w:cs="Arial" w:ascii="Arial" w:hAnsi="Arial"/>
          <w:sz w:val="22"/>
          <w:szCs w:val="22"/>
        </w:rPr>
        <w:t xml:space="preserve">Les informations nécessaires à la consultation de l’organisme officiel ou de l’espace de stockage numérique </w:t>
      </w:r>
    </w:p>
    <w:p>
      <w:pPr>
        <w:pStyle w:val="ListParagraph"/>
        <w:numPr>
          <w:ilvl w:val="0"/>
          <w:numId w:val="2"/>
        </w:numPr>
        <w:jc w:val="both"/>
        <w:rPr>
          <w:rFonts w:ascii="Arial" w:hAnsi="Arial" w:eastAsia="Arial" w:cs="Arial"/>
          <w:color w:val="000000"/>
          <w:sz w:val="22"/>
        </w:rPr>
      </w:pPr>
      <w:r>
        <w:rPr>
          <w:rFonts w:cs="Arial" w:ascii="Arial" w:hAnsi="Arial"/>
          <w:sz w:val="22"/>
          <w:szCs w:val="22"/>
        </w:rPr>
        <w:t>La liste des documents qui seront consultables</w:t>
      </w:r>
    </w:p>
    <w:p>
      <w:pPr>
        <w:pStyle w:val="ParagrapheIndent2"/>
        <w:spacing w:lineRule="exact" w:line="253"/>
        <w:ind w:left="20" w:right="20" w:hanging="0"/>
        <w:jc w:val="both"/>
        <w:rPr>
          <w:color w:val="000000"/>
        </w:rPr>
      </w:pPr>
      <w:r>
        <w:rPr>
          <w:color w:val="000000"/>
        </w:rPr>
      </w:r>
    </w:p>
    <w:p>
      <w:pPr>
        <w:pStyle w:val="ParagrapheIndent2"/>
        <w:spacing w:lineRule="exact" w:line="253"/>
        <w:ind w:right="20" w:hanging="0"/>
        <w:jc w:val="both"/>
        <w:rPr>
          <w:color w:val="000000"/>
          <w:u w:val="single"/>
        </w:rPr>
      </w:pPr>
      <w:r>
        <w:rPr>
          <w:color w:val="000000"/>
          <w:u w:val="single"/>
        </w:rPr>
        <w:t>Pièces de l'offre</w:t>
      </w:r>
      <w:r>
        <w:rPr>
          <w:color w:val="000000"/>
        </w:rPr>
        <w:t xml:space="preserve"> :</w:t>
      </w:r>
    </w:p>
    <w:p>
      <w:pPr>
        <w:pStyle w:val="ParagrapheIndent2"/>
        <w:spacing w:lineRule="exact" w:line="253"/>
        <w:ind w:left="20" w:right="20" w:hanging="0"/>
        <w:jc w:val="both"/>
        <w:rPr>
          <w:color w:val="000000"/>
        </w:rPr>
      </w:pPr>
      <w:r>
        <w:rPr>
          <w:color w:val="000000"/>
        </w:rPr>
      </w:r>
    </w:p>
    <w:tbl>
      <w:tblPr>
        <w:tblW w:w="9600" w:type="dxa"/>
        <w:jc w:val="left"/>
        <w:tblInd w:w="-88" w:type="dxa"/>
        <w:tblLayout w:type="fixed"/>
        <w:tblCellMar>
          <w:top w:w="0" w:type="dxa"/>
          <w:left w:w="0" w:type="dxa"/>
          <w:bottom w:w="0" w:type="dxa"/>
          <w:right w:w="0" w:type="dxa"/>
        </w:tblCellMar>
        <w:tblLook w:firstRow="1" w:noVBand="1" w:lastRow="0" w:firstColumn="1" w:lastColumn="0" w:noHBand="0" w:val="04a0"/>
      </w:tblPr>
      <w:tblGrid>
        <w:gridCol w:w="8400"/>
        <w:gridCol w:w="1199"/>
      </w:tblGrid>
      <w:tr>
        <w:trPr>
          <w:trHeight w:val="306" w:hRule="atLeast"/>
        </w:trPr>
        <w:tc>
          <w:tcPr>
            <w:tcW w:w="8400" w:type="dxa"/>
            <w:tcBorders>
              <w:top w:val="single" w:sz="2" w:space="0" w:color="000000"/>
              <w:left w:val="single" w:sz="2" w:space="0" w:color="000000"/>
              <w:right w:val="single" w:sz="2" w:space="0" w:color="000000"/>
            </w:tcBorders>
            <w:shd w:color="auto" w:fill="DEEAF6" w:themeFill="accent1" w:themeFillTint="33" w:val="clear"/>
            <w:vAlign w:val="center"/>
          </w:tcPr>
          <w:p>
            <w:pPr>
              <w:pStyle w:val="Normal"/>
              <w:widowControl w:val="false"/>
              <w:spacing w:before="60" w:after="20"/>
              <w:jc w:val="center"/>
              <w:rPr>
                <w:rFonts w:ascii="Arial" w:hAnsi="Arial" w:eastAsia="Arial" w:cs="Arial"/>
                <w:color w:val="000000"/>
                <w:sz w:val="22"/>
              </w:rPr>
            </w:pPr>
            <w:r>
              <w:rPr>
                <w:rFonts w:eastAsia="Arial" w:cs="Arial" w:ascii="Arial" w:hAnsi="Arial"/>
                <w:color w:val="000000"/>
                <w:sz w:val="22"/>
              </w:rPr>
              <w:t>Libellés</w:t>
            </w:r>
          </w:p>
        </w:tc>
        <w:tc>
          <w:tcPr>
            <w:tcW w:w="1199" w:type="dxa"/>
            <w:tcBorders>
              <w:top w:val="single" w:sz="2" w:space="0" w:color="000000"/>
              <w:left w:val="single" w:sz="2" w:space="0" w:color="000000"/>
              <w:right w:val="single" w:sz="2" w:space="0" w:color="000000"/>
            </w:tcBorders>
            <w:shd w:color="auto" w:fill="DEEAF6" w:themeFill="accent1" w:themeFillTint="33" w:val="clear"/>
            <w:vAlign w:val="center"/>
          </w:tcPr>
          <w:p>
            <w:pPr>
              <w:pStyle w:val="Normal"/>
              <w:widowControl w:val="false"/>
              <w:spacing w:before="60" w:after="20"/>
              <w:jc w:val="center"/>
              <w:rPr>
                <w:rFonts w:ascii="Arial" w:hAnsi="Arial" w:eastAsia="Arial" w:cs="Arial"/>
                <w:color w:val="000000"/>
                <w:sz w:val="22"/>
              </w:rPr>
            </w:pPr>
            <w:r>
              <w:rPr>
                <w:rFonts w:eastAsia="Arial" w:cs="Arial" w:ascii="Arial" w:hAnsi="Arial"/>
                <w:color w:val="000000"/>
                <w:sz w:val="22"/>
              </w:rPr>
              <w:t>Signature</w:t>
            </w:r>
          </w:p>
        </w:tc>
      </w:tr>
      <w:tr>
        <w:trPr>
          <w:trHeight w:val="416"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20"/>
              <w:ind w:left="80" w:right="80" w:hanging="0"/>
              <w:rPr>
                <w:rFonts w:ascii="Arial" w:hAnsi="Arial" w:eastAsia="Arial" w:cs="Arial"/>
                <w:color w:val="000000"/>
                <w:sz w:val="22"/>
              </w:rPr>
            </w:pPr>
            <w:r>
              <w:rPr>
                <w:rFonts w:eastAsia="Arial" w:cs="Arial" w:ascii="Arial" w:hAnsi="Arial"/>
                <w:color w:val="000000"/>
                <w:sz w:val="22"/>
              </w:rPr>
              <w:t>L'acte d'engagement (AE) et ses annexes</w:t>
            </w:r>
          </w:p>
        </w:tc>
        <w:tc>
          <w:tcPr>
            <w:tcW w:w="119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415"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20"/>
              <w:ind w:left="80" w:right="80" w:hanging="0"/>
              <w:rPr>
                <w:rFonts w:ascii="Arial" w:hAnsi="Arial" w:eastAsia="Arial" w:cs="Arial"/>
                <w:color w:val="000000"/>
                <w:sz w:val="22"/>
              </w:rPr>
            </w:pPr>
            <w:r>
              <w:rPr>
                <w:rFonts w:eastAsia="Arial" w:cs="Arial" w:ascii="Arial" w:hAnsi="Arial"/>
                <w:color w:val="000000"/>
                <w:sz w:val="22"/>
              </w:rPr>
              <w:t>Le cahier des clauses administratives particulières (CCAP)</w:t>
            </w:r>
          </w:p>
        </w:tc>
        <w:tc>
          <w:tcPr>
            <w:tcW w:w="119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415"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20"/>
              <w:ind w:left="80" w:right="80" w:hanging="0"/>
              <w:rPr>
                <w:rFonts w:ascii="Arial" w:hAnsi="Arial" w:eastAsia="Arial" w:cs="Arial"/>
                <w:color w:val="000000"/>
                <w:sz w:val="22"/>
              </w:rPr>
            </w:pPr>
            <w:r>
              <w:rPr>
                <w:rFonts w:eastAsia="Arial" w:cs="Arial" w:ascii="Arial" w:hAnsi="Arial"/>
                <w:color w:val="000000"/>
                <w:sz w:val="22"/>
              </w:rPr>
              <w:t>La décomposition du prix global forfaitaire (DPGF) en annexe 1 de l’AE</w:t>
            </w:r>
          </w:p>
        </w:tc>
        <w:tc>
          <w:tcPr>
            <w:tcW w:w="119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688"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rPr>
                <w:rFonts w:ascii="Arial" w:hAnsi="Arial" w:eastAsia="Arial" w:cs="Arial"/>
                <w:color w:val="000000"/>
                <w:sz w:val="22"/>
              </w:rPr>
            </w:pPr>
            <w:r>
              <w:rPr>
                <w:rFonts w:eastAsia="Arial" w:cs="Arial" w:ascii="Arial" w:hAnsi="Arial"/>
                <w:color w:val="000000"/>
                <w:sz w:val="22"/>
              </w:rPr>
              <w:t>Le mémoire justificatif des dispositions que l’entreprise propose d’adopter pour l’exécution du contrat</w:t>
            </w:r>
          </w:p>
        </w:tc>
        <w:tc>
          <w:tcPr>
            <w:tcW w:w="119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20"/>
              <w:ind w:left="80" w:right="80" w:hanging="0"/>
              <w:jc w:val="center"/>
              <w:rPr>
                <w:rFonts w:ascii="Arial" w:hAnsi="Arial" w:eastAsia="Arial" w:cs="Arial"/>
                <w:color w:val="000000"/>
                <w:sz w:val="22"/>
              </w:rPr>
            </w:pPr>
            <w:r>
              <w:rPr>
                <w:rFonts w:eastAsia="Arial" w:cs="Arial" w:ascii="Arial" w:hAnsi="Arial"/>
                <w:color w:val="000000"/>
                <w:sz w:val="22"/>
              </w:rPr>
              <w:t>Non</w:t>
            </w:r>
          </w:p>
        </w:tc>
      </w:tr>
      <w:tr>
        <w:trPr>
          <w:trHeight w:val="393"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rPr>
                <w:rFonts w:ascii="Arial" w:hAnsi="Arial" w:eastAsia="Arial" w:cs="Arial"/>
                <w:sz w:val="22"/>
              </w:rPr>
            </w:pPr>
            <w:r>
              <w:rPr>
                <w:rFonts w:eastAsia="Arial" w:cs="Arial" w:ascii="Arial" w:hAnsi="Arial"/>
                <w:sz w:val="22"/>
              </w:rPr>
              <w:t>Attestation de visite</w:t>
            </w:r>
          </w:p>
        </w:tc>
        <w:tc>
          <w:tcPr>
            <w:tcW w:w="119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80" w:after="20"/>
              <w:ind w:left="80" w:right="80" w:hanging="0"/>
              <w:jc w:val="center"/>
              <w:rPr>
                <w:rFonts w:ascii="Arial" w:hAnsi="Arial" w:eastAsia="Arial" w:cs="Arial"/>
                <w:sz w:val="22"/>
              </w:rPr>
            </w:pPr>
            <w:r>
              <w:rPr>
                <w:rFonts w:eastAsia="Arial" w:cs="Arial" w:ascii="Arial" w:hAnsi="Arial"/>
                <w:sz w:val="22"/>
              </w:rPr>
              <w:t>Oui</w:t>
            </w:r>
          </w:p>
        </w:tc>
      </w:tr>
    </w:tbl>
    <w:p>
      <w:pPr>
        <w:pStyle w:val="Normal"/>
        <w:spacing w:lineRule="exact" w:line="240"/>
        <w:rPr>
          <w:rFonts w:ascii="Arial" w:hAnsi="Arial" w:cs="Arial"/>
        </w:rPr>
      </w:pPr>
      <w:r>
        <w:rPr>
          <w:rFonts w:cs="Arial" w:ascii="Arial" w:hAnsi="Arial"/>
        </w:rPr>
        <w:t xml:space="preserve"> </w:t>
      </w:r>
    </w:p>
    <w:p>
      <w:pPr>
        <w:pStyle w:val="Normal"/>
        <w:spacing w:lineRule="exact" w:line="240" w:before="0" w:after="80"/>
        <w:jc w:val="both"/>
        <w:rPr>
          <w:rFonts w:ascii="Arial" w:hAnsi="Arial" w:cs="Arial"/>
          <w:sz w:val="22"/>
          <w:szCs w:val="22"/>
        </w:rPr>
      </w:pPr>
      <w:r>
        <w:rPr>
          <w:rFonts w:cs="Arial" w:ascii="Arial" w:hAnsi="Arial"/>
          <w:sz w:val="22"/>
          <w:szCs w:val="22"/>
        </w:rPr>
        <w:t xml:space="preserve">Le candidat s’engage à exécuter le marché si celui-ci lui est attribué, par le simple dépôt de son Acte d’Engagement. Les pièces de l’offre seront rematérialisées et donneront lieu à leur signature manuscrite par l’attributaire. </w:t>
      </w:r>
    </w:p>
    <w:p>
      <w:pPr>
        <w:pStyle w:val="ParagrapheIndent2"/>
        <w:spacing w:lineRule="exact" w:line="253" w:before="0" w:after="240"/>
        <w:ind w:right="20" w:hanging="0"/>
        <w:jc w:val="both"/>
        <w:rPr/>
      </w:pPr>
      <w:r>
        <w:rPr>
          <w:color w:val="000000"/>
        </w:rPr>
        <w:t xml:space="preserve">L'offre, qu'elle soit présentée par une seule entreprise ou par un groupement, devra indiquer tous les sous-traitants connus lors de son dépôt. Elle devra également indiquer les prestations dont la sous-traitance est envisagée, la dénomination et la qualité des sous-traitants. Pour se faire, le candidat devra joindre, pour chaque sous-traitant, une DC4, disponible à l’adresse suivante : </w:t>
      </w:r>
      <w:hyperlink r:id="rId4">
        <w:r>
          <w:rPr>
            <w:rStyle w:val="LienInternet"/>
          </w:rPr>
          <w:t>https://www.economie.gouv.fr/daj/formulaires-declaration-du-candidat</w:t>
        </w:r>
      </w:hyperlink>
      <w:r>
        <w:rPr/>
        <w:t xml:space="preserve">. </w:t>
      </w:r>
    </w:p>
    <w:p>
      <w:pPr>
        <w:pStyle w:val="Titre1"/>
        <w:rPr/>
      </w:pPr>
      <w:r>
        <w:rPr/>
      </w:r>
    </w:p>
    <w:p>
      <w:pPr>
        <w:pStyle w:val="Titre1"/>
        <w:rPr>
          <w:sz w:val="28"/>
        </w:rPr>
      </w:pPr>
      <w:bookmarkStart w:id="28" w:name="_Toc211605800"/>
      <w:r>
        <w:rPr>
          <w:sz w:val="28"/>
        </w:rPr>
        <w:t>7 – Visite sur site</w:t>
      </w:r>
      <w:bookmarkEnd w:id="28"/>
    </w:p>
    <w:p>
      <w:pPr>
        <w:pStyle w:val="Normal"/>
        <w:rPr>
          <w:rFonts w:ascii="Arial" w:hAnsi="Arial" w:cs="Arial"/>
          <w:sz w:val="22"/>
        </w:rPr>
      </w:pPr>
      <w:r>
        <w:rPr>
          <w:rFonts w:cs="Arial" w:ascii="Arial" w:hAnsi="Arial"/>
          <w:b/>
          <w:sz w:val="22"/>
        </w:rPr>
        <w:t>La visite est obligatoire</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Default"/>
        <w:jc w:val="both"/>
        <w:rPr>
          <w:sz w:val="22"/>
          <w:szCs w:val="22"/>
        </w:rPr>
      </w:pPr>
      <w:r>
        <w:rPr>
          <w:sz w:val="22"/>
          <w:szCs w:val="22"/>
        </w:rPr>
        <w:t xml:space="preserve">Afin de la programmer, il convient de prendre attache auprès du chargé d’opérations Monsieur ESCOLANO : </w:t>
      </w:r>
      <w:hyperlink r:id="rId5">
        <w:r>
          <w:rPr>
            <w:rStyle w:val="LienInternet"/>
            <w:sz w:val="22"/>
            <w:szCs w:val="22"/>
          </w:rPr>
          <w:t>l.escolano@vad83.eu</w:t>
        </w:r>
      </w:hyperlink>
      <w:r>
        <w:rPr>
          <w:sz w:val="22"/>
          <w:szCs w:val="22"/>
        </w:rPr>
        <w:t xml:space="preserve"> (copie </w:t>
      </w:r>
      <w:hyperlink r:id="rId6">
        <w:r>
          <w:rPr>
            <w:rStyle w:val="LienInternet"/>
            <w:sz w:val="22"/>
            <w:szCs w:val="22"/>
          </w:rPr>
          <w:t>a.piquel@vad83.eu</w:t>
        </w:r>
      </w:hyperlink>
      <w:r>
        <w:rPr>
          <w:sz w:val="22"/>
          <w:szCs w:val="22"/>
        </w:rPr>
        <w:t xml:space="preserve">)  </w:t>
      </w:r>
    </w:p>
    <w:p>
      <w:pPr>
        <w:pStyle w:val="Default"/>
        <w:jc w:val="both"/>
        <w:rPr>
          <w:sz w:val="22"/>
          <w:szCs w:val="22"/>
        </w:rPr>
      </w:pPr>
      <w:r>
        <w:rPr>
          <w:sz w:val="22"/>
          <w:szCs w:val="22"/>
        </w:rPr>
      </w:r>
    </w:p>
    <w:p>
      <w:pPr>
        <w:pStyle w:val="Default"/>
        <w:jc w:val="both"/>
        <w:rPr>
          <w:sz w:val="22"/>
          <w:szCs w:val="22"/>
        </w:rPr>
      </w:pPr>
      <w:r>
        <w:rPr>
          <w:sz w:val="22"/>
          <w:szCs w:val="22"/>
        </w:rPr>
        <w:t>Les offres des candidats n’ayant pas effectué la visite obligatoire seront déclarées irrégulières et écartées de l’analyse.</w:t>
      </w:r>
    </w:p>
    <w:p>
      <w:pPr>
        <w:pStyle w:val="Normal"/>
        <w:rPr/>
      </w:pPr>
      <w:r>
        <w:rPr/>
      </w:r>
    </w:p>
    <w:p>
      <w:pPr>
        <w:pStyle w:val="Titre1"/>
        <w:rPr>
          <w:rFonts w:eastAsia="Arial"/>
          <w:color w:val="000000"/>
          <w:sz w:val="28"/>
        </w:rPr>
      </w:pPr>
      <w:bookmarkStart w:id="29" w:name="_Toc211605801"/>
      <w:r>
        <w:rPr>
          <w:rFonts w:eastAsia="Arial"/>
          <w:color w:val="000000"/>
          <w:sz w:val="28"/>
        </w:rPr>
        <w:t>8 - Conditions d'envoi ou de remise des plis</w:t>
      </w:r>
      <w:bookmarkEnd w:id="29"/>
    </w:p>
    <w:p>
      <w:pPr>
        <w:pStyle w:val="ParagrapheIndent1"/>
        <w:spacing w:lineRule="exact" w:line="253"/>
        <w:ind w:left="20" w:right="20" w:hanging="0"/>
        <w:jc w:val="both"/>
        <w:rPr>
          <w:color w:val="000000"/>
        </w:rPr>
      </w:pPr>
      <w:r>
        <w:rPr>
          <w:color w:val="000000"/>
        </w:rPr>
      </w:r>
    </w:p>
    <w:p>
      <w:pPr>
        <w:pStyle w:val="ParagrapheIndent1"/>
        <w:spacing w:lineRule="exact" w:line="253"/>
        <w:ind w:right="20" w:hanging="0"/>
        <w:jc w:val="both"/>
        <w:rPr>
          <w:sz w:val="2"/>
        </w:rPr>
      </w:pPr>
      <w:r>
        <w:rPr>
          <w:color w:val="000000"/>
        </w:rPr>
        <w:t>Les plis devront parvenir à destination avant la date et l'heure limites de réception des offres indiquées sur la page de garde du présent document.</w:t>
        <w:br/>
      </w:r>
    </w:p>
    <w:p>
      <w:pPr>
        <w:pStyle w:val="ParagrapheIndent2"/>
        <w:spacing w:lineRule="exact" w:line="253"/>
        <w:ind w:left="20" w:right="20" w:hanging="0"/>
        <w:jc w:val="both"/>
        <w:rPr>
          <w:color w:val="000000"/>
          <w:szCs w:val="22"/>
        </w:rPr>
      </w:pPr>
      <w:r>
        <w:rPr>
          <w:color w:val="000000"/>
          <w:szCs w:val="22"/>
        </w:rPr>
        <w:t xml:space="preserve">La transmission des documents par voie électronique est effectuée sur le profil d'acheteur de l’acheteur, à l'adresse URL suivante </w:t>
      </w:r>
      <w:bookmarkStart w:id="30" w:name="_Hlk186797183"/>
      <w:r>
        <w:rPr>
          <w:color w:val="000000"/>
          <w:szCs w:val="22"/>
        </w:rPr>
        <w:t xml:space="preserve">: </w:t>
      </w:r>
      <w:bookmarkEnd w:id="30"/>
    </w:p>
    <w:p>
      <w:pPr>
        <w:pStyle w:val="Normal"/>
        <w:spacing w:lineRule="exact" w:line="253"/>
        <w:ind w:left="20" w:right="20" w:hanging="0"/>
        <w:jc w:val="both"/>
        <w:rPr/>
      </w:pPr>
      <w:r>
        <w:rPr>
          <w:rStyle w:val="LienInternet"/>
          <w:rFonts w:ascii="Marianne;Arial;sans-serif" w:hAnsi="Marianne;Arial;sans-serif"/>
          <w:b w:val="false"/>
          <w:i w:val="false"/>
          <w:caps w:val="false"/>
          <w:smallCaps w:val="false"/>
          <w:color w:val="666666"/>
          <w:spacing w:val="0"/>
          <w:sz w:val="22"/>
          <w:szCs w:val="22"/>
        </w:rPr>
        <w:t>https://www.marches-publics.gouv.fr/?page=Entreprise.EntrepriseAdvancedSearch&amp;AllCons&amp;id=2879352&amp;orgAcronyme=a4n</w:t>
      </w:r>
      <w:r>
        <w:rPr>
          <w:rStyle w:val="LienInternet"/>
          <w:sz w:val="22"/>
          <w:szCs w:val="22"/>
        </w:rPr>
        <w:t xml:space="preserve"> </w:t>
      </w:r>
    </w:p>
    <w:p>
      <w:pPr>
        <w:pStyle w:val="Normal"/>
        <w:rPr/>
      </w:pPr>
      <w:r>
        <w:rPr/>
      </w:r>
    </w:p>
    <w:p>
      <w:pPr>
        <w:pStyle w:val="ParagrapheIndent2"/>
        <w:spacing w:lineRule="exact" w:line="253"/>
        <w:ind w:right="20" w:hanging="0"/>
        <w:jc w:val="both"/>
        <w:rPr>
          <w:color w:val="000000"/>
        </w:rPr>
      </w:pPr>
      <w:r>
        <w:rPr>
          <w:color w:val="000000"/>
        </w:rPr>
        <w:t>Le pli doit contenir deux dossiers distincts comportant respectivement les pièces de la candidature et les pièces de l'offre définies au présent règlement de la consultation.</w:t>
      </w:r>
    </w:p>
    <w:p>
      <w:pPr>
        <w:pStyle w:val="ParagrapheIndent2"/>
        <w:spacing w:lineRule="exact" w:line="253"/>
        <w:ind w:left="20" w:right="20" w:hanging="0"/>
        <w:jc w:val="both"/>
        <w:rPr>
          <w:color w:val="000000"/>
        </w:rPr>
      </w:pPr>
      <w:r>
        <w:rPr>
          <w:color w:val="000000"/>
        </w:rPr>
      </w:r>
    </w:p>
    <w:p>
      <w:pPr>
        <w:pStyle w:val="ParagrapheIndent2"/>
        <w:spacing w:lineRule="exact" w:line="253"/>
        <w:ind w:right="20" w:hanging="0"/>
        <w:jc w:val="both"/>
        <w:rPr>
          <w:color w:val="000000"/>
        </w:rPr>
      </w:pPr>
      <w:r>
        <w:rPr>
          <w:color w:val="000000"/>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pPr>
        <w:pStyle w:val="ParagrapheIndent2"/>
        <w:spacing w:lineRule="exact" w:line="253"/>
        <w:ind w:left="20" w:right="20" w:hanging="0"/>
        <w:jc w:val="both"/>
        <w:rPr>
          <w:color w:val="000000"/>
        </w:rPr>
      </w:pPr>
      <w:r>
        <w:rPr>
          <w:color w:val="000000"/>
        </w:rPr>
      </w:r>
    </w:p>
    <w:p>
      <w:pPr>
        <w:pStyle w:val="ParagrapheIndent2"/>
        <w:spacing w:lineRule="exact" w:line="253" w:before="0" w:after="240"/>
        <w:ind w:right="20" w:hanging="0"/>
        <w:jc w:val="both"/>
        <w:rPr>
          <w:color w:val="000000"/>
        </w:rPr>
      </w:pPr>
      <w:r>
        <w:rPr>
          <w:color w:val="000000"/>
        </w:rPr>
        <w:t>Si une nouvelle offre est envoyée par voie électronique par le même candidat, celle-ci annule et remplace l'offre précédente.</w:t>
      </w:r>
    </w:p>
    <w:p>
      <w:pPr>
        <w:pStyle w:val="ParagrapheIndent2"/>
        <w:spacing w:lineRule="exact" w:line="253"/>
        <w:ind w:right="20" w:hanging="0"/>
        <w:jc w:val="both"/>
        <w:rPr>
          <w:color w:val="000000"/>
        </w:rPr>
      </w:pPr>
      <w:r>
        <w:rPr>
          <w:color w:val="000000"/>
        </w:rPr>
        <w:t>Le pli peut être doublé d'une copie de sauvegarde transmise dans les délais impartis, sur support physique électronique (CD-ROM, DVD-ROM, clé USB) ou sur support papier. Cette copie doit être placée dans un pli portant la mention « copie de sauvegarde. Offre pour la mission de Maîtrise d’œuvre dans le cadre de la réhabilitation du centre de loisirs de la Capte à HYERES », ainsi que le nom du candidat et l'identification de la procédure concernée. Elle est ouverte dans les cas suivants :</w:t>
      </w:r>
    </w:p>
    <w:p>
      <w:pPr>
        <w:pStyle w:val="ParagrapheIndent2"/>
        <w:spacing w:lineRule="exact" w:line="253"/>
        <w:ind w:left="20" w:right="20" w:hanging="0"/>
        <w:jc w:val="both"/>
        <w:rPr>
          <w:color w:val="000000"/>
        </w:rPr>
      </w:pPr>
      <w:r>
        <w:rPr>
          <w:color w:val="000000"/>
        </w:rPr>
        <w:t xml:space="preserve">- lorsqu'un programme informatique malveillant est détecté dans le pli transmis par voie électronique </w:t>
      </w:r>
    </w:p>
    <w:p>
      <w:pPr>
        <w:pStyle w:val="ParagrapheIndent2"/>
        <w:spacing w:lineRule="exact" w:line="253"/>
        <w:ind w:left="20" w:right="20" w:hanging="0"/>
        <w:jc w:val="both"/>
        <w:rPr>
          <w:color w:val="000000"/>
        </w:rPr>
      </w:pPr>
      <w:r>
        <w:rPr>
          <w:color w:val="000000"/>
        </w:rPr>
        <w:t>- lorsque le pli électronique est reçu de façon incomplète, hors délai ou n'a pu être ouvert, à condition que sa transmission ait commencé avant la clôture de la remise des plis.</w:t>
      </w:r>
    </w:p>
    <w:p>
      <w:pPr>
        <w:pStyle w:val="ParagrapheIndent2"/>
        <w:spacing w:lineRule="exact" w:line="253"/>
        <w:ind w:left="20" w:right="20" w:hanging="0"/>
        <w:jc w:val="both"/>
        <w:rPr>
          <w:color w:val="000000"/>
        </w:rPr>
      </w:pPr>
      <w:r>
        <w:rPr>
          <w:color w:val="000000"/>
        </w:rPr>
        <w:t>La copie de sauvegarde peut être transmise ou déposée à l'adresse suivante :</w:t>
      </w:r>
    </w:p>
    <w:p>
      <w:pPr>
        <w:pStyle w:val="Normal"/>
        <w:rPr>
          <w:rFonts w:ascii="Arial" w:hAnsi="Arial" w:cs="Arial"/>
          <w:sz w:val="22"/>
        </w:rPr>
      </w:pPr>
      <w:r>
        <w:rPr>
          <w:rFonts w:cs="Arial" w:ascii="Arial" w:hAnsi="Arial"/>
          <w:sz w:val="22"/>
        </w:rPr>
      </w:r>
    </w:p>
    <w:p>
      <w:pPr>
        <w:pStyle w:val="Normal"/>
        <w:tabs>
          <w:tab w:val="clear" w:pos="720"/>
          <w:tab w:val="left" w:pos="1380" w:leader="none"/>
        </w:tabs>
        <w:ind w:right="-1" w:hanging="0"/>
        <w:jc w:val="both"/>
        <w:rPr>
          <w:rFonts w:ascii="Arial" w:hAnsi="Arial" w:cs="Arial"/>
          <w:sz w:val="6"/>
          <w:szCs w:val="6"/>
        </w:rPr>
      </w:pPr>
      <w:r>
        <w:rPr>
          <w:rFonts w:cs="Arial" w:ascii="Arial" w:hAnsi="Arial"/>
          <w:sz w:val="6"/>
          <w:szCs w:val="6"/>
        </w:rPr>
      </w:r>
    </w:p>
    <w:p>
      <w:pPr>
        <w:pStyle w:val="Normal"/>
        <w:pBdr>
          <w:top w:val="single" w:sz="4" w:space="1" w:color="000000"/>
          <w:left w:val="single" w:sz="4" w:space="4" w:color="000000"/>
          <w:bottom w:val="single" w:sz="4" w:space="1" w:color="000000"/>
          <w:right w:val="single" w:sz="4" w:space="4" w:color="000000"/>
        </w:pBdr>
        <w:ind w:firstLine="239"/>
        <w:jc w:val="center"/>
        <w:rPr>
          <w:rFonts w:ascii="Arial" w:hAnsi="Arial" w:cs="Arial"/>
          <w:b/>
          <w:bCs/>
          <w:sz w:val="22"/>
          <w:szCs w:val="22"/>
        </w:rPr>
      </w:pPr>
      <w:r>
        <w:rPr>
          <w:rFonts w:cs="Arial" w:ascii="Arial" w:hAnsi="Arial"/>
          <w:b/>
          <w:bCs/>
          <w:sz w:val="22"/>
          <w:szCs w:val="22"/>
        </w:rPr>
        <w:t>VAR AMENAGEMENT DEVELOPPEMENT</w:t>
      </w:r>
    </w:p>
    <w:p>
      <w:pPr>
        <w:pStyle w:val="Normal"/>
        <w:pBdr>
          <w:top w:val="single" w:sz="4" w:space="1" w:color="000000"/>
          <w:left w:val="single" w:sz="4" w:space="4" w:color="000000"/>
          <w:bottom w:val="single" w:sz="4" w:space="1" w:color="000000"/>
          <w:right w:val="single" w:sz="4" w:space="4" w:color="000000"/>
        </w:pBdr>
        <w:ind w:firstLine="239"/>
        <w:jc w:val="center"/>
        <w:rPr>
          <w:rFonts w:ascii="Arial" w:hAnsi="Arial" w:cs="Arial"/>
          <w:bCs/>
          <w:sz w:val="22"/>
          <w:szCs w:val="22"/>
        </w:rPr>
      </w:pPr>
      <w:r>
        <w:rPr>
          <w:rFonts w:cs="Arial" w:ascii="Arial" w:hAnsi="Arial"/>
          <w:bCs/>
          <w:sz w:val="22"/>
          <w:szCs w:val="22"/>
        </w:rPr>
        <w:t>Tour l’Albatros – 109 avenue d’Entrecasteaux</w:t>
      </w:r>
    </w:p>
    <w:p>
      <w:pPr>
        <w:pStyle w:val="Normal"/>
        <w:pBdr>
          <w:top w:val="single" w:sz="4" w:space="1" w:color="000000"/>
          <w:left w:val="single" w:sz="4" w:space="4" w:color="000000"/>
          <w:bottom w:val="single" w:sz="4" w:space="1" w:color="000000"/>
          <w:right w:val="single" w:sz="4" w:space="4" w:color="000000"/>
        </w:pBdr>
        <w:ind w:firstLine="239"/>
        <w:jc w:val="center"/>
        <w:rPr>
          <w:rFonts w:ascii="Arial" w:hAnsi="Arial" w:cs="Arial"/>
          <w:bCs/>
          <w:sz w:val="22"/>
          <w:szCs w:val="22"/>
        </w:rPr>
      </w:pPr>
      <w:r>
        <w:rPr>
          <w:rFonts w:cs="Arial" w:ascii="Arial" w:hAnsi="Arial"/>
          <w:bCs/>
          <w:sz w:val="22"/>
          <w:szCs w:val="22"/>
        </w:rPr>
        <w:t>BP 1406</w:t>
      </w:r>
    </w:p>
    <w:p>
      <w:pPr>
        <w:pStyle w:val="Normal"/>
        <w:pBdr>
          <w:top w:val="single" w:sz="4" w:space="1" w:color="000000"/>
          <w:left w:val="single" w:sz="4" w:space="4" w:color="000000"/>
          <w:bottom w:val="single" w:sz="4" w:space="1" w:color="000000"/>
          <w:right w:val="single" w:sz="4" w:space="4" w:color="000000"/>
        </w:pBdr>
        <w:ind w:firstLine="239"/>
        <w:jc w:val="center"/>
        <w:rPr>
          <w:rFonts w:ascii="Arial" w:hAnsi="Arial" w:cs="Arial"/>
          <w:bCs/>
          <w:sz w:val="22"/>
          <w:szCs w:val="22"/>
        </w:rPr>
      </w:pPr>
      <w:r>
        <w:rPr>
          <w:rFonts w:cs="Arial" w:ascii="Arial" w:hAnsi="Arial"/>
          <w:bCs/>
          <w:sz w:val="22"/>
          <w:szCs w:val="22"/>
        </w:rPr>
        <w:t>83056 TOULON CEDEX</w:t>
      </w:r>
    </w:p>
    <w:p>
      <w:pPr>
        <w:pStyle w:val="Normal"/>
        <w:pBdr>
          <w:top w:val="single" w:sz="4" w:space="1" w:color="000000"/>
          <w:left w:val="single" w:sz="4" w:space="4" w:color="000000"/>
          <w:bottom w:val="single" w:sz="4" w:space="1" w:color="000000"/>
          <w:right w:val="single" w:sz="4" w:space="4" w:color="000000"/>
        </w:pBdr>
        <w:ind w:firstLine="239"/>
        <w:jc w:val="center"/>
        <w:rPr>
          <w:rFonts w:ascii="Arial" w:hAnsi="Arial" w:cs="Arial"/>
          <w:bCs/>
          <w:sz w:val="22"/>
          <w:szCs w:val="22"/>
        </w:rPr>
      </w:pPr>
      <w:r>
        <w:rPr>
          <w:rFonts w:cs="Arial" w:ascii="Arial" w:hAnsi="Arial"/>
          <w:bCs/>
          <w:sz w:val="22"/>
          <w:szCs w:val="22"/>
        </w:rPr>
        <w:t>Tél. : 04.94.03.95.71</w:t>
      </w:r>
    </w:p>
    <w:p>
      <w:pPr>
        <w:pStyle w:val="Normal"/>
        <w:ind w:firstLine="239"/>
        <w:jc w:val="both"/>
        <w:rPr>
          <w:rFonts w:ascii="Arial" w:hAnsi="Arial" w:cs="Arial"/>
          <w:b/>
          <w:bCs/>
          <w:sz w:val="22"/>
          <w:szCs w:val="22"/>
        </w:rPr>
      </w:pPr>
      <w:r>
        <w:rPr>
          <w:rFonts w:cs="Arial" w:ascii="Arial" w:hAnsi="Arial"/>
          <w:b/>
          <w:bCs/>
          <w:sz w:val="22"/>
          <w:szCs w:val="22"/>
        </w:rPr>
      </w:r>
    </w:p>
    <w:p>
      <w:pPr>
        <w:pStyle w:val="Normal"/>
        <w:ind w:firstLine="239"/>
        <w:jc w:val="both"/>
        <w:rPr>
          <w:rFonts w:ascii="Arial" w:hAnsi="Arial" w:cs="Arial"/>
          <w:b/>
          <w:bCs/>
          <w:sz w:val="22"/>
          <w:szCs w:val="22"/>
        </w:rPr>
      </w:pPr>
      <w:r>
        <w:rPr>
          <w:rFonts w:cs="Arial" w:ascii="Arial" w:hAnsi="Arial"/>
          <w:b/>
          <w:bCs/>
          <w:sz w:val="22"/>
          <w:szCs w:val="22"/>
        </w:rPr>
      </w:r>
    </w:p>
    <w:p>
      <w:pPr>
        <w:pStyle w:val="Normal"/>
        <w:widowControl w:val="false"/>
        <w:tabs>
          <w:tab w:val="clear" w:pos="720"/>
          <w:tab w:val="left" w:pos="2154" w:leader="none"/>
          <w:tab w:val="left" w:pos="8080" w:leader="none"/>
        </w:tabs>
        <w:rPr>
          <w:rFonts w:ascii="Arial" w:hAnsi="Arial" w:cs="Arial"/>
          <w:b/>
          <w:sz w:val="22"/>
          <w:szCs w:val="22"/>
        </w:rPr>
      </w:pPr>
      <w:r>
        <w:rPr>
          <w:rFonts w:cs="Arial" w:ascii="Arial" w:hAnsi="Arial"/>
          <w:b/>
          <w:sz w:val="22"/>
          <w:szCs w:val="22"/>
          <w:u w:val="single"/>
        </w:rPr>
        <w:t>Jours et heures d’ouverture de Var Aménagement Développement</w:t>
      </w:r>
      <w:r>
        <w:rPr>
          <w:rFonts w:cs="Arial" w:ascii="Arial" w:hAnsi="Arial"/>
          <w:b/>
          <w:sz w:val="22"/>
          <w:szCs w:val="22"/>
        </w:rPr>
        <w:t> :</w:t>
      </w:r>
    </w:p>
    <w:p>
      <w:pPr>
        <w:pStyle w:val="Normal"/>
        <w:widowControl w:val="false"/>
        <w:tabs>
          <w:tab w:val="clear" w:pos="720"/>
          <w:tab w:val="left" w:pos="2154" w:leader="none"/>
          <w:tab w:val="left" w:pos="8080" w:leader="none"/>
        </w:tabs>
        <w:rPr>
          <w:rFonts w:ascii="Arial" w:hAnsi="Arial" w:cs="Arial"/>
          <w:sz w:val="22"/>
          <w:szCs w:val="22"/>
        </w:rPr>
      </w:pPr>
      <w:r>
        <w:rPr>
          <w:rFonts w:cs="Arial" w:ascii="Arial" w:hAnsi="Arial"/>
          <w:sz w:val="22"/>
          <w:szCs w:val="22"/>
        </w:rPr>
      </w:r>
    </w:p>
    <w:p>
      <w:pPr>
        <w:pStyle w:val="Normal"/>
        <w:widowControl w:val="false"/>
        <w:tabs>
          <w:tab w:val="clear" w:pos="720"/>
          <w:tab w:val="left" w:pos="2154" w:leader="none"/>
          <w:tab w:val="left" w:pos="8080" w:leader="none"/>
        </w:tabs>
        <w:rPr>
          <w:rFonts w:ascii="Arial" w:hAnsi="Arial" w:cs="Arial"/>
          <w:sz w:val="22"/>
          <w:szCs w:val="22"/>
        </w:rPr>
      </w:pPr>
      <w:r>
        <w:rPr>
          <w:rFonts w:cs="Arial" w:ascii="Arial" w:hAnsi="Arial"/>
          <w:sz w:val="22"/>
          <w:szCs w:val="22"/>
        </w:rPr>
        <w:t>Du lundi au jeudi :</w:t>
        <w:tab/>
        <w:t>de 9 H 00 à 12 H 30 et de 13 H 30 à 17 H 30 ;</w:t>
      </w:r>
    </w:p>
    <w:p>
      <w:pPr>
        <w:pStyle w:val="Normal"/>
        <w:widowControl w:val="false"/>
        <w:tabs>
          <w:tab w:val="clear" w:pos="720"/>
          <w:tab w:val="left" w:pos="2154" w:leader="none"/>
          <w:tab w:val="left" w:pos="8080" w:leader="none"/>
        </w:tabs>
        <w:rPr>
          <w:rFonts w:ascii="Arial" w:hAnsi="Arial" w:cs="Arial"/>
          <w:sz w:val="22"/>
          <w:szCs w:val="22"/>
        </w:rPr>
      </w:pPr>
      <w:r>
        <w:rPr>
          <w:rFonts w:cs="Arial" w:ascii="Arial" w:hAnsi="Arial"/>
          <w:sz w:val="22"/>
          <w:szCs w:val="22"/>
        </w:rPr>
        <w:t xml:space="preserve">Le vendredi : </w:t>
        <w:tab/>
        <w:t>de 9 H 00 à 12 H 30 et de 14 H 00 à 17 H 00.</w:t>
      </w:r>
    </w:p>
    <w:p>
      <w:pPr>
        <w:pStyle w:val="Normal"/>
        <w:rPr/>
      </w:pPr>
      <w:r>
        <w:rPr/>
      </w:r>
    </w:p>
    <w:p>
      <w:pPr>
        <w:pStyle w:val="ParagrapheIndent2"/>
        <w:spacing w:lineRule="exact" w:line="253" w:before="0" w:after="240"/>
        <w:ind w:left="20" w:right="20" w:hanging="0"/>
        <w:jc w:val="both"/>
        <w:rPr>
          <w:color w:val="000000"/>
        </w:rPr>
      </w:pPr>
      <w:r>
        <w:rPr>
          <w:color w:val="000000"/>
        </w:rPr>
        <w:t>Aucun format électronique n'est préconisé pour la transmission des documents. Cependant, les fichiers devront être transmis dans des formats largement disponibles.</w:t>
      </w:r>
    </w:p>
    <w:p>
      <w:pPr>
        <w:pStyle w:val="ParagrapheIndent2"/>
        <w:spacing w:lineRule="exact" w:line="253" w:before="0" w:after="240"/>
        <w:ind w:left="20" w:right="20" w:hanging="0"/>
        <w:jc w:val="both"/>
        <w:rPr>
          <w:color w:val="000000"/>
        </w:rPr>
      </w:pPr>
      <w:r>
        <w:rPr>
          <w:color w:val="000000"/>
        </w:rPr>
        <w:t>La signature électronique du contrat par l'attributaire n'est pas exigée dans le cadre de cette consultation.</w:t>
      </w:r>
    </w:p>
    <w:p>
      <w:pPr>
        <w:pStyle w:val="ParagrapheIndent2"/>
        <w:spacing w:lineRule="exact" w:line="253" w:before="0" w:after="240"/>
        <w:ind w:left="20" w:right="20" w:hanging="0"/>
        <w:jc w:val="both"/>
        <w:rPr>
          <w:color w:val="000000"/>
        </w:rPr>
      </w:pPr>
      <w:r>
        <w:rPr>
          <w:color w:val="000000"/>
        </w:rPr>
        <w:t>Après attribution, les candidats sont informés que l'offre électronique retenue sera transformée en offre papier, pour donner lieu à la signature manuscrite du marché par les parties.</w:t>
      </w:r>
    </w:p>
    <w:p>
      <w:pPr>
        <w:pStyle w:val="ParagrapheIndent2"/>
        <w:spacing w:lineRule="exact" w:line="253" w:before="0" w:after="240"/>
        <w:ind w:left="20" w:right="20" w:hanging="0"/>
        <w:jc w:val="both"/>
        <w:rPr>
          <w:color w:val="000000"/>
        </w:rPr>
      </w:pPr>
      <w:r>
        <w:rPr>
          <w:color w:val="000000"/>
        </w:rPr>
        <w:t>Les frais d'accès au réseau et de recours à la signature électronique sont à la charge des candidats.</w:t>
      </w:r>
    </w:p>
    <w:p>
      <w:pPr>
        <w:pStyle w:val="Normal"/>
        <w:rPr>
          <w:rFonts w:ascii="Arial" w:hAnsi="Arial" w:cs="Arial"/>
          <w:sz w:val="22"/>
          <w:szCs w:val="22"/>
        </w:rPr>
      </w:pPr>
      <w:r>
        <w:rPr>
          <w:rFonts w:cs="Arial" w:ascii="Arial" w:hAnsi="Arial"/>
          <w:sz w:val="22"/>
          <w:szCs w:val="22"/>
        </w:rPr>
        <w:t xml:space="preserve">En cas de difficultés à l’occasion du dépôt en ligne de l’offre, les candidats sont invités à contacter directement la plateforme </w:t>
      </w:r>
      <w:r>
        <w:rPr>
          <w:rFonts w:cs="Arial" w:ascii="Arial" w:hAnsi="Arial"/>
          <w:sz w:val="22"/>
          <w:szCs w:val="22"/>
        </w:rPr>
        <w:t>PLACE,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
    </w:p>
    <w:p>
      <w:pPr>
        <w:pStyle w:val="Normal"/>
        <w:rPr/>
      </w:pPr>
      <w:r>
        <w:rPr/>
      </w:r>
    </w:p>
    <w:p>
      <w:pPr>
        <w:pStyle w:val="Normal"/>
        <w:rPr/>
      </w:pPr>
      <w:r>
        <w:rPr/>
      </w:r>
    </w:p>
    <w:p>
      <w:pPr>
        <w:pStyle w:val="Titre1"/>
        <w:rPr>
          <w:rFonts w:eastAsia="Arial"/>
          <w:color w:val="000000"/>
          <w:sz w:val="28"/>
        </w:rPr>
      </w:pPr>
      <w:bookmarkStart w:id="31" w:name="_Toc211605802"/>
      <w:r>
        <w:rPr>
          <w:rFonts w:eastAsia="Arial"/>
          <w:color w:val="000000"/>
          <w:sz w:val="28"/>
        </w:rPr>
        <w:t>9 - Examen des candidatures et des offres</w:t>
      </w:r>
      <w:bookmarkEnd w:id="31"/>
    </w:p>
    <w:p>
      <w:pPr>
        <w:pStyle w:val="Titre2"/>
        <w:ind w:left="300" w:right="20" w:hanging="0"/>
        <w:rPr>
          <w:rFonts w:eastAsia="Arial"/>
          <w:i w:val="false"/>
          <w:i w:val="false"/>
          <w:color w:val="000000"/>
          <w:sz w:val="24"/>
        </w:rPr>
      </w:pPr>
      <w:bookmarkStart w:id="32" w:name="_Toc211605803"/>
      <w:r>
        <w:rPr>
          <w:rFonts w:eastAsia="Arial"/>
          <w:i w:val="false"/>
          <w:color w:val="000000"/>
          <w:sz w:val="24"/>
        </w:rPr>
        <w:t>9.1 - Sélection des candidatures</w:t>
      </w:r>
      <w:bookmarkEnd w:id="32"/>
    </w:p>
    <w:p>
      <w:pPr>
        <w:pStyle w:val="ParagrapheIndent2"/>
        <w:spacing w:lineRule="exact" w:line="253" w:before="0" w:after="240"/>
        <w:ind w:left="20" w:right="20" w:hanging="0"/>
        <w:jc w:val="both"/>
        <w:rPr>
          <w:color w:val="000000"/>
        </w:rPr>
      </w:pPr>
      <w:r>
        <w:rPr>
          <w:color w:val="000000"/>
        </w:rPr>
        <w:t>Avant de procéder à l'examen des candidatures, s'il apparaît que des pièces du dossier de candidature sont manquantes ou incomplètes, l’acheteur peut décider de demander à tous les candidats concernés de produire ou compléter ces pièces dans un délai maximum de 5 jours.</w:t>
      </w:r>
    </w:p>
    <w:p>
      <w:pPr>
        <w:pStyle w:val="ParagrapheIndent2"/>
        <w:spacing w:lineRule="exact" w:line="253" w:before="0" w:after="240"/>
        <w:ind w:left="20" w:right="20" w:hanging="0"/>
        <w:jc w:val="both"/>
        <w:rPr>
          <w:color w:val="000000"/>
        </w:rPr>
      </w:pPr>
      <w:r>
        <w:rPr>
          <w:color w:val="000000"/>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pPr>
        <w:pStyle w:val="Normal"/>
        <w:jc w:val="both"/>
        <w:rPr>
          <w:rFonts w:ascii="Arial" w:hAnsi="Arial" w:cs="Arial"/>
          <w:sz w:val="22"/>
          <w:szCs w:val="22"/>
        </w:rPr>
      </w:pPr>
      <w:r>
        <w:rPr>
          <w:rFonts w:cs="Arial" w:ascii="Arial" w:hAnsi="Arial"/>
          <w:sz w:val="22"/>
          <w:szCs w:val="22"/>
        </w:rPr>
        <w:t>Au vu des seuls renseignements relatifs aux candidatures, les candidatures qui ne peuvent être admises en application des dispositions de l’article R.2144-7 du Code de la commande publique, sont déclarées irrecevables et les candidats sont éliminés.</w:t>
      </w:r>
    </w:p>
    <w:p>
      <w:pPr>
        <w:pStyle w:val="Normal"/>
        <w:rPr/>
      </w:pPr>
      <w:r>
        <w:rPr/>
      </w:r>
    </w:p>
    <w:p>
      <w:pPr>
        <w:pStyle w:val="Titre2"/>
        <w:ind w:left="300" w:right="20" w:hanging="0"/>
        <w:rPr>
          <w:rFonts w:eastAsia="Arial"/>
          <w:i w:val="false"/>
          <w:i w:val="false"/>
          <w:color w:val="000000"/>
          <w:sz w:val="24"/>
        </w:rPr>
      </w:pPr>
      <w:bookmarkStart w:id="33" w:name="_Toc211605804"/>
      <w:r>
        <w:rPr>
          <w:rFonts w:eastAsia="Arial"/>
          <w:i w:val="false"/>
          <w:color w:val="000000"/>
          <w:sz w:val="24"/>
        </w:rPr>
        <w:t>9.2 - Attribution du marché</w:t>
      </w:r>
      <w:bookmarkEnd w:id="33"/>
      <w:r>
        <w:rPr>
          <w:rFonts w:eastAsia="Arial"/>
          <w:i w:val="false"/>
          <w:color w:val="000000"/>
          <w:sz w:val="24"/>
        </w:rPr>
        <w:t xml:space="preserve"> </w:t>
      </w:r>
    </w:p>
    <w:p>
      <w:pPr>
        <w:pStyle w:val="ParagrapheIndent2"/>
        <w:spacing w:lineRule="exact" w:line="253"/>
        <w:ind w:left="20" w:right="20" w:hanging="0"/>
        <w:jc w:val="both"/>
        <w:rPr>
          <w:color w:val="000000"/>
        </w:rPr>
      </w:pPr>
      <w:r>
        <w:rPr>
          <w:color w:val="000000"/>
        </w:rPr>
        <w:t>Le jugement des offres sera effectué dans les conditions prévues aux articles L.2152-1 à L.2152-4, R. 2152-1 et R. 2152-2 du Code de la commande publique et donnera lieu à un classement des offres.</w:t>
      </w:r>
    </w:p>
    <w:p>
      <w:pPr>
        <w:pStyle w:val="ParagrapheIndent2"/>
        <w:spacing w:lineRule="exact" w:line="253"/>
        <w:ind w:left="20" w:right="20" w:hanging="0"/>
        <w:jc w:val="both"/>
        <w:rPr>
          <w:color w:val="000000"/>
        </w:rPr>
      </w:pPr>
      <w:r>
        <w:rPr>
          <w:color w:val="000000"/>
        </w:rPr>
      </w:r>
    </w:p>
    <w:p>
      <w:pPr>
        <w:pStyle w:val="ParagrapheIndent2"/>
        <w:spacing w:lineRule="exact" w:line="253"/>
        <w:ind w:left="20" w:right="20" w:hanging="0"/>
        <w:jc w:val="both"/>
        <w:rPr>
          <w:color w:val="000000"/>
        </w:rPr>
      </w:pPr>
      <w:r>
        <w:rPr>
          <w:color w:val="000000"/>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pPr>
        <w:pStyle w:val="ParagrapheIndent2"/>
        <w:spacing w:lineRule="exact" w:line="253"/>
        <w:ind w:left="20" w:right="20" w:hanging="0"/>
        <w:jc w:val="both"/>
        <w:rPr>
          <w:color w:val="000000"/>
        </w:rPr>
      </w:pPr>
      <w:r>
        <w:rPr>
          <w:color w:val="000000"/>
        </w:rPr>
      </w:r>
    </w:p>
    <w:p>
      <w:pPr>
        <w:pStyle w:val="ParagrapheIndent2"/>
        <w:spacing w:lineRule="exact" w:line="253"/>
        <w:ind w:left="20" w:right="20" w:hanging="0"/>
        <w:jc w:val="both"/>
        <w:rPr>
          <w:color w:val="000000"/>
        </w:rPr>
      </w:pPr>
      <w:r>
        <w:rPr>
          <w:color w:val="000000"/>
        </w:rPr>
        <w:t>Toute offre demeurant irrégulière pourra être régularisée dans un délai approprié à condition qu'elle ne soit pas anormalement basse.</w:t>
      </w:r>
    </w:p>
    <w:p>
      <w:pPr>
        <w:pStyle w:val="Normal"/>
        <w:rPr/>
      </w:pPr>
      <w:r>
        <w:rPr/>
      </w:r>
    </w:p>
    <w:p>
      <w:pPr>
        <w:pStyle w:val="ParagrapheIndent2"/>
        <w:spacing w:lineRule="exact" w:line="253"/>
        <w:ind w:right="20" w:hanging="0"/>
        <w:jc w:val="both"/>
        <w:rPr>
          <w:color w:val="000000"/>
        </w:rPr>
      </w:pPr>
      <w:r>
        <w:rPr>
          <w:color w:val="000000"/>
        </w:rPr>
        <w:t>Les critères retenus pour le jugement des offres sont pondérés de la manière suivante :</w:t>
      </w:r>
    </w:p>
    <w:p>
      <w:pPr>
        <w:pStyle w:val="Normal"/>
        <w:rPr>
          <w:rFonts w:ascii="Arial" w:hAnsi="Arial" w:cs="Arial"/>
          <w:sz w:val="22"/>
          <w:szCs w:val="22"/>
          <w:u w:val="single"/>
        </w:rPr>
      </w:pPr>
      <w:r>
        <w:rPr>
          <w:rFonts w:cs="Arial" w:ascii="Arial" w:hAnsi="Arial"/>
          <w:sz w:val="22"/>
          <w:szCs w:val="22"/>
          <w:u w:val="single"/>
        </w:rPr>
      </w:r>
    </w:p>
    <w:tbl>
      <w:tblPr>
        <w:tblW w:w="9600" w:type="dxa"/>
        <w:jc w:val="left"/>
        <w:tblInd w:w="20" w:type="dxa"/>
        <w:tblLayout w:type="fixed"/>
        <w:tblCellMar>
          <w:top w:w="0" w:type="dxa"/>
          <w:left w:w="10" w:type="dxa"/>
          <w:bottom w:w="0" w:type="dxa"/>
          <w:right w:w="10" w:type="dxa"/>
        </w:tblCellMar>
        <w:tblLook w:firstRow="1" w:noVBand="1" w:lastRow="0" w:firstColumn="1" w:lastColumn="0" w:noHBand="0" w:val="04a0"/>
      </w:tblPr>
      <w:tblGrid>
        <w:gridCol w:w="8199"/>
        <w:gridCol w:w="1400"/>
      </w:tblGrid>
      <w:tr>
        <w:trPr>
          <w:trHeight w:val="340" w:hRule="atLeast"/>
        </w:trPr>
        <w:tc>
          <w:tcPr>
            <w:tcW w:w="8199" w:type="dxa"/>
            <w:tcBorders>
              <w:top w:val="single" w:sz="8" w:space="0" w:color="000000"/>
              <w:left w:val="single" w:sz="8" w:space="0" w:color="000000"/>
              <w:right w:val="single" w:sz="8" w:space="0" w:color="000000"/>
            </w:tcBorders>
            <w:shd w:color="auto" w:fill="D9E2F3" w:val="clear"/>
          </w:tcPr>
          <w:p>
            <w:pPr>
              <w:pStyle w:val="Normal"/>
              <w:widowControl w:val="false"/>
              <w:spacing w:before="60" w:after="20"/>
              <w:jc w:val="center"/>
              <w:rPr>
                <w:rFonts w:ascii="Arial" w:hAnsi="Arial" w:cs="Arial"/>
                <w:color w:val="000000"/>
                <w:sz w:val="22"/>
                <w:szCs w:val="22"/>
              </w:rPr>
            </w:pPr>
            <w:r>
              <w:rPr>
                <w:rFonts w:cs="Arial" w:ascii="Arial" w:hAnsi="Arial"/>
                <w:color w:val="000000"/>
                <w:sz w:val="22"/>
                <w:szCs w:val="22"/>
              </w:rPr>
              <w:t>Critères</w:t>
            </w:r>
          </w:p>
        </w:tc>
        <w:tc>
          <w:tcPr>
            <w:tcW w:w="1400" w:type="dxa"/>
            <w:tcBorders>
              <w:top w:val="single" w:sz="8" w:space="0" w:color="000000"/>
              <w:right w:val="single" w:sz="8" w:space="0" w:color="000000"/>
            </w:tcBorders>
            <w:shd w:color="auto" w:fill="D9E2F3" w:val="clear"/>
          </w:tcPr>
          <w:p>
            <w:pPr>
              <w:pStyle w:val="Normal"/>
              <w:widowControl w:val="false"/>
              <w:spacing w:before="60" w:after="20"/>
              <w:jc w:val="center"/>
              <w:rPr>
                <w:rFonts w:ascii="Arial" w:hAnsi="Arial" w:cs="Arial"/>
                <w:color w:val="000000"/>
                <w:sz w:val="22"/>
                <w:szCs w:val="22"/>
              </w:rPr>
            </w:pPr>
            <w:r>
              <w:rPr>
                <w:rFonts w:cs="Arial" w:ascii="Arial" w:hAnsi="Arial"/>
                <w:color w:val="000000"/>
                <w:sz w:val="22"/>
                <w:szCs w:val="22"/>
              </w:rPr>
              <w:t>Pondération</w:t>
            </w:r>
          </w:p>
        </w:tc>
      </w:tr>
      <w:tr>
        <w:trPr>
          <w:trHeight w:val="340" w:hRule="atLeast"/>
        </w:trPr>
        <w:tc>
          <w:tcPr>
            <w:tcW w:w="8199" w:type="dxa"/>
            <w:tcBorders>
              <w:top w:val="single" w:sz="8" w:space="0" w:color="000000"/>
              <w:left w:val="single" w:sz="8" w:space="0" w:color="000000"/>
              <w:right w:val="single" w:sz="8" w:space="0" w:color="000000"/>
            </w:tcBorders>
            <w:shd w:color="auto" w:fill="FFFFFF" w:val="clear"/>
          </w:tcPr>
          <w:p>
            <w:pPr>
              <w:pStyle w:val="ListParagraph"/>
              <w:widowControl w:val="false"/>
              <w:numPr>
                <w:ilvl w:val="0"/>
                <w:numId w:val="6"/>
              </w:numPr>
              <w:spacing w:before="60" w:after="20"/>
              <w:contextualSpacing/>
              <w:rPr>
                <w:rFonts w:ascii="Arial" w:hAnsi="Arial" w:cs="Arial"/>
                <w:b/>
                <w:bCs/>
                <w:color w:val="000000"/>
                <w:sz w:val="22"/>
                <w:szCs w:val="22"/>
              </w:rPr>
            </w:pPr>
            <w:r>
              <w:rPr>
                <w:rFonts w:cs="Arial" w:ascii="Arial" w:hAnsi="Arial"/>
                <w:b/>
                <w:bCs/>
                <w:color w:val="000000"/>
                <w:sz w:val="22"/>
                <w:szCs w:val="22"/>
              </w:rPr>
              <w:t>Prix des prestations</w:t>
            </w:r>
          </w:p>
        </w:tc>
        <w:tc>
          <w:tcPr>
            <w:tcW w:w="1400" w:type="dxa"/>
            <w:tcBorders>
              <w:top w:val="single" w:sz="8" w:space="0" w:color="000000"/>
              <w:right w:val="single" w:sz="8" w:space="0" w:color="000000"/>
            </w:tcBorders>
            <w:shd w:color="auto" w:fill="FFFFFF" w:val="clear"/>
          </w:tcPr>
          <w:p>
            <w:pPr>
              <w:pStyle w:val="Normal"/>
              <w:widowControl w:val="false"/>
              <w:spacing w:before="60" w:after="20"/>
              <w:jc w:val="center"/>
              <w:rPr>
                <w:rFonts w:ascii="Arial" w:hAnsi="Arial" w:eastAsia="Calibri" w:cs="Arial"/>
                <w:b/>
                <w:bCs/>
                <w:color w:val="000000"/>
                <w:sz w:val="22"/>
                <w:szCs w:val="22"/>
              </w:rPr>
            </w:pPr>
            <w:r>
              <w:rPr>
                <w:rFonts w:cs="Arial" w:ascii="Arial" w:hAnsi="Arial"/>
                <w:b/>
                <w:bCs/>
                <w:color w:val="000000"/>
                <w:sz w:val="22"/>
                <w:szCs w:val="22"/>
              </w:rPr>
              <w:t>50</w:t>
            </w:r>
          </w:p>
        </w:tc>
      </w:tr>
      <w:tr>
        <w:trPr>
          <w:trHeight w:val="400" w:hRule="atLeast"/>
        </w:trPr>
        <w:tc>
          <w:tcPr>
            <w:tcW w:w="819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120" w:after="40"/>
              <w:ind w:left="80" w:right="80" w:hanging="0"/>
              <w:jc w:val="both"/>
              <w:rPr>
                <w:rFonts w:ascii="Arial" w:hAnsi="Arial" w:cs="Arial"/>
                <w:b/>
                <w:bCs/>
                <w:color w:val="000000"/>
                <w:sz w:val="22"/>
                <w:szCs w:val="22"/>
              </w:rPr>
            </w:pPr>
            <w:r>
              <w:rPr>
                <w:rFonts w:cs="Arial" w:ascii="Arial" w:hAnsi="Arial"/>
                <w:b/>
                <w:bCs/>
                <w:color w:val="000000"/>
                <w:sz w:val="22"/>
                <w:szCs w:val="22"/>
              </w:rPr>
              <w:t>2-   Valeur technique</w:t>
            </w:r>
          </w:p>
        </w:tc>
        <w:tc>
          <w:tcPr>
            <w:tcW w:w="1400" w:type="dxa"/>
            <w:tcBorders>
              <w:top w:val="single" w:sz="8" w:space="0" w:color="000000"/>
              <w:bottom w:val="single" w:sz="8" w:space="0" w:color="000000"/>
              <w:right w:val="single" w:sz="8" w:space="0" w:color="000000"/>
            </w:tcBorders>
          </w:tcPr>
          <w:p>
            <w:pPr>
              <w:pStyle w:val="Normal"/>
              <w:widowControl w:val="false"/>
              <w:spacing w:before="120" w:after="40"/>
              <w:ind w:left="80" w:right="80" w:hanging="0"/>
              <w:jc w:val="center"/>
              <w:rPr>
                <w:rFonts w:ascii="Arial" w:hAnsi="Arial" w:cs="Arial"/>
                <w:b/>
                <w:bCs/>
                <w:color w:val="000000"/>
                <w:sz w:val="22"/>
                <w:szCs w:val="22"/>
              </w:rPr>
            </w:pPr>
            <w:r>
              <w:rPr>
                <w:rFonts w:cs="Arial" w:ascii="Arial" w:hAnsi="Arial"/>
                <w:b/>
                <w:bCs/>
                <w:color w:val="000000"/>
                <w:sz w:val="22"/>
                <w:szCs w:val="22"/>
              </w:rPr>
              <w:t>50</w:t>
            </w:r>
          </w:p>
        </w:tc>
      </w:tr>
      <w:tr>
        <w:trPr>
          <w:trHeight w:val="547" w:hRule="atLeast"/>
        </w:trPr>
        <w:tc>
          <w:tcPr>
            <w:tcW w:w="8199" w:type="dxa"/>
            <w:tcBorders>
              <w:left w:val="single" w:sz="8" w:space="0" w:color="000000"/>
              <w:bottom w:val="single" w:sz="8" w:space="0" w:color="000000"/>
              <w:right w:val="single" w:sz="8" w:space="0" w:color="000000"/>
            </w:tcBorders>
          </w:tcPr>
          <w:p>
            <w:pPr>
              <w:pStyle w:val="Normal"/>
              <w:widowControl w:val="false"/>
              <w:spacing w:before="120" w:after="40"/>
              <w:ind w:left="80" w:right="80" w:hanging="0"/>
              <w:jc w:val="both"/>
              <w:rPr>
                <w:rFonts w:ascii="Arial" w:hAnsi="Arial" w:cs="Arial"/>
                <w:color w:val="000000"/>
                <w:sz w:val="22"/>
                <w:szCs w:val="22"/>
              </w:rPr>
            </w:pPr>
            <w:r>
              <w:rPr>
                <w:rFonts w:cs="Arial" w:ascii="Arial" w:hAnsi="Arial"/>
                <w:color w:val="000000"/>
                <w:sz w:val="22"/>
                <w:szCs w:val="22"/>
              </w:rPr>
              <w:t xml:space="preserve">2.1 – </w:t>
            </w:r>
            <w:bookmarkStart w:id="34" w:name="_Hlk184219779"/>
            <w:r>
              <w:rPr>
                <w:rFonts w:cs="Arial" w:ascii="Arial" w:hAnsi="Arial"/>
                <w:color w:val="000000"/>
                <w:sz w:val="22"/>
                <w:szCs w:val="22"/>
              </w:rPr>
              <w:t>Présentation de l’organisation du groupement et de l’équipe proposée, avec organigramme et CV des intervenants ; présentation de références sur des opérations similaires (2 à 5)</w:t>
            </w:r>
            <w:bookmarkEnd w:id="34"/>
          </w:p>
        </w:tc>
        <w:tc>
          <w:tcPr>
            <w:tcW w:w="1400" w:type="dxa"/>
            <w:tcBorders>
              <w:bottom w:val="single" w:sz="8" w:space="0" w:color="000000"/>
              <w:right w:val="single" w:sz="8" w:space="0" w:color="000000"/>
            </w:tcBorders>
          </w:tcPr>
          <w:p>
            <w:pPr>
              <w:pStyle w:val="Normal"/>
              <w:widowControl w:val="false"/>
              <w:spacing w:before="120" w:after="40"/>
              <w:ind w:left="80" w:right="80" w:hanging="0"/>
              <w:jc w:val="center"/>
              <w:rPr>
                <w:rFonts w:ascii="Arial" w:hAnsi="Arial" w:cs="Arial"/>
                <w:color w:val="000000"/>
                <w:sz w:val="22"/>
                <w:szCs w:val="22"/>
              </w:rPr>
            </w:pPr>
            <w:r>
              <w:rPr>
                <w:rFonts w:cs="Arial" w:ascii="Arial" w:hAnsi="Arial"/>
                <w:color w:val="000000"/>
                <w:sz w:val="22"/>
                <w:szCs w:val="22"/>
              </w:rPr>
              <w:t>25</w:t>
            </w:r>
          </w:p>
        </w:tc>
      </w:tr>
      <w:tr>
        <w:trPr>
          <w:trHeight w:val="429" w:hRule="atLeast"/>
        </w:trPr>
        <w:tc>
          <w:tcPr>
            <w:tcW w:w="8199" w:type="dxa"/>
            <w:tcBorders>
              <w:top w:val="single" w:sz="8" w:space="0" w:color="000000"/>
              <w:left w:val="single" w:sz="8" w:space="0" w:color="000000"/>
              <w:bottom w:val="single" w:sz="4" w:space="0" w:color="000000"/>
              <w:right w:val="single" w:sz="8" w:space="0" w:color="000000"/>
            </w:tcBorders>
          </w:tcPr>
          <w:p>
            <w:pPr>
              <w:pStyle w:val="Normal"/>
              <w:widowControl w:val="false"/>
              <w:spacing w:before="120" w:after="40"/>
              <w:ind w:left="80" w:right="80" w:hanging="0"/>
              <w:jc w:val="both"/>
              <w:rPr>
                <w:rFonts w:ascii="Arial" w:hAnsi="Arial" w:cs="Arial"/>
                <w:color w:val="000000"/>
                <w:sz w:val="22"/>
                <w:szCs w:val="22"/>
              </w:rPr>
            </w:pPr>
            <w:r>
              <w:rPr>
                <w:rFonts w:cs="Arial" w:ascii="Arial" w:hAnsi="Arial"/>
                <w:color w:val="000000"/>
                <w:sz w:val="22"/>
                <w:szCs w:val="22"/>
              </w:rPr>
              <w:t>2.2 – Compréhension de la mission, des enjeux associés à l’opération et note succincte d’intention</w:t>
            </w:r>
          </w:p>
        </w:tc>
        <w:tc>
          <w:tcPr>
            <w:tcW w:w="1400" w:type="dxa"/>
            <w:tcBorders>
              <w:top w:val="single" w:sz="8" w:space="0" w:color="000000"/>
              <w:bottom w:val="single" w:sz="4" w:space="0" w:color="000000"/>
              <w:right w:val="single" w:sz="8" w:space="0" w:color="000000"/>
            </w:tcBorders>
          </w:tcPr>
          <w:p>
            <w:pPr>
              <w:pStyle w:val="Normal"/>
              <w:widowControl w:val="false"/>
              <w:spacing w:before="120" w:after="40"/>
              <w:ind w:left="80" w:right="80" w:hanging="0"/>
              <w:jc w:val="center"/>
              <w:rPr>
                <w:rFonts w:ascii="Arial" w:hAnsi="Arial" w:cs="Arial"/>
                <w:color w:val="000000"/>
                <w:sz w:val="22"/>
                <w:szCs w:val="22"/>
              </w:rPr>
            </w:pPr>
            <w:r>
              <w:rPr>
                <w:rFonts w:cs="Arial" w:ascii="Arial" w:hAnsi="Arial"/>
                <w:color w:val="000000"/>
                <w:sz w:val="22"/>
                <w:szCs w:val="22"/>
              </w:rPr>
              <w:t>25</w:t>
            </w:r>
          </w:p>
        </w:tc>
      </w:tr>
    </w:tbl>
    <w:p>
      <w:pPr>
        <w:pStyle w:val="Normal"/>
        <w:rPr>
          <w:rFonts w:ascii="Arial" w:hAnsi="Arial" w:cs="Arial"/>
          <w:sz w:val="22"/>
          <w:szCs w:val="22"/>
          <w:u w:val="single"/>
        </w:rPr>
      </w:pPr>
      <w:r>
        <w:rPr>
          <w:rFonts w:cs="Arial" w:ascii="Arial" w:hAnsi="Arial"/>
          <w:sz w:val="22"/>
          <w:szCs w:val="22"/>
          <w:u w:val="single"/>
        </w:rPr>
      </w:r>
    </w:p>
    <w:p>
      <w:pPr>
        <w:pStyle w:val="ListParagraph"/>
        <w:keepLines/>
        <w:numPr>
          <w:ilvl w:val="0"/>
          <w:numId w:val="1"/>
        </w:numPr>
        <w:tabs>
          <w:tab w:val="clear" w:pos="720"/>
          <w:tab w:val="left" w:pos="284" w:leader="none"/>
          <w:tab w:val="left" w:pos="567" w:leader="none"/>
          <w:tab w:val="left" w:pos="851" w:leader="none"/>
        </w:tabs>
        <w:jc w:val="both"/>
        <w:rPr>
          <w:rFonts w:ascii="Arial" w:hAnsi="Arial" w:eastAsia="Arial" w:cs="Arial"/>
          <w:color w:val="000000"/>
          <w:sz w:val="22"/>
          <w:u w:val="single"/>
        </w:rPr>
      </w:pPr>
      <w:r>
        <w:rPr>
          <w:rFonts w:eastAsia="Arial" w:cs="Arial" w:ascii="Arial" w:hAnsi="Arial"/>
          <w:color w:val="000000"/>
          <w:sz w:val="22"/>
          <w:u w:val="single"/>
        </w:rPr>
        <w:t>Le critère des prix des prestations sera noté sur 50 points :</w:t>
      </w:r>
    </w:p>
    <w:p>
      <w:pPr>
        <w:pStyle w:val="Normal"/>
        <w:keepLines/>
        <w:tabs>
          <w:tab w:val="clear" w:pos="720"/>
          <w:tab w:val="left" w:pos="284" w:leader="none"/>
          <w:tab w:val="left" w:pos="567" w:leader="none"/>
          <w:tab w:val="left" w:pos="851" w:leader="none"/>
        </w:tabs>
        <w:jc w:val="both"/>
        <w:rPr>
          <w:rFonts w:ascii="Arial" w:hAnsi="Arial" w:eastAsia="Arial" w:cs="Arial"/>
          <w:color w:val="000000"/>
          <w:sz w:val="22"/>
        </w:rPr>
      </w:pPr>
      <w:r>
        <w:rPr>
          <w:rFonts w:eastAsia="Arial" w:cs="Arial" w:ascii="Arial" w:hAnsi="Arial"/>
          <w:color w:val="000000"/>
          <w:sz w:val="22"/>
        </w:rPr>
      </w:r>
    </w:p>
    <w:p>
      <w:pPr>
        <w:pStyle w:val="Normal"/>
        <w:keepLines/>
        <w:tabs>
          <w:tab w:val="clear" w:pos="720"/>
          <w:tab w:val="left" w:pos="284" w:leader="none"/>
          <w:tab w:val="left" w:pos="567" w:leader="none"/>
          <w:tab w:val="left" w:pos="851" w:leader="none"/>
        </w:tabs>
        <w:jc w:val="both"/>
        <w:rPr>
          <w:rFonts w:ascii="Arial" w:hAnsi="Arial" w:eastAsia="Arial" w:cs="Arial"/>
          <w:color w:val="000000"/>
          <w:sz w:val="22"/>
        </w:rPr>
      </w:pPr>
      <w:r>
        <w:rPr>
          <w:rFonts w:eastAsia="Arial" w:cs="Arial" w:ascii="Arial" w:hAnsi="Arial"/>
          <w:color w:val="000000"/>
          <w:sz w:val="22"/>
        </w:rPr>
        <w:t>Le critère prix des prestations sera apprécié sur la base de l’offre de prix (AE et annexe 1) au regard de la formule suivante :</w:t>
      </w:r>
    </w:p>
    <w:p>
      <w:pPr>
        <w:pStyle w:val="Normal"/>
        <w:keepLines/>
        <w:tabs>
          <w:tab w:val="clear" w:pos="720"/>
          <w:tab w:val="left" w:pos="284" w:leader="none"/>
          <w:tab w:val="left" w:pos="567" w:leader="none"/>
          <w:tab w:val="left" w:pos="851" w:leader="none"/>
        </w:tabs>
        <w:jc w:val="both"/>
        <w:rPr>
          <w:rFonts w:ascii="Arial" w:hAnsi="Arial" w:eastAsia="Arial" w:cs="Arial"/>
          <w:color w:val="000000"/>
          <w:sz w:val="10"/>
          <w:szCs w:val="10"/>
        </w:rPr>
      </w:pPr>
      <w:r>
        <w:rPr>
          <w:rFonts w:eastAsia="Arial" w:cs="Arial" w:ascii="Arial" w:hAnsi="Arial"/>
          <w:color w:val="000000"/>
          <w:sz w:val="10"/>
          <w:szCs w:val="10"/>
        </w:rPr>
      </w:r>
    </w:p>
    <w:p>
      <w:pPr>
        <w:pStyle w:val="Normal"/>
        <w:keepLines/>
        <w:tabs>
          <w:tab w:val="clear" w:pos="720"/>
          <w:tab w:val="left" w:pos="284" w:leader="none"/>
          <w:tab w:val="left" w:pos="567" w:leader="none"/>
          <w:tab w:val="left" w:pos="851" w:leader="none"/>
        </w:tabs>
        <w:ind w:firstLine="284"/>
        <w:jc w:val="both"/>
        <w:rPr>
          <w:rFonts w:ascii="Arial" w:hAnsi="Arial" w:eastAsia="Arial" w:cs="Arial"/>
          <w:b/>
          <w:sz w:val="22"/>
        </w:rPr>
      </w:pPr>
      <w:r>
        <w:rPr>
          <w:rFonts w:eastAsia="Arial" w:cs="Arial" w:ascii="Arial" w:hAnsi="Arial"/>
          <w:b/>
          <w:sz w:val="22"/>
        </w:rPr>
        <w:t>Note de l’offre = 50 x Montant de l’offre la moins-disante / Montant de l’offre analysée</w:t>
      </w:r>
    </w:p>
    <w:p>
      <w:pPr>
        <w:pStyle w:val="Normal"/>
        <w:keepLines/>
        <w:tabs>
          <w:tab w:val="clear" w:pos="720"/>
          <w:tab w:val="left" w:pos="284" w:leader="none"/>
          <w:tab w:val="left" w:pos="567" w:leader="none"/>
          <w:tab w:val="left" w:pos="851" w:leader="none"/>
        </w:tabs>
        <w:jc w:val="both"/>
        <w:rPr>
          <w:rFonts w:ascii="Arial" w:hAnsi="Arial" w:eastAsia="Arial" w:cs="Arial"/>
          <w:b/>
          <w:sz w:val="22"/>
        </w:rPr>
      </w:pPr>
      <w:r>
        <w:rPr>
          <w:rFonts w:eastAsia="Arial" w:cs="Arial" w:ascii="Arial" w:hAnsi="Arial"/>
          <w:b/>
          <w:sz w:val="22"/>
        </w:rPr>
      </w:r>
    </w:p>
    <w:p>
      <w:pPr>
        <w:pStyle w:val="Normal"/>
        <w:keepLines/>
        <w:tabs>
          <w:tab w:val="clear" w:pos="720"/>
          <w:tab w:val="left" w:pos="284" w:leader="none"/>
          <w:tab w:val="left" w:pos="567" w:leader="none"/>
          <w:tab w:val="left" w:pos="851" w:leader="none"/>
        </w:tabs>
        <w:jc w:val="both"/>
        <w:rPr>
          <w:rFonts w:ascii="Arial" w:hAnsi="Arial" w:eastAsia="Arial" w:cs="Arial"/>
          <w:sz w:val="22"/>
        </w:rPr>
      </w:pPr>
      <w:r>
        <w:rPr>
          <w:rFonts w:eastAsia="Arial" w:cs="Arial" w:ascii="Arial" w:hAnsi="Arial"/>
          <w:sz w:val="22"/>
        </w:rPr>
        <w:t xml:space="preserve">Base de notation : correspond à la note maximale pouvant être obtenue </w:t>
      </w:r>
    </w:p>
    <w:p>
      <w:pPr>
        <w:pStyle w:val="Normal"/>
        <w:keepLines/>
        <w:tabs>
          <w:tab w:val="clear" w:pos="720"/>
          <w:tab w:val="left" w:pos="284" w:leader="none"/>
          <w:tab w:val="left" w:pos="567" w:leader="none"/>
          <w:tab w:val="left" w:pos="851" w:leader="none"/>
        </w:tabs>
        <w:jc w:val="both"/>
        <w:rPr>
          <w:rFonts w:ascii="Arial" w:hAnsi="Arial" w:eastAsia="Arial" w:cs="Arial"/>
          <w:sz w:val="22"/>
        </w:rPr>
      </w:pPr>
      <w:r>
        <w:rPr>
          <w:rFonts w:eastAsia="Arial" w:cs="Arial" w:ascii="Arial" w:hAnsi="Arial"/>
          <w:sz w:val="22"/>
        </w:rPr>
        <w:t xml:space="preserve">Montant de l’offre analysée : correspond au prix de l’offre à évaluer </w:t>
      </w:r>
    </w:p>
    <w:p>
      <w:pPr>
        <w:pStyle w:val="Normal"/>
        <w:keepLines/>
        <w:tabs>
          <w:tab w:val="clear" w:pos="720"/>
          <w:tab w:val="left" w:pos="284" w:leader="none"/>
          <w:tab w:val="left" w:pos="567" w:leader="none"/>
          <w:tab w:val="left" w:pos="851" w:leader="none"/>
        </w:tabs>
        <w:jc w:val="both"/>
        <w:rPr>
          <w:rFonts w:ascii="Arial" w:hAnsi="Arial" w:eastAsia="Arial" w:cs="Arial"/>
          <w:sz w:val="22"/>
        </w:rPr>
      </w:pPr>
      <w:r>
        <w:rPr>
          <w:rFonts w:eastAsia="Arial" w:cs="Arial" w:ascii="Arial" w:hAnsi="Arial"/>
          <w:sz w:val="22"/>
        </w:rPr>
        <w:t>Montant de l’offre la moins-disante : correspond au prix de l’offre la moins-disante ou la moins chère.</w:t>
      </w:r>
    </w:p>
    <w:p>
      <w:pPr>
        <w:pStyle w:val="Corpsdetexte"/>
        <w:jc w:val="both"/>
        <w:rPr>
          <w:rFonts w:eastAsia="Times New Roman"/>
        </w:rPr>
      </w:pPr>
      <w:r>
        <w:rPr>
          <w:rFonts w:eastAsia="Times New Roman"/>
        </w:rPr>
      </w:r>
    </w:p>
    <w:p>
      <w:pPr>
        <w:pStyle w:val="ListParagraph"/>
        <w:keepLines/>
        <w:numPr>
          <w:ilvl w:val="0"/>
          <w:numId w:val="1"/>
        </w:numPr>
        <w:tabs>
          <w:tab w:val="clear" w:pos="720"/>
          <w:tab w:val="left" w:pos="284" w:leader="none"/>
          <w:tab w:val="left" w:pos="567" w:leader="none"/>
          <w:tab w:val="left" w:pos="851" w:leader="none"/>
        </w:tabs>
        <w:jc w:val="both"/>
        <w:rPr>
          <w:rFonts w:ascii="Arial" w:hAnsi="Arial" w:eastAsia="Arial" w:cs="Arial"/>
          <w:color w:val="000000"/>
          <w:sz w:val="22"/>
          <w:u w:val="single"/>
        </w:rPr>
      </w:pPr>
      <w:r>
        <w:rPr>
          <w:rFonts w:eastAsia="Arial" w:cs="Arial" w:ascii="Arial" w:hAnsi="Arial"/>
          <w:color w:val="000000"/>
          <w:sz w:val="22"/>
          <w:u w:val="single"/>
        </w:rPr>
        <w:t>Le critère de la valeur technique de l’offre sera noté sur 50 points :</w:t>
      </w:r>
    </w:p>
    <w:p>
      <w:pPr>
        <w:pStyle w:val="Normal"/>
        <w:keepLines/>
        <w:tabs>
          <w:tab w:val="clear" w:pos="720"/>
          <w:tab w:val="left" w:pos="284" w:leader="none"/>
          <w:tab w:val="left" w:pos="567" w:leader="none"/>
          <w:tab w:val="left" w:pos="851" w:leader="none"/>
        </w:tabs>
        <w:jc w:val="both"/>
        <w:rPr>
          <w:rFonts w:ascii="Arial" w:hAnsi="Arial" w:eastAsia="Arial" w:cs="Arial"/>
          <w:color w:val="000000"/>
          <w:sz w:val="22"/>
        </w:rPr>
      </w:pPr>
      <w:r>
        <w:rPr>
          <w:rFonts w:eastAsia="Arial" w:cs="Arial" w:ascii="Arial" w:hAnsi="Arial"/>
          <w:color w:val="000000"/>
          <w:sz w:val="22"/>
        </w:rPr>
      </w:r>
    </w:p>
    <w:p>
      <w:pPr>
        <w:pStyle w:val="Normal"/>
        <w:ind w:right="-512" w:hanging="0"/>
        <w:jc w:val="both"/>
        <w:rPr>
          <w:rFonts w:ascii="Arial" w:hAnsi="Arial" w:cs="Arial"/>
          <w:sz w:val="22"/>
          <w:szCs w:val="22"/>
        </w:rPr>
      </w:pPr>
      <w:r>
        <w:rPr>
          <w:rFonts w:cs="Arial" w:ascii="Arial" w:hAnsi="Arial"/>
          <w:sz w:val="22"/>
          <w:szCs w:val="22"/>
        </w:rPr>
        <w:t>Le critère de la valeur technique fourni par l’entreprise sera noté sur 50 points et décomposé comme suit :</w:t>
      </w:r>
    </w:p>
    <w:tbl>
      <w:tblPr>
        <w:tblW w:w="9612" w:type="dxa"/>
        <w:jc w:val="left"/>
        <w:tblInd w:w="20" w:type="dxa"/>
        <w:tblLayout w:type="fixed"/>
        <w:tblCellMar>
          <w:top w:w="0" w:type="dxa"/>
          <w:left w:w="0" w:type="dxa"/>
          <w:bottom w:w="0" w:type="dxa"/>
          <w:right w:w="0" w:type="dxa"/>
        </w:tblCellMar>
        <w:tblLook w:firstRow="1" w:noVBand="1" w:lastRow="0" w:firstColumn="1" w:lastColumn="0" w:noHBand="0" w:val="04a0"/>
      </w:tblPr>
      <w:tblGrid>
        <w:gridCol w:w="9612"/>
      </w:tblGrid>
      <w:tr>
        <w:trPr>
          <w:trHeight w:val="400" w:hRule="atLeast"/>
        </w:trPr>
        <w:tc>
          <w:tcPr>
            <w:tcW w:w="9612" w:type="dxa"/>
            <w:tcBorders/>
          </w:tcPr>
          <w:p>
            <w:pPr>
              <w:pStyle w:val="Normal"/>
              <w:widowControl w:val="false"/>
              <w:spacing w:before="120" w:after="40"/>
              <w:ind w:left="80" w:right="80" w:hanging="0"/>
              <w:jc w:val="both"/>
              <w:rPr>
                <w:rFonts w:ascii="Arial" w:hAnsi="Arial" w:cs="Arial"/>
                <w:color w:val="000000"/>
                <w:sz w:val="22"/>
                <w:szCs w:val="22"/>
              </w:rPr>
            </w:pPr>
            <w:r>
              <w:rPr>
                <w:rFonts w:cs="Arial" w:ascii="Arial" w:hAnsi="Arial"/>
                <w:color w:val="000000"/>
                <w:sz w:val="22"/>
                <w:szCs w:val="22"/>
              </w:rPr>
              <w:t xml:space="preserve">2.1 – Présentation de l’organisation du groupement et de l’équipe proposée, avec organigramme et CV des intervenants ; présentation de références sur des opérations similaires : </w:t>
            </w:r>
            <w:r>
              <w:rPr>
                <w:rFonts w:cs="Arial" w:ascii="Arial" w:hAnsi="Arial"/>
                <w:b/>
                <w:color w:val="000000"/>
                <w:sz w:val="22"/>
                <w:szCs w:val="22"/>
              </w:rPr>
              <w:t>25 points</w:t>
            </w:r>
          </w:p>
        </w:tc>
      </w:tr>
      <w:tr>
        <w:trPr>
          <w:trHeight w:val="400" w:hRule="atLeast"/>
        </w:trPr>
        <w:tc>
          <w:tcPr>
            <w:tcW w:w="9612" w:type="dxa"/>
            <w:tcBorders/>
          </w:tcPr>
          <w:p>
            <w:pPr>
              <w:pStyle w:val="Normal"/>
              <w:widowControl w:val="false"/>
              <w:spacing w:before="120" w:after="40"/>
              <w:ind w:left="80" w:right="80" w:hanging="0"/>
              <w:jc w:val="both"/>
              <w:rPr>
                <w:rFonts w:ascii="Arial" w:hAnsi="Arial" w:cs="Arial"/>
                <w:b/>
                <w:color w:val="000000"/>
                <w:sz w:val="22"/>
                <w:szCs w:val="22"/>
              </w:rPr>
            </w:pPr>
            <w:r>
              <w:rPr>
                <w:rFonts w:cs="Arial" w:ascii="Arial" w:hAnsi="Arial"/>
                <w:color w:val="000000"/>
                <w:sz w:val="22"/>
                <w:szCs w:val="22"/>
              </w:rPr>
              <w:t xml:space="preserve">2.2 – Compréhension de la mission, des enjeux associés à l’opération et note succincte d’intention : </w:t>
            </w:r>
            <w:r>
              <w:rPr>
                <w:rFonts w:cs="Arial" w:ascii="Arial" w:hAnsi="Arial"/>
                <w:b/>
                <w:color w:val="000000"/>
                <w:sz w:val="22"/>
                <w:szCs w:val="22"/>
              </w:rPr>
              <w:t>25 points</w:t>
            </w:r>
          </w:p>
          <w:p>
            <w:pPr>
              <w:pStyle w:val="Normal"/>
              <w:widowControl w:val="false"/>
              <w:spacing w:before="120" w:after="40"/>
              <w:ind w:left="80" w:right="80" w:hanging="0"/>
              <w:jc w:val="both"/>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sz w:val="22"/>
          <w:szCs w:val="22"/>
          <w:u w:val="single"/>
        </w:rPr>
      </w:pPr>
      <w:r>
        <w:rPr>
          <w:rFonts w:cs="Arial" w:ascii="Arial" w:hAnsi="Arial"/>
          <w:sz w:val="22"/>
          <w:szCs w:val="22"/>
          <w:u w:val="single"/>
        </w:rPr>
      </w:r>
    </w:p>
    <w:p>
      <w:pPr>
        <w:pStyle w:val="Normal1"/>
        <w:ind w:hanging="0"/>
        <w:rPr>
          <w:rFonts w:ascii="Arial" w:hAnsi="Arial" w:cs="Arial"/>
          <w:szCs w:val="22"/>
        </w:rPr>
      </w:pPr>
      <w:r>
        <w:rPr>
          <w:rFonts w:cs="Arial" w:ascii="Arial" w:hAnsi="Arial"/>
          <w:szCs w:val="22"/>
        </w:rPr>
        <w:t>La notation des offres sur le critère valeur technique se fera par addition des notes obtenues en réponse aux deux questions posées dans le mémoire justificatif.</w:t>
      </w:r>
    </w:p>
    <w:p>
      <w:pPr>
        <w:pStyle w:val="Normal1"/>
        <w:ind w:hanging="0"/>
        <w:rPr>
          <w:rFonts w:ascii="Arial" w:hAnsi="Arial" w:cs="Arial"/>
          <w:szCs w:val="22"/>
        </w:rPr>
      </w:pPr>
      <w:r>
        <w:rPr>
          <w:rFonts w:cs="Arial" w:ascii="Arial" w:hAnsi="Arial"/>
          <w:szCs w:val="22"/>
        </w:rPr>
        <w:t>Pour les deux questions, il sera fait application du barème suivant :</w:t>
      </w:r>
    </w:p>
    <w:p>
      <w:pPr>
        <w:pStyle w:val="Normal1"/>
        <w:ind w:firstLine="567"/>
        <w:rPr>
          <w:rFonts w:ascii="Arial" w:hAnsi="Arial" w:cs="Arial"/>
          <w:szCs w:val="22"/>
        </w:rPr>
      </w:pPr>
      <w:r>
        <w:rPr>
          <w:rFonts w:cs="Arial" w:ascii="Arial" w:hAnsi="Arial"/>
          <w:szCs w:val="22"/>
        </w:rPr>
        <w:t>- réponse très satisfaisante : 100% points ;</w:t>
      </w:r>
    </w:p>
    <w:p>
      <w:pPr>
        <w:pStyle w:val="Normal1"/>
        <w:ind w:firstLine="567"/>
        <w:rPr>
          <w:rFonts w:ascii="Arial" w:hAnsi="Arial" w:cs="Arial"/>
          <w:szCs w:val="22"/>
        </w:rPr>
      </w:pPr>
      <w:r>
        <w:rPr>
          <w:rFonts w:cs="Arial" w:ascii="Arial" w:hAnsi="Arial"/>
          <w:szCs w:val="22"/>
        </w:rPr>
        <w:t>- réponse satisfaisante : 75% des points ;</w:t>
      </w:r>
    </w:p>
    <w:p>
      <w:pPr>
        <w:pStyle w:val="Normal1"/>
        <w:ind w:firstLine="567"/>
        <w:rPr>
          <w:rFonts w:ascii="Arial" w:hAnsi="Arial" w:cs="Arial"/>
          <w:szCs w:val="22"/>
        </w:rPr>
      </w:pPr>
      <w:r>
        <w:rPr>
          <w:rFonts w:cs="Arial" w:ascii="Arial" w:hAnsi="Arial"/>
          <w:szCs w:val="22"/>
        </w:rPr>
        <w:t>- réponse moyenne : 50% des points ;</w:t>
      </w:r>
    </w:p>
    <w:p>
      <w:pPr>
        <w:pStyle w:val="Normal1"/>
        <w:ind w:firstLine="567"/>
        <w:rPr>
          <w:rFonts w:ascii="Arial" w:hAnsi="Arial" w:cs="Arial"/>
          <w:szCs w:val="22"/>
        </w:rPr>
      </w:pPr>
      <w:r>
        <w:rPr>
          <w:rFonts w:cs="Arial" w:ascii="Arial" w:hAnsi="Arial"/>
          <w:szCs w:val="22"/>
        </w:rPr>
        <w:t>- réponse passable : 25 % des points ;</w:t>
      </w:r>
    </w:p>
    <w:p>
      <w:pPr>
        <w:pStyle w:val="Normal"/>
        <w:jc w:val="both"/>
        <w:rPr>
          <w:rFonts w:ascii="Arial" w:hAnsi="Arial" w:cs="Arial"/>
          <w:sz w:val="22"/>
          <w:szCs w:val="22"/>
          <w:u w:val="single"/>
        </w:rPr>
      </w:pPr>
      <w:r>
        <w:rPr>
          <w:rFonts w:cs="Arial" w:ascii="Arial" w:hAnsi="Arial"/>
          <w:sz w:val="22"/>
          <w:szCs w:val="22"/>
          <w:u w:val="single"/>
        </w:rPr>
      </w:r>
    </w:p>
    <w:p>
      <w:pPr>
        <w:pStyle w:val="Normal"/>
        <w:jc w:val="both"/>
        <w:rPr>
          <w:rFonts w:ascii="Arial" w:hAnsi="Arial" w:cs="Arial"/>
          <w:sz w:val="22"/>
          <w:szCs w:val="22"/>
        </w:rPr>
      </w:pPr>
      <w:r>
        <w:rPr>
          <w:rFonts w:cs="Arial" w:ascii="Arial" w:hAnsi="Arial"/>
          <w:sz w:val="22"/>
          <w:szCs w:val="22"/>
        </w:rPr>
        <w:t>Les offres obtiendront une note globale sur 100, en cas d’égalité de points, après application des pondérations énoncées ci-dessus, l’offre la moins disante sera retenue.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Dans le cas où des erreurs purement matérielles (de multiplication, d’addition ou de report) seraient constatées dans l’offre du candidat, l’entreprise sera invitée à confirmer l’offre rectifiée ; en cas de refus, son offre sera éliminée comme non cohérente. </w:t>
      </w:r>
    </w:p>
    <w:p>
      <w:pPr>
        <w:pStyle w:val="Normal"/>
        <w:jc w:val="both"/>
        <w:rPr>
          <w:rFonts w:ascii="Arial" w:hAnsi="Arial" w:cs="Arial"/>
          <w:sz w:val="22"/>
          <w:szCs w:val="22"/>
          <w:highlight w:val="yellow"/>
        </w:rPr>
      </w:pPr>
      <w:r>
        <w:rPr>
          <w:rFonts w:cs="Arial" w:ascii="Arial" w:hAnsi="Arial"/>
          <w:sz w:val="22"/>
          <w:szCs w:val="22"/>
          <w:highlight w:val="yellow"/>
        </w:rPr>
      </w:r>
    </w:p>
    <w:p>
      <w:pPr>
        <w:pStyle w:val="Titre2"/>
        <w:ind w:left="300" w:right="20" w:hanging="0"/>
        <w:rPr>
          <w:rFonts w:eastAsia="Arial"/>
          <w:i w:val="false"/>
          <w:i w:val="false"/>
          <w:color w:val="000000"/>
          <w:sz w:val="24"/>
        </w:rPr>
      </w:pPr>
      <w:bookmarkStart w:id="35" w:name="_Toc211605805"/>
      <w:r>
        <w:rPr>
          <w:rFonts w:eastAsia="Arial"/>
          <w:i w:val="false"/>
          <w:color w:val="000000"/>
          <w:sz w:val="24"/>
        </w:rPr>
        <w:t>9.3 - Suite à donner à la consultation</w:t>
      </w:r>
      <w:bookmarkEnd w:id="35"/>
    </w:p>
    <w:p>
      <w:pPr>
        <w:pStyle w:val="ParagrapheIndent2"/>
        <w:spacing w:before="0" w:after="240"/>
        <w:ind w:right="20" w:hanging="0"/>
        <w:jc w:val="both"/>
        <w:rPr>
          <w:color w:val="000000"/>
        </w:rPr>
      </w:pPr>
      <w:r>
        <w:rPr>
          <w:color w:val="000000"/>
        </w:rPr>
        <w:t xml:space="preserve">Conformément à l’article R.2123-5 du Code de la commande publique, après examen des offres, le maitre d’ouvrage se réserve la faculté de procéder à une ou plusieurs phases de négociations écrites avec toutes les entreprises ayant remis une offre conforme, au regard des critères de jugement des offres. </w:t>
      </w:r>
    </w:p>
    <w:p>
      <w:pPr>
        <w:pStyle w:val="ParagrapheIndent2"/>
        <w:spacing w:before="0" w:after="240"/>
        <w:ind w:right="20" w:hanging="0"/>
        <w:jc w:val="both"/>
        <w:rPr>
          <w:color w:val="000000"/>
        </w:rPr>
      </w:pPr>
      <w:r>
        <w:rPr>
          <w:color w:val="000000"/>
        </w:rPr>
        <w:t xml:space="preserve">En ce sens, vous serez invités à nous remettre une nouvelle offre négociée sur la base du dossier de consultation des entreprises déjà en votre possession. </w:t>
      </w:r>
    </w:p>
    <w:p>
      <w:pPr>
        <w:pStyle w:val="ParagrapheIndent2"/>
        <w:spacing w:before="0" w:after="240"/>
        <w:ind w:right="20" w:hanging="0"/>
        <w:jc w:val="both"/>
        <w:rPr>
          <w:color w:val="000000"/>
        </w:rPr>
      </w:pPr>
      <w:r>
        <w:rPr>
          <w:color w:val="000000"/>
        </w:rPr>
        <w:t xml:space="preserve">Toutefois, le maitre d’ouvrage se réserve la possibilité d’attribuer le marché sur la base des offres initiales, sans négociation. </w:t>
      </w:r>
    </w:p>
    <w:p>
      <w:pPr>
        <w:pStyle w:val="ParagrapheIndent2"/>
        <w:jc w:val="both"/>
        <w:rPr>
          <w:color w:val="000000"/>
        </w:rPr>
      </w:pPr>
      <w:r>
        <w:rPr>
          <w:color w:val="000000"/>
        </w:rPr>
        <w:t>L'offre la mieux classée sera donc retenue à titre provisoire en attendant que le ou les candidats produisent les certificats et attestations des articles R. 2143-6 à R. 2143-10 du Code de la commande publique. Le délai imparti par le maitre d’ouvrage pour remettre ces documents ne pourra être supérieur à 7 jours.</w:t>
      </w:r>
    </w:p>
    <w:p>
      <w:pPr>
        <w:pStyle w:val="Normal"/>
        <w:rPr/>
      </w:pPr>
      <w:r>
        <w:rPr/>
      </w:r>
    </w:p>
    <w:p>
      <w:pPr>
        <w:pStyle w:val="Titre1"/>
        <w:rPr>
          <w:rFonts w:eastAsia="Arial"/>
          <w:color w:val="000000"/>
          <w:sz w:val="28"/>
        </w:rPr>
      </w:pPr>
      <w:bookmarkStart w:id="36" w:name="_Toc211605806"/>
      <w:r>
        <w:rPr>
          <w:rFonts w:eastAsia="Arial"/>
          <w:color w:val="000000"/>
          <w:sz w:val="28"/>
        </w:rPr>
        <w:t>10 - Renseignements complémentaires</w:t>
      </w:r>
      <w:bookmarkEnd w:id="36"/>
    </w:p>
    <w:p>
      <w:pPr>
        <w:pStyle w:val="Titre2"/>
        <w:ind w:left="300" w:right="20" w:hanging="0"/>
        <w:rPr>
          <w:rFonts w:eastAsia="Arial"/>
          <w:i w:val="false"/>
          <w:i w:val="false"/>
          <w:color w:val="000000"/>
          <w:sz w:val="24"/>
        </w:rPr>
      </w:pPr>
      <w:bookmarkStart w:id="37" w:name="_Toc211605807"/>
      <w:r>
        <w:rPr>
          <w:rFonts w:eastAsia="Arial"/>
          <w:i w:val="false"/>
          <w:color w:val="000000"/>
          <w:sz w:val="24"/>
        </w:rPr>
        <w:t>10.1 - Adresses supplémentaires et points de contact</w:t>
      </w:r>
      <w:bookmarkEnd w:id="37"/>
    </w:p>
    <w:p>
      <w:pPr>
        <w:pStyle w:val="ParagrapheIndent2"/>
        <w:spacing w:lineRule="exact" w:line="253"/>
        <w:ind w:left="20" w:right="20" w:hanging="0"/>
        <w:jc w:val="both"/>
        <w:rPr>
          <w:color w:val="000000"/>
        </w:rPr>
      </w:pPr>
      <w:r>
        <w:rPr>
          <w:color w:val="000000"/>
        </w:rPr>
      </w:r>
    </w:p>
    <w:p>
      <w:pPr>
        <w:pStyle w:val="ParagrapheIndent2"/>
        <w:spacing w:lineRule="exact" w:line="253"/>
        <w:ind w:left="20" w:right="20" w:hanging="0"/>
        <w:jc w:val="both"/>
        <w:rPr>
          <w:color w:val="000000"/>
        </w:rPr>
      </w:pPr>
      <w:r>
        <w:rPr>
          <w:color w:val="000000"/>
        </w:rPr>
        <w:t xml:space="preserve">Pour tout renseignement complémentaire concernant cette consultation, les candidats transmettent impérativement leur demande par l'intermédiaire du profil d'acheteur de l’acheteur, dont l'adresse URL est la suivante : </w:t>
      </w:r>
    </w:p>
    <w:p>
      <w:pPr>
        <w:pStyle w:val="Normal"/>
        <w:spacing w:lineRule="exact" w:line="253"/>
        <w:ind w:left="20" w:right="20" w:hanging="0"/>
        <w:jc w:val="both"/>
        <w:rPr/>
      </w:pPr>
      <w:r>
        <w:rPr>
          <w:rStyle w:val="LienInternet"/>
          <w:rFonts w:ascii="Marianne;Arial;sans-serif" w:hAnsi="Marianne;Arial;sans-serif"/>
          <w:b w:val="false"/>
          <w:i w:val="false"/>
          <w:caps w:val="false"/>
          <w:smallCaps w:val="false"/>
          <w:color w:val="666666"/>
          <w:spacing w:val="0"/>
          <w:sz w:val="22"/>
          <w:szCs w:val="22"/>
        </w:rPr>
        <w:t>https://www.marches-publics.gouv.fr/?page=Entreprise.EntrepriseAdvancedSearch&amp;AllCons&amp;id=2879352&amp;orgAcronyme=a4n</w:t>
      </w:r>
      <w:r>
        <w:rPr>
          <w:rStyle w:val="LienInternet"/>
          <w:sz w:val="22"/>
          <w:szCs w:val="22"/>
        </w:rPr>
        <w:t xml:space="preserve"> </w:t>
      </w:r>
    </w:p>
    <w:p>
      <w:pPr>
        <w:pStyle w:val="Normal"/>
        <w:rPr/>
      </w:pPr>
      <w:r>
        <w:rPr/>
      </w:r>
    </w:p>
    <w:p>
      <w:pPr>
        <w:pStyle w:val="ParagrapheIndent2"/>
        <w:spacing w:lineRule="exact" w:line="253" w:before="0" w:after="240"/>
        <w:ind w:left="20" w:right="20" w:hanging="0"/>
        <w:jc w:val="both"/>
        <w:rPr>
          <w:color w:val="000000"/>
        </w:rPr>
      </w:pPr>
      <w:r>
        <w:rPr>
          <w:color w:val="000000"/>
        </w:rPr>
        <w:t xml:space="preserve">Cette demande doit intervenir au plus tard 7 jours avant la date limite de réception des offres. </w:t>
      </w:r>
    </w:p>
    <w:p>
      <w:pPr>
        <w:pStyle w:val="ParagrapheIndent2"/>
        <w:spacing w:lineRule="exact" w:line="253" w:before="0" w:after="240"/>
        <w:ind w:left="20" w:right="20" w:hanging="0"/>
        <w:jc w:val="both"/>
        <w:rPr>
          <w:color w:val="000000"/>
        </w:rPr>
      </w:pPr>
      <w:r>
        <w:rPr>
          <w:color w:val="000000"/>
        </w:rPr>
        <w:t>Une réponse sera alors adressée, à toutes les entreprises ayant retiré le dossier ou l'ayant téléchargé après identification, 4 jours au plus tard avant la date limite de réception des offres.</w:t>
      </w:r>
    </w:p>
    <w:p>
      <w:pPr>
        <w:pStyle w:val="Titre2"/>
        <w:ind w:left="300" w:right="20" w:hanging="0"/>
        <w:rPr>
          <w:rFonts w:eastAsia="Arial"/>
          <w:i w:val="false"/>
          <w:i w:val="false"/>
          <w:color w:val="000000"/>
          <w:sz w:val="24"/>
        </w:rPr>
      </w:pPr>
      <w:bookmarkStart w:id="38" w:name="_Toc211605808"/>
      <w:r>
        <w:rPr>
          <w:rFonts w:eastAsia="Arial"/>
          <w:i w:val="false"/>
          <w:color w:val="000000"/>
          <w:sz w:val="24"/>
        </w:rPr>
        <w:t>10.2 - Procédures de recours</w:t>
      </w:r>
      <w:bookmarkEnd w:id="38"/>
    </w:p>
    <w:p>
      <w:pPr>
        <w:pStyle w:val="ParagrapheIndent2"/>
        <w:spacing w:lineRule="exact" w:line="253"/>
        <w:ind w:left="20" w:right="20" w:hanging="0"/>
        <w:jc w:val="both"/>
        <w:rPr>
          <w:color w:val="000000"/>
          <w:u w:val="single"/>
        </w:rPr>
      </w:pPr>
      <w:r>
        <w:rPr>
          <w:color w:val="000000"/>
          <w:u w:val="single"/>
        </w:rPr>
      </w:r>
    </w:p>
    <w:p>
      <w:pPr>
        <w:pStyle w:val="ParagrapheIndent2"/>
        <w:spacing w:lineRule="exact" w:line="253"/>
        <w:ind w:left="20" w:right="20" w:hanging="0"/>
        <w:jc w:val="both"/>
        <w:rPr>
          <w:color w:val="000000"/>
        </w:rPr>
      </w:pPr>
      <w:r>
        <w:rPr>
          <w:color w:val="000000"/>
          <w:u w:val="single"/>
        </w:rPr>
        <w:t>Le tribunal territorialement compétent est</w:t>
      </w:r>
      <w:r>
        <w:rPr>
          <w:color w:val="000000"/>
        </w:rPr>
        <w:t xml:space="preserve"> :</w:t>
      </w:r>
    </w:p>
    <w:p>
      <w:pPr>
        <w:pStyle w:val="Normal"/>
        <w:rPr>
          <w:sz w:val="10"/>
          <w:szCs w:val="10"/>
        </w:rPr>
      </w:pPr>
      <w:r>
        <w:rPr>
          <w:sz w:val="10"/>
          <w:szCs w:val="10"/>
        </w:rPr>
      </w:r>
    </w:p>
    <w:p>
      <w:pPr>
        <w:pStyle w:val="ParagrapheIndent2"/>
        <w:spacing w:lineRule="exact" w:line="253"/>
        <w:ind w:left="20" w:right="20" w:hanging="0"/>
        <w:jc w:val="both"/>
        <w:rPr>
          <w:b/>
          <w:color w:val="000000"/>
        </w:rPr>
      </w:pPr>
      <w:r>
        <w:rPr>
          <w:b/>
          <w:color w:val="000000"/>
        </w:rPr>
        <w:t xml:space="preserve">Tribunal Administratif de Marseille </w:t>
      </w:r>
    </w:p>
    <w:p>
      <w:pPr>
        <w:pStyle w:val="ParagrapheIndent2"/>
        <w:spacing w:lineRule="exact" w:line="253"/>
        <w:ind w:left="20" w:right="20" w:hanging="0"/>
        <w:jc w:val="both"/>
        <w:rPr>
          <w:color w:val="000000"/>
        </w:rPr>
      </w:pPr>
      <w:r>
        <w:rPr>
          <w:color w:val="000000"/>
        </w:rPr>
        <w:t>5 rue Racine</w:t>
      </w:r>
    </w:p>
    <w:p>
      <w:pPr>
        <w:pStyle w:val="ParagrapheIndent2"/>
        <w:spacing w:lineRule="exact" w:line="253"/>
        <w:ind w:left="20" w:right="20" w:hanging="0"/>
        <w:jc w:val="both"/>
        <w:rPr>
          <w:color w:val="000000"/>
        </w:rPr>
      </w:pPr>
      <w:r>
        <w:rPr>
          <w:color w:val="000000"/>
        </w:rPr>
        <w:t>BP 40510</w:t>
      </w:r>
    </w:p>
    <w:p>
      <w:pPr>
        <w:pStyle w:val="ParagrapheIndent2"/>
        <w:spacing w:lineRule="exact" w:line="253"/>
        <w:ind w:left="20" w:right="20" w:hanging="0"/>
        <w:jc w:val="both"/>
        <w:rPr>
          <w:color w:val="000000"/>
        </w:rPr>
      </w:pPr>
      <w:r>
        <w:rPr>
          <w:color w:val="000000"/>
        </w:rPr>
        <w:t>83041 TOULON CEDEX 9</w:t>
      </w:r>
    </w:p>
    <w:p>
      <w:pPr>
        <w:pStyle w:val="ParagrapheIndent2"/>
        <w:spacing w:lineRule="exact" w:line="253"/>
        <w:ind w:left="20" w:right="20" w:hanging="0"/>
        <w:jc w:val="both"/>
        <w:rPr>
          <w:color w:val="000000"/>
        </w:rPr>
      </w:pPr>
      <w:r>
        <w:rPr>
          <w:color w:val="000000"/>
        </w:rPr>
        <w:t>Tél : 04 94 42 79 30               Télécopie : 04 94 42 79 89</w:t>
      </w:r>
    </w:p>
    <w:p>
      <w:pPr>
        <w:pStyle w:val="ParagrapheIndent2"/>
        <w:spacing w:lineRule="exact" w:line="253"/>
        <w:ind w:left="20" w:right="20" w:hanging="0"/>
        <w:jc w:val="both"/>
        <w:rPr>
          <w:color w:val="000000"/>
        </w:rPr>
      </w:pPr>
      <w:r>
        <w:rPr>
          <w:color w:val="000000"/>
        </w:rPr>
        <w:t>Courriel : greffe.ta-toulon@juradm.fr</w:t>
      </w:r>
    </w:p>
    <w:p>
      <w:pPr>
        <w:pStyle w:val="ParagrapheIndent2"/>
        <w:spacing w:lineRule="exact" w:line="253" w:before="0" w:after="240"/>
        <w:ind w:left="20" w:right="20" w:hanging="0"/>
        <w:jc w:val="both"/>
        <w:rPr>
          <w:color w:val="000000"/>
        </w:rPr>
      </w:pPr>
      <w:r>
        <w:rPr>
          <w:color w:val="000000"/>
        </w:rPr>
        <w:t xml:space="preserve">Adresse internet(U.R.L) : </w:t>
      </w:r>
      <w:hyperlink r:id="rId7">
        <w:r>
          <w:rPr>
            <w:rStyle w:val="LienInternet"/>
          </w:rPr>
          <w:t>http://toulon.tribunal-administratif.fr</w:t>
        </w:r>
      </w:hyperlink>
      <w:r>
        <w:rPr>
          <w:color w:val="000000"/>
        </w:rPr>
        <w:t xml:space="preserve"> </w:t>
      </w:r>
    </w:p>
    <w:p>
      <w:pPr>
        <w:pStyle w:val="ParagrapheIndent2"/>
        <w:spacing w:lineRule="exact" w:line="253"/>
        <w:ind w:right="20" w:hanging="0"/>
        <w:jc w:val="both"/>
        <w:rPr>
          <w:color w:val="000000"/>
          <w:u w:val="single"/>
        </w:rPr>
      </w:pPr>
      <w:r>
        <w:rPr>
          <w:color w:val="000000"/>
          <w:u w:val="single"/>
        </w:rPr>
      </w:r>
    </w:p>
    <w:p>
      <w:pPr>
        <w:pStyle w:val="ParagrapheIndent2"/>
        <w:spacing w:lineRule="exact" w:line="253"/>
        <w:ind w:right="20" w:hanging="0"/>
        <w:jc w:val="both"/>
        <w:rPr>
          <w:color w:val="000000"/>
          <w:u w:val="single"/>
        </w:rPr>
      </w:pPr>
      <w:r>
        <w:rPr>
          <w:color w:val="000000"/>
          <w:u w:val="single"/>
        </w:rPr>
        <w:t>Les voies de recours ouvertes aux candidats sont les suivantes :</w:t>
      </w:r>
    </w:p>
    <w:p>
      <w:pPr>
        <w:pStyle w:val="Normal"/>
        <w:rPr/>
      </w:pPr>
      <w:r>
        <w:rPr/>
      </w:r>
    </w:p>
    <w:p>
      <w:pPr>
        <w:pStyle w:val="ParagrapheIndent2"/>
        <w:numPr>
          <w:ilvl w:val="0"/>
          <w:numId w:val="2"/>
        </w:numPr>
        <w:spacing w:lineRule="exact" w:line="253"/>
        <w:ind w:left="720" w:right="-149" w:hanging="360"/>
        <w:jc w:val="both"/>
        <w:rPr>
          <w:color w:val="000000"/>
        </w:rPr>
      </w:pPr>
      <w:r>
        <w:rPr>
          <w:color w:val="000000"/>
        </w:rPr>
        <w:t>Référé précontractuel (Code de Justice Administrative, art. L. 551-1 et s et art. R. 551-1et s). Le juge du référé précontractuel peut être saisi jusqu'à la signature du contrat.</w:t>
      </w:r>
    </w:p>
    <w:p>
      <w:pPr>
        <w:pStyle w:val="Normal"/>
        <w:rPr/>
      </w:pPr>
      <w:r>
        <w:rPr/>
      </w:r>
    </w:p>
    <w:p>
      <w:pPr>
        <w:pStyle w:val="ParagrapheIndent2"/>
        <w:numPr>
          <w:ilvl w:val="0"/>
          <w:numId w:val="2"/>
        </w:numPr>
        <w:spacing w:lineRule="exact" w:line="253"/>
        <w:ind w:left="720" w:right="20" w:hanging="360"/>
        <w:jc w:val="both"/>
        <w:rPr>
          <w:color w:val="000000"/>
        </w:rPr>
      </w:pPr>
      <w:r>
        <w:rPr>
          <w:color w:val="000000"/>
        </w:rPr>
        <w:t>Référé contractuel (Code de Justice Administrative, art. L. 551-13 et s.). Le référé contractuel peut être exercé dans un délai de 31 jours, à compter de la publication d'un avis d'attribution du contrat au Journal Officiel de l'Union européenne (JOUE) ou 6 mois, à compter du lendemain du jour de la conclusion du contrat, si aucun avis d'attribution n'a été publié ou si aucune notification de la conclusion du contrat n'a été effectuée.</w:t>
      </w:r>
    </w:p>
    <w:p>
      <w:pPr>
        <w:pStyle w:val="Normal"/>
        <w:rPr/>
      </w:pPr>
      <w:r>
        <w:rPr/>
      </w:r>
    </w:p>
    <w:p>
      <w:pPr>
        <w:pStyle w:val="ParagrapheIndent2"/>
        <w:numPr>
          <w:ilvl w:val="0"/>
          <w:numId w:val="2"/>
        </w:numPr>
        <w:spacing w:lineRule="exact" w:line="253"/>
        <w:ind w:left="720" w:right="20" w:hanging="360"/>
        <w:jc w:val="both"/>
        <w:rPr>
          <w:color w:val="000000"/>
        </w:rPr>
      </w:pPr>
      <w:r>
        <w:rPr>
          <w:color w:val="000000"/>
        </w:rPr>
        <w:t>Recours de pleine juridiction en contestation de la validité du contrat, issu de la jurisprudence « Tarn-et-Garonne » (CE Ass, 4 avril 2014, Département de Tarn-et-Garonne, n°358994) dans un délai de 2 mois à compter des mesures de publicité appropriées.</w:t>
      </w:r>
    </w:p>
    <w:p>
      <w:pPr>
        <w:pStyle w:val="Normal"/>
        <w:rPr/>
      </w:pPr>
      <w:r>
        <w:rPr/>
      </w:r>
    </w:p>
    <w:p>
      <w:pPr>
        <w:pStyle w:val="ParagrapheIndent2"/>
        <w:numPr>
          <w:ilvl w:val="0"/>
          <w:numId w:val="2"/>
        </w:numPr>
        <w:spacing w:lineRule="exact" w:line="253"/>
        <w:ind w:left="720" w:right="20" w:hanging="360"/>
        <w:jc w:val="both"/>
        <w:rPr>
          <w:color w:val="000000"/>
        </w:rPr>
      </w:pPr>
      <w:r>
        <w:rPr>
          <w:color w:val="000000"/>
        </w:rPr>
        <w:t>Recours gracieux devant l’auteur de l’acte dans un délai de deux mois à compter de la réception du courrier de rejet.</w:t>
      </w:r>
    </w:p>
    <w:p>
      <w:pPr>
        <w:pStyle w:val="Normal"/>
        <w:rPr/>
      </w:pPr>
      <w:r>
        <w:rPr/>
      </w:r>
    </w:p>
    <w:p>
      <w:pPr>
        <w:pStyle w:val="ListParagraph"/>
        <w:numPr>
          <w:ilvl w:val="0"/>
          <w:numId w:val="2"/>
        </w:numPr>
        <w:jc w:val="both"/>
        <w:rPr>
          <w:szCs w:val="22"/>
        </w:rPr>
      </w:pPr>
      <w:bookmarkStart w:id="39" w:name="_Hlk194999662"/>
      <w:r>
        <w:rPr>
          <w:rFonts w:cs="Arial" w:ascii="Arial" w:hAnsi="Arial"/>
          <w:sz w:val="22"/>
          <w:szCs w:val="22"/>
        </w:rPr>
        <w:t>Recours en excès de pouvoir</w:t>
      </w:r>
      <w:r>
        <w:rPr>
          <w:rFonts w:eastAsia="Trebuchet MS" w:cs="Arial" w:ascii="Arial" w:hAnsi="Arial"/>
          <w:sz w:val="22"/>
        </w:rPr>
        <w:t xml:space="preserve"> contre une décision administrative prévu aux articles R. 421-1 à R. 421-7 du Code de Justice Administrative et pouvant être exercé dans un délai de 2 mois suivant la notification ou publication de la décision de l’organisme.</w:t>
      </w:r>
      <w:bookmarkEnd w:id="39"/>
    </w:p>
    <w:sectPr>
      <w:footerReference w:type="default" r:id="rId8"/>
      <w:type w:val="nextPage"/>
      <w:pgSz w:w="11906" w:h="16838"/>
      <w:pgMar w:left="1134" w:right="1134" w:gutter="0" w:header="0"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rebuchet MS">
    <w:charset w:val="00"/>
    <w:family w:val="roman"/>
    <w:pitch w:val="variable"/>
  </w:font>
  <w:font w:name="Calibri">
    <w:charset w:val="00"/>
    <w:family w:val="roman"/>
    <w:pitch w:val="variable"/>
  </w:font>
  <w:font w:name="Marianne">
    <w:altName w:val="Arial"/>
    <w:charset w:val="00"/>
    <w:family w:val="auto"/>
    <w:pitch w:val="default"/>
  </w:font>
  <w:font w:name="Arial">
    <w:charset w:val="0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460" w:type="dxa"/>
      <w:jc w:val="left"/>
      <w:tblInd w:w="-88" w:type="dxa"/>
      <w:tblLayout w:type="fixed"/>
      <w:tblCellMar>
        <w:top w:w="0" w:type="dxa"/>
        <w:left w:w="0" w:type="dxa"/>
        <w:bottom w:w="0" w:type="dxa"/>
        <w:right w:w="0" w:type="dxa"/>
      </w:tblCellMar>
      <w:tblLook w:firstRow="1" w:noVBand="1" w:lastRow="0" w:firstColumn="1" w:lastColumn="0" w:noHBand="0" w:val="04a0"/>
    </w:tblPr>
    <w:tblGrid>
      <w:gridCol w:w="8060"/>
      <w:gridCol w:w="4399"/>
    </w:tblGrid>
    <w:tr>
      <w:trPr>
        <w:trHeight w:val="284" w:hRule="atLeast"/>
      </w:trPr>
      <w:tc>
        <w:tcPr>
          <w:tcW w:w="8060" w:type="dxa"/>
          <w:tcBorders/>
          <w:vAlign w:val="center"/>
        </w:tcPr>
        <w:p>
          <w:pPr>
            <w:pStyle w:val="Normal"/>
            <w:widowControl w:val="false"/>
            <w:pBdr>
              <w:top w:val="single" w:sz="4" w:space="1" w:color="000000"/>
            </w:pBdr>
            <w:ind w:right="419" w:hanging="0"/>
            <w:jc w:val="center"/>
            <w:rPr/>
          </w:pPr>
          <w:r>
            <w:rPr>
              <w:rFonts w:cs="Arial" w:ascii="Arial" w:hAnsi="Arial"/>
              <w:sz w:val="20"/>
              <w:szCs w:val="20"/>
            </w:rPr>
            <w:t>Maîtrise d’œuvre pour la rénovation de logements vacants – LA JOLIETTE - RC</w:t>
          </w:r>
        </w:p>
      </w:tc>
      <w:tc>
        <w:tcPr>
          <w:tcW w:w="4399" w:type="dxa"/>
          <w:tcBorders/>
          <w:vAlign w:val="center"/>
        </w:tcPr>
        <w:p>
          <w:pPr>
            <w:pStyle w:val="PiedDePage"/>
            <w:widowControl w:val="false"/>
            <w:ind w:right="711" w:firstLine="577"/>
            <w:rPr>
              <w:color w:val="000000"/>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11</w:t>
          </w:r>
          <w:r>
            <w:rPr>
              <w:color w:val="000000"/>
            </w:rPr>
            <w:fldChar w:fldCharType="end"/>
          </w:r>
          <w:r>
            <w:rPr>
              <w:color w:val="000000"/>
            </w:rPr>
            <w:t xml:space="preserve"> sur </w:t>
          </w:r>
          <w:r>
            <w:rPr>
              <w:color w:val="000000"/>
            </w:rPr>
            <w:fldChar w:fldCharType="begin"/>
          </w:r>
          <w:r>
            <w:rPr>
              <w:color w:val="000000"/>
            </w:rPr>
            <w:instrText xml:space="preserve"> NUMPAGES </w:instrText>
          </w:r>
          <w:r>
            <w:rPr>
              <w:color w:val="000000"/>
            </w:rPr>
            <w:fldChar w:fldCharType="separate"/>
          </w:r>
          <w:r>
            <w:rPr>
              <w:color w:val="000000"/>
            </w:rPr>
            <w:t>11</w:t>
          </w:r>
          <w:r>
            <w:rPr>
              <w:color w:val="000000"/>
            </w:rPr>
            <w:fldChar w:fldCharType="end"/>
          </w:r>
        </w:p>
      </w:tc>
    </w:tr>
    <w:tr>
      <w:trPr>
        <w:trHeight w:val="260" w:hRule="atLeast"/>
      </w:trPr>
      <w:tc>
        <w:tcPr>
          <w:tcW w:w="8060" w:type="dxa"/>
          <w:tcBorders/>
          <w:vAlign w:val="center"/>
        </w:tcPr>
        <w:p>
          <w:pPr>
            <w:pStyle w:val="PiedDePage"/>
            <w:widowControl w:val="false"/>
            <w:rPr>
              <w:color w:val="000000"/>
            </w:rPr>
          </w:pPr>
          <w:r>
            <w:rPr>
              <w:color w:val="000000"/>
            </w:rPr>
          </w:r>
        </w:p>
      </w:tc>
      <w:tc>
        <w:tcPr>
          <w:tcW w:w="4399" w:type="dxa"/>
          <w:tcBorders/>
          <w:vAlign w:val="center"/>
        </w:tcPr>
        <w:p>
          <w:pPr>
            <w:pStyle w:val="PiedDePage"/>
            <w:widowControl w:val="false"/>
            <w:ind w:right="711" w:firstLine="577"/>
            <w:jc w:val="right"/>
            <w:rPr>
              <w:color w:val="000000"/>
            </w:rPr>
          </w:pPr>
          <w:r>
            <w:rPr>
              <w:color w:val="000000"/>
            </w:rPr>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4"/>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420" w:hanging="360"/>
      </w:pPr>
      <w:rPr/>
    </w:lvl>
    <w:lvl w:ilvl="1">
      <w:start w:val="1"/>
      <w:numFmt w:val="lowerLetter"/>
      <w:lvlText w:val="%2."/>
      <w:lvlJc w:val="left"/>
      <w:pPr>
        <w:tabs>
          <w:tab w:val="num" w:pos="0"/>
        </w:tabs>
        <w:ind w:left="1140" w:hanging="360"/>
      </w:pPr>
      <w:rPr/>
    </w:lvl>
    <w:lvl w:ilvl="2">
      <w:start w:val="1"/>
      <w:numFmt w:val="lowerRoman"/>
      <w:lvlText w:val="%3."/>
      <w:lvlJc w:val="right"/>
      <w:pPr>
        <w:tabs>
          <w:tab w:val="num" w:pos="0"/>
        </w:tabs>
        <w:ind w:left="1860" w:hanging="180"/>
      </w:pPr>
      <w:rPr/>
    </w:lvl>
    <w:lvl w:ilvl="3">
      <w:start w:val="1"/>
      <w:numFmt w:val="decimal"/>
      <w:lvlText w:val="%4."/>
      <w:lvlJc w:val="left"/>
      <w:pPr>
        <w:tabs>
          <w:tab w:val="num" w:pos="0"/>
        </w:tabs>
        <w:ind w:left="2580" w:hanging="360"/>
      </w:pPr>
      <w:rPr/>
    </w:lvl>
    <w:lvl w:ilvl="4">
      <w:start w:val="1"/>
      <w:numFmt w:val="lowerLetter"/>
      <w:lvlText w:val="%5."/>
      <w:lvlJc w:val="left"/>
      <w:pPr>
        <w:tabs>
          <w:tab w:val="num" w:pos="0"/>
        </w:tabs>
        <w:ind w:left="3300" w:hanging="360"/>
      </w:pPr>
      <w:rPr/>
    </w:lvl>
    <w:lvl w:ilvl="5">
      <w:start w:val="1"/>
      <w:numFmt w:val="lowerRoman"/>
      <w:lvlText w:val="%6."/>
      <w:lvlJc w:val="right"/>
      <w:pPr>
        <w:tabs>
          <w:tab w:val="num" w:pos="0"/>
        </w:tabs>
        <w:ind w:left="4020" w:hanging="180"/>
      </w:pPr>
      <w:rPr/>
    </w:lvl>
    <w:lvl w:ilvl="6">
      <w:start w:val="1"/>
      <w:numFmt w:val="decimal"/>
      <w:lvlText w:val="%7."/>
      <w:lvlJc w:val="left"/>
      <w:pPr>
        <w:tabs>
          <w:tab w:val="num" w:pos="0"/>
        </w:tabs>
        <w:ind w:left="4740" w:hanging="360"/>
      </w:pPr>
      <w:rPr/>
    </w:lvl>
    <w:lvl w:ilvl="7">
      <w:start w:val="1"/>
      <w:numFmt w:val="lowerLetter"/>
      <w:lvlText w:val="%8."/>
      <w:lvlJc w:val="left"/>
      <w:pPr>
        <w:tabs>
          <w:tab w:val="num" w:pos="0"/>
        </w:tabs>
        <w:ind w:left="5460" w:hanging="360"/>
      </w:pPr>
      <w:rPr/>
    </w:lvl>
    <w:lvl w:ilvl="8">
      <w:start w:val="1"/>
      <w:numFmt w:val="lowerRoman"/>
      <w:lvlText w:val="%9."/>
      <w:lvlJc w:val="right"/>
      <w:pPr>
        <w:tabs>
          <w:tab w:val="num" w:pos="0"/>
        </w:tabs>
        <w:ind w:left="61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fr-FR" w:eastAsia="en-US" w:bidi="ar-SA"/>
    </w:rPr>
  </w:style>
  <w:style w:type="paragraph" w:styleId="Titre1">
    <w:name w:val="Heading 1"/>
    <w:basedOn w:val="Normal"/>
    <w:next w:val="Normal"/>
    <w:qFormat/>
    <w:rsid w:val="00ef7b96"/>
    <w:pPr>
      <w:keepNext w:val="true"/>
      <w:spacing w:before="0" w:after="120"/>
      <w:outlineLvl w:val="0"/>
    </w:pPr>
    <w:rPr>
      <w:rFonts w:ascii="Arial" w:hAnsi="Arial" w:cs="Arial"/>
      <w:b/>
      <w:bCs/>
      <w:kern w:val="2"/>
      <w:sz w:val="32"/>
      <w:szCs w:val="32"/>
    </w:rPr>
  </w:style>
  <w:style w:type="paragraph" w:styleId="Titre2">
    <w:name w:val="Heading 2"/>
    <w:basedOn w:val="Normal"/>
    <w:next w:val="Normal"/>
    <w:qFormat/>
    <w:rsid w:val="00ef7b96"/>
    <w:pPr>
      <w:keepNext w:val="true"/>
      <w:spacing w:before="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LienInternet">
    <w:name w:val="Hyperlink"/>
    <w:basedOn w:val="DefaultParagraphFont"/>
    <w:unhideWhenUsed/>
    <w:rsid w:val="00730b3b"/>
    <w:rPr>
      <w:color w:val="0563C1" w:themeColor="hyperlink"/>
      <w:u w:val="single"/>
    </w:rPr>
  </w:style>
  <w:style w:type="character" w:styleId="Fixedgrey" w:customStyle="1">
    <w:name w:val="fixed_grey"/>
    <w:basedOn w:val="DefaultParagraphFont"/>
    <w:qFormat/>
    <w:rsid w:val="00e1043c"/>
    <w:rPr/>
  </w:style>
  <w:style w:type="character" w:styleId="TextedebullesCar" w:customStyle="1">
    <w:name w:val="Texte de bulles Car"/>
    <w:basedOn w:val="DefaultParagraphFont"/>
    <w:link w:val="BalloonText"/>
    <w:semiHidden/>
    <w:qFormat/>
    <w:rsid w:val="00430a59"/>
    <w:rPr>
      <w:rFonts w:ascii="Segoe UI" w:hAnsi="Segoe UI" w:cs="Segoe UI"/>
      <w:sz w:val="18"/>
      <w:szCs w:val="18"/>
      <w:lang w:val="fr-FR"/>
    </w:rPr>
  </w:style>
  <w:style w:type="character" w:styleId="CorpsdetexteCar" w:customStyle="1">
    <w:name w:val="Corps de texte Car"/>
    <w:basedOn w:val="DefaultParagraphFont"/>
    <w:uiPriority w:val="1"/>
    <w:qFormat/>
    <w:rsid w:val="00202360"/>
    <w:rPr>
      <w:rFonts w:ascii="Arial" w:hAnsi="Arial" w:eastAsia="Arial" w:cs="Arial"/>
      <w:sz w:val="22"/>
      <w:szCs w:val="22"/>
      <w:lang w:val="fr-FR" w:eastAsia="fr-FR" w:bidi="fr-FR"/>
    </w:rPr>
  </w:style>
  <w:style w:type="character" w:styleId="LienInternetvisit">
    <w:name w:val="FollowedHyperlink"/>
    <w:basedOn w:val="DefaultParagraphFont"/>
    <w:semiHidden/>
    <w:unhideWhenUsed/>
    <w:rsid w:val="00672356"/>
    <w:rPr>
      <w:color w:val="954F72" w:themeColor="followedHyperlink"/>
      <w:u w:val="single"/>
    </w:rPr>
  </w:style>
  <w:style w:type="character" w:styleId="En-tteCar" w:customStyle="1">
    <w:name w:val="En-tête Car"/>
    <w:basedOn w:val="DefaultParagraphFont"/>
    <w:uiPriority w:val="99"/>
    <w:qFormat/>
    <w:rsid w:val="00e87d4d"/>
    <w:rPr>
      <w:sz w:val="24"/>
      <w:szCs w:val="24"/>
      <w:lang w:val="fr-FR"/>
    </w:rPr>
  </w:style>
  <w:style w:type="character" w:styleId="PieddepageCar" w:customStyle="1">
    <w:name w:val="Pied de page Car"/>
    <w:basedOn w:val="DefaultParagraphFont"/>
    <w:qFormat/>
    <w:rsid w:val="00e87d4d"/>
    <w:rPr>
      <w:sz w:val="24"/>
      <w:szCs w:val="24"/>
      <w:lang w:val="fr-FR"/>
    </w:rPr>
  </w:style>
  <w:style w:type="character" w:styleId="Mentionnonrsolue1" w:customStyle="1">
    <w:name w:val="Mention non résolue1"/>
    <w:basedOn w:val="DefaultParagraphFont"/>
    <w:uiPriority w:val="99"/>
    <w:semiHidden/>
    <w:unhideWhenUsed/>
    <w:qFormat/>
    <w:rsid w:val="000662f9"/>
    <w:rPr>
      <w:color w:val="605E5C"/>
      <w:shd w:fill="E1DFDD" w:val="clear"/>
    </w:rPr>
  </w:style>
  <w:style w:type="character" w:styleId="Annotationreference">
    <w:name w:val="annotation reference"/>
    <w:basedOn w:val="DefaultParagraphFont"/>
    <w:semiHidden/>
    <w:unhideWhenUsed/>
    <w:qFormat/>
    <w:rsid w:val="0086091d"/>
    <w:rPr>
      <w:sz w:val="16"/>
      <w:szCs w:val="16"/>
    </w:rPr>
  </w:style>
  <w:style w:type="character" w:styleId="CommentaireCar" w:customStyle="1">
    <w:name w:val="Commentaire Car"/>
    <w:basedOn w:val="DefaultParagraphFont"/>
    <w:link w:val="Annotationtext"/>
    <w:semiHidden/>
    <w:qFormat/>
    <w:rsid w:val="0086091d"/>
    <w:rPr>
      <w:lang w:val="fr-FR"/>
    </w:rPr>
  </w:style>
  <w:style w:type="character" w:styleId="ObjetducommentaireCar" w:customStyle="1">
    <w:name w:val="Objet du commentaire Car"/>
    <w:basedOn w:val="CommentaireCar"/>
    <w:link w:val="Annotationsubject"/>
    <w:semiHidden/>
    <w:qFormat/>
    <w:rsid w:val="0086091d"/>
    <w:rPr>
      <w:b/>
      <w:bCs/>
      <w:lang w:val="fr-FR"/>
    </w:rPr>
  </w:style>
  <w:style w:type="character" w:styleId="Mentionnonrsolue2" w:customStyle="1">
    <w:name w:val="Mention non résolue2"/>
    <w:basedOn w:val="DefaultParagraphFont"/>
    <w:uiPriority w:val="99"/>
    <w:semiHidden/>
    <w:unhideWhenUsed/>
    <w:qFormat/>
    <w:rsid w:val="001810f1"/>
    <w:rPr>
      <w:color w:val="605E5C"/>
      <w:shd w:fill="E1DFDD" w:val="clear"/>
    </w:rPr>
  </w:style>
  <w:style w:type="character" w:styleId="Mentionnonrsolue3" w:customStyle="1">
    <w:name w:val="Mention non résolue3"/>
    <w:basedOn w:val="DefaultParagraphFont"/>
    <w:uiPriority w:val="99"/>
    <w:semiHidden/>
    <w:unhideWhenUsed/>
    <w:qFormat/>
    <w:rsid w:val="00a51664"/>
    <w:rPr>
      <w:color w:val="605E5C"/>
      <w:shd w:fill="E1DFDD" w:val="clear"/>
    </w:rPr>
  </w:style>
  <w:style w:type="character" w:styleId="Normal2Car" w:customStyle="1">
    <w:name w:val="Normal2 Car"/>
    <w:link w:val="Normal2"/>
    <w:qFormat/>
    <w:rsid w:val="00b64349"/>
    <w:rPr>
      <w:sz w:val="22"/>
      <w:lang w:val="x-none" w:eastAsia="x-none"/>
    </w:rPr>
  </w:style>
  <w:style w:type="character" w:styleId="UnresolvedMention">
    <w:name w:val="Unresolved Mention"/>
    <w:basedOn w:val="DefaultParagraphFont"/>
    <w:uiPriority w:val="99"/>
    <w:semiHidden/>
    <w:unhideWhenUsed/>
    <w:qFormat/>
    <w:rsid w:val="007655b4"/>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1"/>
    <w:qFormat/>
    <w:rsid w:val="00202360"/>
    <w:pPr>
      <w:widowControl w:val="false"/>
    </w:pPr>
    <w:rPr>
      <w:rFonts w:ascii="Arial" w:hAnsi="Arial" w:eastAsia="Arial" w:cs="Arial"/>
      <w:sz w:val="22"/>
      <w:szCs w:val="22"/>
      <w:lang w:eastAsia="fr-FR" w:bidi="fr-F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 w:customStyle="1">
    <w:name w:val="table"/>
    <w:qFormat/>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TableGroupe" w:customStyle="1">
    <w:name w:val="tableGroupe"/>
    <w:qFormat/>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PiedDePage" w:customStyle="1">
    <w:name w:val="PiedDePage"/>
    <w:basedOn w:val="Normal"/>
    <w:next w:val="Normal"/>
    <w:qFormat/>
    <w:pPr/>
    <w:rPr>
      <w:rFonts w:ascii="Arial" w:hAnsi="Arial" w:eastAsia="Arial" w:cs="Arial"/>
      <w:sz w:val="18"/>
    </w:rPr>
  </w:style>
  <w:style w:type="paragraph" w:styleId="ParagrapheIndent2" w:customStyle="1">
    <w:name w:val="ParagrapheIndent2"/>
    <w:basedOn w:val="Normal"/>
    <w:next w:val="Normal"/>
    <w:qFormat/>
    <w:pPr/>
    <w:rPr>
      <w:rFonts w:ascii="Arial" w:hAnsi="Arial" w:eastAsia="Arial" w:cs="Arial"/>
      <w:sz w:val="22"/>
    </w:rPr>
  </w:style>
  <w:style w:type="paragraph" w:styleId="Style12" w:customStyle="1">
    <w:name w:val="style1"/>
    <w:basedOn w:val="Normal"/>
    <w:next w:val="Normal"/>
    <w:qFormat/>
    <w:pPr/>
    <w:rPr>
      <w:rFonts w:ascii="Arial" w:hAnsi="Arial" w:eastAsia="Arial" w:cs="Arial"/>
      <w:sz w:val="22"/>
    </w:rPr>
  </w:style>
  <w:style w:type="paragraph" w:styleId="Valign" w:customStyle="1">
    <w:name w:val="Valign"/>
    <w:basedOn w:val="Normal"/>
    <w:next w:val="Normal"/>
    <w:qFormat/>
    <w:pPr/>
    <w:rPr>
      <w:rFonts w:ascii="Arial" w:hAnsi="Arial" w:eastAsia="Arial" w:cs="Arial"/>
      <w:sz w:val="22"/>
    </w:rPr>
  </w:style>
  <w:style w:type="paragraph" w:styleId="TableCF" w:customStyle="1">
    <w:name w:val="table CF"/>
    <w:basedOn w:val="Normal"/>
    <w:next w:val="Normal"/>
    <w:qFormat/>
    <w:pPr/>
    <w:rPr>
      <w:rFonts w:ascii="Arial" w:hAnsi="Arial" w:eastAsia="Arial" w:cs="Arial"/>
      <w:b/>
      <w:sz w:val="22"/>
    </w:rPr>
  </w:style>
  <w:style w:type="paragraph" w:styleId="TableCH" w:customStyle="1">
    <w:name w:val="table CH"/>
    <w:basedOn w:val="Normal"/>
    <w:next w:val="Normal"/>
    <w:qFormat/>
    <w:pPr/>
    <w:rPr>
      <w:rFonts w:ascii="Trebuchet MS" w:hAnsi="Trebuchet MS" w:eastAsia="Trebuchet MS" w:cs="Trebuchet MS"/>
      <w:b/>
      <w:sz w:val="22"/>
    </w:rPr>
  </w:style>
  <w:style w:type="paragraph" w:styleId="TableTD" w:customStyle="1">
    <w:name w:val="table TD"/>
    <w:basedOn w:val="Normal"/>
    <w:next w:val="Normal"/>
    <w:qFormat/>
    <w:pPr/>
    <w:rPr>
      <w:rFonts w:ascii="Arial" w:hAnsi="Arial" w:eastAsia="Arial" w:cs="Arial"/>
      <w:sz w:val="22"/>
    </w:rPr>
  </w:style>
  <w:style w:type="paragraph" w:styleId="ParagrapheIndent1" w:customStyle="1">
    <w:name w:val="ParagrapheIndent1"/>
    <w:basedOn w:val="Normal"/>
    <w:next w:val="Normal"/>
    <w:qFormat/>
    <w:pPr/>
    <w:rPr>
      <w:rFonts w:ascii="Arial" w:hAnsi="Arial" w:eastAsia="Arial" w:cs="Arial"/>
      <w:sz w:val="22"/>
    </w:rPr>
  </w:style>
  <w:style w:type="paragraph" w:styleId="Tabledesmatiresniveau1">
    <w:name w:val="TOC 1"/>
    <w:basedOn w:val="Normal"/>
    <w:next w:val="Normal"/>
    <w:autoRedefine/>
    <w:uiPriority w:val="39"/>
    <w:rsid w:val="00805bce"/>
    <w:pPr/>
    <w:rPr/>
  </w:style>
  <w:style w:type="paragraph" w:styleId="Tabledesmatiresniveau2">
    <w:name w:val="TOC 2"/>
    <w:basedOn w:val="Normal"/>
    <w:next w:val="Normal"/>
    <w:autoRedefine/>
    <w:uiPriority w:val="39"/>
    <w:rsid w:val="00805bce"/>
    <w:pPr>
      <w:ind w:left="240" w:hanging="0"/>
    </w:pPr>
    <w:rPr/>
  </w:style>
  <w:style w:type="paragraph" w:styleId="ListParagraph">
    <w:name w:val="List Paragraph"/>
    <w:basedOn w:val="Normal"/>
    <w:uiPriority w:val="34"/>
    <w:qFormat/>
    <w:rsid w:val="00b26aed"/>
    <w:pPr>
      <w:spacing w:before="0" w:after="0"/>
      <w:ind w:left="720" w:hanging="0"/>
      <w:contextualSpacing/>
    </w:pPr>
    <w:rPr/>
  </w:style>
  <w:style w:type="paragraph" w:styleId="BalloonText">
    <w:name w:val="Balloon Text"/>
    <w:basedOn w:val="Normal"/>
    <w:link w:val="TextedebullesCar"/>
    <w:semiHidden/>
    <w:unhideWhenUsed/>
    <w:qFormat/>
    <w:rsid w:val="00430a59"/>
    <w:pPr/>
    <w:rPr>
      <w:rFonts w:ascii="Segoe UI" w:hAnsi="Segoe UI" w:cs="Segoe UI"/>
      <w:sz w:val="18"/>
      <w:szCs w:val="18"/>
    </w:rPr>
  </w:style>
  <w:style w:type="paragraph" w:styleId="Contenudetableau" w:customStyle="1">
    <w:name w:val="Contenu de tableau"/>
    <w:basedOn w:val="Normal"/>
    <w:qFormat/>
    <w:rsid w:val="00e87d4d"/>
    <w:pPr>
      <w:suppressAutoHyphens w:val="true"/>
      <w:spacing w:lineRule="auto" w:line="276" w:before="0" w:after="200"/>
    </w:pPr>
    <w:rPr>
      <w:rFonts w:ascii="Arial" w:hAnsi="Arial" w:eastAsia="Calibri" w:cs="Arial" w:eastAsiaTheme="minorHAnsi"/>
      <w:color w:val="00000A"/>
      <w:sz w:val="20"/>
      <w:szCs w:val="20"/>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e87d4d"/>
    <w:pPr>
      <w:tabs>
        <w:tab w:val="clear" w:pos="720"/>
        <w:tab w:val="center" w:pos="4536" w:leader="none"/>
        <w:tab w:val="right" w:pos="9072" w:leader="none"/>
      </w:tabs>
    </w:pPr>
    <w:rPr/>
  </w:style>
  <w:style w:type="paragraph" w:styleId="Pieddepage1">
    <w:name w:val="Footer"/>
    <w:basedOn w:val="Normal"/>
    <w:link w:val="PieddepageCar"/>
    <w:unhideWhenUsed/>
    <w:rsid w:val="00e87d4d"/>
    <w:pPr>
      <w:tabs>
        <w:tab w:val="clear" w:pos="720"/>
        <w:tab w:val="center" w:pos="4536" w:leader="none"/>
        <w:tab w:val="right" w:pos="9072" w:leader="none"/>
      </w:tabs>
    </w:pPr>
    <w:rPr/>
  </w:style>
  <w:style w:type="paragraph" w:styleId="NormalWeb">
    <w:name w:val="Normal (Web)"/>
    <w:basedOn w:val="Normal"/>
    <w:uiPriority w:val="99"/>
    <w:semiHidden/>
    <w:unhideWhenUsed/>
    <w:qFormat/>
    <w:rsid w:val="005275e7"/>
    <w:pPr>
      <w:spacing w:beforeAutospacing="1" w:afterAutospacing="1"/>
    </w:pPr>
    <w:rPr>
      <w:lang w:eastAsia="fr-FR"/>
    </w:rPr>
  </w:style>
  <w:style w:type="paragraph" w:styleId="Default" w:customStyle="1">
    <w:name w:val="Default"/>
    <w:qFormat/>
    <w:rsid w:val="0097150d"/>
    <w:pPr>
      <w:widowControl/>
      <w:bidi w:val="0"/>
      <w:spacing w:before="0" w:after="0"/>
      <w:jc w:val="left"/>
    </w:pPr>
    <w:rPr>
      <w:rFonts w:ascii="Arial" w:hAnsi="Arial" w:cs="Arial" w:eastAsia="Times New Roman"/>
      <w:color w:val="000000"/>
      <w:kern w:val="0"/>
      <w:sz w:val="24"/>
      <w:szCs w:val="24"/>
      <w:lang w:val="fr-FR" w:eastAsia="fr-FR" w:bidi="ar-SA"/>
    </w:rPr>
  </w:style>
  <w:style w:type="paragraph" w:styleId="Annotationtext">
    <w:name w:val="annotation text"/>
    <w:basedOn w:val="Normal"/>
    <w:link w:val="CommentaireCar"/>
    <w:semiHidden/>
    <w:unhideWhenUsed/>
    <w:qFormat/>
    <w:rsid w:val="0086091d"/>
    <w:pPr/>
    <w:rPr>
      <w:sz w:val="20"/>
      <w:szCs w:val="20"/>
    </w:rPr>
  </w:style>
  <w:style w:type="paragraph" w:styleId="Annotationsubject">
    <w:name w:val="annotation subject"/>
    <w:basedOn w:val="Annotationtext"/>
    <w:next w:val="Annotationtext"/>
    <w:link w:val="ObjetducommentaireCar"/>
    <w:semiHidden/>
    <w:unhideWhenUsed/>
    <w:qFormat/>
    <w:rsid w:val="0086091d"/>
    <w:pPr/>
    <w:rPr>
      <w:b/>
      <w:bCs/>
    </w:rPr>
  </w:style>
  <w:style w:type="paragraph" w:styleId="Normal2" w:customStyle="1">
    <w:name w:val="Normal2"/>
    <w:basedOn w:val="Normal"/>
    <w:link w:val="Normal2Car"/>
    <w:qFormat/>
    <w:rsid w:val="00b64349"/>
    <w:pPr>
      <w:keepLines/>
      <w:tabs>
        <w:tab w:val="clear" w:pos="720"/>
        <w:tab w:val="left" w:pos="567" w:leader="none"/>
        <w:tab w:val="left" w:pos="851" w:leader="none"/>
        <w:tab w:val="left" w:pos="1134" w:leader="none"/>
      </w:tabs>
      <w:ind w:left="284" w:firstLine="284"/>
      <w:jc w:val="both"/>
    </w:pPr>
    <w:rPr>
      <w:sz w:val="22"/>
      <w:szCs w:val="20"/>
      <w:lang w:val="x-none" w:eastAsia="x-none"/>
    </w:rPr>
  </w:style>
  <w:style w:type="paragraph" w:styleId="Normal1" w:customStyle="1">
    <w:name w:val="Normal1"/>
    <w:basedOn w:val="Normal"/>
    <w:qFormat/>
    <w:rsid w:val="00ca4efa"/>
    <w:pPr>
      <w:keepLines/>
      <w:tabs>
        <w:tab w:val="clear" w:pos="720"/>
        <w:tab w:val="left" w:pos="284" w:leader="none"/>
        <w:tab w:val="left" w:pos="567" w:leader="none"/>
        <w:tab w:val="left" w:pos="851" w:leader="none"/>
      </w:tabs>
      <w:ind w:firstLine="284"/>
      <w:jc w:val="both"/>
    </w:pPr>
    <w:rPr>
      <w:sz w:val="22"/>
      <w:szCs w:val="20"/>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0217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var-amenagement-developpement.fr/" TargetMode="External"/><Relationship Id="rId4" Type="http://schemas.openxmlformats.org/officeDocument/2006/relationships/hyperlink" Target="https://www.economie.gouv.fr/daj/formulaires-declaration-du-candidat" TargetMode="External"/><Relationship Id="rId5" Type="http://schemas.openxmlformats.org/officeDocument/2006/relationships/hyperlink" Target="mailto:l.escolano@vad83.eu" TargetMode="External"/><Relationship Id="rId6" Type="http://schemas.openxmlformats.org/officeDocument/2006/relationships/hyperlink" Target="mailto:a.piquel@vad83.eu" TargetMode="External"/><Relationship Id="rId7" Type="http://schemas.openxmlformats.org/officeDocument/2006/relationships/hyperlink" Target="http://toulon.tribunal-administratif.fr/"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A3A45-22F6-4ACB-B257-53E006B5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LibreOffice/7.5.3.2$Windows_X86_64 LibreOffice_project/9f56dff12ba03b9acd7730a5a481eea045e468f3</Application>
  <AppVersion>15.0000</AppVersion>
  <Pages>11</Pages>
  <Words>3611</Words>
  <Characters>19881</Characters>
  <CharactersWithSpaces>23308</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2025-10-28T09:33:51Z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