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207" w:type="dxa"/>
        <w:tblInd w:w="-743" w:type="dxa"/>
        <w:tblLook w:val="01E0" w:firstRow="1" w:lastRow="1" w:firstColumn="1" w:lastColumn="1" w:noHBand="0" w:noVBand="0"/>
      </w:tblPr>
      <w:tblGrid>
        <w:gridCol w:w="1702"/>
        <w:gridCol w:w="8505"/>
      </w:tblGrid>
      <w:tr w:rsidR="00CD6138" w14:paraId="4AC4B9A0" w14:textId="77777777" w:rsidTr="00AC5A66">
        <w:trPr>
          <w:cantSplit/>
          <w:trHeight w:val="1701"/>
        </w:trPr>
        <w:tc>
          <w:tcPr>
            <w:tcW w:w="1702" w:type="dxa"/>
            <w:vAlign w:val="center"/>
          </w:tcPr>
          <w:p w14:paraId="3395F527" w14:textId="77777777" w:rsidR="00CD6138" w:rsidRDefault="00CD6138" w:rsidP="00AC5A66">
            <w:pPr>
              <w:ind w:left="-38"/>
              <w:rPr>
                <w:i/>
                <w:sz w:val="20"/>
                <w:szCs w:val="20"/>
              </w:rPr>
            </w:pPr>
            <w:r>
              <w:rPr>
                <w:noProof/>
              </w:rPr>
              <w:drawing>
                <wp:inline distT="0" distB="0" distL="0" distR="0" wp14:anchorId="0A018B39" wp14:editId="7846D262">
                  <wp:extent cx="901700" cy="901700"/>
                  <wp:effectExtent l="0" t="0" r="0" b="0"/>
                  <wp:docPr id="1" name="Image 1" descr="logoquadri_150dpi_25_IB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quadri_150dpi_25_IBM"/>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01700" cy="901700"/>
                          </a:xfrm>
                          <a:prstGeom prst="rect">
                            <a:avLst/>
                          </a:prstGeom>
                          <a:noFill/>
                          <a:ln>
                            <a:noFill/>
                          </a:ln>
                        </pic:spPr>
                      </pic:pic>
                    </a:graphicData>
                  </a:graphic>
                </wp:inline>
              </w:drawing>
            </w:r>
          </w:p>
        </w:tc>
        <w:tc>
          <w:tcPr>
            <w:tcW w:w="8505" w:type="dxa"/>
            <w:vAlign w:val="center"/>
          </w:tcPr>
          <w:p w14:paraId="1AEAB2A3" w14:textId="77777777" w:rsidR="00CD6138" w:rsidRDefault="00CD6138" w:rsidP="00AC5A66">
            <w:pPr>
              <w:pStyle w:val="DCETexte"/>
              <w:ind w:left="-108" w:right="-108"/>
              <w:jc w:val="center"/>
              <w:rPr>
                <w:smallCaps/>
                <w:sz w:val="26"/>
                <w:szCs w:val="26"/>
              </w:rPr>
            </w:pPr>
            <w:r>
              <w:rPr>
                <w:smallCaps/>
                <w:sz w:val="40"/>
                <w:szCs w:val="40"/>
              </w:rPr>
              <w:t>D</w:t>
            </w:r>
            <w:r>
              <w:rPr>
                <w:smallCaps/>
                <w:sz w:val="36"/>
                <w:szCs w:val="36"/>
              </w:rPr>
              <w:t xml:space="preserve">irection de la </w:t>
            </w:r>
            <w:r>
              <w:rPr>
                <w:smallCaps/>
                <w:sz w:val="40"/>
                <w:szCs w:val="40"/>
              </w:rPr>
              <w:t>L</w:t>
            </w:r>
            <w:r>
              <w:rPr>
                <w:smallCaps/>
                <w:sz w:val="36"/>
                <w:szCs w:val="36"/>
              </w:rPr>
              <w:t>ogistique et des Moyens généraux</w:t>
            </w:r>
          </w:p>
          <w:p w14:paraId="38D3C60C" w14:textId="01A09C5A" w:rsidR="00CD6138" w:rsidRDefault="00CD6138" w:rsidP="00AC5A66">
            <w:pPr>
              <w:pStyle w:val="DCETexte"/>
              <w:ind w:left="25" w:right="-108"/>
              <w:jc w:val="center"/>
              <w:rPr>
                <w:smallCaps/>
              </w:rPr>
            </w:pPr>
            <w:r>
              <w:rPr>
                <w:smallCaps/>
              </w:rPr>
              <w:t>15 rue de Vaugirard - 75291 PARIS CEDEX 06</w:t>
            </w:r>
          </w:p>
          <w:p w14:paraId="2F6181FE" w14:textId="77777777" w:rsidR="00CD6138" w:rsidRDefault="00CD6138" w:rsidP="00B72998">
            <w:pPr>
              <w:pStyle w:val="DCETexte"/>
              <w:ind w:left="25" w:right="-108"/>
              <w:jc w:val="center"/>
              <w:rPr>
                <w:smallCaps/>
                <w:sz w:val="20"/>
                <w:szCs w:val="20"/>
              </w:rPr>
            </w:pPr>
            <w:r w:rsidRPr="00DE6D80">
              <w:rPr>
                <w:smallCaps/>
                <w:sz w:val="20"/>
                <w:szCs w:val="20"/>
              </w:rPr>
              <w:t>Téléphone</w:t>
            </w:r>
            <w:r w:rsidR="009855BC">
              <w:rPr>
                <w:smallCaps/>
                <w:sz w:val="20"/>
                <w:szCs w:val="20"/>
              </w:rPr>
              <w:t> :</w:t>
            </w:r>
            <w:r w:rsidRPr="00DE6D80">
              <w:rPr>
                <w:smallCaps/>
                <w:sz w:val="20"/>
                <w:szCs w:val="20"/>
              </w:rPr>
              <w:t xml:space="preserve"> </w:t>
            </w:r>
            <w:r>
              <w:rPr>
                <w:smallCaps/>
                <w:sz w:val="20"/>
                <w:szCs w:val="20"/>
              </w:rPr>
              <w:t>+33 (</w:t>
            </w:r>
            <w:r w:rsidRPr="00DE6D80">
              <w:rPr>
                <w:smallCaps/>
                <w:sz w:val="20"/>
                <w:szCs w:val="20"/>
              </w:rPr>
              <w:t>0</w:t>
            </w:r>
            <w:r>
              <w:rPr>
                <w:smallCaps/>
                <w:sz w:val="20"/>
                <w:szCs w:val="20"/>
              </w:rPr>
              <w:t>)</w:t>
            </w:r>
            <w:r w:rsidRPr="00DE6D80">
              <w:rPr>
                <w:smallCaps/>
                <w:sz w:val="20"/>
                <w:szCs w:val="20"/>
              </w:rPr>
              <w:t>1 42 34 2</w:t>
            </w:r>
            <w:r>
              <w:rPr>
                <w:smallCaps/>
                <w:sz w:val="20"/>
                <w:szCs w:val="20"/>
              </w:rPr>
              <w:t>9 80</w:t>
            </w:r>
          </w:p>
        </w:tc>
      </w:tr>
    </w:tbl>
    <w:p w14:paraId="78120C7C" w14:textId="77777777" w:rsidR="00CD6138" w:rsidRDefault="00CD6138" w:rsidP="00CD6138">
      <w:pPr>
        <w:rPr>
          <w:i/>
          <w:sz w:val="20"/>
          <w:szCs w:val="20"/>
        </w:rPr>
      </w:pPr>
    </w:p>
    <w:p w14:paraId="6775D752" w14:textId="77777777" w:rsidR="00CD6138" w:rsidRDefault="00CD6138" w:rsidP="00CD6138">
      <w:pPr>
        <w:rPr>
          <w:i/>
          <w:sz w:val="20"/>
          <w:szCs w:val="20"/>
        </w:rPr>
      </w:pPr>
    </w:p>
    <w:p w14:paraId="2ED262BF" w14:textId="099ACF83" w:rsidR="00CD6138" w:rsidRDefault="00CB097B" w:rsidP="00CD6138">
      <w:pPr>
        <w:rPr>
          <w:i/>
          <w:sz w:val="16"/>
          <w:szCs w:val="16"/>
        </w:rPr>
      </w:pPr>
      <w:r w:rsidRPr="00F4149D">
        <w:rPr>
          <w:i/>
          <w:sz w:val="16"/>
          <w:szCs w:val="16"/>
        </w:rPr>
        <w:t>SENAT-</w:t>
      </w:r>
      <w:r w:rsidR="00345AE0" w:rsidRPr="00F4149D">
        <w:rPr>
          <w:i/>
          <w:sz w:val="16"/>
          <w:szCs w:val="16"/>
        </w:rPr>
        <w:t xml:space="preserve">DLMG </w:t>
      </w:r>
      <w:r w:rsidR="005A6A27" w:rsidRPr="00F4149D">
        <w:rPr>
          <w:i/>
          <w:sz w:val="16"/>
          <w:szCs w:val="16"/>
        </w:rPr>
        <w:t>202</w:t>
      </w:r>
      <w:r w:rsidR="00071197" w:rsidRPr="00F4149D">
        <w:rPr>
          <w:i/>
          <w:sz w:val="16"/>
          <w:szCs w:val="16"/>
        </w:rPr>
        <w:t>5</w:t>
      </w:r>
      <w:r w:rsidR="005A6A27" w:rsidRPr="00F4149D">
        <w:rPr>
          <w:i/>
          <w:sz w:val="16"/>
          <w:szCs w:val="16"/>
        </w:rPr>
        <w:t>-</w:t>
      </w:r>
      <w:r w:rsidR="002C1926">
        <w:rPr>
          <w:i/>
          <w:sz w:val="16"/>
          <w:szCs w:val="16"/>
        </w:rPr>
        <w:t>10</w:t>
      </w:r>
    </w:p>
    <w:p w14:paraId="5822F9D3" w14:textId="77777777" w:rsidR="0067198D" w:rsidRDefault="0067198D"/>
    <w:p w14:paraId="50D6F595" w14:textId="77777777" w:rsidR="00601A17" w:rsidRDefault="00601A17"/>
    <w:p w14:paraId="61983E7A" w14:textId="77777777" w:rsidR="0067198D" w:rsidRDefault="0067198D"/>
    <w:p w14:paraId="01081C3E" w14:textId="77777777" w:rsidR="00071197" w:rsidRPr="00A15A89" w:rsidRDefault="00071197" w:rsidP="00071197">
      <w:pPr>
        <w:widowControl/>
        <w:pBdr>
          <w:top w:val="double" w:sz="4" w:space="30" w:color="auto" w:shadow="1"/>
          <w:left w:val="double" w:sz="4" w:space="0" w:color="auto" w:shadow="1"/>
          <w:bottom w:val="double" w:sz="4" w:space="30" w:color="auto" w:shadow="1"/>
          <w:right w:val="double" w:sz="4" w:space="0" w:color="auto" w:shadow="1"/>
        </w:pBdr>
        <w:jc w:val="center"/>
        <w:rPr>
          <w:b/>
          <w:caps/>
          <w:sz w:val="48"/>
          <w:szCs w:val="48"/>
        </w:rPr>
      </w:pPr>
      <w:r>
        <w:rPr>
          <w:b/>
          <w:caps/>
          <w:sz w:val="48"/>
          <w:szCs w:val="48"/>
        </w:rPr>
        <w:t>Marché à procédure adaptée</w:t>
      </w:r>
    </w:p>
    <w:p w14:paraId="1A40614C" w14:textId="77777777" w:rsidR="00071197" w:rsidRDefault="00071197" w:rsidP="00071197">
      <w:pPr>
        <w:widowControl/>
        <w:pBdr>
          <w:top w:val="double" w:sz="4" w:space="30" w:color="auto" w:shadow="1"/>
          <w:left w:val="double" w:sz="4" w:space="0" w:color="auto" w:shadow="1"/>
          <w:bottom w:val="double" w:sz="4" w:space="30" w:color="auto" w:shadow="1"/>
          <w:right w:val="double" w:sz="4" w:space="0" w:color="auto" w:shadow="1"/>
        </w:pBdr>
        <w:jc w:val="center"/>
        <w:rPr>
          <w:b/>
          <w:i/>
          <w:caps/>
          <w:sz w:val="36"/>
          <w:szCs w:val="36"/>
        </w:rPr>
      </w:pPr>
    </w:p>
    <w:p w14:paraId="62303CB7" w14:textId="77777777" w:rsidR="008B6FEE" w:rsidRPr="00934CEE" w:rsidRDefault="008B6FEE" w:rsidP="008B6FEE">
      <w:pPr>
        <w:pBdr>
          <w:top w:val="double" w:sz="4" w:space="30" w:color="auto" w:shadow="1"/>
          <w:left w:val="double" w:sz="4" w:space="0" w:color="auto" w:shadow="1"/>
          <w:bottom w:val="double" w:sz="4" w:space="30" w:color="auto" w:shadow="1"/>
          <w:right w:val="double" w:sz="4" w:space="0" w:color="auto" w:shadow="1"/>
        </w:pBdr>
        <w:jc w:val="center"/>
        <w:rPr>
          <w:b/>
          <w:i/>
          <w:caps/>
          <w:sz w:val="36"/>
          <w:szCs w:val="36"/>
        </w:rPr>
      </w:pPr>
      <w:r w:rsidRPr="00934CEE">
        <w:rPr>
          <w:b/>
          <w:i/>
          <w:caps/>
          <w:sz w:val="36"/>
          <w:szCs w:val="36"/>
        </w:rPr>
        <w:t>Assistance à maîtrise d’ouvrage</w:t>
      </w:r>
    </w:p>
    <w:p w14:paraId="6F9611B8" w14:textId="1486711D" w:rsidR="008B6FEE" w:rsidRPr="00934CEE" w:rsidRDefault="008B6FEE" w:rsidP="008B6FEE">
      <w:pPr>
        <w:pBdr>
          <w:top w:val="double" w:sz="4" w:space="30" w:color="auto" w:shadow="1"/>
          <w:left w:val="double" w:sz="4" w:space="0" w:color="auto" w:shadow="1"/>
          <w:bottom w:val="double" w:sz="4" w:space="30" w:color="auto" w:shadow="1"/>
          <w:right w:val="double" w:sz="4" w:space="0" w:color="auto" w:shadow="1"/>
        </w:pBdr>
        <w:jc w:val="center"/>
        <w:rPr>
          <w:b/>
          <w:i/>
          <w:caps/>
          <w:sz w:val="36"/>
          <w:szCs w:val="36"/>
        </w:rPr>
      </w:pPr>
      <w:r w:rsidRPr="00934CEE">
        <w:rPr>
          <w:b/>
          <w:i/>
          <w:caps/>
          <w:sz w:val="36"/>
          <w:szCs w:val="36"/>
        </w:rPr>
        <w:t xml:space="preserve">pour </w:t>
      </w:r>
      <w:r>
        <w:rPr>
          <w:b/>
          <w:i/>
          <w:caps/>
          <w:sz w:val="36"/>
          <w:szCs w:val="36"/>
        </w:rPr>
        <w:t>des prestations d’aide à la passation de marché et d’accompagnement en cas de sinistre dans le cadre d</w:t>
      </w:r>
      <w:r w:rsidR="000533A5">
        <w:rPr>
          <w:b/>
          <w:i/>
          <w:caps/>
          <w:sz w:val="36"/>
          <w:szCs w:val="36"/>
        </w:rPr>
        <w:t>u</w:t>
      </w:r>
      <w:r>
        <w:rPr>
          <w:b/>
          <w:i/>
          <w:caps/>
          <w:sz w:val="36"/>
          <w:szCs w:val="36"/>
        </w:rPr>
        <w:t xml:space="preserve"> marché d’assurances du Sénat</w:t>
      </w:r>
    </w:p>
    <w:p w14:paraId="7F86948C" w14:textId="77777777" w:rsidR="0067198D" w:rsidRDefault="0067198D"/>
    <w:p w14:paraId="68FDAA3B" w14:textId="77777777" w:rsidR="0004264B" w:rsidRDefault="0004264B"/>
    <w:p w14:paraId="66787E83" w14:textId="77777777" w:rsidR="0067198D" w:rsidRDefault="0067198D"/>
    <w:p w14:paraId="379A42B4" w14:textId="77777777" w:rsidR="0067198D" w:rsidRDefault="0067198D"/>
    <w:p w14:paraId="33FDC86F" w14:textId="77777777" w:rsidR="0067198D" w:rsidRDefault="0067198D">
      <w:pPr>
        <w:pStyle w:val="DCE"/>
        <w:tabs>
          <w:tab w:val="clear" w:pos="9072"/>
        </w:tabs>
      </w:pPr>
      <w:r>
        <w:t>D.C.E.</w:t>
      </w:r>
    </w:p>
    <w:p w14:paraId="29FF2A62" w14:textId="77777777" w:rsidR="0067198D" w:rsidRDefault="0067198D"/>
    <w:p w14:paraId="3D09C632" w14:textId="77777777" w:rsidR="0067198D" w:rsidRDefault="0067198D"/>
    <w:p w14:paraId="3B0548C7" w14:textId="77777777" w:rsidR="0067198D" w:rsidRDefault="0067198D"/>
    <w:p w14:paraId="54C5C140" w14:textId="77777777" w:rsidR="0067198D" w:rsidRDefault="0067198D"/>
    <w:p w14:paraId="41938E9D" w14:textId="32E154C3" w:rsidR="0067198D" w:rsidRDefault="0067198D">
      <w:pPr>
        <w:pBdr>
          <w:top w:val="double" w:sz="4" w:space="30" w:color="auto" w:shadow="1"/>
          <w:left w:val="double" w:sz="4" w:space="0" w:color="auto" w:shadow="1"/>
          <w:bottom w:val="double" w:sz="4" w:space="30" w:color="auto" w:shadow="1"/>
          <w:right w:val="double" w:sz="4" w:space="0" w:color="auto" w:shadow="1"/>
        </w:pBdr>
        <w:jc w:val="center"/>
        <w:rPr>
          <w:b/>
          <w:caps/>
          <w:sz w:val="52"/>
          <w:szCs w:val="52"/>
        </w:rPr>
      </w:pPr>
      <w:r>
        <w:rPr>
          <w:b/>
          <w:caps/>
          <w:sz w:val="52"/>
          <w:szCs w:val="52"/>
        </w:rPr>
        <w:t>cahier des clauses particulières</w:t>
      </w:r>
    </w:p>
    <w:p w14:paraId="54D2F91F" w14:textId="77777777" w:rsidR="0067198D" w:rsidRDefault="0067198D"/>
    <w:p w14:paraId="3CABFD2B" w14:textId="77777777" w:rsidR="0067198D" w:rsidRDefault="0067198D"/>
    <w:p w14:paraId="2D1C2B78" w14:textId="77777777" w:rsidR="0067198D" w:rsidRDefault="0067198D"/>
    <w:p w14:paraId="2CBC740F" w14:textId="6A6B3002" w:rsidR="0067198D" w:rsidRPr="007D1DD9" w:rsidRDefault="00896F15" w:rsidP="00F60AE6">
      <w:pPr>
        <w:jc w:val="right"/>
        <w:rPr>
          <w:caps/>
          <w:spacing w:val="40"/>
          <w:sz w:val="28"/>
          <w:szCs w:val="28"/>
        </w:rPr>
      </w:pPr>
      <w:r>
        <w:rPr>
          <w:caps/>
          <w:spacing w:val="40"/>
          <w:sz w:val="28"/>
          <w:szCs w:val="28"/>
        </w:rPr>
        <w:t>octobre</w:t>
      </w:r>
      <w:r w:rsidR="00502F29">
        <w:rPr>
          <w:caps/>
          <w:spacing w:val="40"/>
          <w:sz w:val="28"/>
          <w:szCs w:val="28"/>
        </w:rPr>
        <w:t xml:space="preserve"> 2025</w:t>
      </w:r>
    </w:p>
    <w:p w14:paraId="54BD38A4" w14:textId="77777777" w:rsidR="0067198D" w:rsidRDefault="0067198D"/>
    <w:p w14:paraId="7A32D992" w14:textId="77777777" w:rsidR="004E738F" w:rsidRDefault="0067198D" w:rsidP="00B03F0C">
      <w:pPr>
        <w:pStyle w:val="DCESommaire"/>
        <w:spacing w:before="0" w:after="0"/>
      </w:pPr>
      <w:r>
        <w:br w:type="page"/>
      </w:r>
      <w:r w:rsidR="004E738F">
        <w:lastRenderedPageBreak/>
        <w:t>SOMMAIRE</w:t>
      </w:r>
    </w:p>
    <w:p w14:paraId="0543D18E" w14:textId="77777777" w:rsidR="00A93174" w:rsidRDefault="00A93174" w:rsidP="00B03F0C">
      <w:pPr>
        <w:pStyle w:val="DCESommaire"/>
        <w:spacing w:before="0" w:after="0"/>
      </w:pPr>
    </w:p>
    <w:p w14:paraId="15CAD51C" w14:textId="77777777" w:rsidR="004E738F" w:rsidRDefault="004E738F" w:rsidP="004E738F">
      <w:pPr>
        <w:jc w:val="right"/>
        <w:rPr>
          <w:i/>
          <w:sz w:val="22"/>
          <w:szCs w:val="22"/>
        </w:rPr>
      </w:pPr>
      <w:r>
        <w:rPr>
          <w:i/>
          <w:sz w:val="22"/>
          <w:szCs w:val="22"/>
        </w:rPr>
        <w:t>Page</w:t>
      </w:r>
    </w:p>
    <w:p w14:paraId="215E4035" w14:textId="77777777" w:rsidR="00A93174" w:rsidRDefault="00A93174" w:rsidP="004E738F">
      <w:pPr>
        <w:jc w:val="right"/>
        <w:rPr>
          <w:i/>
          <w:sz w:val="22"/>
          <w:szCs w:val="22"/>
        </w:rPr>
      </w:pPr>
    </w:p>
    <w:p w14:paraId="37D1EB19" w14:textId="77777777" w:rsidR="00A93174" w:rsidRDefault="00A93174" w:rsidP="004E738F">
      <w:pPr>
        <w:jc w:val="right"/>
        <w:rPr>
          <w:i/>
          <w:sz w:val="22"/>
          <w:szCs w:val="22"/>
        </w:rPr>
      </w:pPr>
    </w:p>
    <w:p w14:paraId="5C03C6E0" w14:textId="2EFBD15F" w:rsidR="00D72739" w:rsidRDefault="006B4BDF">
      <w:pPr>
        <w:pStyle w:val="TM1"/>
        <w:rPr>
          <w:rFonts w:asciiTheme="minorHAnsi" w:eastAsiaTheme="minorEastAsia" w:hAnsiTheme="minorHAnsi" w:cstheme="minorBidi"/>
          <w:b w:val="0"/>
          <w:caps w:val="0"/>
          <w:noProof/>
        </w:rPr>
      </w:pPr>
      <w:r>
        <w:fldChar w:fldCharType="begin"/>
      </w:r>
      <w:r>
        <w:instrText xml:space="preserve"> TOC \o "1-3" \h \z \t "DCE Annexe;1" </w:instrText>
      </w:r>
      <w:r>
        <w:fldChar w:fldCharType="separate"/>
      </w:r>
      <w:hyperlink w:anchor="_Toc211954932" w:history="1">
        <w:r w:rsidR="00D72739" w:rsidRPr="00625306">
          <w:rPr>
            <w:rStyle w:val="Lienhypertexte"/>
            <w:noProof/>
          </w:rPr>
          <w:t>ARTICLE 1 - objet du marchÉ</w:t>
        </w:r>
        <w:r w:rsidR="00D72739">
          <w:rPr>
            <w:noProof/>
            <w:webHidden/>
          </w:rPr>
          <w:tab/>
        </w:r>
        <w:r w:rsidR="00D72739">
          <w:rPr>
            <w:noProof/>
            <w:webHidden/>
          </w:rPr>
          <w:fldChar w:fldCharType="begin"/>
        </w:r>
        <w:r w:rsidR="00D72739">
          <w:rPr>
            <w:noProof/>
            <w:webHidden/>
          </w:rPr>
          <w:instrText xml:space="preserve"> PAGEREF _Toc211954932 \h </w:instrText>
        </w:r>
        <w:r w:rsidR="00D72739">
          <w:rPr>
            <w:noProof/>
            <w:webHidden/>
          </w:rPr>
        </w:r>
        <w:r w:rsidR="00D72739">
          <w:rPr>
            <w:noProof/>
            <w:webHidden/>
          </w:rPr>
          <w:fldChar w:fldCharType="separate"/>
        </w:r>
        <w:r w:rsidR="00D72739">
          <w:rPr>
            <w:noProof/>
            <w:webHidden/>
          </w:rPr>
          <w:t>4</w:t>
        </w:r>
        <w:r w:rsidR="00D72739">
          <w:rPr>
            <w:noProof/>
            <w:webHidden/>
          </w:rPr>
          <w:fldChar w:fldCharType="end"/>
        </w:r>
      </w:hyperlink>
    </w:p>
    <w:p w14:paraId="17F16AAD" w14:textId="4874A2E3" w:rsidR="00D72739" w:rsidRDefault="001A3590">
      <w:pPr>
        <w:pStyle w:val="TM1"/>
        <w:rPr>
          <w:rFonts w:asciiTheme="minorHAnsi" w:eastAsiaTheme="minorEastAsia" w:hAnsiTheme="minorHAnsi" w:cstheme="minorBidi"/>
          <w:b w:val="0"/>
          <w:caps w:val="0"/>
          <w:noProof/>
        </w:rPr>
      </w:pPr>
      <w:hyperlink w:anchor="_Toc211954933" w:history="1">
        <w:r w:rsidR="00D72739" w:rsidRPr="00625306">
          <w:rPr>
            <w:rStyle w:val="Lienhypertexte"/>
            <w:noProof/>
          </w:rPr>
          <w:t>ARTICLE 2 - Forme du marché</w:t>
        </w:r>
        <w:r w:rsidR="00D72739">
          <w:rPr>
            <w:noProof/>
            <w:webHidden/>
          </w:rPr>
          <w:tab/>
        </w:r>
        <w:r w:rsidR="00D72739">
          <w:rPr>
            <w:noProof/>
            <w:webHidden/>
          </w:rPr>
          <w:fldChar w:fldCharType="begin"/>
        </w:r>
        <w:r w:rsidR="00D72739">
          <w:rPr>
            <w:noProof/>
            <w:webHidden/>
          </w:rPr>
          <w:instrText xml:space="preserve"> PAGEREF _Toc211954933 \h </w:instrText>
        </w:r>
        <w:r w:rsidR="00D72739">
          <w:rPr>
            <w:noProof/>
            <w:webHidden/>
          </w:rPr>
        </w:r>
        <w:r w:rsidR="00D72739">
          <w:rPr>
            <w:noProof/>
            <w:webHidden/>
          </w:rPr>
          <w:fldChar w:fldCharType="separate"/>
        </w:r>
        <w:r w:rsidR="00D72739">
          <w:rPr>
            <w:noProof/>
            <w:webHidden/>
          </w:rPr>
          <w:t>4</w:t>
        </w:r>
        <w:r w:rsidR="00D72739">
          <w:rPr>
            <w:noProof/>
            <w:webHidden/>
          </w:rPr>
          <w:fldChar w:fldCharType="end"/>
        </w:r>
      </w:hyperlink>
    </w:p>
    <w:p w14:paraId="23962685" w14:textId="60DDBE70" w:rsidR="00D72739" w:rsidRDefault="001A3590">
      <w:pPr>
        <w:pStyle w:val="TM1"/>
        <w:rPr>
          <w:rFonts w:asciiTheme="minorHAnsi" w:eastAsiaTheme="minorEastAsia" w:hAnsiTheme="minorHAnsi" w:cstheme="minorBidi"/>
          <w:b w:val="0"/>
          <w:caps w:val="0"/>
          <w:noProof/>
        </w:rPr>
      </w:pPr>
      <w:hyperlink w:anchor="_Toc211954934" w:history="1">
        <w:r w:rsidR="00D72739" w:rsidRPr="00625306">
          <w:rPr>
            <w:rStyle w:val="Lienhypertexte"/>
            <w:noProof/>
          </w:rPr>
          <w:t>ARTICLE 3 - durée du marchÉ</w:t>
        </w:r>
        <w:r w:rsidR="00D72739">
          <w:rPr>
            <w:noProof/>
            <w:webHidden/>
          </w:rPr>
          <w:tab/>
        </w:r>
        <w:r w:rsidR="00D72739">
          <w:rPr>
            <w:noProof/>
            <w:webHidden/>
          </w:rPr>
          <w:fldChar w:fldCharType="begin"/>
        </w:r>
        <w:r w:rsidR="00D72739">
          <w:rPr>
            <w:noProof/>
            <w:webHidden/>
          </w:rPr>
          <w:instrText xml:space="preserve"> PAGEREF _Toc211954934 \h </w:instrText>
        </w:r>
        <w:r w:rsidR="00D72739">
          <w:rPr>
            <w:noProof/>
            <w:webHidden/>
          </w:rPr>
        </w:r>
        <w:r w:rsidR="00D72739">
          <w:rPr>
            <w:noProof/>
            <w:webHidden/>
          </w:rPr>
          <w:fldChar w:fldCharType="separate"/>
        </w:r>
        <w:r w:rsidR="00D72739">
          <w:rPr>
            <w:noProof/>
            <w:webHidden/>
          </w:rPr>
          <w:t>4</w:t>
        </w:r>
        <w:r w:rsidR="00D72739">
          <w:rPr>
            <w:noProof/>
            <w:webHidden/>
          </w:rPr>
          <w:fldChar w:fldCharType="end"/>
        </w:r>
      </w:hyperlink>
    </w:p>
    <w:p w14:paraId="52509495" w14:textId="51C8540E" w:rsidR="00D72739" w:rsidRDefault="001A3590">
      <w:pPr>
        <w:pStyle w:val="TM1"/>
        <w:rPr>
          <w:rFonts w:asciiTheme="minorHAnsi" w:eastAsiaTheme="minorEastAsia" w:hAnsiTheme="minorHAnsi" w:cstheme="minorBidi"/>
          <w:b w:val="0"/>
          <w:caps w:val="0"/>
          <w:noProof/>
        </w:rPr>
      </w:pPr>
      <w:hyperlink w:anchor="_Toc211954935" w:history="1">
        <w:r w:rsidR="00D72739" w:rsidRPr="00625306">
          <w:rPr>
            <w:rStyle w:val="Lienhypertexte"/>
            <w:noProof/>
          </w:rPr>
          <w:t>ARTICLE 4 - piÈces constitutives du marchÉ</w:t>
        </w:r>
        <w:r w:rsidR="00D72739">
          <w:rPr>
            <w:noProof/>
            <w:webHidden/>
          </w:rPr>
          <w:tab/>
        </w:r>
        <w:r w:rsidR="00D72739">
          <w:rPr>
            <w:noProof/>
            <w:webHidden/>
          </w:rPr>
          <w:fldChar w:fldCharType="begin"/>
        </w:r>
        <w:r w:rsidR="00D72739">
          <w:rPr>
            <w:noProof/>
            <w:webHidden/>
          </w:rPr>
          <w:instrText xml:space="preserve"> PAGEREF _Toc211954935 \h </w:instrText>
        </w:r>
        <w:r w:rsidR="00D72739">
          <w:rPr>
            <w:noProof/>
            <w:webHidden/>
          </w:rPr>
        </w:r>
        <w:r w:rsidR="00D72739">
          <w:rPr>
            <w:noProof/>
            <w:webHidden/>
          </w:rPr>
          <w:fldChar w:fldCharType="separate"/>
        </w:r>
        <w:r w:rsidR="00D72739">
          <w:rPr>
            <w:noProof/>
            <w:webHidden/>
          </w:rPr>
          <w:t>4</w:t>
        </w:r>
        <w:r w:rsidR="00D72739">
          <w:rPr>
            <w:noProof/>
            <w:webHidden/>
          </w:rPr>
          <w:fldChar w:fldCharType="end"/>
        </w:r>
      </w:hyperlink>
    </w:p>
    <w:p w14:paraId="7860F0EA" w14:textId="4BB52429" w:rsidR="00D72739" w:rsidRDefault="001A3590">
      <w:pPr>
        <w:pStyle w:val="TM1"/>
        <w:rPr>
          <w:rFonts w:asciiTheme="minorHAnsi" w:eastAsiaTheme="minorEastAsia" w:hAnsiTheme="minorHAnsi" w:cstheme="minorBidi"/>
          <w:b w:val="0"/>
          <w:caps w:val="0"/>
          <w:noProof/>
        </w:rPr>
      </w:pPr>
      <w:hyperlink w:anchor="_Toc211954936" w:history="1">
        <w:r w:rsidR="00D72739" w:rsidRPr="00625306">
          <w:rPr>
            <w:rStyle w:val="Lienhypertexte"/>
            <w:noProof/>
          </w:rPr>
          <w:t>ARTICLE 5 - INTERLOCUTEURS DES DEUX PARTIES</w:t>
        </w:r>
        <w:r w:rsidR="00D72739">
          <w:rPr>
            <w:noProof/>
            <w:webHidden/>
          </w:rPr>
          <w:tab/>
        </w:r>
        <w:r w:rsidR="00D72739">
          <w:rPr>
            <w:noProof/>
            <w:webHidden/>
          </w:rPr>
          <w:fldChar w:fldCharType="begin"/>
        </w:r>
        <w:r w:rsidR="00D72739">
          <w:rPr>
            <w:noProof/>
            <w:webHidden/>
          </w:rPr>
          <w:instrText xml:space="preserve"> PAGEREF _Toc211954936 \h </w:instrText>
        </w:r>
        <w:r w:rsidR="00D72739">
          <w:rPr>
            <w:noProof/>
            <w:webHidden/>
          </w:rPr>
        </w:r>
        <w:r w:rsidR="00D72739">
          <w:rPr>
            <w:noProof/>
            <w:webHidden/>
          </w:rPr>
          <w:fldChar w:fldCharType="separate"/>
        </w:r>
        <w:r w:rsidR="00D72739">
          <w:rPr>
            <w:noProof/>
            <w:webHidden/>
          </w:rPr>
          <w:t>5</w:t>
        </w:r>
        <w:r w:rsidR="00D72739">
          <w:rPr>
            <w:noProof/>
            <w:webHidden/>
          </w:rPr>
          <w:fldChar w:fldCharType="end"/>
        </w:r>
      </w:hyperlink>
    </w:p>
    <w:p w14:paraId="3A074A94" w14:textId="1AD2B8D1" w:rsidR="00D72739" w:rsidRDefault="001A3590">
      <w:pPr>
        <w:pStyle w:val="TM1"/>
        <w:rPr>
          <w:rFonts w:asciiTheme="minorHAnsi" w:eastAsiaTheme="minorEastAsia" w:hAnsiTheme="minorHAnsi" w:cstheme="minorBidi"/>
          <w:b w:val="0"/>
          <w:caps w:val="0"/>
          <w:noProof/>
        </w:rPr>
      </w:pPr>
      <w:hyperlink w:anchor="_Toc211954937" w:history="1">
        <w:r w:rsidR="00D72739" w:rsidRPr="00625306">
          <w:rPr>
            <w:rStyle w:val="Lienhypertexte"/>
            <w:noProof/>
          </w:rPr>
          <w:t>ARTICLE 6 - Prestations attendues</w:t>
        </w:r>
        <w:r w:rsidR="00D72739">
          <w:rPr>
            <w:noProof/>
            <w:webHidden/>
          </w:rPr>
          <w:tab/>
        </w:r>
        <w:r w:rsidR="00D72739">
          <w:rPr>
            <w:noProof/>
            <w:webHidden/>
          </w:rPr>
          <w:fldChar w:fldCharType="begin"/>
        </w:r>
        <w:r w:rsidR="00D72739">
          <w:rPr>
            <w:noProof/>
            <w:webHidden/>
          </w:rPr>
          <w:instrText xml:space="preserve"> PAGEREF _Toc211954937 \h </w:instrText>
        </w:r>
        <w:r w:rsidR="00D72739">
          <w:rPr>
            <w:noProof/>
            <w:webHidden/>
          </w:rPr>
        </w:r>
        <w:r w:rsidR="00D72739">
          <w:rPr>
            <w:noProof/>
            <w:webHidden/>
          </w:rPr>
          <w:fldChar w:fldCharType="separate"/>
        </w:r>
        <w:r w:rsidR="00D72739">
          <w:rPr>
            <w:noProof/>
            <w:webHidden/>
          </w:rPr>
          <w:t>5</w:t>
        </w:r>
        <w:r w:rsidR="00D72739">
          <w:rPr>
            <w:noProof/>
            <w:webHidden/>
          </w:rPr>
          <w:fldChar w:fldCharType="end"/>
        </w:r>
      </w:hyperlink>
    </w:p>
    <w:p w14:paraId="44C4D620" w14:textId="74E86AA3" w:rsidR="00D72739" w:rsidRDefault="001A3590">
      <w:pPr>
        <w:pStyle w:val="TM2"/>
        <w:tabs>
          <w:tab w:val="right" w:leader="dot" w:pos="8777"/>
        </w:tabs>
        <w:rPr>
          <w:rFonts w:asciiTheme="minorHAnsi" w:eastAsiaTheme="minorEastAsia" w:hAnsiTheme="minorHAnsi" w:cstheme="minorBidi"/>
          <w:noProof/>
        </w:rPr>
      </w:pPr>
      <w:hyperlink w:anchor="_Toc211954938" w:history="1">
        <w:r w:rsidR="00D72739" w:rsidRPr="00625306">
          <w:rPr>
            <w:rStyle w:val="Lienhypertexte"/>
            <w:noProof/>
          </w:rPr>
          <w:t>6.1. Éléments de contexte (indicatifs)</w:t>
        </w:r>
        <w:r w:rsidR="00D72739">
          <w:rPr>
            <w:noProof/>
            <w:webHidden/>
          </w:rPr>
          <w:tab/>
        </w:r>
        <w:r w:rsidR="00D72739">
          <w:rPr>
            <w:noProof/>
            <w:webHidden/>
          </w:rPr>
          <w:fldChar w:fldCharType="begin"/>
        </w:r>
        <w:r w:rsidR="00D72739">
          <w:rPr>
            <w:noProof/>
            <w:webHidden/>
          </w:rPr>
          <w:instrText xml:space="preserve"> PAGEREF _Toc211954938 \h </w:instrText>
        </w:r>
        <w:r w:rsidR="00D72739">
          <w:rPr>
            <w:noProof/>
            <w:webHidden/>
          </w:rPr>
        </w:r>
        <w:r w:rsidR="00D72739">
          <w:rPr>
            <w:noProof/>
            <w:webHidden/>
          </w:rPr>
          <w:fldChar w:fldCharType="separate"/>
        </w:r>
        <w:r w:rsidR="00D72739">
          <w:rPr>
            <w:noProof/>
            <w:webHidden/>
          </w:rPr>
          <w:t>5</w:t>
        </w:r>
        <w:r w:rsidR="00D72739">
          <w:rPr>
            <w:noProof/>
            <w:webHidden/>
          </w:rPr>
          <w:fldChar w:fldCharType="end"/>
        </w:r>
      </w:hyperlink>
    </w:p>
    <w:p w14:paraId="4E57529B" w14:textId="5ABA87B5" w:rsidR="00D72739" w:rsidRDefault="001A3590">
      <w:pPr>
        <w:pStyle w:val="TM2"/>
        <w:tabs>
          <w:tab w:val="right" w:leader="dot" w:pos="8777"/>
        </w:tabs>
        <w:rPr>
          <w:rFonts w:asciiTheme="minorHAnsi" w:eastAsiaTheme="minorEastAsia" w:hAnsiTheme="minorHAnsi" w:cstheme="minorBidi"/>
          <w:noProof/>
        </w:rPr>
      </w:pPr>
      <w:hyperlink w:anchor="_Toc211954939" w:history="1">
        <w:r w:rsidR="00D72739" w:rsidRPr="00625306">
          <w:rPr>
            <w:rStyle w:val="Lienhypertexte"/>
            <w:noProof/>
          </w:rPr>
          <w:t>6.2. Description de la prestation forfaitaire attendue</w:t>
        </w:r>
        <w:r w:rsidR="00D72739">
          <w:rPr>
            <w:noProof/>
            <w:webHidden/>
          </w:rPr>
          <w:tab/>
        </w:r>
        <w:r w:rsidR="00D72739">
          <w:rPr>
            <w:noProof/>
            <w:webHidden/>
          </w:rPr>
          <w:fldChar w:fldCharType="begin"/>
        </w:r>
        <w:r w:rsidR="00D72739">
          <w:rPr>
            <w:noProof/>
            <w:webHidden/>
          </w:rPr>
          <w:instrText xml:space="preserve"> PAGEREF _Toc211954939 \h </w:instrText>
        </w:r>
        <w:r w:rsidR="00D72739">
          <w:rPr>
            <w:noProof/>
            <w:webHidden/>
          </w:rPr>
        </w:r>
        <w:r w:rsidR="00D72739">
          <w:rPr>
            <w:noProof/>
            <w:webHidden/>
          </w:rPr>
          <w:fldChar w:fldCharType="separate"/>
        </w:r>
        <w:r w:rsidR="00D72739">
          <w:rPr>
            <w:noProof/>
            <w:webHidden/>
          </w:rPr>
          <w:t>6</w:t>
        </w:r>
        <w:r w:rsidR="00D72739">
          <w:rPr>
            <w:noProof/>
            <w:webHidden/>
          </w:rPr>
          <w:fldChar w:fldCharType="end"/>
        </w:r>
      </w:hyperlink>
    </w:p>
    <w:p w14:paraId="0708DB01" w14:textId="0CEE70A8" w:rsidR="00D72739" w:rsidRDefault="001A3590">
      <w:pPr>
        <w:pStyle w:val="TM2"/>
        <w:tabs>
          <w:tab w:val="right" w:leader="dot" w:pos="8777"/>
        </w:tabs>
        <w:rPr>
          <w:rFonts w:asciiTheme="minorHAnsi" w:eastAsiaTheme="minorEastAsia" w:hAnsiTheme="minorHAnsi" w:cstheme="minorBidi"/>
          <w:noProof/>
        </w:rPr>
      </w:pPr>
      <w:hyperlink w:anchor="_Toc211954940" w:history="1">
        <w:r w:rsidR="00D72739" w:rsidRPr="00625306">
          <w:rPr>
            <w:rStyle w:val="Lienhypertexte"/>
            <w:noProof/>
          </w:rPr>
          <w:t>6.3. Description de la prestation à bons de commande attendue</w:t>
        </w:r>
        <w:r w:rsidR="00D72739">
          <w:rPr>
            <w:noProof/>
            <w:webHidden/>
          </w:rPr>
          <w:tab/>
        </w:r>
        <w:r w:rsidR="00D72739">
          <w:rPr>
            <w:noProof/>
            <w:webHidden/>
          </w:rPr>
          <w:fldChar w:fldCharType="begin"/>
        </w:r>
        <w:r w:rsidR="00D72739">
          <w:rPr>
            <w:noProof/>
            <w:webHidden/>
          </w:rPr>
          <w:instrText xml:space="preserve"> PAGEREF _Toc211954940 \h </w:instrText>
        </w:r>
        <w:r w:rsidR="00D72739">
          <w:rPr>
            <w:noProof/>
            <w:webHidden/>
          </w:rPr>
        </w:r>
        <w:r w:rsidR="00D72739">
          <w:rPr>
            <w:noProof/>
            <w:webHidden/>
          </w:rPr>
          <w:fldChar w:fldCharType="separate"/>
        </w:r>
        <w:r w:rsidR="00D72739">
          <w:rPr>
            <w:noProof/>
            <w:webHidden/>
          </w:rPr>
          <w:t>6</w:t>
        </w:r>
        <w:r w:rsidR="00D72739">
          <w:rPr>
            <w:noProof/>
            <w:webHidden/>
          </w:rPr>
          <w:fldChar w:fldCharType="end"/>
        </w:r>
      </w:hyperlink>
    </w:p>
    <w:p w14:paraId="79C66EE8" w14:textId="326419B1" w:rsidR="00D72739" w:rsidRDefault="001A3590">
      <w:pPr>
        <w:pStyle w:val="TM1"/>
        <w:rPr>
          <w:rFonts w:asciiTheme="minorHAnsi" w:eastAsiaTheme="minorEastAsia" w:hAnsiTheme="minorHAnsi" w:cstheme="minorBidi"/>
          <w:b w:val="0"/>
          <w:caps w:val="0"/>
          <w:noProof/>
        </w:rPr>
      </w:pPr>
      <w:hyperlink w:anchor="_Toc211954941" w:history="1">
        <w:r w:rsidR="00D72739" w:rsidRPr="00625306">
          <w:rPr>
            <w:rStyle w:val="Lienhypertexte"/>
            <w:noProof/>
          </w:rPr>
          <w:t>ARTICLE 7 - PRIX - Règlement et facturation</w:t>
        </w:r>
        <w:r w:rsidR="00D72739">
          <w:rPr>
            <w:noProof/>
            <w:webHidden/>
          </w:rPr>
          <w:tab/>
        </w:r>
        <w:r w:rsidR="00D72739">
          <w:rPr>
            <w:noProof/>
            <w:webHidden/>
          </w:rPr>
          <w:fldChar w:fldCharType="begin"/>
        </w:r>
        <w:r w:rsidR="00D72739">
          <w:rPr>
            <w:noProof/>
            <w:webHidden/>
          </w:rPr>
          <w:instrText xml:space="preserve"> PAGEREF _Toc211954941 \h </w:instrText>
        </w:r>
        <w:r w:rsidR="00D72739">
          <w:rPr>
            <w:noProof/>
            <w:webHidden/>
          </w:rPr>
        </w:r>
        <w:r w:rsidR="00D72739">
          <w:rPr>
            <w:noProof/>
            <w:webHidden/>
          </w:rPr>
          <w:fldChar w:fldCharType="separate"/>
        </w:r>
        <w:r w:rsidR="00D72739">
          <w:rPr>
            <w:noProof/>
            <w:webHidden/>
          </w:rPr>
          <w:t>7</w:t>
        </w:r>
        <w:r w:rsidR="00D72739">
          <w:rPr>
            <w:noProof/>
            <w:webHidden/>
          </w:rPr>
          <w:fldChar w:fldCharType="end"/>
        </w:r>
      </w:hyperlink>
    </w:p>
    <w:p w14:paraId="4C99A74D" w14:textId="16459C9E" w:rsidR="00D72739" w:rsidRDefault="001A3590">
      <w:pPr>
        <w:pStyle w:val="TM2"/>
        <w:tabs>
          <w:tab w:val="right" w:leader="dot" w:pos="8777"/>
        </w:tabs>
        <w:rPr>
          <w:rFonts w:asciiTheme="minorHAnsi" w:eastAsiaTheme="minorEastAsia" w:hAnsiTheme="minorHAnsi" w:cstheme="minorBidi"/>
          <w:noProof/>
        </w:rPr>
      </w:pPr>
      <w:hyperlink w:anchor="_Toc211954942" w:history="1">
        <w:r w:rsidR="00D72739" w:rsidRPr="00625306">
          <w:rPr>
            <w:rStyle w:val="Lienhypertexte"/>
            <w:noProof/>
          </w:rPr>
          <w:t>7.1. Prix</w:t>
        </w:r>
        <w:r w:rsidR="00D72739">
          <w:rPr>
            <w:noProof/>
            <w:webHidden/>
          </w:rPr>
          <w:tab/>
        </w:r>
        <w:r w:rsidR="00D72739">
          <w:rPr>
            <w:noProof/>
            <w:webHidden/>
          </w:rPr>
          <w:fldChar w:fldCharType="begin"/>
        </w:r>
        <w:r w:rsidR="00D72739">
          <w:rPr>
            <w:noProof/>
            <w:webHidden/>
          </w:rPr>
          <w:instrText xml:space="preserve"> PAGEREF _Toc211954942 \h </w:instrText>
        </w:r>
        <w:r w:rsidR="00D72739">
          <w:rPr>
            <w:noProof/>
            <w:webHidden/>
          </w:rPr>
        </w:r>
        <w:r w:rsidR="00D72739">
          <w:rPr>
            <w:noProof/>
            <w:webHidden/>
          </w:rPr>
          <w:fldChar w:fldCharType="separate"/>
        </w:r>
        <w:r w:rsidR="00D72739">
          <w:rPr>
            <w:noProof/>
            <w:webHidden/>
          </w:rPr>
          <w:t>7</w:t>
        </w:r>
        <w:r w:rsidR="00D72739">
          <w:rPr>
            <w:noProof/>
            <w:webHidden/>
          </w:rPr>
          <w:fldChar w:fldCharType="end"/>
        </w:r>
      </w:hyperlink>
    </w:p>
    <w:p w14:paraId="3DB419E7" w14:textId="139EACC6" w:rsidR="00D72739" w:rsidRDefault="001A3590">
      <w:pPr>
        <w:pStyle w:val="TM3"/>
        <w:tabs>
          <w:tab w:val="right" w:leader="dot" w:pos="8777"/>
        </w:tabs>
        <w:rPr>
          <w:rFonts w:asciiTheme="minorHAnsi" w:eastAsiaTheme="minorEastAsia" w:hAnsiTheme="minorHAnsi" w:cstheme="minorBidi"/>
          <w:i w:val="0"/>
          <w:noProof/>
          <w:szCs w:val="22"/>
        </w:rPr>
      </w:pPr>
      <w:hyperlink w:anchor="_Toc211954943" w:history="1">
        <w:r w:rsidR="00D72739" w:rsidRPr="00625306">
          <w:rPr>
            <w:rStyle w:val="Lienhypertexte"/>
            <w:bCs/>
            <w:iCs/>
            <w:noProof/>
          </w:rPr>
          <w:t>Le prix du marché est exprimé en euros.</w:t>
        </w:r>
        <w:r w:rsidR="00D72739">
          <w:rPr>
            <w:noProof/>
            <w:webHidden/>
          </w:rPr>
          <w:tab/>
        </w:r>
        <w:r w:rsidR="00D72739">
          <w:rPr>
            <w:noProof/>
            <w:webHidden/>
          </w:rPr>
          <w:fldChar w:fldCharType="begin"/>
        </w:r>
        <w:r w:rsidR="00D72739">
          <w:rPr>
            <w:noProof/>
            <w:webHidden/>
          </w:rPr>
          <w:instrText xml:space="preserve"> PAGEREF _Toc211954943 \h </w:instrText>
        </w:r>
        <w:r w:rsidR="00D72739">
          <w:rPr>
            <w:noProof/>
            <w:webHidden/>
          </w:rPr>
        </w:r>
        <w:r w:rsidR="00D72739">
          <w:rPr>
            <w:noProof/>
            <w:webHidden/>
          </w:rPr>
          <w:fldChar w:fldCharType="separate"/>
        </w:r>
        <w:r w:rsidR="00D72739">
          <w:rPr>
            <w:noProof/>
            <w:webHidden/>
          </w:rPr>
          <w:t>7</w:t>
        </w:r>
        <w:r w:rsidR="00D72739">
          <w:rPr>
            <w:noProof/>
            <w:webHidden/>
          </w:rPr>
          <w:fldChar w:fldCharType="end"/>
        </w:r>
      </w:hyperlink>
    </w:p>
    <w:p w14:paraId="41528018" w14:textId="019D53CF" w:rsidR="00D72739" w:rsidRDefault="001A3590">
      <w:pPr>
        <w:pStyle w:val="TM2"/>
        <w:tabs>
          <w:tab w:val="right" w:leader="dot" w:pos="8777"/>
        </w:tabs>
        <w:rPr>
          <w:rFonts w:asciiTheme="minorHAnsi" w:eastAsiaTheme="minorEastAsia" w:hAnsiTheme="minorHAnsi" w:cstheme="minorBidi"/>
          <w:noProof/>
        </w:rPr>
      </w:pPr>
      <w:hyperlink w:anchor="_Toc211954944" w:history="1">
        <w:r w:rsidR="00D72739" w:rsidRPr="00625306">
          <w:rPr>
            <w:rStyle w:val="Lienhypertexte"/>
            <w:noProof/>
          </w:rPr>
          <w:t>7.2. Modalités de règlement</w:t>
        </w:r>
        <w:r w:rsidR="00D72739">
          <w:rPr>
            <w:noProof/>
            <w:webHidden/>
          </w:rPr>
          <w:tab/>
        </w:r>
        <w:r w:rsidR="00D72739">
          <w:rPr>
            <w:noProof/>
            <w:webHidden/>
          </w:rPr>
          <w:fldChar w:fldCharType="begin"/>
        </w:r>
        <w:r w:rsidR="00D72739">
          <w:rPr>
            <w:noProof/>
            <w:webHidden/>
          </w:rPr>
          <w:instrText xml:space="preserve"> PAGEREF _Toc211954944 \h </w:instrText>
        </w:r>
        <w:r w:rsidR="00D72739">
          <w:rPr>
            <w:noProof/>
            <w:webHidden/>
          </w:rPr>
        </w:r>
        <w:r w:rsidR="00D72739">
          <w:rPr>
            <w:noProof/>
            <w:webHidden/>
          </w:rPr>
          <w:fldChar w:fldCharType="separate"/>
        </w:r>
        <w:r w:rsidR="00D72739">
          <w:rPr>
            <w:noProof/>
            <w:webHidden/>
          </w:rPr>
          <w:t>7</w:t>
        </w:r>
        <w:r w:rsidR="00D72739">
          <w:rPr>
            <w:noProof/>
            <w:webHidden/>
          </w:rPr>
          <w:fldChar w:fldCharType="end"/>
        </w:r>
      </w:hyperlink>
    </w:p>
    <w:p w14:paraId="1508F602" w14:textId="76005764" w:rsidR="00D72739" w:rsidRDefault="001A3590">
      <w:pPr>
        <w:pStyle w:val="TM2"/>
        <w:tabs>
          <w:tab w:val="right" w:leader="dot" w:pos="8777"/>
        </w:tabs>
        <w:rPr>
          <w:rFonts w:asciiTheme="minorHAnsi" w:eastAsiaTheme="minorEastAsia" w:hAnsiTheme="minorHAnsi" w:cstheme="minorBidi"/>
          <w:noProof/>
        </w:rPr>
      </w:pPr>
      <w:hyperlink w:anchor="_Toc211954945" w:history="1">
        <w:r w:rsidR="00D72739" w:rsidRPr="00625306">
          <w:rPr>
            <w:rStyle w:val="Lienhypertexte"/>
            <w:noProof/>
          </w:rPr>
          <w:t>7.3. Facturation</w:t>
        </w:r>
        <w:r w:rsidR="00D72739">
          <w:rPr>
            <w:noProof/>
            <w:webHidden/>
          </w:rPr>
          <w:tab/>
        </w:r>
        <w:r w:rsidR="00D72739">
          <w:rPr>
            <w:noProof/>
            <w:webHidden/>
          </w:rPr>
          <w:fldChar w:fldCharType="begin"/>
        </w:r>
        <w:r w:rsidR="00D72739">
          <w:rPr>
            <w:noProof/>
            <w:webHidden/>
          </w:rPr>
          <w:instrText xml:space="preserve"> PAGEREF _Toc211954945 \h </w:instrText>
        </w:r>
        <w:r w:rsidR="00D72739">
          <w:rPr>
            <w:noProof/>
            <w:webHidden/>
          </w:rPr>
        </w:r>
        <w:r w:rsidR="00D72739">
          <w:rPr>
            <w:noProof/>
            <w:webHidden/>
          </w:rPr>
          <w:fldChar w:fldCharType="separate"/>
        </w:r>
        <w:r w:rsidR="00D72739">
          <w:rPr>
            <w:noProof/>
            <w:webHidden/>
          </w:rPr>
          <w:t>7</w:t>
        </w:r>
        <w:r w:rsidR="00D72739">
          <w:rPr>
            <w:noProof/>
            <w:webHidden/>
          </w:rPr>
          <w:fldChar w:fldCharType="end"/>
        </w:r>
      </w:hyperlink>
    </w:p>
    <w:p w14:paraId="13D263AD" w14:textId="4FECCF9A" w:rsidR="00D72739" w:rsidRDefault="001A3590">
      <w:pPr>
        <w:pStyle w:val="TM2"/>
        <w:tabs>
          <w:tab w:val="right" w:leader="dot" w:pos="8777"/>
        </w:tabs>
        <w:rPr>
          <w:rFonts w:asciiTheme="minorHAnsi" w:eastAsiaTheme="minorEastAsia" w:hAnsiTheme="minorHAnsi" w:cstheme="minorBidi"/>
          <w:noProof/>
        </w:rPr>
      </w:pPr>
      <w:hyperlink w:anchor="_Toc211954946" w:history="1">
        <w:r w:rsidR="00D72739" w:rsidRPr="00625306">
          <w:rPr>
            <w:rStyle w:val="Lienhypertexte"/>
            <w:noProof/>
          </w:rPr>
          <w:t>7.4. Délais de paiement et intérêts moratoires</w:t>
        </w:r>
        <w:r w:rsidR="00D72739">
          <w:rPr>
            <w:noProof/>
            <w:webHidden/>
          </w:rPr>
          <w:tab/>
        </w:r>
        <w:r w:rsidR="00D72739">
          <w:rPr>
            <w:noProof/>
            <w:webHidden/>
          </w:rPr>
          <w:fldChar w:fldCharType="begin"/>
        </w:r>
        <w:r w:rsidR="00D72739">
          <w:rPr>
            <w:noProof/>
            <w:webHidden/>
          </w:rPr>
          <w:instrText xml:space="preserve"> PAGEREF _Toc211954946 \h </w:instrText>
        </w:r>
        <w:r w:rsidR="00D72739">
          <w:rPr>
            <w:noProof/>
            <w:webHidden/>
          </w:rPr>
        </w:r>
        <w:r w:rsidR="00D72739">
          <w:rPr>
            <w:noProof/>
            <w:webHidden/>
          </w:rPr>
          <w:fldChar w:fldCharType="separate"/>
        </w:r>
        <w:r w:rsidR="00D72739">
          <w:rPr>
            <w:noProof/>
            <w:webHidden/>
          </w:rPr>
          <w:t>8</w:t>
        </w:r>
        <w:r w:rsidR="00D72739">
          <w:rPr>
            <w:noProof/>
            <w:webHidden/>
          </w:rPr>
          <w:fldChar w:fldCharType="end"/>
        </w:r>
      </w:hyperlink>
    </w:p>
    <w:p w14:paraId="09469920" w14:textId="3694C9E8" w:rsidR="00D72739" w:rsidRDefault="001A3590">
      <w:pPr>
        <w:pStyle w:val="TM1"/>
        <w:rPr>
          <w:rFonts w:asciiTheme="minorHAnsi" w:eastAsiaTheme="minorEastAsia" w:hAnsiTheme="minorHAnsi" w:cstheme="minorBidi"/>
          <w:b w:val="0"/>
          <w:caps w:val="0"/>
          <w:noProof/>
        </w:rPr>
      </w:pPr>
      <w:hyperlink w:anchor="_Toc211954947" w:history="1">
        <w:r w:rsidR="00D72739" w:rsidRPr="00625306">
          <w:rPr>
            <w:rStyle w:val="Lienhypertexte"/>
            <w:noProof/>
          </w:rPr>
          <w:t>ARTICLE 8 - Description des missions assurées par la DLMG</w:t>
        </w:r>
        <w:r w:rsidR="00D72739">
          <w:rPr>
            <w:noProof/>
            <w:webHidden/>
          </w:rPr>
          <w:tab/>
        </w:r>
        <w:r w:rsidR="00D72739">
          <w:rPr>
            <w:noProof/>
            <w:webHidden/>
          </w:rPr>
          <w:fldChar w:fldCharType="begin"/>
        </w:r>
        <w:r w:rsidR="00D72739">
          <w:rPr>
            <w:noProof/>
            <w:webHidden/>
          </w:rPr>
          <w:instrText xml:space="preserve"> PAGEREF _Toc211954947 \h </w:instrText>
        </w:r>
        <w:r w:rsidR="00D72739">
          <w:rPr>
            <w:noProof/>
            <w:webHidden/>
          </w:rPr>
        </w:r>
        <w:r w:rsidR="00D72739">
          <w:rPr>
            <w:noProof/>
            <w:webHidden/>
          </w:rPr>
          <w:fldChar w:fldCharType="separate"/>
        </w:r>
        <w:r w:rsidR="00D72739">
          <w:rPr>
            <w:noProof/>
            <w:webHidden/>
          </w:rPr>
          <w:t>8</w:t>
        </w:r>
        <w:r w:rsidR="00D72739">
          <w:rPr>
            <w:noProof/>
            <w:webHidden/>
          </w:rPr>
          <w:fldChar w:fldCharType="end"/>
        </w:r>
      </w:hyperlink>
    </w:p>
    <w:p w14:paraId="746D19B8" w14:textId="28FB713A" w:rsidR="00D72739" w:rsidRDefault="001A3590">
      <w:pPr>
        <w:pStyle w:val="TM1"/>
        <w:rPr>
          <w:rFonts w:asciiTheme="minorHAnsi" w:eastAsiaTheme="minorEastAsia" w:hAnsiTheme="minorHAnsi" w:cstheme="minorBidi"/>
          <w:b w:val="0"/>
          <w:caps w:val="0"/>
          <w:noProof/>
        </w:rPr>
      </w:pPr>
      <w:hyperlink w:anchor="_Toc211954948" w:history="1">
        <w:r w:rsidR="00D72739" w:rsidRPr="00625306">
          <w:rPr>
            <w:rStyle w:val="Lienhypertexte"/>
            <w:noProof/>
          </w:rPr>
          <w:t>ARTICLE 9 - OBLIGATIONS DU TITULAIRE</w:t>
        </w:r>
        <w:r w:rsidR="00D72739">
          <w:rPr>
            <w:noProof/>
            <w:webHidden/>
          </w:rPr>
          <w:tab/>
        </w:r>
        <w:r w:rsidR="00D72739">
          <w:rPr>
            <w:noProof/>
            <w:webHidden/>
          </w:rPr>
          <w:fldChar w:fldCharType="begin"/>
        </w:r>
        <w:r w:rsidR="00D72739">
          <w:rPr>
            <w:noProof/>
            <w:webHidden/>
          </w:rPr>
          <w:instrText xml:space="preserve"> PAGEREF _Toc211954948 \h </w:instrText>
        </w:r>
        <w:r w:rsidR="00D72739">
          <w:rPr>
            <w:noProof/>
            <w:webHidden/>
          </w:rPr>
        </w:r>
        <w:r w:rsidR="00D72739">
          <w:rPr>
            <w:noProof/>
            <w:webHidden/>
          </w:rPr>
          <w:fldChar w:fldCharType="separate"/>
        </w:r>
        <w:r w:rsidR="00D72739">
          <w:rPr>
            <w:noProof/>
            <w:webHidden/>
          </w:rPr>
          <w:t>9</w:t>
        </w:r>
        <w:r w:rsidR="00D72739">
          <w:rPr>
            <w:noProof/>
            <w:webHidden/>
          </w:rPr>
          <w:fldChar w:fldCharType="end"/>
        </w:r>
      </w:hyperlink>
    </w:p>
    <w:p w14:paraId="1880916C" w14:textId="33E41D69" w:rsidR="00D72739" w:rsidRDefault="001A3590">
      <w:pPr>
        <w:pStyle w:val="TM2"/>
        <w:tabs>
          <w:tab w:val="right" w:leader="dot" w:pos="8777"/>
        </w:tabs>
        <w:rPr>
          <w:rFonts w:asciiTheme="minorHAnsi" w:eastAsiaTheme="minorEastAsia" w:hAnsiTheme="minorHAnsi" w:cstheme="minorBidi"/>
          <w:noProof/>
        </w:rPr>
      </w:pPr>
      <w:hyperlink w:anchor="_Toc211954949" w:history="1">
        <w:r w:rsidR="00D72739" w:rsidRPr="00625306">
          <w:rPr>
            <w:rStyle w:val="Lienhypertexte"/>
            <w:noProof/>
          </w:rPr>
          <w:t>9.1. Absence de conflit d’intérêts</w:t>
        </w:r>
        <w:r w:rsidR="00D72739">
          <w:rPr>
            <w:noProof/>
            <w:webHidden/>
          </w:rPr>
          <w:tab/>
        </w:r>
        <w:r w:rsidR="00D72739">
          <w:rPr>
            <w:noProof/>
            <w:webHidden/>
          </w:rPr>
          <w:fldChar w:fldCharType="begin"/>
        </w:r>
        <w:r w:rsidR="00D72739">
          <w:rPr>
            <w:noProof/>
            <w:webHidden/>
          </w:rPr>
          <w:instrText xml:space="preserve"> PAGEREF _Toc211954949 \h </w:instrText>
        </w:r>
        <w:r w:rsidR="00D72739">
          <w:rPr>
            <w:noProof/>
            <w:webHidden/>
          </w:rPr>
        </w:r>
        <w:r w:rsidR="00D72739">
          <w:rPr>
            <w:noProof/>
            <w:webHidden/>
          </w:rPr>
          <w:fldChar w:fldCharType="separate"/>
        </w:r>
        <w:r w:rsidR="00D72739">
          <w:rPr>
            <w:noProof/>
            <w:webHidden/>
          </w:rPr>
          <w:t>9</w:t>
        </w:r>
        <w:r w:rsidR="00D72739">
          <w:rPr>
            <w:noProof/>
            <w:webHidden/>
          </w:rPr>
          <w:fldChar w:fldCharType="end"/>
        </w:r>
      </w:hyperlink>
    </w:p>
    <w:p w14:paraId="17578D2A" w14:textId="5ECB4683" w:rsidR="00D72739" w:rsidRDefault="001A3590">
      <w:pPr>
        <w:pStyle w:val="TM2"/>
        <w:tabs>
          <w:tab w:val="right" w:leader="dot" w:pos="8777"/>
        </w:tabs>
        <w:rPr>
          <w:rFonts w:asciiTheme="minorHAnsi" w:eastAsiaTheme="minorEastAsia" w:hAnsiTheme="minorHAnsi" w:cstheme="minorBidi"/>
          <w:noProof/>
        </w:rPr>
      </w:pPr>
      <w:hyperlink w:anchor="_Toc211954950" w:history="1">
        <w:r w:rsidR="00D72739" w:rsidRPr="00625306">
          <w:rPr>
            <w:rStyle w:val="Lienhypertexte"/>
            <w:noProof/>
          </w:rPr>
          <w:t>9.2. Permanence du personnel affecté à l’exécution du marché</w:t>
        </w:r>
        <w:r w:rsidR="00D72739">
          <w:rPr>
            <w:noProof/>
            <w:webHidden/>
          </w:rPr>
          <w:tab/>
        </w:r>
        <w:r w:rsidR="00D72739">
          <w:rPr>
            <w:noProof/>
            <w:webHidden/>
          </w:rPr>
          <w:fldChar w:fldCharType="begin"/>
        </w:r>
        <w:r w:rsidR="00D72739">
          <w:rPr>
            <w:noProof/>
            <w:webHidden/>
          </w:rPr>
          <w:instrText xml:space="preserve"> PAGEREF _Toc211954950 \h </w:instrText>
        </w:r>
        <w:r w:rsidR="00D72739">
          <w:rPr>
            <w:noProof/>
            <w:webHidden/>
          </w:rPr>
        </w:r>
        <w:r w:rsidR="00D72739">
          <w:rPr>
            <w:noProof/>
            <w:webHidden/>
          </w:rPr>
          <w:fldChar w:fldCharType="separate"/>
        </w:r>
        <w:r w:rsidR="00D72739">
          <w:rPr>
            <w:noProof/>
            <w:webHidden/>
          </w:rPr>
          <w:t>9</w:t>
        </w:r>
        <w:r w:rsidR="00D72739">
          <w:rPr>
            <w:noProof/>
            <w:webHidden/>
          </w:rPr>
          <w:fldChar w:fldCharType="end"/>
        </w:r>
      </w:hyperlink>
    </w:p>
    <w:p w14:paraId="14CF4F30" w14:textId="662AE6ED" w:rsidR="00D72739" w:rsidRDefault="001A3590">
      <w:pPr>
        <w:pStyle w:val="TM2"/>
        <w:tabs>
          <w:tab w:val="right" w:leader="dot" w:pos="8777"/>
        </w:tabs>
        <w:rPr>
          <w:rFonts w:asciiTheme="minorHAnsi" w:eastAsiaTheme="minorEastAsia" w:hAnsiTheme="minorHAnsi" w:cstheme="minorBidi"/>
          <w:noProof/>
        </w:rPr>
      </w:pPr>
      <w:hyperlink w:anchor="_Toc211954951" w:history="1">
        <w:r w:rsidR="00D72739" w:rsidRPr="00625306">
          <w:rPr>
            <w:rStyle w:val="Lienhypertexte"/>
            <w:noProof/>
          </w:rPr>
          <w:t>9.3. Obligation d’information</w:t>
        </w:r>
        <w:r w:rsidR="00D72739">
          <w:rPr>
            <w:noProof/>
            <w:webHidden/>
          </w:rPr>
          <w:tab/>
        </w:r>
        <w:r w:rsidR="00D72739">
          <w:rPr>
            <w:noProof/>
            <w:webHidden/>
          </w:rPr>
          <w:fldChar w:fldCharType="begin"/>
        </w:r>
        <w:r w:rsidR="00D72739">
          <w:rPr>
            <w:noProof/>
            <w:webHidden/>
          </w:rPr>
          <w:instrText xml:space="preserve"> PAGEREF _Toc211954951 \h </w:instrText>
        </w:r>
        <w:r w:rsidR="00D72739">
          <w:rPr>
            <w:noProof/>
            <w:webHidden/>
          </w:rPr>
        </w:r>
        <w:r w:rsidR="00D72739">
          <w:rPr>
            <w:noProof/>
            <w:webHidden/>
          </w:rPr>
          <w:fldChar w:fldCharType="separate"/>
        </w:r>
        <w:r w:rsidR="00D72739">
          <w:rPr>
            <w:noProof/>
            <w:webHidden/>
          </w:rPr>
          <w:t>9</w:t>
        </w:r>
        <w:r w:rsidR="00D72739">
          <w:rPr>
            <w:noProof/>
            <w:webHidden/>
          </w:rPr>
          <w:fldChar w:fldCharType="end"/>
        </w:r>
      </w:hyperlink>
    </w:p>
    <w:p w14:paraId="701DB07D" w14:textId="6BBC4D06" w:rsidR="00D72739" w:rsidRDefault="001A3590">
      <w:pPr>
        <w:pStyle w:val="TM2"/>
        <w:tabs>
          <w:tab w:val="right" w:leader="dot" w:pos="8777"/>
        </w:tabs>
        <w:rPr>
          <w:rFonts w:asciiTheme="minorHAnsi" w:eastAsiaTheme="minorEastAsia" w:hAnsiTheme="minorHAnsi" w:cstheme="minorBidi"/>
          <w:noProof/>
        </w:rPr>
      </w:pPr>
      <w:hyperlink w:anchor="_Toc211954952" w:history="1">
        <w:r w:rsidR="00D72739" w:rsidRPr="00625306">
          <w:rPr>
            <w:rStyle w:val="Lienhypertexte"/>
            <w:noProof/>
          </w:rPr>
          <w:t>9.4. Obligation de neutralité, de discrétion et de confidentialité professionnelles – interdiction de publicité</w:t>
        </w:r>
        <w:r w:rsidR="00D72739">
          <w:rPr>
            <w:noProof/>
            <w:webHidden/>
          </w:rPr>
          <w:tab/>
        </w:r>
        <w:r w:rsidR="00D72739">
          <w:rPr>
            <w:noProof/>
            <w:webHidden/>
          </w:rPr>
          <w:fldChar w:fldCharType="begin"/>
        </w:r>
        <w:r w:rsidR="00D72739">
          <w:rPr>
            <w:noProof/>
            <w:webHidden/>
          </w:rPr>
          <w:instrText xml:space="preserve"> PAGEREF _Toc211954952 \h </w:instrText>
        </w:r>
        <w:r w:rsidR="00D72739">
          <w:rPr>
            <w:noProof/>
            <w:webHidden/>
          </w:rPr>
        </w:r>
        <w:r w:rsidR="00D72739">
          <w:rPr>
            <w:noProof/>
            <w:webHidden/>
          </w:rPr>
          <w:fldChar w:fldCharType="separate"/>
        </w:r>
        <w:r w:rsidR="00D72739">
          <w:rPr>
            <w:noProof/>
            <w:webHidden/>
          </w:rPr>
          <w:t>10</w:t>
        </w:r>
        <w:r w:rsidR="00D72739">
          <w:rPr>
            <w:noProof/>
            <w:webHidden/>
          </w:rPr>
          <w:fldChar w:fldCharType="end"/>
        </w:r>
      </w:hyperlink>
    </w:p>
    <w:p w14:paraId="3E089343" w14:textId="43857F9B" w:rsidR="00D72739" w:rsidRDefault="001A3590">
      <w:pPr>
        <w:pStyle w:val="TM1"/>
        <w:rPr>
          <w:rFonts w:asciiTheme="minorHAnsi" w:eastAsiaTheme="minorEastAsia" w:hAnsiTheme="minorHAnsi" w:cstheme="minorBidi"/>
          <w:b w:val="0"/>
          <w:caps w:val="0"/>
          <w:noProof/>
        </w:rPr>
      </w:pPr>
      <w:hyperlink w:anchor="_Toc211954953" w:history="1">
        <w:r w:rsidR="00D72739" w:rsidRPr="00625306">
          <w:rPr>
            <w:rStyle w:val="Lienhypertexte"/>
            <w:noProof/>
          </w:rPr>
          <w:t>ARTICLE 10 - PROPRIÉTÉ INTELLECTUELLE</w:t>
        </w:r>
        <w:r w:rsidR="00D72739">
          <w:rPr>
            <w:noProof/>
            <w:webHidden/>
          </w:rPr>
          <w:tab/>
        </w:r>
        <w:r w:rsidR="00D72739">
          <w:rPr>
            <w:noProof/>
            <w:webHidden/>
          </w:rPr>
          <w:fldChar w:fldCharType="begin"/>
        </w:r>
        <w:r w:rsidR="00D72739">
          <w:rPr>
            <w:noProof/>
            <w:webHidden/>
          </w:rPr>
          <w:instrText xml:space="preserve"> PAGEREF _Toc211954953 \h </w:instrText>
        </w:r>
        <w:r w:rsidR="00D72739">
          <w:rPr>
            <w:noProof/>
            <w:webHidden/>
          </w:rPr>
        </w:r>
        <w:r w:rsidR="00D72739">
          <w:rPr>
            <w:noProof/>
            <w:webHidden/>
          </w:rPr>
          <w:fldChar w:fldCharType="separate"/>
        </w:r>
        <w:r w:rsidR="00D72739">
          <w:rPr>
            <w:noProof/>
            <w:webHidden/>
          </w:rPr>
          <w:t>10</w:t>
        </w:r>
        <w:r w:rsidR="00D72739">
          <w:rPr>
            <w:noProof/>
            <w:webHidden/>
          </w:rPr>
          <w:fldChar w:fldCharType="end"/>
        </w:r>
      </w:hyperlink>
    </w:p>
    <w:p w14:paraId="6A0641E3" w14:textId="2C3DCCBB" w:rsidR="00D72739" w:rsidRDefault="001A3590">
      <w:pPr>
        <w:pStyle w:val="TM1"/>
        <w:rPr>
          <w:rFonts w:asciiTheme="minorHAnsi" w:eastAsiaTheme="minorEastAsia" w:hAnsiTheme="minorHAnsi" w:cstheme="minorBidi"/>
          <w:b w:val="0"/>
          <w:caps w:val="0"/>
          <w:noProof/>
        </w:rPr>
      </w:pPr>
      <w:hyperlink w:anchor="_Toc211954954" w:history="1">
        <w:r w:rsidR="00D72739" w:rsidRPr="00625306">
          <w:rPr>
            <w:rStyle w:val="Lienhypertexte"/>
            <w:noProof/>
          </w:rPr>
          <w:t>ARTICLE 11 - pénalités</w:t>
        </w:r>
        <w:r w:rsidR="00D72739">
          <w:rPr>
            <w:noProof/>
            <w:webHidden/>
          </w:rPr>
          <w:tab/>
        </w:r>
        <w:r w:rsidR="00D72739">
          <w:rPr>
            <w:noProof/>
            <w:webHidden/>
          </w:rPr>
          <w:fldChar w:fldCharType="begin"/>
        </w:r>
        <w:r w:rsidR="00D72739">
          <w:rPr>
            <w:noProof/>
            <w:webHidden/>
          </w:rPr>
          <w:instrText xml:space="preserve"> PAGEREF _Toc211954954 \h </w:instrText>
        </w:r>
        <w:r w:rsidR="00D72739">
          <w:rPr>
            <w:noProof/>
            <w:webHidden/>
          </w:rPr>
        </w:r>
        <w:r w:rsidR="00D72739">
          <w:rPr>
            <w:noProof/>
            <w:webHidden/>
          </w:rPr>
          <w:fldChar w:fldCharType="separate"/>
        </w:r>
        <w:r w:rsidR="00D72739">
          <w:rPr>
            <w:noProof/>
            <w:webHidden/>
          </w:rPr>
          <w:t>10</w:t>
        </w:r>
        <w:r w:rsidR="00D72739">
          <w:rPr>
            <w:noProof/>
            <w:webHidden/>
          </w:rPr>
          <w:fldChar w:fldCharType="end"/>
        </w:r>
      </w:hyperlink>
    </w:p>
    <w:p w14:paraId="0D1A856C" w14:textId="644780DD" w:rsidR="00D72739" w:rsidRDefault="001A3590">
      <w:pPr>
        <w:pStyle w:val="TM1"/>
        <w:rPr>
          <w:rFonts w:asciiTheme="minorHAnsi" w:eastAsiaTheme="minorEastAsia" w:hAnsiTheme="minorHAnsi" w:cstheme="minorBidi"/>
          <w:b w:val="0"/>
          <w:caps w:val="0"/>
          <w:noProof/>
        </w:rPr>
      </w:pPr>
      <w:hyperlink w:anchor="_Toc211954955" w:history="1">
        <w:r w:rsidR="00D72739" w:rsidRPr="00625306">
          <w:rPr>
            <w:rStyle w:val="Lienhypertexte"/>
            <w:noProof/>
          </w:rPr>
          <w:t>ARTICLE 12 - résiliation du marchÉ</w:t>
        </w:r>
        <w:r w:rsidR="00D72739">
          <w:rPr>
            <w:noProof/>
            <w:webHidden/>
          </w:rPr>
          <w:tab/>
        </w:r>
        <w:r w:rsidR="00D72739">
          <w:rPr>
            <w:noProof/>
            <w:webHidden/>
          </w:rPr>
          <w:fldChar w:fldCharType="begin"/>
        </w:r>
        <w:r w:rsidR="00D72739">
          <w:rPr>
            <w:noProof/>
            <w:webHidden/>
          </w:rPr>
          <w:instrText xml:space="preserve"> PAGEREF _Toc211954955 \h </w:instrText>
        </w:r>
        <w:r w:rsidR="00D72739">
          <w:rPr>
            <w:noProof/>
            <w:webHidden/>
          </w:rPr>
        </w:r>
        <w:r w:rsidR="00D72739">
          <w:rPr>
            <w:noProof/>
            <w:webHidden/>
          </w:rPr>
          <w:fldChar w:fldCharType="separate"/>
        </w:r>
        <w:r w:rsidR="00D72739">
          <w:rPr>
            <w:noProof/>
            <w:webHidden/>
          </w:rPr>
          <w:t>11</w:t>
        </w:r>
        <w:r w:rsidR="00D72739">
          <w:rPr>
            <w:noProof/>
            <w:webHidden/>
          </w:rPr>
          <w:fldChar w:fldCharType="end"/>
        </w:r>
      </w:hyperlink>
    </w:p>
    <w:p w14:paraId="4D7D3F8C" w14:textId="2F115D7D" w:rsidR="00D72739" w:rsidRDefault="001A3590">
      <w:pPr>
        <w:pStyle w:val="TM1"/>
        <w:rPr>
          <w:rFonts w:asciiTheme="minorHAnsi" w:eastAsiaTheme="minorEastAsia" w:hAnsiTheme="minorHAnsi" w:cstheme="minorBidi"/>
          <w:b w:val="0"/>
          <w:caps w:val="0"/>
          <w:noProof/>
        </w:rPr>
      </w:pPr>
      <w:hyperlink w:anchor="_Toc211954956" w:history="1">
        <w:r w:rsidR="00D72739" w:rsidRPr="00625306">
          <w:rPr>
            <w:rStyle w:val="Lienhypertexte"/>
            <w:noProof/>
          </w:rPr>
          <w:t>ARTICLE 13 - DIspositions diverses</w:t>
        </w:r>
        <w:r w:rsidR="00D72739">
          <w:rPr>
            <w:noProof/>
            <w:webHidden/>
          </w:rPr>
          <w:tab/>
        </w:r>
        <w:r w:rsidR="00D72739">
          <w:rPr>
            <w:noProof/>
            <w:webHidden/>
          </w:rPr>
          <w:fldChar w:fldCharType="begin"/>
        </w:r>
        <w:r w:rsidR="00D72739">
          <w:rPr>
            <w:noProof/>
            <w:webHidden/>
          </w:rPr>
          <w:instrText xml:space="preserve"> PAGEREF _Toc211954956 \h </w:instrText>
        </w:r>
        <w:r w:rsidR="00D72739">
          <w:rPr>
            <w:noProof/>
            <w:webHidden/>
          </w:rPr>
        </w:r>
        <w:r w:rsidR="00D72739">
          <w:rPr>
            <w:noProof/>
            <w:webHidden/>
          </w:rPr>
          <w:fldChar w:fldCharType="separate"/>
        </w:r>
        <w:r w:rsidR="00D72739">
          <w:rPr>
            <w:noProof/>
            <w:webHidden/>
          </w:rPr>
          <w:t>12</w:t>
        </w:r>
        <w:r w:rsidR="00D72739">
          <w:rPr>
            <w:noProof/>
            <w:webHidden/>
          </w:rPr>
          <w:fldChar w:fldCharType="end"/>
        </w:r>
      </w:hyperlink>
    </w:p>
    <w:p w14:paraId="58FBCA5B" w14:textId="782BB6EC" w:rsidR="00D72739" w:rsidRDefault="001A3590">
      <w:pPr>
        <w:pStyle w:val="TM2"/>
        <w:tabs>
          <w:tab w:val="right" w:leader="dot" w:pos="8777"/>
        </w:tabs>
        <w:rPr>
          <w:rFonts w:asciiTheme="minorHAnsi" w:eastAsiaTheme="minorEastAsia" w:hAnsiTheme="minorHAnsi" w:cstheme="minorBidi"/>
          <w:noProof/>
        </w:rPr>
      </w:pPr>
      <w:hyperlink w:anchor="_Toc211954957" w:history="1">
        <w:r w:rsidR="00D72739" w:rsidRPr="00625306">
          <w:rPr>
            <w:rStyle w:val="Lienhypertexte"/>
            <w:noProof/>
          </w:rPr>
          <w:t>13.1. Usage de la langue française</w:t>
        </w:r>
        <w:r w:rsidR="00D72739">
          <w:rPr>
            <w:noProof/>
            <w:webHidden/>
          </w:rPr>
          <w:tab/>
        </w:r>
        <w:r w:rsidR="00D72739">
          <w:rPr>
            <w:noProof/>
            <w:webHidden/>
          </w:rPr>
          <w:fldChar w:fldCharType="begin"/>
        </w:r>
        <w:r w:rsidR="00D72739">
          <w:rPr>
            <w:noProof/>
            <w:webHidden/>
          </w:rPr>
          <w:instrText xml:space="preserve"> PAGEREF _Toc211954957 \h </w:instrText>
        </w:r>
        <w:r w:rsidR="00D72739">
          <w:rPr>
            <w:noProof/>
            <w:webHidden/>
          </w:rPr>
        </w:r>
        <w:r w:rsidR="00D72739">
          <w:rPr>
            <w:noProof/>
            <w:webHidden/>
          </w:rPr>
          <w:fldChar w:fldCharType="separate"/>
        </w:r>
        <w:r w:rsidR="00D72739">
          <w:rPr>
            <w:noProof/>
            <w:webHidden/>
          </w:rPr>
          <w:t>12</w:t>
        </w:r>
        <w:r w:rsidR="00D72739">
          <w:rPr>
            <w:noProof/>
            <w:webHidden/>
          </w:rPr>
          <w:fldChar w:fldCharType="end"/>
        </w:r>
      </w:hyperlink>
    </w:p>
    <w:p w14:paraId="4E8EDF7F" w14:textId="476BF329" w:rsidR="00D72739" w:rsidRDefault="001A3590">
      <w:pPr>
        <w:pStyle w:val="TM2"/>
        <w:tabs>
          <w:tab w:val="right" w:leader="dot" w:pos="8777"/>
        </w:tabs>
        <w:rPr>
          <w:rFonts w:asciiTheme="minorHAnsi" w:eastAsiaTheme="minorEastAsia" w:hAnsiTheme="minorHAnsi" w:cstheme="minorBidi"/>
          <w:noProof/>
        </w:rPr>
      </w:pPr>
      <w:hyperlink w:anchor="_Toc211954958" w:history="1">
        <w:r w:rsidR="00D72739" w:rsidRPr="00625306">
          <w:rPr>
            <w:rStyle w:val="Lienhypertexte"/>
            <w:noProof/>
          </w:rPr>
          <w:t>13.2. Exécution des prestations aux frais et risques du titulaire</w:t>
        </w:r>
        <w:r w:rsidR="00D72739">
          <w:rPr>
            <w:noProof/>
            <w:webHidden/>
          </w:rPr>
          <w:tab/>
        </w:r>
        <w:r w:rsidR="00D72739">
          <w:rPr>
            <w:noProof/>
            <w:webHidden/>
          </w:rPr>
          <w:fldChar w:fldCharType="begin"/>
        </w:r>
        <w:r w:rsidR="00D72739">
          <w:rPr>
            <w:noProof/>
            <w:webHidden/>
          </w:rPr>
          <w:instrText xml:space="preserve"> PAGEREF _Toc211954958 \h </w:instrText>
        </w:r>
        <w:r w:rsidR="00D72739">
          <w:rPr>
            <w:noProof/>
            <w:webHidden/>
          </w:rPr>
        </w:r>
        <w:r w:rsidR="00D72739">
          <w:rPr>
            <w:noProof/>
            <w:webHidden/>
          </w:rPr>
          <w:fldChar w:fldCharType="separate"/>
        </w:r>
        <w:r w:rsidR="00D72739">
          <w:rPr>
            <w:noProof/>
            <w:webHidden/>
          </w:rPr>
          <w:t>12</w:t>
        </w:r>
        <w:r w:rsidR="00D72739">
          <w:rPr>
            <w:noProof/>
            <w:webHidden/>
          </w:rPr>
          <w:fldChar w:fldCharType="end"/>
        </w:r>
      </w:hyperlink>
    </w:p>
    <w:p w14:paraId="5A20EE31" w14:textId="56EBFA1A" w:rsidR="00D72739" w:rsidRDefault="001A3590">
      <w:pPr>
        <w:pStyle w:val="TM2"/>
        <w:tabs>
          <w:tab w:val="right" w:leader="dot" w:pos="8777"/>
        </w:tabs>
        <w:rPr>
          <w:rFonts w:asciiTheme="minorHAnsi" w:eastAsiaTheme="minorEastAsia" w:hAnsiTheme="minorHAnsi" w:cstheme="minorBidi"/>
          <w:noProof/>
        </w:rPr>
      </w:pPr>
      <w:hyperlink w:anchor="_Toc211954959" w:history="1">
        <w:r w:rsidR="00D72739" w:rsidRPr="00625306">
          <w:rPr>
            <w:rStyle w:val="Lienhypertexte"/>
            <w:noProof/>
          </w:rPr>
          <w:t>13.3. Convention sur la preuve</w:t>
        </w:r>
        <w:r w:rsidR="00D72739">
          <w:rPr>
            <w:noProof/>
            <w:webHidden/>
          </w:rPr>
          <w:tab/>
        </w:r>
        <w:r w:rsidR="00D72739">
          <w:rPr>
            <w:noProof/>
            <w:webHidden/>
          </w:rPr>
          <w:fldChar w:fldCharType="begin"/>
        </w:r>
        <w:r w:rsidR="00D72739">
          <w:rPr>
            <w:noProof/>
            <w:webHidden/>
          </w:rPr>
          <w:instrText xml:space="preserve"> PAGEREF _Toc211954959 \h </w:instrText>
        </w:r>
        <w:r w:rsidR="00D72739">
          <w:rPr>
            <w:noProof/>
            <w:webHidden/>
          </w:rPr>
        </w:r>
        <w:r w:rsidR="00D72739">
          <w:rPr>
            <w:noProof/>
            <w:webHidden/>
          </w:rPr>
          <w:fldChar w:fldCharType="separate"/>
        </w:r>
        <w:r w:rsidR="00D72739">
          <w:rPr>
            <w:noProof/>
            <w:webHidden/>
          </w:rPr>
          <w:t>12</w:t>
        </w:r>
        <w:r w:rsidR="00D72739">
          <w:rPr>
            <w:noProof/>
            <w:webHidden/>
          </w:rPr>
          <w:fldChar w:fldCharType="end"/>
        </w:r>
      </w:hyperlink>
    </w:p>
    <w:p w14:paraId="3C5EAC96" w14:textId="6829FAD2" w:rsidR="00D72739" w:rsidRDefault="001A3590">
      <w:pPr>
        <w:pStyle w:val="TM1"/>
        <w:rPr>
          <w:rFonts w:asciiTheme="minorHAnsi" w:eastAsiaTheme="minorEastAsia" w:hAnsiTheme="minorHAnsi" w:cstheme="minorBidi"/>
          <w:b w:val="0"/>
          <w:caps w:val="0"/>
          <w:noProof/>
        </w:rPr>
      </w:pPr>
      <w:hyperlink w:anchor="_Toc211954960" w:history="1">
        <w:r w:rsidR="00D72739" w:rsidRPr="00625306">
          <w:rPr>
            <w:rStyle w:val="Lienhypertexte"/>
            <w:noProof/>
          </w:rPr>
          <w:t>ARTICLE 14 - Contentieux</w:t>
        </w:r>
        <w:r w:rsidR="00D72739">
          <w:rPr>
            <w:noProof/>
            <w:webHidden/>
          </w:rPr>
          <w:tab/>
        </w:r>
        <w:r w:rsidR="00D72739">
          <w:rPr>
            <w:noProof/>
            <w:webHidden/>
          </w:rPr>
          <w:fldChar w:fldCharType="begin"/>
        </w:r>
        <w:r w:rsidR="00D72739">
          <w:rPr>
            <w:noProof/>
            <w:webHidden/>
          </w:rPr>
          <w:instrText xml:space="preserve"> PAGEREF _Toc211954960 \h </w:instrText>
        </w:r>
        <w:r w:rsidR="00D72739">
          <w:rPr>
            <w:noProof/>
            <w:webHidden/>
          </w:rPr>
        </w:r>
        <w:r w:rsidR="00D72739">
          <w:rPr>
            <w:noProof/>
            <w:webHidden/>
          </w:rPr>
          <w:fldChar w:fldCharType="separate"/>
        </w:r>
        <w:r w:rsidR="00D72739">
          <w:rPr>
            <w:noProof/>
            <w:webHidden/>
          </w:rPr>
          <w:t>12</w:t>
        </w:r>
        <w:r w:rsidR="00D72739">
          <w:rPr>
            <w:noProof/>
            <w:webHidden/>
          </w:rPr>
          <w:fldChar w:fldCharType="end"/>
        </w:r>
      </w:hyperlink>
    </w:p>
    <w:p w14:paraId="170FC7B8" w14:textId="7089C79D" w:rsidR="00D72739" w:rsidRDefault="001A3590">
      <w:pPr>
        <w:pStyle w:val="TM1"/>
        <w:rPr>
          <w:rFonts w:asciiTheme="minorHAnsi" w:eastAsiaTheme="minorEastAsia" w:hAnsiTheme="minorHAnsi" w:cstheme="minorBidi"/>
          <w:b w:val="0"/>
          <w:caps w:val="0"/>
          <w:noProof/>
        </w:rPr>
      </w:pPr>
      <w:hyperlink w:anchor="_Toc211954961" w:history="1">
        <w:r w:rsidR="00D72739" w:rsidRPr="00625306">
          <w:rPr>
            <w:rStyle w:val="Lienhypertexte"/>
            <w:noProof/>
          </w:rPr>
          <w:t>ARTICLE 15 - Dérogations au ccag-PI</w:t>
        </w:r>
        <w:r w:rsidR="00D72739">
          <w:rPr>
            <w:noProof/>
            <w:webHidden/>
          </w:rPr>
          <w:tab/>
        </w:r>
        <w:r w:rsidR="00D72739">
          <w:rPr>
            <w:noProof/>
            <w:webHidden/>
          </w:rPr>
          <w:fldChar w:fldCharType="begin"/>
        </w:r>
        <w:r w:rsidR="00D72739">
          <w:rPr>
            <w:noProof/>
            <w:webHidden/>
          </w:rPr>
          <w:instrText xml:space="preserve"> PAGEREF _Toc211954961 \h </w:instrText>
        </w:r>
        <w:r w:rsidR="00D72739">
          <w:rPr>
            <w:noProof/>
            <w:webHidden/>
          </w:rPr>
        </w:r>
        <w:r w:rsidR="00D72739">
          <w:rPr>
            <w:noProof/>
            <w:webHidden/>
          </w:rPr>
          <w:fldChar w:fldCharType="separate"/>
        </w:r>
        <w:r w:rsidR="00D72739">
          <w:rPr>
            <w:noProof/>
            <w:webHidden/>
          </w:rPr>
          <w:t>12</w:t>
        </w:r>
        <w:r w:rsidR="00D72739">
          <w:rPr>
            <w:noProof/>
            <w:webHidden/>
          </w:rPr>
          <w:fldChar w:fldCharType="end"/>
        </w:r>
      </w:hyperlink>
    </w:p>
    <w:p w14:paraId="536D8D6C" w14:textId="2F3C932E" w:rsidR="00D72739" w:rsidRDefault="001A3590">
      <w:pPr>
        <w:pStyle w:val="TM1"/>
        <w:rPr>
          <w:rFonts w:asciiTheme="minorHAnsi" w:eastAsiaTheme="minorEastAsia" w:hAnsiTheme="minorHAnsi" w:cstheme="minorBidi"/>
          <w:b w:val="0"/>
          <w:caps w:val="0"/>
          <w:noProof/>
        </w:rPr>
      </w:pPr>
      <w:hyperlink w:anchor="_Toc211954962" w:history="1">
        <w:r w:rsidR="00D72739" w:rsidRPr="00625306">
          <w:rPr>
            <w:rStyle w:val="Lienhypertexte"/>
            <w:noProof/>
          </w:rPr>
          <w:t>Annexe - dÉmatÉrialisation des factures</w:t>
        </w:r>
        <w:r w:rsidR="00D72739">
          <w:rPr>
            <w:noProof/>
            <w:webHidden/>
          </w:rPr>
          <w:tab/>
        </w:r>
        <w:r w:rsidR="00D72739">
          <w:rPr>
            <w:noProof/>
            <w:webHidden/>
          </w:rPr>
          <w:fldChar w:fldCharType="begin"/>
        </w:r>
        <w:r w:rsidR="00D72739">
          <w:rPr>
            <w:noProof/>
            <w:webHidden/>
          </w:rPr>
          <w:instrText xml:space="preserve"> PAGEREF _Toc211954962 \h </w:instrText>
        </w:r>
        <w:r w:rsidR="00D72739">
          <w:rPr>
            <w:noProof/>
            <w:webHidden/>
          </w:rPr>
        </w:r>
        <w:r w:rsidR="00D72739">
          <w:rPr>
            <w:noProof/>
            <w:webHidden/>
          </w:rPr>
          <w:fldChar w:fldCharType="separate"/>
        </w:r>
        <w:r w:rsidR="00D72739">
          <w:rPr>
            <w:noProof/>
            <w:webHidden/>
          </w:rPr>
          <w:t>13</w:t>
        </w:r>
        <w:r w:rsidR="00D72739">
          <w:rPr>
            <w:noProof/>
            <w:webHidden/>
          </w:rPr>
          <w:fldChar w:fldCharType="end"/>
        </w:r>
      </w:hyperlink>
    </w:p>
    <w:p w14:paraId="29772A49" w14:textId="2CD74F30" w:rsidR="0067198D" w:rsidRDefault="006B4BDF">
      <w:pPr>
        <w:pStyle w:val="DCESommaire"/>
      </w:pPr>
      <w:r>
        <w:fldChar w:fldCharType="end"/>
      </w:r>
    </w:p>
    <w:p w14:paraId="5B9E03AA" w14:textId="77777777" w:rsidR="00A42A21" w:rsidRDefault="0067198D" w:rsidP="00C44CE8">
      <w:pPr>
        <w:pStyle w:val="DCEArticle"/>
        <w:ind w:left="0"/>
      </w:pPr>
      <w:bookmarkStart w:id="0" w:name="_Toc227581749"/>
      <w:r>
        <w:br w:type="page"/>
      </w:r>
      <w:bookmarkStart w:id="1" w:name="_Toc327459773"/>
      <w:bookmarkStart w:id="2" w:name="_Toc333566291"/>
      <w:bookmarkStart w:id="3" w:name="_Toc211954932"/>
      <w:bookmarkStart w:id="4" w:name="_Toc231026682"/>
      <w:bookmarkStart w:id="5" w:name="_Toc236020531"/>
      <w:bookmarkStart w:id="6" w:name="_Toc242179724"/>
      <w:bookmarkStart w:id="7" w:name="_Toc251169746"/>
      <w:bookmarkStart w:id="8" w:name="_Toc251579028"/>
      <w:bookmarkStart w:id="9" w:name="_Toc261613342"/>
      <w:bookmarkStart w:id="10" w:name="_Toc261625515"/>
      <w:bookmarkStart w:id="11" w:name="_Toc262649023"/>
      <w:bookmarkStart w:id="12" w:name="_Toc281834460"/>
      <w:bookmarkStart w:id="13" w:name="_Toc282422308"/>
      <w:bookmarkStart w:id="14" w:name="_Toc282433163"/>
      <w:bookmarkStart w:id="15" w:name="_Toc283046127"/>
      <w:bookmarkStart w:id="16" w:name="_Toc292448186"/>
      <w:bookmarkStart w:id="17" w:name="_Toc292468835"/>
      <w:bookmarkStart w:id="18" w:name="_Toc293053318"/>
      <w:bookmarkStart w:id="19" w:name="_Toc293053367"/>
      <w:bookmarkStart w:id="20" w:name="_Toc293062748"/>
      <w:bookmarkStart w:id="21" w:name="_Toc309145774"/>
      <w:bookmarkStart w:id="22" w:name="_Toc309207095"/>
      <w:bookmarkStart w:id="23" w:name="_Toc309398354"/>
      <w:bookmarkStart w:id="24" w:name="_Toc310002387"/>
      <w:r w:rsidR="00A42A21">
        <w:lastRenderedPageBreak/>
        <w:t>objet du march</w:t>
      </w:r>
      <w:r w:rsidR="00180FC0">
        <w:t>É</w:t>
      </w:r>
      <w:bookmarkEnd w:id="1"/>
      <w:bookmarkEnd w:id="2"/>
      <w:bookmarkEnd w:id="3"/>
    </w:p>
    <w:p w14:paraId="44C67A0C" w14:textId="7777B7DE" w:rsidR="008B6FEE" w:rsidRDefault="0091385A" w:rsidP="008B6FEE">
      <w:pPr>
        <w:pStyle w:val="DCETexte"/>
      </w:pPr>
      <w:bookmarkStart w:id="25" w:name="_Toc327459774"/>
      <w:bookmarkStart w:id="26" w:name="_Toc333566292"/>
      <w:r>
        <w:t xml:space="preserve">Ce marché de </w:t>
      </w:r>
      <w:r w:rsidR="002D1A7B" w:rsidRPr="008C5BF3">
        <w:t>prestation intellectuelle</w:t>
      </w:r>
      <w:r w:rsidRPr="008C5BF3">
        <w:t xml:space="preserve"> </w:t>
      </w:r>
      <w:r w:rsidR="008B6FEE">
        <w:t xml:space="preserve">porte sur </w:t>
      </w:r>
      <w:r w:rsidR="008B6FEE" w:rsidRPr="007832C5">
        <w:t>l</w:t>
      </w:r>
      <w:r w:rsidR="008B6FEE">
        <w:t>’</w:t>
      </w:r>
      <w:r w:rsidR="008B6FEE" w:rsidRPr="007832C5">
        <w:t>a</w:t>
      </w:r>
      <w:r w:rsidR="008B6FEE">
        <w:t xml:space="preserve">ssistance à maîtrise d’ouvrage </w:t>
      </w:r>
      <w:r w:rsidR="008B6FEE" w:rsidRPr="003746D1">
        <w:t xml:space="preserve">pour des prestations </w:t>
      </w:r>
      <w:r w:rsidR="008B6FEE">
        <w:t>d</w:t>
      </w:r>
      <w:r w:rsidR="008B6FEE" w:rsidRPr="003746D1">
        <w:t>’aide à la passation de marché et d’accompagnement en cas de sinistre</w:t>
      </w:r>
      <w:r w:rsidR="008B6FEE">
        <w:t xml:space="preserve"> dans le cadre d</w:t>
      </w:r>
      <w:r w:rsidR="00C04C88">
        <w:t>u</w:t>
      </w:r>
      <w:r w:rsidR="008B6FEE">
        <w:t xml:space="preserve"> marché d’assurances du Sénat</w:t>
      </w:r>
      <w:r w:rsidR="00C04C88">
        <w:t xml:space="preserve"> mentionné à </w:t>
      </w:r>
      <w:r w:rsidR="00AB4106">
        <w:t>l’article </w:t>
      </w:r>
      <w:r w:rsidR="00267317">
        <w:t>6</w:t>
      </w:r>
      <w:r w:rsidR="008B6FEE" w:rsidRPr="00DA2818">
        <w:t>.</w:t>
      </w:r>
    </w:p>
    <w:p w14:paraId="7D0D0658" w14:textId="77777777" w:rsidR="00292685" w:rsidRDefault="008B6FEE" w:rsidP="00292685">
      <w:pPr>
        <w:pStyle w:val="DCETexte"/>
      </w:pPr>
      <w:r>
        <w:t>Ces prestations comprennent :</w:t>
      </w:r>
    </w:p>
    <w:p w14:paraId="055209B7" w14:textId="10E0435D" w:rsidR="00292685" w:rsidRDefault="00292685" w:rsidP="00292685">
      <w:pPr>
        <w:pStyle w:val="DCETexte"/>
      </w:pPr>
      <w:r>
        <w:t>1° L</w:t>
      </w:r>
      <w:r w:rsidR="008B6FEE" w:rsidRPr="003746D1">
        <w:t>’aide</w:t>
      </w:r>
      <w:r w:rsidR="008B6FEE">
        <w:t xml:space="preserve"> apportée aux services du Sénat</w:t>
      </w:r>
      <w:r w:rsidR="008B6FEE" w:rsidRPr="003746D1">
        <w:t xml:space="preserve"> </w:t>
      </w:r>
      <w:r w:rsidR="008B6FEE">
        <w:t>pour</w:t>
      </w:r>
      <w:r w:rsidR="008B6FEE" w:rsidRPr="003746D1">
        <w:t xml:space="preserve"> la passation du marché public d’assurances au moment de son renouvellement</w:t>
      </w:r>
      <w:r w:rsidR="008B6FEE">
        <w:t xml:space="preserve"> (échéance : </w:t>
      </w:r>
      <w:r w:rsidR="00AB4106">
        <w:t>31 décembre </w:t>
      </w:r>
      <w:r w:rsidR="008B6FEE">
        <w:t>2029) comprenant (i) l’analyse et l’actualisation de la cartographie des risques du Sénat, (ii) la rédaction de l’intégralité des pièces de marché nécessaires à la passation, (iii) le suivi de la consultation et la rédaction du rapport d’analyse des candidatures et des offres et (iv) l’accompagnement des services du Sénat jusqu’au moment de l’attribution</w:t>
      </w:r>
      <w:r w:rsidR="008B6FEE" w:rsidRPr="003746D1">
        <w:t> ;</w:t>
      </w:r>
    </w:p>
    <w:p w14:paraId="72EEA9F2" w14:textId="01CB3D85" w:rsidR="00C04C88" w:rsidRDefault="00292685" w:rsidP="00292685">
      <w:pPr>
        <w:pStyle w:val="DCETexte"/>
      </w:pPr>
      <w:r>
        <w:t>2° L</w:t>
      </w:r>
      <w:r w:rsidR="008B6FEE" w:rsidRPr="003746D1">
        <w:t>’accompagnement ponctuel, sur sollicitation des services du Sénat et dans le cas de survenue d’un sinistre, sur les tâches de gestion, d’évaluation et de règlement du sinistre.</w:t>
      </w:r>
    </w:p>
    <w:p w14:paraId="00C831CC" w14:textId="46D16014" w:rsidR="00A42A21" w:rsidRDefault="00267317" w:rsidP="00C04C88">
      <w:pPr>
        <w:pStyle w:val="DCEArticle"/>
        <w:ind w:left="0"/>
      </w:pPr>
      <w:bookmarkStart w:id="27" w:name="_Toc211954933"/>
      <w:bookmarkEnd w:id="25"/>
      <w:bookmarkEnd w:id="26"/>
      <w:r>
        <w:t>Forme du marché</w:t>
      </w:r>
      <w:bookmarkEnd w:id="27"/>
      <w:r w:rsidR="005E2DD8">
        <w:t xml:space="preserve"> – MAXIMUM CONTRACTUEL</w:t>
      </w:r>
    </w:p>
    <w:p w14:paraId="2455CEB1" w14:textId="1F262EA8" w:rsidR="005E2DD8" w:rsidRDefault="005E2DD8" w:rsidP="005E2DD8">
      <w:pPr>
        <w:pStyle w:val="DCETitre2"/>
      </w:pPr>
      <w:bookmarkStart w:id="28" w:name="_Toc327459776"/>
      <w:bookmarkStart w:id="29" w:name="_Toc333566294"/>
      <w:r>
        <w:t>Généralités</w:t>
      </w:r>
    </w:p>
    <w:p w14:paraId="35474A80" w14:textId="5C2F7985" w:rsidR="00B274A8" w:rsidRDefault="00267317" w:rsidP="001907A7">
      <w:pPr>
        <w:widowControl/>
        <w:spacing w:before="120" w:after="120"/>
        <w:jc w:val="both"/>
      </w:pPr>
      <w:r>
        <w:t>L</w:t>
      </w:r>
      <w:r w:rsidR="001907A7">
        <w:t>e marché n</w:t>
      </w:r>
      <w:r w:rsidR="004A33D1">
        <w:t>’</w:t>
      </w:r>
      <w:r w:rsidR="001907A7">
        <w:t>est pas alloti.</w:t>
      </w:r>
    </w:p>
    <w:p w14:paraId="28A3AF7D" w14:textId="440144DD" w:rsidR="00267317" w:rsidRDefault="00267317" w:rsidP="001907A7">
      <w:pPr>
        <w:widowControl/>
        <w:spacing w:before="120" w:after="120"/>
        <w:jc w:val="both"/>
      </w:pPr>
      <w:r>
        <w:t>Le marché est à prix mixte</w:t>
      </w:r>
      <w:r w:rsidR="0077383B">
        <w:t>s</w:t>
      </w:r>
      <w:r>
        <w:t> : il comporte une part forfaitaire et une part à bons de commande, décrites à l’acte d’engagement.</w:t>
      </w:r>
    </w:p>
    <w:p w14:paraId="29858CC4" w14:textId="16D89BE8" w:rsidR="00267317" w:rsidRDefault="00267317" w:rsidP="001907A7">
      <w:pPr>
        <w:widowControl/>
        <w:spacing w:before="120" w:after="120"/>
        <w:jc w:val="both"/>
      </w:pPr>
      <w:r>
        <w:t>Le marché ne comporte pas d’options.</w:t>
      </w:r>
    </w:p>
    <w:p w14:paraId="0EE1C197" w14:textId="0493AD04" w:rsidR="005E2DD8" w:rsidRDefault="005E2DD8" w:rsidP="005E2DD8">
      <w:pPr>
        <w:pStyle w:val="DCETitre2"/>
      </w:pPr>
      <w:r>
        <w:t>Maximum contractuel</w:t>
      </w:r>
    </w:p>
    <w:p w14:paraId="6D3CD9D7" w14:textId="55C577A5" w:rsidR="005E2DD8" w:rsidRPr="005E2DD8" w:rsidRDefault="005E2DD8" w:rsidP="005E2DD8">
      <w:pPr>
        <w:widowControl/>
        <w:spacing w:before="120" w:after="120"/>
        <w:jc w:val="both"/>
      </w:pPr>
      <w:r>
        <w:t>En application de l'article R. 2162-4 du code de la commande publique, la valeur de l'ensemble du marché est plafonnée à 45 000 HT sur toute la durée du marché. Le dépassement de ce montant entraîne la résiliation du marché sans indemnisation du titulaire.</w:t>
      </w:r>
    </w:p>
    <w:p w14:paraId="5277A5D3" w14:textId="77777777" w:rsidR="00A42A21" w:rsidRDefault="00A42A21" w:rsidP="000F6B7B">
      <w:pPr>
        <w:pStyle w:val="DCEArticle"/>
        <w:ind w:left="0"/>
      </w:pPr>
      <w:bookmarkStart w:id="30" w:name="_Toc75276325"/>
      <w:bookmarkStart w:id="31" w:name="_Toc75276389"/>
      <w:bookmarkStart w:id="32" w:name="_Toc75276552"/>
      <w:bookmarkStart w:id="33" w:name="_Toc75442112"/>
      <w:bookmarkStart w:id="34" w:name="_Toc76392855"/>
      <w:bookmarkStart w:id="35" w:name="_Toc76394228"/>
      <w:bookmarkStart w:id="36" w:name="_Toc327459778"/>
      <w:bookmarkStart w:id="37" w:name="_Toc333566296"/>
      <w:bookmarkStart w:id="38" w:name="_Toc211954934"/>
      <w:bookmarkEnd w:id="28"/>
      <w:bookmarkEnd w:id="29"/>
      <w:bookmarkEnd w:id="30"/>
      <w:bookmarkEnd w:id="31"/>
      <w:bookmarkEnd w:id="32"/>
      <w:bookmarkEnd w:id="33"/>
      <w:bookmarkEnd w:id="34"/>
      <w:bookmarkEnd w:id="35"/>
      <w:r>
        <w:t>durée du march</w:t>
      </w:r>
      <w:r w:rsidR="00180FC0">
        <w:t>É</w:t>
      </w:r>
      <w:bookmarkEnd w:id="36"/>
      <w:bookmarkEnd w:id="37"/>
      <w:bookmarkEnd w:id="38"/>
    </w:p>
    <w:p w14:paraId="370D3086" w14:textId="6C708615" w:rsidR="004D4B68" w:rsidRDefault="002E5AD3" w:rsidP="00B50195">
      <w:pPr>
        <w:keepNext/>
        <w:keepLines/>
        <w:widowControl/>
        <w:jc w:val="both"/>
      </w:pPr>
      <w:bookmarkStart w:id="39" w:name="_Toc327459779"/>
      <w:r w:rsidRPr="00F60D0E">
        <w:t>Le marché s</w:t>
      </w:r>
      <w:r w:rsidR="004A33D1">
        <w:t>’</w:t>
      </w:r>
      <w:r w:rsidRPr="00F60D0E">
        <w:t>exécute</w:t>
      </w:r>
      <w:r w:rsidR="00BE33B1">
        <w:t>, sous réserve de sa notification</w:t>
      </w:r>
      <w:r w:rsidR="00BE33B1" w:rsidRPr="00C04C88">
        <w:t>,</w:t>
      </w:r>
      <w:r w:rsidR="000F6B7B" w:rsidRPr="00C04C88">
        <w:t xml:space="preserve"> </w:t>
      </w:r>
      <w:r w:rsidRPr="00C04C88">
        <w:t xml:space="preserve">à compter du </w:t>
      </w:r>
      <w:r w:rsidR="00E862D7" w:rsidRPr="00C04C88">
        <w:t>1</w:t>
      </w:r>
      <w:r w:rsidR="00E862D7" w:rsidRPr="00C04C88">
        <w:rPr>
          <w:vertAlign w:val="superscript"/>
        </w:rPr>
        <w:t>er</w:t>
      </w:r>
      <w:r w:rsidR="00E862D7">
        <w:t> </w:t>
      </w:r>
      <w:r w:rsidR="00AB4106" w:rsidRPr="00C04C88">
        <w:t>janvier</w:t>
      </w:r>
      <w:r w:rsidR="00AB4106">
        <w:t> </w:t>
      </w:r>
      <w:r w:rsidR="00C04C88" w:rsidRPr="00C04C88">
        <w:t>2026</w:t>
      </w:r>
      <w:r w:rsidR="00B50195" w:rsidRPr="00C04C88">
        <w:t>,</w:t>
      </w:r>
      <w:r w:rsidR="00B50195" w:rsidRPr="00B50195">
        <w:t xml:space="preserve"> </w:t>
      </w:r>
      <w:r w:rsidR="00AB4106">
        <w:t>jusqu’au </w:t>
      </w:r>
      <w:r w:rsidR="00E862D7">
        <w:t>31 </w:t>
      </w:r>
      <w:r w:rsidR="004C25E7">
        <w:t>décembre </w:t>
      </w:r>
      <w:r w:rsidR="00C04C88">
        <w:t>2029</w:t>
      </w:r>
      <w:r w:rsidRPr="00F60D0E">
        <w:t>.</w:t>
      </w:r>
    </w:p>
    <w:p w14:paraId="100B49D7" w14:textId="77777777" w:rsidR="00A42A21" w:rsidRDefault="00180FC0" w:rsidP="00C44CE8">
      <w:pPr>
        <w:pStyle w:val="DCEArticle"/>
        <w:ind w:left="0"/>
      </w:pPr>
      <w:bookmarkStart w:id="40" w:name="_Toc333566297"/>
      <w:bookmarkStart w:id="41" w:name="_Ref180594470"/>
      <w:bookmarkStart w:id="42" w:name="_Toc211954935"/>
      <w:r>
        <w:t>piÈ</w:t>
      </w:r>
      <w:r w:rsidR="00A42A21">
        <w:t>ces constitutives du march</w:t>
      </w:r>
      <w:r>
        <w:t>É</w:t>
      </w:r>
      <w:bookmarkEnd w:id="39"/>
      <w:bookmarkEnd w:id="40"/>
      <w:bookmarkEnd w:id="41"/>
      <w:bookmarkEnd w:id="42"/>
    </w:p>
    <w:p w14:paraId="1C1C89AF" w14:textId="33D4C84B" w:rsidR="00A42A21" w:rsidRPr="00C04C88" w:rsidRDefault="002C1926" w:rsidP="00A42A21">
      <w:pPr>
        <w:pStyle w:val="DCETexte"/>
      </w:pPr>
      <w:r w:rsidRPr="00182462">
        <w:rPr>
          <w:u w:val="single"/>
        </w:rPr>
        <w:t>Par dérogation à l</w:t>
      </w:r>
      <w:r>
        <w:rPr>
          <w:u w:val="single"/>
        </w:rPr>
        <w:t>’</w:t>
      </w:r>
      <w:r w:rsidRPr="00182462">
        <w:rPr>
          <w:u w:val="single"/>
        </w:rPr>
        <w:t>article</w:t>
      </w:r>
      <w:r>
        <w:rPr>
          <w:u w:val="single"/>
        </w:rPr>
        <w:t> </w:t>
      </w:r>
      <w:r w:rsidRPr="00182462">
        <w:rPr>
          <w:u w:val="single"/>
        </w:rPr>
        <w:t xml:space="preserve">4.1 </w:t>
      </w:r>
      <w:r w:rsidRPr="008B30A4">
        <w:rPr>
          <w:u w:val="single"/>
        </w:rPr>
        <w:t xml:space="preserve">du cahier des clauses administratives générales applicable aux marchés de </w:t>
      </w:r>
      <w:r>
        <w:rPr>
          <w:u w:val="single"/>
        </w:rPr>
        <w:t>prestations intellectuelles (CCAG-PI)</w:t>
      </w:r>
      <w:r>
        <w:t>, l</w:t>
      </w:r>
      <w:r w:rsidR="00A42A21" w:rsidRPr="00C04C88">
        <w:t xml:space="preserve">es pièces constituant le marché sont, par </w:t>
      </w:r>
      <w:r w:rsidR="008B30A4" w:rsidRPr="00C04C88">
        <w:t xml:space="preserve">ordre de </w:t>
      </w:r>
      <w:r w:rsidR="00A42A21" w:rsidRPr="00C04C88">
        <w:t xml:space="preserve">priorité </w:t>
      </w:r>
      <w:r w:rsidR="008B30A4" w:rsidRPr="00C04C88">
        <w:t xml:space="preserve">juridique </w:t>
      </w:r>
      <w:r w:rsidR="00A42A21" w:rsidRPr="00C04C88">
        <w:t>décroissante, les suivantes</w:t>
      </w:r>
      <w:r w:rsidR="009855BC" w:rsidRPr="00C04C88">
        <w:t> :</w:t>
      </w:r>
    </w:p>
    <w:p w14:paraId="5C1EE324" w14:textId="061EEADB" w:rsidR="00847E8C" w:rsidRDefault="001907A7" w:rsidP="0067699B">
      <w:pPr>
        <w:pStyle w:val="DCETiret"/>
        <w:numPr>
          <w:ilvl w:val="1"/>
          <w:numId w:val="15"/>
        </w:numPr>
        <w:spacing w:after="120"/>
        <w:ind w:left="851" w:hanging="567"/>
      </w:pPr>
      <w:proofErr w:type="gramStart"/>
      <w:r>
        <w:t>l</w:t>
      </w:r>
      <w:r w:rsidR="004A33D1">
        <w:t>’</w:t>
      </w:r>
      <w:r w:rsidR="00A42A21" w:rsidRPr="00934533">
        <w:t>acte</w:t>
      </w:r>
      <w:proofErr w:type="gramEnd"/>
      <w:r>
        <w:t xml:space="preserve"> </w:t>
      </w:r>
      <w:r w:rsidR="00A42A21" w:rsidRPr="00934533">
        <w:t>d</w:t>
      </w:r>
      <w:r w:rsidR="004A33D1">
        <w:t>’</w:t>
      </w:r>
      <w:r w:rsidR="00A42A21" w:rsidRPr="00934533">
        <w:t>engagement</w:t>
      </w:r>
      <w:r>
        <w:t xml:space="preserve"> (AE)</w:t>
      </w:r>
      <w:r w:rsidR="00B36C8E">
        <w:t xml:space="preserve"> et </w:t>
      </w:r>
      <w:r w:rsidR="00847E8C">
        <w:t>la décomposition du prix global et forfaitaire (DPGF) ;</w:t>
      </w:r>
    </w:p>
    <w:p w14:paraId="1D96843D" w14:textId="3F28A6B3" w:rsidR="00A42A21" w:rsidRDefault="00A42A21" w:rsidP="00452092">
      <w:pPr>
        <w:pStyle w:val="DCETiret"/>
        <w:spacing w:after="120"/>
        <w:ind w:left="993" w:hanging="709"/>
      </w:pPr>
      <w:proofErr w:type="gramStart"/>
      <w:r>
        <w:t>le</w:t>
      </w:r>
      <w:proofErr w:type="gramEnd"/>
      <w:r w:rsidR="00B36C8E">
        <w:t xml:space="preserve"> présent</w:t>
      </w:r>
      <w:r>
        <w:t xml:space="preserve"> cahier des clauses particulières (CCP)</w:t>
      </w:r>
      <w:r w:rsidR="009855BC">
        <w:t> ;</w:t>
      </w:r>
    </w:p>
    <w:p w14:paraId="158FFCBE" w14:textId="0597CE3D" w:rsidR="002C1926" w:rsidRDefault="002C1926" w:rsidP="00452092">
      <w:pPr>
        <w:pStyle w:val="DCETiret"/>
        <w:spacing w:after="120"/>
        <w:ind w:left="993" w:hanging="709"/>
      </w:pPr>
      <w:proofErr w:type="gramStart"/>
      <w:r>
        <w:t>l</w:t>
      </w:r>
      <w:r w:rsidRPr="00FA3B42">
        <w:t>e</w:t>
      </w:r>
      <w:proofErr w:type="gramEnd"/>
      <w:r w:rsidRPr="00FA3B42">
        <w:t xml:space="preserve"> </w:t>
      </w:r>
      <w:bookmarkStart w:id="43" w:name="_Hlk181714284"/>
      <w:r w:rsidRPr="00FA3B42">
        <w:t>cahier des clauses administratives générales applicabl</w:t>
      </w:r>
      <w:r>
        <w:t>e</w:t>
      </w:r>
      <w:r w:rsidRPr="00FA3B42">
        <w:t xml:space="preserve"> aux marchés de </w:t>
      </w:r>
      <w:r>
        <w:t xml:space="preserve">prestation intellectuelle </w:t>
      </w:r>
      <w:bookmarkEnd w:id="43"/>
      <w:r>
        <w:t>(CCAG-PI) en vertu de l’arrêté du 30 mars</w:t>
      </w:r>
      <w:r w:rsidR="00AB4106">
        <w:t> </w:t>
      </w:r>
      <w:r>
        <w:t xml:space="preserve">2021 portant approbation du cahier des clauses administratives générales des </w:t>
      </w:r>
      <w:r w:rsidRPr="008C5BF3">
        <w:t>marchés publics de fournitures courantes et de services (JORF n° 0078 du 1</w:t>
      </w:r>
      <w:r w:rsidRPr="008C5BF3">
        <w:rPr>
          <w:vertAlign w:val="superscript"/>
        </w:rPr>
        <w:t>er</w:t>
      </w:r>
      <w:r>
        <w:rPr>
          <w:vertAlign w:val="superscript"/>
        </w:rPr>
        <w:t> </w:t>
      </w:r>
      <w:r w:rsidRPr="008C5BF3">
        <w:t>avril</w:t>
      </w:r>
      <w:r w:rsidR="00AB4106">
        <w:t> </w:t>
      </w:r>
      <w:r w:rsidRPr="008C5BF3">
        <w:t>2021) ;</w:t>
      </w:r>
    </w:p>
    <w:p w14:paraId="74E47B06" w14:textId="3075CDF7" w:rsidR="00E677BC" w:rsidRPr="008C5BF3" w:rsidRDefault="00EB33A2" w:rsidP="00452092">
      <w:pPr>
        <w:pStyle w:val="DCETiret"/>
        <w:spacing w:after="120"/>
        <w:ind w:left="993" w:hanging="709"/>
      </w:pPr>
      <w:proofErr w:type="gramStart"/>
      <w:r w:rsidRPr="008C5BF3">
        <w:lastRenderedPageBreak/>
        <w:t>les</w:t>
      </w:r>
      <w:proofErr w:type="gramEnd"/>
      <w:r w:rsidRPr="008C5BF3">
        <w:t xml:space="preserve"> réponses au </w:t>
      </w:r>
      <w:r w:rsidR="00605EB3" w:rsidRPr="008C5BF3">
        <w:t xml:space="preserve">cadre des réponses </w:t>
      </w:r>
      <w:r w:rsidR="00C04C88">
        <w:t>attendues</w:t>
      </w:r>
      <w:r w:rsidRPr="008C5BF3">
        <w:t xml:space="preserve"> (</w:t>
      </w:r>
      <w:r w:rsidR="00605EB3" w:rsidRPr="008C5BF3">
        <w:t>CR</w:t>
      </w:r>
      <w:r w:rsidR="00C04C88">
        <w:t>A</w:t>
      </w:r>
      <w:r w:rsidRPr="008C5BF3">
        <w:t>), ainsi que les éventuelles précisions apportées par le titulaire avant l</w:t>
      </w:r>
      <w:r w:rsidR="004A33D1" w:rsidRPr="008C5BF3">
        <w:t>’</w:t>
      </w:r>
      <w:r w:rsidRPr="008C5BF3">
        <w:t>attribution pour préciser la teneur de son offre</w:t>
      </w:r>
      <w:r w:rsidR="00C04C88">
        <w:t>.</w:t>
      </w:r>
    </w:p>
    <w:p w14:paraId="5006ADDE" w14:textId="77777777" w:rsidR="00A42A21" w:rsidRPr="00732140" w:rsidRDefault="00A42A21" w:rsidP="00C44CE8">
      <w:pPr>
        <w:pStyle w:val="DCEArticle"/>
        <w:ind w:left="0"/>
      </w:pPr>
      <w:bookmarkStart w:id="44" w:name="_Toc327459780"/>
      <w:bookmarkStart w:id="45" w:name="_Toc333566298"/>
      <w:bookmarkStart w:id="46" w:name="_Toc211954936"/>
      <w:r w:rsidRPr="00732140">
        <w:t>INTERLOCUTEURS DES DEUX PARTIES</w:t>
      </w:r>
      <w:bookmarkEnd w:id="44"/>
      <w:bookmarkEnd w:id="45"/>
      <w:bookmarkEnd w:id="46"/>
      <w:r w:rsidRPr="00732140">
        <w:t xml:space="preserve"> </w:t>
      </w:r>
    </w:p>
    <w:p w14:paraId="2B490068" w14:textId="02529DD0" w:rsidR="00B359C9" w:rsidRDefault="00A42A21" w:rsidP="00944B39">
      <w:pPr>
        <w:pStyle w:val="DCETexte"/>
        <w:rPr>
          <w:b/>
        </w:rPr>
      </w:pPr>
      <w:r>
        <w:t>Pour le Sénat, l</w:t>
      </w:r>
      <w:r w:rsidRPr="007A4987">
        <w:t>e service r</w:t>
      </w:r>
      <w:r>
        <w:t>esponsable de la gestion du marché est l</w:t>
      </w:r>
      <w:r w:rsidR="00B62408">
        <w:t>a</w:t>
      </w:r>
      <w:r>
        <w:t xml:space="preserve"> </w:t>
      </w:r>
      <w:r w:rsidR="00DC79B1">
        <w:t>d</w:t>
      </w:r>
      <w:r w:rsidR="00746B9C">
        <w:t>irection de la Logistique et des Moyens généraux</w:t>
      </w:r>
      <w:r w:rsidR="009913EE">
        <w:t xml:space="preserve"> (DLMG)</w:t>
      </w:r>
      <w:r>
        <w:t>.</w:t>
      </w:r>
    </w:p>
    <w:p w14:paraId="2AA158B2" w14:textId="298FC422" w:rsidR="00947FF2" w:rsidRDefault="00947FF2" w:rsidP="00947FF2">
      <w:pPr>
        <w:pStyle w:val="DCECadresimple"/>
      </w:pPr>
      <w:r>
        <w:t>Direction de la Lo</w:t>
      </w:r>
      <w:r w:rsidR="00D244AA">
        <w:t xml:space="preserve">gistique et des Moyens </w:t>
      </w:r>
      <w:r w:rsidR="004A33D1">
        <w:t>g</w:t>
      </w:r>
      <w:r w:rsidR="00D244AA">
        <w:t>énéraux</w:t>
      </w:r>
    </w:p>
    <w:p w14:paraId="0AD46003" w14:textId="0E49438E" w:rsidR="00947FF2" w:rsidRDefault="00944B39" w:rsidP="00947FF2">
      <w:pPr>
        <w:pStyle w:val="DCECadresimple"/>
      </w:pPr>
      <w:r>
        <w:t>M</w:t>
      </w:r>
      <w:r w:rsidR="00B355E0">
        <w:t>M</w:t>
      </w:r>
      <w:r w:rsidR="001907A7">
        <w:t xml:space="preserve">. </w:t>
      </w:r>
      <w:r w:rsidR="00C04C88">
        <w:t>Jonathan HILD et Jean-Pierre ROMAN</w:t>
      </w:r>
      <w:r w:rsidR="0077598C" w:rsidRPr="0077598C">
        <w:t xml:space="preserve"> </w:t>
      </w:r>
    </w:p>
    <w:p w14:paraId="1074012D" w14:textId="51FA27B2" w:rsidR="00947FF2" w:rsidRDefault="00947FF2" w:rsidP="00E759AB">
      <w:pPr>
        <w:pStyle w:val="DCECadresimple"/>
      </w:pPr>
      <w:r>
        <w:t>Téléphone</w:t>
      </w:r>
      <w:r w:rsidR="009855BC">
        <w:t> :</w:t>
      </w:r>
      <w:r>
        <w:t xml:space="preserve"> +33 (0)1 42 34 </w:t>
      </w:r>
      <w:r w:rsidR="00C04C88">
        <w:t>28 2</w:t>
      </w:r>
      <w:r w:rsidR="005B1022">
        <w:t>8</w:t>
      </w:r>
      <w:r w:rsidR="009502D3">
        <w:t xml:space="preserve"> - +33 (0)1 42 34 </w:t>
      </w:r>
      <w:r w:rsidR="0077598C">
        <w:t>31 56</w:t>
      </w:r>
    </w:p>
    <w:p w14:paraId="4D5DC3A9" w14:textId="1480A301" w:rsidR="00947FF2" w:rsidRPr="00221C46" w:rsidRDefault="00947FF2" w:rsidP="00947FF2">
      <w:pPr>
        <w:pStyle w:val="DCECadresimple"/>
      </w:pPr>
      <w:r w:rsidRPr="00FB0591">
        <w:t>Courriel</w:t>
      </w:r>
      <w:r w:rsidR="009855BC">
        <w:t> :</w:t>
      </w:r>
      <w:r w:rsidRPr="00FB0591">
        <w:t xml:space="preserve"> </w:t>
      </w:r>
      <w:r w:rsidR="008510E1">
        <w:t>marches-d</w:t>
      </w:r>
      <w:r w:rsidR="0077598C">
        <w:t>lmg</w:t>
      </w:r>
      <w:r w:rsidR="00FB0591">
        <w:t>@senat.fr</w:t>
      </w:r>
    </w:p>
    <w:p w14:paraId="2127F999" w14:textId="78857BC5" w:rsidR="00A42A21" w:rsidRDefault="001907A7" w:rsidP="0002332C">
      <w:pPr>
        <w:pStyle w:val="DCETexte"/>
        <w:spacing w:before="240"/>
        <w:rPr>
          <w:bCs/>
        </w:rPr>
      </w:pPr>
      <w:r>
        <w:t>Le</w:t>
      </w:r>
      <w:r w:rsidR="00A42A21">
        <w:t xml:space="preserve"> titulaire mandate un responsable au sein de l</w:t>
      </w:r>
      <w:r w:rsidR="004A33D1">
        <w:t>’</w:t>
      </w:r>
      <w:r w:rsidR="00A42A21">
        <w:t>entreprise pour veiller à l</w:t>
      </w:r>
      <w:r w:rsidR="004A33D1">
        <w:t>’</w:t>
      </w:r>
      <w:r w:rsidR="00A42A21">
        <w:t xml:space="preserve">exécution du </w:t>
      </w:r>
      <w:r w:rsidR="00A42A21" w:rsidRPr="00C04C88">
        <w:t>marché et être l</w:t>
      </w:r>
      <w:r w:rsidR="004A33D1" w:rsidRPr="00C04C88">
        <w:t>’</w:t>
      </w:r>
      <w:r w:rsidR="00A42A21" w:rsidRPr="00C04C88">
        <w:t>interlocuteur de l</w:t>
      </w:r>
      <w:r w:rsidR="004A33D1" w:rsidRPr="00C04C88">
        <w:t>’</w:t>
      </w:r>
      <w:r w:rsidR="00A42A21" w:rsidRPr="00C04C88">
        <w:t xml:space="preserve">administration du Sénat. </w:t>
      </w:r>
    </w:p>
    <w:p w14:paraId="0AB2496F" w14:textId="663BCDB9" w:rsidR="0030537B" w:rsidRPr="0010193D" w:rsidRDefault="00107A78" w:rsidP="00C44CE8">
      <w:pPr>
        <w:pStyle w:val="DCEArticle"/>
        <w:ind w:left="0"/>
      </w:pPr>
      <w:bookmarkStart w:id="47" w:name="_Toc327459781"/>
      <w:bookmarkStart w:id="48" w:name="_Toc333566299"/>
      <w:bookmarkStart w:id="49" w:name="_Toc211954937"/>
      <w:bookmarkStart w:id="50" w:name="_Toc327459785"/>
      <w:bookmarkStart w:id="51" w:name="_Toc333566304"/>
      <w:r w:rsidRPr="0010193D">
        <w:t>Prestations attendues</w:t>
      </w:r>
      <w:bookmarkEnd w:id="47"/>
      <w:bookmarkEnd w:id="48"/>
      <w:bookmarkEnd w:id="49"/>
    </w:p>
    <w:p w14:paraId="2E7C2D5B" w14:textId="3A1CA8D3" w:rsidR="00267317" w:rsidRDefault="00B36C8E" w:rsidP="00881CB6">
      <w:pPr>
        <w:pStyle w:val="DCETitre2"/>
      </w:pPr>
      <w:bookmarkStart w:id="52" w:name="_Toc211954938"/>
      <w:r>
        <w:t>Éléments de contexte (indicatifs)</w:t>
      </w:r>
      <w:bookmarkEnd w:id="52"/>
    </w:p>
    <w:p w14:paraId="6CE4B620" w14:textId="77777777" w:rsidR="00267317" w:rsidRDefault="00267317" w:rsidP="00267317">
      <w:pPr>
        <w:pStyle w:val="DCETexte"/>
        <w:spacing w:before="0" w:after="240"/>
      </w:pPr>
      <w:r>
        <w:t xml:space="preserve">Les prestations attendues portent sur le marché public d’assurances généraliste du Sénat composé de cinq lots : </w:t>
      </w:r>
    </w:p>
    <w:p w14:paraId="1D2BE110" w14:textId="77777777" w:rsidR="00267317" w:rsidRDefault="00267317" w:rsidP="00267317">
      <w:pPr>
        <w:pStyle w:val="DCETexte"/>
        <w:numPr>
          <w:ilvl w:val="0"/>
          <w:numId w:val="34"/>
        </w:numPr>
        <w:spacing w:before="0" w:after="240"/>
      </w:pPr>
      <w:proofErr w:type="gramStart"/>
      <w:r>
        <w:t>lot</w:t>
      </w:r>
      <w:proofErr w:type="gramEnd"/>
      <w:r>
        <w:t xml:space="preserve"> n° 1 : dommages aux biens ;</w:t>
      </w:r>
    </w:p>
    <w:p w14:paraId="3765EAF8" w14:textId="77777777" w:rsidR="00267317" w:rsidRDefault="00267317" w:rsidP="00267317">
      <w:pPr>
        <w:pStyle w:val="DCETexte"/>
        <w:numPr>
          <w:ilvl w:val="0"/>
          <w:numId w:val="34"/>
        </w:numPr>
        <w:spacing w:before="0" w:after="240"/>
      </w:pPr>
      <w:proofErr w:type="gramStart"/>
      <w:r>
        <w:t>lot</w:t>
      </w:r>
      <w:proofErr w:type="gramEnd"/>
      <w:r>
        <w:t xml:space="preserve"> n° 2 : responsabilité civile ;</w:t>
      </w:r>
    </w:p>
    <w:p w14:paraId="5BF402DC" w14:textId="77777777" w:rsidR="00267317" w:rsidRDefault="00267317" w:rsidP="00267317">
      <w:pPr>
        <w:pStyle w:val="DCETexte"/>
        <w:numPr>
          <w:ilvl w:val="0"/>
          <w:numId w:val="34"/>
        </w:numPr>
        <w:spacing w:before="0" w:after="240"/>
      </w:pPr>
      <w:proofErr w:type="gramStart"/>
      <w:r>
        <w:t>lot</w:t>
      </w:r>
      <w:proofErr w:type="gramEnd"/>
      <w:r>
        <w:t xml:space="preserve"> n° 3 : flotte automobile ;</w:t>
      </w:r>
    </w:p>
    <w:p w14:paraId="3B1E98CD" w14:textId="77777777" w:rsidR="00267317" w:rsidRDefault="00267317" w:rsidP="00267317">
      <w:pPr>
        <w:pStyle w:val="DCETexte"/>
        <w:numPr>
          <w:ilvl w:val="0"/>
          <w:numId w:val="34"/>
        </w:numPr>
        <w:spacing w:before="0" w:after="240"/>
      </w:pPr>
      <w:proofErr w:type="gramStart"/>
      <w:r>
        <w:t>lot</w:t>
      </w:r>
      <w:proofErr w:type="gramEnd"/>
      <w:r>
        <w:t xml:space="preserve"> n° 4 : assistance rapatriement et individuelle accident ;</w:t>
      </w:r>
    </w:p>
    <w:p w14:paraId="1FD8B303" w14:textId="0DA66817" w:rsidR="00267317" w:rsidRDefault="00267317" w:rsidP="00267317">
      <w:pPr>
        <w:pStyle w:val="DCETexte"/>
        <w:numPr>
          <w:ilvl w:val="0"/>
          <w:numId w:val="34"/>
        </w:numPr>
        <w:spacing w:before="0" w:after="240"/>
      </w:pPr>
      <w:proofErr w:type="gramStart"/>
      <w:r>
        <w:t>lot</w:t>
      </w:r>
      <w:proofErr w:type="gramEnd"/>
      <w:r>
        <w:t xml:space="preserve"> n° 5 : assurance numérique</w:t>
      </w:r>
      <w:r w:rsidR="00BB0CB4">
        <w:rPr>
          <w:rStyle w:val="Appelnotedebasdep"/>
        </w:rPr>
        <w:footnoteReference w:id="1"/>
      </w:r>
      <w:r>
        <w:t>.</w:t>
      </w:r>
    </w:p>
    <w:p w14:paraId="775DDFEC" w14:textId="55FDFE0B" w:rsidR="00AE0516" w:rsidRDefault="00B36C8E" w:rsidP="00B36C8E">
      <w:pPr>
        <w:pStyle w:val="DCETexte"/>
        <w:spacing w:before="0" w:after="240"/>
      </w:pPr>
      <w:r>
        <w:t>À titre informatif, le marché public d’assurances mentionné au présent article est en cours de renouvellement</w:t>
      </w:r>
      <w:r w:rsidR="00AE0516">
        <w:t xml:space="preserve"> (date d’attribution estimative : mardi 18 novembre 2025)</w:t>
      </w:r>
      <w:r>
        <w:t xml:space="preserve">. </w:t>
      </w:r>
    </w:p>
    <w:p w14:paraId="259B4151" w14:textId="2ADE773B" w:rsidR="00B36C8E" w:rsidRPr="00B36C8E" w:rsidRDefault="00AE0516" w:rsidP="00B36C8E">
      <w:pPr>
        <w:pStyle w:val="DCETexte"/>
        <w:spacing w:before="0" w:after="240"/>
      </w:pPr>
      <w:r>
        <w:t>Sur la présente période d’exécution 202</w:t>
      </w:r>
      <w:r w:rsidR="0067699B">
        <w:t>1</w:t>
      </w:r>
      <w:r>
        <w:t>-2025</w:t>
      </w:r>
      <w:r w:rsidR="0067699B">
        <w:rPr>
          <w:rStyle w:val="Appelnotedebasdep"/>
          <w:b/>
          <w:bCs/>
          <w:sz w:val="22"/>
          <w:szCs w:val="22"/>
        </w:rPr>
        <w:footnoteReference w:id="2"/>
      </w:r>
      <w:r>
        <w:t xml:space="preserve">, dont l’échéance est le </w:t>
      </w:r>
      <w:r w:rsidR="001444F6">
        <w:t>31 décembre </w:t>
      </w:r>
      <w:r>
        <w:t>2025, l</w:t>
      </w:r>
      <w:r w:rsidR="00B36C8E">
        <w:t>e tableau du ratio sinistre/prime se décompose comme suit</w:t>
      </w:r>
      <w:r>
        <w:t>.</w:t>
      </w:r>
    </w:p>
    <w:p w14:paraId="5025958B" w14:textId="77ED65BD" w:rsidR="00B36C8E" w:rsidRPr="00B36C8E" w:rsidRDefault="00B36C8E" w:rsidP="00B36C8E">
      <w:pPr>
        <w:pStyle w:val="RapTexte"/>
        <w:spacing w:before="120" w:after="120"/>
        <w:jc w:val="center"/>
        <w:rPr>
          <w:b/>
          <w:bCs/>
          <w:sz w:val="22"/>
          <w:szCs w:val="22"/>
        </w:rPr>
      </w:pPr>
      <w:r w:rsidRPr="00B36C8E">
        <w:rPr>
          <w:b/>
          <w:bCs/>
          <w:sz w:val="22"/>
          <w:szCs w:val="22"/>
        </w:rPr>
        <w:t>Ratio S/P par lot sur la période 202</w:t>
      </w:r>
      <w:r w:rsidR="0067699B">
        <w:rPr>
          <w:b/>
          <w:bCs/>
          <w:sz w:val="22"/>
          <w:szCs w:val="22"/>
        </w:rPr>
        <w:t>1</w:t>
      </w:r>
      <w:r w:rsidRPr="00B36C8E">
        <w:rPr>
          <w:b/>
          <w:bCs/>
          <w:sz w:val="22"/>
          <w:szCs w:val="22"/>
        </w:rPr>
        <w:t>-2025</w:t>
      </w:r>
    </w:p>
    <w:tbl>
      <w:tblPr>
        <w:tblStyle w:val="Grilledutableau"/>
        <w:tblW w:w="0" w:type="auto"/>
        <w:jc w:val="center"/>
        <w:tblLook w:val="04A0" w:firstRow="1" w:lastRow="0" w:firstColumn="1" w:lastColumn="0" w:noHBand="0" w:noVBand="1"/>
      </w:tblPr>
      <w:tblGrid>
        <w:gridCol w:w="1696"/>
        <w:gridCol w:w="1701"/>
      </w:tblGrid>
      <w:tr w:rsidR="00B36C8E" w:rsidRPr="00B36C8E" w14:paraId="4DB2A227" w14:textId="77777777" w:rsidTr="00D56260">
        <w:trPr>
          <w:trHeight w:val="411"/>
          <w:jc w:val="center"/>
        </w:trPr>
        <w:tc>
          <w:tcPr>
            <w:tcW w:w="1696" w:type="dxa"/>
          </w:tcPr>
          <w:p w14:paraId="4CE6DC86" w14:textId="77777777" w:rsidR="00B36C8E" w:rsidRPr="00B36C8E" w:rsidRDefault="00B36C8E" w:rsidP="00D56260">
            <w:pPr>
              <w:pStyle w:val="RapTexte"/>
              <w:spacing w:before="120" w:after="120"/>
              <w:jc w:val="center"/>
              <w:rPr>
                <w:b/>
                <w:bCs/>
                <w:sz w:val="22"/>
                <w:szCs w:val="22"/>
              </w:rPr>
            </w:pPr>
            <w:r w:rsidRPr="00B36C8E">
              <w:rPr>
                <w:b/>
                <w:bCs/>
                <w:sz w:val="22"/>
                <w:szCs w:val="22"/>
              </w:rPr>
              <w:t>Lot n° 1</w:t>
            </w:r>
          </w:p>
        </w:tc>
        <w:tc>
          <w:tcPr>
            <w:tcW w:w="1701" w:type="dxa"/>
          </w:tcPr>
          <w:p w14:paraId="4FA6D127" w14:textId="77777777" w:rsidR="00B36C8E" w:rsidRPr="00B36C8E" w:rsidRDefault="00B36C8E" w:rsidP="00D56260">
            <w:pPr>
              <w:pStyle w:val="RapTexte"/>
              <w:spacing w:before="120" w:after="120"/>
              <w:jc w:val="center"/>
              <w:rPr>
                <w:sz w:val="22"/>
                <w:szCs w:val="22"/>
              </w:rPr>
            </w:pPr>
            <w:r w:rsidRPr="00B36C8E">
              <w:rPr>
                <w:sz w:val="22"/>
                <w:szCs w:val="22"/>
              </w:rPr>
              <w:t>6,5 %</w:t>
            </w:r>
          </w:p>
        </w:tc>
      </w:tr>
      <w:tr w:rsidR="00B36C8E" w:rsidRPr="00B36C8E" w14:paraId="180F0F28" w14:textId="77777777" w:rsidTr="00D56260">
        <w:trPr>
          <w:jc w:val="center"/>
        </w:trPr>
        <w:tc>
          <w:tcPr>
            <w:tcW w:w="1696" w:type="dxa"/>
          </w:tcPr>
          <w:p w14:paraId="59039BF7" w14:textId="77777777" w:rsidR="00B36C8E" w:rsidRPr="00B36C8E" w:rsidRDefault="00B36C8E" w:rsidP="00D56260">
            <w:pPr>
              <w:pStyle w:val="RapTexte"/>
              <w:spacing w:before="120" w:after="120"/>
              <w:jc w:val="center"/>
              <w:rPr>
                <w:b/>
                <w:bCs/>
                <w:sz w:val="22"/>
                <w:szCs w:val="22"/>
              </w:rPr>
            </w:pPr>
            <w:r w:rsidRPr="00B36C8E">
              <w:rPr>
                <w:b/>
                <w:bCs/>
                <w:sz w:val="22"/>
                <w:szCs w:val="22"/>
              </w:rPr>
              <w:t>Lot n° 2</w:t>
            </w:r>
          </w:p>
        </w:tc>
        <w:tc>
          <w:tcPr>
            <w:tcW w:w="1701" w:type="dxa"/>
          </w:tcPr>
          <w:p w14:paraId="7A833ED9" w14:textId="77777777" w:rsidR="00B36C8E" w:rsidRPr="00B36C8E" w:rsidRDefault="00B36C8E" w:rsidP="00D56260">
            <w:pPr>
              <w:pStyle w:val="RapTexte"/>
              <w:spacing w:before="120" w:after="120"/>
              <w:jc w:val="center"/>
              <w:rPr>
                <w:sz w:val="22"/>
                <w:szCs w:val="22"/>
              </w:rPr>
            </w:pPr>
            <w:r w:rsidRPr="00B36C8E">
              <w:rPr>
                <w:sz w:val="22"/>
                <w:szCs w:val="22"/>
              </w:rPr>
              <w:t>5,3 %</w:t>
            </w:r>
          </w:p>
        </w:tc>
      </w:tr>
      <w:tr w:rsidR="00B36C8E" w:rsidRPr="00B36C8E" w14:paraId="257489B6" w14:textId="77777777" w:rsidTr="00D56260">
        <w:trPr>
          <w:jc w:val="center"/>
        </w:trPr>
        <w:tc>
          <w:tcPr>
            <w:tcW w:w="1696" w:type="dxa"/>
          </w:tcPr>
          <w:p w14:paraId="14C542FB" w14:textId="77777777" w:rsidR="00B36C8E" w:rsidRPr="00B36C8E" w:rsidRDefault="00B36C8E" w:rsidP="00D56260">
            <w:pPr>
              <w:pStyle w:val="RapTexte"/>
              <w:spacing w:before="120" w:after="120"/>
              <w:jc w:val="center"/>
              <w:rPr>
                <w:b/>
                <w:bCs/>
                <w:sz w:val="22"/>
                <w:szCs w:val="22"/>
              </w:rPr>
            </w:pPr>
            <w:r w:rsidRPr="00B36C8E">
              <w:rPr>
                <w:b/>
                <w:bCs/>
                <w:sz w:val="22"/>
                <w:szCs w:val="22"/>
              </w:rPr>
              <w:t>Lot n° 3</w:t>
            </w:r>
          </w:p>
        </w:tc>
        <w:tc>
          <w:tcPr>
            <w:tcW w:w="1701" w:type="dxa"/>
          </w:tcPr>
          <w:p w14:paraId="6EA75BAA" w14:textId="77777777" w:rsidR="00B36C8E" w:rsidRPr="00B36C8E" w:rsidRDefault="00B36C8E" w:rsidP="00D56260">
            <w:pPr>
              <w:pStyle w:val="RapTexte"/>
              <w:spacing w:before="120" w:after="120"/>
              <w:jc w:val="center"/>
              <w:rPr>
                <w:sz w:val="22"/>
                <w:szCs w:val="22"/>
              </w:rPr>
            </w:pPr>
            <w:r w:rsidRPr="00B36C8E">
              <w:rPr>
                <w:sz w:val="22"/>
                <w:szCs w:val="22"/>
              </w:rPr>
              <w:t>34,7 %</w:t>
            </w:r>
          </w:p>
        </w:tc>
      </w:tr>
      <w:tr w:rsidR="00B36C8E" w:rsidRPr="00B36C8E" w14:paraId="1677A454" w14:textId="77777777" w:rsidTr="00D56260">
        <w:trPr>
          <w:jc w:val="center"/>
        </w:trPr>
        <w:tc>
          <w:tcPr>
            <w:tcW w:w="1696" w:type="dxa"/>
          </w:tcPr>
          <w:p w14:paraId="02D3D5D3" w14:textId="77777777" w:rsidR="00B36C8E" w:rsidRPr="00B36C8E" w:rsidRDefault="00B36C8E" w:rsidP="00D56260">
            <w:pPr>
              <w:pStyle w:val="RapTexte"/>
              <w:spacing w:before="120" w:after="120"/>
              <w:jc w:val="center"/>
              <w:rPr>
                <w:b/>
                <w:bCs/>
                <w:sz w:val="22"/>
                <w:szCs w:val="22"/>
              </w:rPr>
            </w:pPr>
            <w:r w:rsidRPr="00B36C8E">
              <w:rPr>
                <w:b/>
                <w:bCs/>
                <w:sz w:val="22"/>
                <w:szCs w:val="22"/>
              </w:rPr>
              <w:t>Lot n° 4</w:t>
            </w:r>
          </w:p>
        </w:tc>
        <w:tc>
          <w:tcPr>
            <w:tcW w:w="1701" w:type="dxa"/>
          </w:tcPr>
          <w:p w14:paraId="13BEB6CD" w14:textId="77777777" w:rsidR="00B36C8E" w:rsidRPr="00B36C8E" w:rsidRDefault="00B36C8E" w:rsidP="00D56260">
            <w:pPr>
              <w:pStyle w:val="RapTexte"/>
              <w:spacing w:before="120" w:after="120"/>
              <w:jc w:val="center"/>
              <w:rPr>
                <w:sz w:val="22"/>
                <w:szCs w:val="22"/>
              </w:rPr>
            </w:pPr>
            <w:r w:rsidRPr="00B36C8E">
              <w:rPr>
                <w:sz w:val="22"/>
                <w:szCs w:val="22"/>
              </w:rPr>
              <w:t>10,2 %</w:t>
            </w:r>
          </w:p>
        </w:tc>
      </w:tr>
    </w:tbl>
    <w:p w14:paraId="157725E2" w14:textId="77777777" w:rsidR="00154C87" w:rsidRDefault="00154C87" w:rsidP="00B36C8E">
      <w:pPr>
        <w:pStyle w:val="DCETexte"/>
        <w:spacing w:before="0" w:after="0"/>
      </w:pPr>
    </w:p>
    <w:p w14:paraId="01E5BF2B" w14:textId="5E7288FB" w:rsidR="00B36C8E" w:rsidRDefault="00154C87" w:rsidP="00B36C8E">
      <w:pPr>
        <w:pStyle w:val="DCETexte"/>
        <w:spacing w:before="0" w:after="0"/>
      </w:pPr>
      <w:r>
        <w:t>À titre informatif, d’autres contrats d’assurances spécialistes (assurance construction, assurance emprunteur…) peuvent être par ailleurs conclus par le Sénat. Ils ne font pas l’objet du présent cahier des clauses particulières.</w:t>
      </w:r>
    </w:p>
    <w:p w14:paraId="74B7D8ED" w14:textId="53A9186C" w:rsidR="0030537B" w:rsidRPr="008C5BF3" w:rsidRDefault="00BC687D" w:rsidP="00881CB6">
      <w:pPr>
        <w:pStyle w:val="DCETitre2"/>
      </w:pPr>
      <w:bookmarkStart w:id="53" w:name="_Toc211954939"/>
      <w:r w:rsidRPr="008C5BF3">
        <w:t xml:space="preserve">Description </w:t>
      </w:r>
      <w:r w:rsidR="00154C87">
        <w:t>de la prestation forfaitaire attendue</w:t>
      </w:r>
      <w:bookmarkEnd w:id="53"/>
    </w:p>
    <w:p w14:paraId="03DE2630" w14:textId="22FA534C" w:rsidR="00BC687D" w:rsidRDefault="00BC687D" w:rsidP="00BC687D">
      <w:pPr>
        <w:pStyle w:val="DCETexte"/>
      </w:pPr>
      <w:r>
        <w:t>La</w:t>
      </w:r>
      <w:r w:rsidRPr="004A790B">
        <w:t xml:space="preserve"> mission </w:t>
      </w:r>
      <w:r>
        <w:t xml:space="preserve">d’assistance à maîtrise d’ouvrage </w:t>
      </w:r>
      <w:r w:rsidRPr="004A790B">
        <w:t xml:space="preserve">attendue </w:t>
      </w:r>
      <w:r w:rsidR="00740A98">
        <w:t>du titulaire</w:t>
      </w:r>
      <w:r>
        <w:t xml:space="preserve"> </w:t>
      </w:r>
      <w:r w:rsidR="00394E7C">
        <w:t>distingue quatre éléments.</w:t>
      </w:r>
    </w:p>
    <w:p w14:paraId="6B61C535" w14:textId="4C9F5BCB" w:rsidR="00394E7C" w:rsidRPr="0059777F" w:rsidRDefault="00394E7C" w:rsidP="00394E7C">
      <w:pPr>
        <w:pStyle w:val="DCETexte"/>
        <w:numPr>
          <w:ilvl w:val="0"/>
          <w:numId w:val="36"/>
        </w:numPr>
        <w:rPr>
          <w:b/>
          <w:bCs/>
        </w:rPr>
      </w:pPr>
      <w:r w:rsidRPr="0059777F">
        <w:rPr>
          <w:b/>
          <w:bCs/>
        </w:rPr>
        <w:t>L’analyse et l’actualisation de la cartographie des risques du Sénat</w:t>
      </w:r>
    </w:p>
    <w:p w14:paraId="18915197" w14:textId="4B277077" w:rsidR="00394E7C" w:rsidRDefault="00394E7C" w:rsidP="00394E7C">
      <w:pPr>
        <w:pStyle w:val="DCETexte"/>
      </w:pPr>
      <w:r>
        <w:t xml:space="preserve">Le </w:t>
      </w:r>
      <w:r w:rsidR="006A544B">
        <w:t>titulaire</w:t>
      </w:r>
      <w:r>
        <w:t xml:space="preserve"> aura pour mission, douze mois avant l’échéance du marché d’assurances dont l’exécution débute le </w:t>
      </w:r>
      <w:r w:rsidR="001444F6">
        <w:t>1</w:t>
      </w:r>
      <w:r w:rsidR="001444F6" w:rsidRPr="00394E7C">
        <w:rPr>
          <w:vertAlign w:val="superscript"/>
        </w:rPr>
        <w:t>er</w:t>
      </w:r>
      <w:r w:rsidR="001444F6">
        <w:t> janvier </w:t>
      </w:r>
      <w:r>
        <w:t>2026, de prendre l’attache des services du Sénat et de solliciter tous éléments utiles afin d’évaluer la pertinence de la structure des lots dudit marché et les éventuelles évolutions à leur apporter.</w:t>
      </w:r>
    </w:p>
    <w:p w14:paraId="4B6DCF1C" w14:textId="453D402F" w:rsidR="00394E7C" w:rsidRPr="0059777F" w:rsidRDefault="00394E7C" w:rsidP="00394E7C">
      <w:pPr>
        <w:pStyle w:val="DCETexte"/>
        <w:numPr>
          <w:ilvl w:val="0"/>
          <w:numId w:val="36"/>
        </w:numPr>
        <w:rPr>
          <w:b/>
          <w:bCs/>
        </w:rPr>
      </w:pPr>
      <w:r w:rsidRPr="0059777F">
        <w:rPr>
          <w:b/>
          <w:bCs/>
        </w:rPr>
        <w:t>La rédaction de l’intégralité des pièces de marché nécessaires à la passation</w:t>
      </w:r>
    </w:p>
    <w:p w14:paraId="5A2FBCA2" w14:textId="239F6578" w:rsidR="00394E7C" w:rsidRDefault="00394E7C" w:rsidP="00394E7C">
      <w:pPr>
        <w:pStyle w:val="DCETexte"/>
      </w:pPr>
      <w:r>
        <w:t xml:space="preserve">Le </w:t>
      </w:r>
      <w:r w:rsidR="006A544B">
        <w:t>titulaire</w:t>
      </w:r>
      <w:r>
        <w:t xml:space="preserve"> se charge de la rédaction de toutes les pièces de marché et du dossier de consultation des entreprises (DCE). Ces pièces sont élaborées, au besoin, avec l’appui et sous le contrôle des services du Sénat. Elles exposent le détail de la méthodologie d’analyse des offres retenues, notamment en matière de qualité contractuelle des propositions formulées par les candidats. Elles peuvent prendre appui sur le guide méthodologique élaboré par la direction des affaires juridiques du ministère de l’Économie et des Finances, mais elles privilégient un format rédactionnel susceptible de permettre la comparaison aisée et objective des offres, y compris par l</w:t>
      </w:r>
      <w:r w:rsidR="00292685">
        <w:t>a notification de</w:t>
      </w:r>
      <w:r>
        <w:t xml:space="preserve"> réserves.  </w:t>
      </w:r>
    </w:p>
    <w:p w14:paraId="09FC119A" w14:textId="651618E4" w:rsidR="00394E7C" w:rsidRPr="0059777F" w:rsidRDefault="00394E7C" w:rsidP="00394E7C">
      <w:pPr>
        <w:pStyle w:val="DCETexte"/>
        <w:numPr>
          <w:ilvl w:val="0"/>
          <w:numId w:val="36"/>
        </w:numPr>
        <w:rPr>
          <w:b/>
          <w:bCs/>
        </w:rPr>
      </w:pPr>
      <w:r w:rsidRPr="0059777F">
        <w:rPr>
          <w:b/>
          <w:bCs/>
        </w:rPr>
        <w:t xml:space="preserve">Le suivi de la consultation et la rédaction du rapport d’analyse des candidatures et des offres </w:t>
      </w:r>
    </w:p>
    <w:p w14:paraId="1EF7BB5D" w14:textId="344072A6" w:rsidR="009A22DB" w:rsidRDefault="009A22DB" w:rsidP="00394E7C">
      <w:pPr>
        <w:pStyle w:val="DCETexte"/>
      </w:pPr>
      <w:r>
        <w:t xml:space="preserve">Le </w:t>
      </w:r>
      <w:r w:rsidR="006A544B">
        <w:t>titulaire</w:t>
      </w:r>
      <w:r>
        <w:t xml:space="preserve"> fournit l’intégralité des réponses aux demandes formulé</w:t>
      </w:r>
      <w:r w:rsidR="00A6550A">
        <w:t>e</w:t>
      </w:r>
      <w:r>
        <w:t>s par les candidats ou soumissionnaires tout au long de la consultation.</w:t>
      </w:r>
    </w:p>
    <w:p w14:paraId="1BC5C330" w14:textId="36232131" w:rsidR="00394E7C" w:rsidRDefault="00394E7C" w:rsidP="00394E7C">
      <w:pPr>
        <w:pStyle w:val="DCETexte"/>
      </w:pPr>
      <w:r>
        <w:t>Quatre mois avant l’échéance du marché public d’assurances dont l’exécution débute</w:t>
      </w:r>
      <w:r w:rsidR="00AE26BC">
        <w:t>, sous réserve de sa notification,</w:t>
      </w:r>
      <w:r>
        <w:t xml:space="preserve"> le 1</w:t>
      </w:r>
      <w:r w:rsidRPr="00394E7C">
        <w:rPr>
          <w:vertAlign w:val="superscript"/>
        </w:rPr>
        <w:t>er</w:t>
      </w:r>
      <w:r>
        <w:t> </w:t>
      </w:r>
      <w:r w:rsidR="001444F6">
        <w:t>janvier </w:t>
      </w:r>
      <w:r>
        <w:t xml:space="preserve">2026, le </w:t>
      </w:r>
      <w:r w:rsidR="006A544B">
        <w:t>titulaire</w:t>
      </w:r>
      <w:r>
        <w:t xml:space="preserve"> remet aux services du Sénat le rapport détaillé d’analyse des offres, </w:t>
      </w:r>
      <w:r w:rsidR="00910799">
        <w:t xml:space="preserve">ainsi que </w:t>
      </w:r>
      <w:r>
        <w:t xml:space="preserve">l’analyse des candidatures du ou des soumissionnaires pressentis. </w:t>
      </w:r>
      <w:r w:rsidR="00881CB6">
        <w:t xml:space="preserve">Toutes les diligences sont accomplies en amont par le </w:t>
      </w:r>
      <w:r w:rsidR="006A544B">
        <w:t>titulaire</w:t>
      </w:r>
      <w:r w:rsidR="00881CB6">
        <w:t xml:space="preserve"> pour s’assurer de la régularité de ces candidatures.</w:t>
      </w:r>
      <w:r>
        <w:t xml:space="preserve">  </w:t>
      </w:r>
    </w:p>
    <w:p w14:paraId="785A4AD2" w14:textId="040E0F70" w:rsidR="00394E7C" w:rsidRPr="0059777F" w:rsidRDefault="00881CB6" w:rsidP="00394E7C">
      <w:pPr>
        <w:pStyle w:val="DCETexte"/>
        <w:numPr>
          <w:ilvl w:val="0"/>
          <w:numId w:val="36"/>
        </w:numPr>
        <w:rPr>
          <w:b/>
          <w:bCs/>
        </w:rPr>
      </w:pPr>
      <w:r w:rsidRPr="0059777F">
        <w:rPr>
          <w:b/>
          <w:bCs/>
        </w:rPr>
        <w:t>L</w:t>
      </w:r>
      <w:r w:rsidR="00394E7C" w:rsidRPr="0059777F">
        <w:rPr>
          <w:b/>
          <w:bCs/>
        </w:rPr>
        <w:t>’accompagnement des services du Sénat jusqu’au moment de l’attribution</w:t>
      </w:r>
    </w:p>
    <w:p w14:paraId="0936D2F6" w14:textId="783A4F46" w:rsidR="005707D0" w:rsidRDefault="00881CB6" w:rsidP="00BC687D">
      <w:pPr>
        <w:pStyle w:val="DCETexte"/>
      </w:pPr>
      <w:r>
        <w:t>Une fois l’attribution accomplie par le Conseil de Questure, l</w:t>
      </w:r>
      <w:r w:rsidR="00BC687D">
        <w:t xml:space="preserve">e </w:t>
      </w:r>
      <w:r w:rsidR="006A544B">
        <w:t>titulaire</w:t>
      </w:r>
      <w:r w:rsidR="00BC687D">
        <w:t xml:space="preserve"> </w:t>
      </w:r>
      <w:r>
        <w:t xml:space="preserve">accompagne les services du Sénat dans l’ensemble des tâches nécessaires à la mise en contact des services </w:t>
      </w:r>
      <w:r w:rsidR="00292685">
        <w:t xml:space="preserve">du Sénat </w:t>
      </w:r>
      <w:r>
        <w:t>avec les assureurs ainsi qu’au bon interfaçage de</w:t>
      </w:r>
      <w:r w:rsidR="00292685">
        <w:t xml:space="preserve"> leur</w:t>
      </w:r>
      <w:r>
        <w:t>s applications</w:t>
      </w:r>
      <w:r w:rsidR="00BC687D">
        <w:t xml:space="preserve">. </w:t>
      </w:r>
      <w:r>
        <w:t>Il s’assure de la transmission exhaustive des documents et contacts nécessaires à la bonne exécution de la relation contractuelle.</w:t>
      </w:r>
    </w:p>
    <w:p w14:paraId="344E997F" w14:textId="7CBD17DC" w:rsidR="000533A5" w:rsidRDefault="000533A5" w:rsidP="00BC687D">
      <w:pPr>
        <w:pStyle w:val="DCETexte"/>
      </w:pPr>
      <w:r>
        <w:t>Les éléments de calendrier mentionnés au présent article 6.2 sont contractuels. Ils peuvent toutefois,</w:t>
      </w:r>
      <w:r w:rsidRPr="000867CE">
        <w:t xml:space="preserve"> </w:t>
      </w:r>
      <w:r>
        <w:t>en application de l’article R</w:t>
      </w:r>
      <w:r w:rsidR="001444F6">
        <w:t>. </w:t>
      </w:r>
      <w:r>
        <w:t>2152-13 du code de la commande publique, être ajusté</w:t>
      </w:r>
      <w:r w:rsidR="00910799">
        <w:t>s</w:t>
      </w:r>
      <w:r>
        <w:t xml:space="preserve"> par une éventuelle mise au point, qui sera annexée à l’acte d’engagement. Dans cette hypothèse, ce calendrier ajusté devient le calendrier contractuel.  </w:t>
      </w:r>
    </w:p>
    <w:p w14:paraId="1A616C90" w14:textId="7D8C3375" w:rsidR="00881CB6" w:rsidRPr="008C5BF3" w:rsidRDefault="00881CB6" w:rsidP="00881CB6">
      <w:pPr>
        <w:pStyle w:val="DCETitre2"/>
      </w:pPr>
      <w:bookmarkStart w:id="54" w:name="_Toc211954940"/>
      <w:r w:rsidRPr="008C5BF3">
        <w:t xml:space="preserve">Description </w:t>
      </w:r>
      <w:r>
        <w:t>de la prestation à bons de commande attendue</w:t>
      </w:r>
      <w:bookmarkEnd w:id="54"/>
    </w:p>
    <w:p w14:paraId="2EF59D05" w14:textId="69A04505" w:rsidR="00881CB6" w:rsidRDefault="00866DF3" w:rsidP="00BC687D">
      <w:pPr>
        <w:pStyle w:val="DCETexte"/>
      </w:pPr>
      <w:r>
        <w:t>Par dérogation à l'article 3.7.2 du CCAG-PI, le titulaire exécute immédiatement, sur sollicitation du Sénat,</w:t>
      </w:r>
      <w:r w:rsidR="000533A5">
        <w:t xml:space="preserve"> toute demande d’assistance en matière de gestion, évaluation ou règlement des sinistres, au sens du 2°</w:t>
      </w:r>
      <w:r w:rsidR="00A62B26">
        <w:t> </w:t>
      </w:r>
      <w:r w:rsidR="000533A5">
        <w:t>du II de l’article L. 511-1 du code des assurances.</w:t>
      </w:r>
    </w:p>
    <w:p w14:paraId="32756E17" w14:textId="3E90104D" w:rsidR="000533A5" w:rsidRDefault="000533A5" w:rsidP="00BC687D">
      <w:pPr>
        <w:pStyle w:val="DCETexte"/>
      </w:pPr>
      <w:r>
        <w:lastRenderedPageBreak/>
        <w:t xml:space="preserve">Chaque sollicitation donne lieu à la détermination, par le </w:t>
      </w:r>
      <w:r w:rsidR="006A544B">
        <w:t>titulaire</w:t>
      </w:r>
      <w:r>
        <w:t>, du nombre d’heures de travail qu’il estime nécessaire à sa réalisation, au tarif horaire indiqué dans le devis quantitatif évaluatif et insusceptible d’évolution sur toute la durée du marché. La prestation n’est engagée qu’après validation du nombre d’heures par le Sénat.</w:t>
      </w:r>
    </w:p>
    <w:p w14:paraId="5E3FE664" w14:textId="36518B65" w:rsidR="007F634D" w:rsidRDefault="007F634D" w:rsidP="00BC687D">
      <w:pPr>
        <w:pStyle w:val="DCETexte"/>
      </w:pPr>
      <w:r>
        <w:t xml:space="preserve">Ces prestations sont livrées </w:t>
      </w:r>
      <w:r w:rsidR="00292685">
        <w:t xml:space="preserve">dans le respect des </w:t>
      </w:r>
      <w:r>
        <w:t xml:space="preserve">délais annoncés par le </w:t>
      </w:r>
      <w:r w:rsidR="006A544B">
        <w:t>titulaire</w:t>
      </w:r>
      <w:r>
        <w:t xml:space="preserve"> dans son offre.</w:t>
      </w:r>
    </w:p>
    <w:p w14:paraId="6D74B555" w14:textId="643F5F25" w:rsidR="00AF1B24" w:rsidRDefault="005E4CF3" w:rsidP="001A18A4">
      <w:pPr>
        <w:pStyle w:val="DCEArticle"/>
        <w:ind w:left="0"/>
      </w:pPr>
      <w:bookmarkStart w:id="55" w:name="_Toc211954941"/>
      <w:bookmarkStart w:id="56" w:name="_Toc327459782"/>
      <w:bookmarkStart w:id="57" w:name="_Toc333566301"/>
      <w:r>
        <w:t xml:space="preserve">PRIX - </w:t>
      </w:r>
      <w:r w:rsidR="006D6C67">
        <w:t>Règlement et facturation</w:t>
      </w:r>
      <w:bookmarkEnd w:id="55"/>
    </w:p>
    <w:p w14:paraId="10886BB4" w14:textId="43CC7D50" w:rsidR="005E4CF3" w:rsidRDefault="005E4CF3" w:rsidP="0059777F">
      <w:pPr>
        <w:pStyle w:val="DCETitre2"/>
      </w:pPr>
      <w:bookmarkStart w:id="58" w:name="_Toc211954942"/>
      <w:bookmarkEnd w:id="50"/>
      <w:bookmarkEnd w:id="51"/>
      <w:bookmarkEnd w:id="56"/>
      <w:bookmarkEnd w:id="57"/>
      <w:r>
        <w:t>Prix</w:t>
      </w:r>
      <w:bookmarkEnd w:id="58"/>
    </w:p>
    <w:p w14:paraId="16F032CB" w14:textId="17F4860C" w:rsidR="005E4CF3" w:rsidRPr="008532EC" w:rsidRDefault="005E4CF3" w:rsidP="005E4CF3">
      <w:pPr>
        <w:pStyle w:val="DCETitre3Car"/>
        <w:numPr>
          <w:ilvl w:val="0"/>
          <w:numId w:val="0"/>
        </w:numPr>
        <w:rPr>
          <w:b w:val="0"/>
          <w:bCs/>
          <w:i w:val="0"/>
          <w:iCs/>
        </w:rPr>
      </w:pPr>
      <w:bookmarkStart w:id="59" w:name="_Toc211954943"/>
      <w:r w:rsidRPr="008532EC">
        <w:rPr>
          <w:b w:val="0"/>
          <w:bCs/>
          <w:i w:val="0"/>
          <w:iCs/>
        </w:rPr>
        <w:t>Le prix du marché est exprimé en euros.</w:t>
      </w:r>
      <w:bookmarkEnd w:id="59"/>
    </w:p>
    <w:p w14:paraId="08F05BCF" w14:textId="33F93BF9" w:rsidR="005E4CF3" w:rsidRDefault="005E4CF3" w:rsidP="005E4CF3">
      <w:pPr>
        <w:jc w:val="both"/>
      </w:pPr>
      <w:r>
        <w:t>Ce prix est</w:t>
      </w:r>
      <w:r>
        <w:rPr>
          <w:bCs/>
        </w:rPr>
        <w:t xml:space="preserve"> </w:t>
      </w:r>
      <w:r>
        <w:t>mixte et se compose d’une part forfaitaire et d’une part à bons de commande</w:t>
      </w:r>
      <w:r w:rsidRPr="00A4319D">
        <w:t xml:space="preserve">. </w:t>
      </w:r>
    </w:p>
    <w:p w14:paraId="4C37CB3E" w14:textId="77777777" w:rsidR="005E4CF3" w:rsidRDefault="005E4CF3" w:rsidP="005E4CF3">
      <w:pPr>
        <w:pStyle w:val="DCETitre4"/>
        <w:numPr>
          <w:ilvl w:val="0"/>
          <w:numId w:val="0"/>
        </w:numPr>
        <w:rPr>
          <w:i w:val="0"/>
          <w:sz w:val="24"/>
          <w:szCs w:val="20"/>
        </w:rPr>
      </w:pPr>
      <w:r w:rsidRPr="005E4CF3">
        <w:rPr>
          <w:i w:val="0"/>
          <w:sz w:val="24"/>
          <w:szCs w:val="20"/>
        </w:rPr>
        <w:t xml:space="preserve">La part forfaitaire, qui correspond au prix de la prestation d’aide à la passation de marché, est </w:t>
      </w:r>
      <w:r>
        <w:rPr>
          <w:i w:val="0"/>
          <w:sz w:val="24"/>
          <w:szCs w:val="20"/>
        </w:rPr>
        <w:t xml:space="preserve">ferme et </w:t>
      </w:r>
      <w:r w:rsidRPr="005E4CF3">
        <w:rPr>
          <w:i w:val="0"/>
          <w:sz w:val="24"/>
          <w:szCs w:val="20"/>
        </w:rPr>
        <w:t>actualisable</w:t>
      </w:r>
      <w:r>
        <w:rPr>
          <w:i w:val="0"/>
          <w:sz w:val="24"/>
          <w:szCs w:val="20"/>
        </w:rPr>
        <w:t>.</w:t>
      </w:r>
    </w:p>
    <w:p w14:paraId="6B484A96" w14:textId="7D494290" w:rsidR="008532EC" w:rsidRPr="008532EC" w:rsidRDefault="008532EC" w:rsidP="008532EC">
      <w:pPr>
        <w:widowControl/>
        <w:overflowPunct w:val="0"/>
        <w:autoSpaceDE w:val="0"/>
        <w:autoSpaceDN w:val="0"/>
        <w:adjustRightInd w:val="0"/>
        <w:spacing w:after="240"/>
        <w:jc w:val="both"/>
        <w:textAlignment w:val="baseline"/>
        <w:rPr>
          <w:szCs w:val="20"/>
        </w:rPr>
      </w:pPr>
      <w:r>
        <w:rPr>
          <w:szCs w:val="20"/>
        </w:rPr>
        <w:t>Ce prix forfaitaire</w:t>
      </w:r>
      <w:r w:rsidRPr="008532EC">
        <w:rPr>
          <w:szCs w:val="20"/>
        </w:rPr>
        <w:t xml:space="preserve"> est réputé établi sur la base des conditions économiques du mois qui précède la date limite de remise de l’offre. Ce mois est appelé mois</w:t>
      </w:r>
      <w:r w:rsidR="00E82AB4">
        <w:rPr>
          <w:szCs w:val="20"/>
        </w:rPr>
        <w:t> </w:t>
      </w:r>
      <w:r w:rsidRPr="008532EC">
        <w:rPr>
          <w:szCs w:val="20"/>
        </w:rPr>
        <w:t xml:space="preserve">0. </w:t>
      </w:r>
    </w:p>
    <w:p w14:paraId="4F6253A1" w14:textId="3731CA45" w:rsidR="008532EC" w:rsidRPr="008532EC" w:rsidRDefault="008532EC" w:rsidP="008532EC">
      <w:pPr>
        <w:widowControl/>
        <w:overflowPunct w:val="0"/>
        <w:autoSpaceDE w:val="0"/>
        <w:autoSpaceDN w:val="0"/>
        <w:adjustRightInd w:val="0"/>
        <w:spacing w:after="240"/>
        <w:jc w:val="both"/>
        <w:textAlignment w:val="baseline"/>
        <w:rPr>
          <w:szCs w:val="20"/>
        </w:rPr>
      </w:pPr>
      <w:r w:rsidRPr="008532EC">
        <w:rPr>
          <w:szCs w:val="20"/>
        </w:rPr>
        <w:t xml:space="preserve">Il sera actualisé si un délai supérieur à trois mois s’écoule entre la date ci-dessus (mois 0) et la date de début d’exécution </w:t>
      </w:r>
      <w:r w:rsidR="002E2FA3">
        <w:rPr>
          <w:szCs w:val="20"/>
        </w:rPr>
        <w:t>de la partie forfaitaire du marché</w:t>
      </w:r>
      <w:r w:rsidRPr="008532EC">
        <w:rPr>
          <w:szCs w:val="20"/>
        </w:rPr>
        <w:t>. Cette actualisation sera opérée selon la formule suivante :</w:t>
      </w:r>
    </w:p>
    <w:p w14:paraId="0A2F1A23" w14:textId="3D1CFC72" w:rsidR="008532EC" w:rsidRPr="008532EC" w:rsidRDefault="008532EC" w:rsidP="008532EC">
      <w:pPr>
        <w:widowControl/>
        <w:overflowPunct w:val="0"/>
        <w:autoSpaceDE w:val="0"/>
        <w:autoSpaceDN w:val="0"/>
        <w:adjustRightInd w:val="0"/>
        <w:spacing w:after="240"/>
        <w:jc w:val="both"/>
        <w:textAlignment w:val="baseline"/>
        <w:rPr>
          <w:szCs w:val="20"/>
        </w:rPr>
      </w:pPr>
      <w:r w:rsidRPr="008532EC">
        <w:rPr>
          <w:szCs w:val="20"/>
        </w:rPr>
        <w:t xml:space="preserve">P = Po x </w:t>
      </w:r>
      <w:r w:rsidRPr="008532EC">
        <w:rPr>
          <w:rFonts w:ascii="Cambria Math" w:hAnsi="Cambria Math" w:cs="Cambria Math"/>
          <w:szCs w:val="20"/>
        </w:rPr>
        <w:t>𝐵𝑇</w:t>
      </w:r>
      <w:proofErr w:type="spellStart"/>
      <w:r w:rsidR="002E2FA3">
        <w:rPr>
          <w:szCs w:val="20"/>
        </w:rPr>
        <w:t>oB</w:t>
      </w:r>
      <w:proofErr w:type="spellEnd"/>
      <w:r w:rsidRPr="008532EC">
        <w:rPr>
          <w:szCs w:val="20"/>
        </w:rPr>
        <w:t>/</w:t>
      </w:r>
      <w:r w:rsidRPr="008532EC">
        <w:rPr>
          <w:rFonts w:ascii="Cambria Math" w:hAnsi="Cambria Math" w:cs="Cambria Math"/>
          <w:szCs w:val="20"/>
        </w:rPr>
        <w:t>𝐵𝑇</w:t>
      </w:r>
      <w:proofErr w:type="spellStart"/>
      <w:r w:rsidR="002E2FA3">
        <w:rPr>
          <w:szCs w:val="20"/>
        </w:rPr>
        <w:t>oB</w:t>
      </w:r>
      <w:proofErr w:type="spellEnd"/>
      <w:r w:rsidRPr="008532EC">
        <w:rPr>
          <w:szCs w:val="20"/>
        </w:rPr>
        <w:t>(o)</w:t>
      </w:r>
    </w:p>
    <w:p w14:paraId="4C0A719A" w14:textId="7023DA85" w:rsidR="008532EC" w:rsidRPr="008532EC" w:rsidRDefault="008532EC" w:rsidP="008532EC">
      <w:pPr>
        <w:widowControl/>
        <w:overflowPunct w:val="0"/>
        <w:autoSpaceDE w:val="0"/>
        <w:autoSpaceDN w:val="0"/>
        <w:adjustRightInd w:val="0"/>
        <w:spacing w:after="240"/>
        <w:jc w:val="both"/>
        <w:textAlignment w:val="baseline"/>
        <w:rPr>
          <w:szCs w:val="20"/>
        </w:rPr>
      </w:pPr>
      <w:proofErr w:type="gramStart"/>
      <w:r w:rsidRPr="008532EC">
        <w:rPr>
          <w:szCs w:val="20"/>
        </w:rPr>
        <w:t>dans</w:t>
      </w:r>
      <w:proofErr w:type="gramEnd"/>
      <w:r w:rsidRPr="008532EC">
        <w:rPr>
          <w:szCs w:val="20"/>
        </w:rPr>
        <w:t xml:space="preserve"> laquelle</w:t>
      </w:r>
      <w:r w:rsidR="0025776D">
        <w:rPr>
          <w:szCs w:val="20"/>
        </w:rPr>
        <w:t> </w:t>
      </w:r>
      <w:r w:rsidRPr="008532EC">
        <w:rPr>
          <w:szCs w:val="20"/>
        </w:rPr>
        <w:t>:</w:t>
      </w:r>
    </w:p>
    <w:p w14:paraId="47B50653" w14:textId="7F13F312" w:rsidR="008532EC" w:rsidRPr="008532EC" w:rsidRDefault="008532EC" w:rsidP="008532EC">
      <w:pPr>
        <w:widowControl/>
        <w:overflowPunct w:val="0"/>
        <w:autoSpaceDE w:val="0"/>
        <w:autoSpaceDN w:val="0"/>
        <w:adjustRightInd w:val="0"/>
        <w:spacing w:after="240"/>
        <w:jc w:val="both"/>
        <w:textAlignment w:val="baseline"/>
        <w:rPr>
          <w:szCs w:val="20"/>
        </w:rPr>
      </w:pPr>
      <w:r w:rsidRPr="008532EC">
        <w:rPr>
          <w:szCs w:val="20"/>
        </w:rPr>
        <w:t>P est le prix actualisé</w:t>
      </w:r>
      <w:r w:rsidR="0025776D">
        <w:rPr>
          <w:szCs w:val="20"/>
        </w:rPr>
        <w:t> </w:t>
      </w:r>
      <w:r w:rsidRPr="008532EC">
        <w:rPr>
          <w:szCs w:val="20"/>
        </w:rPr>
        <w:t>;</w:t>
      </w:r>
    </w:p>
    <w:p w14:paraId="06C06EC7" w14:textId="0F040642" w:rsidR="008532EC" w:rsidRPr="008532EC" w:rsidRDefault="008532EC" w:rsidP="008532EC">
      <w:pPr>
        <w:widowControl/>
        <w:overflowPunct w:val="0"/>
        <w:autoSpaceDE w:val="0"/>
        <w:autoSpaceDN w:val="0"/>
        <w:adjustRightInd w:val="0"/>
        <w:spacing w:after="240"/>
        <w:jc w:val="both"/>
        <w:textAlignment w:val="baseline"/>
        <w:rPr>
          <w:szCs w:val="20"/>
        </w:rPr>
      </w:pPr>
      <w:r w:rsidRPr="008532EC">
        <w:rPr>
          <w:szCs w:val="20"/>
        </w:rPr>
        <w:t>Po est le prix du mois</w:t>
      </w:r>
      <w:r w:rsidR="00E82AB4">
        <w:rPr>
          <w:szCs w:val="20"/>
        </w:rPr>
        <w:t> </w:t>
      </w:r>
      <w:r w:rsidRPr="008532EC">
        <w:rPr>
          <w:szCs w:val="20"/>
        </w:rPr>
        <w:t>0</w:t>
      </w:r>
      <w:r w:rsidR="0025776D">
        <w:rPr>
          <w:szCs w:val="20"/>
        </w:rPr>
        <w:t> </w:t>
      </w:r>
      <w:r w:rsidRPr="008532EC">
        <w:rPr>
          <w:szCs w:val="20"/>
        </w:rPr>
        <w:t>;</w:t>
      </w:r>
    </w:p>
    <w:p w14:paraId="1F668CDB" w14:textId="48E1C6FA" w:rsidR="008532EC" w:rsidRPr="008532EC" w:rsidRDefault="002E2FA3" w:rsidP="008532EC">
      <w:pPr>
        <w:widowControl/>
        <w:overflowPunct w:val="0"/>
        <w:autoSpaceDE w:val="0"/>
        <w:autoSpaceDN w:val="0"/>
        <w:adjustRightInd w:val="0"/>
        <w:spacing w:after="240"/>
        <w:jc w:val="both"/>
        <w:textAlignment w:val="baseline"/>
        <w:rPr>
          <w:szCs w:val="20"/>
        </w:rPr>
      </w:pPr>
      <w:proofErr w:type="spellStart"/>
      <w:r w:rsidRPr="002E2FA3">
        <w:rPr>
          <w:szCs w:val="20"/>
        </w:rPr>
        <w:t>BtoB</w:t>
      </w:r>
      <w:proofErr w:type="spellEnd"/>
      <w:r w:rsidRPr="002E2FA3">
        <w:rPr>
          <w:szCs w:val="20"/>
        </w:rPr>
        <w:t xml:space="preserve"> </w:t>
      </w:r>
      <w:r>
        <w:rPr>
          <w:szCs w:val="20"/>
        </w:rPr>
        <w:t xml:space="preserve">- indice </w:t>
      </w:r>
      <w:r w:rsidRPr="002E2FA3">
        <w:rPr>
          <w:szCs w:val="20"/>
        </w:rPr>
        <w:t xml:space="preserve">des prix de production des services français aux entreprises </w:t>
      </w:r>
      <w:proofErr w:type="gramStart"/>
      <w:r w:rsidRPr="002E2FA3">
        <w:rPr>
          <w:szCs w:val="20"/>
        </w:rPr>
        <w:t>françaises  −</w:t>
      </w:r>
      <w:proofErr w:type="gramEnd"/>
      <w:r w:rsidRPr="002E2FA3">
        <w:rPr>
          <w:szCs w:val="20"/>
        </w:rPr>
        <w:t xml:space="preserve"> Total</w:t>
      </w:r>
      <w:r w:rsidR="00A10753">
        <w:rPr>
          <w:szCs w:val="20"/>
        </w:rPr>
        <w:t> </w:t>
      </w:r>
      <w:r w:rsidRPr="002E2FA3">
        <w:rPr>
          <w:szCs w:val="20"/>
        </w:rPr>
        <w:t xml:space="preserve">HS hors TCH − Ensemble des services hors transports de passagers, hôtellerie, restauration, communications et immobilier </w:t>
      </w:r>
      <w:r>
        <w:rPr>
          <w:szCs w:val="20"/>
        </w:rPr>
        <w:t>–</w:t>
      </w:r>
      <w:r w:rsidRPr="002E2FA3">
        <w:rPr>
          <w:szCs w:val="20"/>
        </w:rPr>
        <w:t xml:space="preserve"> </w:t>
      </w:r>
      <w:r>
        <w:rPr>
          <w:szCs w:val="20"/>
        </w:rPr>
        <w:t xml:space="preserve">est l’indice </w:t>
      </w:r>
      <w:r w:rsidR="008532EC" w:rsidRPr="008532EC">
        <w:rPr>
          <w:szCs w:val="20"/>
        </w:rPr>
        <w:t xml:space="preserve">d’actualisation, trois mois avant la date du mois </w:t>
      </w:r>
      <w:r>
        <w:rPr>
          <w:szCs w:val="20"/>
        </w:rPr>
        <w:t>marquant le début d’exécution de la part forfaitaire du marché</w:t>
      </w:r>
      <w:r w:rsidR="008532EC" w:rsidRPr="008532EC">
        <w:rPr>
          <w:szCs w:val="20"/>
        </w:rPr>
        <w:t xml:space="preserve"> ;</w:t>
      </w:r>
    </w:p>
    <w:p w14:paraId="3C3668C1" w14:textId="0AF5BC49" w:rsidR="008532EC" w:rsidRDefault="008532EC" w:rsidP="008532EC">
      <w:pPr>
        <w:widowControl/>
        <w:overflowPunct w:val="0"/>
        <w:autoSpaceDE w:val="0"/>
        <w:autoSpaceDN w:val="0"/>
        <w:adjustRightInd w:val="0"/>
        <w:spacing w:after="240"/>
        <w:jc w:val="both"/>
        <w:textAlignment w:val="baseline"/>
        <w:rPr>
          <w:szCs w:val="20"/>
        </w:rPr>
      </w:pPr>
      <w:proofErr w:type="spellStart"/>
      <w:r w:rsidRPr="008532EC">
        <w:rPr>
          <w:szCs w:val="20"/>
        </w:rPr>
        <w:t>BT</w:t>
      </w:r>
      <w:r w:rsidR="002E2FA3">
        <w:rPr>
          <w:szCs w:val="20"/>
        </w:rPr>
        <w:t>oB</w:t>
      </w:r>
      <w:proofErr w:type="spellEnd"/>
      <w:r w:rsidRPr="008532EC">
        <w:rPr>
          <w:szCs w:val="20"/>
        </w:rPr>
        <w:t xml:space="preserve">(o) est l’index de référence du mois 0. </w:t>
      </w:r>
    </w:p>
    <w:p w14:paraId="1044ED87" w14:textId="14BAD601" w:rsidR="00633E20" w:rsidRPr="008532EC" w:rsidRDefault="00633E20" w:rsidP="008532EC">
      <w:pPr>
        <w:widowControl/>
        <w:overflowPunct w:val="0"/>
        <w:autoSpaceDE w:val="0"/>
        <w:autoSpaceDN w:val="0"/>
        <w:adjustRightInd w:val="0"/>
        <w:spacing w:after="240"/>
        <w:jc w:val="both"/>
        <w:textAlignment w:val="baseline"/>
        <w:rPr>
          <w:szCs w:val="20"/>
        </w:rPr>
      </w:pPr>
      <w:r>
        <w:rPr>
          <w:szCs w:val="20"/>
        </w:rPr>
        <w:t>La part du prix à bons de commande est ferme et non actualisable.</w:t>
      </w:r>
    </w:p>
    <w:p w14:paraId="3B933DCA" w14:textId="189B5225" w:rsidR="007D0499" w:rsidRDefault="00E82AB4" w:rsidP="0059777F">
      <w:pPr>
        <w:pStyle w:val="DCETitre2"/>
      </w:pPr>
      <w:bookmarkStart w:id="60" w:name="_Toc211954944"/>
      <w:r>
        <w:t>M</w:t>
      </w:r>
      <w:r w:rsidR="007D0499">
        <w:t>odalités de règlement</w:t>
      </w:r>
      <w:bookmarkEnd w:id="60"/>
    </w:p>
    <w:p w14:paraId="094D7105" w14:textId="51961023" w:rsidR="00A06E1B" w:rsidRPr="00C356E4" w:rsidRDefault="00A06E1B" w:rsidP="00A06E1B">
      <w:pPr>
        <w:pStyle w:val="DCETexte"/>
      </w:pPr>
      <w:r w:rsidRPr="00C356E4">
        <w:t xml:space="preserve">Le prix de règlement est déterminé </w:t>
      </w:r>
      <w:r w:rsidR="00471211">
        <w:t>dans</w:t>
      </w:r>
      <w:r w:rsidR="00C356E4" w:rsidRPr="00BB720A">
        <w:t xml:space="preserve"> l’acte d’engagement et détaillé dans </w:t>
      </w:r>
      <w:r w:rsidR="00471211">
        <w:t>l</w:t>
      </w:r>
      <w:r w:rsidR="00497B4C">
        <w:t>e devis quantitatif estimatif</w:t>
      </w:r>
      <w:r w:rsidR="00471211">
        <w:t xml:space="preserve"> figurant à </w:t>
      </w:r>
      <w:r w:rsidR="00E82AB4">
        <w:t>l’annexe </w:t>
      </w:r>
      <w:r w:rsidR="00C356E4">
        <w:t>2 de l’acte d’engagement</w:t>
      </w:r>
      <w:r w:rsidRPr="00C356E4">
        <w:t>.</w:t>
      </w:r>
    </w:p>
    <w:p w14:paraId="37336FD3" w14:textId="19023211" w:rsidR="00A42A21" w:rsidRDefault="001C3003" w:rsidP="00A42A21">
      <w:pPr>
        <w:pStyle w:val="DCETexte"/>
      </w:pPr>
      <w:r>
        <w:t>Tant pour la prestation forfaitaire que pour la prestation à bons de commande, l</w:t>
      </w:r>
      <w:r w:rsidR="00A42A21" w:rsidRPr="00C356E4">
        <w:t>e règlement s</w:t>
      </w:r>
      <w:r w:rsidR="004A33D1" w:rsidRPr="00C356E4">
        <w:t>’</w:t>
      </w:r>
      <w:r w:rsidR="00A42A21" w:rsidRPr="00C356E4">
        <w:t>effectue</w:t>
      </w:r>
      <w:r w:rsidR="00BF4AD9">
        <w:t xml:space="preserve"> au terme de chacune des </w:t>
      </w:r>
      <w:r w:rsidR="00497B4C">
        <w:t>prestations sollicitées par le Sénat</w:t>
      </w:r>
      <w:r w:rsidR="00BF4AD9">
        <w:t>,</w:t>
      </w:r>
      <w:r w:rsidR="008C5BF3">
        <w:t xml:space="preserve"> </w:t>
      </w:r>
      <w:r w:rsidR="00A42A21" w:rsidRPr="00C356E4">
        <w:t xml:space="preserve">après </w:t>
      </w:r>
      <w:r w:rsidR="00482F00" w:rsidRPr="00C356E4">
        <w:t>constatation du service fait</w:t>
      </w:r>
      <w:r w:rsidR="00A42A21" w:rsidRPr="00C356E4">
        <w:t>, sur présentation d</w:t>
      </w:r>
      <w:r w:rsidR="004A33D1" w:rsidRPr="00C356E4">
        <w:t>’</w:t>
      </w:r>
      <w:r w:rsidR="00A42A21" w:rsidRPr="00C356E4">
        <w:t>une facture</w:t>
      </w:r>
      <w:r w:rsidR="008E29CB" w:rsidRPr="00C356E4">
        <w:t xml:space="preserve"> </w:t>
      </w:r>
      <w:r w:rsidR="00C07CD0" w:rsidRPr="00C356E4">
        <w:t xml:space="preserve">relative </w:t>
      </w:r>
      <w:r w:rsidR="008E29CB" w:rsidRPr="00C356E4">
        <w:t>à la prestation exécutée</w:t>
      </w:r>
      <w:r w:rsidR="00F8643F" w:rsidRPr="00C356E4">
        <w:t>.</w:t>
      </w:r>
    </w:p>
    <w:p w14:paraId="33F10384" w14:textId="2068EEB4" w:rsidR="00C73D3F" w:rsidRPr="00793460" w:rsidRDefault="00C73D3F" w:rsidP="00881CB6">
      <w:pPr>
        <w:pStyle w:val="DCETitre2"/>
      </w:pPr>
      <w:bookmarkStart w:id="61" w:name="_Toc75276362"/>
      <w:bookmarkStart w:id="62" w:name="_Toc75276426"/>
      <w:bookmarkStart w:id="63" w:name="_Toc75276589"/>
      <w:bookmarkStart w:id="64" w:name="_Toc75442150"/>
      <w:bookmarkStart w:id="65" w:name="_Toc76392893"/>
      <w:bookmarkStart w:id="66" w:name="_Toc76394266"/>
      <w:bookmarkStart w:id="67" w:name="_Toc211954945"/>
      <w:bookmarkEnd w:id="61"/>
      <w:bookmarkEnd w:id="62"/>
      <w:bookmarkEnd w:id="63"/>
      <w:bookmarkEnd w:id="64"/>
      <w:bookmarkEnd w:id="65"/>
      <w:bookmarkEnd w:id="66"/>
      <w:r w:rsidRPr="00793460">
        <w:lastRenderedPageBreak/>
        <w:t>Facturation</w:t>
      </w:r>
      <w:bookmarkEnd w:id="67"/>
    </w:p>
    <w:p w14:paraId="4020BF3C" w14:textId="04F5F1A0" w:rsidR="00F8643F" w:rsidRPr="00793460" w:rsidRDefault="00F8643F" w:rsidP="00F8643F">
      <w:pPr>
        <w:pStyle w:val="DCETexte"/>
      </w:pPr>
      <w:r w:rsidRPr="00793460">
        <w:t xml:space="preserve">Le titulaire transmet </w:t>
      </w:r>
      <w:r w:rsidR="00E22762" w:rsidRPr="00793460">
        <w:t xml:space="preserve">ses factures </w:t>
      </w:r>
      <w:r w:rsidRPr="00793460">
        <w:t xml:space="preserve">sous forme électronique sur le portail de réception dématérialisée des factures du Sénat, dans les conditions définies </w:t>
      </w:r>
      <w:r w:rsidR="004B6FB1" w:rsidRPr="00793460">
        <w:t xml:space="preserve">par </w:t>
      </w:r>
      <w:r w:rsidRPr="00793460">
        <w:t>l</w:t>
      </w:r>
      <w:r w:rsidR="004A33D1" w:rsidRPr="00793460">
        <w:t>’</w:t>
      </w:r>
      <w:r w:rsidRPr="00793460">
        <w:t xml:space="preserve">arrêté de </w:t>
      </w:r>
      <w:r w:rsidR="00E82AB4" w:rsidRPr="00793460">
        <w:t>Questure</w:t>
      </w:r>
      <w:r w:rsidR="00E82AB4">
        <w:t> </w:t>
      </w:r>
      <w:r w:rsidRPr="00793460">
        <w:t xml:space="preserve">n° 2020-403 du 26 mai 2020, annexé au présent </w:t>
      </w:r>
      <w:r w:rsidR="00C86972" w:rsidRPr="00793460">
        <w:t>cahier des clauses particulières</w:t>
      </w:r>
      <w:r w:rsidRPr="00793460">
        <w:t>.</w:t>
      </w:r>
    </w:p>
    <w:p w14:paraId="43554A4C" w14:textId="692B1765" w:rsidR="003E7293" w:rsidRPr="00793460" w:rsidRDefault="003E7293" w:rsidP="00DC37A1">
      <w:pPr>
        <w:jc w:val="both"/>
      </w:pPr>
      <w:r w:rsidRPr="00793460">
        <w:t>Les modalités de dépôt des factures sont présentées à l</w:t>
      </w:r>
      <w:r w:rsidR="004A33D1" w:rsidRPr="00793460">
        <w:t>’</w:t>
      </w:r>
      <w:r w:rsidRPr="00793460">
        <w:t>adresse suivante</w:t>
      </w:r>
      <w:r w:rsidR="009855BC" w:rsidRPr="00793460">
        <w:t> :</w:t>
      </w:r>
      <w:r w:rsidRPr="00793460">
        <w:t xml:space="preserve"> </w:t>
      </w:r>
      <w:hyperlink r:id="rId9" w:history="1">
        <w:r w:rsidR="000A1102" w:rsidRPr="00793460">
          <w:rPr>
            <w:rStyle w:val="Lienhypertexte"/>
          </w:rPr>
          <w:t>https://www.senat.fr/facturation.html</w:t>
        </w:r>
      </w:hyperlink>
      <w:r w:rsidR="000A1102" w:rsidRPr="00793460">
        <w:t xml:space="preserve"> </w:t>
      </w:r>
    </w:p>
    <w:p w14:paraId="3A1015DC" w14:textId="2D380C62" w:rsidR="00F8643F" w:rsidRPr="00793460" w:rsidRDefault="00F8643F" w:rsidP="00F8643F">
      <w:pPr>
        <w:pStyle w:val="DCETexte"/>
      </w:pPr>
      <w:r w:rsidRPr="00793460">
        <w:t>La transmission d</w:t>
      </w:r>
      <w:r w:rsidR="004A33D1" w:rsidRPr="00793460">
        <w:t>’</w:t>
      </w:r>
      <w:r w:rsidRPr="00793460">
        <w:t>une facture par tout autre moyen que ce portail emporte rejet de la facture</w:t>
      </w:r>
      <w:r w:rsidR="00C07CD0" w:rsidRPr="00793460">
        <w:t>.</w:t>
      </w:r>
    </w:p>
    <w:p w14:paraId="16236101" w14:textId="0B4B6F2F" w:rsidR="00F8643F" w:rsidRPr="00793460" w:rsidRDefault="00F8643F" w:rsidP="00F8643F">
      <w:pPr>
        <w:pStyle w:val="DCETexte"/>
      </w:pPr>
      <w:r w:rsidRPr="00793460">
        <w:t>La date de réception d</w:t>
      </w:r>
      <w:r w:rsidR="004A33D1" w:rsidRPr="00793460">
        <w:t>’</w:t>
      </w:r>
      <w:r w:rsidRPr="00793460">
        <w:t>une demande de paiement transmise par voie électronique correspond à la date de notification du message électronique informant l</w:t>
      </w:r>
      <w:r w:rsidR="004A33D1" w:rsidRPr="00793460">
        <w:t>’</w:t>
      </w:r>
      <w:r w:rsidRPr="00793460">
        <w:t>acheteur de la mise à disposition de la facture sur le portail de facturation (ou, le cas échéant pour l</w:t>
      </w:r>
      <w:r w:rsidR="004A33D1" w:rsidRPr="00793460">
        <w:t>’</w:t>
      </w:r>
      <w:r w:rsidRPr="00793460">
        <w:t>État, à la date d</w:t>
      </w:r>
      <w:r w:rsidR="004A33D1" w:rsidRPr="00793460">
        <w:t>’</w:t>
      </w:r>
      <w:r w:rsidRPr="00793460">
        <w:t>horodatage de la facture par le système d</w:t>
      </w:r>
      <w:r w:rsidR="004A33D1" w:rsidRPr="00793460">
        <w:t>’</w:t>
      </w:r>
      <w:r w:rsidRPr="00793460">
        <w:t>information budgétaire et comptable pour une facture transmise par échange de données informatisé).</w:t>
      </w:r>
    </w:p>
    <w:p w14:paraId="664D3329" w14:textId="3F0E2723" w:rsidR="00F8643F" w:rsidRPr="00793460" w:rsidRDefault="00F8643F" w:rsidP="00F8643F">
      <w:pPr>
        <w:pStyle w:val="DCETexte"/>
      </w:pPr>
      <w:r w:rsidRPr="00793460">
        <w:t>Sans préjudice des mentions obligatoires fixées par les dispositions législatives ou réglementaires, le règlement s</w:t>
      </w:r>
      <w:r w:rsidR="004A33D1" w:rsidRPr="00793460">
        <w:t>’</w:t>
      </w:r>
      <w:r w:rsidRPr="00793460">
        <w:t xml:space="preserve">effectue après </w:t>
      </w:r>
      <w:r w:rsidR="00727C96" w:rsidRPr="00793460">
        <w:t>service fait</w:t>
      </w:r>
      <w:r w:rsidRPr="00793460">
        <w:t>, sur présentation de factures électroniques comportant</w:t>
      </w:r>
      <w:r w:rsidR="001A7A0F" w:rsidRPr="00793460">
        <w:t xml:space="preserve">, outre </w:t>
      </w:r>
      <w:r w:rsidR="00AE52D8" w:rsidRPr="00793460">
        <w:t>l</w:t>
      </w:r>
      <w:r w:rsidR="001A7A0F" w:rsidRPr="00793460">
        <w:t>es mentions légales requises,</w:t>
      </w:r>
      <w:r w:rsidRPr="00793460">
        <w:t xml:space="preserve"> les mentions obligatoires suivantes</w:t>
      </w:r>
      <w:r w:rsidR="009855BC" w:rsidRPr="00793460">
        <w:t> :</w:t>
      </w:r>
    </w:p>
    <w:p w14:paraId="3AB096E5" w14:textId="2E323000" w:rsidR="00F8643F" w:rsidRPr="00793460" w:rsidRDefault="00F8643F" w:rsidP="009502D3">
      <w:pPr>
        <w:pStyle w:val="Paragraphedeliste"/>
        <w:numPr>
          <w:ilvl w:val="0"/>
          <w:numId w:val="19"/>
        </w:numPr>
        <w:spacing w:before="120"/>
        <w:ind w:left="714" w:hanging="357"/>
        <w:contextualSpacing w:val="0"/>
        <w:jc w:val="both"/>
        <w:rPr>
          <w:iCs/>
        </w:rPr>
      </w:pPr>
      <w:proofErr w:type="gramStart"/>
      <w:r w:rsidRPr="00793460">
        <w:rPr>
          <w:iCs/>
        </w:rPr>
        <w:t>la</w:t>
      </w:r>
      <w:proofErr w:type="gramEnd"/>
      <w:r w:rsidRPr="00793460">
        <w:rPr>
          <w:iCs/>
        </w:rPr>
        <w:t xml:space="preserve"> date d</w:t>
      </w:r>
      <w:r w:rsidR="004A33D1" w:rsidRPr="00793460">
        <w:rPr>
          <w:iCs/>
        </w:rPr>
        <w:t>’</w:t>
      </w:r>
      <w:r w:rsidRPr="00793460">
        <w:rPr>
          <w:iCs/>
        </w:rPr>
        <w:t>émission de la facture</w:t>
      </w:r>
      <w:r w:rsidR="009855BC" w:rsidRPr="00793460">
        <w:rPr>
          <w:iCs/>
        </w:rPr>
        <w:t> ;</w:t>
      </w:r>
    </w:p>
    <w:p w14:paraId="2399915B" w14:textId="78981DC7" w:rsidR="00F8643F" w:rsidRPr="00793460" w:rsidRDefault="00F8643F" w:rsidP="009502D3">
      <w:pPr>
        <w:pStyle w:val="Paragraphedeliste"/>
        <w:numPr>
          <w:ilvl w:val="0"/>
          <w:numId w:val="19"/>
        </w:numPr>
        <w:spacing w:before="120"/>
        <w:ind w:left="714" w:hanging="357"/>
        <w:contextualSpacing w:val="0"/>
        <w:jc w:val="both"/>
        <w:rPr>
          <w:iCs/>
        </w:rPr>
      </w:pPr>
      <w:proofErr w:type="gramStart"/>
      <w:r w:rsidRPr="00793460">
        <w:rPr>
          <w:iCs/>
        </w:rPr>
        <w:t>la</w:t>
      </w:r>
      <w:proofErr w:type="gramEnd"/>
      <w:r w:rsidRPr="00793460">
        <w:rPr>
          <w:iCs/>
        </w:rPr>
        <w:t xml:space="preserve"> désignation de l</w:t>
      </w:r>
      <w:r w:rsidR="004A33D1" w:rsidRPr="00793460">
        <w:rPr>
          <w:iCs/>
        </w:rPr>
        <w:t>’</w:t>
      </w:r>
      <w:r w:rsidRPr="00793460">
        <w:rPr>
          <w:iCs/>
        </w:rPr>
        <w:t>émetteur</w:t>
      </w:r>
      <w:r w:rsidR="00375387" w:rsidRPr="00793460">
        <w:rPr>
          <w:iCs/>
        </w:rPr>
        <w:t xml:space="preserve"> (dénomination sociale, forme sociale, n</w:t>
      </w:r>
      <w:r w:rsidR="00246C88" w:rsidRPr="00793460">
        <w:rPr>
          <w:iCs/>
        </w:rPr>
        <w:t>uméro</w:t>
      </w:r>
      <w:r w:rsidR="00375387" w:rsidRPr="00793460">
        <w:rPr>
          <w:iCs/>
        </w:rPr>
        <w:t xml:space="preserve"> de </w:t>
      </w:r>
      <w:r w:rsidR="00651198" w:rsidRPr="00793460">
        <w:rPr>
          <w:iCs/>
        </w:rPr>
        <w:t xml:space="preserve">SIRET </w:t>
      </w:r>
      <w:r w:rsidR="00375387" w:rsidRPr="00793460">
        <w:rPr>
          <w:iCs/>
        </w:rPr>
        <w:t>et adresse)</w:t>
      </w:r>
      <w:r w:rsidRPr="00793460">
        <w:rPr>
          <w:iCs/>
        </w:rPr>
        <w:t xml:space="preserve"> et du </w:t>
      </w:r>
      <w:r w:rsidR="00651198" w:rsidRPr="00793460">
        <w:rPr>
          <w:iCs/>
        </w:rPr>
        <w:t xml:space="preserve">Sénat, </w:t>
      </w:r>
      <w:r w:rsidRPr="00793460">
        <w:rPr>
          <w:iCs/>
        </w:rPr>
        <w:t>destinataire de la facture</w:t>
      </w:r>
      <w:r w:rsidR="009855BC" w:rsidRPr="00793460">
        <w:rPr>
          <w:iCs/>
        </w:rPr>
        <w:t> ;</w:t>
      </w:r>
    </w:p>
    <w:p w14:paraId="556A1272" w14:textId="71874D5A" w:rsidR="00F8643F" w:rsidRPr="00793460" w:rsidRDefault="00F8643F" w:rsidP="009502D3">
      <w:pPr>
        <w:pStyle w:val="Paragraphedeliste"/>
        <w:numPr>
          <w:ilvl w:val="0"/>
          <w:numId w:val="19"/>
        </w:numPr>
        <w:spacing w:before="120"/>
        <w:ind w:left="714" w:hanging="357"/>
        <w:contextualSpacing w:val="0"/>
        <w:jc w:val="both"/>
        <w:rPr>
          <w:iCs/>
        </w:rPr>
      </w:pPr>
      <w:proofErr w:type="gramStart"/>
      <w:r w:rsidRPr="00793460">
        <w:rPr>
          <w:iCs/>
        </w:rPr>
        <w:t>le</w:t>
      </w:r>
      <w:proofErr w:type="gramEnd"/>
      <w:r w:rsidRPr="00793460">
        <w:rPr>
          <w:iCs/>
        </w:rPr>
        <w:t xml:space="preserve"> numéro unique fondé sur une séquence chronologique et continue établie par l</w:t>
      </w:r>
      <w:r w:rsidR="004A33D1" w:rsidRPr="00793460">
        <w:rPr>
          <w:iCs/>
        </w:rPr>
        <w:t>’</w:t>
      </w:r>
      <w:r w:rsidRPr="00793460">
        <w:rPr>
          <w:iCs/>
        </w:rPr>
        <w:t>émetteur de la facture, la numérotation pouvant être établie sur une ou plusieurs séries</w:t>
      </w:r>
      <w:r w:rsidR="009855BC" w:rsidRPr="00793460">
        <w:rPr>
          <w:iCs/>
        </w:rPr>
        <w:t> ;</w:t>
      </w:r>
    </w:p>
    <w:p w14:paraId="3A3FADA1" w14:textId="452E8E37" w:rsidR="00630FB7" w:rsidRPr="00793460" w:rsidRDefault="00F8643F" w:rsidP="009502D3">
      <w:pPr>
        <w:pStyle w:val="Paragraphedeliste"/>
        <w:numPr>
          <w:ilvl w:val="0"/>
          <w:numId w:val="19"/>
        </w:numPr>
        <w:spacing w:before="120"/>
        <w:ind w:left="714" w:hanging="357"/>
        <w:contextualSpacing w:val="0"/>
        <w:jc w:val="both"/>
        <w:rPr>
          <w:iCs/>
        </w:rPr>
      </w:pPr>
      <w:proofErr w:type="gramStart"/>
      <w:r w:rsidRPr="00793460">
        <w:rPr>
          <w:iCs/>
        </w:rPr>
        <w:t>la</w:t>
      </w:r>
      <w:proofErr w:type="gramEnd"/>
      <w:r w:rsidRPr="00793460">
        <w:rPr>
          <w:iCs/>
        </w:rPr>
        <w:t xml:space="preserve"> date d</w:t>
      </w:r>
      <w:r w:rsidR="004A33D1" w:rsidRPr="00793460">
        <w:rPr>
          <w:iCs/>
        </w:rPr>
        <w:t>’</w:t>
      </w:r>
      <w:r w:rsidR="00A143D7" w:rsidRPr="00793460">
        <w:rPr>
          <w:iCs/>
        </w:rPr>
        <w:t>exécution des prestations</w:t>
      </w:r>
      <w:r w:rsidR="009855BC" w:rsidRPr="00793460">
        <w:rPr>
          <w:iCs/>
        </w:rPr>
        <w:t> ;</w:t>
      </w:r>
    </w:p>
    <w:p w14:paraId="37F4BAFA" w14:textId="77777777" w:rsidR="00603589" w:rsidRPr="00793460" w:rsidRDefault="00F8643F" w:rsidP="009502D3">
      <w:pPr>
        <w:pStyle w:val="Paragraphedeliste"/>
        <w:numPr>
          <w:ilvl w:val="0"/>
          <w:numId w:val="19"/>
        </w:numPr>
        <w:spacing w:before="120"/>
        <w:ind w:left="714" w:hanging="357"/>
        <w:contextualSpacing w:val="0"/>
        <w:jc w:val="both"/>
        <w:rPr>
          <w:iCs/>
        </w:rPr>
      </w:pPr>
      <w:proofErr w:type="gramStart"/>
      <w:r w:rsidRPr="00793460">
        <w:rPr>
          <w:iCs/>
        </w:rPr>
        <w:t>la</w:t>
      </w:r>
      <w:proofErr w:type="gramEnd"/>
      <w:r w:rsidRPr="00793460">
        <w:rPr>
          <w:iCs/>
        </w:rPr>
        <w:t xml:space="preserve"> quantité et la dénomination précise des </w:t>
      </w:r>
      <w:r w:rsidR="00A143D7" w:rsidRPr="00793460">
        <w:rPr>
          <w:iCs/>
        </w:rPr>
        <w:t>prestations exécutées</w:t>
      </w:r>
      <w:r w:rsidR="009855BC" w:rsidRPr="00793460">
        <w:rPr>
          <w:iCs/>
        </w:rPr>
        <w:t> ;</w:t>
      </w:r>
    </w:p>
    <w:p w14:paraId="42B5D938" w14:textId="2EFAE429" w:rsidR="00630FB7" w:rsidRPr="00793460" w:rsidRDefault="00A143D7" w:rsidP="009502D3">
      <w:pPr>
        <w:pStyle w:val="Paragraphedeliste"/>
        <w:numPr>
          <w:ilvl w:val="0"/>
          <w:numId w:val="19"/>
        </w:numPr>
        <w:spacing w:before="120"/>
        <w:ind w:left="714" w:hanging="357"/>
        <w:contextualSpacing w:val="0"/>
        <w:jc w:val="both"/>
        <w:rPr>
          <w:iCs/>
        </w:rPr>
      </w:pPr>
      <w:proofErr w:type="gramStart"/>
      <w:r w:rsidRPr="00793460">
        <w:rPr>
          <w:iCs/>
        </w:rPr>
        <w:t>le</w:t>
      </w:r>
      <w:proofErr w:type="gramEnd"/>
      <w:r w:rsidRPr="00793460">
        <w:rPr>
          <w:iCs/>
        </w:rPr>
        <w:t xml:space="preserve"> prix hors taxes des prestations exécutées</w:t>
      </w:r>
      <w:r w:rsidR="009855BC" w:rsidRPr="00793460">
        <w:rPr>
          <w:iCs/>
        </w:rPr>
        <w:t> ;</w:t>
      </w:r>
    </w:p>
    <w:p w14:paraId="555B0F5C" w14:textId="37B12B4C" w:rsidR="00F8643F" w:rsidRPr="00793460" w:rsidRDefault="00F8643F" w:rsidP="009502D3">
      <w:pPr>
        <w:pStyle w:val="Paragraphedeliste"/>
        <w:numPr>
          <w:ilvl w:val="0"/>
          <w:numId w:val="19"/>
        </w:numPr>
        <w:spacing w:before="120"/>
        <w:ind w:left="714" w:hanging="357"/>
        <w:contextualSpacing w:val="0"/>
        <w:jc w:val="both"/>
        <w:rPr>
          <w:iCs/>
        </w:rPr>
      </w:pPr>
      <w:proofErr w:type="gramStart"/>
      <w:r w:rsidRPr="00793460">
        <w:rPr>
          <w:iCs/>
        </w:rPr>
        <w:t>le</w:t>
      </w:r>
      <w:proofErr w:type="gramEnd"/>
      <w:r w:rsidRPr="00793460">
        <w:rPr>
          <w:iCs/>
        </w:rPr>
        <w:t xml:space="preserve"> montant total de la facture, le montant total hors taxes et le montant de la taxe à payer, ainsi que la répartition de ces montants par taux de </w:t>
      </w:r>
      <w:r w:rsidR="00E22762" w:rsidRPr="00793460">
        <w:rPr>
          <w:iCs/>
        </w:rPr>
        <w:t>TVA</w:t>
      </w:r>
      <w:r w:rsidRPr="00793460">
        <w:rPr>
          <w:iCs/>
        </w:rPr>
        <w:t xml:space="preserve"> ou, le cas échéant, le bénéfice d</w:t>
      </w:r>
      <w:r w:rsidR="004A33D1" w:rsidRPr="00793460">
        <w:rPr>
          <w:iCs/>
        </w:rPr>
        <w:t>’</w:t>
      </w:r>
      <w:r w:rsidRPr="00793460">
        <w:rPr>
          <w:iCs/>
        </w:rPr>
        <w:t>une exonération</w:t>
      </w:r>
      <w:r w:rsidR="009855BC" w:rsidRPr="00793460">
        <w:rPr>
          <w:iCs/>
        </w:rPr>
        <w:t> ;</w:t>
      </w:r>
    </w:p>
    <w:p w14:paraId="21692A58" w14:textId="0C22EC4D" w:rsidR="00F8643F" w:rsidRPr="00793460" w:rsidRDefault="00F8643F" w:rsidP="009502D3">
      <w:pPr>
        <w:pStyle w:val="Paragraphedeliste"/>
        <w:numPr>
          <w:ilvl w:val="0"/>
          <w:numId w:val="19"/>
        </w:numPr>
        <w:spacing w:before="120"/>
        <w:ind w:left="714" w:hanging="357"/>
        <w:contextualSpacing w:val="0"/>
        <w:jc w:val="both"/>
        <w:rPr>
          <w:iCs/>
        </w:rPr>
      </w:pPr>
      <w:proofErr w:type="gramStart"/>
      <w:r w:rsidRPr="00793460">
        <w:rPr>
          <w:iCs/>
        </w:rPr>
        <w:t>l</w:t>
      </w:r>
      <w:r w:rsidR="004A33D1" w:rsidRPr="00793460">
        <w:rPr>
          <w:iCs/>
        </w:rPr>
        <w:t>’</w:t>
      </w:r>
      <w:r w:rsidRPr="00793460">
        <w:rPr>
          <w:iCs/>
        </w:rPr>
        <w:t>identification</w:t>
      </w:r>
      <w:proofErr w:type="gramEnd"/>
      <w:r w:rsidRPr="00793460">
        <w:rPr>
          <w:iCs/>
        </w:rPr>
        <w:t>, le cas échéant, du représentant fiscal de l</w:t>
      </w:r>
      <w:r w:rsidR="004A33D1" w:rsidRPr="00793460">
        <w:rPr>
          <w:iCs/>
        </w:rPr>
        <w:t>’</w:t>
      </w:r>
      <w:r w:rsidRPr="00793460">
        <w:rPr>
          <w:iCs/>
        </w:rPr>
        <w:t>émetteur de la facture</w:t>
      </w:r>
      <w:r w:rsidR="009855BC" w:rsidRPr="00793460">
        <w:rPr>
          <w:iCs/>
        </w:rPr>
        <w:t> ;</w:t>
      </w:r>
    </w:p>
    <w:p w14:paraId="5A8A375A" w14:textId="77777777" w:rsidR="00F8643F" w:rsidRPr="00793460" w:rsidRDefault="00F8643F" w:rsidP="009502D3">
      <w:pPr>
        <w:pStyle w:val="Paragraphedeliste"/>
        <w:numPr>
          <w:ilvl w:val="0"/>
          <w:numId w:val="19"/>
        </w:numPr>
        <w:spacing w:before="120"/>
        <w:ind w:left="714" w:hanging="357"/>
        <w:contextualSpacing w:val="0"/>
        <w:jc w:val="both"/>
        <w:rPr>
          <w:iCs/>
        </w:rPr>
      </w:pPr>
      <w:proofErr w:type="gramStart"/>
      <w:r w:rsidRPr="00793460">
        <w:rPr>
          <w:iCs/>
        </w:rPr>
        <w:t>le</w:t>
      </w:r>
      <w:proofErr w:type="gramEnd"/>
      <w:r w:rsidRPr="00793460">
        <w:rPr>
          <w:iCs/>
        </w:rPr>
        <w:t xml:space="preserve"> cas échéant, les modalités de règlement.</w:t>
      </w:r>
    </w:p>
    <w:p w14:paraId="07BBF941" w14:textId="74344D25" w:rsidR="00F8643F" w:rsidRPr="00793460" w:rsidRDefault="00F8643F" w:rsidP="00881CB6">
      <w:pPr>
        <w:pStyle w:val="DCETitre2"/>
      </w:pPr>
      <w:bookmarkStart w:id="68" w:name="_Toc75176766"/>
      <w:bookmarkStart w:id="69" w:name="_Toc75176767"/>
      <w:bookmarkStart w:id="70" w:name="_Toc75176773"/>
      <w:bookmarkStart w:id="71" w:name="_Toc75176774"/>
      <w:bookmarkStart w:id="72" w:name="_Toc43883247"/>
      <w:bookmarkStart w:id="73" w:name="_Toc211954946"/>
      <w:bookmarkEnd w:id="68"/>
      <w:bookmarkEnd w:id="69"/>
      <w:bookmarkEnd w:id="70"/>
      <w:bookmarkEnd w:id="71"/>
      <w:r w:rsidRPr="00793460">
        <w:t>Délais de paiement et intérêts moratoires</w:t>
      </w:r>
      <w:bookmarkEnd w:id="72"/>
      <w:bookmarkEnd w:id="73"/>
    </w:p>
    <w:p w14:paraId="5155E74A" w14:textId="7050DA8F" w:rsidR="00F8643F" w:rsidRPr="00793460" w:rsidRDefault="00F8643F" w:rsidP="00F8643F">
      <w:pPr>
        <w:spacing w:before="120" w:after="120"/>
        <w:jc w:val="both"/>
        <w:rPr>
          <w:iCs/>
        </w:rPr>
      </w:pPr>
      <w:r w:rsidRPr="00793460">
        <w:rPr>
          <w:iCs/>
        </w:rPr>
        <w:t>Le paiement est effectué sur présentation de factures sous réserve de leur acceptation dans un délai maximal de trente (30) jou</w:t>
      </w:r>
      <w:r w:rsidR="00E22762" w:rsidRPr="00793460">
        <w:rPr>
          <w:iCs/>
        </w:rPr>
        <w:t xml:space="preserve">rs, par virement sur le </w:t>
      </w:r>
      <w:r w:rsidRPr="00793460">
        <w:rPr>
          <w:iCs/>
        </w:rPr>
        <w:t>compte du titulaire. En cas de retard, le taux des intérêts moratoires applicable est le taux de refinancement de la Banque centrale</w:t>
      </w:r>
      <w:r w:rsidR="00AD34CB" w:rsidRPr="00793460">
        <w:rPr>
          <w:iCs/>
        </w:rPr>
        <w:t xml:space="preserve"> </w:t>
      </w:r>
      <w:r w:rsidR="009855BC" w:rsidRPr="00793460">
        <w:rPr>
          <w:iCs/>
        </w:rPr>
        <w:t>euro</w:t>
      </w:r>
      <w:r w:rsidRPr="00793460">
        <w:rPr>
          <w:iCs/>
        </w:rPr>
        <w:t xml:space="preserve">péenne </w:t>
      </w:r>
      <w:r w:rsidR="00AD34CB" w:rsidRPr="00793460">
        <w:rPr>
          <w:iCs/>
        </w:rPr>
        <w:t xml:space="preserve">(BCE) </w:t>
      </w:r>
      <w:r w:rsidRPr="00793460">
        <w:rPr>
          <w:iCs/>
        </w:rPr>
        <w:t>en vigueur à la date à laquelle lesdits intérêts ont commencé à courir, augmenté de huit</w:t>
      </w:r>
      <w:r w:rsidR="00246C88" w:rsidRPr="00793460">
        <w:rPr>
          <w:iCs/>
        </w:rPr>
        <w:t> </w:t>
      </w:r>
      <w:r w:rsidRPr="00793460">
        <w:rPr>
          <w:iCs/>
        </w:rPr>
        <w:t>points. En outre, le titulaire percevra l</w:t>
      </w:r>
      <w:r w:rsidR="004A33D1" w:rsidRPr="00793460">
        <w:rPr>
          <w:iCs/>
        </w:rPr>
        <w:t>’</w:t>
      </w:r>
      <w:r w:rsidRPr="00793460">
        <w:rPr>
          <w:iCs/>
        </w:rPr>
        <w:t>indemnité forfaitaire pour frais de recouvrement de 40</w:t>
      </w:r>
      <w:r w:rsidR="009855BC" w:rsidRPr="00793460">
        <w:rPr>
          <w:iCs/>
        </w:rPr>
        <w:t> euro</w:t>
      </w:r>
      <w:r w:rsidRPr="00793460">
        <w:rPr>
          <w:iCs/>
        </w:rPr>
        <w:t xml:space="preserve">s prévue </w:t>
      </w:r>
      <w:r w:rsidR="00DB1A6B" w:rsidRPr="00793460">
        <w:rPr>
          <w:iCs/>
        </w:rPr>
        <w:t>aux</w:t>
      </w:r>
      <w:r w:rsidRPr="00793460">
        <w:rPr>
          <w:iCs/>
        </w:rPr>
        <w:t xml:space="preserve"> articles L.</w:t>
      </w:r>
      <w:r w:rsidR="00DB1A6B" w:rsidRPr="00793460">
        <w:rPr>
          <w:iCs/>
        </w:rPr>
        <w:t> </w:t>
      </w:r>
      <w:r w:rsidRPr="00793460">
        <w:rPr>
          <w:iCs/>
        </w:rPr>
        <w:t>2192-13 et D.</w:t>
      </w:r>
      <w:r w:rsidR="00DB1A6B" w:rsidRPr="00793460">
        <w:rPr>
          <w:iCs/>
        </w:rPr>
        <w:t> </w:t>
      </w:r>
      <w:r w:rsidRPr="00793460">
        <w:rPr>
          <w:iCs/>
        </w:rPr>
        <w:t>2192-35 du code de la commande publique.</w:t>
      </w:r>
    </w:p>
    <w:p w14:paraId="4158F661" w14:textId="217219B5" w:rsidR="00B6155D" w:rsidRDefault="00F8643F" w:rsidP="00F8643F">
      <w:pPr>
        <w:widowControl/>
        <w:jc w:val="both"/>
        <w:rPr>
          <w:iCs/>
        </w:rPr>
      </w:pPr>
      <w:r w:rsidRPr="00793460">
        <w:rPr>
          <w:iCs/>
        </w:rPr>
        <w:t>Le comptable public assignataire des paiements est M</w:t>
      </w:r>
      <w:r w:rsidR="002A51FE" w:rsidRPr="00793460">
        <w:rPr>
          <w:iCs/>
        </w:rPr>
        <w:t>onsieur</w:t>
      </w:r>
      <w:r w:rsidRPr="00793460">
        <w:rPr>
          <w:iCs/>
        </w:rPr>
        <w:t xml:space="preserve"> le Trésorier du Sénat.</w:t>
      </w:r>
    </w:p>
    <w:p w14:paraId="465C0D6B" w14:textId="77777777" w:rsidR="00C36F01" w:rsidRPr="00684EE0" w:rsidRDefault="00C36F01" w:rsidP="00C36F01">
      <w:pPr>
        <w:pStyle w:val="DCEArticle"/>
        <w:ind w:left="0"/>
      </w:pPr>
      <w:bookmarkStart w:id="74" w:name="_Toc211954947"/>
      <w:bookmarkStart w:id="75" w:name="_Ref194569089"/>
      <w:r w:rsidRPr="00684EE0">
        <w:lastRenderedPageBreak/>
        <w:t>Description des missions assurées par la DLMG</w:t>
      </w:r>
      <w:bookmarkEnd w:id="74"/>
      <w:r w:rsidRPr="00684EE0">
        <w:t xml:space="preserve"> </w:t>
      </w:r>
      <w:bookmarkEnd w:id="75"/>
    </w:p>
    <w:p w14:paraId="547B8C6C" w14:textId="77777777" w:rsidR="00C36F01" w:rsidRPr="0013030F" w:rsidRDefault="00C36F01" w:rsidP="00C36F01">
      <w:pPr>
        <w:widowControl/>
        <w:jc w:val="both"/>
      </w:pPr>
      <w:r w:rsidRPr="0013030F">
        <w:t>La DLMG supervise l</w:t>
      </w:r>
      <w:r>
        <w:t>’accomplissement des prestations fournies par le</w:t>
      </w:r>
      <w:r w:rsidRPr="0013030F">
        <w:t xml:space="preserve"> </w:t>
      </w:r>
      <w:r>
        <w:t>titulaire</w:t>
      </w:r>
      <w:r w:rsidRPr="0013030F">
        <w:t>.</w:t>
      </w:r>
    </w:p>
    <w:p w14:paraId="22C7012C" w14:textId="77777777" w:rsidR="00C36F01" w:rsidRPr="009C77B3" w:rsidRDefault="00C36F01" w:rsidP="00C36F01">
      <w:pPr>
        <w:widowControl/>
        <w:jc w:val="both"/>
        <w:rPr>
          <w:sz w:val="20"/>
          <w:szCs w:val="16"/>
        </w:rPr>
      </w:pPr>
    </w:p>
    <w:p w14:paraId="4784CB14" w14:textId="77777777" w:rsidR="00C36F01" w:rsidRDefault="00C36F01" w:rsidP="00C36F01">
      <w:pPr>
        <w:widowControl/>
        <w:jc w:val="both"/>
      </w:pPr>
      <w:r>
        <w:t xml:space="preserve">La DLMG est l’interlocuteur du titulaire pendant toute la durée d’exécution du marché. Elle peut, le cas échéant, </w:t>
      </w:r>
      <w:r w:rsidRPr="0013030F">
        <w:t>oriente</w:t>
      </w:r>
      <w:r>
        <w:t>r</w:t>
      </w:r>
      <w:r w:rsidRPr="0013030F">
        <w:t xml:space="preserve"> le </w:t>
      </w:r>
      <w:r>
        <w:t>titulaire</w:t>
      </w:r>
      <w:r w:rsidRPr="0013030F">
        <w:t xml:space="preserve"> vers </w:t>
      </w:r>
      <w:r>
        <w:t>d’autres directions ou</w:t>
      </w:r>
      <w:r w:rsidRPr="0013030F">
        <w:t xml:space="preserve"> interlocuteurs</w:t>
      </w:r>
      <w:r>
        <w:t>, tel par exemple la direction de l’Architecture, du Patrimoine et des Jardin (DAPJ), la direction des Affaires financières et sociales (DAFS) ou la direction des Relations internationales et du Protocole (DRIP)</w:t>
      </w:r>
      <w:r w:rsidRPr="0013030F">
        <w:t xml:space="preserve">. </w:t>
      </w:r>
    </w:p>
    <w:p w14:paraId="4C6F8CCA" w14:textId="77777777" w:rsidR="00C36F01" w:rsidRDefault="00C36F01" w:rsidP="00C36F01">
      <w:pPr>
        <w:widowControl/>
        <w:jc w:val="both"/>
      </w:pPr>
    </w:p>
    <w:p w14:paraId="6E790902" w14:textId="77777777" w:rsidR="00C36F01" w:rsidRDefault="00C36F01" w:rsidP="00C36F01">
      <w:pPr>
        <w:widowControl/>
        <w:jc w:val="both"/>
      </w:pPr>
      <w:r w:rsidRPr="0013030F">
        <w:t>Elle fourni</w:t>
      </w:r>
      <w:r>
        <w:t>t</w:t>
      </w:r>
      <w:r w:rsidRPr="0013030F">
        <w:t xml:space="preserve"> </w:t>
      </w:r>
      <w:r>
        <w:t xml:space="preserve">au titulaire </w:t>
      </w:r>
      <w:r w:rsidRPr="0013030F">
        <w:t>les éléments statistiques et juridiques ainsi que toute</w:t>
      </w:r>
      <w:r>
        <w:t>s</w:t>
      </w:r>
      <w:r w:rsidRPr="0013030F">
        <w:t xml:space="preserve"> information</w:t>
      </w:r>
      <w:r>
        <w:t>s</w:t>
      </w:r>
      <w:r w:rsidRPr="0013030F">
        <w:t xml:space="preserve"> nécessaire</w:t>
      </w:r>
      <w:r>
        <w:t>s</w:t>
      </w:r>
      <w:r w:rsidRPr="0013030F">
        <w:t xml:space="preserve"> pour éclairer </w:t>
      </w:r>
      <w:r>
        <w:t>son</w:t>
      </w:r>
      <w:r w:rsidRPr="0013030F">
        <w:t xml:space="preserve"> travail d</w:t>
      </w:r>
      <w:r>
        <w:t>’</w:t>
      </w:r>
      <w:r w:rsidRPr="0013030F">
        <w:t>analyse.</w:t>
      </w:r>
      <w:r>
        <w:t xml:space="preserve"> </w:t>
      </w:r>
    </w:p>
    <w:p w14:paraId="345B7395" w14:textId="77777777" w:rsidR="00C36F01" w:rsidRPr="001C17D8" w:rsidRDefault="00C36F01" w:rsidP="00C36F01">
      <w:pPr>
        <w:widowControl/>
        <w:jc w:val="both"/>
        <w:rPr>
          <w:highlight w:val="yellow"/>
        </w:rPr>
      </w:pPr>
    </w:p>
    <w:p w14:paraId="336DFDA9" w14:textId="77777777" w:rsidR="00C36F01" w:rsidRDefault="00C36F01" w:rsidP="00C36F01">
      <w:pPr>
        <w:widowControl/>
        <w:jc w:val="both"/>
      </w:pPr>
      <w:r>
        <w:t>E</w:t>
      </w:r>
      <w:r w:rsidRPr="0013030F">
        <w:t xml:space="preserve">lle met à </w:t>
      </w:r>
      <w:r>
        <w:t xml:space="preserve">sa </w:t>
      </w:r>
      <w:r w:rsidRPr="0013030F">
        <w:t>disposition les informations</w:t>
      </w:r>
      <w:r>
        <w:t xml:space="preserve"> internes</w:t>
      </w:r>
      <w:r w:rsidRPr="0013030F">
        <w:t xml:space="preserve"> utiles à l</w:t>
      </w:r>
      <w:r>
        <w:t>’</w:t>
      </w:r>
      <w:r w:rsidRPr="0013030F">
        <w:t xml:space="preserve">élaboration des pièces de marché. </w:t>
      </w:r>
    </w:p>
    <w:p w14:paraId="1DA910C4" w14:textId="77777777" w:rsidR="00C36F01" w:rsidRDefault="00C36F01" w:rsidP="00C36F01">
      <w:pPr>
        <w:widowControl/>
        <w:jc w:val="both"/>
      </w:pPr>
    </w:p>
    <w:p w14:paraId="79F4F6E8" w14:textId="77777777" w:rsidR="00C36F01" w:rsidRPr="0013030F" w:rsidRDefault="00C36F01" w:rsidP="00C36F01">
      <w:pPr>
        <w:widowControl/>
        <w:jc w:val="both"/>
      </w:pPr>
      <w:r>
        <w:t>E</w:t>
      </w:r>
      <w:r w:rsidRPr="0013030F">
        <w:t xml:space="preserve">lle </w:t>
      </w:r>
      <w:r>
        <w:t>gère</w:t>
      </w:r>
      <w:r w:rsidRPr="0013030F">
        <w:t xml:space="preserve"> </w:t>
      </w:r>
      <w:r>
        <w:t xml:space="preserve">elle-même </w:t>
      </w:r>
      <w:r w:rsidRPr="0013030F">
        <w:t xml:space="preserve">directement la procédure </w:t>
      </w:r>
      <w:r>
        <w:t xml:space="preserve">de mise en ligne des documents de la consultation et </w:t>
      </w:r>
      <w:r w:rsidRPr="0013030F">
        <w:t>de publicité sur la plateforme</w:t>
      </w:r>
      <w:r>
        <w:t xml:space="preserve"> de dématérialisation</w:t>
      </w:r>
      <w:r w:rsidRPr="0013030F">
        <w:t xml:space="preserve"> des marchés publics</w:t>
      </w:r>
      <w:r>
        <w:t xml:space="preserve"> PLACE. Elle procède à la notification aux candidats des décisions du Conseil de Questure</w:t>
      </w:r>
      <w:r w:rsidRPr="0013030F">
        <w:t>.</w:t>
      </w:r>
    </w:p>
    <w:p w14:paraId="45B11BF7" w14:textId="77777777" w:rsidR="00C36F01" w:rsidRPr="009C77B3" w:rsidRDefault="00C36F01" w:rsidP="00C36F01">
      <w:pPr>
        <w:widowControl/>
        <w:jc w:val="both"/>
        <w:rPr>
          <w:sz w:val="20"/>
          <w:szCs w:val="16"/>
          <w:highlight w:val="yellow"/>
        </w:rPr>
      </w:pPr>
    </w:p>
    <w:p w14:paraId="368AABF9" w14:textId="77777777" w:rsidR="00C36F01" w:rsidRPr="0013030F" w:rsidRDefault="00C36F01" w:rsidP="00C36F01">
      <w:pPr>
        <w:widowControl/>
        <w:jc w:val="both"/>
      </w:pPr>
      <w:r w:rsidRPr="0013030F">
        <w:t>Elle organise, en tant que de besoin, la tenue de réunions de travail sur les différentes phases de la mission.</w:t>
      </w:r>
    </w:p>
    <w:p w14:paraId="00F42FC0" w14:textId="77777777" w:rsidR="00C36F01" w:rsidRPr="001C17D8" w:rsidRDefault="00C36F01" w:rsidP="00C36F01">
      <w:pPr>
        <w:widowControl/>
        <w:jc w:val="both"/>
        <w:rPr>
          <w:highlight w:val="yellow"/>
        </w:rPr>
      </w:pPr>
    </w:p>
    <w:p w14:paraId="3150FA37" w14:textId="2B606D23" w:rsidR="00C36F01" w:rsidRPr="00C36F01" w:rsidRDefault="00C36F01" w:rsidP="00F8643F">
      <w:pPr>
        <w:widowControl/>
        <w:jc w:val="both"/>
      </w:pPr>
      <w:r w:rsidRPr="0013030F">
        <w:t xml:space="preserve">Enfin, elle </w:t>
      </w:r>
      <w:r>
        <w:t xml:space="preserve">instruit auprès du Conseil de Questure les rapports de lancement et d’attribution du marché </w:t>
      </w:r>
      <w:r w:rsidR="00E706E4">
        <w:t>en s’appuyant sur</w:t>
      </w:r>
      <w:r>
        <w:t xml:space="preserve"> </w:t>
      </w:r>
      <w:r w:rsidR="00EB0869">
        <w:t xml:space="preserve">le rapport mentionné à </w:t>
      </w:r>
      <w:r>
        <w:t xml:space="preserve">l’article 6.2 </w:t>
      </w:r>
    </w:p>
    <w:p w14:paraId="59234D46" w14:textId="77777777" w:rsidR="00B6155D" w:rsidRPr="008C5BF3" w:rsidRDefault="00B6155D" w:rsidP="00B6155D">
      <w:pPr>
        <w:pStyle w:val="DCEArticle"/>
        <w:ind w:left="0"/>
      </w:pPr>
      <w:bookmarkStart w:id="76" w:name="_Toc309145797"/>
      <w:bookmarkStart w:id="77" w:name="_Toc309207115"/>
      <w:bookmarkStart w:id="78" w:name="_Toc309398374"/>
      <w:bookmarkStart w:id="79" w:name="_Toc405305454"/>
      <w:bookmarkStart w:id="80" w:name="_Toc211954948"/>
      <w:r w:rsidRPr="008C5BF3">
        <w:t>OBLIGATIONS DU TITULAIRE</w:t>
      </w:r>
      <w:bookmarkEnd w:id="76"/>
      <w:bookmarkEnd w:id="77"/>
      <w:bookmarkEnd w:id="78"/>
      <w:bookmarkEnd w:id="79"/>
      <w:bookmarkEnd w:id="80"/>
    </w:p>
    <w:p w14:paraId="74ECCAD5" w14:textId="6A0FCCAA" w:rsidR="00B54ECA" w:rsidRPr="00B54ECA" w:rsidRDefault="00944C20" w:rsidP="00881CB6">
      <w:pPr>
        <w:pStyle w:val="DCETitre2"/>
      </w:pPr>
      <w:bookmarkStart w:id="81" w:name="_Toc211954949"/>
      <w:bookmarkStart w:id="82" w:name="_Toc327890968"/>
      <w:bookmarkStart w:id="83" w:name="_Toc329705817"/>
      <w:bookmarkStart w:id="84" w:name="_Toc329769989"/>
      <w:bookmarkStart w:id="85" w:name="_Toc43883251"/>
      <w:bookmarkStart w:id="86" w:name="_Toc292448209"/>
      <w:bookmarkStart w:id="87" w:name="_Toc292468858"/>
      <w:bookmarkStart w:id="88" w:name="_Toc293053341"/>
      <w:bookmarkStart w:id="89" w:name="_Toc293053390"/>
      <w:bookmarkStart w:id="90" w:name="_Toc293062771"/>
      <w:r>
        <w:t>Absence de conflit d’intérêts</w:t>
      </w:r>
      <w:bookmarkEnd w:id="81"/>
    </w:p>
    <w:p w14:paraId="2459193F" w14:textId="434E830E" w:rsidR="00B54ECA" w:rsidRPr="00B54ECA" w:rsidRDefault="00B54ECA" w:rsidP="00B54ECA">
      <w:pPr>
        <w:pStyle w:val="DCETexte"/>
      </w:pPr>
      <w:r w:rsidRPr="00B54ECA">
        <w:t xml:space="preserve">Le </w:t>
      </w:r>
      <w:r w:rsidR="006A544B">
        <w:t>titulaire</w:t>
      </w:r>
      <w:r w:rsidRPr="00B54ECA">
        <w:t xml:space="preserve"> s’assure que les personnes qu’il affecte à l’exécution du marché, en particulier pour </w:t>
      </w:r>
      <w:r w:rsidR="003E2A31">
        <w:t>la prestation forfaitaire mentionnée à l’article 6.2</w:t>
      </w:r>
      <w:r w:rsidR="00E706E4">
        <w:t>,</w:t>
      </w:r>
      <w:r w:rsidR="006D2558">
        <w:t xml:space="preserve"> </w:t>
      </w:r>
      <w:r w:rsidRPr="00B54ECA">
        <w:t xml:space="preserve">ne sont pas placées dans une situation de conflit d’intérêts avec </w:t>
      </w:r>
      <w:r w:rsidR="003E2A31">
        <w:t>la ou les sociétés candidates ou soumissionnaires</w:t>
      </w:r>
      <w:r w:rsidR="003D73EC">
        <w:t xml:space="preserve"> au marché public d’assurances du Sénat</w:t>
      </w:r>
      <w:r w:rsidRPr="00B54ECA">
        <w:t>.</w:t>
      </w:r>
    </w:p>
    <w:p w14:paraId="5CB35721" w14:textId="274E99F6" w:rsidR="00A00613" w:rsidRDefault="00C85BCF" w:rsidP="00B54ECA">
      <w:pPr>
        <w:pStyle w:val="DCETexte"/>
      </w:pPr>
      <w:r>
        <w:t>Dans une telle hypothèse, i</w:t>
      </w:r>
      <w:r w:rsidR="00A00613">
        <w:t xml:space="preserve">l en informe aussitôt le Sénat et procède sans délai au remplacement de la personne concernée par une personne, qu’il propose à l’agrément du directeur de la Logistique et des Moyens généraux, ayant une expérience et une qualification professionnelles au moins équivalentes. </w:t>
      </w:r>
    </w:p>
    <w:p w14:paraId="6BC1F500" w14:textId="32E05902" w:rsidR="00323600" w:rsidRDefault="008C5BF3" w:rsidP="00B54ECA">
      <w:pPr>
        <w:pStyle w:val="DCETexte"/>
      </w:pPr>
      <w:r>
        <w:t>Plus généralement, i</w:t>
      </w:r>
      <w:r w:rsidR="00B54ECA" w:rsidRPr="00B54ECA">
        <w:t>l informe le Sénat</w:t>
      </w:r>
      <w:r w:rsidR="00A00613" w:rsidRPr="00B54ECA">
        <w:t xml:space="preserve"> </w:t>
      </w:r>
      <w:r w:rsidR="00B54ECA" w:rsidRPr="00B54ECA">
        <w:t>de tout lien, passé ou présent, de</w:t>
      </w:r>
      <w:r w:rsidR="00A00613">
        <w:t xml:space="preserve">s personnels qu’il affecte au </w:t>
      </w:r>
      <w:r w:rsidR="003D73EC">
        <w:t xml:space="preserve">présent </w:t>
      </w:r>
      <w:r w:rsidR="00A00613">
        <w:t>marché</w:t>
      </w:r>
      <w:r w:rsidR="00B54ECA" w:rsidRPr="00B54ECA">
        <w:t xml:space="preserve"> avec les sociétés susceptibles de se porter candidates</w:t>
      </w:r>
      <w:r w:rsidR="003D73EC">
        <w:t xml:space="preserve"> au marché public d’assurances du Sénat</w:t>
      </w:r>
      <w:r w:rsidR="00B54ECA" w:rsidRPr="00B54ECA">
        <w:t>.</w:t>
      </w:r>
      <w:r w:rsidR="00A00613">
        <w:t xml:space="preserve"> </w:t>
      </w:r>
      <w:r w:rsidR="00AC1D4E">
        <w:t>Le cas échéant, i</w:t>
      </w:r>
      <w:r w:rsidR="00A00613">
        <w:t>l procède à leur remplacement dans les conditions précisées à l’alinéa précédent.</w:t>
      </w:r>
    </w:p>
    <w:p w14:paraId="13A9A30D" w14:textId="6401FC63" w:rsidR="00323600" w:rsidRPr="003B3E68" w:rsidRDefault="00323600" w:rsidP="009941D3">
      <w:pPr>
        <w:pStyle w:val="DCETitre2"/>
      </w:pPr>
      <w:bookmarkStart w:id="91" w:name="_Toc211954950"/>
      <w:r w:rsidRPr="003B3E68">
        <w:t>Permanence du personnel affecté à l’exécution du marché</w:t>
      </w:r>
      <w:bookmarkEnd w:id="91"/>
    </w:p>
    <w:p w14:paraId="3B3C59C7" w14:textId="6450D559" w:rsidR="00323600" w:rsidRDefault="00AF1B24" w:rsidP="00323600">
      <w:pPr>
        <w:pStyle w:val="DCETexte"/>
      </w:pPr>
      <w:r>
        <w:t>L</w:t>
      </w:r>
      <w:r w:rsidR="00E85EDE">
        <w:t xml:space="preserve">e </w:t>
      </w:r>
      <w:r w:rsidR="006A544B">
        <w:t>titulaire</w:t>
      </w:r>
      <w:r w:rsidR="00E85EDE">
        <w:t xml:space="preserve"> met à la disposition du Sénat une équipe stable qui assurera la conduite des prestations pendant toute la durée d’exécution du marché. Il s’assure en particulier de la désignation d’un interlocuteur permanent du Sénat pour la conduite de la mission et met tous les moyens en œuvre pour garantir la pérennité de cet interlocuteur tout au long du marché. </w:t>
      </w:r>
    </w:p>
    <w:p w14:paraId="78BB29E6" w14:textId="238B15F5" w:rsidR="00E85EDE" w:rsidRPr="00B54ECA" w:rsidRDefault="00E85EDE" w:rsidP="00323600">
      <w:pPr>
        <w:pStyle w:val="DCETexte"/>
      </w:pPr>
      <w:r>
        <w:t xml:space="preserve">En cas de modification, à titre exceptionnel, de la composition de l’équipe dédiée aux prestations, le titulaire devra proposer à l’agrément du Sénat un remplaçant d’expérience et </w:t>
      </w:r>
      <w:r>
        <w:lastRenderedPageBreak/>
        <w:t>de qualification au moins équivalentes. En cas de refus dûment motivé du Sénat, le titulaire disposera d’un délai de dix jours pour lui proposer un remplaçant, dans les mêmes conditions.</w:t>
      </w:r>
    </w:p>
    <w:p w14:paraId="239DDC97" w14:textId="5FE2C7EC" w:rsidR="004A1A52" w:rsidRPr="009941D3" w:rsidRDefault="004A1A52" w:rsidP="009941D3">
      <w:pPr>
        <w:pStyle w:val="DCETitre2"/>
      </w:pPr>
      <w:bookmarkStart w:id="92" w:name="_Toc211954951"/>
      <w:r w:rsidRPr="009941D3">
        <w:t>Obligation d</w:t>
      </w:r>
      <w:r w:rsidR="004A33D1" w:rsidRPr="009941D3">
        <w:t>’</w:t>
      </w:r>
      <w:r w:rsidRPr="009941D3">
        <w:t>information</w:t>
      </w:r>
      <w:bookmarkEnd w:id="92"/>
    </w:p>
    <w:p w14:paraId="319ABB06" w14:textId="33EA8596" w:rsidR="006077AB" w:rsidRDefault="006077AB" w:rsidP="004906D4">
      <w:pPr>
        <w:jc w:val="both"/>
      </w:pPr>
      <w:r w:rsidRPr="00735121">
        <w:t xml:space="preserve">Le </w:t>
      </w:r>
      <w:r w:rsidR="006A544B">
        <w:t>titulaire</w:t>
      </w:r>
      <w:r w:rsidRPr="00735121">
        <w:t xml:space="preserve"> est tenu de signaler </w:t>
      </w:r>
      <w:r w:rsidR="001C3003">
        <w:t>au Sénat</w:t>
      </w:r>
      <w:r w:rsidRPr="00735121">
        <w:t xml:space="preserve"> tous les éléments qui lui paraissent de nature à compromettre la bonne exécution des prestations.</w:t>
      </w:r>
    </w:p>
    <w:p w14:paraId="41D09CB6" w14:textId="56A0CC39" w:rsidR="00AF1B24" w:rsidRPr="00735121" w:rsidRDefault="00AF1B24" w:rsidP="00AF1B24">
      <w:pPr>
        <w:pStyle w:val="DCETexte"/>
      </w:pPr>
      <w:r>
        <w:t>En outre, l</w:t>
      </w:r>
      <w:r w:rsidRPr="00735121">
        <w:t xml:space="preserve">e </w:t>
      </w:r>
      <w:r w:rsidR="006A544B">
        <w:t>titulaire</w:t>
      </w:r>
      <w:r w:rsidRPr="00735121">
        <w:t xml:space="preserve"> informe immédiatement le Sénat de toute procédure de sauvegarde, de redressement ou de liquidation judiciaires qui seraient mise en œuvre à son encontre. </w:t>
      </w:r>
    </w:p>
    <w:p w14:paraId="7B18DA30" w14:textId="2448CEC0" w:rsidR="00AF1B24" w:rsidRPr="00735121" w:rsidRDefault="00AF1B24" w:rsidP="00AF1B24">
      <w:pPr>
        <w:pStyle w:val="DCETexte"/>
      </w:pPr>
      <w:r w:rsidRPr="00735121">
        <w:t xml:space="preserve">De même et afin que soient prises les dispositions nécessaires pour assurer la continuité de l’exécution des prestations, le </w:t>
      </w:r>
      <w:r w:rsidR="006A544B">
        <w:t>titulaire</w:t>
      </w:r>
      <w:r w:rsidRPr="00735121">
        <w:t xml:space="preserve"> informe le Sénat, dans les meilleurs délais, des modifications affectant son statut (fusion, cession, changement de forme juridique, de raison sociale, etc.). En cas de modification de sa personnalité juridique et conformément à </w:t>
      </w:r>
      <w:r w:rsidR="00E82AB4" w:rsidRPr="00735121">
        <w:t>l’article</w:t>
      </w:r>
      <w:r w:rsidR="00E82AB4">
        <w:t> </w:t>
      </w:r>
      <w:r w:rsidRPr="00735121">
        <w:t xml:space="preserve">R. 2194-6 du code de la commande publique, le </w:t>
      </w:r>
      <w:r w:rsidR="006A544B">
        <w:t>titulaire</w:t>
      </w:r>
      <w:r w:rsidRPr="00735121">
        <w:t xml:space="preserve"> sollicite l’accord préalable du Sénat sur le transfert à la nouvelle entité des droits et obligations découlant du présent marché. Cette nouvelle entité devra présenter les capacités économiques et professionnelles requises pour assurer la bonne exécution du marché, ce dont le </w:t>
      </w:r>
      <w:r w:rsidR="006A544B">
        <w:t>titulaire</w:t>
      </w:r>
      <w:r w:rsidRPr="00735121">
        <w:t xml:space="preserve"> demeurera en toute hypothèse garant solidaire auprès du Sénat pendant la durée du marché restant à courir jusqu’à son terme.</w:t>
      </w:r>
    </w:p>
    <w:p w14:paraId="14040531" w14:textId="4BC05DA5" w:rsidR="004C1958" w:rsidRPr="00735121" w:rsidRDefault="004C1958" w:rsidP="00881CB6">
      <w:pPr>
        <w:pStyle w:val="DCETitre2"/>
      </w:pPr>
      <w:bookmarkStart w:id="93" w:name="_Toc43883252"/>
      <w:bookmarkStart w:id="94" w:name="_Toc211954952"/>
      <w:r w:rsidRPr="00735121">
        <w:t xml:space="preserve">Obligation de </w:t>
      </w:r>
      <w:r w:rsidR="00427E36" w:rsidRPr="00735121">
        <w:t xml:space="preserve">neutralité, de discrétion et de </w:t>
      </w:r>
      <w:r w:rsidRPr="00735121">
        <w:t>confidentialité</w:t>
      </w:r>
      <w:bookmarkEnd w:id="93"/>
      <w:r w:rsidR="00427E36" w:rsidRPr="00735121">
        <w:t xml:space="preserve"> professionnelles</w:t>
      </w:r>
      <w:r w:rsidRPr="00735121">
        <w:t xml:space="preserve"> – interdiction de publicité</w:t>
      </w:r>
      <w:bookmarkEnd w:id="94"/>
      <w:r w:rsidRPr="00735121">
        <w:t xml:space="preserve"> </w:t>
      </w:r>
    </w:p>
    <w:p w14:paraId="7947E8CA" w14:textId="6AEFC666" w:rsidR="004C1958" w:rsidRPr="00735121" w:rsidRDefault="004C1958" w:rsidP="004C1958">
      <w:pPr>
        <w:pStyle w:val="DCETexte"/>
      </w:pPr>
      <w:r w:rsidRPr="00735121">
        <w:t xml:space="preserve">Le </w:t>
      </w:r>
      <w:r w:rsidR="006A544B">
        <w:t>titulaire</w:t>
      </w:r>
      <w:r w:rsidRPr="00735121">
        <w:t xml:space="preserve"> </w:t>
      </w:r>
      <w:r w:rsidR="001C3003">
        <w:t>est</w:t>
      </w:r>
      <w:r w:rsidRPr="00735121">
        <w:t xml:space="preserve"> tenu à une stricte obligation de</w:t>
      </w:r>
      <w:r w:rsidR="00427E36" w:rsidRPr="00735121">
        <w:t xml:space="preserve"> neutralité, de</w:t>
      </w:r>
      <w:r w:rsidRPr="00735121">
        <w:t xml:space="preserve"> discrétion et de confidentialité professionnelles. Il ne peut communiquer </w:t>
      </w:r>
      <w:r w:rsidR="00AE52D8" w:rsidRPr="00735121">
        <w:t xml:space="preserve">à des personnes étrangères au marché </w:t>
      </w:r>
      <w:r w:rsidRPr="00735121">
        <w:t>aucun renseignement</w:t>
      </w:r>
      <w:r w:rsidR="00427E36" w:rsidRPr="00735121">
        <w:t>,</w:t>
      </w:r>
      <w:r w:rsidR="006077AB" w:rsidRPr="00735121">
        <w:t xml:space="preserve"> document </w:t>
      </w:r>
      <w:r w:rsidR="00427E36" w:rsidRPr="00735121">
        <w:t>ou</w:t>
      </w:r>
      <w:r w:rsidR="006077AB" w:rsidRPr="00735121">
        <w:t xml:space="preserve"> plans</w:t>
      </w:r>
      <w:r w:rsidRPr="00735121">
        <w:t xml:space="preserve"> concernant le</w:t>
      </w:r>
      <w:r w:rsidR="00793460" w:rsidRPr="00735121">
        <w:t>s</w:t>
      </w:r>
      <w:r w:rsidRPr="00735121">
        <w:t xml:space="preserve"> </w:t>
      </w:r>
      <w:r w:rsidR="00793460" w:rsidRPr="00735121">
        <w:t>contrats ou</w:t>
      </w:r>
      <w:r w:rsidRPr="00735121">
        <w:t xml:space="preserve"> les faits et informations dont il aurait eu connaissance à l</w:t>
      </w:r>
      <w:r w:rsidR="004A33D1" w:rsidRPr="00735121">
        <w:t>’</w:t>
      </w:r>
      <w:r w:rsidRPr="00735121">
        <w:t>occasion de son exécution. Toute demande d</w:t>
      </w:r>
      <w:r w:rsidR="004A33D1" w:rsidRPr="00735121">
        <w:t>’</w:t>
      </w:r>
      <w:r w:rsidRPr="00735121">
        <w:t>un tiers, y compris de la presse, relative aux prestations fournies doit être transmise au Sénat.</w:t>
      </w:r>
    </w:p>
    <w:p w14:paraId="56BA82DF" w14:textId="400DD92A" w:rsidR="004C1958" w:rsidRPr="00735121" w:rsidRDefault="004C1958" w:rsidP="004C1958">
      <w:pPr>
        <w:pStyle w:val="DCETexte"/>
      </w:pPr>
      <w:r w:rsidRPr="00735121">
        <w:t>Il est interdit au titulaire de faire une quelconque publicité sur les prestations faisant l</w:t>
      </w:r>
      <w:r w:rsidR="004A33D1" w:rsidRPr="00735121">
        <w:t>’</w:t>
      </w:r>
      <w:r w:rsidRPr="00735121">
        <w:t>objet du marché sans autorisation préalable du Sénat.</w:t>
      </w:r>
    </w:p>
    <w:p w14:paraId="4F1D531E" w14:textId="6C17FE6E" w:rsidR="004A1A52" w:rsidRDefault="006077AB" w:rsidP="008717C4">
      <w:pPr>
        <w:pStyle w:val="DCETexte"/>
      </w:pPr>
      <w:r w:rsidRPr="00735121">
        <w:t xml:space="preserve">La violation </w:t>
      </w:r>
      <w:r w:rsidR="00427E36" w:rsidRPr="00735121">
        <w:t xml:space="preserve">par le titulaire </w:t>
      </w:r>
      <w:r w:rsidRPr="00735121">
        <w:t xml:space="preserve">de </w:t>
      </w:r>
      <w:r w:rsidR="00427E36" w:rsidRPr="00735121">
        <w:t xml:space="preserve">ces obligations </w:t>
      </w:r>
      <w:r w:rsidRPr="00735121">
        <w:t xml:space="preserve">de </w:t>
      </w:r>
      <w:r w:rsidR="00427E36" w:rsidRPr="00735121">
        <w:t xml:space="preserve">neutralité, de discrétion et de </w:t>
      </w:r>
      <w:r w:rsidRPr="00735121">
        <w:t xml:space="preserve">confidentialité </w:t>
      </w:r>
      <w:r w:rsidR="00427E36" w:rsidRPr="00735121">
        <w:t xml:space="preserve">professionnelles, qui constituent des obligations substantielles du présent marché, </w:t>
      </w:r>
      <w:r w:rsidRPr="00735121">
        <w:t>peut entraîner la résiliation du marché à ses torts.</w:t>
      </w:r>
    </w:p>
    <w:p w14:paraId="7B533E1A" w14:textId="77777777" w:rsidR="001C353D" w:rsidRPr="002C204E" w:rsidRDefault="001C353D" w:rsidP="001C353D">
      <w:pPr>
        <w:pStyle w:val="DCEArticle"/>
        <w:ind w:left="0"/>
      </w:pPr>
      <w:bookmarkStart w:id="95" w:name="_Toc231026701"/>
      <w:bookmarkStart w:id="96" w:name="_Toc236020556"/>
      <w:bookmarkStart w:id="97" w:name="_Toc242179746"/>
      <w:bookmarkStart w:id="98" w:name="_Toc327459795"/>
      <w:bookmarkStart w:id="99" w:name="_Toc333566309"/>
      <w:bookmarkStart w:id="100" w:name="_Toc211954953"/>
      <w:r>
        <w:t>PROPRIÉTÉ INTELLECTUELLE</w:t>
      </w:r>
      <w:bookmarkEnd w:id="95"/>
      <w:bookmarkEnd w:id="96"/>
      <w:bookmarkEnd w:id="97"/>
      <w:bookmarkEnd w:id="98"/>
      <w:bookmarkEnd w:id="99"/>
      <w:bookmarkEnd w:id="100"/>
    </w:p>
    <w:p w14:paraId="43825625" w14:textId="6ED388D2" w:rsidR="001C353D" w:rsidRDefault="001C353D" w:rsidP="001C353D">
      <w:pPr>
        <w:widowControl/>
        <w:jc w:val="both"/>
      </w:pPr>
      <w:r w:rsidRPr="00EE34C9">
        <w:t xml:space="preserve">Les règles relatives à l’utilisation des résultats sont définies </w:t>
      </w:r>
      <w:r>
        <w:t xml:space="preserve">conformément à l’article </w:t>
      </w:r>
      <w:r w:rsidR="00E82AB4">
        <w:t>35 </w:t>
      </w:r>
      <w:r>
        <w:t>du CCAG-PI</w:t>
      </w:r>
      <w:r w:rsidRPr="00EE34C9">
        <w:t xml:space="preserve">. </w:t>
      </w:r>
    </w:p>
    <w:p w14:paraId="7A2F9617" w14:textId="77777777" w:rsidR="001C353D" w:rsidRPr="00EE34C9" w:rsidRDefault="001C353D" w:rsidP="001C353D">
      <w:pPr>
        <w:widowControl/>
        <w:jc w:val="both"/>
      </w:pPr>
    </w:p>
    <w:p w14:paraId="0E9DE998" w14:textId="4434C944" w:rsidR="001C353D" w:rsidRPr="00982194" w:rsidRDefault="001C353D" w:rsidP="001C353D">
      <w:pPr>
        <w:widowControl/>
        <w:jc w:val="both"/>
      </w:pPr>
      <w:r>
        <w:t>Toutefois, en application des stipulations de l’article 35.2.1 du CCAG-PI et compte tenu de la confidentialité des résultats et des informations transmises à cette fin au titulaire, celui-ci</w:t>
      </w:r>
      <w:r w:rsidRPr="00EE34C9">
        <w:t xml:space="preserve"> cède au Sénat, à titre exclusif, sans limitation de territoire, pour toute la durée légale de protection, l’ensemble des droits </w:t>
      </w:r>
      <w:r>
        <w:t xml:space="preserve">de toute </w:t>
      </w:r>
      <w:proofErr w:type="gramStart"/>
      <w:r>
        <w:t>nature</w:t>
      </w:r>
      <w:r w:rsidRPr="00EE34C9">
        <w:t xml:space="preserve"> af</w:t>
      </w:r>
      <w:r w:rsidRPr="00982194">
        <w:t>férents</w:t>
      </w:r>
      <w:proofErr w:type="gramEnd"/>
      <w:r w:rsidRPr="00982194">
        <w:t xml:space="preserve"> aux prestations du marché. Le prix de cession de ces droits est inclus forfaitairement dans le prix proposé par le titulaire à </w:t>
      </w:r>
      <w:r w:rsidR="00A10753" w:rsidRPr="00982194">
        <w:t>l’article</w:t>
      </w:r>
      <w:r w:rsidR="00A10753">
        <w:t> </w:t>
      </w:r>
      <w:r w:rsidRPr="00982194">
        <w:t>6 de l’acte d’engagement.</w:t>
      </w:r>
    </w:p>
    <w:p w14:paraId="5B171BCC" w14:textId="77777777" w:rsidR="001C353D" w:rsidRPr="00982194" w:rsidRDefault="001C353D" w:rsidP="001C353D">
      <w:pPr>
        <w:widowControl/>
        <w:jc w:val="both"/>
      </w:pPr>
    </w:p>
    <w:p w14:paraId="6C6620CB" w14:textId="26E35752" w:rsidR="001C353D" w:rsidRPr="00735121" w:rsidRDefault="001C353D" w:rsidP="001C353D">
      <w:pPr>
        <w:widowControl/>
        <w:jc w:val="both"/>
      </w:pPr>
      <w:r w:rsidRPr="00982194">
        <w:t xml:space="preserve">Compte tenu de l’exclusivité de la cession, le titulaire ne peut ni publier ni exploiter les résultats du marché. </w:t>
      </w:r>
    </w:p>
    <w:p w14:paraId="582711B3" w14:textId="49A45A93" w:rsidR="00283F93" w:rsidRPr="00935476" w:rsidRDefault="00283F93" w:rsidP="005D3609">
      <w:pPr>
        <w:pStyle w:val="DCEArticle"/>
        <w:keepNext w:val="0"/>
        <w:keepLines w:val="0"/>
        <w:widowControl w:val="0"/>
        <w:ind w:left="0"/>
      </w:pPr>
      <w:bookmarkStart w:id="101" w:name="_Toc333566310"/>
      <w:bookmarkStart w:id="102" w:name="_Ref180594439"/>
      <w:bookmarkStart w:id="103" w:name="_Toc211954954"/>
      <w:bookmarkEnd w:id="82"/>
      <w:bookmarkEnd w:id="83"/>
      <w:bookmarkEnd w:id="84"/>
      <w:bookmarkEnd w:id="85"/>
      <w:bookmarkEnd w:id="86"/>
      <w:bookmarkEnd w:id="87"/>
      <w:bookmarkEnd w:id="88"/>
      <w:bookmarkEnd w:id="89"/>
      <w:bookmarkEnd w:id="90"/>
      <w:r w:rsidRPr="00935476">
        <w:lastRenderedPageBreak/>
        <w:t>p</w:t>
      </w:r>
      <w:r w:rsidR="004906D4" w:rsidRPr="00935476">
        <w:t>é</w:t>
      </w:r>
      <w:r w:rsidRPr="00935476">
        <w:t>nalit</w:t>
      </w:r>
      <w:r w:rsidR="004906D4" w:rsidRPr="00935476">
        <w:t>é</w:t>
      </w:r>
      <w:r w:rsidRPr="00935476">
        <w:t>s</w:t>
      </w:r>
      <w:bookmarkEnd w:id="101"/>
      <w:bookmarkEnd w:id="102"/>
      <w:bookmarkEnd w:id="103"/>
    </w:p>
    <w:p w14:paraId="6DDEF0CB" w14:textId="01677C6A" w:rsidR="00375387" w:rsidRPr="001C353D" w:rsidRDefault="00375387" w:rsidP="004C1958">
      <w:pPr>
        <w:pStyle w:val="DCETexte"/>
      </w:pPr>
      <w:r w:rsidRPr="00935476">
        <w:t xml:space="preserve">Le présent article </w:t>
      </w:r>
      <w:r w:rsidRPr="001C353D">
        <w:t>déroge aux stipulations de</w:t>
      </w:r>
      <w:r w:rsidR="00C520A7" w:rsidRPr="001C353D">
        <w:t xml:space="preserve"> l’</w:t>
      </w:r>
      <w:r w:rsidRPr="001C353D">
        <w:t>article 14</w:t>
      </w:r>
      <w:r w:rsidR="00173192" w:rsidRPr="001C353D">
        <w:t xml:space="preserve"> </w:t>
      </w:r>
      <w:r w:rsidRPr="001C353D">
        <w:t>du CCAG-</w:t>
      </w:r>
      <w:r w:rsidR="00C520A7" w:rsidRPr="001C353D">
        <w:t>PI</w:t>
      </w:r>
      <w:r w:rsidRPr="001C353D">
        <w:t>.</w:t>
      </w:r>
    </w:p>
    <w:p w14:paraId="1CC883C0" w14:textId="77777777" w:rsidR="00A67079" w:rsidRPr="00935476" w:rsidRDefault="00A67079" w:rsidP="004C1958">
      <w:pPr>
        <w:pStyle w:val="DCETexte"/>
      </w:pPr>
      <w:r w:rsidRPr="00935476">
        <w:t>Les pénalités ne sont pas assujetties à la TVA.</w:t>
      </w:r>
    </w:p>
    <w:p w14:paraId="537314B8" w14:textId="3A0D6E6A" w:rsidR="009F2B3B" w:rsidRPr="00935476" w:rsidRDefault="002A51FE" w:rsidP="004C1958">
      <w:pPr>
        <w:pStyle w:val="DCETexte"/>
      </w:pPr>
      <w:r w:rsidRPr="00935476">
        <w:t>En cas de défaillance dans l</w:t>
      </w:r>
      <w:r w:rsidR="004A33D1" w:rsidRPr="00935476">
        <w:t>’</w:t>
      </w:r>
      <w:r w:rsidRPr="00935476">
        <w:t xml:space="preserve">exécution des prestations telles que prévues dans les pièces du marché et, </w:t>
      </w:r>
      <w:r w:rsidRPr="001C353D">
        <w:t xml:space="preserve">par dérogation </w:t>
      </w:r>
      <w:r w:rsidR="00C520A7" w:rsidRPr="001C353D">
        <w:t>à l’</w:t>
      </w:r>
      <w:r w:rsidRPr="001C353D">
        <w:t>article</w:t>
      </w:r>
      <w:r w:rsidR="000F6B7B" w:rsidRPr="001C353D">
        <w:t> </w:t>
      </w:r>
      <w:r w:rsidR="00817EFE" w:rsidRPr="001C353D">
        <w:t>14</w:t>
      </w:r>
      <w:r w:rsidR="00B84ED1" w:rsidRPr="001C353D">
        <w:t>.</w:t>
      </w:r>
      <w:r w:rsidR="00817EFE" w:rsidRPr="001C353D">
        <w:t xml:space="preserve">1 </w:t>
      </w:r>
      <w:r w:rsidRPr="001C353D">
        <w:t>du CCAG-</w:t>
      </w:r>
      <w:r w:rsidR="00C520A7" w:rsidRPr="001C353D">
        <w:t>PI</w:t>
      </w:r>
      <w:r w:rsidRPr="001C353D">
        <w:t xml:space="preserve"> les pénalités</w:t>
      </w:r>
      <w:r w:rsidRPr="00935476">
        <w:t xml:space="preserve"> </w:t>
      </w:r>
      <w:r w:rsidR="001C353D">
        <w:t>peuvent</w:t>
      </w:r>
      <w:r w:rsidR="00A05D60" w:rsidRPr="00935476">
        <w:t xml:space="preserve"> être </w:t>
      </w:r>
      <w:r w:rsidRPr="00935476">
        <w:t xml:space="preserve">mises en œuvre </w:t>
      </w:r>
      <w:r w:rsidR="00A67079" w:rsidRPr="00935476">
        <w:t>par l</w:t>
      </w:r>
      <w:r w:rsidR="000A1102" w:rsidRPr="00935476">
        <w:t xml:space="preserve">e directeur </w:t>
      </w:r>
      <w:r w:rsidR="00A67079" w:rsidRPr="00935476">
        <w:t xml:space="preserve">de la Logistique et des Moyens généraux sur simple constat du manquement et </w:t>
      </w:r>
      <w:r w:rsidRPr="00935476">
        <w:t>sans mise en demeure préalable</w:t>
      </w:r>
      <w:r w:rsidR="009F2B3B" w:rsidRPr="00935476">
        <w:t>.</w:t>
      </w:r>
    </w:p>
    <w:p w14:paraId="00EECAFD" w14:textId="76ACCF43" w:rsidR="002A51FE" w:rsidRDefault="009F2B3B" w:rsidP="004C1958">
      <w:pPr>
        <w:pStyle w:val="DCETexte"/>
      </w:pPr>
      <w:r w:rsidRPr="00935476">
        <w:t xml:space="preserve">Elles </w:t>
      </w:r>
      <w:r w:rsidR="002A51FE" w:rsidRPr="00935476">
        <w:t>sont présentées dans le tableau</w:t>
      </w:r>
      <w:r w:rsidR="00D244AA" w:rsidRPr="00935476">
        <w:t xml:space="preserve"> ci</w:t>
      </w:r>
      <w:r w:rsidR="00D244AA" w:rsidRPr="00935476">
        <w:noBreakHyphen/>
      </w:r>
      <w:r w:rsidR="002A51FE" w:rsidRPr="00935476">
        <w:t>après.</w:t>
      </w:r>
    </w:p>
    <w:p w14:paraId="5E98452F" w14:textId="77777777" w:rsidR="006A544B" w:rsidRPr="00935476" w:rsidRDefault="006A544B" w:rsidP="004C1958">
      <w:pPr>
        <w:pStyle w:val="DCETexte"/>
      </w:pPr>
    </w:p>
    <w:tbl>
      <w:tblPr>
        <w:tblStyle w:val="Grilledutableau"/>
        <w:tblW w:w="8789" w:type="dxa"/>
        <w:tblInd w:w="108" w:type="dxa"/>
        <w:tblLook w:val="04A0" w:firstRow="1" w:lastRow="0" w:firstColumn="1" w:lastColumn="0" w:noHBand="0" w:noVBand="1"/>
      </w:tblPr>
      <w:tblGrid>
        <w:gridCol w:w="4962"/>
        <w:gridCol w:w="3827"/>
      </w:tblGrid>
      <w:tr w:rsidR="00F8643F" w:rsidRPr="00935476" w14:paraId="36531073" w14:textId="77777777" w:rsidTr="007F634D">
        <w:trPr>
          <w:cantSplit/>
          <w:trHeight w:val="20"/>
          <w:tblHeader/>
        </w:trPr>
        <w:tc>
          <w:tcPr>
            <w:tcW w:w="4962" w:type="dxa"/>
            <w:vAlign w:val="center"/>
          </w:tcPr>
          <w:p w14:paraId="2EBE69A8" w14:textId="77777777" w:rsidR="00F8643F" w:rsidRPr="00935476" w:rsidRDefault="00215A35" w:rsidP="007F634D">
            <w:pPr>
              <w:pStyle w:val="DCETexte"/>
              <w:widowControl w:val="0"/>
              <w:spacing w:before="240" w:after="240"/>
              <w:jc w:val="center"/>
              <w:outlineLvl w:val="0"/>
              <w:rPr>
                <w:b/>
              </w:rPr>
            </w:pPr>
            <w:r w:rsidRPr="00935476">
              <w:rPr>
                <w:b/>
              </w:rPr>
              <w:t>Manquements</w:t>
            </w:r>
          </w:p>
        </w:tc>
        <w:tc>
          <w:tcPr>
            <w:tcW w:w="3827" w:type="dxa"/>
            <w:vAlign w:val="center"/>
          </w:tcPr>
          <w:p w14:paraId="59E80D4C" w14:textId="77777777" w:rsidR="00F8643F" w:rsidRPr="00935476" w:rsidRDefault="00F8643F" w:rsidP="007F634D">
            <w:pPr>
              <w:pStyle w:val="DCETexte"/>
              <w:keepNext/>
              <w:keepLines/>
              <w:spacing w:before="60" w:after="60"/>
              <w:jc w:val="center"/>
              <w:rPr>
                <w:b/>
              </w:rPr>
            </w:pPr>
            <w:r w:rsidRPr="00935476">
              <w:rPr>
                <w:b/>
              </w:rPr>
              <w:t>Pénalités</w:t>
            </w:r>
            <w:r w:rsidR="009F2B3B" w:rsidRPr="00935476">
              <w:rPr>
                <w:i/>
              </w:rPr>
              <w:t xml:space="preserve"> (par manquement ou par jour de retard)</w:t>
            </w:r>
          </w:p>
        </w:tc>
      </w:tr>
      <w:tr w:rsidR="006A544B" w:rsidRPr="00935476" w14:paraId="25052958" w14:textId="77777777" w:rsidTr="001C353D">
        <w:trPr>
          <w:cantSplit/>
          <w:trHeight w:val="567"/>
        </w:trPr>
        <w:tc>
          <w:tcPr>
            <w:tcW w:w="4962" w:type="dxa"/>
            <w:vAlign w:val="center"/>
          </w:tcPr>
          <w:p w14:paraId="3AA119FD" w14:textId="4B13C8F2" w:rsidR="006A544B" w:rsidRPr="00935476" w:rsidRDefault="006A544B" w:rsidP="006A544B">
            <w:pPr>
              <w:pStyle w:val="DCETexte"/>
              <w:widowControl w:val="0"/>
              <w:spacing w:before="360" w:after="240"/>
              <w:jc w:val="left"/>
              <w:outlineLvl w:val="0"/>
            </w:pPr>
            <w:r w:rsidRPr="00281EE1">
              <w:rPr>
                <w:bCs/>
              </w:rPr>
              <w:t>Non-respect de l’obligation de déclarer l’existence d’un conflit d’intérêts</w:t>
            </w:r>
            <w:r>
              <w:rPr>
                <w:bCs/>
              </w:rPr>
              <w:t xml:space="preserve"> ou </w:t>
            </w:r>
            <w:r w:rsidRPr="00132320">
              <w:t>d’une obligation de neutralité, de discrétion et de confidentialité professionnelles ou d’interdiction de publicité</w:t>
            </w:r>
          </w:p>
        </w:tc>
        <w:tc>
          <w:tcPr>
            <w:tcW w:w="3827" w:type="dxa"/>
            <w:vAlign w:val="center"/>
          </w:tcPr>
          <w:p w14:paraId="516EDC45" w14:textId="57D67B91" w:rsidR="006A544B" w:rsidRPr="00935476" w:rsidRDefault="006A544B" w:rsidP="006A544B">
            <w:pPr>
              <w:pStyle w:val="DCETexte"/>
              <w:keepNext/>
              <w:keepLines/>
              <w:spacing w:before="60" w:after="60"/>
              <w:jc w:val="center"/>
            </w:pPr>
            <w:r w:rsidRPr="00281EE1">
              <w:rPr>
                <w:bCs/>
              </w:rPr>
              <w:t>2</w:t>
            </w:r>
            <w:r w:rsidR="00E82AB4">
              <w:rPr>
                <w:bCs/>
              </w:rPr>
              <w:t> </w:t>
            </w:r>
            <w:r w:rsidR="00E82AB4" w:rsidRPr="00281EE1">
              <w:rPr>
                <w:bCs/>
              </w:rPr>
              <w:t>500</w:t>
            </w:r>
            <w:r w:rsidR="00E82AB4">
              <w:rPr>
                <w:bCs/>
              </w:rPr>
              <w:t> </w:t>
            </w:r>
            <w:r w:rsidRPr="00281EE1">
              <w:rPr>
                <w:bCs/>
              </w:rPr>
              <w:t>euros par manquement</w:t>
            </w:r>
          </w:p>
        </w:tc>
      </w:tr>
      <w:tr w:rsidR="00C85BCF" w:rsidRPr="00935476" w14:paraId="34556196" w14:textId="77777777" w:rsidTr="001C353D">
        <w:trPr>
          <w:cantSplit/>
          <w:trHeight w:val="567"/>
        </w:trPr>
        <w:tc>
          <w:tcPr>
            <w:tcW w:w="4962" w:type="dxa"/>
            <w:vAlign w:val="center"/>
          </w:tcPr>
          <w:p w14:paraId="2C5C8A91" w14:textId="190D41E6" w:rsidR="00C85BCF" w:rsidRPr="00281EE1" w:rsidRDefault="00C85BCF" w:rsidP="006A544B">
            <w:pPr>
              <w:pStyle w:val="DCETexte"/>
              <w:widowControl w:val="0"/>
              <w:spacing w:before="360" w:after="240"/>
              <w:jc w:val="left"/>
              <w:outlineLvl w:val="0"/>
              <w:rPr>
                <w:bCs/>
              </w:rPr>
            </w:pPr>
            <w:r>
              <w:rPr>
                <w:bCs/>
              </w:rPr>
              <w:t>Sous-traitance non déclarée</w:t>
            </w:r>
          </w:p>
        </w:tc>
        <w:tc>
          <w:tcPr>
            <w:tcW w:w="3827" w:type="dxa"/>
            <w:vAlign w:val="center"/>
          </w:tcPr>
          <w:p w14:paraId="753CB0BE" w14:textId="242D5EF9" w:rsidR="00C85BCF" w:rsidRPr="00281EE1" w:rsidRDefault="00C85BCF" w:rsidP="006A544B">
            <w:pPr>
              <w:pStyle w:val="DCETexte"/>
              <w:keepNext/>
              <w:keepLines/>
              <w:spacing w:before="60" w:after="60"/>
              <w:jc w:val="center"/>
              <w:rPr>
                <w:bCs/>
              </w:rPr>
            </w:pPr>
            <w:r>
              <w:rPr>
                <w:bCs/>
              </w:rPr>
              <w:t>2000 euros par manquement</w:t>
            </w:r>
          </w:p>
        </w:tc>
      </w:tr>
      <w:tr w:rsidR="006A544B" w:rsidRPr="00935476" w14:paraId="6584D346" w14:textId="77777777" w:rsidTr="001C353D">
        <w:trPr>
          <w:cantSplit/>
          <w:trHeight w:val="567"/>
        </w:trPr>
        <w:tc>
          <w:tcPr>
            <w:tcW w:w="4962" w:type="dxa"/>
            <w:vAlign w:val="center"/>
          </w:tcPr>
          <w:p w14:paraId="399257DB" w14:textId="3119CB61" w:rsidR="006A544B" w:rsidRPr="00935476" w:rsidDel="00D57C6B" w:rsidRDefault="006A544B" w:rsidP="006A544B">
            <w:pPr>
              <w:pStyle w:val="DCETexte"/>
              <w:widowControl w:val="0"/>
              <w:spacing w:before="360" w:after="240"/>
              <w:jc w:val="left"/>
              <w:outlineLvl w:val="0"/>
              <w:rPr>
                <w:b/>
              </w:rPr>
            </w:pPr>
            <w:r w:rsidRPr="00935476">
              <w:t xml:space="preserve">Non production, dans les délais prévus au calendrier mentionné à </w:t>
            </w:r>
            <w:r w:rsidR="00A10753" w:rsidRPr="00935476">
              <w:t>l’article</w:t>
            </w:r>
            <w:r w:rsidR="00A10753">
              <w:t> </w:t>
            </w:r>
            <w:r>
              <w:t>6</w:t>
            </w:r>
            <w:r w:rsidRPr="00935476">
              <w:t>.</w:t>
            </w:r>
            <w:r>
              <w:t xml:space="preserve">2 ou dans les délais mentionnés à </w:t>
            </w:r>
            <w:r w:rsidR="00A10753">
              <w:t>l’article </w:t>
            </w:r>
            <w:r>
              <w:t>6.3</w:t>
            </w:r>
            <w:r w:rsidRPr="00935476">
              <w:t>, des documents</w:t>
            </w:r>
            <w:r>
              <w:t xml:space="preserve"> ou prestations</w:t>
            </w:r>
            <w:r w:rsidRPr="00935476">
              <w:t xml:space="preserve"> devant être livrés  </w:t>
            </w:r>
          </w:p>
        </w:tc>
        <w:tc>
          <w:tcPr>
            <w:tcW w:w="3827" w:type="dxa"/>
            <w:vAlign w:val="center"/>
          </w:tcPr>
          <w:p w14:paraId="3E412DBF" w14:textId="459C2407" w:rsidR="006A544B" w:rsidRPr="00935476" w:rsidDel="00B60FAB" w:rsidRDefault="00E82AB4" w:rsidP="006A544B">
            <w:pPr>
              <w:pStyle w:val="DCETexte"/>
              <w:keepNext/>
              <w:keepLines/>
              <w:spacing w:before="60" w:after="60"/>
              <w:jc w:val="center"/>
            </w:pPr>
            <w:r w:rsidRPr="00935476">
              <w:t>300</w:t>
            </w:r>
            <w:r>
              <w:t> </w:t>
            </w:r>
            <w:r w:rsidR="006A544B" w:rsidRPr="00935476">
              <w:t>euros par jour de retard</w:t>
            </w:r>
          </w:p>
        </w:tc>
      </w:tr>
      <w:tr w:rsidR="006A544B" w:rsidRPr="00935476" w14:paraId="4590D332" w14:textId="77777777" w:rsidTr="001C353D">
        <w:trPr>
          <w:cantSplit/>
          <w:trHeight w:val="567"/>
        </w:trPr>
        <w:tc>
          <w:tcPr>
            <w:tcW w:w="4962" w:type="dxa"/>
            <w:vAlign w:val="center"/>
          </w:tcPr>
          <w:p w14:paraId="61C1399B" w14:textId="6C6586AE" w:rsidR="006A544B" w:rsidRPr="00935476" w:rsidRDefault="006A544B" w:rsidP="006A544B">
            <w:pPr>
              <w:pStyle w:val="DCETexte"/>
              <w:widowControl w:val="0"/>
              <w:spacing w:before="360" w:after="240"/>
              <w:jc w:val="left"/>
              <w:outlineLvl w:val="0"/>
            </w:pPr>
            <w:r w:rsidRPr="00935476">
              <w:t xml:space="preserve">Tout autre manquement à une stipulation du marché </w:t>
            </w:r>
          </w:p>
        </w:tc>
        <w:tc>
          <w:tcPr>
            <w:tcW w:w="3827" w:type="dxa"/>
            <w:vAlign w:val="center"/>
          </w:tcPr>
          <w:p w14:paraId="4CCBE805" w14:textId="121EE794" w:rsidR="006A544B" w:rsidRPr="00935476" w:rsidDel="00F26C78" w:rsidRDefault="00E82AB4" w:rsidP="006A544B">
            <w:pPr>
              <w:pStyle w:val="DCETexte"/>
              <w:keepNext/>
              <w:keepLines/>
              <w:spacing w:before="60" w:after="60"/>
              <w:jc w:val="center"/>
            </w:pPr>
            <w:r w:rsidRPr="00935476">
              <w:t>100</w:t>
            </w:r>
            <w:r>
              <w:t> </w:t>
            </w:r>
            <w:r w:rsidR="006A544B" w:rsidRPr="00935476">
              <w:t>euros par manquement</w:t>
            </w:r>
          </w:p>
        </w:tc>
      </w:tr>
    </w:tbl>
    <w:p w14:paraId="1ADA0B0C" w14:textId="77777777" w:rsidR="002D4863" w:rsidRPr="00935476" w:rsidRDefault="002D4863" w:rsidP="008A25E7">
      <w:pPr>
        <w:pStyle w:val="DCETexte"/>
      </w:pPr>
      <w:bookmarkStart w:id="104" w:name="_Toc75442158"/>
      <w:bookmarkStart w:id="105" w:name="_Toc76392901"/>
      <w:bookmarkStart w:id="106" w:name="_Toc76394274"/>
      <w:bookmarkStart w:id="107" w:name="_Toc84423278"/>
      <w:bookmarkEnd w:id="104"/>
      <w:bookmarkEnd w:id="105"/>
      <w:bookmarkEnd w:id="106"/>
    </w:p>
    <w:p w14:paraId="39E67C23" w14:textId="1F580C9F" w:rsidR="00EA1526" w:rsidRPr="00935476" w:rsidRDefault="008A25E7" w:rsidP="008A25E7">
      <w:pPr>
        <w:pStyle w:val="DCETexte"/>
      </w:pPr>
      <w:r w:rsidRPr="00935476">
        <w:t xml:space="preserve">Par dérogation à </w:t>
      </w:r>
      <w:r w:rsidR="00A10753" w:rsidRPr="00935476">
        <w:t>l’article</w:t>
      </w:r>
      <w:r w:rsidR="00A10753">
        <w:t> </w:t>
      </w:r>
      <w:r w:rsidRPr="00935476">
        <w:t>14.1 du CCAG-</w:t>
      </w:r>
      <w:r w:rsidR="00033177" w:rsidRPr="00935476">
        <w:t>PI</w:t>
      </w:r>
      <w:r w:rsidRPr="00935476">
        <w:t>, le titulaire n</w:t>
      </w:r>
      <w:r w:rsidR="004A33D1" w:rsidRPr="00935476">
        <w:t>’</w:t>
      </w:r>
      <w:r w:rsidRPr="00935476">
        <w:t xml:space="preserve">est pas exonéré du paiement des pénalités </w:t>
      </w:r>
      <w:r w:rsidR="00A67079" w:rsidRPr="00935476">
        <w:t xml:space="preserve">de retard </w:t>
      </w:r>
      <w:r w:rsidRPr="00935476">
        <w:t>si celles-ci sont inférieures à 1 000</w:t>
      </w:r>
      <w:r w:rsidR="009855BC" w:rsidRPr="00935476">
        <w:t> euro</w:t>
      </w:r>
      <w:r w:rsidRPr="00935476">
        <w:t>s. Elles sont directement imputées sur la facture correspondant aux prestations livrées hors délais. Ces pénalités sont reportables, en tant que de besoin, sur les factures suivantes.</w:t>
      </w:r>
    </w:p>
    <w:p w14:paraId="5A352E12" w14:textId="06B4BDAF" w:rsidR="0013515E" w:rsidRPr="00935476" w:rsidRDefault="008A25E7" w:rsidP="006F2532">
      <w:pPr>
        <w:pStyle w:val="DCETexte"/>
      </w:pPr>
      <w:r w:rsidRPr="00935476">
        <w:t>Les pénalités ci-dessus ne s</w:t>
      </w:r>
      <w:r w:rsidR="004A33D1" w:rsidRPr="00935476">
        <w:t>’</w:t>
      </w:r>
      <w:r w:rsidRPr="00935476">
        <w:t xml:space="preserve">appliquent pas </w:t>
      </w:r>
      <w:r w:rsidR="00011758" w:rsidRPr="00935476">
        <w:t>aux faits ou aux retards d</w:t>
      </w:r>
      <w:r w:rsidR="004A33D1" w:rsidRPr="00935476">
        <w:t>’</w:t>
      </w:r>
      <w:r w:rsidR="00011758" w:rsidRPr="00935476">
        <w:t>exécution imputables au Sénat</w:t>
      </w:r>
      <w:r w:rsidRPr="00935476">
        <w:t>.</w:t>
      </w:r>
    </w:p>
    <w:p w14:paraId="45353CD5" w14:textId="70659D0F" w:rsidR="00116FC2" w:rsidRPr="00935476" w:rsidRDefault="00116FC2" w:rsidP="00C44CE8">
      <w:pPr>
        <w:pStyle w:val="DCEArticle"/>
        <w:ind w:left="0"/>
      </w:pPr>
      <w:bookmarkStart w:id="108" w:name="_Toc327459797"/>
      <w:bookmarkStart w:id="109" w:name="_Toc333566316"/>
      <w:bookmarkStart w:id="110" w:name="_Ref180594492"/>
      <w:bookmarkStart w:id="111" w:name="_Toc211954955"/>
      <w:bookmarkEnd w:id="107"/>
      <w:r w:rsidRPr="00935476">
        <w:t>r</w:t>
      </w:r>
      <w:r w:rsidR="004906D4" w:rsidRPr="00935476">
        <w:t>é</w:t>
      </w:r>
      <w:r w:rsidRPr="00935476">
        <w:t>siliation</w:t>
      </w:r>
      <w:bookmarkEnd w:id="108"/>
      <w:bookmarkEnd w:id="109"/>
      <w:r w:rsidRPr="00935476">
        <w:t xml:space="preserve"> du marchÉ</w:t>
      </w:r>
      <w:bookmarkEnd w:id="110"/>
      <w:bookmarkEnd w:id="111"/>
    </w:p>
    <w:p w14:paraId="266B9E7B" w14:textId="5A707D6F" w:rsidR="00215A35" w:rsidRPr="00935476" w:rsidRDefault="00215A35" w:rsidP="000A1102">
      <w:pPr>
        <w:pStyle w:val="DCETexte"/>
      </w:pPr>
      <w:r w:rsidRPr="00935476">
        <w:t>Le marché pourra être résilié dans les conditions prévues au chapitre</w:t>
      </w:r>
      <w:r w:rsidR="002B57FE" w:rsidRPr="00935476">
        <w:t> </w:t>
      </w:r>
      <w:r w:rsidRPr="00935476">
        <w:t>7 du CCAG-</w:t>
      </w:r>
      <w:r w:rsidR="00D1664A" w:rsidRPr="00935476">
        <w:t>PI</w:t>
      </w:r>
      <w:r w:rsidRPr="00935476">
        <w:t>.</w:t>
      </w:r>
    </w:p>
    <w:p w14:paraId="09ABAC21" w14:textId="4C9130E6" w:rsidR="00F8643F" w:rsidRPr="00935476" w:rsidRDefault="00F8643F" w:rsidP="000A1102">
      <w:pPr>
        <w:pStyle w:val="DCETexte"/>
      </w:pPr>
      <w:r w:rsidRPr="00935476">
        <w:t xml:space="preserve">Le Sénat se réserve la possibilité de résilier </w:t>
      </w:r>
      <w:r w:rsidR="009F4CC0" w:rsidRPr="00935476">
        <w:t xml:space="preserve">le </w:t>
      </w:r>
      <w:r w:rsidRPr="00935476">
        <w:t xml:space="preserve">marché, après mise en demeure adressée </w:t>
      </w:r>
      <w:r w:rsidR="00D1664A" w:rsidRPr="00935476">
        <w:t>au titulaire</w:t>
      </w:r>
      <w:r w:rsidRPr="00935476">
        <w:t xml:space="preserve"> par lettre recommandée avec demande d</w:t>
      </w:r>
      <w:r w:rsidR="004A33D1" w:rsidRPr="00935476">
        <w:t>’</w:t>
      </w:r>
      <w:r w:rsidRPr="00935476">
        <w:t>avis de récepti</w:t>
      </w:r>
      <w:r w:rsidR="00087954" w:rsidRPr="00935476">
        <w:t>on, en cas de non</w:t>
      </w:r>
      <w:r w:rsidR="00087954" w:rsidRPr="00935476">
        <w:noBreakHyphen/>
      </w:r>
      <w:r w:rsidRPr="00935476">
        <w:t xml:space="preserve">respect </w:t>
      </w:r>
      <w:r w:rsidRPr="00935476">
        <w:lastRenderedPageBreak/>
        <w:t xml:space="preserve">des obligations prévues au marché ou si </w:t>
      </w:r>
      <w:r w:rsidR="00D1664A" w:rsidRPr="00935476">
        <w:t>le titulaire</w:t>
      </w:r>
      <w:r w:rsidRPr="00935476">
        <w:t xml:space="preserve"> se trouve dans l</w:t>
      </w:r>
      <w:r w:rsidR="004A33D1" w:rsidRPr="00935476">
        <w:t>’</w:t>
      </w:r>
      <w:r w:rsidRPr="00935476">
        <w:t>impossibilité d</w:t>
      </w:r>
      <w:r w:rsidR="004A33D1" w:rsidRPr="00935476">
        <w:t>’</w:t>
      </w:r>
      <w:r w:rsidRPr="00935476">
        <w:t xml:space="preserve">exécuter les prestations pour quelque raison que ce soit. </w:t>
      </w:r>
    </w:p>
    <w:p w14:paraId="19F7207E" w14:textId="793F1B9F" w:rsidR="00F8643F" w:rsidRPr="00935476" w:rsidRDefault="00F8643F" w:rsidP="002D4863">
      <w:pPr>
        <w:spacing w:after="120"/>
        <w:jc w:val="both"/>
      </w:pPr>
      <w:r w:rsidRPr="00935476">
        <w:t>Sont notamment susceptibles</w:t>
      </w:r>
      <w:r w:rsidR="000F6B7B" w:rsidRPr="00935476">
        <w:t xml:space="preserve"> – </w:t>
      </w:r>
      <w:r w:rsidRPr="00935476">
        <w:t>outre les motifs de résiliation pour faute énumérés à l</w:t>
      </w:r>
      <w:r w:rsidR="004A33D1" w:rsidRPr="00935476">
        <w:t>’</w:t>
      </w:r>
      <w:r w:rsidRPr="00935476">
        <w:t>article </w:t>
      </w:r>
      <w:r w:rsidR="00D1664A" w:rsidRPr="00935476">
        <w:t>39</w:t>
      </w:r>
      <w:r w:rsidR="00205B06" w:rsidRPr="00935476">
        <w:t xml:space="preserve"> </w:t>
      </w:r>
      <w:r w:rsidRPr="00935476">
        <w:t>du CCAG-</w:t>
      </w:r>
      <w:r w:rsidR="00D1664A" w:rsidRPr="00935476">
        <w:t>PI</w:t>
      </w:r>
      <w:r w:rsidR="000F6B7B" w:rsidRPr="00935476">
        <w:t> –</w:t>
      </w:r>
      <w:r w:rsidRPr="00935476">
        <w:t xml:space="preserve"> d</w:t>
      </w:r>
      <w:r w:rsidR="004A33D1" w:rsidRPr="00935476">
        <w:t>’</w:t>
      </w:r>
      <w:r w:rsidRPr="00935476">
        <w:t>entraîner une résiliation du marché</w:t>
      </w:r>
      <w:r w:rsidR="009855BC" w:rsidRPr="00935476">
        <w:t> :</w:t>
      </w:r>
    </w:p>
    <w:p w14:paraId="38A64596" w14:textId="77777777" w:rsidR="00F8643F" w:rsidRPr="00935476" w:rsidRDefault="00F8643F" w:rsidP="009502D3">
      <w:pPr>
        <w:numPr>
          <w:ilvl w:val="0"/>
          <w:numId w:val="20"/>
        </w:numPr>
        <w:ind w:left="714" w:hanging="357"/>
        <w:jc w:val="both"/>
      </w:pPr>
      <w:proofErr w:type="gramStart"/>
      <w:r w:rsidRPr="00935476">
        <w:t>le</w:t>
      </w:r>
      <w:proofErr w:type="gramEnd"/>
      <w:r w:rsidRPr="00935476">
        <w:t xml:space="preserve"> non-respect des caractéristiques des </w:t>
      </w:r>
      <w:r w:rsidR="00087954" w:rsidRPr="00935476">
        <w:t>prestations</w:t>
      </w:r>
      <w:r w:rsidRPr="00935476">
        <w:t xml:space="preserve"> </w:t>
      </w:r>
      <w:r w:rsidR="00087954" w:rsidRPr="00935476">
        <w:t>exécutées</w:t>
      </w:r>
      <w:r w:rsidR="009855BC" w:rsidRPr="00935476">
        <w:t> ;</w:t>
      </w:r>
    </w:p>
    <w:p w14:paraId="5DC84DBA" w14:textId="4C3A18D4" w:rsidR="00F8643F" w:rsidRPr="00935476" w:rsidRDefault="00F8643F" w:rsidP="009502D3">
      <w:pPr>
        <w:numPr>
          <w:ilvl w:val="0"/>
          <w:numId w:val="20"/>
        </w:numPr>
        <w:ind w:left="714" w:hanging="357"/>
        <w:jc w:val="both"/>
      </w:pPr>
      <w:proofErr w:type="gramStart"/>
      <w:r w:rsidRPr="00935476">
        <w:t>le</w:t>
      </w:r>
      <w:proofErr w:type="gramEnd"/>
      <w:r w:rsidRPr="00935476">
        <w:t xml:space="preserve"> non-respect constaté et répété des délais d</w:t>
      </w:r>
      <w:r w:rsidR="004A33D1" w:rsidRPr="00935476">
        <w:t>’</w:t>
      </w:r>
      <w:r w:rsidRPr="00935476">
        <w:t>exécution des prestations demandées</w:t>
      </w:r>
      <w:r w:rsidR="009855BC" w:rsidRPr="00935476">
        <w:t> ;</w:t>
      </w:r>
    </w:p>
    <w:p w14:paraId="685AC849" w14:textId="77777777" w:rsidR="00F8643F" w:rsidRPr="00935476" w:rsidRDefault="00F8643F" w:rsidP="009502D3">
      <w:pPr>
        <w:numPr>
          <w:ilvl w:val="0"/>
          <w:numId w:val="20"/>
        </w:numPr>
        <w:spacing w:after="120"/>
        <w:ind w:left="714" w:hanging="357"/>
        <w:jc w:val="both"/>
      </w:pPr>
      <w:proofErr w:type="gramStart"/>
      <w:r w:rsidRPr="00935476">
        <w:t>le</w:t>
      </w:r>
      <w:proofErr w:type="gramEnd"/>
      <w:r w:rsidRPr="00935476">
        <w:t xml:space="preserve"> non-respect constaté et répété des règles de la profession.</w:t>
      </w:r>
    </w:p>
    <w:p w14:paraId="7DC2920D" w14:textId="306069E6" w:rsidR="00116FC2" w:rsidRPr="00935476" w:rsidRDefault="009F2B3B" w:rsidP="00F8643F">
      <w:pPr>
        <w:pStyle w:val="DCETexte"/>
      </w:pPr>
      <w:r w:rsidRPr="00935476">
        <w:t>En cas de résiliation du marché par le Sénat pour un motif d</w:t>
      </w:r>
      <w:r w:rsidR="004A33D1" w:rsidRPr="00935476">
        <w:t>’</w:t>
      </w:r>
      <w:r w:rsidRPr="00935476">
        <w:t xml:space="preserve">intérêt général </w:t>
      </w:r>
      <w:r w:rsidRPr="006A544B">
        <w:t>et p</w:t>
      </w:r>
      <w:r w:rsidR="00F8643F" w:rsidRPr="006A544B">
        <w:t xml:space="preserve">ar dérogation </w:t>
      </w:r>
      <w:r w:rsidR="00D1664A" w:rsidRPr="006A544B">
        <w:t xml:space="preserve">à </w:t>
      </w:r>
      <w:r w:rsidR="00A10753" w:rsidRPr="006A544B">
        <w:t>l’article</w:t>
      </w:r>
      <w:r w:rsidR="00A10753">
        <w:t> </w:t>
      </w:r>
      <w:r w:rsidR="00735121" w:rsidRPr="006A544B">
        <w:t xml:space="preserve">36, deuxième alinéa, et à </w:t>
      </w:r>
      <w:r w:rsidR="00E82AB4" w:rsidRPr="006A544B">
        <w:t>l’article</w:t>
      </w:r>
      <w:r w:rsidR="00E82AB4">
        <w:t> </w:t>
      </w:r>
      <w:r w:rsidR="00D1664A" w:rsidRPr="006A544B">
        <w:t>40</w:t>
      </w:r>
      <w:r w:rsidR="00735121" w:rsidRPr="006A544B">
        <w:t>, premier alinéa,</w:t>
      </w:r>
      <w:r w:rsidR="00817EFE" w:rsidRPr="006A544B">
        <w:t xml:space="preserve"> </w:t>
      </w:r>
      <w:r w:rsidR="00F8643F" w:rsidRPr="006A544B">
        <w:t>du CCAG-</w:t>
      </w:r>
      <w:r w:rsidR="00D1664A" w:rsidRPr="006A544B">
        <w:t>PI</w:t>
      </w:r>
      <w:r w:rsidR="00F8643F" w:rsidRPr="006A544B">
        <w:t>, aucune</w:t>
      </w:r>
      <w:r w:rsidR="00F8643F" w:rsidRPr="00935476">
        <w:t xml:space="preserve"> indemnité n</w:t>
      </w:r>
      <w:r w:rsidR="004A33D1" w:rsidRPr="00935476">
        <w:t>’</w:t>
      </w:r>
      <w:r w:rsidR="00F8643F" w:rsidRPr="00935476">
        <w:t>est due au titulaire</w:t>
      </w:r>
      <w:r w:rsidR="00116FC2" w:rsidRPr="00935476">
        <w:t>.</w:t>
      </w:r>
    </w:p>
    <w:p w14:paraId="44A34A5A" w14:textId="77777777" w:rsidR="004C1958" w:rsidRPr="00935476" w:rsidRDefault="004C1958" w:rsidP="000F6B7B">
      <w:pPr>
        <w:pStyle w:val="DCEArticle"/>
        <w:ind w:left="0"/>
      </w:pPr>
      <w:bookmarkStart w:id="112" w:name="_Toc211954956"/>
      <w:bookmarkStart w:id="113" w:name="_Toc357428217"/>
      <w:bookmarkStart w:id="114" w:name="_Toc357589895"/>
      <w:bookmarkStart w:id="115" w:name="_Toc358298118"/>
      <w:bookmarkStart w:id="116" w:name="_Toc526353966"/>
      <w:bookmarkStart w:id="117" w:name="_Toc9349823"/>
      <w:bookmarkStart w:id="118" w:name="_Toc29302403"/>
      <w:bookmarkStart w:id="119" w:name="_Toc31035696"/>
      <w:bookmarkStart w:id="120" w:name="_Toc43883256"/>
      <w:r w:rsidRPr="00935476">
        <w:t>DIspositions diverses</w:t>
      </w:r>
      <w:bookmarkEnd w:id="112"/>
    </w:p>
    <w:p w14:paraId="3CD5E498" w14:textId="7DCB5C8A" w:rsidR="00D42629" w:rsidRPr="00935476" w:rsidRDefault="00A10753" w:rsidP="00881CB6">
      <w:pPr>
        <w:pStyle w:val="DCETitre2"/>
      </w:pPr>
      <w:bookmarkStart w:id="121" w:name="_Toc211954957"/>
      <w:r>
        <w:t>Usage</w:t>
      </w:r>
      <w:r w:rsidR="00F26C78" w:rsidRPr="00935476">
        <w:t xml:space="preserve"> de la l</w:t>
      </w:r>
      <w:r w:rsidR="00D42629" w:rsidRPr="00935476">
        <w:t>angue</w:t>
      </w:r>
      <w:bookmarkEnd w:id="113"/>
      <w:bookmarkEnd w:id="114"/>
      <w:bookmarkEnd w:id="115"/>
      <w:bookmarkEnd w:id="116"/>
      <w:bookmarkEnd w:id="117"/>
      <w:bookmarkEnd w:id="118"/>
      <w:bookmarkEnd w:id="119"/>
      <w:bookmarkEnd w:id="120"/>
      <w:r w:rsidR="00F26C78" w:rsidRPr="00935476">
        <w:t xml:space="preserve"> française</w:t>
      </w:r>
      <w:bookmarkEnd w:id="121"/>
    </w:p>
    <w:p w14:paraId="13E189BA" w14:textId="0B9B3769" w:rsidR="00F26C78" w:rsidRPr="00935476" w:rsidRDefault="00F26C78" w:rsidP="00F26C78">
      <w:pPr>
        <w:widowControl/>
        <w:spacing w:after="240"/>
        <w:jc w:val="both"/>
        <w:rPr>
          <w:szCs w:val="20"/>
        </w:rPr>
      </w:pPr>
      <w:r w:rsidRPr="00935476">
        <w:rPr>
          <w:szCs w:val="20"/>
        </w:rPr>
        <w:t xml:space="preserve">Il est précisé au titulaire que la langue parlée lors des interventions sera exclusivement le français. </w:t>
      </w:r>
    </w:p>
    <w:p w14:paraId="319945E6" w14:textId="7C0DA1D4" w:rsidR="00F26C78" w:rsidRPr="00935476" w:rsidRDefault="00F26C78" w:rsidP="00DA6917">
      <w:pPr>
        <w:widowControl/>
        <w:spacing w:after="240"/>
        <w:jc w:val="both"/>
        <w:rPr>
          <w:szCs w:val="20"/>
        </w:rPr>
      </w:pPr>
      <w:r w:rsidRPr="00935476">
        <w:rPr>
          <w:szCs w:val="20"/>
        </w:rPr>
        <w:t>De même, toutes les pièces écrites et tous les documents remis par le titulaire devront être rédigés en français.</w:t>
      </w:r>
    </w:p>
    <w:p w14:paraId="157E6E6C" w14:textId="59D8D63D" w:rsidR="004C1958" w:rsidRPr="00935476" w:rsidRDefault="004C1958" w:rsidP="00881CB6">
      <w:pPr>
        <w:pStyle w:val="DCETitre2"/>
      </w:pPr>
      <w:bookmarkStart w:id="122" w:name="_Toc211954958"/>
      <w:bookmarkStart w:id="123" w:name="_Toc526353967"/>
      <w:bookmarkStart w:id="124" w:name="_Toc9349824"/>
      <w:bookmarkStart w:id="125" w:name="_Toc29302404"/>
      <w:bookmarkStart w:id="126" w:name="_Toc31035697"/>
      <w:bookmarkStart w:id="127" w:name="_Toc43883257"/>
      <w:r w:rsidRPr="00935476">
        <w:t>Exécution des prestations aux frais et risques du titulaire</w:t>
      </w:r>
      <w:bookmarkEnd w:id="122"/>
    </w:p>
    <w:p w14:paraId="2E5EE17A" w14:textId="635AB750" w:rsidR="004C1958" w:rsidRPr="00935476" w:rsidRDefault="004C1958" w:rsidP="004C1958">
      <w:pPr>
        <w:pStyle w:val="DCETexte"/>
      </w:pPr>
      <w:r w:rsidRPr="00935476">
        <w:t>Conformément à l</w:t>
      </w:r>
      <w:r w:rsidR="004A33D1" w:rsidRPr="00935476">
        <w:t>’</w:t>
      </w:r>
      <w:r w:rsidRPr="00935476">
        <w:t>article </w:t>
      </w:r>
      <w:r w:rsidR="00D1664A" w:rsidRPr="00935476">
        <w:t>27</w:t>
      </w:r>
      <w:r w:rsidRPr="00935476">
        <w:t xml:space="preserve"> du CCAG-</w:t>
      </w:r>
      <w:r w:rsidR="00D1664A" w:rsidRPr="00935476">
        <w:t>PI</w:t>
      </w:r>
      <w:r w:rsidRPr="00935476">
        <w:t>, dans l</w:t>
      </w:r>
      <w:r w:rsidR="004A33D1" w:rsidRPr="00935476">
        <w:t>’</w:t>
      </w:r>
      <w:r w:rsidRPr="00935476">
        <w:t>hypothèse où le titulaire ne défère pas à une mise en demeure du Sénat de se conformer aux obligations du marché ou en cas d</w:t>
      </w:r>
      <w:r w:rsidR="004A33D1" w:rsidRPr="00935476">
        <w:t>’</w:t>
      </w:r>
      <w:r w:rsidRPr="00935476">
        <w:t>inexécution de prestations prévues au marché et dont l</w:t>
      </w:r>
      <w:r w:rsidR="004A33D1" w:rsidRPr="00935476">
        <w:t>’</w:t>
      </w:r>
      <w:r w:rsidRPr="00935476">
        <w:t>exécution ne peut souffrir aucun retard, le Sénat peut faire exécuter le marché par un tiers, aux frais et risques du titulaire.</w:t>
      </w:r>
    </w:p>
    <w:p w14:paraId="08FCE0A9" w14:textId="29C1471D" w:rsidR="004C1958" w:rsidRPr="00935476" w:rsidRDefault="004C1958" w:rsidP="004C1958">
      <w:pPr>
        <w:pStyle w:val="DCETexte"/>
      </w:pPr>
      <w:r w:rsidRPr="00935476">
        <w:t>L</w:t>
      </w:r>
      <w:r w:rsidR="004A33D1" w:rsidRPr="00935476">
        <w:t>’</w:t>
      </w:r>
      <w:r w:rsidRPr="00935476">
        <w:t>augmentation des dépenses par rapport aux prix du marché, résultant de l</w:t>
      </w:r>
      <w:r w:rsidR="004A33D1" w:rsidRPr="00935476">
        <w:t>’</w:t>
      </w:r>
      <w:r w:rsidRPr="00935476">
        <w:t>exécution des prestations, est à la charge du titulaire. La diminution des dépenses ne lui profite pas.</w:t>
      </w:r>
    </w:p>
    <w:p w14:paraId="3BC22657" w14:textId="5AF437C4" w:rsidR="004C1958" w:rsidRPr="00935476" w:rsidRDefault="004C1958" w:rsidP="00881CB6">
      <w:pPr>
        <w:pStyle w:val="DCETitre2"/>
      </w:pPr>
      <w:bookmarkStart w:id="128" w:name="_Toc211954959"/>
      <w:r w:rsidRPr="00935476">
        <w:t>Convention sur la preuve</w:t>
      </w:r>
      <w:bookmarkEnd w:id="128"/>
    </w:p>
    <w:p w14:paraId="2245A53C" w14:textId="6FDAEE1D" w:rsidR="004C1958" w:rsidRPr="00935476" w:rsidRDefault="004C1958" w:rsidP="004C1958">
      <w:pPr>
        <w:pStyle w:val="DCETexte"/>
      </w:pPr>
      <w:r w:rsidRPr="00935476">
        <w:t>Le Sénat et le titulaire conviennent que tous les échanges réalisés par courriel dans le cadre du marché reçoivent la même force probante qu</w:t>
      </w:r>
      <w:r w:rsidR="004A33D1" w:rsidRPr="00935476">
        <w:t>’</w:t>
      </w:r>
      <w:r w:rsidRPr="00935476">
        <w:t>un écrit signé de manière manuscrite.</w:t>
      </w:r>
    </w:p>
    <w:p w14:paraId="069B5B1F" w14:textId="18BD8D52" w:rsidR="00D42629" w:rsidRPr="00935476" w:rsidRDefault="00D42629" w:rsidP="00DA6917">
      <w:pPr>
        <w:pStyle w:val="DCEArticle"/>
        <w:ind w:left="0"/>
      </w:pPr>
      <w:bookmarkStart w:id="129" w:name="_Toc211954960"/>
      <w:r w:rsidRPr="00935476">
        <w:t>Contentieux</w:t>
      </w:r>
      <w:bookmarkEnd w:id="123"/>
      <w:bookmarkEnd w:id="124"/>
      <w:bookmarkEnd w:id="125"/>
      <w:bookmarkEnd w:id="126"/>
      <w:bookmarkEnd w:id="127"/>
      <w:bookmarkEnd w:id="129"/>
    </w:p>
    <w:p w14:paraId="11036964" w14:textId="7DAA1EFA" w:rsidR="00A42A21" w:rsidRPr="00935476" w:rsidRDefault="00D42629" w:rsidP="00A42A21">
      <w:pPr>
        <w:pStyle w:val="DCETexte"/>
      </w:pPr>
      <w:r w:rsidRPr="00935476">
        <w:t>Les litiges sont portés devant le Tribunal administratif de Paris, 7 rue de Jouy, 75181 </w:t>
      </w:r>
      <w:r w:rsidR="00E82AB4" w:rsidRPr="00935476">
        <w:t>PARIS</w:t>
      </w:r>
      <w:r w:rsidR="00E82AB4">
        <w:t> </w:t>
      </w:r>
      <w:r w:rsidRPr="00935476">
        <w:t>CEDEX 04. Téléphone</w:t>
      </w:r>
      <w:r w:rsidR="009855BC" w:rsidRPr="00935476">
        <w:t> :</w:t>
      </w:r>
      <w:r w:rsidRPr="00935476">
        <w:t xml:space="preserve"> 01 44 59 44 00</w:t>
      </w:r>
      <w:r w:rsidR="009855BC" w:rsidRPr="00935476">
        <w:t> ;</w:t>
      </w:r>
      <w:r w:rsidRPr="00935476">
        <w:t xml:space="preserve"> télécopie</w:t>
      </w:r>
      <w:r w:rsidR="009855BC" w:rsidRPr="00935476">
        <w:t> :</w:t>
      </w:r>
      <w:r w:rsidRPr="00935476">
        <w:t xml:space="preserve"> 01 44 59 46 46.</w:t>
      </w:r>
    </w:p>
    <w:p w14:paraId="4AEECC7D" w14:textId="1BB3B869" w:rsidR="00A42A21" w:rsidRPr="00935476" w:rsidRDefault="009C4DD3" w:rsidP="00C44CE8">
      <w:pPr>
        <w:pStyle w:val="DCEArticle"/>
        <w:ind w:left="0"/>
      </w:pPr>
      <w:bookmarkStart w:id="130" w:name="_Toc228810836"/>
      <w:bookmarkStart w:id="131" w:name="_Toc228855479"/>
      <w:bookmarkStart w:id="132" w:name="_Toc228855680"/>
      <w:bookmarkStart w:id="133" w:name="_Toc228855880"/>
      <w:bookmarkStart w:id="134" w:name="_Toc228856059"/>
      <w:bookmarkStart w:id="135" w:name="_Toc228856183"/>
      <w:bookmarkStart w:id="136" w:name="_Toc229286101"/>
      <w:bookmarkStart w:id="137" w:name="_Toc229286145"/>
      <w:bookmarkStart w:id="138" w:name="_Toc229286889"/>
      <w:bookmarkStart w:id="139" w:name="_Toc229371972"/>
      <w:bookmarkStart w:id="140" w:name="_Toc236020560"/>
      <w:bookmarkStart w:id="141" w:name="_Toc242179750"/>
      <w:bookmarkStart w:id="142" w:name="_Toc327459799"/>
      <w:bookmarkStart w:id="143" w:name="_Toc333566318"/>
      <w:bookmarkStart w:id="144" w:name="_Toc211954961"/>
      <w:r w:rsidRPr="00935476">
        <w:lastRenderedPageBreak/>
        <w:t>D</w:t>
      </w:r>
      <w:r w:rsidR="004906D4" w:rsidRPr="00935476">
        <w:t>é</w:t>
      </w:r>
      <w:r w:rsidR="00A42A21" w:rsidRPr="00935476">
        <w:t>rogations au ccag-</w:t>
      </w:r>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r w:rsidR="00D1664A" w:rsidRPr="00935476">
        <w:t>PI</w:t>
      </w:r>
      <w:bookmarkEnd w:id="14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5"/>
        <w:gridCol w:w="4056"/>
      </w:tblGrid>
      <w:tr w:rsidR="00C44CE8" w:rsidRPr="00935476" w14:paraId="02CB8D1F" w14:textId="77777777" w:rsidTr="00757BFE">
        <w:trPr>
          <w:cantSplit/>
          <w:trHeight w:val="851"/>
          <w:jc w:val="center"/>
        </w:trPr>
        <w:tc>
          <w:tcPr>
            <w:tcW w:w="4395" w:type="dxa"/>
            <w:shd w:val="clear" w:color="auto" w:fill="auto"/>
            <w:vAlign w:val="center"/>
          </w:tcPr>
          <w:p w14:paraId="4627A2DD" w14:textId="000D4C8C" w:rsidR="00C44CE8" w:rsidRPr="00935476" w:rsidRDefault="00C44CE8" w:rsidP="0076528E">
            <w:pPr>
              <w:pStyle w:val="DCETexte"/>
              <w:keepNext/>
              <w:keepLines/>
              <w:spacing w:after="0"/>
              <w:jc w:val="center"/>
              <w:rPr>
                <w:rFonts w:cs="Bookman"/>
                <w:b/>
              </w:rPr>
            </w:pPr>
            <w:r w:rsidRPr="00935476">
              <w:rPr>
                <w:rFonts w:cs="Bookman"/>
                <w:b/>
              </w:rPr>
              <w:t>Articles du CCAG-</w:t>
            </w:r>
            <w:r w:rsidR="00D1664A" w:rsidRPr="00935476">
              <w:rPr>
                <w:rFonts w:cs="Bookman"/>
                <w:b/>
              </w:rPr>
              <w:t>PI</w:t>
            </w:r>
            <w:r w:rsidRPr="00935476">
              <w:rPr>
                <w:rFonts w:cs="Bookman"/>
                <w:b/>
              </w:rPr>
              <w:br/>
              <w:t>auxquels il est dérogé</w:t>
            </w:r>
          </w:p>
        </w:tc>
        <w:tc>
          <w:tcPr>
            <w:tcW w:w="4056" w:type="dxa"/>
            <w:shd w:val="clear" w:color="auto" w:fill="auto"/>
            <w:vAlign w:val="center"/>
          </w:tcPr>
          <w:p w14:paraId="799FCEC0" w14:textId="66796AC4" w:rsidR="00C44CE8" w:rsidRPr="00935476" w:rsidRDefault="00C44CE8" w:rsidP="0076528E">
            <w:pPr>
              <w:pStyle w:val="DCETexte"/>
              <w:keepNext/>
              <w:keepLines/>
              <w:spacing w:after="0"/>
              <w:jc w:val="center"/>
              <w:rPr>
                <w:rFonts w:cs="Bookman"/>
                <w:b/>
              </w:rPr>
            </w:pPr>
            <w:r w:rsidRPr="00935476">
              <w:rPr>
                <w:rFonts w:cs="Bookman"/>
                <w:b/>
              </w:rPr>
              <w:t>Articles du CC</w:t>
            </w:r>
            <w:r w:rsidR="00D1664A" w:rsidRPr="00935476">
              <w:rPr>
                <w:rFonts w:cs="Bookman"/>
                <w:b/>
              </w:rPr>
              <w:t>P</w:t>
            </w:r>
            <w:r w:rsidRPr="00935476">
              <w:rPr>
                <w:rFonts w:cs="Bookman"/>
                <w:b/>
              </w:rPr>
              <w:t xml:space="preserve"> par lesquels sont introduites ces dérogations</w:t>
            </w:r>
          </w:p>
        </w:tc>
      </w:tr>
      <w:tr w:rsidR="00C44CE8" w:rsidRPr="00935476" w14:paraId="515A601C" w14:textId="77777777" w:rsidTr="00757BFE">
        <w:trPr>
          <w:cantSplit/>
          <w:trHeight w:val="454"/>
          <w:jc w:val="center"/>
        </w:trPr>
        <w:tc>
          <w:tcPr>
            <w:tcW w:w="4395" w:type="dxa"/>
            <w:shd w:val="clear" w:color="auto" w:fill="auto"/>
            <w:vAlign w:val="center"/>
          </w:tcPr>
          <w:p w14:paraId="55F18AFE" w14:textId="77777777" w:rsidR="00C44CE8" w:rsidRPr="00935476" w:rsidRDefault="00E22762" w:rsidP="00DC79B1">
            <w:pPr>
              <w:pStyle w:val="DCETexte"/>
              <w:keepNext/>
              <w:keepLines/>
              <w:spacing w:after="0"/>
              <w:jc w:val="left"/>
              <w:rPr>
                <w:rFonts w:cs="Bookman"/>
              </w:rPr>
            </w:pPr>
            <w:r w:rsidRPr="00935476">
              <w:rPr>
                <w:rFonts w:cs="Bookman"/>
              </w:rPr>
              <w:t xml:space="preserve">4.1 - </w:t>
            </w:r>
            <w:r w:rsidR="00C44CE8" w:rsidRPr="00935476">
              <w:rPr>
                <w:rFonts w:cs="Bookman"/>
              </w:rPr>
              <w:t>Ordre de priorité des pièces contractuelles</w:t>
            </w:r>
          </w:p>
        </w:tc>
        <w:tc>
          <w:tcPr>
            <w:tcW w:w="4056" w:type="dxa"/>
            <w:shd w:val="clear" w:color="auto" w:fill="auto"/>
            <w:vAlign w:val="center"/>
          </w:tcPr>
          <w:p w14:paraId="2E6E1CFA" w14:textId="26B9A59E" w:rsidR="00C44CE8" w:rsidRPr="00935476" w:rsidRDefault="0097322F" w:rsidP="00DC79B1">
            <w:pPr>
              <w:pStyle w:val="DCETexte"/>
              <w:keepNext/>
              <w:keepLines/>
              <w:spacing w:after="0"/>
              <w:jc w:val="left"/>
              <w:rPr>
                <w:rFonts w:cs="Bookman"/>
              </w:rPr>
            </w:pPr>
            <w:r w:rsidRPr="00935476">
              <w:rPr>
                <w:rFonts w:cs="Bookman"/>
              </w:rPr>
              <w:fldChar w:fldCharType="begin"/>
            </w:r>
            <w:r w:rsidRPr="00935476">
              <w:rPr>
                <w:rFonts w:cs="Bookman"/>
              </w:rPr>
              <w:instrText xml:space="preserve"> REF _Ref180594470 \r \h </w:instrText>
            </w:r>
            <w:r w:rsidR="00DA6917" w:rsidRPr="00935476">
              <w:rPr>
                <w:rFonts w:cs="Bookman"/>
              </w:rPr>
              <w:instrText xml:space="preserve"> \* MERGEFORMAT </w:instrText>
            </w:r>
            <w:r w:rsidRPr="00935476">
              <w:rPr>
                <w:rFonts w:cs="Bookman"/>
              </w:rPr>
            </w:r>
            <w:r w:rsidRPr="00935476">
              <w:rPr>
                <w:rFonts w:cs="Bookman"/>
              </w:rPr>
              <w:fldChar w:fldCharType="separate"/>
            </w:r>
            <w:r w:rsidR="00FF3BF1">
              <w:rPr>
                <w:rFonts w:cs="Bookman"/>
              </w:rPr>
              <w:t xml:space="preserve">ARTICLE 4 - </w:t>
            </w:r>
            <w:r w:rsidRPr="00935476">
              <w:rPr>
                <w:rFonts w:cs="Bookman"/>
              </w:rPr>
              <w:fldChar w:fldCharType="end"/>
            </w:r>
            <w:r w:rsidR="00C44CE8" w:rsidRPr="00935476">
              <w:rPr>
                <w:rFonts w:cs="Bookman"/>
              </w:rPr>
              <w:t>Pièces constitutives du marché</w:t>
            </w:r>
          </w:p>
        </w:tc>
      </w:tr>
      <w:tr w:rsidR="00203996" w:rsidRPr="00935476" w14:paraId="579B8C15" w14:textId="77777777" w:rsidTr="00757BFE">
        <w:trPr>
          <w:cantSplit/>
          <w:trHeight w:val="918"/>
          <w:jc w:val="center"/>
        </w:trPr>
        <w:tc>
          <w:tcPr>
            <w:tcW w:w="4395" w:type="dxa"/>
            <w:shd w:val="clear" w:color="auto" w:fill="auto"/>
            <w:vAlign w:val="center"/>
          </w:tcPr>
          <w:p w14:paraId="13260258" w14:textId="2BF720F5" w:rsidR="00203996" w:rsidRPr="00935476" w:rsidRDefault="00203996" w:rsidP="00DC79B1">
            <w:pPr>
              <w:pStyle w:val="DCETexte"/>
              <w:keepNext/>
              <w:keepLines/>
              <w:spacing w:after="0"/>
              <w:jc w:val="left"/>
              <w:rPr>
                <w:rFonts w:cs="Bookman"/>
              </w:rPr>
            </w:pPr>
            <w:r w:rsidRPr="00935476">
              <w:rPr>
                <w:rFonts w:cs="Bookman"/>
              </w:rPr>
              <w:t xml:space="preserve">14 </w:t>
            </w:r>
            <w:r w:rsidR="008A460E" w:rsidRPr="00935476">
              <w:rPr>
                <w:rFonts w:cs="Bookman"/>
              </w:rPr>
              <w:t>-</w:t>
            </w:r>
            <w:r w:rsidRPr="00935476">
              <w:rPr>
                <w:rFonts w:cs="Bookman"/>
              </w:rPr>
              <w:t xml:space="preserve"> Pénalités</w:t>
            </w:r>
            <w:r w:rsidR="003E7293" w:rsidRPr="00935476">
              <w:rPr>
                <w:rFonts w:cs="Bookman"/>
              </w:rPr>
              <w:t xml:space="preserve"> pour retard</w:t>
            </w:r>
          </w:p>
          <w:p w14:paraId="34349A39" w14:textId="472D231C" w:rsidR="00203996" w:rsidRPr="00935476" w:rsidRDefault="00203996" w:rsidP="00DC79B1">
            <w:pPr>
              <w:pStyle w:val="DCETexte"/>
              <w:keepNext/>
              <w:keepLines/>
              <w:spacing w:after="0"/>
              <w:jc w:val="left"/>
              <w:rPr>
                <w:rFonts w:cs="Bookman"/>
              </w:rPr>
            </w:pPr>
          </w:p>
        </w:tc>
        <w:tc>
          <w:tcPr>
            <w:tcW w:w="4056" w:type="dxa"/>
            <w:shd w:val="clear" w:color="auto" w:fill="auto"/>
            <w:vAlign w:val="center"/>
          </w:tcPr>
          <w:p w14:paraId="610D55A5" w14:textId="3B1362E2" w:rsidR="00203996" w:rsidRPr="00935476" w:rsidRDefault="00E82AB4" w:rsidP="00DC79B1">
            <w:pPr>
              <w:pStyle w:val="DCETexte"/>
              <w:keepNext/>
              <w:keepLines/>
              <w:spacing w:after="0"/>
              <w:jc w:val="left"/>
              <w:rPr>
                <w:rFonts w:cs="Bookman"/>
              </w:rPr>
            </w:pPr>
            <w:r w:rsidRPr="00935476">
              <w:rPr>
                <w:rFonts w:cs="Bookman"/>
              </w:rPr>
              <w:fldChar w:fldCharType="begin"/>
            </w:r>
            <w:r w:rsidRPr="00935476">
              <w:rPr>
                <w:rFonts w:cs="Bookman"/>
              </w:rPr>
              <w:instrText xml:space="preserve"> REF _Ref180594439 \r \h  \* MERGEFORMAT </w:instrText>
            </w:r>
            <w:r w:rsidRPr="00935476">
              <w:rPr>
                <w:rFonts w:cs="Bookman"/>
              </w:rPr>
            </w:r>
            <w:r w:rsidRPr="00935476">
              <w:rPr>
                <w:rFonts w:cs="Bookman"/>
              </w:rPr>
              <w:fldChar w:fldCharType="separate"/>
            </w:r>
            <w:r w:rsidR="00FF3BF1">
              <w:rPr>
                <w:rFonts w:cs="Bookman"/>
              </w:rPr>
              <w:t xml:space="preserve">ARTICLE 11 - </w:t>
            </w:r>
            <w:r w:rsidRPr="00935476">
              <w:rPr>
                <w:rFonts w:cs="Bookman"/>
              </w:rPr>
              <w:fldChar w:fldCharType="end"/>
            </w:r>
            <w:r w:rsidR="008F53B1" w:rsidRPr="00935476">
              <w:rPr>
                <w:rFonts w:cs="Bookman"/>
              </w:rPr>
              <w:t>P</w:t>
            </w:r>
            <w:r w:rsidR="00203996" w:rsidRPr="00935476">
              <w:rPr>
                <w:rFonts w:cs="Bookman"/>
              </w:rPr>
              <w:t>énalités</w:t>
            </w:r>
          </w:p>
        </w:tc>
      </w:tr>
      <w:tr w:rsidR="00C44CE8" w:rsidRPr="005D5EB6" w14:paraId="7CA0C1BC" w14:textId="77777777" w:rsidTr="00757BFE">
        <w:trPr>
          <w:cantSplit/>
          <w:trHeight w:val="454"/>
          <w:jc w:val="center"/>
        </w:trPr>
        <w:tc>
          <w:tcPr>
            <w:tcW w:w="4395" w:type="dxa"/>
            <w:shd w:val="clear" w:color="auto" w:fill="auto"/>
            <w:vAlign w:val="center"/>
          </w:tcPr>
          <w:p w14:paraId="64DD89E6" w14:textId="71C552B0" w:rsidR="00C44CE8" w:rsidRPr="00935476" w:rsidRDefault="00735121" w:rsidP="00DC79B1">
            <w:pPr>
              <w:keepNext/>
              <w:keepLines/>
              <w:widowControl/>
            </w:pPr>
            <w:r>
              <w:t xml:space="preserve">36, deuxième alinéa, </w:t>
            </w:r>
            <w:r w:rsidR="00A10753">
              <w:t>et </w:t>
            </w:r>
            <w:r w:rsidR="00492994" w:rsidRPr="00935476">
              <w:t>4</w:t>
            </w:r>
            <w:r w:rsidR="006B07CE" w:rsidRPr="00935476">
              <w:t>0</w:t>
            </w:r>
            <w:r>
              <w:t>, premier alinéa,</w:t>
            </w:r>
            <w:r w:rsidR="008F53B1" w:rsidRPr="00935476">
              <w:t xml:space="preserve"> </w:t>
            </w:r>
            <w:r w:rsidR="006B07CE" w:rsidRPr="00935476">
              <w:t xml:space="preserve">– </w:t>
            </w:r>
            <w:r w:rsidR="00DC79B1" w:rsidRPr="00935476">
              <w:t>R</w:t>
            </w:r>
            <w:r w:rsidR="00492994" w:rsidRPr="00935476">
              <w:t>ésiliation pour motif d</w:t>
            </w:r>
            <w:r w:rsidR="004A33D1" w:rsidRPr="00935476">
              <w:t>’</w:t>
            </w:r>
            <w:r w:rsidR="00492994" w:rsidRPr="00935476">
              <w:t xml:space="preserve">intérêt général </w:t>
            </w:r>
          </w:p>
        </w:tc>
        <w:tc>
          <w:tcPr>
            <w:tcW w:w="4056" w:type="dxa"/>
            <w:shd w:val="clear" w:color="auto" w:fill="auto"/>
            <w:vAlign w:val="center"/>
          </w:tcPr>
          <w:p w14:paraId="22003292" w14:textId="3A021AEE" w:rsidR="00C44CE8" w:rsidRPr="00DA6917" w:rsidRDefault="00E82AB4" w:rsidP="00DC79B1">
            <w:pPr>
              <w:keepNext/>
              <w:keepLines/>
              <w:widowControl/>
            </w:pPr>
            <w:r>
              <w:t>Article </w:t>
            </w:r>
            <w:r w:rsidR="00B45A9F" w:rsidRPr="00935476">
              <w:t>1</w:t>
            </w:r>
            <w:r w:rsidR="00FC7CC1">
              <w:t>2</w:t>
            </w:r>
            <w:r w:rsidR="00B45A9F" w:rsidRPr="00935476">
              <w:t xml:space="preserve"> </w:t>
            </w:r>
            <w:r w:rsidR="00E4048C" w:rsidRPr="00935476">
              <w:t>- Résiliation</w:t>
            </w:r>
          </w:p>
        </w:tc>
      </w:tr>
      <w:bookmarkEnd w:id="0"/>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tbl>
    <w:p w14:paraId="3E353A10" w14:textId="77777777" w:rsidR="003D2F6C" w:rsidRDefault="003D2F6C" w:rsidP="001B5DB1">
      <w:pPr>
        <w:pStyle w:val="DCETexte"/>
      </w:pPr>
    </w:p>
    <w:p w14:paraId="1B015FE4" w14:textId="77777777" w:rsidR="003D2F6C" w:rsidRPr="00A5272A" w:rsidRDefault="003D2F6C" w:rsidP="003D2F6C">
      <w:pPr>
        <w:pStyle w:val="DCEArticle"/>
        <w:numPr>
          <w:ilvl w:val="0"/>
          <w:numId w:val="0"/>
        </w:numPr>
        <w:jc w:val="center"/>
      </w:pPr>
      <w:bookmarkStart w:id="145" w:name="_Toc43883259"/>
      <w:bookmarkStart w:id="146" w:name="_Toc211954962"/>
      <w:r w:rsidRPr="00A5272A">
        <w:lastRenderedPageBreak/>
        <w:t>Annexe</w:t>
      </w:r>
      <w:r>
        <w:t> - d</w:t>
      </w:r>
      <w:r w:rsidR="00694796">
        <w:t>É</w:t>
      </w:r>
      <w:r>
        <w:t>mat</w:t>
      </w:r>
      <w:r w:rsidR="00694796">
        <w:t>É</w:t>
      </w:r>
      <w:r>
        <w:t>rialisation des factures</w:t>
      </w:r>
      <w:bookmarkEnd w:id="145"/>
      <w:bookmarkEnd w:id="146"/>
    </w:p>
    <w:p w14:paraId="1EC86CC5" w14:textId="77777777" w:rsidR="0067198D" w:rsidRDefault="003D2F6C" w:rsidP="001B5DB1">
      <w:pPr>
        <w:pStyle w:val="DCETexte"/>
      </w:pPr>
      <w:r>
        <w:rPr>
          <w:noProof/>
        </w:rPr>
        <w:drawing>
          <wp:inline distT="0" distB="0" distL="0" distR="0" wp14:anchorId="50020125" wp14:editId="77F2D8E8">
            <wp:extent cx="5579745" cy="7879715"/>
            <wp:effectExtent l="0" t="0" r="1905" b="698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579745" cy="7879715"/>
                    </a:xfrm>
                    <a:prstGeom prst="rect">
                      <a:avLst/>
                    </a:prstGeom>
                    <a:noFill/>
                    <a:ln>
                      <a:noFill/>
                    </a:ln>
                  </pic:spPr>
                </pic:pic>
              </a:graphicData>
            </a:graphic>
          </wp:inline>
        </w:drawing>
      </w:r>
    </w:p>
    <w:sectPr w:rsidR="0067198D" w:rsidSect="000867B9">
      <w:headerReference w:type="default" r:id="rId11"/>
      <w:footerReference w:type="even" r:id="rId12"/>
      <w:pgSz w:w="11906" w:h="16838" w:code="9"/>
      <w:pgMar w:top="1418" w:right="1134" w:bottom="992" w:left="1985" w:header="709" w:footer="9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4C542A" w14:textId="77777777" w:rsidR="00AE2E84" w:rsidRDefault="00AE2E84">
      <w:r>
        <w:separator/>
      </w:r>
    </w:p>
    <w:p w14:paraId="3245AA86" w14:textId="77777777" w:rsidR="00AE2E84" w:rsidRDefault="00AE2E84"/>
    <w:p w14:paraId="35AB934C" w14:textId="77777777" w:rsidR="00AE2E84" w:rsidRDefault="00AE2E84"/>
  </w:endnote>
  <w:endnote w:type="continuationSeparator" w:id="0">
    <w:p w14:paraId="07EA04F2" w14:textId="77777777" w:rsidR="00AE2E84" w:rsidRDefault="00AE2E84">
      <w:r>
        <w:continuationSeparator/>
      </w:r>
    </w:p>
    <w:p w14:paraId="37CC671F" w14:textId="77777777" w:rsidR="00AE2E84" w:rsidRDefault="00AE2E84"/>
    <w:p w14:paraId="379CD45F" w14:textId="77777777" w:rsidR="00AE2E84" w:rsidRDefault="00AE2E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neva">
    <w:altName w:val="Arial"/>
    <w:panose1 w:val="00000000000000000000"/>
    <w:charset w:val="00"/>
    <w:family w:val="swiss"/>
    <w:notTrueType/>
    <w:pitch w:val="variable"/>
    <w:sig w:usb0="00000003" w:usb1="00000000" w:usb2="00000000" w:usb3="00000000" w:csb0="00000001" w:csb1="00000000"/>
  </w:font>
  <w:font w:name="Bookman">
    <w:altName w:val="Bookman Old Style"/>
    <w:panose1 w:val="00000000000000000000"/>
    <w:charset w:val="4D"/>
    <w:family w:val="auto"/>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9ED9C" w14:textId="77777777" w:rsidR="00AE2E84" w:rsidRDefault="00AE2E84">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54FD5FF3" w14:textId="77777777" w:rsidR="00AE2E84" w:rsidRDefault="00AE2E84">
    <w:pPr>
      <w:pStyle w:val="Pieddepage"/>
    </w:pPr>
  </w:p>
  <w:p w14:paraId="1756C4CC" w14:textId="77777777" w:rsidR="00AE2E84" w:rsidRDefault="00AE2E8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782EC6" w14:textId="77777777" w:rsidR="00AE2E84" w:rsidRDefault="00AE2E84">
      <w:r>
        <w:separator/>
      </w:r>
    </w:p>
  </w:footnote>
  <w:footnote w:type="continuationSeparator" w:id="0">
    <w:p w14:paraId="3B11E43E" w14:textId="77777777" w:rsidR="00AE2E84" w:rsidRDefault="00AE2E84">
      <w:r>
        <w:continuationSeparator/>
      </w:r>
    </w:p>
    <w:p w14:paraId="386DF4EB" w14:textId="77777777" w:rsidR="00AE2E84" w:rsidRDefault="00AE2E84"/>
    <w:p w14:paraId="6D599F67" w14:textId="77777777" w:rsidR="00AE2E84" w:rsidRDefault="00AE2E84"/>
  </w:footnote>
  <w:footnote w:id="1">
    <w:p w14:paraId="43F3EAC2" w14:textId="77777777" w:rsidR="00BB0CB4" w:rsidRDefault="00BB0CB4" w:rsidP="00BB0CB4">
      <w:pPr>
        <w:pStyle w:val="Notedebasdepage"/>
      </w:pPr>
      <w:r>
        <w:rPr>
          <w:rStyle w:val="Appelnotedebasdep"/>
        </w:rPr>
        <w:footnoteRef/>
      </w:r>
      <w:r>
        <w:t xml:space="preserve"> Le lot n° 5 pourrait constituer une introduction nouvelle au prochain marché. </w:t>
      </w:r>
    </w:p>
  </w:footnote>
  <w:footnote w:id="2">
    <w:p w14:paraId="3390EE4C" w14:textId="77777777" w:rsidR="0067699B" w:rsidRDefault="0067699B" w:rsidP="0067699B">
      <w:pPr>
        <w:pStyle w:val="Notedebasdepage"/>
      </w:pPr>
      <w:r>
        <w:rPr>
          <w:rStyle w:val="Appelnotedebasdep"/>
        </w:rPr>
        <w:footnoteRef/>
      </w:r>
      <w:r>
        <w:t xml:space="preserve"> Le marché a débuté au mois de novembre 2021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BEAEA" w14:textId="5C74E23C" w:rsidR="000867B9" w:rsidRDefault="000867B9" w:rsidP="00D228F9">
    <w:pPr>
      <w:widowControl/>
      <w:tabs>
        <w:tab w:val="center" w:pos="8787"/>
      </w:tabs>
      <w:ind w:left="-851"/>
      <w:rPr>
        <w:rStyle w:val="Numrodepage"/>
        <w:i/>
        <w:sz w:val="18"/>
        <w:szCs w:val="18"/>
      </w:rPr>
    </w:pPr>
    <w:r>
      <w:rPr>
        <w:i/>
        <w:sz w:val="18"/>
        <w:szCs w:val="18"/>
      </w:rPr>
      <w:t>CCP</w:t>
    </w:r>
    <w:r>
      <w:rPr>
        <w:i/>
        <w:sz w:val="18"/>
        <w:szCs w:val="18"/>
      </w:rPr>
      <w:tab/>
    </w:r>
    <w:r>
      <w:rPr>
        <w:rStyle w:val="Numrodepage"/>
        <w:i/>
        <w:sz w:val="18"/>
        <w:szCs w:val="18"/>
      </w:rPr>
      <w:fldChar w:fldCharType="begin"/>
    </w:r>
    <w:r>
      <w:rPr>
        <w:rStyle w:val="Numrodepage"/>
        <w:i/>
        <w:sz w:val="18"/>
        <w:szCs w:val="18"/>
      </w:rPr>
      <w:instrText xml:space="preserve">PAGE  </w:instrText>
    </w:r>
    <w:r>
      <w:rPr>
        <w:rStyle w:val="Numrodepage"/>
        <w:i/>
        <w:sz w:val="18"/>
        <w:szCs w:val="18"/>
      </w:rPr>
      <w:fldChar w:fldCharType="separate"/>
    </w:r>
    <w:r w:rsidR="004B0996">
      <w:rPr>
        <w:rStyle w:val="Numrodepage"/>
        <w:i/>
        <w:noProof/>
        <w:sz w:val="18"/>
        <w:szCs w:val="18"/>
      </w:rPr>
      <w:t>2</w:t>
    </w:r>
    <w:r>
      <w:rPr>
        <w:rStyle w:val="Numrodepage"/>
        <w:i/>
        <w:sz w:val="18"/>
        <w:szCs w:val="18"/>
      </w:rPr>
      <w:fldChar w:fldCharType="end"/>
    </w:r>
  </w:p>
  <w:p w14:paraId="495FFC48" w14:textId="77777777" w:rsidR="000867B9" w:rsidRDefault="000867B9" w:rsidP="000867B9">
    <w:pPr>
      <w:pStyle w:val="En-tte"/>
      <w:ind w:left="-851"/>
    </w:pPr>
  </w:p>
  <w:p w14:paraId="025E37DE" w14:textId="77777777" w:rsidR="000867B9" w:rsidRDefault="000867B9" w:rsidP="000867B9">
    <w:pPr>
      <w:pStyle w:val="En-tte"/>
      <w:ind w:left="-85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54AA740"/>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7C622020"/>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A268026E"/>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9B06A140"/>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80887010"/>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9422DD4"/>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B88AD54"/>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DE8FEFE"/>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9E4EAA0"/>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CD6AD2F4"/>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FFFFFFFF"/>
    <w:lvl w:ilvl="0">
      <w:start w:val="1"/>
      <w:numFmt w:val="upperRoman"/>
      <w:pStyle w:val="Titre1"/>
      <w:lvlText w:val="%1."/>
      <w:legacy w:legacy="1" w:legacySpace="0" w:legacyIndent="454"/>
      <w:lvlJc w:val="left"/>
      <w:pPr>
        <w:ind w:left="454" w:hanging="454"/>
      </w:pPr>
    </w:lvl>
    <w:lvl w:ilvl="1">
      <w:start w:val="1"/>
      <w:numFmt w:val="upperLetter"/>
      <w:pStyle w:val="Titre2"/>
      <w:lvlText w:val="%2."/>
      <w:legacy w:legacy="1" w:legacySpace="0" w:legacyIndent="680"/>
      <w:lvlJc w:val="left"/>
      <w:pPr>
        <w:ind w:left="908" w:hanging="680"/>
      </w:pPr>
    </w:lvl>
    <w:lvl w:ilvl="2">
      <w:start w:val="1"/>
      <w:numFmt w:val="decimal"/>
      <w:pStyle w:val="Titre3"/>
      <w:lvlText w:val="%3."/>
      <w:legacy w:legacy="1" w:legacySpace="0" w:legacyIndent="708"/>
      <w:lvlJc w:val="left"/>
      <w:pPr>
        <w:ind w:left="1362" w:hanging="708"/>
      </w:pPr>
    </w:lvl>
    <w:lvl w:ilvl="3">
      <w:start w:val="1"/>
      <w:numFmt w:val="lowerLetter"/>
      <w:pStyle w:val="Titre4"/>
      <w:lvlText w:val="%4)"/>
      <w:legacy w:legacy="1" w:legacySpace="0" w:legacyIndent="708"/>
      <w:lvlJc w:val="left"/>
      <w:pPr>
        <w:ind w:left="2550" w:hanging="708"/>
      </w:pPr>
    </w:lvl>
    <w:lvl w:ilvl="4">
      <w:start w:val="1"/>
      <w:numFmt w:val="decimal"/>
      <w:pStyle w:val="Titre5"/>
      <w:lvlText w:val="(%5)"/>
      <w:legacy w:legacy="1" w:legacySpace="0" w:legacyIndent="708"/>
      <w:lvlJc w:val="left"/>
      <w:pPr>
        <w:ind w:left="3258" w:hanging="708"/>
      </w:pPr>
    </w:lvl>
    <w:lvl w:ilvl="5">
      <w:start w:val="1"/>
      <w:numFmt w:val="lowerLetter"/>
      <w:pStyle w:val="Titre6"/>
      <w:lvlText w:val="(%6)"/>
      <w:legacy w:legacy="1" w:legacySpace="0" w:legacyIndent="708"/>
      <w:lvlJc w:val="left"/>
      <w:pPr>
        <w:ind w:left="3966" w:hanging="708"/>
      </w:pPr>
    </w:lvl>
    <w:lvl w:ilvl="6">
      <w:start w:val="1"/>
      <w:numFmt w:val="lowerRoman"/>
      <w:pStyle w:val="Titre7"/>
      <w:lvlText w:val="(%7)"/>
      <w:legacy w:legacy="1" w:legacySpace="0" w:legacyIndent="708"/>
      <w:lvlJc w:val="left"/>
      <w:pPr>
        <w:ind w:left="4674" w:hanging="708"/>
      </w:pPr>
    </w:lvl>
    <w:lvl w:ilvl="7">
      <w:start w:val="1"/>
      <w:numFmt w:val="lowerLetter"/>
      <w:pStyle w:val="Titre8"/>
      <w:lvlText w:val="(%8)"/>
      <w:legacy w:legacy="1" w:legacySpace="0" w:legacyIndent="708"/>
      <w:lvlJc w:val="left"/>
      <w:pPr>
        <w:ind w:left="5382" w:hanging="708"/>
      </w:pPr>
    </w:lvl>
    <w:lvl w:ilvl="8">
      <w:start w:val="1"/>
      <w:numFmt w:val="lowerRoman"/>
      <w:pStyle w:val="Titre9"/>
      <w:lvlText w:val="(%9)"/>
      <w:legacy w:legacy="1" w:legacySpace="0" w:legacyIndent="708"/>
      <w:lvlJc w:val="left"/>
      <w:pPr>
        <w:ind w:left="6090" w:hanging="708"/>
      </w:pPr>
    </w:lvl>
  </w:abstractNum>
  <w:abstractNum w:abstractNumId="11" w15:restartNumberingAfterBreak="0">
    <w:nsid w:val="002D6674"/>
    <w:multiLevelType w:val="hybridMultilevel"/>
    <w:tmpl w:val="1B34F07E"/>
    <w:lvl w:ilvl="0" w:tplc="A3349194">
      <w:start w:val="1"/>
      <w:numFmt w:val="bullet"/>
      <w:pStyle w:val="DCEPuceflche"/>
      <w:lvlText w:val=""/>
      <w:lvlJc w:val="left"/>
      <w:pPr>
        <w:tabs>
          <w:tab w:val="num" w:pos="720"/>
        </w:tabs>
        <w:ind w:left="720" w:hanging="360"/>
      </w:pPr>
      <w:rPr>
        <w:rFonts w:ascii="Wingdings" w:hAnsi="Wingdings" w:hint="default"/>
        <w:sz w:val="22"/>
        <w:szCs w:val="22"/>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2871A56"/>
    <w:multiLevelType w:val="hybridMultilevel"/>
    <w:tmpl w:val="9EEE9726"/>
    <w:lvl w:ilvl="0" w:tplc="7D5A54B2">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03CD077E"/>
    <w:multiLevelType w:val="hybridMultilevel"/>
    <w:tmpl w:val="9BAA70F0"/>
    <w:lvl w:ilvl="0" w:tplc="7C205E56">
      <w:start w:val="1"/>
      <w:numFmt w:val="lowerLetter"/>
      <w:lvlText w:val="%1)"/>
      <w:lvlJc w:val="left"/>
      <w:pPr>
        <w:ind w:left="720" w:hanging="360"/>
      </w:pPr>
      <w:rPr>
        <w:rFonts w:hint="default"/>
        <w:sz w:val="24"/>
        <w:szCs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0864022B"/>
    <w:multiLevelType w:val="hybridMultilevel"/>
    <w:tmpl w:val="DA4633E6"/>
    <w:lvl w:ilvl="0" w:tplc="AEEC2E7E">
      <w:start w:val="1"/>
      <w:numFmt w:val="bullet"/>
      <w:pStyle w:val="RapPuces"/>
      <w:lvlText w:val="-"/>
      <w:lvlJc w:val="left"/>
      <w:pPr>
        <w:tabs>
          <w:tab w:val="num" w:pos="994"/>
        </w:tabs>
        <w:ind w:left="710" w:firstLine="0"/>
      </w:pPr>
      <w:rPr>
        <w:rFonts w:ascii="Times New Roman" w:hAnsi="Times New Roman" w:cs="Times New Roman" w:hint="default"/>
      </w:rPr>
    </w:lvl>
    <w:lvl w:ilvl="1" w:tplc="040C0003" w:tentative="1">
      <w:start w:val="1"/>
      <w:numFmt w:val="bullet"/>
      <w:lvlText w:val="o"/>
      <w:lvlJc w:val="left"/>
      <w:pPr>
        <w:tabs>
          <w:tab w:val="num" w:pos="1298"/>
        </w:tabs>
        <w:ind w:left="1298" w:hanging="360"/>
      </w:pPr>
      <w:rPr>
        <w:rFonts w:ascii="Courier New" w:hAnsi="Courier New" w:cs="Courier New" w:hint="default"/>
      </w:rPr>
    </w:lvl>
    <w:lvl w:ilvl="2" w:tplc="040C0005" w:tentative="1">
      <w:start w:val="1"/>
      <w:numFmt w:val="bullet"/>
      <w:lvlText w:val=""/>
      <w:lvlJc w:val="left"/>
      <w:pPr>
        <w:tabs>
          <w:tab w:val="num" w:pos="2018"/>
        </w:tabs>
        <w:ind w:left="2018" w:hanging="360"/>
      </w:pPr>
      <w:rPr>
        <w:rFonts w:ascii="Wingdings" w:hAnsi="Wingdings" w:hint="default"/>
      </w:rPr>
    </w:lvl>
    <w:lvl w:ilvl="3" w:tplc="040C0001" w:tentative="1">
      <w:start w:val="1"/>
      <w:numFmt w:val="bullet"/>
      <w:lvlText w:val=""/>
      <w:lvlJc w:val="left"/>
      <w:pPr>
        <w:tabs>
          <w:tab w:val="num" w:pos="2738"/>
        </w:tabs>
        <w:ind w:left="2738" w:hanging="360"/>
      </w:pPr>
      <w:rPr>
        <w:rFonts w:ascii="Symbol" w:hAnsi="Symbol" w:hint="default"/>
      </w:rPr>
    </w:lvl>
    <w:lvl w:ilvl="4" w:tplc="040C0003" w:tentative="1">
      <w:start w:val="1"/>
      <w:numFmt w:val="bullet"/>
      <w:lvlText w:val="o"/>
      <w:lvlJc w:val="left"/>
      <w:pPr>
        <w:tabs>
          <w:tab w:val="num" w:pos="3458"/>
        </w:tabs>
        <w:ind w:left="3458" w:hanging="360"/>
      </w:pPr>
      <w:rPr>
        <w:rFonts w:ascii="Courier New" w:hAnsi="Courier New" w:cs="Courier New" w:hint="default"/>
      </w:rPr>
    </w:lvl>
    <w:lvl w:ilvl="5" w:tplc="040C0005" w:tentative="1">
      <w:start w:val="1"/>
      <w:numFmt w:val="bullet"/>
      <w:lvlText w:val=""/>
      <w:lvlJc w:val="left"/>
      <w:pPr>
        <w:tabs>
          <w:tab w:val="num" w:pos="4178"/>
        </w:tabs>
        <w:ind w:left="4178" w:hanging="360"/>
      </w:pPr>
      <w:rPr>
        <w:rFonts w:ascii="Wingdings" w:hAnsi="Wingdings" w:hint="default"/>
      </w:rPr>
    </w:lvl>
    <w:lvl w:ilvl="6" w:tplc="040C0001" w:tentative="1">
      <w:start w:val="1"/>
      <w:numFmt w:val="bullet"/>
      <w:lvlText w:val=""/>
      <w:lvlJc w:val="left"/>
      <w:pPr>
        <w:tabs>
          <w:tab w:val="num" w:pos="4898"/>
        </w:tabs>
        <w:ind w:left="4898" w:hanging="360"/>
      </w:pPr>
      <w:rPr>
        <w:rFonts w:ascii="Symbol" w:hAnsi="Symbol" w:hint="default"/>
      </w:rPr>
    </w:lvl>
    <w:lvl w:ilvl="7" w:tplc="040C0003" w:tentative="1">
      <w:start w:val="1"/>
      <w:numFmt w:val="bullet"/>
      <w:lvlText w:val="o"/>
      <w:lvlJc w:val="left"/>
      <w:pPr>
        <w:tabs>
          <w:tab w:val="num" w:pos="5618"/>
        </w:tabs>
        <w:ind w:left="5618" w:hanging="360"/>
      </w:pPr>
      <w:rPr>
        <w:rFonts w:ascii="Courier New" w:hAnsi="Courier New" w:cs="Courier New" w:hint="default"/>
      </w:rPr>
    </w:lvl>
    <w:lvl w:ilvl="8" w:tplc="040C0005" w:tentative="1">
      <w:start w:val="1"/>
      <w:numFmt w:val="bullet"/>
      <w:lvlText w:val=""/>
      <w:lvlJc w:val="left"/>
      <w:pPr>
        <w:tabs>
          <w:tab w:val="num" w:pos="6338"/>
        </w:tabs>
        <w:ind w:left="6338" w:hanging="360"/>
      </w:pPr>
      <w:rPr>
        <w:rFonts w:ascii="Wingdings" w:hAnsi="Wingdings" w:hint="default"/>
      </w:rPr>
    </w:lvl>
  </w:abstractNum>
  <w:abstractNum w:abstractNumId="15" w15:restartNumberingAfterBreak="0">
    <w:nsid w:val="0C8F05C5"/>
    <w:multiLevelType w:val="hybridMultilevel"/>
    <w:tmpl w:val="FC76E2BE"/>
    <w:lvl w:ilvl="0" w:tplc="067050F6">
      <w:start w:val="1"/>
      <w:numFmt w:val="bullet"/>
      <w:lvlText w:val="-"/>
      <w:lvlJc w:val="left"/>
      <w:pPr>
        <w:ind w:left="720" w:hanging="360"/>
      </w:pPr>
      <w:rPr>
        <w:rFonts w:ascii="Times New Roman" w:hAnsi="Times New Roman" w:cs="Times New Roman" w:hint="default"/>
      </w:rPr>
    </w:lvl>
    <w:lvl w:ilvl="1" w:tplc="63C87884">
      <w:start w:val="1"/>
      <w:numFmt w:val="bullet"/>
      <w:lvlText w:val="-"/>
      <w:lvlJc w:val="left"/>
      <w:pPr>
        <w:ind w:left="1440" w:hanging="360"/>
      </w:pPr>
      <w:rPr>
        <w:rFonts w:ascii="Times New Roman" w:hAnsi="Times New Roman" w:cs="Times New Roman"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02A5D97"/>
    <w:multiLevelType w:val="multilevel"/>
    <w:tmpl w:val="A17C902A"/>
    <w:lvl w:ilvl="0">
      <w:start w:val="1"/>
      <w:numFmt w:val="decimal"/>
      <w:pStyle w:val="DCEArticle"/>
      <w:isLgl/>
      <w:suff w:val="nothing"/>
      <w:lvlText w:val="ARTICLE %1 - "/>
      <w:lvlJc w:val="left"/>
      <w:pPr>
        <w:ind w:left="2977" w:firstLine="0"/>
      </w:pPr>
      <w:rPr>
        <w:rFonts w:ascii="Times New Roman" w:hAnsi="Times New Roman" w:hint="default"/>
        <w:b/>
        <w:i w:val="0"/>
        <w:sz w:val="26"/>
        <w:szCs w:val="26"/>
        <w:u w:val="single"/>
      </w:rPr>
    </w:lvl>
    <w:lvl w:ilvl="1">
      <w:start w:val="1"/>
      <w:numFmt w:val="decimal"/>
      <w:pStyle w:val="DCETitre2"/>
      <w:suff w:val="space"/>
      <w:lvlText w:val="%1.%2."/>
      <w:lvlJc w:val="left"/>
      <w:pPr>
        <w:ind w:left="994" w:hanging="852"/>
      </w:pPr>
      <w:rPr>
        <w:rFonts w:ascii="Times New Roman" w:hAnsi="Times New Roman" w:hint="default"/>
      </w:rPr>
    </w:lvl>
    <w:lvl w:ilvl="2">
      <w:start w:val="1"/>
      <w:numFmt w:val="decimal"/>
      <w:pStyle w:val="DCETitre3Car"/>
      <w:suff w:val="space"/>
      <w:lvlText w:val="%1.%2.%3."/>
      <w:lvlJc w:val="left"/>
      <w:pPr>
        <w:ind w:left="-283" w:firstLine="1134"/>
      </w:pPr>
      <w:rPr>
        <w:rFonts w:ascii="Times New Roman" w:hAnsi="Times New Roman" w:hint="default"/>
      </w:rPr>
    </w:lvl>
    <w:lvl w:ilvl="3">
      <w:start w:val="1"/>
      <w:numFmt w:val="decimal"/>
      <w:pStyle w:val="DCETitre4"/>
      <w:suff w:val="space"/>
      <w:lvlText w:val="%1.%2.%3.%4."/>
      <w:lvlJc w:val="left"/>
      <w:pPr>
        <w:ind w:left="0" w:firstLine="1701"/>
      </w:pPr>
      <w:rPr>
        <w:rFonts w:ascii="Times New Roman" w:hAnsi="Times New Roman" w:hint="default"/>
      </w:rPr>
    </w:lvl>
    <w:lvl w:ilvl="4">
      <w:start w:val="1"/>
      <w:numFmt w:val="decimal"/>
      <w:lvlText w:val="%1.%2.%3.%4.%5."/>
      <w:lvlJc w:val="left"/>
      <w:pPr>
        <w:tabs>
          <w:tab w:val="num" w:pos="6075"/>
        </w:tabs>
        <w:ind w:left="5067" w:hanging="792"/>
      </w:pPr>
      <w:rPr>
        <w:rFonts w:hint="default"/>
      </w:rPr>
    </w:lvl>
    <w:lvl w:ilvl="5">
      <w:start w:val="1"/>
      <w:numFmt w:val="decimal"/>
      <w:lvlText w:val="%1.%2.%3.%4.%5.%6."/>
      <w:lvlJc w:val="left"/>
      <w:pPr>
        <w:tabs>
          <w:tab w:val="num" w:pos="6435"/>
        </w:tabs>
        <w:ind w:left="5571" w:hanging="936"/>
      </w:pPr>
      <w:rPr>
        <w:rFonts w:hint="default"/>
      </w:rPr>
    </w:lvl>
    <w:lvl w:ilvl="6">
      <w:start w:val="1"/>
      <w:numFmt w:val="decimal"/>
      <w:lvlText w:val="%1.%2.%3.%4.%5.%6.%7."/>
      <w:lvlJc w:val="left"/>
      <w:pPr>
        <w:tabs>
          <w:tab w:val="num" w:pos="7155"/>
        </w:tabs>
        <w:ind w:left="6075" w:hanging="1080"/>
      </w:pPr>
      <w:rPr>
        <w:rFonts w:hint="default"/>
      </w:rPr>
    </w:lvl>
    <w:lvl w:ilvl="7">
      <w:start w:val="1"/>
      <w:numFmt w:val="decimal"/>
      <w:lvlText w:val="%1.%2.%3.%4.%5.%6.%7.%8."/>
      <w:lvlJc w:val="left"/>
      <w:pPr>
        <w:tabs>
          <w:tab w:val="num" w:pos="7875"/>
        </w:tabs>
        <w:ind w:left="6579" w:hanging="1224"/>
      </w:pPr>
      <w:rPr>
        <w:rFonts w:hint="default"/>
      </w:rPr>
    </w:lvl>
    <w:lvl w:ilvl="8">
      <w:start w:val="1"/>
      <w:numFmt w:val="decimal"/>
      <w:lvlText w:val="%1.%2.%3.%4.%5.%6.%7.%8.%9."/>
      <w:lvlJc w:val="left"/>
      <w:pPr>
        <w:tabs>
          <w:tab w:val="num" w:pos="8595"/>
        </w:tabs>
        <w:ind w:left="7155" w:hanging="1440"/>
      </w:pPr>
      <w:rPr>
        <w:rFonts w:hint="default"/>
      </w:rPr>
    </w:lvl>
  </w:abstractNum>
  <w:abstractNum w:abstractNumId="17" w15:restartNumberingAfterBreak="0">
    <w:nsid w:val="162A0FE7"/>
    <w:multiLevelType w:val="hybridMultilevel"/>
    <w:tmpl w:val="A42A7858"/>
    <w:lvl w:ilvl="0" w:tplc="4DBEE90A">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164211B4"/>
    <w:multiLevelType w:val="hybridMultilevel"/>
    <w:tmpl w:val="9BAA70F0"/>
    <w:lvl w:ilvl="0" w:tplc="7C205E56">
      <w:start w:val="1"/>
      <w:numFmt w:val="lowerLetter"/>
      <w:lvlText w:val="%1)"/>
      <w:lvlJc w:val="left"/>
      <w:pPr>
        <w:ind w:left="720" w:hanging="360"/>
      </w:pPr>
      <w:rPr>
        <w:rFonts w:hint="default"/>
        <w:sz w:val="24"/>
        <w:szCs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17E30D8B"/>
    <w:multiLevelType w:val="hybridMultilevel"/>
    <w:tmpl w:val="87CC37A2"/>
    <w:lvl w:ilvl="0" w:tplc="4DBEE90A">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1B387BC3"/>
    <w:multiLevelType w:val="hybridMultilevel"/>
    <w:tmpl w:val="AF5495B8"/>
    <w:lvl w:ilvl="0" w:tplc="F138814E">
      <w:start w:val="1"/>
      <w:numFmt w:val="bullet"/>
      <w:pStyle w:val="DCETiret"/>
      <w:lvlText w:val="-"/>
      <w:lvlJc w:val="left"/>
      <w:pPr>
        <w:tabs>
          <w:tab w:val="num" w:pos="3054"/>
        </w:tabs>
        <w:ind w:left="3054" w:hanging="360"/>
      </w:pPr>
      <w:rPr>
        <w:rFonts w:ascii="Times New Roman" w:hAnsi="Times New Roman" w:cs="Times New Roman" w:hint="default"/>
      </w:rPr>
    </w:lvl>
    <w:lvl w:ilvl="1" w:tplc="4DBEE90A">
      <w:start w:val="1"/>
      <w:numFmt w:val="bullet"/>
      <w:lvlText w:val="-"/>
      <w:lvlJc w:val="left"/>
      <w:pPr>
        <w:ind w:left="2031" w:hanging="384"/>
      </w:pPr>
      <w:rPr>
        <w:rFonts w:ascii="Times New Roman" w:hAnsi="Times New Roman" w:cs="Times New Roman" w:hint="default"/>
      </w:rPr>
    </w:lvl>
    <w:lvl w:ilvl="2" w:tplc="040C0005">
      <w:start w:val="1"/>
      <w:numFmt w:val="bullet"/>
      <w:lvlText w:val=""/>
      <w:lvlJc w:val="left"/>
      <w:pPr>
        <w:tabs>
          <w:tab w:val="num" w:pos="2727"/>
        </w:tabs>
        <w:ind w:left="2727" w:hanging="360"/>
      </w:pPr>
      <w:rPr>
        <w:rFonts w:ascii="Wingdings" w:hAnsi="Wingdings" w:hint="default"/>
      </w:rPr>
    </w:lvl>
    <w:lvl w:ilvl="3" w:tplc="8F52D108">
      <w:numFmt w:val="bullet"/>
      <w:lvlText w:val="·"/>
      <w:lvlJc w:val="left"/>
      <w:pPr>
        <w:ind w:left="3819" w:hanging="732"/>
      </w:pPr>
      <w:rPr>
        <w:rFonts w:ascii="Times New Roman" w:eastAsia="Times New Roman" w:hAnsi="Times New Roman" w:cs="Times New Roman"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21" w15:restartNumberingAfterBreak="0">
    <w:nsid w:val="1F7E6694"/>
    <w:multiLevelType w:val="hybridMultilevel"/>
    <w:tmpl w:val="BCE6644A"/>
    <w:lvl w:ilvl="0" w:tplc="0818C2F8">
      <w:start w:val="1"/>
      <w:numFmt w:val="lowerLetter"/>
      <w:pStyle w:val="DCEPucea"/>
      <w:lvlText w:val="%1)"/>
      <w:lvlJc w:val="left"/>
      <w:pPr>
        <w:tabs>
          <w:tab w:val="num" w:pos="284"/>
        </w:tabs>
        <w:ind w:left="284" w:hanging="284"/>
      </w:pPr>
      <w:rPr>
        <w:rFonts w:hint="default"/>
        <w:sz w:val="22"/>
        <w:szCs w:val="22"/>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2F72038"/>
    <w:multiLevelType w:val="hybridMultilevel"/>
    <w:tmpl w:val="5CC0C13A"/>
    <w:lvl w:ilvl="0" w:tplc="63C87884">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C446887"/>
    <w:multiLevelType w:val="hybridMultilevel"/>
    <w:tmpl w:val="9D5688C6"/>
    <w:lvl w:ilvl="0" w:tplc="E1CE369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2DA0090B"/>
    <w:multiLevelType w:val="hybridMultilevel"/>
    <w:tmpl w:val="53A6626A"/>
    <w:lvl w:ilvl="0" w:tplc="FBEC3372">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0671C5B"/>
    <w:multiLevelType w:val="hybridMultilevel"/>
    <w:tmpl w:val="F7FE94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4E876CF"/>
    <w:multiLevelType w:val="hybridMultilevel"/>
    <w:tmpl w:val="AF7231A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44AA5EF7"/>
    <w:multiLevelType w:val="hybridMultilevel"/>
    <w:tmpl w:val="6A2CA51C"/>
    <w:lvl w:ilvl="0" w:tplc="B8CC2228">
      <w:start w:val="1"/>
      <w:numFmt w:val="bullet"/>
      <w:pStyle w:val="Corpstexte"/>
      <w:lvlText w:val=""/>
      <w:lvlJc w:val="left"/>
      <w:pPr>
        <w:tabs>
          <w:tab w:val="num" w:pos="720"/>
        </w:tabs>
        <w:ind w:left="720" w:hanging="360"/>
      </w:pPr>
      <w:rPr>
        <w:rFonts w:ascii="Wingdings" w:hAnsi="Wingdings" w:hint="default"/>
        <w:sz w:val="22"/>
        <w:szCs w:val="22"/>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6A56D1F"/>
    <w:multiLevelType w:val="hybridMultilevel"/>
    <w:tmpl w:val="63C85680"/>
    <w:lvl w:ilvl="0" w:tplc="39BC57B6">
      <w:start w:val="1"/>
      <w:numFmt w:val="bullet"/>
      <w:lvlText w:val="-"/>
      <w:lvlJc w:val="left"/>
      <w:pPr>
        <w:tabs>
          <w:tab w:val="num" w:pos="284"/>
        </w:tabs>
        <w:ind w:left="0" w:firstLine="0"/>
      </w:pPr>
      <w:rPr>
        <w:rFonts w:ascii="Times New Roman" w:hAnsi="Times New Roman" w:cs="Times New Roman" w:hint="default"/>
      </w:rPr>
    </w:lvl>
    <w:lvl w:ilvl="1" w:tplc="AED46DE4">
      <w:start w:val="1"/>
      <w:numFmt w:val="bullet"/>
      <w:lvlText w:val="-"/>
      <w:lvlJc w:val="left"/>
      <w:pPr>
        <w:tabs>
          <w:tab w:val="num" w:pos="1440"/>
        </w:tabs>
        <w:ind w:left="1440" w:hanging="360"/>
      </w:pPr>
      <w:rPr>
        <w:rFonts w:ascii="Times New Roman" w:hAnsi="Times New Roman" w:cs="Times New Roman" w:hint="default"/>
        <w:sz w:val="22"/>
        <w:szCs w:val="22"/>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03B70F9"/>
    <w:multiLevelType w:val="hybridMultilevel"/>
    <w:tmpl w:val="A9DA93DC"/>
    <w:lvl w:ilvl="0" w:tplc="63C87884">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77007F0"/>
    <w:multiLevelType w:val="hybridMultilevel"/>
    <w:tmpl w:val="4EE65C2E"/>
    <w:lvl w:ilvl="0" w:tplc="40706478">
      <w:start w:val="1"/>
      <w:numFmt w:val="bullet"/>
      <w:pStyle w:val="DCEPuce"/>
      <w:lvlText w:val=""/>
      <w:lvlJc w:val="left"/>
      <w:pPr>
        <w:tabs>
          <w:tab w:val="num" w:pos="1287"/>
        </w:tabs>
        <w:ind w:left="1287" w:hanging="360"/>
      </w:pPr>
      <w:rPr>
        <w:rFonts w:ascii="Symbol" w:hAnsi="Symbol" w:cs="Times New Roman" w:hint="default"/>
        <w:sz w:val="18"/>
        <w:szCs w:val="18"/>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31" w15:restartNumberingAfterBreak="0">
    <w:nsid w:val="7ECD5BCB"/>
    <w:multiLevelType w:val="hybridMultilevel"/>
    <w:tmpl w:val="7618F3E6"/>
    <w:lvl w:ilvl="0" w:tplc="067050F6">
      <w:start w:val="1"/>
      <w:numFmt w:val="bullet"/>
      <w:lvlText w:val="-"/>
      <w:lvlJc w:val="left"/>
      <w:pPr>
        <w:ind w:left="720" w:hanging="360"/>
      </w:pPr>
      <w:rPr>
        <w:rFonts w:ascii="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0"/>
  </w:num>
  <w:num w:numId="2">
    <w:abstractNumId w:val="27"/>
  </w:num>
  <w:num w:numId="3">
    <w:abstractNumId w:val="21"/>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6"/>
  </w:num>
  <w:num w:numId="15">
    <w:abstractNumId w:val="20"/>
  </w:num>
  <w:num w:numId="16">
    <w:abstractNumId w:val="30"/>
  </w:num>
  <w:num w:numId="17">
    <w:abstractNumId w:val="11"/>
  </w:num>
  <w:num w:numId="18">
    <w:abstractNumId w:val="14"/>
  </w:num>
  <w:num w:numId="19">
    <w:abstractNumId w:val="17"/>
  </w:num>
  <w:num w:numId="20">
    <w:abstractNumId w:val="24"/>
  </w:num>
  <w:num w:numId="21">
    <w:abstractNumId w:val="19"/>
  </w:num>
  <w:num w:numId="22">
    <w:abstractNumId w:val="31"/>
  </w:num>
  <w:num w:numId="23">
    <w:abstractNumId w:val="18"/>
  </w:num>
  <w:num w:numId="24">
    <w:abstractNumId w:val="26"/>
  </w:num>
  <w:num w:numId="25">
    <w:abstractNumId w:val="13"/>
  </w:num>
  <w:num w:numId="26">
    <w:abstractNumId w:val="29"/>
  </w:num>
  <w:num w:numId="27">
    <w:abstractNumId w:val="15"/>
  </w:num>
  <w:num w:numId="28">
    <w:abstractNumId w:val="16"/>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num>
  <w:num w:numId="32">
    <w:abstractNumId w:val="16"/>
  </w:num>
  <w:num w:numId="33">
    <w:abstractNumId w:val="25"/>
  </w:num>
  <w:num w:numId="34">
    <w:abstractNumId w:val="23"/>
  </w:num>
  <w:num w:numId="35">
    <w:abstractNumId w:val="28"/>
  </w:num>
  <w:num w:numId="36">
    <w:abstractNumId w:val="12"/>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126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343"/>
    <w:rsid w:val="00000DE5"/>
    <w:rsid w:val="000025D1"/>
    <w:rsid w:val="00003418"/>
    <w:rsid w:val="0000426A"/>
    <w:rsid w:val="00006C9B"/>
    <w:rsid w:val="00011758"/>
    <w:rsid w:val="000168B9"/>
    <w:rsid w:val="00022A32"/>
    <w:rsid w:val="0002332C"/>
    <w:rsid w:val="0002486D"/>
    <w:rsid w:val="000265D4"/>
    <w:rsid w:val="0002737A"/>
    <w:rsid w:val="00031CB2"/>
    <w:rsid w:val="0003223F"/>
    <w:rsid w:val="00033177"/>
    <w:rsid w:val="00034962"/>
    <w:rsid w:val="000353CF"/>
    <w:rsid w:val="000354A0"/>
    <w:rsid w:val="00035D8C"/>
    <w:rsid w:val="0004264B"/>
    <w:rsid w:val="00047FE3"/>
    <w:rsid w:val="0005005C"/>
    <w:rsid w:val="0005181B"/>
    <w:rsid w:val="00052C86"/>
    <w:rsid w:val="000533A5"/>
    <w:rsid w:val="000565CC"/>
    <w:rsid w:val="00057040"/>
    <w:rsid w:val="00057106"/>
    <w:rsid w:val="00062886"/>
    <w:rsid w:val="000628D7"/>
    <w:rsid w:val="00063DE0"/>
    <w:rsid w:val="00064787"/>
    <w:rsid w:val="00066EA6"/>
    <w:rsid w:val="00071197"/>
    <w:rsid w:val="0007372F"/>
    <w:rsid w:val="00074654"/>
    <w:rsid w:val="00074A88"/>
    <w:rsid w:val="00074C36"/>
    <w:rsid w:val="0007596A"/>
    <w:rsid w:val="00081ADB"/>
    <w:rsid w:val="0008353E"/>
    <w:rsid w:val="000835D6"/>
    <w:rsid w:val="000867B9"/>
    <w:rsid w:val="000867CE"/>
    <w:rsid w:val="00087954"/>
    <w:rsid w:val="000900D1"/>
    <w:rsid w:val="0009282B"/>
    <w:rsid w:val="00095C11"/>
    <w:rsid w:val="000969AC"/>
    <w:rsid w:val="000972CC"/>
    <w:rsid w:val="000A1102"/>
    <w:rsid w:val="000A1C07"/>
    <w:rsid w:val="000A3770"/>
    <w:rsid w:val="000A5B3F"/>
    <w:rsid w:val="000A5F2C"/>
    <w:rsid w:val="000A6CDC"/>
    <w:rsid w:val="000A7848"/>
    <w:rsid w:val="000B38AE"/>
    <w:rsid w:val="000B5AE5"/>
    <w:rsid w:val="000C0369"/>
    <w:rsid w:val="000C651B"/>
    <w:rsid w:val="000C66FD"/>
    <w:rsid w:val="000D1088"/>
    <w:rsid w:val="000D1FAF"/>
    <w:rsid w:val="000D2886"/>
    <w:rsid w:val="000D4D04"/>
    <w:rsid w:val="000D5010"/>
    <w:rsid w:val="000D590D"/>
    <w:rsid w:val="000D6943"/>
    <w:rsid w:val="000D7691"/>
    <w:rsid w:val="000E16AC"/>
    <w:rsid w:val="000E285F"/>
    <w:rsid w:val="000E2C7F"/>
    <w:rsid w:val="000E3370"/>
    <w:rsid w:val="000E40A4"/>
    <w:rsid w:val="000E4A38"/>
    <w:rsid w:val="000E6EA4"/>
    <w:rsid w:val="000E7704"/>
    <w:rsid w:val="000F0DFD"/>
    <w:rsid w:val="000F123B"/>
    <w:rsid w:val="000F23F5"/>
    <w:rsid w:val="000F260C"/>
    <w:rsid w:val="000F4A8C"/>
    <w:rsid w:val="000F56C2"/>
    <w:rsid w:val="000F6B7B"/>
    <w:rsid w:val="000F78A8"/>
    <w:rsid w:val="000F7B4B"/>
    <w:rsid w:val="00101685"/>
    <w:rsid w:val="0010193D"/>
    <w:rsid w:val="00102337"/>
    <w:rsid w:val="00107A78"/>
    <w:rsid w:val="00110FD9"/>
    <w:rsid w:val="00112D18"/>
    <w:rsid w:val="00112D45"/>
    <w:rsid w:val="001135C6"/>
    <w:rsid w:val="001146D0"/>
    <w:rsid w:val="00114B11"/>
    <w:rsid w:val="00116FC2"/>
    <w:rsid w:val="0012140B"/>
    <w:rsid w:val="00122624"/>
    <w:rsid w:val="00126515"/>
    <w:rsid w:val="00130454"/>
    <w:rsid w:val="00132B8F"/>
    <w:rsid w:val="00133B2F"/>
    <w:rsid w:val="0013515E"/>
    <w:rsid w:val="001378D8"/>
    <w:rsid w:val="00140645"/>
    <w:rsid w:val="00142041"/>
    <w:rsid w:val="001444F6"/>
    <w:rsid w:val="0014546A"/>
    <w:rsid w:val="001462C0"/>
    <w:rsid w:val="0014634B"/>
    <w:rsid w:val="00147403"/>
    <w:rsid w:val="00154C87"/>
    <w:rsid w:val="0015729C"/>
    <w:rsid w:val="00157EA7"/>
    <w:rsid w:val="00162220"/>
    <w:rsid w:val="00163399"/>
    <w:rsid w:val="00164824"/>
    <w:rsid w:val="00164855"/>
    <w:rsid w:val="001664B7"/>
    <w:rsid w:val="00167420"/>
    <w:rsid w:val="00167E37"/>
    <w:rsid w:val="001700FF"/>
    <w:rsid w:val="00170FB6"/>
    <w:rsid w:val="00173192"/>
    <w:rsid w:val="00180DA9"/>
    <w:rsid w:val="00180FC0"/>
    <w:rsid w:val="00181E08"/>
    <w:rsid w:val="00182462"/>
    <w:rsid w:val="00182978"/>
    <w:rsid w:val="00183243"/>
    <w:rsid w:val="00187D9B"/>
    <w:rsid w:val="001907A7"/>
    <w:rsid w:val="001932A5"/>
    <w:rsid w:val="00194663"/>
    <w:rsid w:val="001969F9"/>
    <w:rsid w:val="00196CD6"/>
    <w:rsid w:val="001A18A4"/>
    <w:rsid w:val="001A19FA"/>
    <w:rsid w:val="001A1D5D"/>
    <w:rsid w:val="001A317D"/>
    <w:rsid w:val="001A3590"/>
    <w:rsid w:val="001A42F4"/>
    <w:rsid w:val="001A52CF"/>
    <w:rsid w:val="001A5C12"/>
    <w:rsid w:val="001A6A80"/>
    <w:rsid w:val="001A6DE4"/>
    <w:rsid w:val="001A7A0F"/>
    <w:rsid w:val="001B15A9"/>
    <w:rsid w:val="001B25E3"/>
    <w:rsid w:val="001B4D00"/>
    <w:rsid w:val="001B54AD"/>
    <w:rsid w:val="001B587A"/>
    <w:rsid w:val="001B5DB1"/>
    <w:rsid w:val="001C0908"/>
    <w:rsid w:val="001C294F"/>
    <w:rsid w:val="001C3003"/>
    <w:rsid w:val="001C353D"/>
    <w:rsid w:val="001C507E"/>
    <w:rsid w:val="001C6358"/>
    <w:rsid w:val="001C673A"/>
    <w:rsid w:val="001D169B"/>
    <w:rsid w:val="001D2114"/>
    <w:rsid w:val="001D33C5"/>
    <w:rsid w:val="001D377F"/>
    <w:rsid w:val="001D47D6"/>
    <w:rsid w:val="001D550C"/>
    <w:rsid w:val="001D66B0"/>
    <w:rsid w:val="001E0612"/>
    <w:rsid w:val="001E23FE"/>
    <w:rsid w:val="001E3846"/>
    <w:rsid w:val="001E3CAD"/>
    <w:rsid w:val="001E4BFD"/>
    <w:rsid w:val="001E5B90"/>
    <w:rsid w:val="001F246B"/>
    <w:rsid w:val="001F533D"/>
    <w:rsid w:val="001F55D8"/>
    <w:rsid w:val="00202F57"/>
    <w:rsid w:val="00203996"/>
    <w:rsid w:val="00205B06"/>
    <w:rsid w:val="0020738E"/>
    <w:rsid w:val="002114A1"/>
    <w:rsid w:val="00215A35"/>
    <w:rsid w:val="002163D0"/>
    <w:rsid w:val="00221C46"/>
    <w:rsid w:val="00224CA6"/>
    <w:rsid w:val="00225307"/>
    <w:rsid w:val="00227CF8"/>
    <w:rsid w:val="002358D8"/>
    <w:rsid w:val="00236034"/>
    <w:rsid w:val="002430F3"/>
    <w:rsid w:val="002444A5"/>
    <w:rsid w:val="002456B6"/>
    <w:rsid w:val="00246C88"/>
    <w:rsid w:val="00247EC0"/>
    <w:rsid w:val="00250EC4"/>
    <w:rsid w:val="002541AA"/>
    <w:rsid w:val="002570C6"/>
    <w:rsid w:val="0025776D"/>
    <w:rsid w:val="00260A2C"/>
    <w:rsid w:val="00261345"/>
    <w:rsid w:val="0026215C"/>
    <w:rsid w:val="00264E3A"/>
    <w:rsid w:val="00265CEB"/>
    <w:rsid w:val="00265E04"/>
    <w:rsid w:val="00267317"/>
    <w:rsid w:val="002673D2"/>
    <w:rsid w:val="002744DD"/>
    <w:rsid w:val="00274A74"/>
    <w:rsid w:val="00274BF5"/>
    <w:rsid w:val="0028054A"/>
    <w:rsid w:val="00281EE1"/>
    <w:rsid w:val="00281F70"/>
    <w:rsid w:val="00283EE1"/>
    <w:rsid w:val="00283F93"/>
    <w:rsid w:val="0028407C"/>
    <w:rsid w:val="002858E4"/>
    <w:rsid w:val="00292685"/>
    <w:rsid w:val="00292C04"/>
    <w:rsid w:val="00293928"/>
    <w:rsid w:val="00294689"/>
    <w:rsid w:val="002A29C0"/>
    <w:rsid w:val="002A4ABD"/>
    <w:rsid w:val="002A51FE"/>
    <w:rsid w:val="002A6C44"/>
    <w:rsid w:val="002A7215"/>
    <w:rsid w:val="002B04DB"/>
    <w:rsid w:val="002B085A"/>
    <w:rsid w:val="002B0BFB"/>
    <w:rsid w:val="002B2F49"/>
    <w:rsid w:val="002B31D9"/>
    <w:rsid w:val="002B57FE"/>
    <w:rsid w:val="002B7659"/>
    <w:rsid w:val="002C133D"/>
    <w:rsid w:val="002C1507"/>
    <w:rsid w:val="002C1926"/>
    <w:rsid w:val="002C204E"/>
    <w:rsid w:val="002C233A"/>
    <w:rsid w:val="002C25D1"/>
    <w:rsid w:val="002C28F5"/>
    <w:rsid w:val="002C3952"/>
    <w:rsid w:val="002C3A57"/>
    <w:rsid w:val="002C4E72"/>
    <w:rsid w:val="002C5434"/>
    <w:rsid w:val="002D1A7B"/>
    <w:rsid w:val="002D432C"/>
    <w:rsid w:val="002D4863"/>
    <w:rsid w:val="002D4C2A"/>
    <w:rsid w:val="002D7620"/>
    <w:rsid w:val="002D7CFF"/>
    <w:rsid w:val="002E01B8"/>
    <w:rsid w:val="002E2FA3"/>
    <w:rsid w:val="002E57EE"/>
    <w:rsid w:val="002E5AD3"/>
    <w:rsid w:val="002E6A8A"/>
    <w:rsid w:val="002E7197"/>
    <w:rsid w:val="002E7EE5"/>
    <w:rsid w:val="002F1861"/>
    <w:rsid w:val="002F2E2F"/>
    <w:rsid w:val="002F5C64"/>
    <w:rsid w:val="00300AFF"/>
    <w:rsid w:val="00302D93"/>
    <w:rsid w:val="00302F51"/>
    <w:rsid w:val="0030537B"/>
    <w:rsid w:val="00307379"/>
    <w:rsid w:val="00307D02"/>
    <w:rsid w:val="00310514"/>
    <w:rsid w:val="00313845"/>
    <w:rsid w:val="00313DC9"/>
    <w:rsid w:val="003150BF"/>
    <w:rsid w:val="0031782F"/>
    <w:rsid w:val="00320622"/>
    <w:rsid w:val="003206A0"/>
    <w:rsid w:val="00323600"/>
    <w:rsid w:val="00323B1E"/>
    <w:rsid w:val="00325AA1"/>
    <w:rsid w:val="00327874"/>
    <w:rsid w:val="00331E97"/>
    <w:rsid w:val="00333F65"/>
    <w:rsid w:val="003343B1"/>
    <w:rsid w:val="00336594"/>
    <w:rsid w:val="00341136"/>
    <w:rsid w:val="00345AE0"/>
    <w:rsid w:val="00352DBC"/>
    <w:rsid w:val="00360C15"/>
    <w:rsid w:val="00365E32"/>
    <w:rsid w:val="00365FAE"/>
    <w:rsid w:val="003700BD"/>
    <w:rsid w:val="00371577"/>
    <w:rsid w:val="003718E1"/>
    <w:rsid w:val="00372DD2"/>
    <w:rsid w:val="00373205"/>
    <w:rsid w:val="0037323A"/>
    <w:rsid w:val="00375387"/>
    <w:rsid w:val="00376127"/>
    <w:rsid w:val="00376AAB"/>
    <w:rsid w:val="003771AB"/>
    <w:rsid w:val="00381C11"/>
    <w:rsid w:val="003829B7"/>
    <w:rsid w:val="00384A46"/>
    <w:rsid w:val="00386EF0"/>
    <w:rsid w:val="00390290"/>
    <w:rsid w:val="00390ADC"/>
    <w:rsid w:val="00392E9E"/>
    <w:rsid w:val="003935B5"/>
    <w:rsid w:val="00394E7C"/>
    <w:rsid w:val="00395265"/>
    <w:rsid w:val="003960C8"/>
    <w:rsid w:val="003965CA"/>
    <w:rsid w:val="003A036A"/>
    <w:rsid w:val="003A162D"/>
    <w:rsid w:val="003A2787"/>
    <w:rsid w:val="003A4A3B"/>
    <w:rsid w:val="003A5BCF"/>
    <w:rsid w:val="003A6792"/>
    <w:rsid w:val="003B04C8"/>
    <w:rsid w:val="003B05DC"/>
    <w:rsid w:val="003B05FF"/>
    <w:rsid w:val="003B0E8D"/>
    <w:rsid w:val="003B25FE"/>
    <w:rsid w:val="003B3787"/>
    <w:rsid w:val="003B3E68"/>
    <w:rsid w:val="003B3F20"/>
    <w:rsid w:val="003B42B4"/>
    <w:rsid w:val="003C08F0"/>
    <w:rsid w:val="003C39AD"/>
    <w:rsid w:val="003C4629"/>
    <w:rsid w:val="003C5CE7"/>
    <w:rsid w:val="003C6426"/>
    <w:rsid w:val="003C71BA"/>
    <w:rsid w:val="003D16E2"/>
    <w:rsid w:val="003D2F41"/>
    <w:rsid w:val="003D2F6C"/>
    <w:rsid w:val="003D304A"/>
    <w:rsid w:val="003D4384"/>
    <w:rsid w:val="003D52F3"/>
    <w:rsid w:val="003D6DEA"/>
    <w:rsid w:val="003D73EC"/>
    <w:rsid w:val="003D796E"/>
    <w:rsid w:val="003E0C69"/>
    <w:rsid w:val="003E0E8C"/>
    <w:rsid w:val="003E280C"/>
    <w:rsid w:val="003E2A31"/>
    <w:rsid w:val="003E34D3"/>
    <w:rsid w:val="003E3D1B"/>
    <w:rsid w:val="003E6798"/>
    <w:rsid w:val="003E7293"/>
    <w:rsid w:val="003E750E"/>
    <w:rsid w:val="003E798B"/>
    <w:rsid w:val="003E7F0D"/>
    <w:rsid w:val="003F0A96"/>
    <w:rsid w:val="003F0B0C"/>
    <w:rsid w:val="003F1BA4"/>
    <w:rsid w:val="003F3302"/>
    <w:rsid w:val="003F51C7"/>
    <w:rsid w:val="003F59F7"/>
    <w:rsid w:val="00400846"/>
    <w:rsid w:val="004014C4"/>
    <w:rsid w:val="00403926"/>
    <w:rsid w:val="00403D33"/>
    <w:rsid w:val="00406961"/>
    <w:rsid w:val="00406B98"/>
    <w:rsid w:val="0041203E"/>
    <w:rsid w:val="00412539"/>
    <w:rsid w:val="00415425"/>
    <w:rsid w:val="0041568C"/>
    <w:rsid w:val="00416871"/>
    <w:rsid w:val="00416A5E"/>
    <w:rsid w:val="004224D1"/>
    <w:rsid w:val="00423544"/>
    <w:rsid w:val="00423AEC"/>
    <w:rsid w:val="004277C6"/>
    <w:rsid w:val="00427E36"/>
    <w:rsid w:val="00431A50"/>
    <w:rsid w:val="00433794"/>
    <w:rsid w:val="00433C0F"/>
    <w:rsid w:val="00436E79"/>
    <w:rsid w:val="004374F2"/>
    <w:rsid w:val="00437CE4"/>
    <w:rsid w:val="00440A61"/>
    <w:rsid w:val="00440ED6"/>
    <w:rsid w:val="00441B34"/>
    <w:rsid w:val="004434B8"/>
    <w:rsid w:val="00444444"/>
    <w:rsid w:val="00444DCA"/>
    <w:rsid w:val="004450A7"/>
    <w:rsid w:val="0044709C"/>
    <w:rsid w:val="004518CE"/>
    <w:rsid w:val="00452092"/>
    <w:rsid w:val="004545C4"/>
    <w:rsid w:val="004566A2"/>
    <w:rsid w:val="004567EF"/>
    <w:rsid w:val="00461F7F"/>
    <w:rsid w:val="00464D7E"/>
    <w:rsid w:val="004664DA"/>
    <w:rsid w:val="004667AF"/>
    <w:rsid w:val="00467070"/>
    <w:rsid w:val="00467897"/>
    <w:rsid w:val="0047095B"/>
    <w:rsid w:val="00471211"/>
    <w:rsid w:val="004715D7"/>
    <w:rsid w:val="00481260"/>
    <w:rsid w:val="00481A59"/>
    <w:rsid w:val="00482F00"/>
    <w:rsid w:val="00484468"/>
    <w:rsid w:val="0048566F"/>
    <w:rsid w:val="004906D4"/>
    <w:rsid w:val="00491FA8"/>
    <w:rsid w:val="00492994"/>
    <w:rsid w:val="0049314A"/>
    <w:rsid w:val="0049514E"/>
    <w:rsid w:val="004973C9"/>
    <w:rsid w:val="00497B4C"/>
    <w:rsid w:val="00497EEF"/>
    <w:rsid w:val="004A189F"/>
    <w:rsid w:val="004A1A52"/>
    <w:rsid w:val="004A2DF0"/>
    <w:rsid w:val="004A33D1"/>
    <w:rsid w:val="004A637D"/>
    <w:rsid w:val="004A7A1C"/>
    <w:rsid w:val="004B00BD"/>
    <w:rsid w:val="004B0996"/>
    <w:rsid w:val="004B1930"/>
    <w:rsid w:val="004B20A6"/>
    <w:rsid w:val="004B3386"/>
    <w:rsid w:val="004B38AE"/>
    <w:rsid w:val="004B4BDB"/>
    <w:rsid w:val="004B6673"/>
    <w:rsid w:val="004B6FB1"/>
    <w:rsid w:val="004B738D"/>
    <w:rsid w:val="004C001A"/>
    <w:rsid w:val="004C1958"/>
    <w:rsid w:val="004C25E7"/>
    <w:rsid w:val="004C4AA3"/>
    <w:rsid w:val="004C66B0"/>
    <w:rsid w:val="004C7129"/>
    <w:rsid w:val="004D02F5"/>
    <w:rsid w:val="004D4A88"/>
    <w:rsid w:val="004D4ACB"/>
    <w:rsid w:val="004D4B68"/>
    <w:rsid w:val="004D6A7B"/>
    <w:rsid w:val="004D78E4"/>
    <w:rsid w:val="004E0476"/>
    <w:rsid w:val="004E05F6"/>
    <w:rsid w:val="004E29E5"/>
    <w:rsid w:val="004E3716"/>
    <w:rsid w:val="004E3F18"/>
    <w:rsid w:val="004E5834"/>
    <w:rsid w:val="004E621E"/>
    <w:rsid w:val="004E738F"/>
    <w:rsid w:val="004E7A33"/>
    <w:rsid w:val="004F2756"/>
    <w:rsid w:val="004F3241"/>
    <w:rsid w:val="004F4537"/>
    <w:rsid w:val="00500671"/>
    <w:rsid w:val="00502F29"/>
    <w:rsid w:val="005047DC"/>
    <w:rsid w:val="0050491D"/>
    <w:rsid w:val="00505A53"/>
    <w:rsid w:val="005066FD"/>
    <w:rsid w:val="00511EE7"/>
    <w:rsid w:val="0051236A"/>
    <w:rsid w:val="00513108"/>
    <w:rsid w:val="00513658"/>
    <w:rsid w:val="00513DCD"/>
    <w:rsid w:val="005147A8"/>
    <w:rsid w:val="00516FA3"/>
    <w:rsid w:val="00517BC0"/>
    <w:rsid w:val="00521A65"/>
    <w:rsid w:val="00525CB4"/>
    <w:rsid w:val="00527246"/>
    <w:rsid w:val="00531244"/>
    <w:rsid w:val="00532044"/>
    <w:rsid w:val="0053434F"/>
    <w:rsid w:val="00534F2E"/>
    <w:rsid w:val="0053505D"/>
    <w:rsid w:val="00535120"/>
    <w:rsid w:val="005368B1"/>
    <w:rsid w:val="00536B17"/>
    <w:rsid w:val="00536DA2"/>
    <w:rsid w:val="00536ECC"/>
    <w:rsid w:val="005378EC"/>
    <w:rsid w:val="0054081C"/>
    <w:rsid w:val="00541E8C"/>
    <w:rsid w:val="00542BAC"/>
    <w:rsid w:val="00543085"/>
    <w:rsid w:val="0054533C"/>
    <w:rsid w:val="00551348"/>
    <w:rsid w:val="00552326"/>
    <w:rsid w:val="0055275F"/>
    <w:rsid w:val="00552E58"/>
    <w:rsid w:val="005540BA"/>
    <w:rsid w:val="00565203"/>
    <w:rsid w:val="005670E4"/>
    <w:rsid w:val="00567B00"/>
    <w:rsid w:val="005707D0"/>
    <w:rsid w:val="005710F3"/>
    <w:rsid w:val="00573DA3"/>
    <w:rsid w:val="00576DB1"/>
    <w:rsid w:val="005770E9"/>
    <w:rsid w:val="00577440"/>
    <w:rsid w:val="005814E9"/>
    <w:rsid w:val="00585B08"/>
    <w:rsid w:val="00587D73"/>
    <w:rsid w:val="00590952"/>
    <w:rsid w:val="00590F32"/>
    <w:rsid w:val="00591BDE"/>
    <w:rsid w:val="0059215B"/>
    <w:rsid w:val="00596C60"/>
    <w:rsid w:val="0059777F"/>
    <w:rsid w:val="005A1981"/>
    <w:rsid w:val="005A2FCF"/>
    <w:rsid w:val="005A3343"/>
    <w:rsid w:val="005A6312"/>
    <w:rsid w:val="005A6A27"/>
    <w:rsid w:val="005A6DCA"/>
    <w:rsid w:val="005A7A7C"/>
    <w:rsid w:val="005B1022"/>
    <w:rsid w:val="005B4825"/>
    <w:rsid w:val="005B4C30"/>
    <w:rsid w:val="005B653D"/>
    <w:rsid w:val="005B6C3B"/>
    <w:rsid w:val="005B720E"/>
    <w:rsid w:val="005B7D0A"/>
    <w:rsid w:val="005C006E"/>
    <w:rsid w:val="005C0B66"/>
    <w:rsid w:val="005C1D57"/>
    <w:rsid w:val="005C22AD"/>
    <w:rsid w:val="005C300C"/>
    <w:rsid w:val="005C4A1E"/>
    <w:rsid w:val="005C4B57"/>
    <w:rsid w:val="005C5C08"/>
    <w:rsid w:val="005C65B8"/>
    <w:rsid w:val="005C69D6"/>
    <w:rsid w:val="005D03B2"/>
    <w:rsid w:val="005D291B"/>
    <w:rsid w:val="005D3609"/>
    <w:rsid w:val="005E0A1F"/>
    <w:rsid w:val="005E2B0F"/>
    <w:rsid w:val="005E2DD8"/>
    <w:rsid w:val="005E38E4"/>
    <w:rsid w:val="005E44E9"/>
    <w:rsid w:val="005E4CF3"/>
    <w:rsid w:val="005E5D1E"/>
    <w:rsid w:val="005E768E"/>
    <w:rsid w:val="005E7D37"/>
    <w:rsid w:val="005F0A5D"/>
    <w:rsid w:val="005F1AE8"/>
    <w:rsid w:val="005F2696"/>
    <w:rsid w:val="005F4683"/>
    <w:rsid w:val="005F6078"/>
    <w:rsid w:val="00600F0E"/>
    <w:rsid w:val="00601A17"/>
    <w:rsid w:val="00602744"/>
    <w:rsid w:val="00603589"/>
    <w:rsid w:val="00603CA0"/>
    <w:rsid w:val="00603D66"/>
    <w:rsid w:val="00604BF5"/>
    <w:rsid w:val="00605EB3"/>
    <w:rsid w:val="0060649C"/>
    <w:rsid w:val="00606879"/>
    <w:rsid w:val="006077AB"/>
    <w:rsid w:val="006079F0"/>
    <w:rsid w:val="006138FC"/>
    <w:rsid w:val="00613C8C"/>
    <w:rsid w:val="006147C5"/>
    <w:rsid w:val="00615DC2"/>
    <w:rsid w:val="00616BBF"/>
    <w:rsid w:val="00616DA1"/>
    <w:rsid w:val="00617563"/>
    <w:rsid w:val="006179F5"/>
    <w:rsid w:val="00621493"/>
    <w:rsid w:val="00623423"/>
    <w:rsid w:val="006236F6"/>
    <w:rsid w:val="006238C2"/>
    <w:rsid w:val="0062530D"/>
    <w:rsid w:val="00627552"/>
    <w:rsid w:val="0063038B"/>
    <w:rsid w:val="00630FB7"/>
    <w:rsid w:val="00631439"/>
    <w:rsid w:val="00633E20"/>
    <w:rsid w:val="0063486D"/>
    <w:rsid w:val="00635B30"/>
    <w:rsid w:val="00635ED3"/>
    <w:rsid w:val="00636CD7"/>
    <w:rsid w:val="00636D14"/>
    <w:rsid w:val="006377B7"/>
    <w:rsid w:val="00640E47"/>
    <w:rsid w:val="00641264"/>
    <w:rsid w:val="00641925"/>
    <w:rsid w:val="00642516"/>
    <w:rsid w:val="006446BE"/>
    <w:rsid w:val="00647638"/>
    <w:rsid w:val="00647C53"/>
    <w:rsid w:val="00651198"/>
    <w:rsid w:val="00651E11"/>
    <w:rsid w:val="00653582"/>
    <w:rsid w:val="006552E8"/>
    <w:rsid w:val="00655F93"/>
    <w:rsid w:val="00657C32"/>
    <w:rsid w:val="00657F79"/>
    <w:rsid w:val="0066147F"/>
    <w:rsid w:val="00662CA6"/>
    <w:rsid w:val="00663D02"/>
    <w:rsid w:val="00663D60"/>
    <w:rsid w:val="006656FF"/>
    <w:rsid w:val="00667098"/>
    <w:rsid w:val="0067198D"/>
    <w:rsid w:val="0067434C"/>
    <w:rsid w:val="006762FF"/>
    <w:rsid w:val="0067699B"/>
    <w:rsid w:val="00682A0D"/>
    <w:rsid w:val="006832BD"/>
    <w:rsid w:val="0068428D"/>
    <w:rsid w:val="00684AE8"/>
    <w:rsid w:val="00684EE0"/>
    <w:rsid w:val="00685DE4"/>
    <w:rsid w:val="00686220"/>
    <w:rsid w:val="00693B41"/>
    <w:rsid w:val="00694796"/>
    <w:rsid w:val="0069766F"/>
    <w:rsid w:val="006A10CE"/>
    <w:rsid w:val="006A1AFE"/>
    <w:rsid w:val="006A544B"/>
    <w:rsid w:val="006A5699"/>
    <w:rsid w:val="006A5B3B"/>
    <w:rsid w:val="006A5DCA"/>
    <w:rsid w:val="006A6FF3"/>
    <w:rsid w:val="006B07CE"/>
    <w:rsid w:val="006B28C0"/>
    <w:rsid w:val="006B35F7"/>
    <w:rsid w:val="006B363F"/>
    <w:rsid w:val="006B4BDF"/>
    <w:rsid w:val="006B57B5"/>
    <w:rsid w:val="006B58FD"/>
    <w:rsid w:val="006B636D"/>
    <w:rsid w:val="006B7F7A"/>
    <w:rsid w:val="006C1270"/>
    <w:rsid w:val="006C1334"/>
    <w:rsid w:val="006C2975"/>
    <w:rsid w:val="006C2EC2"/>
    <w:rsid w:val="006C3EFD"/>
    <w:rsid w:val="006C412D"/>
    <w:rsid w:val="006C473D"/>
    <w:rsid w:val="006C5F38"/>
    <w:rsid w:val="006D1853"/>
    <w:rsid w:val="006D2558"/>
    <w:rsid w:val="006D318C"/>
    <w:rsid w:val="006D31BD"/>
    <w:rsid w:val="006D3D83"/>
    <w:rsid w:val="006D536C"/>
    <w:rsid w:val="006D5382"/>
    <w:rsid w:val="006D5D2F"/>
    <w:rsid w:val="006D6C67"/>
    <w:rsid w:val="006E3F53"/>
    <w:rsid w:val="006E43E7"/>
    <w:rsid w:val="006E53C0"/>
    <w:rsid w:val="006F0004"/>
    <w:rsid w:val="006F094D"/>
    <w:rsid w:val="006F2532"/>
    <w:rsid w:val="006F5681"/>
    <w:rsid w:val="006F6ACD"/>
    <w:rsid w:val="006F746D"/>
    <w:rsid w:val="007000B7"/>
    <w:rsid w:val="007015D2"/>
    <w:rsid w:val="00702888"/>
    <w:rsid w:val="00707219"/>
    <w:rsid w:val="00712B6C"/>
    <w:rsid w:val="007136B9"/>
    <w:rsid w:val="00713B2E"/>
    <w:rsid w:val="007174A0"/>
    <w:rsid w:val="00721C1E"/>
    <w:rsid w:val="00723DE6"/>
    <w:rsid w:val="00724138"/>
    <w:rsid w:val="007246BB"/>
    <w:rsid w:val="00727C96"/>
    <w:rsid w:val="00730460"/>
    <w:rsid w:val="00732140"/>
    <w:rsid w:val="0073300D"/>
    <w:rsid w:val="00734BD8"/>
    <w:rsid w:val="00735008"/>
    <w:rsid w:val="00735121"/>
    <w:rsid w:val="00735A07"/>
    <w:rsid w:val="00736C7A"/>
    <w:rsid w:val="00736D68"/>
    <w:rsid w:val="00737D84"/>
    <w:rsid w:val="00737F5A"/>
    <w:rsid w:val="0074061C"/>
    <w:rsid w:val="00740A98"/>
    <w:rsid w:val="00742EFB"/>
    <w:rsid w:val="0074327B"/>
    <w:rsid w:val="00744444"/>
    <w:rsid w:val="007444F3"/>
    <w:rsid w:val="00746B9C"/>
    <w:rsid w:val="007512DF"/>
    <w:rsid w:val="007533B8"/>
    <w:rsid w:val="007534A1"/>
    <w:rsid w:val="007536F2"/>
    <w:rsid w:val="0075377F"/>
    <w:rsid w:val="007559D3"/>
    <w:rsid w:val="00755DFC"/>
    <w:rsid w:val="00757BFE"/>
    <w:rsid w:val="0076528E"/>
    <w:rsid w:val="00767683"/>
    <w:rsid w:val="007700BC"/>
    <w:rsid w:val="00770137"/>
    <w:rsid w:val="0077341C"/>
    <w:rsid w:val="0077383B"/>
    <w:rsid w:val="0077598C"/>
    <w:rsid w:val="007766F7"/>
    <w:rsid w:val="0077777C"/>
    <w:rsid w:val="00781660"/>
    <w:rsid w:val="00785D15"/>
    <w:rsid w:val="00786B12"/>
    <w:rsid w:val="00787E36"/>
    <w:rsid w:val="00787ED3"/>
    <w:rsid w:val="00791DF9"/>
    <w:rsid w:val="0079217C"/>
    <w:rsid w:val="007924A1"/>
    <w:rsid w:val="00793460"/>
    <w:rsid w:val="00794A49"/>
    <w:rsid w:val="00795372"/>
    <w:rsid w:val="00795BD9"/>
    <w:rsid w:val="007A003F"/>
    <w:rsid w:val="007A2263"/>
    <w:rsid w:val="007A5B72"/>
    <w:rsid w:val="007B63BA"/>
    <w:rsid w:val="007C15DD"/>
    <w:rsid w:val="007C33F8"/>
    <w:rsid w:val="007C4455"/>
    <w:rsid w:val="007D0499"/>
    <w:rsid w:val="007D0C36"/>
    <w:rsid w:val="007D0E78"/>
    <w:rsid w:val="007D1DD9"/>
    <w:rsid w:val="007D2C79"/>
    <w:rsid w:val="007D5C9F"/>
    <w:rsid w:val="007D71EE"/>
    <w:rsid w:val="007E0DD8"/>
    <w:rsid w:val="007E2CB6"/>
    <w:rsid w:val="007E3E29"/>
    <w:rsid w:val="007E4CF9"/>
    <w:rsid w:val="007F23AD"/>
    <w:rsid w:val="007F48FB"/>
    <w:rsid w:val="007F5277"/>
    <w:rsid w:val="007F634D"/>
    <w:rsid w:val="0080402D"/>
    <w:rsid w:val="008151C2"/>
    <w:rsid w:val="0081645E"/>
    <w:rsid w:val="00817EFE"/>
    <w:rsid w:val="00823629"/>
    <w:rsid w:val="00830EB5"/>
    <w:rsid w:val="00830FB7"/>
    <w:rsid w:val="00833CC5"/>
    <w:rsid w:val="00835D8D"/>
    <w:rsid w:val="00835EF9"/>
    <w:rsid w:val="00836158"/>
    <w:rsid w:val="0084220B"/>
    <w:rsid w:val="00846CB9"/>
    <w:rsid w:val="00847E8C"/>
    <w:rsid w:val="0085106C"/>
    <w:rsid w:val="008510E1"/>
    <w:rsid w:val="008513F0"/>
    <w:rsid w:val="008532EC"/>
    <w:rsid w:val="0085669C"/>
    <w:rsid w:val="00860B75"/>
    <w:rsid w:val="008633DB"/>
    <w:rsid w:val="00864087"/>
    <w:rsid w:val="00864322"/>
    <w:rsid w:val="00864360"/>
    <w:rsid w:val="00865A4E"/>
    <w:rsid w:val="00866DF3"/>
    <w:rsid w:val="00866FF9"/>
    <w:rsid w:val="00871260"/>
    <w:rsid w:val="008717C4"/>
    <w:rsid w:val="008744B2"/>
    <w:rsid w:val="008763A1"/>
    <w:rsid w:val="008766A9"/>
    <w:rsid w:val="00881CB6"/>
    <w:rsid w:val="008824BE"/>
    <w:rsid w:val="0088571D"/>
    <w:rsid w:val="008906BA"/>
    <w:rsid w:val="008907A8"/>
    <w:rsid w:val="008922D0"/>
    <w:rsid w:val="008931F5"/>
    <w:rsid w:val="00893DD9"/>
    <w:rsid w:val="008943ED"/>
    <w:rsid w:val="008956F4"/>
    <w:rsid w:val="00896AB0"/>
    <w:rsid w:val="00896BED"/>
    <w:rsid w:val="00896F15"/>
    <w:rsid w:val="008A02F7"/>
    <w:rsid w:val="008A25E7"/>
    <w:rsid w:val="008A2ED5"/>
    <w:rsid w:val="008A460E"/>
    <w:rsid w:val="008A5EEF"/>
    <w:rsid w:val="008A63B6"/>
    <w:rsid w:val="008A72AB"/>
    <w:rsid w:val="008A735D"/>
    <w:rsid w:val="008A77E0"/>
    <w:rsid w:val="008A780B"/>
    <w:rsid w:val="008B054D"/>
    <w:rsid w:val="008B0D26"/>
    <w:rsid w:val="008B30A4"/>
    <w:rsid w:val="008B322B"/>
    <w:rsid w:val="008B3D72"/>
    <w:rsid w:val="008B52A5"/>
    <w:rsid w:val="008B5E02"/>
    <w:rsid w:val="008B60CB"/>
    <w:rsid w:val="008B6EC4"/>
    <w:rsid w:val="008B6FEE"/>
    <w:rsid w:val="008C1230"/>
    <w:rsid w:val="008C15E6"/>
    <w:rsid w:val="008C2DE2"/>
    <w:rsid w:val="008C4F07"/>
    <w:rsid w:val="008C5BF3"/>
    <w:rsid w:val="008D0983"/>
    <w:rsid w:val="008D1F28"/>
    <w:rsid w:val="008D24FF"/>
    <w:rsid w:val="008D2FA2"/>
    <w:rsid w:val="008D3A70"/>
    <w:rsid w:val="008D620E"/>
    <w:rsid w:val="008E1107"/>
    <w:rsid w:val="008E1FB2"/>
    <w:rsid w:val="008E29CB"/>
    <w:rsid w:val="008E33ED"/>
    <w:rsid w:val="008E5E6E"/>
    <w:rsid w:val="008E7AA3"/>
    <w:rsid w:val="008F2078"/>
    <w:rsid w:val="008F404B"/>
    <w:rsid w:val="008F4419"/>
    <w:rsid w:val="008F53B1"/>
    <w:rsid w:val="00900C95"/>
    <w:rsid w:val="009017D1"/>
    <w:rsid w:val="00902645"/>
    <w:rsid w:val="0090310E"/>
    <w:rsid w:val="00907153"/>
    <w:rsid w:val="00907ACC"/>
    <w:rsid w:val="00910799"/>
    <w:rsid w:val="009115B3"/>
    <w:rsid w:val="0091385A"/>
    <w:rsid w:val="009152EA"/>
    <w:rsid w:val="00915A62"/>
    <w:rsid w:val="00920C64"/>
    <w:rsid w:val="00921392"/>
    <w:rsid w:val="0092228F"/>
    <w:rsid w:val="00924D62"/>
    <w:rsid w:val="009254E0"/>
    <w:rsid w:val="00926086"/>
    <w:rsid w:val="00927022"/>
    <w:rsid w:val="00930D1C"/>
    <w:rsid w:val="00931D11"/>
    <w:rsid w:val="009331E3"/>
    <w:rsid w:val="0093347F"/>
    <w:rsid w:val="00933DC8"/>
    <w:rsid w:val="00934533"/>
    <w:rsid w:val="00935476"/>
    <w:rsid w:val="009367E0"/>
    <w:rsid w:val="00941976"/>
    <w:rsid w:val="0094433C"/>
    <w:rsid w:val="00944B39"/>
    <w:rsid w:val="00944C20"/>
    <w:rsid w:val="00947FF2"/>
    <w:rsid w:val="009502D3"/>
    <w:rsid w:val="00950F1D"/>
    <w:rsid w:val="009524D9"/>
    <w:rsid w:val="009527CC"/>
    <w:rsid w:val="00955523"/>
    <w:rsid w:val="00960AD8"/>
    <w:rsid w:val="00966069"/>
    <w:rsid w:val="00967338"/>
    <w:rsid w:val="009723F8"/>
    <w:rsid w:val="0097322F"/>
    <w:rsid w:val="00973FDD"/>
    <w:rsid w:val="00974F3F"/>
    <w:rsid w:val="00975207"/>
    <w:rsid w:val="009769C7"/>
    <w:rsid w:val="00976C40"/>
    <w:rsid w:val="00980F2A"/>
    <w:rsid w:val="00981BA5"/>
    <w:rsid w:val="00982194"/>
    <w:rsid w:val="00983975"/>
    <w:rsid w:val="009844CA"/>
    <w:rsid w:val="00984802"/>
    <w:rsid w:val="00984EB6"/>
    <w:rsid w:val="009855BC"/>
    <w:rsid w:val="00987D9C"/>
    <w:rsid w:val="009913EE"/>
    <w:rsid w:val="0099224D"/>
    <w:rsid w:val="009935DC"/>
    <w:rsid w:val="009939F8"/>
    <w:rsid w:val="009941D3"/>
    <w:rsid w:val="00994480"/>
    <w:rsid w:val="00996468"/>
    <w:rsid w:val="009A22DB"/>
    <w:rsid w:val="009A2D4B"/>
    <w:rsid w:val="009A3CBD"/>
    <w:rsid w:val="009B0EB7"/>
    <w:rsid w:val="009B2A61"/>
    <w:rsid w:val="009B3492"/>
    <w:rsid w:val="009B6603"/>
    <w:rsid w:val="009C065C"/>
    <w:rsid w:val="009C09A0"/>
    <w:rsid w:val="009C4DD3"/>
    <w:rsid w:val="009C6074"/>
    <w:rsid w:val="009C7439"/>
    <w:rsid w:val="009D2B2B"/>
    <w:rsid w:val="009D37E7"/>
    <w:rsid w:val="009D6747"/>
    <w:rsid w:val="009D6AE6"/>
    <w:rsid w:val="009E4DE6"/>
    <w:rsid w:val="009E5C31"/>
    <w:rsid w:val="009E5D48"/>
    <w:rsid w:val="009E7265"/>
    <w:rsid w:val="009E72F6"/>
    <w:rsid w:val="009E7E04"/>
    <w:rsid w:val="009F02BA"/>
    <w:rsid w:val="009F0846"/>
    <w:rsid w:val="009F1DBE"/>
    <w:rsid w:val="009F2B3B"/>
    <w:rsid w:val="009F3955"/>
    <w:rsid w:val="009F3EEE"/>
    <w:rsid w:val="009F4815"/>
    <w:rsid w:val="009F4CC0"/>
    <w:rsid w:val="009F5EC8"/>
    <w:rsid w:val="009F62A3"/>
    <w:rsid w:val="009F708E"/>
    <w:rsid w:val="00A00613"/>
    <w:rsid w:val="00A00EC9"/>
    <w:rsid w:val="00A02A1E"/>
    <w:rsid w:val="00A0356D"/>
    <w:rsid w:val="00A05D60"/>
    <w:rsid w:val="00A06E1B"/>
    <w:rsid w:val="00A10753"/>
    <w:rsid w:val="00A107FF"/>
    <w:rsid w:val="00A10F57"/>
    <w:rsid w:val="00A12065"/>
    <w:rsid w:val="00A12D0B"/>
    <w:rsid w:val="00A1423E"/>
    <w:rsid w:val="00A143D7"/>
    <w:rsid w:val="00A143FD"/>
    <w:rsid w:val="00A176D7"/>
    <w:rsid w:val="00A22EB4"/>
    <w:rsid w:val="00A26C53"/>
    <w:rsid w:val="00A343A6"/>
    <w:rsid w:val="00A40C20"/>
    <w:rsid w:val="00A4281E"/>
    <w:rsid w:val="00A42A21"/>
    <w:rsid w:val="00A42C99"/>
    <w:rsid w:val="00A44043"/>
    <w:rsid w:val="00A456D5"/>
    <w:rsid w:val="00A47C2A"/>
    <w:rsid w:val="00A50797"/>
    <w:rsid w:val="00A51FF0"/>
    <w:rsid w:val="00A54072"/>
    <w:rsid w:val="00A55C57"/>
    <w:rsid w:val="00A56051"/>
    <w:rsid w:val="00A56082"/>
    <w:rsid w:val="00A56133"/>
    <w:rsid w:val="00A61638"/>
    <w:rsid w:val="00A62473"/>
    <w:rsid w:val="00A62487"/>
    <w:rsid w:val="00A6275A"/>
    <w:rsid w:val="00A62B26"/>
    <w:rsid w:val="00A6550A"/>
    <w:rsid w:val="00A65D55"/>
    <w:rsid w:val="00A663E2"/>
    <w:rsid w:val="00A67079"/>
    <w:rsid w:val="00A6795B"/>
    <w:rsid w:val="00A72B81"/>
    <w:rsid w:val="00A80F22"/>
    <w:rsid w:val="00A81E2D"/>
    <w:rsid w:val="00A82585"/>
    <w:rsid w:val="00A83694"/>
    <w:rsid w:val="00A83CFB"/>
    <w:rsid w:val="00A912CF"/>
    <w:rsid w:val="00A928AC"/>
    <w:rsid w:val="00A929E2"/>
    <w:rsid w:val="00A93174"/>
    <w:rsid w:val="00A95678"/>
    <w:rsid w:val="00AA21E6"/>
    <w:rsid w:val="00AA286F"/>
    <w:rsid w:val="00AA3496"/>
    <w:rsid w:val="00AA3A30"/>
    <w:rsid w:val="00AA5B7C"/>
    <w:rsid w:val="00AA5CD5"/>
    <w:rsid w:val="00AB26F5"/>
    <w:rsid w:val="00AB4106"/>
    <w:rsid w:val="00AC1D4E"/>
    <w:rsid w:val="00AC5A66"/>
    <w:rsid w:val="00AC74E7"/>
    <w:rsid w:val="00AC7506"/>
    <w:rsid w:val="00AD0FD9"/>
    <w:rsid w:val="00AD0FE8"/>
    <w:rsid w:val="00AD1419"/>
    <w:rsid w:val="00AD1D37"/>
    <w:rsid w:val="00AD34CB"/>
    <w:rsid w:val="00AD3696"/>
    <w:rsid w:val="00AD70CA"/>
    <w:rsid w:val="00AE0516"/>
    <w:rsid w:val="00AE21BD"/>
    <w:rsid w:val="00AE21F7"/>
    <w:rsid w:val="00AE26BC"/>
    <w:rsid w:val="00AE2CC0"/>
    <w:rsid w:val="00AE2E84"/>
    <w:rsid w:val="00AE30DA"/>
    <w:rsid w:val="00AE3645"/>
    <w:rsid w:val="00AE52D8"/>
    <w:rsid w:val="00AE7A0F"/>
    <w:rsid w:val="00AF1B24"/>
    <w:rsid w:val="00AF24EE"/>
    <w:rsid w:val="00AF2854"/>
    <w:rsid w:val="00AF3006"/>
    <w:rsid w:val="00AF4B9B"/>
    <w:rsid w:val="00B003EC"/>
    <w:rsid w:val="00B01AE0"/>
    <w:rsid w:val="00B03F0C"/>
    <w:rsid w:val="00B07D47"/>
    <w:rsid w:val="00B10BF5"/>
    <w:rsid w:val="00B112FC"/>
    <w:rsid w:val="00B26432"/>
    <w:rsid w:val="00B26848"/>
    <w:rsid w:val="00B274A8"/>
    <w:rsid w:val="00B30058"/>
    <w:rsid w:val="00B3037C"/>
    <w:rsid w:val="00B30468"/>
    <w:rsid w:val="00B3172E"/>
    <w:rsid w:val="00B34E71"/>
    <w:rsid w:val="00B355E0"/>
    <w:rsid w:val="00B35670"/>
    <w:rsid w:val="00B359C9"/>
    <w:rsid w:val="00B36C8E"/>
    <w:rsid w:val="00B42E11"/>
    <w:rsid w:val="00B44DC7"/>
    <w:rsid w:val="00B45A9F"/>
    <w:rsid w:val="00B479EB"/>
    <w:rsid w:val="00B50195"/>
    <w:rsid w:val="00B50FE1"/>
    <w:rsid w:val="00B5167B"/>
    <w:rsid w:val="00B54ECA"/>
    <w:rsid w:val="00B5592E"/>
    <w:rsid w:val="00B55CFF"/>
    <w:rsid w:val="00B60FAB"/>
    <w:rsid w:val="00B6155D"/>
    <w:rsid w:val="00B62408"/>
    <w:rsid w:val="00B63A65"/>
    <w:rsid w:val="00B64B28"/>
    <w:rsid w:val="00B64C22"/>
    <w:rsid w:val="00B64DE3"/>
    <w:rsid w:val="00B66BC4"/>
    <w:rsid w:val="00B7071E"/>
    <w:rsid w:val="00B70926"/>
    <w:rsid w:val="00B7117D"/>
    <w:rsid w:val="00B72998"/>
    <w:rsid w:val="00B72DDA"/>
    <w:rsid w:val="00B73157"/>
    <w:rsid w:val="00B733E7"/>
    <w:rsid w:val="00B7403D"/>
    <w:rsid w:val="00B76C5E"/>
    <w:rsid w:val="00B81F78"/>
    <w:rsid w:val="00B824A7"/>
    <w:rsid w:val="00B84949"/>
    <w:rsid w:val="00B84ED1"/>
    <w:rsid w:val="00B85150"/>
    <w:rsid w:val="00B86624"/>
    <w:rsid w:val="00B926FF"/>
    <w:rsid w:val="00B92881"/>
    <w:rsid w:val="00B92BCD"/>
    <w:rsid w:val="00B9326B"/>
    <w:rsid w:val="00B94590"/>
    <w:rsid w:val="00B956B5"/>
    <w:rsid w:val="00BA07BB"/>
    <w:rsid w:val="00BA3529"/>
    <w:rsid w:val="00BA4438"/>
    <w:rsid w:val="00BA5021"/>
    <w:rsid w:val="00BA51A9"/>
    <w:rsid w:val="00BA5A3D"/>
    <w:rsid w:val="00BA65E2"/>
    <w:rsid w:val="00BB0CB4"/>
    <w:rsid w:val="00BB7B29"/>
    <w:rsid w:val="00BC07C2"/>
    <w:rsid w:val="00BC1E1E"/>
    <w:rsid w:val="00BC51FB"/>
    <w:rsid w:val="00BC5C54"/>
    <w:rsid w:val="00BC5E6E"/>
    <w:rsid w:val="00BC687D"/>
    <w:rsid w:val="00BD2097"/>
    <w:rsid w:val="00BD2CE0"/>
    <w:rsid w:val="00BD2F79"/>
    <w:rsid w:val="00BD3D5B"/>
    <w:rsid w:val="00BD4F78"/>
    <w:rsid w:val="00BD4FE3"/>
    <w:rsid w:val="00BD5B51"/>
    <w:rsid w:val="00BD69F9"/>
    <w:rsid w:val="00BD7C8F"/>
    <w:rsid w:val="00BE14A0"/>
    <w:rsid w:val="00BE1748"/>
    <w:rsid w:val="00BE2052"/>
    <w:rsid w:val="00BE33B1"/>
    <w:rsid w:val="00BE3A71"/>
    <w:rsid w:val="00BE5265"/>
    <w:rsid w:val="00BE53F8"/>
    <w:rsid w:val="00BE5E77"/>
    <w:rsid w:val="00BF43B0"/>
    <w:rsid w:val="00BF4AD9"/>
    <w:rsid w:val="00C00002"/>
    <w:rsid w:val="00C045A8"/>
    <w:rsid w:val="00C04C88"/>
    <w:rsid w:val="00C06251"/>
    <w:rsid w:val="00C06374"/>
    <w:rsid w:val="00C06D02"/>
    <w:rsid w:val="00C07CD0"/>
    <w:rsid w:val="00C10B23"/>
    <w:rsid w:val="00C12739"/>
    <w:rsid w:val="00C13462"/>
    <w:rsid w:val="00C141CC"/>
    <w:rsid w:val="00C14421"/>
    <w:rsid w:val="00C14B88"/>
    <w:rsid w:val="00C151F6"/>
    <w:rsid w:val="00C16F36"/>
    <w:rsid w:val="00C222AD"/>
    <w:rsid w:val="00C22ABD"/>
    <w:rsid w:val="00C234A3"/>
    <w:rsid w:val="00C23C26"/>
    <w:rsid w:val="00C256FD"/>
    <w:rsid w:val="00C25D2A"/>
    <w:rsid w:val="00C275C5"/>
    <w:rsid w:val="00C30C0E"/>
    <w:rsid w:val="00C326B4"/>
    <w:rsid w:val="00C356E4"/>
    <w:rsid w:val="00C36F01"/>
    <w:rsid w:val="00C3748B"/>
    <w:rsid w:val="00C37F32"/>
    <w:rsid w:val="00C41972"/>
    <w:rsid w:val="00C42376"/>
    <w:rsid w:val="00C44CE8"/>
    <w:rsid w:val="00C44E7A"/>
    <w:rsid w:val="00C45B1E"/>
    <w:rsid w:val="00C47957"/>
    <w:rsid w:val="00C50364"/>
    <w:rsid w:val="00C520A7"/>
    <w:rsid w:val="00C526F6"/>
    <w:rsid w:val="00C52A8A"/>
    <w:rsid w:val="00C55190"/>
    <w:rsid w:val="00C55A7C"/>
    <w:rsid w:val="00C57233"/>
    <w:rsid w:val="00C645DB"/>
    <w:rsid w:val="00C6460E"/>
    <w:rsid w:val="00C6579A"/>
    <w:rsid w:val="00C657A4"/>
    <w:rsid w:val="00C65D8D"/>
    <w:rsid w:val="00C660F6"/>
    <w:rsid w:val="00C70F32"/>
    <w:rsid w:val="00C73D3F"/>
    <w:rsid w:val="00C75D1B"/>
    <w:rsid w:val="00C76402"/>
    <w:rsid w:val="00C81955"/>
    <w:rsid w:val="00C81E86"/>
    <w:rsid w:val="00C82C85"/>
    <w:rsid w:val="00C85BCF"/>
    <w:rsid w:val="00C86972"/>
    <w:rsid w:val="00C87D40"/>
    <w:rsid w:val="00C909AA"/>
    <w:rsid w:val="00C930B1"/>
    <w:rsid w:val="00C944F4"/>
    <w:rsid w:val="00C94952"/>
    <w:rsid w:val="00C94EEE"/>
    <w:rsid w:val="00C95577"/>
    <w:rsid w:val="00CA05CE"/>
    <w:rsid w:val="00CA2163"/>
    <w:rsid w:val="00CA24F9"/>
    <w:rsid w:val="00CA2C59"/>
    <w:rsid w:val="00CA553F"/>
    <w:rsid w:val="00CA5772"/>
    <w:rsid w:val="00CA6ACD"/>
    <w:rsid w:val="00CA6E32"/>
    <w:rsid w:val="00CA74D3"/>
    <w:rsid w:val="00CB0462"/>
    <w:rsid w:val="00CB097B"/>
    <w:rsid w:val="00CB5F29"/>
    <w:rsid w:val="00CB6AD2"/>
    <w:rsid w:val="00CC1880"/>
    <w:rsid w:val="00CC190F"/>
    <w:rsid w:val="00CC397D"/>
    <w:rsid w:val="00CC5839"/>
    <w:rsid w:val="00CD6138"/>
    <w:rsid w:val="00CE4E19"/>
    <w:rsid w:val="00CE504A"/>
    <w:rsid w:val="00CE6D3D"/>
    <w:rsid w:val="00CE7DB8"/>
    <w:rsid w:val="00CF0F94"/>
    <w:rsid w:val="00CF3B7B"/>
    <w:rsid w:val="00CF4C42"/>
    <w:rsid w:val="00CF543E"/>
    <w:rsid w:val="00CF5BAB"/>
    <w:rsid w:val="00CF5FEC"/>
    <w:rsid w:val="00CF6DC1"/>
    <w:rsid w:val="00CF6F21"/>
    <w:rsid w:val="00CF748D"/>
    <w:rsid w:val="00D01230"/>
    <w:rsid w:val="00D01596"/>
    <w:rsid w:val="00D050C9"/>
    <w:rsid w:val="00D06DEB"/>
    <w:rsid w:val="00D077CF"/>
    <w:rsid w:val="00D1066C"/>
    <w:rsid w:val="00D108C3"/>
    <w:rsid w:val="00D1260B"/>
    <w:rsid w:val="00D1277F"/>
    <w:rsid w:val="00D13F5D"/>
    <w:rsid w:val="00D1664A"/>
    <w:rsid w:val="00D20162"/>
    <w:rsid w:val="00D2031F"/>
    <w:rsid w:val="00D205D9"/>
    <w:rsid w:val="00D228F9"/>
    <w:rsid w:val="00D244AA"/>
    <w:rsid w:val="00D2604D"/>
    <w:rsid w:val="00D265E8"/>
    <w:rsid w:val="00D303C9"/>
    <w:rsid w:val="00D32227"/>
    <w:rsid w:val="00D34650"/>
    <w:rsid w:val="00D36839"/>
    <w:rsid w:val="00D37459"/>
    <w:rsid w:val="00D37C09"/>
    <w:rsid w:val="00D37C1F"/>
    <w:rsid w:val="00D40693"/>
    <w:rsid w:val="00D40EBB"/>
    <w:rsid w:val="00D42629"/>
    <w:rsid w:val="00D43AC8"/>
    <w:rsid w:val="00D44A08"/>
    <w:rsid w:val="00D467F6"/>
    <w:rsid w:val="00D46B5A"/>
    <w:rsid w:val="00D508A8"/>
    <w:rsid w:val="00D50C8C"/>
    <w:rsid w:val="00D5102F"/>
    <w:rsid w:val="00D519AB"/>
    <w:rsid w:val="00D5221A"/>
    <w:rsid w:val="00D53101"/>
    <w:rsid w:val="00D53F69"/>
    <w:rsid w:val="00D56A34"/>
    <w:rsid w:val="00D56B81"/>
    <w:rsid w:val="00D56FB9"/>
    <w:rsid w:val="00D5796E"/>
    <w:rsid w:val="00D57C6B"/>
    <w:rsid w:val="00D65E5E"/>
    <w:rsid w:val="00D6610C"/>
    <w:rsid w:val="00D72739"/>
    <w:rsid w:val="00D736D3"/>
    <w:rsid w:val="00D73D36"/>
    <w:rsid w:val="00D74A76"/>
    <w:rsid w:val="00D74C56"/>
    <w:rsid w:val="00D76156"/>
    <w:rsid w:val="00D777FD"/>
    <w:rsid w:val="00D779DA"/>
    <w:rsid w:val="00D80278"/>
    <w:rsid w:val="00D81A63"/>
    <w:rsid w:val="00D84773"/>
    <w:rsid w:val="00D87512"/>
    <w:rsid w:val="00D93162"/>
    <w:rsid w:val="00DA4847"/>
    <w:rsid w:val="00DA56C7"/>
    <w:rsid w:val="00DA6917"/>
    <w:rsid w:val="00DB1A6B"/>
    <w:rsid w:val="00DB1F1A"/>
    <w:rsid w:val="00DB27CA"/>
    <w:rsid w:val="00DB4BD2"/>
    <w:rsid w:val="00DC0EE0"/>
    <w:rsid w:val="00DC1FB0"/>
    <w:rsid w:val="00DC2CFF"/>
    <w:rsid w:val="00DC37A1"/>
    <w:rsid w:val="00DC79B1"/>
    <w:rsid w:val="00DD25B5"/>
    <w:rsid w:val="00DD4147"/>
    <w:rsid w:val="00DD4649"/>
    <w:rsid w:val="00DD5BFA"/>
    <w:rsid w:val="00DD5CBD"/>
    <w:rsid w:val="00DD724C"/>
    <w:rsid w:val="00DE185E"/>
    <w:rsid w:val="00DE247F"/>
    <w:rsid w:val="00DE2827"/>
    <w:rsid w:val="00DE3179"/>
    <w:rsid w:val="00DF0B37"/>
    <w:rsid w:val="00E018B3"/>
    <w:rsid w:val="00E02199"/>
    <w:rsid w:val="00E02B14"/>
    <w:rsid w:val="00E102A4"/>
    <w:rsid w:val="00E1036A"/>
    <w:rsid w:val="00E115A0"/>
    <w:rsid w:val="00E14A9C"/>
    <w:rsid w:val="00E170EB"/>
    <w:rsid w:val="00E20DC8"/>
    <w:rsid w:val="00E22522"/>
    <w:rsid w:val="00E22762"/>
    <w:rsid w:val="00E22EAB"/>
    <w:rsid w:val="00E30F9E"/>
    <w:rsid w:val="00E3200B"/>
    <w:rsid w:val="00E3211A"/>
    <w:rsid w:val="00E34936"/>
    <w:rsid w:val="00E34D65"/>
    <w:rsid w:val="00E3690C"/>
    <w:rsid w:val="00E37436"/>
    <w:rsid w:val="00E379E9"/>
    <w:rsid w:val="00E4048C"/>
    <w:rsid w:val="00E41180"/>
    <w:rsid w:val="00E414E2"/>
    <w:rsid w:val="00E44136"/>
    <w:rsid w:val="00E44BCE"/>
    <w:rsid w:val="00E47CBF"/>
    <w:rsid w:val="00E50848"/>
    <w:rsid w:val="00E526F9"/>
    <w:rsid w:val="00E53013"/>
    <w:rsid w:val="00E53BB5"/>
    <w:rsid w:val="00E542CB"/>
    <w:rsid w:val="00E614FF"/>
    <w:rsid w:val="00E637F4"/>
    <w:rsid w:val="00E63E62"/>
    <w:rsid w:val="00E658D7"/>
    <w:rsid w:val="00E66400"/>
    <w:rsid w:val="00E67340"/>
    <w:rsid w:val="00E674D1"/>
    <w:rsid w:val="00E677BC"/>
    <w:rsid w:val="00E67B5B"/>
    <w:rsid w:val="00E706E4"/>
    <w:rsid w:val="00E71B48"/>
    <w:rsid w:val="00E74E71"/>
    <w:rsid w:val="00E75462"/>
    <w:rsid w:val="00E759AB"/>
    <w:rsid w:val="00E7612F"/>
    <w:rsid w:val="00E7709E"/>
    <w:rsid w:val="00E772B6"/>
    <w:rsid w:val="00E77953"/>
    <w:rsid w:val="00E818D4"/>
    <w:rsid w:val="00E82AB4"/>
    <w:rsid w:val="00E83167"/>
    <w:rsid w:val="00E83429"/>
    <w:rsid w:val="00E8499E"/>
    <w:rsid w:val="00E851AA"/>
    <w:rsid w:val="00E8589C"/>
    <w:rsid w:val="00E85CBE"/>
    <w:rsid w:val="00E85D1C"/>
    <w:rsid w:val="00E85EDE"/>
    <w:rsid w:val="00E862D7"/>
    <w:rsid w:val="00E9002E"/>
    <w:rsid w:val="00E90573"/>
    <w:rsid w:val="00E942EE"/>
    <w:rsid w:val="00E95BA5"/>
    <w:rsid w:val="00E97DFE"/>
    <w:rsid w:val="00EA1526"/>
    <w:rsid w:val="00EA1918"/>
    <w:rsid w:val="00EA21C9"/>
    <w:rsid w:val="00EA2B65"/>
    <w:rsid w:val="00EA734E"/>
    <w:rsid w:val="00EB0869"/>
    <w:rsid w:val="00EB3166"/>
    <w:rsid w:val="00EB33A2"/>
    <w:rsid w:val="00EB4303"/>
    <w:rsid w:val="00EB5AB5"/>
    <w:rsid w:val="00EB6FBC"/>
    <w:rsid w:val="00EC1B5A"/>
    <w:rsid w:val="00EC2648"/>
    <w:rsid w:val="00EC43D7"/>
    <w:rsid w:val="00ED0B04"/>
    <w:rsid w:val="00ED2464"/>
    <w:rsid w:val="00ED3326"/>
    <w:rsid w:val="00EE4008"/>
    <w:rsid w:val="00EE43CF"/>
    <w:rsid w:val="00EE466A"/>
    <w:rsid w:val="00EE4B69"/>
    <w:rsid w:val="00EE4F69"/>
    <w:rsid w:val="00EF1666"/>
    <w:rsid w:val="00EF5068"/>
    <w:rsid w:val="00EF676F"/>
    <w:rsid w:val="00EF74B1"/>
    <w:rsid w:val="00F01515"/>
    <w:rsid w:val="00F0512A"/>
    <w:rsid w:val="00F05F18"/>
    <w:rsid w:val="00F11E1A"/>
    <w:rsid w:val="00F12332"/>
    <w:rsid w:val="00F12AFA"/>
    <w:rsid w:val="00F148BA"/>
    <w:rsid w:val="00F149F0"/>
    <w:rsid w:val="00F16000"/>
    <w:rsid w:val="00F17DA3"/>
    <w:rsid w:val="00F23336"/>
    <w:rsid w:val="00F26C78"/>
    <w:rsid w:val="00F278BA"/>
    <w:rsid w:val="00F30DD5"/>
    <w:rsid w:val="00F34964"/>
    <w:rsid w:val="00F35B15"/>
    <w:rsid w:val="00F3613C"/>
    <w:rsid w:val="00F40CB3"/>
    <w:rsid w:val="00F4149D"/>
    <w:rsid w:val="00F436C9"/>
    <w:rsid w:val="00F43E98"/>
    <w:rsid w:val="00F475B5"/>
    <w:rsid w:val="00F510CF"/>
    <w:rsid w:val="00F5147F"/>
    <w:rsid w:val="00F54CD4"/>
    <w:rsid w:val="00F60AE6"/>
    <w:rsid w:val="00F60D0E"/>
    <w:rsid w:val="00F6349E"/>
    <w:rsid w:val="00F63E14"/>
    <w:rsid w:val="00F63F10"/>
    <w:rsid w:val="00F65481"/>
    <w:rsid w:val="00F705D0"/>
    <w:rsid w:val="00F717B0"/>
    <w:rsid w:val="00F72591"/>
    <w:rsid w:val="00F725A8"/>
    <w:rsid w:val="00F72DC4"/>
    <w:rsid w:val="00F73D3F"/>
    <w:rsid w:val="00F7614A"/>
    <w:rsid w:val="00F80E12"/>
    <w:rsid w:val="00F8643F"/>
    <w:rsid w:val="00F86DE8"/>
    <w:rsid w:val="00F911D8"/>
    <w:rsid w:val="00F914B2"/>
    <w:rsid w:val="00F94026"/>
    <w:rsid w:val="00FA12F3"/>
    <w:rsid w:val="00FA135F"/>
    <w:rsid w:val="00FA1E0B"/>
    <w:rsid w:val="00FA34AB"/>
    <w:rsid w:val="00FA4039"/>
    <w:rsid w:val="00FA5A92"/>
    <w:rsid w:val="00FA6659"/>
    <w:rsid w:val="00FA6994"/>
    <w:rsid w:val="00FB0591"/>
    <w:rsid w:val="00FB0A5E"/>
    <w:rsid w:val="00FB29AD"/>
    <w:rsid w:val="00FB3AD2"/>
    <w:rsid w:val="00FC32E3"/>
    <w:rsid w:val="00FC44E6"/>
    <w:rsid w:val="00FC634D"/>
    <w:rsid w:val="00FC7A09"/>
    <w:rsid w:val="00FC7CC1"/>
    <w:rsid w:val="00FD1981"/>
    <w:rsid w:val="00FD40F6"/>
    <w:rsid w:val="00FD5840"/>
    <w:rsid w:val="00FD7B53"/>
    <w:rsid w:val="00FE0F9C"/>
    <w:rsid w:val="00FE18B7"/>
    <w:rsid w:val="00FE444F"/>
    <w:rsid w:val="00FE4A68"/>
    <w:rsid w:val="00FE66FE"/>
    <w:rsid w:val="00FE71BE"/>
    <w:rsid w:val="00FF07B7"/>
    <w:rsid w:val="00FF1A3B"/>
    <w:rsid w:val="00FF300A"/>
    <w:rsid w:val="00FF3BF1"/>
    <w:rsid w:val="00FF6B61"/>
    <w:rsid w:val="00FF7C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41"/>
    <o:shapelayout v:ext="edit">
      <o:idmap v:ext="edit" data="1"/>
    </o:shapelayout>
  </w:shapeDefaults>
  <w:decimalSymbol w:val=","/>
  <w:listSeparator w:val=";"/>
  <w14:docId w14:val="3F3A6CB0"/>
  <w15:docId w15:val="{73CAD64C-3267-452E-A460-AC9C86D1E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sz w:val="24"/>
      <w:szCs w:val="24"/>
    </w:rPr>
  </w:style>
  <w:style w:type="paragraph" w:styleId="Titre1">
    <w:name w:val="heading 1"/>
    <w:basedOn w:val="Normal"/>
    <w:next w:val="Normal"/>
    <w:qFormat/>
    <w:pPr>
      <w:widowControl/>
      <w:numPr>
        <w:numId w:val="1"/>
      </w:numPr>
      <w:spacing w:after="240"/>
      <w:jc w:val="both"/>
      <w:outlineLvl w:val="0"/>
    </w:pPr>
    <w:rPr>
      <w:caps/>
      <w:sz w:val="28"/>
      <w:szCs w:val="28"/>
    </w:rPr>
  </w:style>
  <w:style w:type="paragraph" w:styleId="Titre2">
    <w:name w:val="heading 2"/>
    <w:basedOn w:val="Normal"/>
    <w:next w:val="Normal"/>
    <w:qFormat/>
    <w:pPr>
      <w:widowControl/>
      <w:numPr>
        <w:ilvl w:val="1"/>
        <w:numId w:val="1"/>
      </w:numPr>
      <w:spacing w:after="240"/>
      <w:ind w:hanging="454"/>
      <w:jc w:val="both"/>
      <w:outlineLvl w:val="1"/>
    </w:pPr>
    <w:rPr>
      <w:smallCaps/>
    </w:rPr>
  </w:style>
  <w:style w:type="paragraph" w:styleId="Titre3">
    <w:name w:val="heading 3"/>
    <w:basedOn w:val="Normal"/>
    <w:next w:val="Normal"/>
    <w:qFormat/>
    <w:pPr>
      <w:widowControl/>
      <w:numPr>
        <w:ilvl w:val="2"/>
        <w:numId w:val="1"/>
      </w:numPr>
      <w:spacing w:after="240"/>
      <w:ind w:hanging="454"/>
      <w:jc w:val="both"/>
      <w:outlineLvl w:val="2"/>
    </w:pPr>
    <w:rPr>
      <w:sz w:val="22"/>
      <w:szCs w:val="22"/>
    </w:rPr>
  </w:style>
  <w:style w:type="paragraph" w:styleId="Titre4">
    <w:name w:val="heading 4"/>
    <w:basedOn w:val="Normal"/>
    <w:next w:val="Normal"/>
    <w:qFormat/>
    <w:pPr>
      <w:keepNext/>
      <w:numPr>
        <w:ilvl w:val="3"/>
        <w:numId w:val="1"/>
      </w:numPr>
      <w:jc w:val="center"/>
      <w:outlineLvl w:val="3"/>
    </w:pPr>
    <w:rPr>
      <w:rFonts w:ascii="Times" w:hAnsi="Times" w:cs="Times"/>
      <w:i/>
      <w:iCs/>
      <w:sz w:val="22"/>
      <w:szCs w:val="22"/>
    </w:rPr>
  </w:style>
  <w:style w:type="paragraph" w:styleId="Titre5">
    <w:name w:val="heading 5"/>
    <w:basedOn w:val="Normal"/>
    <w:next w:val="Normal"/>
    <w:qFormat/>
    <w:pPr>
      <w:numPr>
        <w:ilvl w:val="4"/>
        <w:numId w:val="1"/>
      </w:numPr>
      <w:spacing w:before="240" w:after="60"/>
      <w:outlineLvl w:val="4"/>
    </w:pPr>
    <w:rPr>
      <w:rFonts w:ascii="Arial" w:hAnsi="Arial" w:cs="Arial"/>
      <w:sz w:val="22"/>
      <w:szCs w:val="22"/>
    </w:rPr>
  </w:style>
  <w:style w:type="paragraph" w:styleId="Titre6">
    <w:name w:val="heading 6"/>
    <w:basedOn w:val="Normal"/>
    <w:next w:val="Normal"/>
    <w:qFormat/>
    <w:pPr>
      <w:numPr>
        <w:ilvl w:val="5"/>
        <w:numId w:val="1"/>
      </w:numPr>
      <w:spacing w:before="240" w:after="60"/>
      <w:outlineLvl w:val="5"/>
    </w:pPr>
    <w:rPr>
      <w:i/>
      <w:iCs/>
      <w:sz w:val="22"/>
      <w:szCs w:val="22"/>
    </w:rPr>
  </w:style>
  <w:style w:type="paragraph" w:styleId="Titre7">
    <w:name w:val="heading 7"/>
    <w:basedOn w:val="Normal"/>
    <w:next w:val="Normal"/>
    <w:qFormat/>
    <w:pPr>
      <w:numPr>
        <w:ilvl w:val="6"/>
        <w:numId w:val="1"/>
      </w:numPr>
      <w:spacing w:before="240" w:after="60"/>
      <w:outlineLvl w:val="6"/>
    </w:pPr>
    <w:rPr>
      <w:rFonts w:ascii="Arial" w:hAnsi="Arial" w:cs="Arial"/>
      <w:sz w:val="20"/>
      <w:szCs w:val="20"/>
    </w:rPr>
  </w:style>
  <w:style w:type="paragraph" w:styleId="Titre8">
    <w:name w:val="heading 8"/>
    <w:basedOn w:val="Normal"/>
    <w:next w:val="Normal"/>
    <w:qFormat/>
    <w:pPr>
      <w:numPr>
        <w:ilvl w:val="7"/>
        <w:numId w:val="1"/>
      </w:numPr>
      <w:spacing w:before="240" w:after="60"/>
      <w:outlineLvl w:val="7"/>
    </w:pPr>
    <w:rPr>
      <w:rFonts w:ascii="Arial" w:hAnsi="Arial" w:cs="Arial"/>
      <w:i/>
      <w:iCs/>
      <w:sz w:val="20"/>
      <w:szCs w:val="20"/>
    </w:rPr>
  </w:style>
  <w:style w:type="paragraph" w:styleId="Titre9">
    <w:name w:val="heading 9"/>
    <w:basedOn w:val="Normal"/>
    <w:next w:val="Normal"/>
    <w:qFormat/>
    <w:pPr>
      <w:numPr>
        <w:ilvl w:val="8"/>
        <w:numId w:val="1"/>
      </w:numPr>
      <w:spacing w:before="240" w:after="60"/>
      <w:outlineLvl w:val="8"/>
    </w:pPr>
    <w:rPr>
      <w:rFonts w:ascii="Arial" w:hAnsi="Arial"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CEArticle">
    <w:name w:val="DCE Article"/>
    <w:basedOn w:val="Normal"/>
    <w:next w:val="DCETitre2"/>
    <w:qFormat/>
    <w:pPr>
      <w:keepNext/>
      <w:keepLines/>
      <w:widowControl/>
      <w:numPr>
        <w:numId w:val="14"/>
      </w:numPr>
      <w:spacing w:before="360" w:after="240"/>
      <w:outlineLvl w:val="0"/>
    </w:pPr>
    <w:rPr>
      <w:b/>
      <w:caps/>
      <w:sz w:val="26"/>
      <w:szCs w:val="26"/>
      <w:u w:val="single"/>
    </w:rPr>
  </w:style>
  <w:style w:type="paragraph" w:customStyle="1" w:styleId="DCETitre2">
    <w:name w:val="DCE Titre 2"/>
    <w:basedOn w:val="Normal"/>
    <w:next w:val="DCETitre3Car"/>
    <w:autoRedefine/>
    <w:qFormat/>
    <w:rsid w:val="009941D3"/>
    <w:pPr>
      <w:keepNext/>
      <w:keepLines/>
      <w:widowControl/>
      <w:numPr>
        <w:ilvl w:val="1"/>
        <w:numId w:val="14"/>
      </w:numPr>
      <w:spacing w:before="360" w:after="240"/>
      <w:jc w:val="both"/>
      <w:outlineLvl w:val="1"/>
    </w:pPr>
    <w:rPr>
      <w:b/>
    </w:rPr>
  </w:style>
  <w:style w:type="paragraph" w:customStyle="1" w:styleId="DCETitre3Car">
    <w:name w:val="DCE Titre 3 Car"/>
    <w:basedOn w:val="Normal"/>
    <w:next w:val="DCETitre4"/>
    <w:pPr>
      <w:keepNext/>
      <w:keepLines/>
      <w:widowControl/>
      <w:numPr>
        <w:ilvl w:val="2"/>
        <w:numId w:val="14"/>
      </w:numPr>
      <w:spacing w:before="240" w:after="120"/>
      <w:outlineLvl w:val="2"/>
    </w:pPr>
    <w:rPr>
      <w:b/>
      <w:i/>
    </w:rPr>
  </w:style>
  <w:style w:type="paragraph" w:customStyle="1" w:styleId="DCETitre4">
    <w:name w:val="DCE Titre 4"/>
    <w:basedOn w:val="DCETitre3Car"/>
    <w:qFormat/>
    <w:pPr>
      <w:numPr>
        <w:ilvl w:val="3"/>
      </w:numPr>
      <w:outlineLvl w:val="3"/>
    </w:pPr>
    <w:rPr>
      <w:b w:val="0"/>
      <w:sz w:val="22"/>
    </w:rPr>
  </w:style>
  <w:style w:type="paragraph" w:styleId="En-tte">
    <w:name w:val="header"/>
    <w:basedOn w:val="Normal"/>
    <w:link w:val="En-tteCar"/>
    <w:pPr>
      <w:tabs>
        <w:tab w:val="center" w:pos="4536"/>
        <w:tab w:val="right" w:pos="9072"/>
      </w:tabs>
    </w:pPr>
  </w:style>
  <w:style w:type="paragraph" w:styleId="Notedebasdepage">
    <w:name w:val="footnote text"/>
    <w:basedOn w:val="Normal"/>
    <w:link w:val="NotedebasdepageCar"/>
    <w:semiHidden/>
    <w:pPr>
      <w:overflowPunct w:val="0"/>
      <w:autoSpaceDE w:val="0"/>
      <w:autoSpaceDN w:val="0"/>
      <w:adjustRightInd w:val="0"/>
      <w:textAlignment w:val="baseline"/>
    </w:pPr>
    <w:rPr>
      <w:sz w:val="20"/>
      <w:szCs w:val="20"/>
    </w:rPr>
  </w:style>
  <w:style w:type="paragraph" w:customStyle="1" w:styleId="DCETexte">
    <w:name w:val="DCE Texte"/>
    <w:basedOn w:val="Normal"/>
    <w:qFormat/>
    <w:pPr>
      <w:widowControl/>
      <w:spacing w:before="120" w:after="120"/>
      <w:jc w:val="both"/>
    </w:pPr>
  </w:style>
  <w:style w:type="paragraph" w:styleId="Pieddepage">
    <w:name w:val="footer"/>
    <w:basedOn w:val="Normal"/>
    <w:pPr>
      <w:tabs>
        <w:tab w:val="center" w:pos="4536"/>
        <w:tab w:val="right" w:pos="9072"/>
      </w:tabs>
    </w:pPr>
  </w:style>
  <w:style w:type="character" w:styleId="Appelnotedebasdep">
    <w:name w:val="footnote reference"/>
    <w:semiHidden/>
    <w:rPr>
      <w:vertAlign w:val="superscript"/>
    </w:rPr>
  </w:style>
  <w:style w:type="character" w:styleId="Numrodepage">
    <w:name w:val="page number"/>
    <w:basedOn w:val="Policepardfaut"/>
  </w:style>
  <w:style w:type="paragraph" w:customStyle="1" w:styleId="DCEPucea">
    <w:name w:val="DCE Puce a)"/>
    <w:basedOn w:val="Corpstexte"/>
    <w:pPr>
      <w:numPr>
        <w:numId w:val="3"/>
      </w:numPr>
    </w:pPr>
  </w:style>
  <w:style w:type="paragraph" w:customStyle="1" w:styleId="Corpstexte">
    <w:name w:val="Corps texte"/>
    <w:basedOn w:val="Normal"/>
    <w:semiHidden/>
    <w:pPr>
      <w:numPr>
        <w:numId w:val="2"/>
      </w:numPr>
      <w:spacing w:before="120" w:after="240"/>
    </w:pPr>
  </w:style>
  <w:style w:type="character" w:styleId="Lienhypertexte">
    <w:name w:val="Hyperlink"/>
    <w:uiPriority w:val="99"/>
    <w:rPr>
      <w:color w:val="0000FF"/>
      <w:u w:val="single"/>
    </w:rPr>
  </w:style>
  <w:style w:type="paragraph" w:customStyle="1" w:styleId="Sous-article">
    <w:name w:val="Sous-article"/>
    <w:basedOn w:val="Normal"/>
    <w:semiHidden/>
    <w:pPr>
      <w:spacing w:before="120" w:after="240"/>
    </w:pPr>
    <w:rPr>
      <w:b/>
    </w:rPr>
  </w:style>
  <w:style w:type="paragraph" w:customStyle="1" w:styleId="Article">
    <w:name w:val="Article"/>
    <w:basedOn w:val="Normal"/>
    <w:semiHidden/>
    <w:pPr>
      <w:spacing w:before="240" w:after="240"/>
      <w:jc w:val="both"/>
    </w:pPr>
    <w:rPr>
      <w:b/>
      <w:caps/>
      <w:u w:val="single"/>
    </w:rPr>
  </w:style>
  <w:style w:type="paragraph" w:customStyle="1" w:styleId="Puce1">
    <w:name w:val="Puce1"/>
    <w:basedOn w:val="Normal"/>
    <w:semiHidden/>
    <w:pPr>
      <w:tabs>
        <w:tab w:val="num" w:pos="720"/>
      </w:tabs>
      <w:spacing w:before="120" w:after="240"/>
      <w:ind w:left="714" w:hanging="357"/>
    </w:pPr>
  </w:style>
  <w:style w:type="paragraph" w:customStyle="1" w:styleId="Texteparagraphe">
    <w:name w:val="Texte paragraphe"/>
    <w:basedOn w:val="Normal"/>
    <w:semiHidden/>
    <w:pPr>
      <w:widowControl/>
      <w:spacing w:after="240"/>
      <w:jc w:val="both"/>
    </w:pPr>
  </w:style>
  <w:style w:type="paragraph" w:customStyle="1" w:styleId="StyleCentr">
    <w:name w:val="Style Centré"/>
    <w:basedOn w:val="Normal"/>
    <w:semiHidden/>
    <w:pPr>
      <w:jc w:val="center"/>
    </w:pPr>
    <w:rPr>
      <w:szCs w:val="20"/>
    </w:rPr>
  </w:style>
  <w:style w:type="character" w:customStyle="1" w:styleId="DCETitre3CarCar">
    <w:name w:val="DCE Titre 3 Car Car"/>
    <w:rPr>
      <w:b/>
      <w:i/>
      <w:sz w:val="24"/>
      <w:szCs w:val="24"/>
      <w:lang w:val="fr-FR" w:eastAsia="fr-FR" w:bidi="ar-SA"/>
    </w:rPr>
  </w:style>
  <w:style w:type="paragraph" w:customStyle="1" w:styleId="DCETiret">
    <w:name w:val="DCE Tiret"/>
    <w:basedOn w:val="DCETexte"/>
    <w:pPr>
      <w:numPr>
        <w:numId w:val="15"/>
      </w:numPr>
      <w:tabs>
        <w:tab w:val="left" w:pos="851"/>
      </w:tabs>
      <w:spacing w:after="160"/>
    </w:pPr>
  </w:style>
  <w:style w:type="paragraph" w:customStyle="1" w:styleId="DCE">
    <w:name w:val="DCE"/>
    <w:basedOn w:val="En-tte"/>
    <w:pPr>
      <w:widowControl/>
      <w:pBdr>
        <w:top w:val="single" w:sz="4" w:space="1" w:color="auto"/>
        <w:left w:val="single" w:sz="4" w:space="4" w:color="auto"/>
        <w:bottom w:val="single" w:sz="4" w:space="1" w:color="auto"/>
        <w:right w:val="single" w:sz="4" w:space="4" w:color="auto"/>
      </w:pBdr>
      <w:tabs>
        <w:tab w:val="clear" w:pos="4536"/>
      </w:tabs>
      <w:ind w:left="2835" w:right="2835"/>
      <w:jc w:val="center"/>
    </w:pPr>
    <w:rPr>
      <w:b/>
      <w:sz w:val="52"/>
      <w:szCs w:val="52"/>
    </w:rPr>
  </w:style>
  <w:style w:type="paragraph" w:customStyle="1" w:styleId="DCECadre6pt">
    <w:name w:val="DCE Cadre 6 pt"/>
    <w:basedOn w:val="DCETexte"/>
    <w:pPr>
      <w:pBdr>
        <w:top w:val="single" w:sz="4" w:space="8" w:color="auto"/>
        <w:left w:val="single" w:sz="4" w:space="4" w:color="auto"/>
        <w:bottom w:val="single" w:sz="4" w:space="8" w:color="auto"/>
        <w:right w:val="single" w:sz="4" w:space="4" w:color="auto"/>
      </w:pBdr>
      <w:jc w:val="center"/>
    </w:pPr>
  </w:style>
  <w:style w:type="paragraph" w:styleId="Textedebulles">
    <w:name w:val="Balloon Text"/>
    <w:basedOn w:val="Normal"/>
    <w:semiHidden/>
    <w:rPr>
      <w:rFonts w:ascii="Tahoma" w:hAnsi="Tahoma" w:cs="Tahoma"/>
      <w:sz w:val="16"/>
      <w:szCs w:val="16"/>
    </w:rPr>
  </w:style>
  <w:style w:type="paragraph" w:styleId="TM2">
    <w:name w:val="toc 2"/>
    <w:basedOn w:val="Normal"/>
    <w:next w:val="Normal"/>
    <w:autoRedefine/>
    <w:uiPriority w:val="39"/>
    <w:pPr>
      <w:widowControl/>
      <w:ind w:left="238" w:right="454"/>
    </w:pPr>
    <w:rPr>
      <w:sz w:val="22"/>
      <w:szCs w:val="22"/>
    </w:rPr>
  </w:style>
  <w:style w:type="paragraph" w:styleId="TM1">
    <w:name w:val="toc 1"/>
    <w:basedOn w:val="Normal"/>
    <w:next w:val="Normal"/>
    <w:autoRedefine/>
    <w:uiPriority w:val="39"/>
    <w:rsid w:val="00A93174"/>
    <w:pPr>
      <w:keepNext/>
      <w:keepLines/>
      <w:widowControl/>
      <w:tabs>
        <w:tab w:val="right" w:leader="dot" w:pos="8777"/>
      </w:tabs>
      <w:spacing w:before="240" w:line="360" w:lineRule="auto"/>
    </w:pPr>
    <w:rPr>
      <w:b/>
      <w:caps/>
      <w:sz w:val="22"/>
      <w:szCs w:val="22"/>
    </w:rPr>
  </w:style>
  <w:style w:type="paragraph" w:styleId="TM3">
    <w:name w:val="toc 3"/>
    <w:basedOn w:val="Normal"/>
    <w:next w:val="Normal"/>
    <w:autoRedefine/>
    <w:uiPriority w:val="39"/>
    <w:pPr>
      <w:ind w:left="482" w:right="454"/>
    </w:pPr>
    <w:rPr>
      <w:i/>
      <w:sz w:val="22"/>
    </w:rPr>
  </w:style>
  <w:style w:type="paragraph" w:customStyle="1" w:styleId="DCEAnnexe">
    <w:name w:val="DCE Annexe"/>
    <w:basedOn w:val="Normal"/>
    <w:next w:val="DCETexte"/>
    <w:pPr>
      <w:spacing w:after="240"/>
      <w:jc w:val="center"/>
    </w:pPr>
    <w:rPr>
      <w:b/>
      <w:spacing w:val="20"/>
    </w:rPr>
  </w:style>
  <w:style w:type="paragraph" w:styleId="TM4">
    <w:name w:val="toc 4"/>
    <w:basedOn w:val="Normal"/>
    <w:next w:val="Normal"/>
    <w:autoRedefine/>
    <w:semiHidden/>
    <w:pPr>
      <w:spacing w:before="240"/>
      <w:ind w:right="454"/>
    </w:pPr>
    <w:rPr>
      <w:b/>
      <w:sz w:val="22"/>
    </w:rPr>
  </w:style>
  <w:style w:type="character" w:styleId="Accentuation">
    <w:name w:val="Emphasis"/>
    <w:qFormat/>
    <w:rPr>
      <w:i/>
      <w:iCs/>
    </w:rPr>
  </w:style>
  <w:style w:type="character" w:styleId="AcronymeHTML">
    <w:name w:val="HTML Acronym"/>
    <w:basedOn w:val="Policepardfaut"/>
  </w:style>
  <w:style w:type="paragraph" w:styleId="Adressedestinataire">
    <w:name w:val="envelope address"/>
    <w:basedOn w:val="Normal"/>
    <w:pPr>
      <w:framePr w:w="7938" w:h="1985" w:hRule="exact" w:hSpace="141" w:wrap="auto" w:hAnchor="page" w:xAlign="center" w:yAlign="bottom"/>
      <w:ind w:left="2835"/>
    </w:pPr>
    <w:rPr>
      <w:rFonts w:ascii="Arial" w:hAnsi="Arial" w:cs="Arial"/>
    </w:rPr>
  </w:style>
  <w:style w:type="paragraph" w:styleId="Adresseexpditeur">
    <w:name w:val="envelope return"/>
    <w:basedOn w:val="Normal"/>
    <w:rPr>
      <w:rFonts w:ascii="Arial" w:hAnsi="Arial" w:cs="Arial"/>
      <w:sz w:val="20"/>
      <w:szCs w:val="20"/>
    </w:rPr>
  </w:style>
  <w:style w:type="paragraph" w:styleId="AdresseHTML">
    <w:name w:val="HTML Address"/>
    <w:basedOn w:val="Normal"/>
    <w:rPr>
      <w:i/>
      <w:iCs/>
    </w:rPr>
  </w:style>
  <w:style w:type="character" w:styleId="CitationHTML">
    <w:name w:val="HTML Cite"/>
    <w:rPr>
      <w:i/>
      <w:iCs/>
    </w:rPr>
  </w:style>
  <w:style w:type="character" w:styleId="ClavierHTML">
    <w:name w:val="HTML Keyboard"/>
    <w:rPr>
      <w:rFonts w:ascii="Courier New" w:hAnsi="Courier New" w:cs="Courier New"/>
      <w:sz w:val="20"/>
      <w:szCs w:val="20"/>
    </w:rPr>
  </w:style>
  <w:style w:type="character" w:styleId="CodeHTML">
    <w:name w:val="HTML Code"/>
    <w:rPr>
      <w:rFonts w:ascii="Courier New" w:hAnsi="Courier New" w:cs="Courier New"/>
      <w:sz w:val="20"/>
      <w:szCs w:val="20"/>
    </w:rPr>
  </w:style>
  <w:style w:type="paragraph" w:styleId="Corpsdetexte">
    <w:name w:val="Body Text"/>
    <w:basedOn w:val="Normal"/>
    <w:link w:val="CorpsdetexteCar"/>
    <w:pPr>
      <w:spacing w:after="120"/>
    </w:pPr>
  </w:style>
  <w:style w:type="paragraph" w:styleId="Corpsdetexte2">
    <w:name w:val="Body Text 2"/>
    <w:basedOn w:val="Normal"/>
    <w:pPr>
      <w:spacing w:after="120" w:line="480" w:lineRule="auto"/>
    </w:pPr>
  </w:style>
  <w:style w:type="paragraph" w:styleId="Corpsdetexte3">
    <w:name w:val="Body Text 3"/>
    <w:basedOn w:val="Normal"/>
    <w:pPr>
      <w:spacing w:after="120"/>
    </w:pPr>
    <w:rPr>
      <w:sz w:val="16"/>
      <w:szCs w:val="16"/>
    </w:rPr>
  </w:style>
  <w:style w:type="character" w:styleId="DfinitionHTML">
    <w:name w:val="HTML Definition"/>
    <w:rPr>
      <w:i/>
      <w:iCs/>
    </w:rPr>
  </w:style>
  <w:style w:type="character" w:styleId="lev">
    <w:name w:val="Strong"/>
    <w:qFormat/>
    <w:rPr>
      <w:b/>
      <w:bCs/>
    </w:rPr>
  </w:style>
  <w:style w:type="paragraph" w:styleId="En-ttedemessage">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styleId="ExempleHTML">
    <w:name w:val="HTML Sample"/>
    <w:rPr>
      <w:rFonts w:ascii="Courier New" w:hAnsi="Courier New" w:cs="Courier New"/>
    </w:rPr>
  </w:style>
  <w:style w:type="paragraph" w:styleId="Formuledepolitesse">
    <w:name w:val="Closing"/>
    <w:basedOn w:val="Normal"/>
    <w:pPr>
      <w:ind w:left="4252"/>
    </w:pPr>
  </w:style>
  <w:style w:type="character" w:styleId="Lienhypertextesuivivisit">
    <w:name w:val="FollowedHyperlink"/>
    <w:rPr>
      <w:color w:val="800080"/>
      <w:u w:val="single"/>
    </w:rPr>
  </w:style>
  <w:style w:type="paragraph" w:styleId="Liste">
    <w:name w:val="List"/>
    <w:basedOn w:val="Normal"/>
    <w:pPr>
      <w:ind w:left="283" w:hanging="283"/>
    </w:pPr>
  </w:style>
  <w:style w:type="paragraph" w:styleId="Liste2">
    <w:name w:val="List 2"/>
    <w:basedOn w:val="Normal"/>
    <w:pPr>
      <w:ind w:left="566" w:hanging="283"/>
    </w:pPr>
  </w:style>
  <w:style w:type="paragraph" w:styleId="Liste3">
    <w:name w:val="List 3"/>
    <w:basedOn w:val="Normal"/>
    <w:pPr>
      <w:ind w:left="849" w:hanging="283"/>
    </w:pPr>
  </w:style>
  <w:style w:type="paragraph" w:styleId="Liste4">
    <w:name w:val="List 4"/>
    <w:basedOn w:val="Normal"/>
    <w:pPr>
      <w:ind w:left="1132" w:hanging="283"/>
    </w:pPr>
  </w:style>
  <w:style w:type="paragraph" w:styleId="Liste5">
    <w:name w:val="List 5"/>
    <w:basedOn w:val="Normal"/>
    <w:pPr>
      <w:ind w:left="1415" w:hanging="283"/>
    </w:pPr>
  </w:style>
  <w:style w:type="paragraph" w:styleId="Listenumros">
    <w:name w:val="List Number"/>
    <w:basedOn w:val="Normal"/>
    <w:pPr>
      <w:numPr>
        <w:numId w:val="4"/>
      </w:numPr>
    </w:pPr>
  </w:style>
  <w:style w:type="paragraph" w:styleId="Listenumros2">
    <w:name w:val="List Number 2"/>
    <w:basedOn w:val="Normal"/>
    <w:pPr>
      <w:numPr>
        <w:numId w:val="5"/>
      </w:numPr>
    </w:pPr>
  </w:style>
  <w:style w:type="paragraph" w:styleId="Listenumros3">
    <w:name w:val="List Number 3"/>
    <w:basedOn w:val="Normal"/>
    <w:pPr>
      <w:numPr>
        <w:numId w:val="6"/>
      </w:numPr>
    </w:pPr>
  </w:style>
  <w:style w:type="paragraph" w:styleId="Listenumros4">
    <w:name w:val="List Number 4"/>
    <w:basedOn w:val="Normal"/>
    <w:pPr>
      <w:numPr>
        <w:numId w:val="7"/>
      </w:numPr>
    </w:pPr>
  </w:style>
  <w:style w:type="paragraph" w:styleId="Listenumros5">
    <w:name w:val="List Number 5"/>
    <w:basedOn w:val="Normal"/>
    <w:pPr>
      <w:numPr>
        <w:numId w:val="8"/>
      </w:numPr>
    </w:pPr>
  </w:style>
  <w:style w:type="paragraph" w:styleId="Listepuces">
    <w:name w:val="List Bullet"/>
    <w:basedOn w:val="Normal"/>
    <w:pPr>
      <w:numPr>
        <w:numId w:val="9"/>
      </w:numPr>
    </w:pPr>
  </w:style>
  <w:style w:type="paragraph" w:styleId="Listepuces2">
    <w:name w:val="List Bullet 2"/>
    <w:basedOn w:val="Normal"/>
    <w:pPr>
      <w:numPr>
        <w:numId w:val="10"/>
      </w:numPr>
    </w:pPr>
  </w:style>
  <w:style w:type="paragraph" w:styleId="Listepuces3">
    <w:name w:val="List Bullet 3"/>
    <w:basedOn w:val="Normal"/>
    <w:pPr>
      <w:numPr>
        <w:numId w:val="11"/>
      </w:numPr>
    </w:pPr>
  </w:style>
  <w:style w:type="paragraph" w:styleId="Listepuces4">
    <w:name w:val="List Bullet 4"/>
    <w:basedOn w:val="Normal"/>
    <w:pPr>
      <w:numPr>
        <w:numId w:val="12"/>
      </w:numPr>
    </w:pPr>
  </w:style>
  <w:style w:type="paragraph" w:styleId="Listepuces5">
    <w:name w:val="List Bullet 5"/>
    <w:basedOn w:val="Normal"/>
    <w:pPr>
      <w:numPr>
        <w:numId w:val="13"/>
      </w:numPr>
    </w:pPr>
  </w:style>
  <w:style w:type="paragraph" w:styleId="Listecontinue">
    <w:name w:val="List Continue"/>
    <w:basedOn w:val="Normal"/>
    <w:pPr>
      <w:spacing w:after="120"/>
      <w:ind w:left="283"/>
    </w:pPr>
  </w:style>
  <w:style w:type="paragraph" w:styleId="Listecontinue2">
    <w:name w:val="List Continue 2"/>
    <w:basedOn w:val="Normal"/>
    <w:pPr>
      <w:spacing w:after="120"/>
      <w:ind w:left="566"/>
    </w:pPr>
  </w:style>
  <w:style w:type="paragraph" w:styleId="Listecontinue3">
    <w:name w:val="List Continue 3"/>
    <w:basedOn w:val="Normal"/>
    <w:pPr>
      <w:spacing w:after="120"/>
      <w:ind w:left="849"/>
    </w:pPr>
  </w:style>
  <w:style w:type="paragraph" w:styleId="Listecontinue4">
    <w:name w:val="List Continue 4"/>
    <w:basedOn w:val="Normal"/>
    <w:pPr>
      <w:spacing w:after="120"/>
      <w:ind w:left="1132"/>
    </w:pPr>
  </w:style>
  <w:style w:type="paragraph" w:styleId="Listecontinue5">
    <w:name w:val="List Continue 5"/>
    <w:basedOn w:val="Normal"/>
    <w:pPr>
      <w:spacing w:after="120"/>
      <w:ind w:left="1415"/>
    </w:pPr>
  </w:style>
  <w:style w:type="character" w:styleId="MachinecrireHTML">
    <w:name w:val="HTML Typewriter"/>
    <w:rPr>
      <w:rFonts w:ascii="Courier New" w:hAnsi="Courier New" w:cs="Courier New"/>
      <w:sz w:val="20"/>
      <w:szCs w:val="20"/>
    </w:rPr>
  </w:style>
  <w:style w:type="paragraph" w:styleId="NormalWeb">
    <w:name w:val="Normal (Web)"/>
    <w:basedOn w:val="Normal"/>
  </w:style>
  <w:style w:type="character" w:styleId="Numrodeligne">
    <w:name w:val="line number"/>
    <w:basedOn w:val="Policepardfaut"/>
  </w:style>
  <w:style w:type="paragraph" w:styleId="PrformatHTML">
    <w:name w:val="HTML Preformatted"/>
    <w:basedOn w:val="Normal"/>
    <w:rPr>
      <w:rFonts w:ascii="Courier New" w:hAnsi="Courier New" w:cs="Courier New"/>
      <w:sz w:val="20"/>
      <w:szCs w:val="20"/>
    </w:rPr>
  </w:style>
  <w:style w:type="paragraph" w:customStyle="1" w:styleId="DCESommaire">
    <w:name w:val="DCE Sommaire"/>
    <w:basedOn w:val="DCETexte"/>
    <w:pPr>
      <w:jc w:val="center"/>
    </w:pPr>
    <w:rPr>
      <w:b/>
      <w:caps/>
      <w:spacing w:val="40"/>
      <w:sz w:val="28"/>
      <w:szCs w:val="28"/>
    </w:rPr>
  </w:style>
  <w:style w:type="paragraph" w:customStyle="1" w:styleId="DCEPuce">
    <w:name w:val="DCE Puce"/>
    <w:basedOn w:val="DCETiret"/>
    <w:pPr>
      <w:numPr>
        <w:numId w:val="16"/>
      </w:numPr>
      <w:spacing w:before="0"/>
    </w:pPr>
  </w:style>
  <w:style w:type="character" w:customStyle="1" w:styleId="DCETexteCarCar">
    <w:name w:val="DCE Texte Car Car"/>
    <w:rPr>
      <w:sz w:val="24"/>
      <w:szCs w:val="24"/>
      <w:lang w:val="fr-FR" w:eastAsia="fr-FR" w:bidi="ar-SA"/>
    </w:rPr>
  </w:style>
  <w:style w:type="paragraph" w:customStyle="1" w:styleId="DCECadreGrand">
    <w:name w:val="DCE Cadre Grand"/>
    <w:basedOn w:val="Normal"/>
    <w:pPr>
      <w:widowControl/>
      <w:pBdr>
        <w:top w:val="single" w:sz="4" w:space="14" w:color="auto"/>
        <w:left w:val="single" w:sz="4" w:space="4" w:color="auto"/>
        <w:bottom w:val="single" w:sz="4" w:space="14" w:color="auto"/>
        <w:right w:val="single" w:sz="4" w:space="4" w:color="auto"/>
      </w:pBdr>
      <w:jc w:val="center"/>
    </w:pPr>
    <w:rPr>
      <w:b/>
      <w:caps/>
    </w:rPr>
  </w:style>
  <w:style w:type="paragraph" w:customStyle="1" w:styleId="DCECadresimple">
    <w:name w:val="DCE Cadre simple"/>
    <w:basedOn w:val="Normal"/>
    <w:pPr>
      <w:widowControl/>
      <w:pBdr>
        <w:top w:val="single" w:sz="4" w:space="8" w:color="auto"/>
        <w:left w:val="single" w:sz="4" w:space="4" w:color="auto"/>
        <w:bottom w:val="single" w:sz="4" w:space="8" w:color="auto"/>
        <w:right w:val="single" w:sz="4" w:space="4" w:color="auto"/>
      </w:pBdr>
      <w:jc w:val="center"/>
    </w:pPr>
  </w:style>
  <w:style w:type="paragraph" w:customStyle="1" w:styleId="DCEPuceflche">
    <w:name w:val="DCE Puce flèche"/>
    <w:basedOn w:val="DCETexte"/>
    <w:pPr>
      <w:numPr>
        <w:numId w:val="17"/>
      </w:numPr>
      <w:tabs>
        <w:tab w:val="clear" w:pos="720"/>
        <w:tab w:val="num" w:pos="284"/>
      </w:tabs>
      <w:spacing w:after="240"/>
      <w:ind w:left="284" w:hanging="284"/>
    </w:pPr>
  </w:style>
  <w:style w:type="paragraph" w:customStyle="1" w:styleId="DCELot">
    <w:name w:val="DCE Lot"/>
    <w:basedOn w:val="DCETiret"/>
    <w:pPr>
      <w:tabs>
        <w:tab w:val="clear" w:pos="851"/>
        <w:tab w:val="left" w:pos="284"/>
        <w:tab w:val="left" w:pos="1276"/>
      </w:tabs>
      <w:ind w:left="1559" w:hanging="1559"/>
    </w:pPr>
  </w:style>
  <w:style w:type="character" w:customStyle="1" w:styleId="DCETexteCar">
    <w:name w:val="DCE Texte Car"/>
    <w:rPr>
      <w:sz w:val="24"/>
      <w:szCs w:val="24"/>
      <w:lang w:val="fr-FR" w:eastAsia="fr-FR" w:bidi="ar-SA"/>
    </w:rPr>
  </w:style>
  <w:style w:type="paragraph" w:customStyle="1" w:styleId="TEXTEAVECALINEA">
    <w:name w:val="TEXTE AVEC ALINEA"/>
    <w:basedOn w:val="Normal"/>
    <w:pPr>
      <w:widowControl/>
      <w:overflowPunct w:val="0"/>
      <w:autoSpaceDE w:val="0"/>
      <w:autoSpaceDN w:val="0"/>
      <w:adjustRightInd w:val="0"/>
      <w:ind w:left="2268" w:firstLine="1418"/>
      <w:jc w:val="both"/>
    </w:pPr>
    <w:rPr>
      <w:rFonts w:ascii="Geneva" w:hAnsi="Geneva"/>
      <w:noProof/>
      <w:sz w:val="20"/>
      <w:szCs w:val="20"/>
    </w:rPr>
  </w:style>
  <w:style w:type="character" w:customStyle="1" w:styleId="DCETitre2Car">
    <w:name w:val="DCE Titre 2 Car"/>
    <w:rPr>
      <w:b/>
      <w:sz w:val="24"/>
      <w:szCs w:val="24"/>
      <w:lang w:val="fr-FR" w:eastAsia="fr-FR" w:bidi="ar-SA"/>
    </w:rPr>
  </w:style>
  <w:style w:type="character" w:styleId="Marquedecommentaire">
    <w:name w:val="annotation reference"/>
    <w:semiHidden/>
    <w:rPr>
      <w:sz w:val="16"/>
      <w:szCs w:val="16"/>
    </w:rPr>
  </w:style>
  <w:style w:type="paragraph" w:styleId="Commentaire">
    <w:name w:val="annotation text"/>
    <w:basedOn w:val="Normal"/>
    <w:link w:val="CommentaireCar"/>
    <w:semiHidden/>
    <w:rPr>
      <w:sz w:val="20"/>
      <w:szCs w:val="20"/>
    </w:rPr>
  </w:style>
  <w:style w:type="paragraph" w:styleId="Objetducommentaire">
    <w:name w:val="annotation subject"/>
    <w:basedOn w:val="Commentaire"/>
    <w:next w:val="Commentaire"/>
    <w:semiHidden/>
    <w:rPr>
      <w:b/>
      <w:bCs/>
    </w:rPr>
  </w:style>
  <w:style w:type="paragraph" w:customStyle="1" w:styleId="TEXTECONTRELAMARGE">
    <w:name w:val="TEXTE CONTRE LA MARGE"/>
    <w:basedOn w:val="Normal"/>
    <w:pPr>
      <w:widowControl/>
      <w:overflowPunct w:val="0"/>
      <w:autoSpaceDE w:val="0"/>
      <w:autoSpaceDN w:val="0"/>
      <w:adjustRightInd w:val="0"/>
      <w:ind w:left="2268"/>
    </w:pPr>
    <w:rPr>
      <w:rFonts w:ascii="Geneva" w:hAnsi="Geneva"/>
      <w:noProof/>
      <w:sz w:val="20"/>
      <w:szCs w:val="20"/>
    </w:rPr>
  </w:style>
  <w:style w:type="paragraph" w:customStyle="1" w:styleId="DCETitre3">
    <w:name w:val="DCE Titre 3"/>
    <w:basedOn w:val="Normal"/>
    <w:next w:val="DCETitre4"/>
    <w:pPr>
      <w:keepNext/>
      <w:keepLines/>
      <w:widowControl/>
      <w:spacing w:before="240" w:after="120"/>
      <w:ind w:firstLine="1134"/>
      <w:outlineLvl w:val="2"/>
    </w:pPr>
    <w:rPr>
      <w:b/>
      <w:i/>
    </w:rPr>
  </w:style>
  <w:style w:type="paragraph" w:customStyle="1" w:styleId="RapPuces">
    <w:name w:val="RapPuces"/>
    <w:basedOn w:val="Normal"/>
    <w:rsid w:val="00F7614A"/>
    <w:pPr>
      <w:numPr>
        <w:numId w:val="18"/>
      </w:numPr>
    </w:pPr>
  </w:style>
  <w:style w:type="table" w:customStyle="1" w:styleId="DCETableau">
    <w:name w:val="DCE Tableau"/>
    <w:basedOn w:val="Grilledutableau"/>
    <w:rsid w:val="00A42A21"/>
    <w:pPr>
      <w:widowControl/>
      <w:overflowPunct w:val="0"/>
      <w:autoSpaceDE w:val="0"/>
      <w:autoSpaceDN w:val="0"/>
      <w:adjustRightInd w:val="0"/>
    </w:pPr>
    <w:rPr>
      <w:rFonts w:cs="Bookman"/>
      <w:sz w:val="24"/>
      <w:szCs w:val="24"/>
    </w:rPr>
    <w:tblPr>
      <w:jc w:val="center"/>
    </w:tblPr>
    <w:trPr>
      <w:jc w:val="center"/>
    </w:trPr>
    <w:tcPr>
      <w:vAlign w:val="center"/>
    </w:tcPr>
  </w:style>
  <w:style w:type="table" w:styleId="Grilledutableau">
    <w:name w:val="Table Grid"/>
    <w:basedOn w:val="TableauNormal"/>
    <w:rsid w:val="00A42A21"/>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CarCarCarCar">
    <w:name w:val="Car Car Car Car Car Car"/>
    <w:basedOn w:val="Normal"/>
    <w:rsid w:val="00C95577"/>
    <w:pPr>
      <w:widowControl/>
      <w:spacing w:after="160" w:line="240" w:lineRule="exact"/>
    </w:pPr>
    <w:rPr>
      <w:rFonts w:ascii="Tahoma" w:hAnsi="Tahoma"/>
      <w:sz w:val="20"/>
      <w:szCs w:val="20"/>
      <w:lang w:val="en-US" w:eastAsia="en-US"/>
    </w:rPr>
  </w:style>
  <w:style w:type="paragraph" w:styleId="Paragraphedeliste">
    <w:name w:val="List Paragraph"/>
    <w:basedOn w:val="Normal"/>
    <w:link w:val="ParagraphedelisteCar"/>
    <w:uiPriority w:val="34"/>
    <w:qFormat/>
    <w:rsid w:val="00B73157"/>
    <w:pPr>
      <w:ind w:left="720"/>
      <w:contextualSpacing/>
    </w:pPr>
  </w:style>
  <w:style w:type="paragraph" w:styleId="Rvision">
    <w:name w:val="Revision"/>
    <w:hidden/>
    <w:uiPriority w:val="99"/>
    <w:semiHidden/>
    <w:rsid w:val="00464D7E"/>
    <w:rPr>
      <w:sz w:val="24"/>
      <w:szCs w:val="24"/>
    </w:rPr>
  </w:style>
  <w:style w:type="character" w:customStyle="1" w:styleId="sous-titre">
    <w:name w:val="sous-titre"/>
    <w:basedOn w:val="Policepardfaut"/>
    <w:rsid w:val="00F01515"/>
  </w:style>
  <w:style w:type="character" w:customStyle="1" w:styleId="CorpsdetexteCar">
    <w:name w:val="Corps de texte Car"/>
    <w:basedOn w:val="Policepardfaut"/>
    <w:link w:val="Corpsdetexte"/>
    <w:rsid w:val="00CE4E19"/>
    <w:rPr>
      <w:sz w:val="24"/>
      <w:szCs w:val="24"/>
    </w:rPr>
  </w:style>
  <w:style w:type="character" w:customStyle="1" w:styleId="ParagraphedelisteCar">
    <w:name w:val="Paragraphe de liste Car"/>
    <w:link w:val="Paragraphedeliste"/>
    <w:uiPriority w:val="34"/>
    <w:rsid w:val="00ED0B04"/>
    <w:rPr>
      <w:sz w:val="24"/>
      <w:szCs w:val="24"/>
    </w:rPr>
  </w:style>
  <w:style w:type="character" w:customStyle="1" w:styleId="NotedebasdepageCar">
    <w:name w:val="Note de bas de page Car"/>
    <w:basedOn w:val="Policepardfaut"/>
    <w:link w:val="Notedebasdepage"/>
    <w:semiHidden/>
    <w:rsid w:val="00440A61"/>
  </w:style>
  <w:style w:type="character" w:customStyle="1" w:styleId="En-tteCar">
    <w:name w:val="En-tête Car"/>
    <w:basedOn w:val="Policepardfaut"/>
    <w:link w:val="En-tte"/>
    <w:rsid w:val="000867B9"/>
    <w:rPr>
      <w:sz w:val="24"/>
      <w:szCs w:val="24"/>
    </w:rPr>
  </w:style>
  <w:style w:type="paragraph" w:customStyle="1" w:styleId="Default">
    <w:name w:val="Default"/>
    <w:rsid w:val="00CA6E32"/>
    <w:pPr>
      <w:autoSpaceDE w:val="0"/>
      <w:autoSpaceDN w:val="0"/>
      <w:adjustRightInd w:val="0"/>
    </w:pPr>
    <w:rPr>
      <w:rFonts w:ascii="Calibri" w:hAnsi="Calibri" w:cs="Calibri"/>
      <w:color w:val="000000"/>
      <w:sz w:val="24"/>
      <w:szCs w:val="24"/>
    </w:rPr>
  </w:style>
  <w:style w:type="paragraph" w:customStyle="1" w:styleId="DCECorpsdetexte">
    <w:name w:val="DCE Corps de texte"/>
    <w:basedOn w:val="Normal"/>
    <w:link w:val="DCECorpsdetexteCar"/>
    <w:rsid w:val="001907A7"/>
    <w:pPr>
      <w:widowControl/>
      <w:overflowPunct w:val="0"/>
      <w:autoSpaceDE w:val="0"/>
      <w:autoSpaceDN w:val="0"/>
      <w:adjustRightInd w:val="0"/>
      <w:spacing w:after="240"/>
      <w:ind w:firstLine="567"/>
      <w:jc w:val="both"/>
      <w:textAlignment w:val="baseline"/>
    </w:pPr>
    <w:rPr>
      <w:szCs w:val="20"/>
    </w:rPr>
  </w:style>
  <w:style w:type="character" w:customStyle="1" w:styleId="DCECorpsdetexteCar">
    <w:name w:val="DCE Corps de texte Car"/>
    <w:link w:val="DCECorpsdetexte"/>
    <w:rsid w:val="001907A7"/>
    <w:rPr>
      <w:sz w:val="24"/>
    </w:rPr>
  </w:style>
  <w:style w:type="character" w:styleId="Mentionnonrsolue">
    <w:name w:val="Unresolved Mention"/>
    <w:basedOn w:val="Policepardfaut"/>
    <w:uiPriority w:val="99"/>
    <w:semiHidden/>
    <w:unhideWhenUsed/>
    <w:rsid w:val="000A1102"/>
    <w:rPr>
      <w:color w:val="605E5C"/>
      <w:shd w:val="clear" w:color="auto" w:fill="E1DFDD"/>
    </w:rPr>
  </w:style>
  <w:style w:type="character" w:customStyle="1" w:styleId="CommentaireCar">
    <w:name w:val="Commentaire Car"/>
    <w:basedOn w:val="Policepardfaut"/>
    <w:link w:val="Commentaire"/>
    <w:semiHidden/>
    <w:rsid w:val="00E8589C"/>
  </w:style>
  <w:style w:type="paragraph" w:customStyle="1" w:styleId="RapTexte">
    <w:name w:val="RapTexte"/>
    <w:basedOn w:val="Corpsdetexte"/>
    <w:link w:val="RapTexteCar"/>
    <w:rsid w:val="00B36C8E"/>
    <w:pPr>
      <w:widowControl/>
      <w:overflowPunct w:val="0"/>
      <w:autoSpaceDE w:val="0"/>
      <w:autoSpaceDN w:val="0"/>
      <w:adjustRightInd w:val="0"/>
      <w:spacing w:after="240"/>
      <w:jc w:val="both"/>
      <w:textAlignment w:val="baseline"/>
    </w:pPr>
  </w:style>
  <w:style w:type="character" w:customStyle="1" w:styleId="RapTexteCar">
    <w:name w:val="RapTexte Car"/>
    <w:link w:val="RapTexte"/>
    <w:rsid w:val="00B36C8E"/>
    <w:rPr>
      <w:sz w:val="24"/>
      <w:szCs w:val="24"/>
    </w:rPr>
  </w:style>
  <w:style w:type="paragraph" w:styleId="TM6">
    <w:name w:val="toc 6"/>
    <w:basedOn w:val="Normal"/>
    <w:next w:val="Normal"/>
    <w:autoRedefine/>
    <w:semiHidden/>
    <w:unhideWhenUsed/>
    <w:rsid w:val="005E4CF3"/>
    <w:pPr>
      <w:spacing w:after="100"/>
      <w:ind w:left="1200"/>
    </w:pPr>
  </w:style>
  <w:style w:type="paragraph" w:styleId="TM7">
    <w:name w:val="toc 7"/>
    <w:basedOn w:val="Normal"/>
    <w:next w:val="Normal"/>
    <w:semiHidden/>
    <w:rsid w:val="005E4CF3"/>
    <w:pPr>
      <w:widowControl/>
      <w:tabs>
        <w:tab w:val="right" w:leader="dot" w:pos="8478"/>
      </w:tabs>
      <w:overflowPunct w:val="0"/>
      <w:autoSpaceDE w:val="0"/>
      <w:autoSpaceDN w:val="0"/>
      <w:adjustRightInd w:val="0"/>
      <w:ind w:firstLine="1134"/>
      <w:textAlignment w:val="baseline"/>
    </w:pPr>
    <w:rPr>
      <w:szCs w:val="20"/>
    </w:rPr>
  </w:style>
  <w:style w:type="paragraph" w:styleId="TM8">
    <w:name w:val="toc 8"/>
    <w:basedOn w:val="Normal"/>
    <w:next w:val="Normal"/>
    <w:semiHidden/>
    <w:rsid w:val="005E4CF3"/>
    <w:pPr>
      <w:widowControl/>
      <w:tabs>
        <w:tab w:val="right" w:leader="dot" w:pos="8478"/>
      </w:tabs>
      <w:overflowPunct w:val="0"/>
      <w:autoSpaceDE w:val="0"/>
      <w:autoSpaceDN w:val="0"/>
      <w:adjustRightInd w:val="0"/>
      <w:ind w:firstLine="1701"/>
      <w:textAlignment w:val="baseline"/>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015041">
      <w:bodyDiv w:val="1"/>
      <w:marLeft w:val="0"/>
      <w:marRight w:val="0"/>
      <w:marTop w:val="0"/>
      <w:marBottom w:val="0"/>
      <w:divBdr>
        <w:top w:val="none" w:sz="0" w:space="0" w:color="auto"/>
        <w:left w:val="none" w:sz="0" w:space="0" w:color="auto"/>
        <w:bottom w:val="none" w:sz="0" w:space="0" w:color="auto"/>
        <w:right w:val="none" w:sz="0" w:space="0" w:color="auto"/>
      </w:divBdr>
    </w:div>
    <w:div w:id="105077972">
      <w:bodyDiv w:val="1"/>
      <w:marLeft w:val="0"/>
      <w:marRight w:val="0"/>
      <w:marTop w:val="0"/>
      <w:marBottom w:val="0"/>
      <w:divBdr>
        <w:top w:val="none" w:sz="0" w:space="0" w:color="auto"/>
        <w:left w:val="none" w:sz="0" w:space="0" w:color="auto"/>
        <w:bottom w:val="none" w:sz="0" w:space="0" w:color="auto"/>
        <w:right w:val="none" w:sz="0" w:space="0" w:color="auto"/>
      </w:divBdr>
    </w:div>
    <w:div w:id="357976105">
      <w:bodyDiv w:val="1"/>
      <w:marLeft w:val="0"/>
      <w:marRight w:val="0"/>
      <w:marTop w:val="0"/>
      <w:marBottom w:val="0"/>
      <w:divBdr>
        <w:top w:val="none" w:sz="0" w:space="0" w:color="auto"/>
        <w:left w:val="none" w:sz="0" w:space="0" w:color="auto"/>
        <w:bottom w:val="none" w:sz="0" w:space="0" w:color="auto"/>
        <w:right w:val="none" w:sz="0" w:space="0" w:color="auto"/>
      </w:divBdr>
    </w:div>
    <w:div w:id="785538442">
      <w:bodyDiv w:val="1"/>
      <w:marLeft w:val="0"/>
      <w:marRight w:val="0"/>
      <w:marTop w:val="0"/>
      <w:marBottom w:val="0"/>
      <w:divBdr>
        <w:top w:val="none" w:sz="0" w:space="0" w:color="auto"/>
        <w:left w:val="none" w:sz="0" w:space="0" w:color="auto"/>
        <w:bottom w:val="none" w:sz="0" w:space="0" w:color="auto"/>
        <w:right w:val="none" w:sz="0" w:space="0" w:color="auto"/>
      </w:divBdr>
    </w:div>
    <w:div w:id="993024388">
      <w:bodyDiv w:val="1"/>
      <w:marLeft w:val="0"/>
      <w:marRight w:val="0"/>
      <w:marTop w:val="0"/>
      <w:marBottom w:val="0"/>
      <w:divBdr>
        <w:top w:val="none" w:sz="0" w:space="0" w:color="auto"/>
        <w:left w:val="none" w:sz="0" w:space="0" w:color="auto"/>
        <w:bottom w:val="none" w:sz="0" w:space="0" w:color="auto"/>
        <w:right w:val="none" w:sz="0" w:space="0" w:color="auto"/>
      </w:divBdr>
    </w:div>
    <w:div w:id="1105466733">
      <w:bodyDiv w:val="1"/>
      <w:marLeft w:val="0"/>
      <w:marRight w:val="0"/>
      <w:marTop w:val="0"/>
      <w:marBottom w:val="0"/>
      <w:divBdr>
        <w:top w:val="none" w:sz="0" w:space="0" w:color="auto"/>
        <w:left w:val="none" w:sz="0" w:space="0" w:color="auto"/>
        <w:bottom w:val="none" w:sz="0" w:space="0" w:color="auto"/>
        <w:right w:val="none" w:sz="0" w:space="0" w:color="auto"/>
      </w:divBdr>
    </w:div>
    <w:div w:id="1283727681">
      <w:bodyDiv w:val="1"/>
      <w:marLeft w:val="0"/>
      <w:marRight w:val="0"/>
      <w:marTop w:val="0"/>
      <w:marBottom w:val="0"/>
      <w:divBdr>
        <w:top w:val="none" w:sz="0" w:space="0" w:color="auto"/>
        <w:left w:val="none" w:sz="0" w:space="0" w:color="auto"/>
        <w:bottom w:val="none" w:sz="0" w:space="0" w:color="auto"/>
        <w:right w:val="none" w:sz="0" w:space="0" w:color="auto"/>
      </w:divBdr>
    </w:div>
    <w:div w:id="1644389256">
      <w:bodyDiv w:val="1"/>
      <w:marLeft w:val="0"/>
      <w:marRight w:val="0"/>
      <w:marTop w:val="0"/>
      <w:marBottom w:val="0"/>
      <w:divBdr>
        <w:top w:val="none" w:sz="0" w:space="0" w:color="auto"/>
        <w:left w:val="none" w:sz="0" w:space="0" w:color="auto"/>
        <w:bottom w:val="none" w:sz="0" w:space="0" w:color="auto"/>
        <w:right w:val="none" w:sz="0" w:space="0" w:color="auto"/>
      </w:divBdr>
      <w:divsChild>
        <w:div w:id="2020691836">
          <w:marLeft w:val="2400"/>
          <w:marRight w:val="0"/>
          <w:marTop w:val="0"/>
          <w:marBottom w:val="0"/>
          <w:divBdr>
            <w:top w:val="none" w:sz="0" w:space="0" w:color="auto"/>
            <w:left w:val="none" w:sz="0" w:space="0" w:color="auto"/>
            <w:bottom w:val="none" w:sz="0" w:space="0" w:color="auto"/>
            <w:right w:val="none" w:sz="0" w:space="0" w:color="auto"/>
          </w:divBdr>
        </w:div>
      </w:divsChild>
    </w:div>
    <w:div w:id="1887909588">
      <w:bodyDiv w:val="1"/>
      <w:marLeft w:val="0"/>
      <w:marRight w:val="0"/>
      <w:marTop w:val="0"/>
      <w:marBottom w:val="0"/>
      <w:divBdr>
        <w:top w:val="none" w:sz="0" w:space="0" w:color="auto"/>
        <w:left w:val="none" w:sz="0" w:space="0" w:color="auto"/>
        <w:bottom w:val="none" w:sz="0" w:space="0" w:color="auto"/>
        <w:right w:val="none" w:sz="0" w:space="0" w:color="auto"/>
      </w:divBdr>
    </w:div>
    <w:div w:id="1891382925">
      <w:bodyDiv w:val="1"/>
      <w:marLeft w:val="0"/>
      <w:marRight w:val="0"/>
      <w:marTop w:val="0"/>
      <w:marBottom w:val="0"/>
      <w:divBdr>
        <w:top w:val="none" w:sz="0" w:space="0" w:color="auto"/>
        <w:left w:val="none" w:sz="0" w:space="0" w:color="auto"/>
        <w:bottom w:val="none" w:sz="0" w:space="0" w:color="auto"/>
        <w:right w:val="none" w:sz="0" w:space="0" w:color="auto"/>
      </w:divBdr>
    </w:div>
    <w:div w:id="1970474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hyperlink" Target="https://www.senat.fr/facturation.html"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8B3AD7-AF2C-43F0-945A-45494294E6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14</Pages>
  <Words>3792</Words>
  <Characters>22213</Characters>
  <Application>Microsoft Office Word</Application>
  <DocSecurity>0</DocSecurity>
  <Lines>185</Lines>
  <Paragraphs>51</Paragraphs>
  <ScaleCrop>false</ScaleCrop>
  <HeadingPairs>
    <vt:vector size="2" baseType="variant">
      <vt:variant>
        <vt:lpstr>Titre</vt:lpstr>
      </vt:variant>
      <vt:variant>
        <vt:i4>1</vt:i4>
      </vt:variant>
    </vt:vector>
  </HeadingPairs>
  <TitlesOfParts>
    <vt:vector size="1" baseType="lpstr">
      <vt:lpstr>Paris, le</vt:lpstr>
    </vt:vector>
  </TitlesOfParts>
  <Company>SENAT</Company>
  <LinksUpToDate>false</LinksUpToDate>
  <CharactersWithSpaces>25954</CharactersWithSpaces>
  <SharedDoc>false</SharedDoc>
  <HLinks>
    <vt:vector size="186" baseType="variant">
      <vt:variant>
        <vt:i4>7208964</vt:i4>
      </vt:variant>
      <vt:variant>
        <vt:i4>183</vt:i4>
      </vt:variant>
      <vt:variant>
        <vt:i4>0</vt:i4>
      </vt:variant>
      <vt:variant>
        <vt:i4>5</vt:i4>
      </vt:variant>
      <vt:variant>
        <vt:lpwstr>mailto:fournitures-lmg@senat.fr</vt:lpwstr>
      </vt:variant>
      <vt:variant>
        <vt:lpwstr/>
      </vt:variant>
      <vt:variant>
        <vt:i4>1703992</vt:i4>
      </vt:variant>
      <vt:variant>
        <vt:i4>176</vt:i4>
      </vt:variant>
      <vt:variant>
        <vt:i4>0</vt:i4>
      </vt:variant>
      <vt:variant>
        <vt:i4>5</vt:i4>
      </vt:variant>
      <vt:variant>
        <vt:lpwstr/>
      </vt:variant>
      <vt:variant>
        <vt:lpwstr>_Toc452198715</vt:lpwstr>
      </vt:variant>
      <vt:variant>
        <vt:i4>1703992</vt:i4>
      </vt:variant>
      <vt:variant>
        <vt:i4>170</vt:i4>
      </vt:variant>
      <vt:variant>
        <vt:i4>0</vt:i4>
      </vt:variant>
      <vt:variant>
        <vt:i4>5</vt:i4>
      </vt:variant>
      <vt:variant>
        <vt:lpwstr/>
      </vt:variant>
      <vt:variant>
        <vt:lpwstr>_Toc452198714</vt:lpwstr>
      </vt:variant>
      <vt:variant>
        <vt:i4>1703992</vt:i4>
      </vt:variant>
      <vt:variant>
        <vt:i4>164</vt:i4>
      </vt:variant>
      <vt:variant>
        <vt:i4>0</vt:i4>
      </vt:variant>
      <vt:variant>
        <vt:i4>5</vt:i4>
      </vt:variant>
      <vt:variant>
        <vt:lpwstr/>
      </vt:variant>
      <vt:variant>
        <vt:lpwstr>_Toc452198713</vt:lpwstr>
      </vt:variant>
      <vt:variant>
        <vt:i4>1703992</vt:i4>
      </vt:variant>
      <vt:variant>
        <vt:i4>158</vt:i4>
      </vt:variant>
      <vt:variant>
        <vt:i4>0</vt:i4>
      </vt:variant>
      <vt:variant>
        <vt:i4>5</vt:i4>
      </vt:variant>
      <vt:variant>
        <vt:lpwstr/>
      </vt:variant>
      <vt:variant>
        <vt:lpwstr>_Toc452198712</vt:lpwstr>
      </vt:variant>
      <vt:variant>
        <vt:i4>1703992</vt:i4>
      </vt:variant>
      <vt:variant>
        <vt:i4>152</vt:i4>
      </vt:variant>
      <vt:variant>
        <vt:i4>0</vt:i4>
      </vt:variant>
      <vt:variant>
        <vt:i4>5</vt:i4>
      </vt:variant>
      <vt:variant>
        <vt:lpwstr/>
      </vt:variant>
      <vt:variant>
        <vt:lpwstr>_Toc452198711</vt:lpwstr>
      </vt:variant>
      <vt:variant>
        <vt:i4>1703992</vt:i4>
      </vt:variant>
      <vt:variant>
        <vt:i4>146</vt:i4>
      </vt:variant>
      <vt:variant>
        <vt:i4>0</vt:i4>
      </vt:variant>
      <vt:variant>
        <vt:i4>5</vt:i4>
      </vt:variant>
      <vt:variant>
        <vt:lpwstr/>
      </vt:variant>
      <vt:variant>
        <vt:lpwstr>_Toc452198710</vt:lpwstr>
      </vt:variant>
      <vt:variant>
        <vt:i4>1769528</vt:i4>
      </vt:variant>
      <vt:variant>
        <vt:i4>140</vt:i4>
      </vt:variant>
      <vt:variant>
        <vt:i4>0</vt:i4>
      </vt:variant>
      <vt:variant>
        <vt:i4>5</vt:i4>
      </vt:variant>
      <vt:variant>
        <vt:lpwstr/>
      </vt:variant>
      <vt:variant>
        <vt:lpwstr>_Toc452198709</vt:lpwstr>
      </vt:variant>
      <vt:variant>
        <vt:i4>1769528</vt:i4>
      </vt:variant>
      <vt:variant>
        <vt:i4>134</vt:i4>
      </vt:variant>
      <vt:variant>
        <vt:i4>0</vt:i4>
      </vt:variant>
      <vt:variant>
        <vt:i4>5</vt:i4>
      </vt:variant>
      <vt:variant>
        <vt:lpwstr/>
      </vt:variant>
      <vt:variant>
        <vt:lpwstr>_Toc452198708</vt:lpwstr>
      </vt:variant>
      <vt:variant>
        <vt:i4>1769528</vt:i4>
      </vt:variant>
      <vt:variant>
        <vt:i4>128</vt:i4>
      </vt:variant>
      <vt:variant>
        <vt:i4>0</vt:i4>
      </vt:variant>
      <vt:variant>
        <vt:i4>5</vt:i4>
      </vt:variant>
      <vt:variant>
        <vt:lpwstr/>
      </vt:variant>
      <vt:variant>
        <vt:lpwstr>_Toc452198707</vt:lpwstr>
      </vt:variant>
      <vt:variant>
        <vt:i4>1769528</vt:i4>
      </vt:variant>
      <vt:variant>
        <vt:i4>122</vt:i4>
      </vt:variant>
      <vt:variant>
        <vt:i4>0</vt:i4>
      </vt:variant>
      <vt:variant>
        <vt:i4>5</vt:i4>
      </vt:variant>
      <vt:variant>
        <vt:lpwstr/>
      </vt:variant>
      <vt:variant>
        <vt:lpwstr>_Toc452198706</vt:lpwstr>
      </vt:variant>
      <vt:variant>
        <vt:i4>1769528</vt:i4>
      </vt:variant>
      <vt:variant>
        <vt:i4>116</vt:i4>
      </vt:variant>
      <vt:variant>
        <vt:i4>0</vt:i4>
      </vt:variant>
      <vt:variant>
        <vt:i4>5</vt:i4>
      </vt:variant>
      <vt:variant>
        <vt:lpwstr/>
      </vt:variant>
      <vt:variant>
        <vt:lpwstr>_Toc452198705</vt:lpwstr>
      </vt:variant>
      <vt:variant>
        <vt:i4>1769528</vt:i4>
      </vt:variant>
      <vt:variant>
        <vt:i4>110</vt:i4>
      </vt:variant>
      <vt:variant>
        <vt:i4>0</vt:i4>
      </vt:variant>
      <vt:variant>
        <vt:i4>5</vt:i4>
      </vt:variant>
      <vt:variant>
        <vt:lpwstr/>
      </vt:variant>
      <vt:variant>
        <vt:lpwstr>_Toc452198704</vt:lpwstr>
      </vt:variant>
      <vt:variant>
        <vt:i4>1769528</vt:i4>
      </vt:variant>
      <vt:variant>
        <vt:i4>104</vt:i4>
      </vt:variant>
      <vt:variant>
        <vt:i4>0</vt:i4>
      </vt:variant>
      <vt:variant>
        <vt:i4>5</vt:i4>
      </vt:variant>
      <vt:variant>
        <vt:lpwstr/>
      </vt:variant>
      <vt:variant>
        <vt:lpwstr>_Toc452198703</vt:lpwstr>
      </vt:variant>
      <vt:variant>
        <vt:i4>1769528</vt:i4>
      </vt:variant>
      <vt:variant>
        <vt:i4>98</vt:i4>
      </vt:variant>
      <vt:variant>
        <vt:i4>0</vt:i4>
      </vt:variant>
      <vt:variant>
        <vt:i4>5</vt:i4>
      </vt:variant>
      <vt:variant>
        <vt:lpwstr/>
      </vt:variant>
      <vt:variant>
        <vt:lpwstr>_Toc452198702</vt:lpwstr>
      </vt:variant>
      <vt:variant>
        <vt:i4>1769528</vt:i4>
      </vt:variant>
      <vt:variant>
        <vt:i4>92</vt:i4>
      </vt:variant>
      <vt:variant>
        <vt:i4>0</vt:i4>
      </vt:variant>
      <vt:variant>
        <vt:i4>5</vt:i4>
      </vt:variant>
      <vt:variant>
        <vt:lpwstr/>
      </vt:variant>
      <vt:variant>
        <vt:lpwstr>_Toc452198701</vt:lpwstr>
      </vt:variant>
      <vt:variant>
        <vt:i4>1769528</vt:i4>
      </vt:variant>
      <vt:variant>
        <vt:i4>86</vt:i4>
      </vt:variant>
      <vt:variant>
        <vt:i4>0</vt:i4>
      </vt:variant>
      <vt:variant>
        <vt:i4>5</vt:i4>
      </vt:variant>
      <vt:variant>
        <vt:lpwstr/>
      </vt:variant>
      <vt:variant>
        <vt:lpwstr>_Toc452198700</vt:lpwstr>
      </vt:variant>
      <vt:variant>
        <vt:i4>1179705</vt:i4>
      </vt:variant>
      <vt:variant>
        <vt:i4>80</vt:i4>
      </vt:variant>
      <vt:variant>
        <vt:i4>0</vt:i4>
      </vt:variant>
      <vt:variant>
        <vt:i4>5</vt:i4>
      </vt:variant>
      <vt:variant>
        <vt:lpwstr/>
      </vt:variant>
      <vt:variant>
        <vt:lpwstr>_Toc452198699</vt:lpwstr>
      </vt:variant>
      <vt:variant>
        <vt:i4>1179705</vt:i4>
      </vt:variant>
      <vt:variant>
        <vt:i4>74</vt:i4>
      </vt:variant>
      <vt:variant>
        <vt:i4>0</vt:i4>
      </vt:variant>
      <vt:variant>
        <vt:i4>5</vt:i4>
      </vt:variant>
      <vt:variant>
        <vt:lpwstr/>
      </vt:variant>
      <vt:variant>
        <vt:lpwstr>_Toc452198698</vt:lpwstr>
      </vt:variant>
      <vt:variant>
        <vt:i4>1179705</vt:i4>
      </vt:variant>
      <vt:variant>
        <vt:i4>68</vt:i4>
      </vt:variant>
      <vt:variant>
        <vt:i4>0</vt:i4>
      </vt:variant>
      <vt:variant>
        <vt:i4>5</vt:i4>
      </vt:variant>
      <vt:variant>
        <vt:lpwstr/>
      </vt:variant>
      <vt:variant>
        <vt:lpwstr>_Toc452198697</vt:lpwstr>
      </vt:variant>
      <vt:variant>
        <vt:i4>1179705</vt:i4>
      </vt:variant>
      <vt:variant>
        <vt:i4>62</vt:i4>
      </vt:variant>
      <vt:variant>
        <vt:i4>0</vt:i4>
      </vt:variant>
      <vt:variant>
        <vt:i4>5</vt:i4>
      </vt:variant>
      <vt:variant>
        <vt:lpwstr/>
      </vt:variant>
      <vt:variant>
        <vt:lpwstr>_Toc452198696</vt:lpwstr>
      </vt:variant>
      <vt:variant>
        <vt:i4>1179705</vt:i4>
      </vt:variant>
      <vt:variant>
        <vt:i4>56</vt:i4>
      </vt:variant>
      <vt:variant>
        <vt:i4>0</vt:i4>
      </vt:variant>
      <vt:variant>
        <vt:i4>5</vt:i4>
      </vt:variant>
      <vt:variant>
        <vt:lpwstr/>
      </vt:variant>
      <vt:variant>
        <vt:lpwstr>_Toc452198695</vt:lpwstr>
      </vt:variant>
      <vt:variant>
        <vt:i4>1179705</vt:i4>
      </vt:variant>
      <vt:variant>
        <vt:i4>50</vt:i4>
      </vt:variant>
      <vt:variant>
        <vt:i4>0</vt:i4>
      </vt:variant>
      <vt:variant>
        <vt:i4>5</vt:i4>
      </vt:variant>
      <vt:variant>
        <vt:lpwstr/>
      </vt:variant>
      <vt:variant>
        <vt:lpwstr>_Toc452198694</vt:lpwstr>
      </vt:variant>
      <vt:variant>
        <vt:i4>1179705</vt:i4>
      </vt:variant>
      <vt:variant>
        <vt:i4>44</vt:i4>
      </vt:variant>
      <vt:variant>
        <vt:i4>0</vt:i4>
      </vt:variant>
      <vt:variant>
        <vt:i4>5</vt:i4>
      </vt:variant>
      <vt:variant>
        <vt:lpwstr/>
      </vt:variant>
      <vt:variant>
        <vt:lpwstr>_Toc452198693</vt:lpwstr>
      </vt:variant>
      <vt:variant>
        <vt:i4>1179705</vt:i4>
      </vt:variant>
      <vt:variant>
        <vt:i4>38</vt:i4>
      </vt:variant>
      <vt:variant>
        <vt:i4>0</vt:i4>
      </vt:variant>
      <vt:variant>
        <vt:i4>5</vt:i4>
      </vt:variant>
      <vt:variant>
        <vt:lpwstr/>
      </vt:variant>
      <vt:variant>
        <vt:lpwstr>_Toc452198692</vt:lpwstr>
      </vt:variant>
      <vt:variant>
        <vt:i4>1179705</vt:i4>
      </vt:variant>
      <vt:variant>
        <vt:i4>32</vt:i4>
      </vt:variant>
      <vt:variant>
        <vt:i4>0</vt:i4>
      </vt:variant>
      <vt:variant>
        <vt:i4>5</vt:i4>
      </vt:variant>
      <vt:variant>
        <vt:lpwstr/>
      </vt:variant>
      <vt:variant>
        <vt:lpwstr>_Toc452198691</vt:lpwstr>
      </vt:variant>
      <vt:variant>
        <vt:i4>1179705</vt:i4>
      </vt:variant>
      <vt:variant>
        <vt:i4>26</vt:i4>
      </vt:variant>
      <vt:variant>
        <vt:i4>0</vt:i4>
      </vt:variant>
      <vt:variant>
        <vt:i4>5</vt:i4>
      </vt:variant>
      <vt:variant>
        <vt:lpwstr/>
      </vt:variant>
      <vt:variant>
        <vt:lpwstr>_Toc452198690</vt:lpwstr>
      </vt:variant>
      <vt:variant>
        <vt:i4>1245241</vt:i4>
      </vt:variant>
      <vt:variant>
        <vt:i4>20</vt:i4>
      </vt:variant>
      <vt:variant>
        <vt:i4>0</vt:i4>
      </vt:variant>
      <vt:variant>
        <vt:i4>5</vt:i4>
      </vt:variant>
      <vt:variant>
        <vt:lpwstr/>
      </vt:variant>
      <vt:variant>
        <vt:lpwstr>_Toc452198689</vt:lpwstr>
      </vt:variant>
      <vt:variant>
        <vt:i4>1245241</vt:i4>
      </vt:variant>
      <vt:variant>
        <vt:i4>14</vt:i4>
      </vt:variant>
      <vt:variant>
        <vt:i4>0</vt:i4>
      </vt:variant>
      <vt:variant>
        <vt:i4>5</vt:i4>
      </vt:variant>
      <vt:variant>
        <vt:lpwstr/>
      </vt:variant>
      <vt:variant>
        <vt:lpwstr>_Toc452198688</vt:lpwstr>
      </vt:variant>
      <vt:variant>
        <vt:i4>1245241</vt:i4>
      </vt:variant>
      <vt:variant>
        <vt:i4>8</vt:i4>
      </vt:variant>
      <vt:variant>
        <vt:i4>0</vt:i4>
      </vt:variant>
      <vt:variant>
        <vt:i4>5</vt:i4>
      </vt:variant>
      <vt:variant>
        <vt:lpwstr/>
      </vt:variant>
      <vt:variant>
        <vt:lpwstr>_Toc452198687</vt:lpwstr>
      </vt:variant>
      <vt:variant>
        <vt:i4>1245241</vt:i4>
      </vt:variant>
      <vt:variant>
        <vt:i4>2</vt:i4>
      </vt:variant>
      <vt:variant>
        <vt:i4>0</vt:i4>
      </vt:variant>
      <vt:variant>
        <vt:i4>5</vt:i4>
      </vt:variant>
      <vt:variant>
        <vt:lpwstr/>
      </vt:variant>
      <vt:variant>
        <vt:lpwstr>_Toc452198686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Paris, le</dc:title>
  <dc:creator>Floc'Hlay Denis</dc:creator>
  <cp:lastModifiedBy>Jean-Pierre ROMAN</cp:lastModifiedBy>
  <cp:revision>7</cp:revision>
  <cp:lastPrinted>2025-10-21T13:16:00Z</cp:lastPrinted>
  <dcterms:created xsi:type="dcterms:W3CDTF">2025-10-22T15:11:00Z</dcterms:created>
  <dcterms:modified xsi:type="dcterms:W3CDTF">2025-10-22T15:26:00Z</dcterms:modified>
</cp:coreProperties>
</file>