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567758" w14:textId="77777777" w:rsidR="00E27A21" w:rsidRDefault="00E27A21">
      <w:pPr>
        <w:rPr>
          <w:rFonts w:ascii="Times New Roman" w:eastAsia="Times New Roman" w:hAnsi="Times New Roman" w:cs="Times New Roman"/>
          <w:sz w:val="20"/>
          <w:szCs w:val="20"/>
        </w:rPr>
      </w:pPr>
    </w:p>
    <w:p w14:paraId="7A2D7296" w14:textId="77777777" w:rsidR="00E27A21" w:rsidRDefault="00E27A21">
      <w:pPr>
        <w:rPr>
          <w:rFonts w:ascii="Times New Roman" w:eastAsia="Times New Roman" w:hAnsi="Times New Roman" w:cs="Times New Roman"/>
          <w:sz w:val="20"/>
          <w:szCs w:val="20"/>
        </w:rPr>
      </w:pPr>
    </w:p>
    <w:p w14:paraId="3C91DC01" w14:textId="77777777" w:rsidR="00E27A21" w:rsidRDefault="00E27A21">
      <w:pPr>
        <w:rPr>
          <w:rFonts w:ascii="Times New Roman" w:eastAsia="Times New Roman" w:hAnsi="Times New Roman" w:cs="Times New Roman"/>
          <w:sz w:val="20"/>
          <w:szCs w:val="20"/>
          <w:lang w:eastAsia="ar-SA"/>
        </w:rPr>
      </w:pPr>
    </w:p>
    <w:p w14:paraId="42B1E16A"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ACCORD-CADRE MONOATTRIBUTAIRE</w:t>
      </w:r>
    </w:p>
    <w:p w14:paraId="3D216B30"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PUBLIC DE SERVICES</w:t>
      </w:r>
    </w:p>
    <w:p w14:paraId="4619D572"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u w:val="single"/>
          <w:lang w:eastAsia="ar-SA"/>
        </w:rPr>
      </w:pPr>
    </w:p>
    <w:p w14:paraId="681E5B6A"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Bordereau des Prix</w:t>
      </w:r>
    </w:p>
    <w:p w14:paraId="6FA5EC03"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w:t>
      </w:r>
      <w:proofErr w:type="gramStart"/>
      <w:r>
        <w:rPr>
          <w:rFonts w:ascii="Times New Roman" w:eastAsia="Times New Roman" w:hAnsi="Times New Roman" w:cs="Times New Roman"/>
          <w:b/>
          <w:sz w:val="36"/>
          <w:szCs w:val="36"/>
          <w:lang w:eastAsia="ar-SA"/>
        </w:rPr>
        <w:t>document</w:t>
      </w:r>
      <w:proofErr w:type="gramEnd"/>
      <w:r>
        <w:rPr>
          <w:rFonts w:ascii="Times New Roman" w:eastAsia="Times New Roman" w:hAnsi="Times New Roman" w:cs="Times New Roman"/>
          <w:b/>
          <w:sz w:val="36"/>
          <w:szCs w:val="36"/>
          <w:lang w:eastAsia="ar-SA"/>
        </w:rPr>
        <w:t xml:space="preserve"> contractuel)</w:t>
      </w:r>
    </w:p>
    <w:p w14:paraId="4B5C2E9E"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lang w:eastAsia="ar-SA"/>
        </w:rPr>
      </w:pPr>
    </w:p>
    <w:p w14:paraId="2A75433C" w14:textId="77777777" w:rsidR="00E27A21" w:rsidRDefault="00E27A21">
      <w:pPr>
        <w:rPr>
          <w:rFonts w:ascii="Times New Roman" w:eastAsia="Times New Roman" w:hAnsi="Times New Roman" w:cs="Times New Roman"/>
          <w:b/>
          <w:sz w:val="32"/>
          <w:szCs w:val="20"/>
          <w:lang w:eastAsia="ar-SA"/>
        </w:rPr>
      </w:pPr>
    </w:p>
    <w:p w14:paraId="6FA1147C" w14:textId="77777777" w:rsidR="00E27A21" w:rsidRDefault="00284E10">
      <w:pPr>
        <w:rPr>
          <w:rFonts w:ascii="Times New Roman" w:eastAsia="Times New Roman" w:hAnsi="Times New Roman" w:cs="Times New Roman"/>
          <w:b/>
          <w:i/>
          <w:sz w:val="36"/>
          <w:szCs w:val="36"/>
          <w:lang w:eastAsia="ar-SA"/>
        </w:rPr>
      </w:pPr>
      <w:r>
        <w:rPr>
          <w:rFonts w:ascii="Times New Roman" w:eastAsia="Times New Roman" w:hAnsi="Times New Roman" w:cs="Times New Roman"/>
          <w:b/>
          <w:i/>
          <w:sz w:val="36"/>
          <w:szCs w:val="36"/>
          <w:lang w:eastAsia="ar-SA"/>
        </w:rPr>
        <w:t xml:space="preserve"> </w:t>
      </w:r>
    </w:p>
    <w:p w14:paraId="119BC206" w14:textId="77777777" w:rsidR="00E27A21" w:rsidRDefault="00E27A21">
      <w:pPr>
        <w:widowControl/>
        <w:overflowPunct w:val="0"/>
        <w:autoSpaceDE w:val="0"/>
        <w:textAlignment w:val="baseline"/>
        <w:rPr>
          <w:rFonts w:ascii="Times New Roman" w:eastAsia="Times New Roman" w:hAnsi="Times New Roman" w:cs="Times New Roman"/>
          <w:b/>
          <w:i/>
          <w:kern w:val="0"/>
          <w:sz w:val="12"/>
          <w:szCs w:val="20"/>
          <w:lang w:eastAsia="ar-SA"/>
        </w:rPr>
      </w:pPr>
    </w:p>
    <w:p w14:paraId="1F6F2617"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061505E5"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6F8FC4E1"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7980EFC2"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tbl>
      <w:tblPr>
        <w:tblW w:w="9087" w:type="dxa"/>
        <w:tblCellMar>
          <w:left w:w="70" w:type="dxa"/>
          <w:right w:w="70" w:type="dxa"/>
        </w:tblCellMar>
        <w:tblLook w:val="0000" w:firstRow="0" w:lastRow="0" w:firstColumn="0" w:lastColumn="0" w:noHBand="0" w:noVBand="0"/>
      </w:tblPr>
      <w:tblGrid>
        <w:gridCol w:w="9087"/>
      </w:tblGrid>
      <w:tr w:rsidR="00E27A21" w14:paraId="201A9257" w14:textId="77777777">
        <w:tc>
          <w:tcPr>
            <w:tcW w:w="9087" w:type="dxa"/>
            <w:tcBorders>
              <w:top w:val="double" w:sz="2" w:space="0" w:color="000000"/>
              <w:left w:val="double" w:sz="2" w:space="0" w:color="000000"/>
              <w:bottom w:val="single" w:sz="4" w:space="0" w:color="000000"/>
              <w:right w:val="double" w:sz="2" w:space="0" w:color="000000"/>
            </w:tcBorders>
            <w:shd w:val="clear" w:color="auto" w:fill="CCCCCC"/>
          </w:tcPr>
          <w:p w14:paraId="627AE7C6" w14:textId="77777777" w:rsidR="00E27A21" w:rsidRDefault="00284E10">
            <w:pPr>
              <w:widowControl/>
              <w:overflowPunct w:val="0"/>
              <w:autoSpaceDE w:val="0"/>
              <w:snapToGrid w:val="0"/>
              <w:jc w:val="center"/>
              <w:textAlignment w:val="baseline"/>
              <w:rPr>
                <w:rFonts w:ascii="Times New Roman" w:eastAsia="Times New Roman" w:hAnsi="Times New Roman" w:cs="Times New Roman"/>
                <w:b/>
                <w:i/>
                <w:kern w:val="0"/>
                <w:sz w:val="32"/>
                <w:szCs w:val="32"/>
                <w:lang w:eastAsia="ar-SA"/>
              </w:rPr>
            </w:pPr>
            <w:r>
              <w:rPr>
                <w:rFonts w:ascii="Times New Roman" w:eastAsia="Times New Roman" w:hAnsi="Times New Roman" w:cs="Times New Roman"/>
                <w:b/>
                <w:i/>
                <w:kern w:val="0"/>
                <w:sz w:val="32"/>
                <w:szCs w:val="32"/>
                <w:lang w:eastAsia="ar-SA"/>
              </w:rPr>
              <w:t>Objet du marché</w:t>
            </w:r>
          </w:p>
        </w:tc>
      </w:tr>
      <w:tr w:rsidR="00E27A21" w14:paraId="1FE10DC0" w14:textId="77777777">
        <w:tc>
          <w:tcPr>
            <w:tcW w:w="9087" w:type="dxa"/>
            <w:tcBorders>
              <w:left w:val="double" w:sz="2" w:space="0" w:color="000000"/>
              <w:bottom w:val="double" w:sz="2" w:space="0" w:color="000000"/>
              <w:right w:val="double" w:sz="2" w:space="0" w:color="000000"/>
            </w:tcBorders>
            <w:shd w:val="clear" w:color="auto" w:fill="auto"/>
          </w:tcPr>
          <w:p w14:paraId="366CCD4D" w14:textId="77777777" w:rsidR="00E27A21" w:rsidRDefault="00E27A21">
            <w:pPr>
              <w:widowControl/>
              <w:overflowPunct w:val="0"/>
              <w:autoSpaceDE w:val="0"/>
              <w:snapToGrid w:val="0"/>
              <w:ind w:right="641"/>
              <w:jc w:val="center"/>
              <w:textAlignment w:val="baseline"/>
              <w:rPr>
                <w:rFonts w:ascii="Times New Roman" w:eastAsia="Times New Roman" w:hAnsi="Times New Roman" w:cs="Times New Roman"/>
                <w:b/>
                <w:i/>
                <w:kern w:val="0"/>
                <w:sz w:val="28"/>
                <w:szCs w:val="28"/>
                <w:lang w:eastAsia="ar-SA"/>
              </w:rPr>
            </w:pPr>
          </w:p>
          <w:p w14:paraId="5E821D78" w14:textId="4B965B58" w:rsidR="00E27A21" w:rsidRPr="00373CF1" w:rsidRDefault="00373CF1">
            <w:pPr>
              <w:snapToGrid w:val="0"/>
              <w:ind w:left="567" w:right="497"/>
              <w:jc w:val="center"/>
              <w:rPr>
                <w:rFonts w:ascii="Times New Roman" w:eastAsia="Times New Roman" w:hAnsi="Times New Roman" w:cs="Times New Roman"/>
                <w:b/>
                <w:bCs/>
                <w:kern w:val="0"/>
                <w:sz w:val="28"/>
                <w:szCs w:val="28"/>
                <w:lang w:bidi="hi-IN"/>
              </w:rPr>
            </w:pPr>
            <w:r w:rsidRPr="00373CF1">
              <w:rPr>
                <w:rFonts w:ascii="Times New Roman" w:eastAsia="Trebuchet MS" w:hAnsi="Times New Roman" w:cs="Times New Roman"/>
                <w:b/>
                <w:color w:val="000000"/>
                <w:sz w:val="28"/>
                <w:szCs w:val="28"/>
              </w:rPr>
              <w:t>Diagnostics sanitaires et sécuritaires du patrimoine arboré pour la Direction Territoriale Nord – Pas-de-Calais de VNF</w:t>
            </w:r>
          </w:p>
          <w:p w14:paraId="29EE59C0" w14:textId="77777777" w:rsidR="00E27A21" w:rsidRDefault="00284E10" w:rsidP="005C2784">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r>
              <w:rPr>
                <w:rFonts w:ascii="Times New Roman" w:eastAsia="Times New Roman" w:hAnsi="Times New Roman" w:cs="Times New Roman"/>
                <w:b/>
                <w:kern w:val="0"/>
                <w:sz w:val="28"/>
                <w:szCs w:val="28"/>
                <w:lang w:eastAsia="ar-SA"/>
              </w:rPr>
              <w:t>Lo</w:t>
            </w:r>
            <w:r w:rsidR="00E33C8F">
              <w:rPr>
                <w:rFonts w:ascii="Times New Roman" w:eastAsia="Times New Roman" w:hAnsi="Times New Roman" w:cs="Times New Roman"/>
                <w:b/>
                <w:kern w:val="0"/>
                <w:sz w:val="28"/>
                <w:szCs w:val="28"/>
                <w:lang w:eastAsia="ar-SA"/>
              </w:rPr>
              <w:t>t n°</w:t>
            </w:r>
            <w:r w:rsidR="005C2784">
              <w:rPr>
                <w:rFonts w:ascii="Times New Roman" w:eastAsia="Times New Roman" w:hAnsi="Times New Roman" w:cs="Times New Roman"/>
                <w:b/>
                <w:kern w:val="0"/>
                <w:sz w:val="28"/>
                <w:szCs w:val="28"/>
                <w:lang w:eastAsia="ar-SA"/>
              </w:rPr>
              <w:t>2</w:t>
            </w:r>
            <w:r w:rsidR="00E33C8F">
              <w:rPr>
                <w:rFonts w:ascii="Times New Roman" w:eastAsia="Times New Roman" w:hAnsi="Times New Roman" w:cs="Times New Roman"/>
                <w:b/>
                <w:kern w:val="0"/>
                <w:sz w:val="28"/>
                <w:szCs w:val="28"/>
                <w:lang w:eastAsia="ar-SA"/>
              </w:rPr>
              <w:t xml:space="preserve"> : UTI </w:t>
            </w:r>
            <w:proofErr w:type="spellStart"/>
            <w:r w:rsidR="005C2784">
              <w:rPr>
                <w:rFonts w:ascii="Times New Roman" w:eastAsia="Times New Roman" w:hAnsi="Times New Roman" w:cs="Times New Roman"/>
                <w:b/>
                <w:kern w:val="0"/>
                <w:sz w:val="28"/>
                <w:szCs w:val="28"/>
                <w:lang w:eastAsia="ar-SA"/>
              </w:rPr>
              <w:t>Deûle</w:t>
            </w:r>
            <w:r w:rsidR="00E33C8F">
              <w:rPr>
                <w:rFonts w:ascii="Times New Roman" w:eastAsia="Times New Roman" w:hAnsi="Times New Roman" w:cs="Times New Roman"/>
                <w:b/>
                <w:kern w:val="0"/>
                <w:sz w:val="28"/>
                <w:szCs w:val="28"/>
                <w:lang w:eastAsia="ar-SA"/>
              </w:rPr>
              <w:t>-</w:t>
            </w:r>
            <w:r w:rsidR="005C2784">
              <w:rPr>
                <w:rFonts w:ascii="Times New Roman" w:eastAsia="Times New Roman" w:hAnsi="Times New Roman" w:cs="Times New Roman"/>
                <w:b/>
                <w:kern w:val="0"/>
                <w:sz w:val="28"/>
                <w:szCs w:val="28"/>
                <w:lang w:eastAsia="ar-SA"/>
              </w:rPr>
              <w:t>Scarpe</w:t>
            </w:r>
            <w:proofErr w:type="spellEnd"/>
          </w:p>
          <w:p w14:paraId="6FD6D61D" w14:textId="1F7A17C3" w:rsidR="005C2784" w:rsidRDefault="005C2784" w:rsidP="005C2784">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p>
        </w:tc>
      </w:tr>
    </w:tbl>
    <w:p w14:paraId="17D931E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025D2D43"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4B9E26DA" w14:textId="77777777" w:rsidR="00E27A21" w:rsidRDefault="00E27A21">
      <w:pPr>
        <w:widowControl/>
        <w:overflowPunct w:val="0"/>
        <w:autoSpaceDE w:val="0"/>
        <w:spacing w:before="240"/>
        <w:textAlignment w:val="baseline"/>
        <w:rPr>
          <w:rFonts w:ascii="Times New Roman" w:eastAsia="Times New Roman" w:hAnsi="Times New Roman" w:cs="Times New Roman"/>
          <w:kern w:val="0"/>
          <w:sz w:val="20"/>
          <w:szCs w:val="20"/>
          <w:lang w:eastAsia="ar-SA"/>
        </w:rPr>
      </w:pPr>
    </w:p>
    <w:p w14:paraId="0D4545ED" w14:textId="77777777" w:rsidR="00E27A21" w:rsidRDefault="00284E10">
      <w:pPr>
        <w:widowControl/>
        <w:overflowPunct w:val="0"/>
        <w:autoSpaceDE w:val="0"/>
        <w:spacing w:before="240"/>
        <w:textAlignment w:val="baseline"/>
        <w:rPr>
          <w:rFonts w:ascii="Times New Roman" w:eastAsia="Times New Roman" w:hAnsi="Times New Roman" w:cs="Times New Roman"/>
          <w:kern w:val="0"/>
          <w:lang w:eastAsia="ar-SA"/>
        </w:rPr>
      </w:pPr>
      <w:r>
        <w:rPr>
          <w:rFonts w:ascii="Times New Roman" w:eastAsia="Times New Roman" w:hAnsi="Times New Roman" w:cs="Times New Roman"/>
          <w:kern w:val="0"/>
          <w:lang w:eastAsia="ar-SA"/>
        </w:rPr>
        <w:t>Tous les montants figurant dans le présent document sont exprimés en euros.</w:t>
      </w:r>
    </w:p>
    <w:p w14:paraId="35985F94"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3197795F"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1B180BBA" w14:textId="52EEB877" w:rsidR="00E27A21" w:rsidRDefault="00284E10">
      <w:pPr>
        <w:widowControl/>
        <w:overflowPunct w:val="0"/>
        <w:autoSpaceDE w:val="0"/>
        <w:spacing w:before="240"/>
        <w:textAlignment w:val="baseline"/>
      </w:pPr>
      <w:r>
        <w:rPr>
          <w:rFonts w:ascii="Times New Roman" w:eastAsia="Times New Roman" w:hAnsi="Times New Roman" w:cs="Times New Roman"/>
          <w:kern w:val="0"/>
          <w:lang w:eastAsia="ar-SA"/>
        </w:rPr>
        <w:t xml:space="preserve">Le présent Bordereau des Prix comprend </w:t>
      </w:r>
      <w:r w:rsidR="00FD2612">
        <w:rPr>
          <w:rFonts w:ascii="Times New Roman" w:hAnsi="Times New Roman" w:cs="Times New Roman"/>
        </w:rPr>
        <w:t>3</w:t>
      </w:r>
      <w:r>
        <w:rPr>
          <w:rFonts w:ascii="Times New Roman" w:eastAsia="Times New Roman" w:hAnsi="Times New Roman" w:cs="Times New Roman"/>
          <w:kern w:val="0"/>
          <w:lang w:eastAsia="ar-SA"/>
        </w:rPr>
        <w:t xml:space="preserve"> feuillets.</w:t>
      </w:r>
    </w:p>
    <w:p w14:paraId="0486ACB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3D9CF9F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4A2F555F" w14:textId="77777777" w:rsidR="00E27A21" w:rsidRDefault="00E27A21">
      <w:pPr>
        <w:rPr>
          <w:rFonts w:ascii="Times New Roman" w:eastAsia="Times New Roman" w:hAnsi="Times New Roman" w:cs="Times New Roman"/>
          <w:kern w:val="0"/>
          <w:sz w:val="20"/>
          <w:szCs w:val="20"/>
          <w:lang w:eastAsia="ar-SA"/>
        </w:rPr>
      </w:pPr>
    </w:p>
    <w:p w14:paraId="14EAFE06" w14:textId="77777777" w:rsidR="00E27A21" w:rsidRDefault="00E27A21">
      <w:pPr>
        <w:rPr>
          <w:rFonts w:ascii="Times New Roman" w:hAnsi="Times New Roman" w:cs="Times New Roman"/>
        </w:rPr>
      </w:pPr>
    </w:p>
    <w:p w14:paraId="161FDDDC" w14:textId="77777777" w:rsidR="00E27A21" w:rsidRDefault="00284E10">
      <w:pPr>
        <w:rPr>
          <w:rFonts w:ascii="Times New Roman" w:hAnsi="Times New Roman" w:cs="Times New Roman"/>
        </w:rPr>
      </w:pPr>
      <w:r>
        <w:br w:type="page"/>
      </w:r>
    </w:p>
    <w:p w14:paraId="5F8F04CE" w14:textId="77777777" w:rsidR="00E27A21" w:rsidRDefault="00E27A21">
      <w:pPr>
        <w:rPr>
          <w:rFonts w:ascii="Times New Roman" w:eastAsia="Times New Roman" w:hAnsi="Times New Roman" w:cs="Times New Roman"/>
          <w:sz w:val="20"/>
          <w:szCs w:val="20"/>
        </w:rPr>
      </w:pPr>
    </w:p>
    <w:tbl>
      <w:tblPr>
        <w:tblW w:w="5946" w:type="pct"/>
        <w:tblInd w:w="-856" w:type="dxa"/>
        <w:tblCellMar>
          <w:left w:w="70" w:type="dxa"/>
          <w:right w:w="70" w:type="dxa"/>
        </w:tblCellMar>
        <w:tblLook w:val="0000" w:firstRow="0" w:lastRow="0" w:firstColumn="0" w:lastColumn="0" w:noHBand="0" w:noVBand="0"/>
      </w:tblPr>
      <w:tblGrid>
        <w:gridCol w:w="1250"/>
        <w:gridCol w:w="5542"/>
        <w:gridCol w:w="1249"/>
        <w:gridCol w:w="1249"/>
        <w:gridCol w:w="1484"/>
      </w:tblGrid>
      <w:tr w:rsidR="00E27A21" w14:paraId="331FE7C6" w14:textId="77777777" w:rsidTr="00BA55A7">
        <w:trPr>
          <w:trHeight w:val="20"/>
          <w:tblHeader/>
        </w:trPr>
        <w:tc>
          <w:tcPr>
            <w:tcW w:w="1250" w:type="dxa"/>
            <w:tcBorders>
              <w:top w:val="single" w:sz="4" w:space="0" w:color="000000"/>
              <w:left w:val="single" w:sz="4" w:space="0" w:color="000000"/>
              <w:bottom w:val="single" w:sz="4" w:space="0" w:color="000000"/>
            </w:tcBorders>
            <w:shd w:val="clear" w:color="auto" w:fill="BFBFBF" w:themeFill="background1" w:themeFillShade="BF"/>
            <w:vAlign w:val="center"/>
          </w:tcPr>
          <w:p w14:paraId="0CB84268"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N° de prix</w:t>
            </w:r>
          </w:p>
        </w:tc>
        <w:tc>
          <w:tcPr>
            <w:tcW w:w="5542" w:type="dxa"/>
            <w:tcBorders>
              <w:top w:val="single" w:sz="4" w:space="0" w:color="000000"/>
              <w:left w:val="single" w:sz="4" w:space="0" w:color="000000"/>
              <w:bottom w:val="single" w:sz="4" w:space="0" w:color="000000"/>
            </w:tcBorders>
            <w:shd w:val="clear" w:color="auto" w:fill="BFBFBF" w:themeFill="background1" w:themeFillShade="BF"/>
            <w:vAlign w:val="center"/>
          </w:tcPr>
          <w:p w14:paraId="13D85505"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Désignation des prix</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6D424DFF"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Unité</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23B71DC9"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HT</w:t>
            </w:r>
          </w:p>
        </w:tc>
        <w:tc>
          <w:tcPr>
            <w:tcW w:w="14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2FE5C18"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TTC</w:t>
            </w:r>
          </w:p>
        </w:tc>
      </w:tr>
      <w:tr w:rsidR="00E27A21" w14:paraId="2F276EC5" w14:textId="77777777" w:rsidTr="00BA55A7">
        <w:trPr>
          <w:trHeight w:val="20"/>
        </w:trPr>
        <w:tc>
          <w:tcPr>
            <w:tcW w:w="1250" w:type="dxa"/>
            <w:tcBorders>
              <w:left w:val="single" w:sz="4" w:space="0" w:color="000000"/>
              <w:bottom w:val="single" w:sz="4" w:space="0" w:color="000000"/>
            </w:tcBorders>
            <w:shd w:val="clear" w:color="auto" w:fill="auto"/>
            <w:vAlign w:val="center"/>
          </w:tcPr>
          <w:p w14:paraId="6A0B75B6" w14:textId="77777777" w:rsidR="00E27A21" w:rsidRDefault="00E27A21">
            <w:pPr>
              <w:snapToGrid w:val="0"/>
              <w:jc w:val="center"/>
              <w:rPr>
                <w:rFonts w:ascii="Times New Roman" w:eastAsia="Times New Roman" w:hAnsi="Times New Roman" w:cs="Times New Roman"/>
                <w:b/>
                <w:i/>
                <w:sz w:val="20"/>
                <w:szCs w:val="20"/>
              </w:rPr>
            </w:pPr>
          </w:p>
          <w:p w14:paraId="54AFBEB4" w14:textId="0062DB33" w:rsidR="00E27A21" w:rsidRDefault="00284E10">
            <w:pPr>
              <w:snapToGrid w:val="0"/>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2A3E19">
              <w:rPr>
                <w:rFonts w:ascii="Times New Roman" w:eastAsia="Times New Roman" w:hAnsi="Times New Roman" w:cs="Times New Roman"/>
                <w:b/>
                <w:bCs/>
                <w:sz w:val="20"/>
                <w:szCs w:val="20"/>
              </w:rPr>
              <w:t>2</w:t>
            </w:r>
          </w:p>
          <w:p w14:paraId="7533D555" w14:textId="77777777" w:rsidR="00E27A21" w:rsidRDefault="00E27A21">
            <w:pPr>
              <w:jc w:val="center"/>
              <w:rPr>
                <w:rFonts w:ascii="Times New Roman" w:eastAsia="Times New Roman" w:hAnsi="Times New Roman" w:cs="Times New Roman"/>
                <w:b/>
                <w:sz w:val="20"/>
                <w:szCs w:val="20"/>
              </w:rPr>
            </w:pPr>
          </w:p>
        </w:tc>
        <w:tc>
          <w:tcPr>
            <w:tcW w:w="5542" w:type="dxa"/>
            <w:tcBorders>
              <w:left w:val="single" w:sz="4" w:space="0" w:color="000000"/>
              <w:bottom w:val="single" w:sz="4" w:space="0" w:color="000000"/>
            </w:tcBorders>
            <w:shd w:val="clear" w:color="auto" w:fill="auto"/>
            <w:vAlign w:val="center"/>
          </w:tcPr>
          <w:p w14:paraId="292B85CA" w14:textId="77777777" w:rsidR="00F56AB9" w:rsidRDefault="00F56AB9">
            <w:pPr>
              <w:tabs>
                <w:tab w:val="left" w:pos="0"/>
                <w:tab w:val="left" w:pos="576"/>
              </w:tabs>
              <w:rPr>
                <w:rFonts w:ascii="Times New Roman" w:eastAsia="Arial" w:hAnsi="Times New Roman" w:cs="Times New Roman"/>
                <w:b/>
                <w:bCs/>
                <w:sz w:val="20"/>
                <w:szCs w:val="20"/>
                <w:u w:val="single"/>
              </w:rPr>
            </w:pPr>
          </w:p>
          <w:p w14:paraId="76A22908" w14:textId="0D4BBD63" w:rsidR="00E27A21" w:rsidRDefault="00284E10">
            <w:pPr>
              <w:tabs>
                <w:tab w:val="left" w:pos="0"/>
                <w:tab w:val="left" w:pos="576"/>
              </w:tabs>
              <w:rPr>
                <w:rFonts w:ascii="Times New Roman" w:eastAsia="Arial" w:hAnsi="Times New Roman" w:cs="Times New Roman"/>
                <w:b/>
                <w:bCs/>
                <w:sz w:val="20"/>
                <w:szCs w:val="20"/>
                <w:u w:val="single"/>
              </w:rPr>
            </w:pPr>
            <w:r>
              <w:rPr>
                <w:rFonts w:ascii="Times New Roman" w:eastAsia="Arial" w:hAnsi="Times New Roman" w:cs="Times New Roman"/>
                <w:b/>
                <w:bCs/>
                <w:sz w:val="20"/>
                <w:szCs w:val="20"/>
                <w:u w:val="single"/>
              </w:rPr>
              <w:t>Prestation d'expertise sanitaire</w:t>
            </w:r>
            <w:r w:rsidR="00E90C97">
              <w:rPr>
                <w:rFonts w:ascii="Times New Roman" w:eastAsia="Arial" w:hAnsi="Times New Roman" w:cs="Times New Roman"/>
                <w:b/>
                <w:bCs/>
                <w:sz w:val="20"/>
                <w:szCs w:val="20"/>
                <w:u w:val="single"/>
              </w:rPr>
              <w:t xml:space="preserve"> et sécuritaire</w:t>
            </w:r>
          </w:p>
          <w:p w14:paraId="7CD0799B" w14:textId="226EA1B0" w:rsidR="00E27A21" w:rsidRDefault="00284E10">
            <w:pPr>
              <w:widowControl/>
              <w:suppressAutoHyphens w:val="0"/>
              <w:jc w:val="both"/>
              <w:rPr>
                <w:rFonts w:ascii="Times New Roman" w:eastAsia="Arial Unicode MS" w:hAnsi="Times New Roman"/>
                <w:bCs/>
                <w:sz w:val="20"/>
                <w:szCs w:val="20"/>
                <w:lang w:bidi="hi-IN"/>
              </w:rPr>
            </w:pPr>
            <w:r>
              <w:rPr>
                <w:rFonts w:ascii="Times New Roman" w:eastAsia="Arial Unicode MS" w:hAnsi="Times New Roman"/>
                <w:bCs/>
                <w:sz w:val="20"/>
                <w:szCs w:val="20"/>
                <w:lang w:bidi="hi-IN"/>
              </w:rPr>
              <w:t>Ce prix rémunère la prestation pour les opérations d’expertise sanitaire</w:t>
            </w:r>
            <w:r w:rsidR="009F3DC2">
              <w:rPr>
                <w:rFonts w:ascii="Times New Roman" w:eastAsia="Arial Unicode MS" w:hAnsi="Times New Roman"/>
                <w:bCs/>
                <w:sz w:val="20"/>
                <w:szCs w:val="20"/>
                <w:lang w:bidi="hi-IN"/>
              </w:rPr>
              <w:t xml:space="preserve"> et sécuritaire</w:t>
            </w:r>
            <w:r>
              <w:rPr>
                <w:rFonts w:ascii="Times New Roman" w:eastAsia="Arial Unicode MS" w:hAnsi="Times New Roman"/>
                <w:bCs/>
                <w:sz w:val="20"/>
                <w:szCs w:val="20"/>
                <w:lang w:bidi="hi-IN"/>
              </w:rPr>
              <w:t xml:space="preserve"> des arbres, dont le descriptif est présenté dans le cahier des charges (annexe n°1 du présent accord-cadre). </w:t>
            </w:r>
          </w:p>
          <w:p w14:paraId="07A1A9A6" w14:textId="77777777" w:rsidR="00E27A21" w:rsidRDefault="00284E10">
            <w:pPr>
              <w:widowControl/>
              <w:suppressAutoHyphens w:val="0"/>
              <w:jc w:val="both"/>
              <w:rPr>
                <w:rFonts w:ascii="Times New Roman" w:hAnsi="Times New Roman"/>
                <w:sz w:val="20"/>
                <w:szCs w:val="20"/>
              </w:rPr>
            </w:pPr>
            <w:r>
              <w:rPr>
                <w:rFonts w:ascii="Times New Roman" w:eastAsia="Arial Unicode MS" w:hAnsi="Times New Roman"/>
                <w:bCs/>
                <w:sz w:val="20"/>
                <w:szCs w:val="20"/>
                <w:lang w:bidi="hi-IN"/>
              </w:rPr>
              <w:t xml:space="preserve">La prestation comprend ainsi </w:t>
            </w:r>
            <w:proofErr w:type="gramStart"/>
            <w:r>
              <w:rPr>
                <w:rFonts w:ascii="Times New Roman" w:eastAsia="Arial Unicode MS" w:hAnsi="Times New Roman"/>
                <w:bCs/>
                <w:sz w:val="20"/>
                <w:szCs w:val="20"/>
                <w:lang w:bidi="hi-IN"/>
              </w:rPr>
              <w:t>a</w:t>
            </w:r>
            <w:proofErr w:type="gramEnd"/>
            <w:r>
              <w:rPr>
                <w:rFonts w:ascii="Times New Roman" w:eastAsia="Arial Unicode MS" w:hAnsi="Times New Roman"/>
                <w:bCs/>
                <w:sz w:val="20"/>
                <w:szCs w:val="20"/>
                <w:lang w:bidi="hi-IN"/>
              </w:rPr>
              <w:t xml:space="preserve"> minima :</w:t>
            </w:r>
            <w:r>
              <w:rPr>
                <w:rFonts w:ascii="Times New Roman" w:eastAsia="Times New Roman" w:hAnsi="Times New Roman" w:cs="TimesNewRomanPSMT"/>
                <w:kern w:val="0"/>
                <w:sz w:val="20"/>
                <w:szCs w:val="20"/>
                <w:lang w:eastAsia="fr-FR"/>
              </w:rPr>
              <w:t xml:space="preserve"> </w:t>
            </w:r>
          </w:p>
          <w:p w14:paraId="7A8C7FDE"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frais de personnel et de déplacement pendant toute la durée de la prestation ;</w:t>
            </w:r>
          </w:p>
          <w:p w14:paraId="5B7ED7A9" w14:textId="7AC3A4A5" w:rsidR="009F3DC2" w:rsidRDefault="009F3DC2">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visite préalable</w:t>
            </w:r>
          </w:p>
          <w:p w14:paraId="7B1265D3" w14:textId="0B446FBA"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fournitures et matériels nécessaires ;</w:t>
            </w:r>
          </w:p>
          <w:p w14:paraId="0BD94B5D"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prise de mesure du diamètre des arbres concernés et la prise de mesure de l’éloignement des arbres depuis la crête de berge ;</w:t>
            </w:r>
          </w:p>
          <w:p w14:paraId="2A2CDE11"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opérations de relevés de coordonnées GPS ;</w:t>
            </w:r>
          </w:p>
          <w:p w14:paraId="164FFD42"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rédaction d’un plan de prévention, ainsi que les moyens de prévention en découlant ;</w:t>
            </w:r>
          </w:p>
          <w:p w14:paraId="15B3809B"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méthodologie attendue indiquée dans le cahier des charges ;</w:t>
            </w:r>
          </w:p>
          <w:p w14:paraId="2259738E"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rédaction du rapport de diagnostic avec les différents points indiqués dans le cahier des charges.</w:t>
            </w:r>
          </w:p>
          <w:p w14:paraId="0EFE14A9" w14:textId="77777777" w:rsidR="00E27A21" w:rsidRDefault="00284E10" w:rsidP="00F95E34">
            <w:pPr>
              <w:widowControl/>
              <w:tabs>
                <w:tab w:val="left" w:pos="0"/>
                <w:tab w:val="left" w:pos="576"/>
              </w:tabs>
              <w:suppressAutoHyphens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comprend toutes les sujétions nécessaires dont l’entreprise pourrait avoir besoin pour exécuter, dans les délais impartis, les prestations faisant l’objet de cet accord-cadre.</w:t>
            </w:r>
          </w:p>
          <w:p w14:paraId="46508824" w14:textId="090D5B6C" w:rsidR="00F56AB9" w:rsidRDefault="00F56AB9" w:rsidP="00F95E34">
            <w:pPr>
              <w:widowControl/>
              <w:tabs>
                <w:tab w:val="left" w:pos="0"/>
                <w:tab w:val="left" w:pos="576"/>
              </w:tabs>
              <w:suppressAutoHyphens w:val="0"/>
              <w:jc w:val="both"/>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1A839636" w14:textId="77777777" w:rsidR="00E27A21" w:rsidRDefault="00E27A21">
            <w:pPr>
              <w:tabs>
                <w:tab w:val="decimal" w:pos="1206"/>
              </w:tabs>
              <w:snapToGrid w:val="0"/>
              <w:jc w:val="right"/>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452653E2" w14:textId="77777777" w:rsidR="00E27A21" w:rsidRDefault="00E27A21">
            <w:pPr>
              <w:tabs>
                <w:tab w:val="decimal" w:pos="1206"/>
              </w:tabs>
              <w:snapToGrid w:val="0"/>
              <w:jc w:val="right"/>
              <w:rPr>
                <w:rFonts w:ascii="Times New Roman" w:eastAsia="Times New Roman" w:hAnsi="Times New Roman" w:cs="Times New Roman"/>
                <w:sz w:val="20"/>
                <w:szCs w:val="20"/>
              </w:rPr>
            </w:pPr>
          </w:p>
        </w:tc>
        <w:tc>
          <w:tcPr>
            <w:tcW w:w="1484" w:type="dxa"/>
            <w:tcBorders>
              <w:left w:val="single" w:sz="4" w:space="0" w:color="000000"/>
              <w:bottom w:val="single" w:sz="4" w:space="0" w:color="000000"/>
              <w:right w:val="single" w:sz="4" w:space="0" w:color="000000"/>
            </w:tcBorders>
            <w:shd w:val="clear" w:color="auto" w:fill="auto"/>
            <w:vAlign w:val="center"/>
          </w:tcPr>
          <w:p w14:paraId="6A6CDCC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6D5E38F8"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2BC864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2577C86E"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F50E2BF"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D17C1D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373D960"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3E671F47"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1527B3BF" w14:textId="77777777" w:rsidR="00E27A21" w:rsidRDefault="00E27A21">
            <w:pPr>
              <w:tabs>
                <w:tab w:val="decimal" w:pos="1206"/>
              </w:tabs>
              <w:snapToGrid w:val="0"/>
              <w:jc w:val="right"/>
              <w:rPr>
                <w:rFonts w:ascii="Times New Roman" w:eastAsia="Times New Roman" w:hAnsi="Times New Roman" w:cs="Times New Roman"/>
                <w:sz w:val="20"/>
                <w:szCs w:val="20"/>
              </w:rPr>
            </w:pPr>
          </w:p>
        </w:tc>
      </w:tr>
      <w:tr w:rsidR="000A60B2" w14:paraId="3597D0AF" w14:textId="77777777" w:rsidTr="00BA55A7">
        <w:trPr>
          <w:trHeight w:val="20"/>
        </w:trPr>
        <w:tc>
          <w:tcPr>
            <w:tcW w:w="1250" w:type="dxa"/>
            <w:tcBorders>
              <w:left w:val="single" w:sz="4" w:space="0" w:color="000000"/>
              <w:bottom w:val="single" w:sz="4" w:space="0" w:color="auto"/>
            </w:tcBorders>
            <w:shd w:val="clear" w:color="auto" w:fill="BFBFBF" w:themeFill="background1" w:themeFillShade="BF"/>
            <w:vAlign w:val="center"/>
          </w:tcPr>
          <w:p w14:paraId="5E339571" w14:textId="77777777" w:rsidR="000A60B2" w:rsidRDefault="000A60B2" w:rsidP="000A60B2">
            <w:pPr>
              <w:snapToGrid w:val="0"/>
              <w:jc w:val="center"/>
              <w:rPr>
                <w:rFonts w:ascii="Times New Roman" w:eastAsia="Times New Roman" w:hAnsi="Times New Roman" w:cs="Times New Roman"/>
                <w:b/>
                <w:sz w:val="20"/>
                <w:szCs w:val="20"/>
              </w:rPr>
            </w:pPr>
          </w:p>
          <w:p w14:paraId="7BF8EEAF" w14:textId="0418065C"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w:t>
            </w:r>
            <w:r w:rsidR="001A317C">
              <w:rPr>
                <w:rFonts w:ascii="Times New Roman" w:eastAsia="Times New Roman" w:hAnsi="Times New Roman" w:cs="Times New Roman"/>
                <w:b/>
                <w:sz w:val="20"/>
                <w:szCs w:val="20"/>
              </w:rPr>
              <w:t>1</w:t>
            </w:r>
          </w:p>
        </w:tc>
        <w:tc>
          <w:tcPr>
            <w:tcW w:w="5542" w:type="dxa"/>
            <w:tcBorders>
              <w:left w:val="single" w:sz="4" w:space="0" w:color="000000"/>
              <w:bottom w:val="single" w:sz="4" w:space="0" w:color="auto"/>
            </w:tcBorders>
            <w:shd w:val="clear" w:color="auto" w:fill="BFBFBF" w:themeFill="background1" w:themeFillShade="BF"/>
            <w:vAlign w:val="center"/>
          </w:tcPr>
          <w:p w14:paraId="3647BE01" w14:textId="77777777" w:rsidR="00F56AB9" w:rsidRDefault="00F56AB9" w:rsidP="000A60B2">
            <w:pPr>
              <w:snapToGrid w:val="0"/>
              <w:jc w:val="both"/>
              <w:rPr>
                <w:rFonts w:ascii="Times New Roman" w:eastAsia="Times New Roman" w:hAnsi="Times New Roman" w:cs="Times New Roman"/>
                <w:b/>
                <w:sz w:val="20"/>
                <w:szCs w:val="20"/>
                <w:u w:val="single"/>
              </w:rPr>
            </w:pPr>
          </w:p>
          <w:p w14:paraId="77A7FE0A" w14:textId="2E6FEA4B" w:rsidR="000A60B2" w:rsidRDefault="000A60B2"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w:t>
            </w:r>
            <w:r w:rsidR="00E90C97">
              <w:rPr>
                <w:rFonts w:ascii="Times New Roman" w:eastAsia="Times New Roman" w:hAnsi="Times New Roman" w:cs="Times New Roman"/>
                <w:b/>
                <w:sz w:val="20"/>
                <w:szCs w:val="20"/>
                <w:u w:val="single"/>
              </w:rPr>
              <w:t xml:space="preserve"> sanitaire et sécuritaire</w:t>
            </w:r>
            <w:r>
              <w:rPr>
                <w:rFonts w:ascii="Times New Roman" w:eastAsia="Times New Roman" w:hAnsi="Times New Roman" w:cs="Times New Roman"/>
                <w:b/>
                <w:sz w:val="20"/>
                <w:szCs w:val="20"/>
                <w:u w:val="single"/>
              </w:rPr>
              <w:t xml:space="preserve"> pour un linéaire d'arbres</w:t>
            </w:r>
          </w:p>
          <w:p w14:paraId="43140630" w14:textId="77777777" w:rsidR="00967A7F" w:rsidRDefault="00967A7F" w:rsidP="00967A7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au kilomètre linéaire toutes les prestations et fournitures nécessaires pour les opérations d’expertise sanitaire et sécuritaire de l’ensemble des arbres présents sur le linéaire.</w:t>
            </w:r>
          </w:p>
          <w:p w14:paraId="330EDA15" w14:textId="77777777" w:rsidR="000A60B2" w:rsidRDefault="00967A7F" w:rsidP="00195A9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L</w:t>
            </w:r>
            <w:r w:rsidRPr="007F604E">
              <w:rPr>
                <w:rFonts w:ascii="Times New Roman" w:eastAsia="Times New Roman" w:hAnsi="Times New Roman" w:cs="Times New Roman"/>
                <w:kern w:val="0"/>
                <w:sz w:val="20"/>
                <w:szCs w:val="20"/>
                <w:lang w:eastAsia="fr-FR"/>
              </w:rPr>
              <w:t>e prestataire devra diagnostiquer l’ensemble des arbres présents sur le domaine public fluvial (berges et talus) le long du linéaire identifié par le pouvoir adjudicateur, soit sur une largeur potentielle compris entre 5 et 25m</w:t>
            </w:r>
            <w:r>
              <w:rPr>
                <w:rFonts w:ascii="Times New Roman" w:eastAsia="Times New Roman" w:hAnsi="Times New Roman" w:cs="Times New Roman"/>
                <w:kern w:val="0"/>
                <w:sz w:val="20"/>
                <w:szCs w:val="20"/>
                <w:lang w:eastAsia="fr-FR"/>
              </w:rPr>
              <w:t>.</w:t>
            </w:r>
          </w:p>
          <w:p w14:paraId="2A4B92B4" w14:textId="092C1816" w:rsidR="00F56AB9" w:rsidRDefault="00F56AB9" w:rsidP="00195A9F">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left w:val="single" w:sz="4" w:space="0" w:color="000000"/>
              <w:bottom w:val="single" w:sz="4" w:space="0" w:color="auto"/>
            </w:tcBorders>
            <w:shd w:val="clear" w:color="auto" w:fill="BFBFBF" w:themeFill="background1" w:themeFillShade="BF"/>
            <w:vAlign w:val="center"/>
          </w:tcPr>
          <w:p w14:paraId="3047DB5C" w14:textId="62CE78A2" w:rsidR="000A60B2" w:rsidRDefault="000A60B2" w:rsidP="000A60B2">
            <w:pPr>
              <w:jc w:val="center"/>
              <w:rPr>
                <w:rFonts w:ascii="Times New Roman" w:eastAsia="Times New Roman" w:hAnsi="Times New Roman" w:cs="Times New Roman"/>
                <w:b/>
                <w:sz w:val="20"/>
                <w:szCs w:val="20"/>
              </w:rPr>
            </w:pPr>
          </w:p>
        </w:tc>
        <w:tc>
          <w:tcPr>
            <w:tcW w:w="1249" w:type="dxa"/>
            <w:tcBorders>
              <w:left w:val="single" w:sz="4" w:space="0" w:color="000000"/>
              <w:bottom w:val="single" w:sz="4" w:space="0" w:color="auto"/>
            </w:tcBorders>
            <w:shd w:val="clear" w:color="auto" w:fill="BFBFBF" w:themeFill="background1" w:themeFillShade="BF"/>
            <w:vAlign w:val="center"/>
          </w:tcPr>
          <w:p w14:paraId="4FB71557" w14:textId="77777777" w:rsidR="000A60B2" w:rsidRDefault="000A60B2"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BFBFBF" w:themeFill="background1" w:themeFillShade="BF"/>
            <w:vAlign w:val="center"/>
          </w:tcPr>
          <w:p w14:paraId="3DBA77EF" w14:textId="77777777" w:rsidR="000A60B2" w:rsidRDefault="000A60B2" w:rsidP="000A60B2">
            <w:pPr>
              <w:snapToGrid w:val="0"/>
              <w:rPr>
                <w:rFonts w:ascii="Times New Roman" w:hAnsi="Times New Roman" w:cs="Times New Roman"/>
                <w:sz w:val="20"/>
                <w:szCs w:val="20"/>
              </w:rPr>
            </w:pPr>
          </w:p>
        </w:tc>
      </w:tr>
      <w:tr w:rsidR="00D65DC5" w14:paraId="0943112A" w14:textId="77777777" w:rsidTr="00F95E34">
        <w:trPr>
          <w:trHeight w:val="851"/>
        </w:trPr>
        <w:tc>
          <w:tcPr>
            <w:tcW w:w="1250" w:type="dxa"/>
            <w:tcBorders>
              <w:left w:val="single" w:sz="4" w:space="0" w:color="000000"/>
              <w:bottom w:val="single" w:sz="4" w:space="0" w:color="auto"/>
            </w:tcBorders>
            <w:shd w:val="clear" w:color="auto" w:fill="auto"/>
            <w:vAlign w:val="center"/>
          </w:tcPr>
          <w:p w14:paraId="5AB9CBFB" w14:textId="2729B688" w:rsidR="00D65DC5" w:rsidRDefault="00D65DC5"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02-2</w:t>
            </w:r>
          </w:p>
        </w:tc>
        <w:tc>
          <w:tcPr>
            <w:tcW w:w="5542" w:type="dxa"/>
            <w:tcBorders>
              <w:left w:val="single" w:sz="4" w:space="0" w:color="000000"/>
              <w:bottom w:val="single" w:sz="4" w:space="0" w:color="auto"/>
            </w:tcBorders>
            <w:shd w:val="clear" w:color="auto" w:fill="auto"/>
            <w:vAlign w:val="center"/>
          </w:tcPr>
          <w:p w14:paraId="24D341B7" w14:textId="35931DCE" w:rsidR="00D65DC5" w:rsidRDefault="00D65DC5"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linéaire d’arbres</w:t>
            </w:r>
          </w:p>
        </w:tc>
        <w:tc>
          <w:tcPr>
            <w:tcW w:w="1249" w:type="dxa"/>
            <w:tcBorders>
              <w:left w:val="single" w:sz="4" w:space="0" w:color="000000"/>
              <w:bottom w:val="single" w:sz="4" w:space="0" w:color="auto"/>
            </w:tcBorders>
            <w:shd w:val="clear" w:color="auto" w:fill="auto"/>
            <w:vAlign w:val="center"/>
          </w:tcPr>
          <w:p w14:paraId="578CC1AD" w14:textId="024316CD" w:rsidR="00D65DC5" w:rsidRDefault="00F95E34" w:rsidP="000A60B2">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 Km</w:t>
            </w:r>
          </w:p>
        </w:tc>
        <w:tc>
          <w:tcPr>
            <w:tcW w:w="1249" w:type="dxa"/>
            <w:tcBorders>
              <w:left w:val="single" w:sz="4" w:space="0" w:color="000000"/>
              <w:bottom w:val="single" w:sz="4" w:space="0" w:color="auto"/>
            </w:tcBorders>
            <w:shd w:val="clear" w:color="auto" w:fill="auto"/>
            <w:vAlign w:val="center"/>
          </w:tcPr>
          <w:p w14:paraId="4DEEEC87" w14:textId="77777777" w:rsidR="00D65DC5" w:rsidRDefault="00D65DC5"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auto"/>
            <w:vAlign w:val="center"/>
          </w:tcPr>
          <w:p w14:paraId="61F4D959" w14:textId="77777777" w:rsidR="00D65DC5" w:rsidRDefault="00D65DC5" w:rsidP="000A60B2">
            <w:pPr>
              <w:snapToGrid w:val="0"/>
              <w:rPr>
                <w:rFonts w:ascii="Times New Roman" w:hAnsi="Times New Roman" w:cs="Times New Roman"/>
                <w:sz w:val="20"/>
                <w:szCs w:val="20"/>
              </w:rPr>
            </w:pPr>
          </w:p>
        </w:tc>
      </w:tr>
      <w:tr w:rsidR="000A60B2" w14:paraId="09871269" w14:textId="77777777" w:rsidTr="00BA55A7">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F406D" w14:textId="77777777" w:rsidR="000A60B2" w:rsidRDefault="000A60B2" w:rsidP="000A60B2">
            <w:pPr>
              <w:snapToGrid w:val="0"/>
              <w:jc w:val="center"/>
              <w:rPr>
                <w:rFonts w:ascii="Times New Roman" w:eastAsia="Times New Roman" w:hAnsi="Times New Roman" w:cs="Times New Roman"/>
                <w:b/>
                <w:sz w:val="20"/>
                <w:szCs w:val="20"/>
              </w:rPr>
            </w:pPr>
          </w:p>
          <w:p w14:paraId="04D05119" w14:textId="4C96DC7A"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w:t>
            </w:r>
            <w:r w:rsidR="00303208">
              <w:rPr>
                <w:rFonts w:ascii="Times New Roman" w:eastAsia="Times New Roman" w:hAnsi="Times New Roman" w:cs="Times New Roman"/>
                <w:b/>
                <w:sz w:val="20"/>
                <w:szCs w:val="20"/>
              </w:rPr>
              <w:t>2</w:t>
            </w:r>
          </w:p>
        </w:tc>
        <w:tc>
          <w:tcPr>
            <w:tcW w:w="5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B72207" w14:textId="77777777" w:rsidR="00F56AB9" w:rsidRDefault="00F56AB9" w:rsidP="00967A7F">
            <w:pPr>
              <w:snapToGrid w:val="0"/>
              <w:jc w:val="both"/>
              <w:rPr>
                <w:rFonts w:ascii="Times New Roman" w:eastAsia="Times New Roman" w:hAnsi="Times New Roman" w:cs="Times New Roman"/>
                <w:b/>
                <w:sz w:val="20"/>
                <w:szCs w:val="20"/>
                <w:u w:val="single"/>
              </w:rPr>
            </w:pPr>
          </w:p>
          <w:p w14:paraId="601386FA" w14:textId="5BD12CF9" w:rsidR="00967A7F" w:rsidRDefault="00967A7F" w:rsidP="00967A7F">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boisement</w:t>
            </w:r>
          </w:p>
          <w:p w14:paraId="2FEE26C8" w14:textId="77777777" w:rsidR="000A60B2" w:rsidRDefault="00967A7F" w:rsidP="00F95E34">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à l’hectare toutes les prestations et fournitures nécessaires pour les opérations d’expertise sanitaire et sécuritaire de l’ensemble des arbres présents dans le boisement identifié par le pouvoir adjudicateur.</w:t>
            </w:r>
          </w:p>
          <w:p w14:paraId="46C3E195" w14:textId="25F6D31A" w:rsidR="00F56AB9" w:rsidRDefault="00F56AB9" w:rsidP="00F95E34">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B1DF21" w14:textId="0CC9FF19" w:rsidR="000A60B2" w:rsidRDefault="000A60B2" w:rsidP="000A60B2">
            <w:pPr>
              <w:jc w:val="center"/>
              <w:rPr>
                <w:rFonts w:ascii="Times New Roman" w:eastAsia="Times New Roman" w:hAnsi="Times New Roman" w:cs="Times New Roman"/>
                <w:b/>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C9D233" w14:textId="77777777" w:rsidR="000A60B2" w:rsidRDefault="000A60B2" w:rsidP="000A60B2">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91C6DF" w14:textId="77777777" w:rsidR="000A60B2" w:rsidRDefault="000A60B2" w:rsidP="000A60B2">
            <w:pPr>
              <w:snapToGrid w:val="0"/>
              <w:rPr>
                <w:rFonts w:ascii="Times New Roman" w:hAnsi="Times New Roman" w:cs="Times New Roman"/>
                <w:sz w:val="20"/>
                <w:szCs w:val="20"/>
              </w:rPr>
            </w:pPr>
          </w:p>
        </w:tc>
      </w:tr>
      <w:tr w:rsidR="00BA55A7" w14:paraId="068A957B"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57B0CC7" w14:textId="3A86B57E" w:rsidR="00BA55A7" w:rsidRDefault="00BA55A7" w:rsidP="00BA55A7">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w:t>
            </w:r>
            <w:r w:rsidR="00303208">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a</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02F9F836" w14:textId="77777777" w:rsidR="00BA55A7" w:rsidRDefault="00BA55A7" w:rsidP="00BA55A7">
            <w:pPr>
              <w:snapToGrid w:val="0"/>
              <w:jc w:val="both"/>
              <w:rPr>
                <w:rFonts w:ascii="Times New Roman" w:eastAsia="Times New Roman" w:hAnsi="Times New Roman" w:cs="Times New Roman"/>
                <w:bCs/>
                <w:sz w:val="20"/>
                <w:szCs w:val="20"/>
              </w:rPr>
            </w:pPr>
          </w:p>
          <w:p w14:paraId="4AB3DA8D" w14:textId="77777777" w:rsidR="00BA55A7" w:rsidRDefault="00BA55A7" w:rsidP="00BA55A7">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inférieur à 1 ha</w:t>
            </w:r>
          </w:p>
          <w:p w14:paraId="0CA61F4A" w14:textId="77777777" w:rsidR="00BA55A7" w:rsidRDefault="00BA55A7" w:rsidP="00BA55A7">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C0B0A0F" w14:textId="7F784B4D" w:rsidR="00BA55A7" w:rsidRDefault="00213B58" w:rsidP="00BA55A7">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2E8DD9C9" w14:textId="77777777" w:rsidR="00BA55A7" w:rsidRDefault="00BA55A7" w:rsidP="00BA55A7">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12E8C2EC" w14:textId="77777777" w:rsidR="00BA55A7" w:rsidRDefault="00BA55A7" w:rsidP="00BA55A7">
            <w:pPr>
              <w:snapToGrid w:val="0"/>
              <w:rPr>
                <w:rFonts w:ascii="Times New Roman" w:hAnsi="Times New Roman" w:cs="Times New Roman"/>
                <w:sz w:val="20"/>
                <w:szCs w:val="20"/>
              </w:rPr>
            </w:pPr>
          </w:p>
        </w:tc>
      </w:tr>
      <w:tr w:rsidR="00BA55A7" w14:paraId="0B4FB9CF"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84CDDE9" w14:textId="1A5FEC6A" w:rsidR="00BA55A7" w:rsidRDefault="00BA55A7" w:rsidP="00BA55A7">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w:t>
            </w:r>
            <w:r w:rsidR="00303208">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b</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D5A2C67" w14:textId="77777777" w:rsidR="00BA55A7" w:rsidRDefault="00BA55A7" w:rsidP="00BA55A7">
            <w:pPr>
              <w:snapToGrid w:val="0"/>
              <w:jc w:val="both"/>
              <w:rPr>
                <w:rFonts w:ascii="Times New Roman" w:eastAsia="Times New Roman" w:hAnsi="Times New Roman" w:cs="Times New Roman"/>
                <w:bCs/>
                <w:sz w:val="20"/>
                <w:szCs w:val="20"/>
              </w:rPr>
            </w:pPr>
          </w:p>
          <w:p w14:paraId="77663166" w14:textId="77777777" w:rsidR="00BA55A7" w:rsidRDefault="00BA55A7" w:rsidP="00BA55A7">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de 1 ha à 10 ha</w:t>
            </w:r>
          </w:p>
          <w:p w14:paraId="57E9F61B" w14:textId="77777777" w:rsidR="00BA55A7" w:rsidRDefault="00BA55A7" w:rsidP="00BA55A7">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45934812" w14:textId="74150F29" w:rsidR="00BA55A7" w:rsidRDefault="00213B58" w:rsidP="00BA55A7">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3E40A159" w14:textId="77777777" w:rsidR="00BA55A7" w:rsidRDefault="00BA55A7" w:rsidP="00BA55A7">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507A9FC2" w14:textId="77777777" w:rsidR="00BA55A7" w:rsidRDefault="00BA55A7" w:rsidP="00BA55A7">
            <w:pPr>
              <w:snapToGrid w:val="0"/>
              <w:rPr>
                <w:rFonts w:ascii="Times New Roman" w:hAnsi="Times New Roman" w:cs="Times New Roman"/>
                <w:sz w:val="20"/>
                <w:szCs w:val="20"/>
              </w:rPr>
            </w:pPr>
          </w:p>
        </w:tc>
      </w:tr>
      <w:tr w:rsidR="00D65DC5" w14:paraId="6673E2E2"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8BD6554" w14:textId="4D0E246B" w:rsidR="00D65DC5" w:rsidRDefault="00D65DC5" w:rsidP="00D65DC5">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02-</w:t>
            </w:r>
            <w:r w:rsidR="00303208">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c</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9A62B58" w14:textId="77777777" w:rsidR="00D65DC5" w:rsidRDefault="00D65DC5" w:rsidP="00D65DC5">
            <w:pPr>
              <w:snapToGrid w:val="0"/>
              <w:jc w:val="both"/>
              <w:rPr>
                <w:rFonts w:ascii="Times New Roman" w:eastAsia="Times New Roman" w:hAnsi="Times New Roman" w:cs="Times New Roman"/>
                <w:bCs/>
                <w:sz w:val="20"/>
                <w:szCs w:val="20"/>
              </w:rPr>
            </w:pPr>
          </w:p>
          <w:p w14:paraId="66D99EFD" w14:textId="77777777" w:rsidR="00D65DC5" w:rsidRDefault="00D65DC5" w:rsidP="00D65DC5">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supérieur à 10 ha</w:t>
            </w:r>
          </w:p>
          <w:p w14:paraId="74E52F5D" w14:textId="77777777" w:rsidR="00D65DC5" w:rsidRDefault="00D65DC5" w:rsidP="00D65DC5">
            <w:pPr>
              <w:snapToGrid w:val="0"/>
              <w:jc w:val="both"/>
              <w:rPr>
                <w:rFonts w:ascii="Times New Roman" w:eastAsia="Times New Roman" w:hAnsi="Times New Roman" w:cs="Times New Roman"/>
                <w:bCs/>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1756F98D" w14:textId="37CD4E42" w:rsidR="00D65DC5" w:rsidRPr="00B33AFE" w:rsidRDefault="00213B58" w:rsidP="00D65DC5">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7EB045F3" w14:textId="77777777" w:rsidR="00D65DC5" w:rsidRDefault="00D65DC5" w:rsidP="00D65DC5">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4B78702A" w14:textId="77777777" w:rsidR="00D65DC5" w:rsidRDefault="00D65DC5" w:rsidP="00D65DC5">
            <w:pPr>
              <w:snapToGrid w:val="0"/>
              <w:rPr>
                <w:rFonts w:ascii="Times New Roman" w:hAnsi="Times New Roman" w:cs="Times New Roman"/>
                <w:sz w:val="20"/>
                <w:szCs w:val="20"/>
              </w:rPr>
            </w:pPr>
          </w:p>
        </w:tc>
      </w:tr>
    </w:tbl>
    <w:p w14:paraId="787FA8AE" w14:textId="77777777" w:rsidR="00285839" w:rsidRDefault="00285839"/>
    <w:p w14:paraId="7524C8B4" w14:textId="77777777" w:rsidR="00285839" w:rsidRDefault="00285839"/>
    <w:p w14:paraId="3912A52B" w14:textId="1F348A71" w:rsidR="007F604E" w:rsidRDefault="007F604E"/>
    <w:p w14:paraId="7542FC03" w14:textId="77777777" w:rsidR="00285839" w:rsidRDefault="00285839">
      <w:pPr>
        <w:rPr>
          <w:rFonts w:ascii="Times New Roman" w:eastAsia="Times New Roman" w:hAnsi="Times New Roman" w:cs="Times New Roman"/>
          <w:kern w:val="0"/>
          <w:sz w:val="20"/>
          <w:szCs w:val="20"/>
          <w:lang w:eastAsia="ar-SA"/>
        </w:rPr>
      </w:pPr>
    </w:p>
    <w:tbl>
      <w:tblPr>
        <w:tblW w:w="2547" w:type="dxa"/>
        <w:jc w:val="right"/>
        <w:tblCellMar>
          <w:top w:w="55" w:type="dxa"/>
          <w:left w:w="55" w:type="dxa"/>
          <w:bottom w:w="55" w:type="dxa"/>
          <w:right w:w="55" w:type="dxa"/>
        </w:tblCellMar>
        <w:tblLook w:val="0000" w:firstRow="0" w:lastRow="0" w:firstColumn="0" w:lastColumn="0" w:noHBand="0" w:noVBand="0"/>
      </w:tblPr>
      <w:tblGrid>
        <w:gridCol w:w="2547"/>
      </w:tblGrid>
      <w:tr w:rsidR="00E27A21" w14:paraId="490CC392" w14:textId="77777777">
        <w:trPr>
          <w:jc w:val="right"/>
        </w:trPr>
        <w:tc>
          <w:tcPr>
            <w:tcW w:w="2547" w:type="dxa"/>
            <w:tcBorders>
              <w:top w:val="single" w:sz="2" w:space="0" w:color="000000"/>
              <w:left w:val="single" w:sz="2" w:space="0" w:color="000000"/>
              <w:bottom w:val="single" w:sz="2" w:space="0" w:color="000000"/>
              <w:right w:val="single" w:sz="2" w:space="0" w:color="000000"/>
            </w:tcBorders>
            <w:shd w:val="clear" w:color="auto" w:fill="auto"/>
          </w:tcPr>
          <w:p w14:paraId="1B573D96" w14:textId="77777777" w:rsidR="00E27A21" w:rsidRDefault="00284E10" w:rsidP="00285839">
            <w:pPr>
              <w:widowControl/>
              <w:overflowPunct w:val="0"/>
              <w:autoSpaceDE w:val="0"/>
              <w:jc w:val="center"/>
              <w:textAlignment w:val="baseline"/>
              <w:rPr>
                <w:rFonts w:ascii="Times New Roman" w:eastAsia="Times New Roman" w:hAnsi="Times New Roman" w:cs="Times New Roman"/>
                <w:b/>
                <w:bCs/>
                <w:kern w:val="0"/>
                <w:sz w:val="20"/>
                <w:szCs w:val="20"/>
                <w:lang w:eastAsia="ar-SA" w:bidi="fr-FR"/>
              </w:rPr>
            </w:pPr>
            <w:r>
              <w:rPr>
                <w:rFonts w:ascii="Times New Roman" w:eastAsia="Times New Roman" w:hAnsi="Times New Roman" w:cs="Times New Roman"/>
                <w:b/>
                <w:bCs/>
                <w:kern w:val="0"/>
                <w:sz w:val="20"/>
                <w:szCs w:val="20"/>
                <w:lang w:eastAsia="ar-SA" w:bidi="fr-FR"/>
              </w:rPr>
              <w:t>Visa de l’entreprise :</w:t>
            </w:r>
          </w:p>
          <w:p w14:paraId="7CE26A99" w14:textId="3DAFDE01" w:rsidR="00E27A21" w:rsidRDefault="00E27A21">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EE494BF" w14:textId="422B28B2"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0CC50F2E" w14:textId="77777777"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52057E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14D84CF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09B781D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FFD1216"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0AABAEF0"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bl>
      <w:tblPr>
        <w:tblW w:w="9671" w:type="dxa"/>
        <w:tblInd w:w="-34" w:type="dxa"/>
        <w:tblCellMar>
          <w:top w:w="12" w:type="dxa"/>
          <w:left w:w="12" w:type="dxa"/>
          <w:right w:w="12" w:type="dxa"/>
        </w:tblCellMar>
        <w:tblLook w:val="0000" w:firstRow="0" w:lastRow="0" w:firstColumn="0" w:lastColumn="0" w:noHBand="0" w:noVBand="0"/>
      </w:tblPr>
      <w:tblGrid>
        <w:gridCol w:w="9671"/>
      </w:tblGrid>
      <w:tr w:rsidR="00E27A21" w14:paraId="250FE56D" w14:textId="77777777">
        <w:trPr>
          <w:trHeight w:val="264"/>
        </w:trPr>
        <w:tc>
          <w:tcPr>
            <w:tcW w:w="9671" w:type="dxa"/>
            <w:tcBorders>
              <w:top w:val="single" w:sz="4" w:space="0" w:color="000000"/>
              <w:left w:val="single" w:sz="4" w:space="0" w:color="000000"/>
              <w:right w:val="single" w:sz="4" w:space="0" w:color="000000"/>
            </w:tcBorders>
            <w:shd w:val="clear" w:color="auto" w:fill="auto"/>
            <w:vAlign w:val="bottom"/>
          </w:tcPr>
          <w:p w14:paraId="7762D199"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 xml:space="preserve">Lu, accepté et complété                                                                          </w:t>
            </w:r>
          </w:p>
        </w:tc>
      </w:tr>
      <w:tr w:rsidR="00E27A21" w14:paraId="09709279" w14:textId="77777777">
        <w:trPr>
          <w:trHeight w:val="528"/>
        </w:trPr>
        <w:tc>
          <w:tcPr>
            <w:tcW w:w="9671" w:type="dxa"/>
            <w:tcBorders>
              <w:left w:val="single" w:sz="4" w:space="0" w:color="000000"/>
              <w:right w:val="single" w:sz="4" w:space="0" w:color="000000"/>
            </w:tcBorders>
            <w:shd w:val="clear" w:color="auto" w:fill="auto"/>
            <w:vAlign w:val="bottom"/>
          </w:tcPr>
          <w:p w14:paraId="6DE15066" w14:textId="77777777" w:rsidR="00E27A21" w:rsidRDefault="00E27A21">
            <w:pPr>
              <w:widowControl/>
              <w:overflowPunct w:val="0"/>
              <w:autoSpaceDE w:val="0"/>
              <w:snapToGrid w:val="0"/>
              <w:textAlignment w:val="baseline"/>
              <w:rPr>
                <w:rFonts w:ascii="Times New Roman" w:eastAsia="Times New Roman" w:hAnsi="Times New Roman" w:cs="Times New Roman"/>
                <w:kern w:val="0"/>
                <w:sz w:val="20"/>
                <w:szCs w:val="20"/>
                <w:lang w:eastAsia="ar-SA" w:bidi="fr-FR"/>
              </w:rPr>
            </w:pPr>
          </w:p>
          <w:p w14:paraId="77D65608"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A………</w:t>
            </w:r>
            <w:proofErr w:type="gramStart"/>
            <w:r>
              <w:rPr>
                <w:rFonts w:ascii="Times New Roman" w:eastAsia="Times New Roman" w:hAnsi="Times New Roman" w:cs="Times New Roman"/>
                <w:kern w:val="0"/>
                <w:sz w:val="20"/>
                <w:szCs w:val="20"/>
                <w:lang w:eastAsia="ar-SA" w:bidi="fr-FR"/>
              </w:rPr>
              <w:t>…….</w:t>
            </w:r>
            <w:proofErr w:type="gramEnd"/>
            <w:r>
              <w:rPr>
                <w:rFonts w:ascii="Times New Roman" w:eastAsia="Times New Roman" w:hAnsi="Times New Roman" w:cs="Times New Roman"/>
                <w:kern w:val="0"/>
                <w:sz w:val="20"/>
                <w:szCs w:val="20"/>
                <w:lang w:eastAsia="ar-SA" w:bidi="fr-FR"/>
              </w:rPr>
              <w:t>,</w:t>
            </w:r>
            <w:r w:rsidR="00977E9E">
              <w:rPr>
                <w:rFonts w:ascii="Times New Roman" w:eastAsia="Times New Roman" w:hAnsi="Times New Roman" w:cs="Times New Roman"/>
                <w:kern w:val="0"/>
                <w:sz w:val="20"/>
                <w:szCs w:val="20"/>
                <w:lang w:eastAsia="ar-SA" w:bidi="fr-FR"/>
              </w:rPr>
              <w:t xml:space="preserve"> </w:t>
            </w:r>
            <w:r>
              <w:rPr>
                <w:rFonts w:ascii="Times New Roman" w:eastAsia="Times New Roman" w:hAnsi="Times New Roman" w:cs="Times New Roman"/>
                <w:kern w:val="0"/>
                <w:sz w:val="20"/>
                <w:szCs w:val="20"/>
                <w:lang w:eastAsia="ar-SA" w:bidi="fr-FR"/>
              </w:rPr>
              <w:t>le…………………</w:t>
            </w:r>
          </w:p>
          <w:p w14:paraId="74AF7035"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r w:rsidR="00E27A21" w14:paraId="3A78CC59" w14:textId="77777777">
        <w:trPr>
          <w:trHeight w:val="264"/>
        </w:trPr>
        <w:tc>
          <w:tcPr>
            <w:tcW w:w="9671" w:type="dxa"/>
            <w:tcBorders>
              <w:left w:val="single" w:sz="4" w:space="0" w:color="000000"/>
              <w:bottom w:val="single" w:sz="4" w:space="0" w:color="000000"/>
              <w:right w:val="single" w:sz="4" w:space="0" w:color="000000"/>
            </w:tcBorders>
            <w:shd w:val="clear" w:color="auto" w:fill="auto"/>
            <w:vAlign w:val="bottom"/>
          </w:tcPr>
          <w:p w14:paraId="3EAFF11E" w14:textId="27D2204B" w:rsidR="00E27A21" w:rsidRDefault="00284E10">
            <w:pPr>
              <w:widowControl/>
              <w:overflowPunct w:val="0"/>
              <w:autoSpaceDE w:val="0"/>
              <w:textAlignment w:val="baseline"/>
              <w:rPr>
                <w:rFonts w:ascii="Times New Roman" w:eastAsia="Times New Roman" w:hAnsi="Times New Roman" w:cs="Times New Roman"/>
                <w:i/>
                <w:iCs/>
                <w:kern w:val="0"/>
                <w:sz w:val="20"/>
                <w:szCs w:val="20"/>
                <w:lang w:eastAsia="ar-SA" w:bidi="fr-FR"/>
              </w:rPr>
            </w:pPr>
            <w:r>
              <w:rPr>
                <w:rFonts w:ascii="Times New Roman" w:eastAsia="Times New Roman" w:hAnsi="Times New Roman" w:cs="Times New Roman"/>
                <w:kern w:val="0"/>
                <w:sz w:val="20"/>
                <w:szCs w:val="20"/>
                <w:lang w:eastAsia="ar-SA" w:bidi="fr-FR"/>
              </w:rPr>
              <w:t xml:space="preserve">Le candidat </w:t>
            </w:r>
            <w:r>
              <w:rPr>
                <w:rFonts w:ascii="Times New Roman" w:eastAsia="Times New Roman" w:hAnsi="Times New Roman" w:cs="Times New Roman"/>
                <w:i/>
                <w:iCs/>
                <w:kern w:val="0"/>
                <w:sz w:val="20"/>
                <w:szCs w:val="20"/>
                <w:lang w:eastAsia="ar-SA" w:bidi="fr-FR"/>
              </w:rPr>
              <w:t>(cachet de l’entreprise + nom et qualité du signataire + signature)</w:t>
            </w:r>
          </w:p>
          <w:p w14:paraId="6148E2AC" w14:textId="442CBD05" w:rsidR="00FD2612" w:rsidRDefault="00FD2612">
            <w:pPr>
              <w:widowControl/>
              <w:overflowPunct w:val="0"/>
              <w:autoSpaceDE w:val="0"/>
              <w:textAlignment w:val="baseline"/>
              <w:rPr>
                <w:i/>
                <w:iCs/>
                <w:lang w:eastAsia="ar-SA" w:bidi="fr-FR"/>
              </w:rPr>
            </w:pPr>
          </w:p>
          <w:p w14:paraId="035C4F2C" w14:textId="0756031C" w:rsidR="00FD2612" w:rsidRDefault="00FD2612">
            <w:pPr>
              <w:widowControl/>
              <w:overflowPunct w:val="0"/>
              <w:autoSpaceDE w:val="0"/>
              <w:textAlignment w:val="baseline"/>
              <w:rPr>
                <w:i/>
                <w:iCs/>
                <w:lang w:eastAsia="ar-SA" w:bidi="fr-FR"/>
              </w:rPr>
            </w:pPr>
          </w:p>
          <w:p w14:paraId="09C1FE86" w14:textId="724E1ABE" w:rsidR="00FD2612" w:rsidRDefault="00FD2612">
            <w:pPr>
              <w:widowControl/>
              <w:overflowPunct w:val="0"/>
              <w:autoSpaceDE w:val="0"/>
              <w:textAlignment w:val="baseline"/>
              <w:rPr>
                <w:i/>
                <w:iCs/>
                <w:lang w:eastAsia="ar-SA" w:bidi="fr-FR"/>
              </w:rPr>
            </w:pPr>
          </w:p>
          <w:p w14:paraId="3964D07A" w14:textId="6B9EB00F" w:rsidR="00FD2612" w:rsidRDefault="00FD2612">
            <w:pPr>
              <w:widowControl/>
              <w:overflowPunct w:val="0"/>
              <w:autoSpaceDE w:val="0"/>
              <w:textAlignment w:val="baseline"/>
              <w:rPr>
                <w:i/>
                <w:iCs/>
                <w:lang w:eastAsia="ar-SA" w:bidi="fr-FR"/>
              </w:rPr>
            </w:pPr>
          </w:p>
          <w:p w14:paraId="41D52430" w14:textId="77777777" w:rsidR="00FD2612" w:rsidRDefault="00FD2612">
            <w:pPr>
              <w:widowControl/>
              <w:overflowPunct w:val="0"/>
              <w:autoSpaceDE w:val="0"/>
              <w:textAlignment w:val="baseline"/>
            </w:pPr>
          </w:p>
          <w:p w14:paraId="7EC1D87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6D9A8C38"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D0240B2"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47444A73" w14:textId="77777777" w:rsidR="00E27A21" w:rsidRDefault="00E27A21"/>
    <w:sectPr w:rsidR="00E27A21">
      <w:footerReference w:type="default" r:id="rId10"/>
      <w:pgSz w:w="11906" w:h="16838"/>
      <w:pgMar w:top="907" w:right="1418" w:bottom="1701" w:left="1418" w:header="0" w:footer="45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15F8D" w14:textId="77777777" w:rsidR="00A443ED" w:rsidRDefault="00A443ED">
      <w:r>
        <w:separator/>
      </w:r>
    </w:p>
  </w:endnote>
  <w:endnote w:type="continuationSeparator" w:id="0">
    <w:p w14:paraId="13D8376D" w14:textId="77777777" w:rsidR="00A443ED" w:rsidRDefault="00A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1"/>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F406" w14:textId="77777777" w:rsidR="00E27A21" w:rsidRDefault="00284E10">
    <w:pPr>
      <w:pStyle w:val="Pieddepage"/>
    </w:pPr>
    <w:r>
      <w:tab/>
    </w:r>
    <w:r>
      <w:rPr>
        <w:sz w:val="20"/>
        <w:szCs w:val="20"/>
      </w:rPr>
      <w:fldChar w:fldCharType="begin"/>
    </w:r>
    <w:r>
      <w:rPr>
        <w:sz w:val="20"/>
        <w:szCs w:val="20"/>
      </w:rPr>
      <w:instrText>PAGE</w:instrText>
    </w:r>
    <w:r>
      <w:rPr>
        <w:sz w:val="20"/>
        <w:szCs w:val="20"/>
      </w:rPr>
      <w:fldChar w:fldCharType="separate"/>
    </w:r>
    <w:r w:rsidR="00977E9E">
      <w:rPr>
        <w:noProof/>
        <w:sz w:val="20"/>
        <w:szCs w:val="20"/>
      </w:rPr>
      <w:t>2</w:t>
    </w:r>
    <w:r>
      <w:rPr>
        <w:sz w:val="20"/>
        <w:szCs w:val="20"/>
      </w:rPr>
      <w:fldChar w:fldCharType="end"/>
    </w:r>
    <w:r>
      <w:rPr>
        <w:rFonts w:ascii="Times New Roman" w:hAnsi="Times New Roman" w:cs="Times New Roman"/>
        <w:sz w:val="20"/>
        <w:szCs w:val="20"/>
      </w:rPr>
      <w:t>/</w:t>
    </w:r>
    <w:r>
      <w:rPr>
        <w:sz w:val="20"/>
        <w:szCs w:val="20"/>
      </w:rPr>
      <w:fldChar w:fldCharType="begin"/>
    </w:r>
    <w:r>
      <w:rPr>
        <w:sz w:val="20"/>
        <w:szCs w:val="20"/>
      </w:rPr>
      <w:instrText>NUMPAGES \* ARABIC</w:instrText>
    </w:r>
    <w:r>
      <w:rPr>
        <w:sz w:val="20"/>
        <w:szCs w:val="20"/>
      </w:rPr>
      <w:fldChar w:fldCharType="separate"/>
    </w:r>
    <w:r w:rsidR="00977E9E">
      <w:rPr>
        <w:noProof/>
        <w:sz w:val="20"/>
        <w:szCs w:val="20"/>
      </w:rPr>
      <w:t>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DFF86" w14:textId="77777777" w:rsidR="00A443ED" w:rsidRDefault="00A443ED">
      <w:r>
        <w:separator/>
      </w:r>
    </w:p>
  </w:footnote>
  <w:footnote w:type="continuationSeparator" w:id="0">
    <w:p w14:paraId="4A082771" w14:textId="77777777" w:rsidR="00A443ED" w:rsidRDefault="00A44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153C9"/>
    <w:multiLevelType w:val="multilevel"/>
    <w:tmpl w:val="0AB89C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 w15:restartNumberingAfterBreak="0">
    <w:nsid w:val="649C09CD"/>
    <w:multiLevelType w:val="multilevel"/>
    <w:tmpl w:val="616846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47700142">
    <w:abstractNumId w:val="0"/>
  </w:num>
  <w:num w:numId="2" w16cid:durableId="1167093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21"/>
    <w:rsid w:val="000A60B2"/>
    <w:rsid w:val="000C13A6"/>
    <w:rsid w:val="00121D3C"/>
    <w:rsid w:val="00195A9F"/>
    <w:rsid w:val="001A317C"/>
    <w:rsid w:val="00213B58"/>
    <w:rsid w:val="00284E10"/>
    <w:rsid w:val="00285839"/>
    <w:rsid w:val="002A3E19"/>
    <w:rsid w:val="00303208"/>
    <w:rsid w:val="00373CF1"/>
    <w:rsid w:val="003B699E"/>
    <w:rsid w:val="003E40CB"/>
    <w:rsid w:val="004B5DB3"/>
    <w:rsid w:val="005C2784"/>
    <w:rsid w:val="005F3B22"/>
    <w:rsid w:val="006549DC"/>
    <w:rsid w:val="007347B8"/>
    <w:rsid w:val="00743DA1"/>
    <w:rsid w:val="007F604E"/>
    <w:rsid w:val="00812D02"/>
    <w:rsid w:val="00967A7F"/>
    <w:rsid w:val="00977E9E"/>
    <w:rsid w:val="009F3DC2"/>
    <w:rsid w:val="00A443ED"/>
    <w:rsid w:val="00A50241"/>
    <w:rsid w:val="00A67CE6"/>
    <w:rsid w:val="00AA399A"/>
    <w:rsid w:val="00BA55A7"/>
    <w:rsid w:val="00D65DC5"/>
    <w:rsid w:val="00DC3D67"/>
    <w:rsid w:val="00E27A21"/>
    <w:rsid w:val="00E33C8F"/>
    <w:rsid w:val="00E90C97"/>
    <w:rsid w:val="00F56AB9"/>
    <w:rsid w:val="00F95E34"/>
    <w:rsid w:val="00F97C4A"/>
    <w:rsid w:val="00FD2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57AD"/>
  <w15:docId w15:val="{9B0739FA-0987-4B38-B511-D91ADAC8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Noto Sans Devanagari"/>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ans" w:eastAsia="Lucida Sans Unicode" w:hAnsi="Liberation Sans" w:cs="Liberation Sans"/>
      <w:kern w:val="2"/>
      <w:sz w:val="24"/>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styleId="Marquedecommentaire">
    <w:name w:val="annotation reference"/>
    <w:qFormat/>
    <w:rPr>
      <w:sz w:val="16"/>
      <w:szCs w:val="16"/>
    </w:rPr>
  </w:style>
  <w:style w:type="character" w:customStyle="1" w:styleId="CommentaireCar">
    <w:name w:val="Commentaire Car"/>
    <w:qFormat/>
    <w:rPr>
      <w:rFonts w:ascii="Liberation Sans" w:eastAsia="Lucida Sans Unicode" w:hAnsi="Liberation Sans" w:cs="Liberation Sans"/>
      <w:kern w:val="2"/>
    </w:rPr>
  </w:style>
  <w:style w:type="character" w:customStyle="1" w:styleId="ObjetducommentaireCar">
    <w:name w:val="Objet du commentaire Car"/>
    <w:qFormat/>
    <w:rPr>
      <w:rFonts w:ascii="Liberation Sans" w:eastAsia="Lucida Sans Unicode" w:hAnsi="Liberation Sans" w:cs="Liberation Sans"/>
      <w:b/>
      <w:bCs/>
      <w:kern w:val="2"/>
    </w:rPr>
  </w:style>
  <w:style w:type="character" w:customStyle="1" w:styleId="TextedebullesCar">
    <w:name w:val="Texte de bulles Car"/>
    <w:qFormat/>
    <w:rPr>
      <w:rFonts w:ascii="Segoe UI" w:eastAsia="Lucida Sans Unicode" w:hAnsi="Segoe UI" w:cs="Segoe UI"/>
      <w:kern w:val="2"/>
      <w:sz w:val="18"/>
      <w:szCs w:val="18"/>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Corpsdetexte"/>
    <w:qFormat/>
    <w:pPr>
      <w:keepNext/>
      <w:spacing w:before="240" w:after="120"/>
    </w:pPr>
    <w:rPr>
      <w:rFonts w:eastAsia="WenQuanYi Micro Hei" w:cs="Noto Sans Devanagari"/>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qFormat/>
    <w:pPr>
      <w:suppressLineNumbers/>
    </w:pPr>
    <w:rPr>
      <w:rFonts w:cs="Tahoma"/>
    </w:rPr>
  </w:style>
  <w:style w:type="paragraph" w:customStyle="1" w:styleId="Titre1">
    <w:name w:val="Titre1"/>
    <w:basedOn w:val="Normal"/>
    <w:next w:val="Corpsdetexte"/>
    <w:qFormat/>
    <w:pPr>
      <w:keepNext/>
      <w:spacing w:before="240" w:after="120"/>
    </w:pPr>
    <w:rPr>
      <w:rFonts w:cs="Tahoma"/>
      <w:sz w:val="28"/>
      <w:szCs w:val="28"/>
    </w:r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style>
  <w:style w:type="paragraph" w:customStyle="1" w:styleId="Reponse">
    <w:name w:val="Reponse"/>
    <w:basedOn w:val="Normal"/>
    <w:qFormat/>
    <w:pPr>
      <w:ind w:left="567" w:right="567"/>
      <w:jc w:val="both"/>
    </w:pPr>
  </w:style>
  <w:style w:type="paragraph" w:customStyle="1" w:styleId="Rpertoire">
    <w:name w:val="Répertoire"/>
    <w:basedOn w:val="Normal"/>
    <w:qFormat/>
    <w:pPr>
      <w:suppressLineNumbers/>
    </w:pPr>
    <w:rPr>
      <w:rFonts w:ascii="Arial" w:hAnsi="Arial" w:cs="Tahoma"/>
    </w:rPr>
  </w:style>
  <w:style w:type="paragraph" w:customStyle="1" w:styleId="Commentaire1">
    <w:name w:val="Commentaire1"/>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HeaderandFooter">
    <w:name w:val="Header and Footer"/>
    <w:basedOn w:val="Normal"/>
    <w:qFormat/>
    <w:pPr>
      <w:suppressLineNumbers/>
      <w:tabs>
        <w:tab w:val="center" w:pos="4986"/>
        <w:tab w:val="right" w:pos="9972"/>
      </w:tabs>
    </w:pPr>
  </w:style>
  <w:style w:type="paragraph" w:styleId="Pieddepage">
    <w:name w:val="footer"/>
    <w:basedOn w:val="Normal"/>
    <w:pPr>
      <w:suppressLineNumbers/>
      <w:tabs>
        <w:tab w:val="center" w:pos="4818"/>
        <w:tab w:val="right" w:pos="9637"/>
      </w:tabs>
    </w:pPr>
  </w:style>
  <w:style w:type="paragraph" w:styleId="En-tte">
    <w:name w:val="header"/>
    <w:basedOn w:val="Normal"/>
    <w:pPr>
      <w:suppressLineNumbers/>
      <w:tabs>
        <w:tab w:val="center" w:pos="4818"/>
        <w:tab w:val="right" w:pos="9637"/>
      </w:tabs>
    </w:p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Textedebulles">
    <w:name w:val="Balloon Text"/>
    <w:basedOn w:val="Normal"/>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CBEC13-49DB-4217-8250-56E093E40DF7}"/>
</file>

<file path=customXml/itemProps2.xml><?xml version="1.0" encoding="utf-8"?>
<ds:datastoreItem xmlns:ds="http://schemas.openxmlformats.org/officeDocument/2006/customXml" ds:itemID="{FA5AB7B7-1D2F-462A-BBE9-BDC1615CB3F1}">
  <ds:schemaRefs>
    <ds:schemaRef ds:uri="http://schemas.microsoft.com/sharepoint/v3/contenttype/forms"/>
  </ds:schemaRefs>
</ds:datastoreItem>
</file>

<file path=customXml/itemProps3.xml><?xml version="1.0" encoding="utf-8"?>
<ds:datastoreItem xmlns:ds="http://schemas.openxmlformats.org/officeDocument/2006/customXml" ds:itemID="{E11702EB-371A-404F-81B5-E915914D841F}">
  <ds:schemaRefs>
    <ds:schemaRef ds:uri="http://schemas.microsoft.com/office/2006/metadata/properties"/>
    <ds:schemaRef ds:uri="http://schemas.microsoft.com/office/infopath/2007/PartnerControls"/>
    <ds:schemaRef ds:uri="72b63b3a-5c83-4dce-ad09-e64304270dbb"/>
    <ds:schemaRef ds:uri="ef34ea75-235b-4880-95fe-5178f966d8e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451</Words>
  <Characters>2485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ASSET Thibaud, VNF/DT Nord-Pas de Calais/SEME</dc:creator>
  <cp:keywords/>
  <dc:description/>
  <cp:lastModifiedBy>ASSET Thibaud</cp:lastModifiedBy>
  <cp:revision>2</cp:revision>
  <cp:lastPrinted>2019-03-12T16:54:00Z</cp:lastPrinted>
  <dcterms:created xsi:type="dcterms:W3CDTF">2025-04-25T13:05:00Z</dcterms:created>
  <dcterms:modified xsi:type="dcterms:W3CDTF">2025-04-25T13:05:00Z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Order">
    <vt:r8>100</vt:r8>
  </property>
  <property fmtid="{D5CDD505-2E9C-101B-9397-08002B2CF9AE}" pid="4" name="MediaServiceImageTags">
    <vt:lpwstr/>
  </property>
</Properties>
</file>