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715BAB" w:rsidP="00715BAB" w:rsidRDefault="00715BAB" w14:paraId="46AD442A" w14:textId="77777777">
      <w:pPr>
        <w:spacing w:before="60" w:after="60"/>
        <w:jc w:val="center"/>
        <w:rPr>
          <w:rFonts w:ascii="Calibri" w:hAnsi="Calibri" w:eastAsia="Calibri" w:cs="Calibri"/>
          <w:color w:val="000000" w:themeColor="text1"/>
        </w:rPr>
      </w:pPr>
      <w:r>
        <w:rPr>
          <w:noProof/>
        </w:rPr>
        <w:drawing>
          <wp:inline distT="0" distB="0" distL="0" distR="0" wp14:anchorId="7D6AB829" wp14:editId="0227EA12">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715BAB" w:rsidP="00715BAB" w:rsidRDefault="00715BAB" w14:paraId="001CD1C2"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715BAB" w:rsidP="00715BAB" w:rsidRDefault="00715BAB" w14:paraId="6CA7B26D"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715BAB" w:rsidP="00715BAB" w:rsidRDefault="00715BAB" w14:paraId="7874ED37"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715BAB" w:rsidTr="007F1C59" w14:paraId="21E2DD94" w14:textId="77777777">
        <w:trPr>
          <w:trHeight w:val="300"/>
        </w:trPr>
        <w:tc>
          <w:tcPr>
            <w:tcW w:w="7896" w:type="dxa"/>
            <w:shd w:val="clear" w:color="auto" w:fill="66CCFF"/>
            <w:tcMar>
              <w:left w:w="71" w:type="dxa"/>
              <w:right w:w="71" w:type="dxa"/>
            </w:tcMar>
          </w:tcPr>
          <w:p w:rsidR="00715BAB" w:rsidP="007F1C59" w:rsidRDefault="00715BAB" w14:paraId="38BD5BAE"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715BAB" w:rsidP="007F1C59" w:rsidRDefault="00715BAB" w14:paraId="5372F010"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715BAB" w:rsidP="007F1C59" w:rsidRDefault="00715BAB" w14:paraId="7B706515"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715BAB" w:rsidP="00715BAB" w:rsidRDefault="00715BAB" w14:paraId="175B2F7D" w14:textId="77777777">
      <w:pPr>
        <w:tabs>
          <w:tab w:val="left" w:pos="851"/>
        </w:tabs>
        <w:spacing w:after="0"/>
      </w:pPr>
      <w:r w:rsidRPr="14A2DFF8">
        <w:rPr>
          <w:rFonts w:ascii="Univers" w:hAnsi="Univers" w:eastAsia="Univers" w:cs="Univers"/>
          <w:sz w:val="20"/>
          <w:szCs w:val="20"/>
        </w:rPr>
        <w:t xml:space="preserve"> </w:t>
      </w:r>
    </w:p>
    <w:p w:rsidR="00715BAB" w:rsidP="00715BAB" w:rsidRDefault="00715BAB" w14:paraId="20399525"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715BAB" w:rsidP="00715BAB" w:rsidRDefault="00715BAB" w14:paraId="5C1B71E6" w14:textId="77777777">
      <w:pPr>
        <w:tabs>
          <w:tab w:val="left" w:pos="851"/>
        </w:tabs>
        <w:spacing w:after="0"/>
        <w:jc w:val="both"/>
      </w:pPr>
      <w:r w:rsidRPr="14A2DFF8">
        <w:rPr>
          <w:rFonts w:ascii="Arial" w:hAnsi="Arial" w:eastAsia="Arial" w:cs="Arial"/>
          <w:i/>
          <w:iCs/>
          <w:sz w:val="18"/>
          <w:szCs w:val="18"/>
        </w:rPr>
        <w:t xml:space="preserve"> </w:t>
      </w:r>
    </w:p>
    <w:p w:rsidR="00715BAB" w:rsidP="00715BAB" w:rsidRDefault="00715BAB" w14:paraId="23ED6D02"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715BAB" w:rsidP="00715BAB" w:rsidRDefault="00715BAB" w14:paraId="667BA125" w14:textId="77777777">
      <w:pPr>
        <w:tabs>
          <w:tab w:val="left" w:pos="851"/>
        </w:tabs>
        <w:spacing w:after="0"/>
        <w:jc w:val="both"/>
      </w:pPr>
      <w:r w:rsidRPr="14A2DFF8">
        <w:rPr>
          <w:rFonts w:ascii="Arial" w:hAnsi="Arial" w:eastAsia="Arial" w:cs="Arial"/>
          <w:i/>
          <w:iCs/>
          <w:sz w:val="18"/>
          <w:szCs w:val="18"/>
        </w:rPr>
        <w:t xml:space="preserve"> </w:t>
      </w:r>
    </w:p>
    <w:p w:rsidR="00715BAB" w:rsidP="00715BAB" w:rsidRDefault="00715BAB" w14:paraId="2FE1E3DB"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715BAB" w:rsidP="00715BAB" w:rsidRDefault="00715BAB" w14:paraId="07EF131E" w14:textId="77777777">
      <w:pPr>
        <w:tabs>
          <w:tab w:val="left" w:pos="851"/>
        </w:tabs>
        <w:spacing w:after="0"/>
        <w:jc w:val="both"/>
      </w:pPr>
      <w:r w:rsidRPr="14A2DFF8">
        <w:rPr>
          <w:rFonts w:ascii="Arial" w:hAnsi="Arial" w:eastAsia="Arial" w:cs="Arial"/>
          <w:i/>
          <w:iCs/>
          <w:sz w:val="18"/>
          <w:szCs w:val="18"/>
        </w:rPr>
        <w:t xml:space="preserve"> </w:t>
      </w:r>
    </w:p>
    <w:p w:rsidR="00715BAB" w:rsidP="00715BAB" w:rsidRDefault="00715BAB" w14:paraId="79BD0F1B"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15BAB" w:rsidP="00715BAB" w:rsidRDefault="00715BAB" w14:paraId="64F97B43" w14:textId="77777777">
      <w:pPr>
        <w:tabs>
          <w:tab w:val="left" w:pos="851"/>
        </w:tabs>
        <w:spacing w:after="0"/>
        <w:jc w:val="both"/>
      </w:pPr>
      <w:r w:rsidRPr="14A2DFF8">
        <w:rPr>
          <w:rFonts w:ascii="Arial" w:hAnsi="Arial" w:eastAsia="Arial" w:cs="Arial"/>
          <w:i/>
          <w:iCs/>
          <w:sz w:val="18"/>
          <w:szCs w:val="18"/>
        </w:rPr>
        <w:t xml:space="preserve"> </w:t>
      </w:r>
    </w:p>
    <w:p w:rsidR="00715BAB" w:rsidP="00715BAB" w:rsidRDefault="00715BAB" w14:paraId="51FAAE4D"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715BAB" w:rsidP="00715BAB" w:rsidRDefault="00715BAB" w14:paraId="18FDAE92" w14:textId="77777777">
      <w:pPr>
        <w:tabs>
          <w:tab w:val="left" w:pos="851"/>
        </w:tabs>
        <w:spacing w:after="0"/>
        <w:jc w:val="both"/>
      </w:pPr>
      <w:r w:rsidRPr="14A2DFF8">
        <w:rPr>
          <w:rFonts w:ascii="Arial" w:hAnsi="Arial" w:eastAsia="Arial" w:cs="Arial"/>
          <w:i/>
          <w:iCs/>
          <w:sz w:val="18"/>
          <w:szCs w:val="18"/>
        </w:rPr>
        <w:t xml:space="preserve"> </w:t>
      </w:r>
    </w:p>
    <w:p w:rsidR="00715BAB" w:rsidP="00715BAB" w:rsidRDefault="00715BAB" w14:paraId="571ECE69"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15BAB" w:rsidP="00715BAB" w:rsidRDefault="00715BAB" w14:paraId="53E174E6" w14:textId="77777777">
      <w:pPr>
        <w:spacing w:after="0"/>
        <w:jc w:val="both"/>
        <w:rPr>
          <w:rFonts w:ascii="Arial" w:hAnsi="Arial" w:eastAsia="Arial" w:cs="Arial"/>
          <w:i/>
          <w:iCs/>
          <w:sz w:val="18"/>
          <w:szCs w:val="18"/>
        </w:rPr>
      </w:pPr>
    </w:p>
    <w:p w:rsidR="00715BAB" w:rsidP="00715BAB" w:rsidRDefault="00715BAB" w14:paraId="0B4E84D5"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715BAB" w:rsidP="00715BAB" w:rsidRDefault="00715BAB" w14:paraId="5E4A9AB8" w14:textId="77777777">
      <w:pPr>
        <w:tabs>
          <w:tab w:val="left" w:pos="426"/>
          <w:tab w:val="left" w:pos="851"/>
        </w:tabs>
        <w:jc w:val="both"/>
        <w:rPr>
          <w:rFonts w:ascii="Calibri" w:hAnsi="Calibri" w:eastAsia="Calibri" w:cs="Calibri"/>
          <w:color w:val="000000" w:themeColor="text1"/>
        </w:rPr>
      </w:pPr>
    </w:p>
    <w:p w:rsidR="00715BAB" w:rsidP="00715BAB" w:rsidRDefault="00715BAB" w14:paraId="6F1E7FA6" w14:textId="77777777">
      <w:pPr>
        <w:tabs>
          <w:tab w:val="left" w:pos="426"/>
          <w:tab w:val="left" w:pos="851"/>
        </w:tabs>
        <w:jc w:val="both"/>
        <w:rPr>
          <w:rFonts w:ascii="Calibri" w:hAnsi="Calibri" w:eastAsia="Calibri" w:cs="Calibri"/>
          <w:color w:val="000000" w:themeColor="text1"/>
        </w:rPr>
      </w:pPr>
    </w:p>
    <w:p w:rsidR="00715BAB" w:rsidP="00715BAB" w:rsidRDefault="00715BAB" w14:paraId="0013F859" w14:textId="77777777">
      <w:pPr>
        <w:tabs>
          <w:tab w:val="left" w:pos="426"/>
          <w:tab w:val="left" w:pos="851"/>
        </w:tabs>
        <w:jc w:val="both"/>
        <w:rPr>
          <w:rFonts w:ascii="Calibri" w:hAnsi="Calibri" w:eastAsia="Calibri" w:cs="Calibri"/>
          <w:color w:val="000000" w:themeColor="text1"/>
        </w:rPr>
      </w:pPr>
    </w:p>
    <w:p w:rsidR="00715BAB" w:rsidP="00715BAB" w:rsidRDefault="00715BAB" w14:paraId="192B1752" w14:textId="77777777">
      <w:pPr>
        <w:tabs>
          <w:tab w:val="left" w:pos="426"/>
          <w:tab w:val="left" w:pos="851"/>
        </w:tabs>
        <w:jc w:val="both"/>
        <w:rPr>
          <w:rFonts w:ascii="Calibri" w:hAnsi="Calibri" w:eastAsia="Calibri" w:cs="Calibri"/>
          <w:color w:val="000000" w:themeColor="text1"/>
        </w:rPr>
      </w:pPr>
    </w:p>
    <w:p w:rsidR="00715BAB" w:rsidP="00715BAB" w:rsidRDefault="00715BAB" w14:paraId="252A65FB" w14:textId="77777777">
      <w:pPr>
        <w:tabs>
          <w:tab w:val="left" w:pos="426"/>
          <w:tab w:val="left" w:pos="851"/>
        </w:tabs>
        <w:jc w:val="both"/>
        <w:rPr>
          <w:rFonts w:ascii="Calibri" w:hAnsi="Calibri" w:eastAsia="Calibri" w:cs="Calibri"/>
          <w:color w:val="000000" w:themeColor="text1"/>
        </w:rPr>
      </w:pPr>
    </w:p>
    <w:p w:rsidR="00715BAB" w:rsidP="00715BAB" w:rsidRDefault="00715BAB" w14:paraId="6697105D"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715BAB" w:rsidTr="007F1C59" w14:paraId="722F94A3" w14:textId="77777777">
        <w:trPr>
          <w:trHeight w:val="300"/>
        </w:trPr>
        <w:tc>
          <w:tcPr>
            <w:tcW w:w="9015" w:type="dxa"/>
            <w:shd w:val="clear" w:color="auto" w:fill="66CCFF"/>
            <w:tcMar>
              <w:left w:w="71" w:type="dxa"/>
              <w:right w:w="71" w:type="dxa"/>
            </w:tcMar>
          </w:tcPr>
          <w:p w:rsidRPr="00D637DA" w:rsidR="00715BAB" w:rsidP="007F1C59" w:rsidRDefault="00715BAB" w14:paraId="4C5BA0AB" w14:textId="77777777">
            <w:pPr>
              <w:spacing w:after="0"/>
              <w:rPr>
                <w:rFonts w:eastAsia="Arial" w:cstheme="minorHAnsi"/>
                <w:b/>
                <w:bCs/>
              </w:rPr>
            </w:pPr>
            <w:r w:rsidRPr="00D637DA">
              <w:rPr>
                <w:rFonts w:eastAsia="Arial" w:cstheme="minorHAnsi"/>
                <w:b/>
                <w:bCs/>
              </w:rPr>
              <w:lastRenderedPageBreak/>
              <w:t>A - Identification et signature de l’acheteur</w:t>
            </w:r>
          </w:p>
        </w:tc>
      </w:tr>
    </w:tbl>
    <w:p w:rsidR="00715BAB" w:rsidP="00715BAB" w:rsidRDefault="00715BAB" w14:paraId="26662D39" w14:textId="77777777">
      <w:pPr>
        <w:tabs>
          <w:tab w:val="left" w:pos="851"/>
        </w:tabs>
        <w:spacing w:after="0"/>
      </w:pPr>
    </w:p>
    <w:p w:rsidR="00715BAB" w:rsidP="00715BAB" w:rsidRDefault="00715BAB" w14:paraId="38E1AEDC"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715BAB" w:rsidP="00715BAB" w:rsidRDefault="00715BAB" w14:paraId="44FE0EE1"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715BAB" w:rsidP="00715BAB" w:rsidRDefault="00715BAB" w14:paraId="618DA939" w14:textId="77777777">
      <w:pPr>
        <w:tabs>
          <w:tab w:val="left" w:pos="851"/>
        </w:tabs>
      </w:pPr>
    </w:p>
    <w:p w:rsidR="00715BAB" w:rsidP="00715BAB" w:rsidRDefault="00715BAB" w14:paraId="12A1E798" w14:textId="77777777">
      <w:pPr>
        <w:spacing w:after="0"/>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715BAB" w:rsidP="00715BAB" w:rsidRDefault="00715BAB" w14:paraId="683E7DAB" w14:textId="77777777">
      <w:pPr>
        <w:spacing w:after="0"/>
        <w:jc w:val="both"/>
        <w:rPr>
          <w:rFonts w:ascii="Calibri" w:hAnsi="Calibri" w:eastAsia="Calibri" w:cs="Calibri"/>
          <w:i/>
          <w:iCs/>
          <w:color w:val="000000" w:themeColor="text1"/>
          <w:sz w:val="16"/>
          <w:szCs w:val="16"/>
          <w:u w:val="single"/>
        </w:rPr>
      </w:pPr>
    </w:p>
    <w:p w:rsidRPr="00152729" w:rsidR="00715BAB" w:rsidP="00715BAB" w:rsidRDefault="00715BAB" w14:paraId="406805F4" w14:textId="77777777">
      <w:pPr>
        <w:jc w:val="both"/>
        <w:rPr>
          <w:rFonts w:ascii="Calibri Light" w:hAnsi="Calibri Light" w:eastAsia="Calibri Light" w:cs="Calibri Light"/>
        </w:rPr>
      </w:pPr>
      <w:r w:rsidRPr="1492309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715BAB" w:rsidP="00715BAB" w:rsidRDefault="00715BAB" w14:paraId="71B92CA4" w14:textId="77777777">
      <w:pPr>
        <w:pStyle w:val="Paragraphedeliste"/>
        <w:numPr>
          <w:ilvl w:val="0"/>
          <w:numId w:val="13"/>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715BAB" w:rsidP="00715BAB" w:rsidRDefault="00715BAB" w14:paraId="67F288F6" w14:textId="688F82BD">
      <w:pPr>
        <w:pStyle w:val="Paragraphedeliste"/>
        <w:numPr>
          <w:ilvl w:val="0"/>
          <w:numId w:val="13"/>
        </w:numPr>
        <w:ind w:left="0" w:firstLine="0"/>
        <w:jc w:val="both"/>
        <w:rPr>
          <w:rFonts w:ascii="Calibri Light" w:hAnsi="Calibri Light" w:eastAsia="Calibri Light" w:cs="Calibri Light"/>
        </w:rPr>
      </w:pPr>
      <w:r w:rsidRPr="1084F664" w:rsidR="00715BAB">
        <w:rPr>
          <w:rFonts w:ascii="Calibri Light" w:hAnsi="Calibri Light" w:eastAsia="Calibri Light" w:cs="Calibri Light"/>
        </w:rPr>
        <w:t>La Centrale d’achat des Crous obéit par ailleurs aux dispositions prévues par les articles L.2113-2 à L.2113-5 du Code de la commande publique.</w:t>
      </w:r>
    </w:p>
    <w:p w:rsidR="1084F664" w:rsidP="1084F664" w:rsidRDefault="1084F664" w14:paraId="309EED5F" w14:textId="124E1ED8">
      <w:pPr>
        <w:pStyle w:val="Normal"/>
        <w:ind w:left="0"/>
        <w:jc w:val="both"/>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44720B18" w:rsidP="1084F664" w:rsidRDefault="44720B18" w14:paraId="348DDD60" w14:textId="3646AD11">
      <w:pPr>
        <w:pStyle w:val="Normal"/>
        <w:ind w:lef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 acheteurs bénéficiaires (ci-après « adhérents ») du présent accord-cadre sont :  </w:t>
      </w:r>
    </w:p>
    <w:p w:rsidR="44720B18" w:rsidP="1084F664" w:rsidRDefault="44720B18" w14:paraId="50C2E3C4" w14:textId="5CE7ADFA">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Aix-Marseille-Avignon,  </w:t>
      </w:r>
    </w:p>
    <w:p w:rsidR="44720B18" w:rsidP="1084F664" w:rsidRDefault="44720B18" w14:paraId="64C870D9" w14:textId="0215846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Amiens Picardie,  </w:t>
      </w:r>
    </w:p>
    <w:p w:rsidR="44720B18" w:rsidP="1084F664" w:rsidRDefault="44720B18" w14:paraId="2693EEBB" w14:textId="10EBC6CD">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Bordeaux-Aquitaine,  </w:t>
      </w:r>
    </w:p>
    <w:p w:rsidR="44720B18" w:rsidP="1084F664" w:rsidRDefault="44720B18" w14:paraId="2E81F6F2" w14:textId="7263AB61">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Bourgogne-Franche-Comté,  </w:t>
      </w:r>
    </w:p>
    <w:p w:rsidR="44720B18" w:rsidP="1084F664" w:rsidRDefault="44720B18" w14:paraId="4EF81C42" w14:textId="0717D7EA">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Clermont Auvergne,  </w:t>
      </w:r>
    </w:p>
    <w:p w:rsidR="44720B18" w:rsidP="1084F664" w:rsidRDefault="44720B18" w14:paraId="3D39094B" w14:textId="319D525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Créteil,  </w:t>
      </w:r>
    </w:p>
    <w:p w:rsidR="44720B18" w:rsidP="1084F664" w:rsidRDefault="44720B18" w14:paraId="6A01C6A8" w14:textId="3DBFECEE">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Grenoble Alpes,  </w:t>
      </w:r>
    </w:p>
    <w:p w:rsidR="44720B18" w:rsidP="1084F664" w:rsidRDefault="44720B18" w14:paraId="1D695317" w14:textId="092E0769">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Lille Nord Pas-de-Calais,  </w:t>
      </w:r>
    </w:p>
    <w:p w:rsidR="44720B18" w:rsidP="1084F664" w:rsidRDefault="44720B18" w14:paraId="3AC89B94" w14:textId="588748C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Limoges,  </w:t>
      </w:r>
    </w:p>
    <w:p w:rsidR="44720B18" w:rsidP="1084F664" w:rsidRDefault="44720B18" w14:paraId="5CCC7FD5" w14:textId="5D6797D2">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Lyon,  </w:t>
      </w:r>
    </w:p>
    <w:p w:rsidR="44720B18" w:rsidP="1084F664" w:rsidRDefault="44720B18" w14:paraId="6256CC29" w14:textId="16382B4A">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Lorraine,  </w:t>
      </w:r>
    </w:p>
    <w:p w:rsidR="44720B18" w:rsidP="1084F664" w:rsidRDefault="44720B18" w14:paraId="4C93338C" w14:textId="59D099E0">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Montpellier-Occitanie,  </w:t>
      </w:r>
    </w:p>
    <w:p w:rsidR="44720B18" w:rsidP="1084F664" w:rsidRDefault="44720B18" w14:paraId="50EFFC12" w14:textId="6D8782C4">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Nantes Pays de la Loire,  </w:t>
      </w:r>
    </w:p>
    <w:p w:rsidR="44720B18" w:rsidP="1084F664" w:rsidRDefault="44720B18" w14:paraId="3BA379E6" w14:textId="44D118D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Nice-Toulon,  </w:t>
      </w:r>
    </w:p>
    <w:p w:rsidR="44720B18" w:rsidP="1084F664" w:rsidRDefault="44720B18" w14:paraId="39A6D73A" w14:textId="49FB4BD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Normandie,  </w:t>
      </w:r>
    </w:p>
    <w:p w:rsidR="44720B18" w:rsidP="1084F664" w:rsidRDefault="44720B18" w14:paraId="67BA20C0" w14:textId="4EAE2AE4">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Orléans-Tours,  </w:t>
      </w:r>
    </w:p>
    <w:p w:rsidR="44720B18" w:rsidP="1084F664" w:rsidRDefault="44720B18" w14:paraId="2FE1E112" w14:textId="32CE7467">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Paris,  </w:t>
      </w:r>
    </w:p>
    <w:p w:rsidR="44720B18" w:rsidP="1084F664" w:rsidRDefault="44720B18" w14:paraId="31BCDE9B" w14:textId="63C19D75">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Poitiers,  </w:t>
      </w:r>
    </w:p>
    <w:p w:rsidR="44720B18" w:rsidP="1084F664" w:rsidRDefault="44720B18" w14:paraId="33AB4A65" w14:textId="6D12935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Reims,  </w:t>
      </w:r>
    </w:p>
    <w:p w:rsidR="44720B18" w:rsidP="1084F664" w:rsidRDefault="44720B18" w14:paraId="0DC7A9C4" w14:textId="4B5C31D5">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Rennes Bretagne,  </w:t>
      </w:r>
    </w:p>
    <w:p w:rsidR="44720B18" w:rsidP="1084F664" w:rsidRDefault="44720B18" w14:paraId="5B22BFCE" w14:textId="31FBBC3D">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Strasbourg,  </w:t>
      </w:r>
    </w:p>
    <w:p w:rsidR="44720B18" w:rsidP="1084F664" w:rsidRDefault="44720B18" w14:paraId="3E505DE1" w14:textId="1047B6FB">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Toulouse-Occitanie,  </w:t>
      </w:r>
    </w:p>
    <w:p w:rsidR="44720B18" w:rsidP="1084F664" w:rsidRDefault="44720B18" w14:paraId="467A2D9B" w14:textId="09F0663E">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Versailles,  </w:t>
      </w:r>
    </w:p>
    <w:p w:rsidR="44720B18" w:rsidP="1084F664" w:rsidRDefault="44720B18" w14:paraId="1E47CB63" w14:textId="747C5910">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HEC,  </w:t>
      </w:r>
    </w:p>
    <w:p w:rsidR="44720B18" w:rsidP="1084F664" w:rsidRDefault="44720B18" w14:paraId="5F56CA66" w14:textId="22A01B6F">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ESCP BUSINESS SCHOOL,  </w:t>
      </w:r>
    </w:p>
    <w:p w:rsidR="44720B18" w:rsidP="1084F664" w:rsidRDefault="44720B18" w14:paraId="0E939FC7" w14:textId="68FC213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CESFO,  </w:t>
      </w:r>
    </w:p>
    <w:p w:rsidR="44720B18" w:rsidP="1084F664" w:rsidRDefault="44720B18" w14:paraId="66F0090D" w14:textId="5BEB0B2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CCIP,  </w:t>
      </w:r>
    </w:p>
    <w:p w:rsidR="44720B18" w:rsidP="1084F664" w:rsidRDefault="44720B18" w14:paraId="58EFD781" w14:textId="47D91614">
      <w:pPr>
        <w:pStyle w:val="Paragraphedeliste"/>
        <w:numPr>
          <w:ilvl w:val="0"/>
          <w:numId w:val="16"/>
        </w:numPr>
        <w:shd w:val="clear" w:color="auto" w:fill="FFFFFF" w:themeFill="background1"/>
        <w:spacing w:before="220" w:beforeAutospacing="off" w:after="220" w:afterAutospacing="off"/>
        <w:rPr>
          <w:rStyle w:val="eop"/>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1084F664" w:rsidR="44720B18">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INSPE. </w:t>
      </w:r>
    </w:p>
    <w:p w:rsidRPr="00152729" w:rsidR="00715BAB" w:rsidP="00715BAB" w:rsidRDefault="00715BAB" w14:paraId="4B34086F"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d’autres établissements pourront adhérer en cours de l’accord-cadre et bénéficier de ses conditions.</w:t>
      </w:r>
    </w:p>
    <w:p w:rsidRPr="00152729" w:rsidR="00715BAB" w:rsidP="00715BAB" w:rsidRDefault="00715BAB" w14:paraId="2634771F"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715BAB" w:rsidP="00715BAB" w:rsidRDefault="00715BAB" w14:paraId="45CAB036"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715BAB" w:rsidP="00715BAB" w:rsidRDefault="00715BAB" w14:paraId="0BD6DA31"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715BAB" w:rsidP="00715BAB" w:rsidRDefault="00715BAB" w14:paraId="4C7D43B8"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715BAB" w:rsidP="00715BAB" w:rsidRDefault="00715BAB" w14:paraId="7C9BD357"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715BAB" w:rsidP="00715BAB" w:rsidRDefault="00715BAB" w14:paraId="0107A739"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715BAB" w:rsidP="00715BAB" w:rsidRDefault="00715BAB" w14:paraId="1DA6D781"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715BAB" w:rsidP="00715BAB" w:rsidRDefault="00715BAB" w14:paraId="24A62045" w14:textId="77777777">
      <w:pPr>
        <w:spacing w:after="0"/>
        <w:ind w:left="1134" w:hanging="1134"/>
        <w:jc w:val="both"/>
        <w:rPr>
          <w:rFonts w:ascii="Calibri Light" w:hAnsi="Calibri Light" w:eastAsia="Calibri Light" w:cs="Calibri Light"/>
          <w:color w:val="000000" w:themeColor="text1"/>
        </w:rPr>
      </w:pPr>
    </w:p>
    <w:p w:rsidRPr="00D637DA" w:rsidR="00715BAB" w:rsidP="00715BAB" w:rsidRDefault="00715BAB" w14:paraId="1430C316"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715BAB" w:rsidP="00715BAB" w:rsidRDefault="00715BAB" w14:paraId="2DB8CDD1"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715BAB" w:rsidP="00715BAB" w:rsidRDefault="00715BAB" w14:paraId="25BC8A34"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715BAB" w:rsidP="00715BAB" w:rsidRDefault="00715BAB" w14:paraId="4D0EC2B8"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715BAB" w:rsidTr="007F1C59" w14:paraId="1FF48396" w14:textId="77777777">
        <w:trPr>
          <w:trHeight w:val="300"/>
        </w:trPr>
        <w:tc>
          <w:tcPr>
            <w:tcW w:w="9015" w:type="dxa"/>
            <w:shd w:val="clear" w:color="auto" w:fill="66CCFF"/>
            <w:tcMar>
              <w:left w:w="71" w:type="dxa"/>
              <w:right w:w="71" w:type="dxa"/>
            </w:tcMar>
          </w:tcPr>
          <w:p w:rsidR="00715BAB" w:rsidP="007F1C59" w:rsidRDefault="00715BAB" w14:paraId="4A50FC86"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715BAB" w:rsidP="00715BAB" w:rsidRDefault="00715BAB" w14:paraId="0268E258" w14:textId="77777777">
      <w:pPr>
        <w:tabs>
          <w:tab w:val="left" w:pos="426"/>
          <w:tab w:val="left" w:pos="851"/>
        </w:tabs>
        <w:spacing w:after="0"/>
        <w:jc w:val="both"/>
      </w:pPr>
      <w:r w:rsidRPr="14A2DFF8">
        <w:rPr>
          <w:rFonts w:ascii="Univers" w:hAnsi="Univers" w:eastAsia="Univers" w:cs="Univers"/>
          <w:sz w:val="20"/>
          <w:szCs w:val="20"/>
        </w:rPr>
        <w:t xml:space="preserve"> </w:t>
      </w:r>
    </w:p>
    <w:p w:rsidR="00715BAB" w:rsidP="00715BAB" w:rsidRDefault="00715BAB" w14:paraId="0CBFFD13"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715BAB" w:rsidP="00715BAB" w:rsidRDefault="00715BAB" w14:paraId="3C5C70BC" w14:textId="77777777">
      <w:pPr>
        <w:tabs>
          <w:tab w:val="left" w:pos="426"/>
          <w:tab w:val="left" w:pos="851"/>
        </w:tabs>
        <w:spacing w:after="0"/>
        <w:jc w:val="both"/>
        <w:rPr>
          <w:rFonts w:ascii="Arial" w:hAnsi="Arial" w:eastAsia="Arial" w:cs="Arial"/>
          <w:sz w:val="20"/>
          <w:szCs w:val="20"/>
        </w:rPr>
      </w:pPr>
    </w:p>
    <w:p w:rsidR="00715BAB" w:rsidP="00715BAB" w:rsidRDefault="00715BAB" w14:paraId="415DBAEC"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715BAB" w:rsidP="00715BAB" w:rsidRDefault="00715BAB" w14:paraId="43D8CA19" w14:textId="77777777">
      <w:pPr>
        <w:tabs>
          <w:tab w:val="left" w:pos="426"/>
          <w:tab w:val="left" w:pos="851"/>
        </w:tabs>
        <w:spacing w:after="0"/>
        <w:jc w:val="both"/>
      </w:pPr>
      <w:r w:rsidRPr="311A779D">
        <w:rPr>
          <w:rFonts w:ascii="Arial" w:hAnsi="Arial" w:eastAsia="Arial" w:cs="Arial"/>
          <w:sz w:val="20"/>
          <w:szCs w:val="20"/>
        </w:rPr>
        <w:t xml:space="preserve"> </w:t>
      </w:r>
    </w:p>
    <w:p w:rsidRPr="00821340" w:rsidR="00715BAB" w:rsidP="00715BAB" w:rsidRDefault="00715BAB" w14:paraId="1FD1BD87" w14:textId="77777777">
      <w:pPr>
        <w:rPr>
          <w:rFonts w:ascii="Calibri Light" w:hAnsi="Calibri Light" w:cs="Calibri Light"/>
        </w:rPr>
      </w:pPr>
      <w:r w:rsidRPr="00821340">
        <w:rPr>
          <w:rFonts w:ascii="Calibri Light" w:hAnsi="Calibri Light" w:cs="Calibri Light"/>
        </w:rPr>
        <w:t>Le présent accord-cadre a pour objet de fournir à l’ensemble des adhérents de la Centrale d’achats des produits et équipements lessiviels. </w:t>
      </w:r>
      <w:bookmarkStart w:name="_TOC_250026" w:id="0"/>
    </w:p>
    <w:bookmarkEnd w:id="0"/>
    <w:p w:rsidRPr="00821340" w:rsidR="00715BAB" w:rsidP="00715BAB" w:rsidRDefault="00715BAB" w14:paraId="69C66F6E" w14:textId="77777777">
      <w:pPr>
        <w:pStyle w:val="Corpsdetexte"/>
        <w:spacing w:before="10"/>
        <w:jc w:val="both"/>
        <w:rPr>
          <w:rFonts w:ascii="Calibri Light" w:hAnsi="Calibri Light" w:cs="Calibri Light"/>
        </w:rPr>
      </w:pPr>
    </w:p>
    <w:p w:rsidRPr="00821340" w:rsidR="00715BAB" w:rsidP="00715BAB" w:rsidRDefault="00715BAB" w14:paraId="7CADC1BF" w14:textId="77777777">
      <w:pPr>
        <w:pStyle w:val="Corpsdetexte"/>
        <w:spacing w:before="1"/>
        <w:rPr>
          <w:rFonts w:ascii="Calibri Light" w:hAnsi="Calibri Light" w:cs="Calibri Light"/>
        </w:rPr>
      </w:pPr>
      <w:r w:rsidRPr="00606D9A">
        <w:rPr>
          <w:rFonts w:ascii="Calibri Light" w:hAnsi="Calibri Light" w:cs="Calibri Light"/>
        </w:rPr>
        <w:t>La classification CPV de l’accord-cadre est la suivante : </w:t>
      </w:r>
    </w:p>
    <w:p w:rsidRPr="00606D9A" w:rsidR="00715BAB" w:rsidP="00715BAB" w:rsidRDefault="00715BAB" w14:paraId="30EEC715" w14:textId="77777777">
      <w:pPr>
        <w:pStyle w:val="Corpsdetexte"/>
        <w:spacing w:before="1"/>
        <w:rPr>
          <w:rFonts w:ascii="Calibri Light" w:hAnsi="Calibri Light" w:cs="Calibri Light"/>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4890"/>
      </w:tblGrid>
      <w:tr w:rsidRPr="00606D9A" w:rsidR="00715BAB" w:rsidTr="007F1C59" w14:paraId="0EA428D5"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3582C7F" w14:textId="77777777">
            <w:pPr>
              <w:pStyle w:val="Corpsdetexte"/>
              <w:spacing w:before="1"/>
              <w:jc w:val="both"/>
              <w:rPr>
                <w:rFonts w:ascii="Calibri Light" w:hAnsi="Calibri Light" w:cs="Calibri Light"/>
              </w:rPr>
            </w:pPr>
            <w:r w:rsidRPr="00606D9A">
              <w:rPr>
                <w:rFonts w:ascii="Calibri Light" w:hAnsi="Calibri Light" w:cs="Calibri Light"/>
              </w:rPr>
              <w:t>24455000-8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78AFE2FE" w14:textId="77777777">
            <w:pPr>
              <w:pStyle w:val="Corpsdetexte"/>
              <w:spacing w:before="1"/>
              <w:jc w:val="both"/>
              <w:rPr>
                <w:rFonts w:ascii="Calibri Light" w:hAnsi="Calibri Light" w:cs="Calibri Light"/>
              </w:rPr>
            </w:pPr>
            <w:r w:rsidRPr="00606D9A">
              <w:rPr>
                <w:rFonts w:ascii="Calibri Light" w:hAnsi="Calibri Light" w:cs="Calibri Light"/>
              </w:rPr>
              <w:t>Désinfectants </w:t>
            </w:r>
          </w:p>
        </w:tc>
      </w:tr>
      <w:tr w:rsidRPr="00606D9A" w:rsidR="00715BAB" w:rsidTr="007F1C59" w14:paraId="40D6E56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4ABF1EE9" w14:textId="77777777">
            <w:pPr>
              <w:pStyle w:val="Corpsdetexte"/>
              <w:spacing w:before="1"/>
              <w:jc w:val="both"/>
              <w:rPr>
                <w:rFonts w:ascii="Calibri Light" w:hAnsi="Calibri Light" w:cs="Calibri Light"/>
              </w:rPr>
            </w:pPr>
            <w:r w:rsidRPr="00606D9A">
              <w:rPr>
                <w:rFonts w:ascii="Calibri Light" w:hAnsi="Calibri Light" w:cs="Calibri Light"/>
              </w:rPr>
              <w:t>24960000-1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2111BEF1" w14:textId="77777777">
            <w:pPr>
              <w:pStyle w:val="Corpsdetexte"/>
              <w:spacing w:before="1"/>
              <w:jc w:val="both"/>
              <w:rPr>
                <w:rFonts w:ascii="Calibri Light" w:hAnsi="Calibri Light" w:cs="Calibri Light"/>
              </w:rPr>
            </w:pPr>
            <w:r w:rsidRPr="00606D9A">
              <w:rPr>
                <w:rFonts w:ascii="Calibri Light" w:hAnsi="Calibri Light" w:cs="Calibri Light"/>
              </w:rPr>
              <w:t>Produits chimiques variés </w:t>
            </w:r>
          </w:p>
        </w:tc>
      </w:tr>
      <w:tr w:rsidRPr="00606D9A" w:rsidR="00715BAB" w:rsidTr="007F1C59" w14:paraId="7A5E0DA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0F2BE063" w14:textId="77777777">
            <w:pPr>
              <w:pStyle w:val="Corpsdetexte"/>
              <w:spacing w:before="1"/>
              <w:jc w:val="both"/>
              <w:rPr>
                <w:rFonts w:ascii="Calibri Light" w:hAnsi="Calibri Light" w:cs="Calibri Light"/>
              </w:rPr>
            </w:pPr>
            <w:r w:rsidRPr="00606D9A">
              <w:rPr>
                <w:rFonts w:ascii="Calibri Light" w:hAnsi="Calibri Light" w:cs="Calibri Light"/>
              </w:rPr>
              <w:t>33711900-6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214BF761" w14:textId="77777777">
            <w:pPr>
              <w:pStyle w:val="Corpsdetexte"/>
              <w:spacing w:before="1"/>
              <w:jc w:val="both"/>
              <w:rPr>
                <w:rFonts w:ascii="Calibri Light" w:hAnsi="Calibri Light" w:cs="Calibri Light"/>
              </w:rPr>
            </w:pPr>
            <w:r w:rsidRPr="00606D9A">
              <w:rPr>
                <w:rFonts w:ascii="Calibri Light" w:hAnsi="Calibri Light" w:cs="Calibri Light"/>
              </w:rPr>
              <w:t>Savon </w:t>
            </w:r>
          </w:p>
        </w:tc>
      </w:tr>
      <w:tr w:rsidRPr="00606D9A" w:rsidR="00715BAB" w:rsidTr="007F1C59" w14:paraId="29B9B575"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053F3344" w14:textId="77777777">
            <w:pPr>
              <w:pStyle w:val="Corpsdetexte"/>
              <w:spacing w:before="1"/>
              <w:jc w:val="both"/>
              <w:rPr>
                <w:rFonts w:ascii="Calibri Light" w:hAnsi="Calibri Light" w:cs="Calibri Light"/>
              </w:rPr>
            </w:pPr>
            <w:r w:rsidRPr="00606D9A">
              <w:rPr>
                <w:rFonts w:ascii="Calibri Light" w:hAnsi="Calibri Light" w:cs="Calibri Light"/>
              </w:rPr>
              <w:t>33741000-6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649E5898" w14:textId="77777777">
            <w:pPr>
              <w:pStyle w:val="Corpsdetexte"/>
              <w:spacing w:before="1"/>
              <w:jc w:val="both"/>
              <w:rPr>
                <w:rFonts w:ascii="Calibri Light" w:hAnsi="Calibri Light" w:cs="Calibri Light"/>
              </w:rPr>
            </w:pPr>
            <w:r w:rsidRPr="00606D9A">
              <w:rPr>
                <w:rFonts w:ascii="Calibri Light" w:hAnsi="Calibri Light" w:cs="Calibri Light"/>
              </w:rPr>
              <w:t>Produits de soins pour mains </w:t>
            </w:r>
          </w:p>
        </w:tc>
      </w:tr>
      <w:tr w:rsidRPr="00606D9A" w:rsidR="00715BAB" w:rsidTr="007F1C59" w14:paraId="63B8ADBD"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473151B" w14:textId="77777777">
            <w:pPr>
              <w:pStyle w:val="Corpsdetexte"/>
              <w:spacing w:before="1"/>
              <w:jc w:val="both"/>
              <w:rPr>
                <w:rFonts w:ascii="Calibri Light" w:hAnsi="Calibri Light" w:cs="Calibri Light"/>
              </w:rPr>
            </w:pPr>
            <w:r w:rsidRPr="00606D9A">
              <w:rPr>
                <w:rFonts w:ascii="Calibri Light" w:hAnsi="Calibri Light" w:cs="Calibri Light"/>
              </w:rPr>
              <w:t>39812100-8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DFD9136" w14:textId="77777777">
            <w:pPr>
              <w:pStyle w:val="Corpsdetexte"/>
              <w:spacing w:before="1"/>
              <w:jc w:val="both"/>
              <w:rPr>
                <w:rFonts w:ascii="Calibri Light" w:hAnsi="Calibri Light" w:cs="Calibri Light"/>
              </w:rPr>
            </w:pPr>
            <w:r w:rsidRPr="00606D9A">
              <w:rPr>
                <w:rFonts w:ascii="Calibri Light" w:hAnsi="Calibri Light" w:cs="Calibri Light"/>
              </w:rPr>
              <w:t>Produits d'entretien des sols </w:t>
            </w:r>
          </w:p>
        </w:tc>
      </w:tr>
      <w:tr w:rsidRPr="00606D9A" w:rsidR="00715BAB" w:rsidTr="007F1C59" w14:paraId="3BD2A540"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3EEE25CB" w14:textId="77777777">
            <w:pPr>
              <w:pStyle w:val="Corpsdetexte"/>
              <w:spacing w:before="1"/>
              <w:jc w:val="both"/>
              <w:rPr>
                <w:rFonts w:ascii="Calibri Light" w:hAnsi="Calibri Light" w:cs="Calibri Light"/>
              </w:rPr>
            </w:pPr>
            <w:r w:rsidRPr="00606D9A">
              <w:rPr>
                <w:rFonts w:ascii="Calibri Light" w:hAnsi="Calibri Light" w:cs="Calibri Light"/>
              </w:rPr>
              <w:t>39830000-9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12CB96F" w14:textId="77777777">
            <w:pPr>
              <w:pStyle w:val="Corpsdetexte"/>
              <w:spacing w:before="1"/>
              <w:jc w:val="both"/>
              <w:rPr>
                <w:rFonts w:ascii="Calibri Light" w:hAnsi="Calibri Light" w:cs="Calibri Light"/>
              </w:rPr>
            </w:pPr>
            <w:r w:rsidRPr="00606D9A">
              <w:rPr>
                <w:rFonts w:ascii="Calibri Light" w:hAnsi="Calibri Light" w:cs="Calibri Light"/>
              </w:rPr>
              <w:t>Produits de nettoyage </w:t>
            </w:r>
          </w:p>
        </w:tc>
      </w:tr>
      <w:tr w:rsidRPr="00606D9A" w:rsidR="00715BAB" w:rsidTr="007F1C59" w14:paraId="0CEBB12F"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1B1A5E7F" w14:textId="77777777">
            <w:pPr>
              <w:pStyle w:val="Corpsdetexte"/>
              <w:spacing w:before="1"/>
              <w:jc w:val="both"/>
              <w:rPr>
                <w:rFonts w:ascii="Calibri Light" w:hAnsi="Calibri Light" w:cs="Calibri Light"/>
              </w:rPr>
            </w:pPr>
            <w:r w:rsidRPr="00606D9A">
              <w:rPr>
                <w:rFonts w:ascii="Calibri Light" w:hAnsi="Calibri Light" w:cs="Calibri Light"/>
              </w:rPr>
              <w:lastRenderedPageBreak/>
              <w:t>39831100-7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DA7E43C" w14:textId="77777777">
            <w:pPr>
              <w:pStyle w:val="Corpsdetexte"/>
              <w:spacing w:before="1"/>
              <w:jc w:val="both"/>
              <w:rPr>
                <w:rFonts w:ascii="Calibri Light" w:hAnsi="Calibri Light" w:cs="Calibri Light"/>
              </w:rPr>
            </w:pPr>
            <w:r w:rsidRPr="00606D9A">
              <w:rPr>
                <w:rFonts w:ascii="Calibri Light" w:hAnsi="Calibri Light" w:cs="Calibri Light"/>
              </w:rPr>
              <w:t>Dispersants </w:t>
            </w:r>
          </w:p>
        </w:tc>
      </w:tr>
      <w:tr w:rsidRPr="00606D9A" w:rsidR="00715BAB" w:rsidTr="007F1C59" w14:paraId="44471CC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48F91451" w14:textId="77777777">
            <w:pPr>
              <w:pStyle w:val="Corpsdetexte"/>
              <w:spacing w:before="1"/>
              <w:jc w:val="both"/>
              <w:rPr>
                <w:rFonts w:ascii="Calibri Light" w:hAnsi="Calibri Light" w:cs="Calibri Light"/>
              </w:rPr>
            </w:pPr>
            <w:r w:rsidRPr="00606D9A">
              <w:rPr>
                <w:rFonts w:ascii="Calibri Light" w:hAnsi="Calibri Light" w:cs="Calibri Light"/>
              </w:rPr>
              <w:t>39831200-8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168D42C4" w14:textId="77777777">
            <w:pPr>
              <w:pStyle w:val="Corpsdetexte"/>
              <w:spacing w:before="1"/>
              <w:jc w:val="both"/>
              <w:rPr>
                <w:rFonts w:ascii="Calibri Light" w:hAnsi="Calibri Light" w:cs="Calibri Light"/>
              </w:rPr>
            </w:pPr>
            <w:r w:rsidRPr="00606D9A">
              <w:rPr>
                <w:rFonts w:ascii="Calibri Light" w:hAnsi="Calibri Light" w:cs="Calibri Light"/>
              </w:rPr>
              <w:t>Détergents </w:t>
            </w:r>
          </w:p>
        </w:tc>
      </w:tr>
      <w:tr w:rsidRPr="00606D9A" w:rsidR="00715BAB" w:rsidTr="007F1C59" w14:paraId="0DF9C699"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77284513" w14:textId="77777777">
            <w:pPr>
              <w:pStyle w:val="Corpsdetexte"/>
              <w:spacing w:before="1"/>
              <w:jc w:val="both"/>
              <w:rPr>
                <w:rFonts w:ascii="Calibri Light" w:hAnsi="Calibri Light" w:cs="Calibri Light"/>
              </w:rPr>
            </w:pPr>
            <w:r w:rsidRPr="00606D9A">
              <w:rPr>
                <w:rFonts w:ascii="Calibri Light" w:hAnsi="Calibri Light" w:cs="Calibri Light"/>
              </w:rPr>
              <w:t>39831240-0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EEEE5FB" w14:textId="77777777">
            <w:pPr>
              <w:pStyle w:val="Corpsdetexte"/>
              <w:spacing w:before="1"/>
              <w:jc w:val="both"/>
              <w:rPr>
                <w:rFonts w:ascii="Calibri Light" w:hAnsi="Calibri Light" w:cs="Calibri Light"/>
              </w:rPr>
            </w:pPr>
            <w:r w:rsidRPr="00606D9A">
              <w:rPr>
                <w:rFonts w:ascii="Calibri Light" w:hAnsi="Calibri Light" w:cs="Calibri Light"/>
              </w:rPr>
              <w:t>Agents nettoyants </w:t>
            </w:r>
          </w:p>
        </w:tc>
      </w:tr>
      <w:tr w:rsidRPr="00606D9A" w:rsidR="00715BAB" w:rsidTr="007F1C59" w14:paraId="2DE40673"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42448B16" w14:textId="77777777">
            <w:pPr>
              <w:pStyle w:val="Corpsdetexte"/>
              <w:spacing w:before="1"/>
              <w:jc w:val="both"/>
              <w:rPr>
                <w:rFonts w:ascii="Calibri Light" w:hAnsi="Calibri Light" w:cs="Calibri Light"/>
              </w:rPr>
            </w:pPr>
            <w:r w:rsidRPr="00606D9A">
              <w:rPr>
                <w:rFonts w:ascii="Calibri Light" w:hAnsi="Calibri Light" w:cs="Calibri Light"/>
              </w:rPr>
              <w:t>39831250-3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A98AAF9" w14:textId="77777777">
            <w:pPr>
              <w:pStyle w:val="Corpsdetexte"/>
              <w:spacing w:before="1"/>
              <w:jc w:val="both"/>
              <w:rPr>
                <w:rFonts w:ascii="Calibri Light" w:hAnsi="Calibri Light" w:cs="Calibri Light"/>
              </w:rPr>
            </w:pPr>
            <w:r w:rsidRPr="00606D9A">
              <w:rPr>
                <w:rFonts w:ascii="Calibri Light" w:hAnsi="Calibri Light" w:cs="Calibri Light"/>
              </w:rPr>
              <w:t>Solutions de rinçage </w:t>
            </w:r>
          </w:p>
        </w:tc>
      </w:tr>
      <w:tr w:rsidRPr="00606D9A" w:rsidR="00715BAB" w:rsidTr="007F1C59" w14:paraId="1DE98FD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1FD82426" w14:textId="77777777">
            <w:pPr>
              <w:pStyle w:val="Corpsdetexte"/>
              <w:spacing w:before="1"/>
              <w:jc w:val="both"/>
              <w:rPr>
                <w:rFonts w:ascii="Calibri Light" w:hAnsi="Calibri Light" w:cs="Calibri Light"/>
              </w:rPr>
            </w:pPr>
            <w:r w:rsidRPr="00606D9A">
              <w:rPr>
                <w:rFonts w:ascii="Calibri Light" w:hAnsi="Calibri Light" w:cs="Calibri Light"/>
              </w:rPr>
              <w:t>39832000-3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41EF8C63" w14:textId="77777777">
            <w:pPr>
              <w:pStyle w:val="Corpsdetexte"/>
              <w:spacing w:before="1"/>
              <w:jc w:val="both"/>
              <w:rPr>
                <w:rFonts w:ascii="Calibri Light" w:hAnsi="Calibri Light" w:cs="Calibri Light"/>
              </w:rPr>
            </w:pPr>
            <w:r w:rsidRPr="00606D9A">
              <w:rPr>
                <w:rFonts w:ascii="Calibri Light" w:hAnsi="Calibri Light" w:cs="Calibri Light"/>
              </w:rPr>
              <w:t>Produits pour lave-vaisselle </w:t>
            </w:r>
          </w:p>
        </w:tc>
      </w:tr>
      <w:tr w:rsidRPr="00606D9A" w:rsidR="00715BAB" w:rsidTr="007F1C59" w14:paraId="75D8D192"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24406887" w14:textId="77777777">
            <w:pPr>
              <w:pStyle w:val="Corpsdetexte"/>
              <w:spacing w:before="1"/>
              <w:jc w:val="both"/>
              <w:rPr>
                <w:rFonts w:ascii="Calibri Light" w:hAnsi="Calibri Light" w:cs="Calibri Light"/>
              </w:rPr>
            </w:pPr>
            <w:r w:rsidRPr="00606D9A">
              <w:rPr>
                <w:rFonts w:ascii="Calibri Light" w:hAnsi="Calibri Light" w:cs="Calibri Light"/>
              </w:rPr>
              <w:t>44832100-2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606D9A" w:rsidR="00715BAB" w:rsidP="007F1C59" w:rsidRDefault="00715BAB" w14:paraId="55F6BDB6" w14:textId="77777777">
            <w:pPr>
              <w:pStyle w:val="Corpsdetexte"/>
              <w:spacing w:before="1"/>
              <w:jc w:val="both"/>
              <w:rPr>
                <w:rFonts w:ascii="Calibri Light" w:hAnsi="Calibri Light" w:cs="Calibri Light"/>
              </w:rPr>
            </w:pPr>
            <w:r w:rsidRPr="00606D9A">
              <w:rPr>
                <w:rFonts w:ascii="Calibri Light" w:hAnsi="Calibri Light" w:cs="Calibri Light"/>
              </w:rPr>
              <w:t>Décapant </w:t>
            </w:r>
          </w:p>
        </w:tc>
      </w:tr>
    </w:tbl>
    <w:p w:rsidRPr="00821340" w:rsidR="00715BAB" w:rsidP="00715BAB" w:rsidRDefault="00715BAB" w14:paraId="19ECC1CE" w14:textId="77777777">
      <w:pPr>
        <w:pStyle w:val="Corpsdetexte"/>
        <w:spacing w:before="1"/>
        <w:jc w:val="both"/>
        <w:rPr>
          <w:rFonts w:ascii="Calibri Light" w:hAnsi="Calibri Light" w:cs="Calibri Light"/>
        </w:rPr>
      </w:pPr>
    </w:p>
    <w:p w:rsidRPr="00821340" w:rsidR="00715BAB" w:rsidP="00715BAB" w:rsidRDefault="00715BAB" w14:paraId="2AD3C7BD" w14:textId="77777777">
      <w:pPr>
        <w:pStyle w:val="Corpsdetexte"/>
        <w:spacing w:before="1"/>
        <w:jc w:val="both"/>
        <w:rPr>
          <w:rFonts w:ascii="Calibri Light" w:hAnsi="Calibri Light" w:cs="Calibri Light"/>
        </w:rPr>
      </w:pPr>
    </w:p>
    <w:p w:rsidR="00715BAB" w:rsidP="00715BAB" w:rsidRDefault="00715BAB" w14:paraId="73760943" w14:textId="77777777">
      <w:pPr>
        <w:jc w:val="both"/>
        <w:rPr>
          <w:rFonts w:asciiTheme="majorHAnsi" w:hAnsiTheme="majorHAnsi" w:eastAsiaTheme="majorEastAsia" w:cstheme="majorBidi"/>
          <w:color w:val="000000" w:themeColor="text1"/>
        </w:rPr>
      </w:pPr>
    </w:p>
    <w:p w:rsidRPr="00152729" w:rsidR="00715BAB" w:rsidP="00715BAB" w:rsidRDefault="00715BAB" w14:paraId="124E56BD" w14:textId="77777777">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715BAB" w:rsidP="00715BAB" w:rsidRDefault="00715BAB" w14:paraId="62624CD3"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t xml:space="preserve"> </w:t>
      </w:r>
    </w:p>
    <w:p w:rsidRPr="00152729" w:rsidR="00715BAB" w:rsidP="00715BAB" w:rsidRDefault="00715BAB" w14:paraId="702A3562"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l’ensemble du marché public.</w:t>
      </w:r>
    </w:p>
    <w:p w:rsidRPr="00152729" w:rsidR="00715BAB" w:rsidP="00715BAB" w:rsidRDefault="00715BAB" w14:paraId="1E4EDEAC"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715BAB" w:rsidP="00715BAB" w:rsidRDefault="00715BAB" w14:paraId="52C13FE1" w14:textId="77777777">
      <w:pPr>
        <w:tabs>
          <w:tab w:val="left" w:pos="851"/>
        </w:tabs>
        <w:spacing w:after="0"/>
        <w:jc w:val="both"/>
        <w:rPr>
          <w:rFonts w:ascii="Calibri Light" w:hAnsi="Calibri Light" w:eastAsia="Arial" w:cs="Calibri Light"/>
        </w:rPr>
      </w:pPr>
    </w:p>
    <w:p w:rsidRPr="00152729" w:rsidR="00715BAB" w:rsidP="00715BAB" w:rsidRDefault="00715BAB" w14:paraId="5ABC7AF2" w14:textId="77777777">
      <w:pPr>
        <w:jc w:val="both"/>
        <w:rPr>
          <w:rFonts w:ascii="Calibri Light" w:hAnsi="Calibri Light" w:eastAsia="Calibri Light" w:cs="Calibri Light"/>
          <w:color w:val="000000" w:themeColor="text1"/>
        </w:rPr>
      </w:pPr>
      <w:r w:rsidRPr="7AC0953B">
        <w:rPr>
          <w:rFonts w:ascii="Calibri Light" w:hAnsi="Calibri Light" w:cs="Calibri Light" w:eastAsiaTheme="majorEastAsia"/>
          <w:color w:val="000000" w:themeColor="text1"/>
        </w:rPr>
        <w:t xml:space="preserve">Les prix sont unitaires. </w:t>
      </w:r>
      <w:r w:rsidRPr="7AC0953B">
        <w:rPr>
          <w:rFonts w:ascii="Calibri Light" w:hAnsi="Calibri Light" w:eastAsia="Calibri Light" w:cs="Calibri Light"/>
          <w:color w:val="000000" w:themeColor="text1"/>
        </w:rPr>
        <w:t>L’accord-cadre est conclu avec un montant maximum.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290"/>
      </w:tblGrid>
      <w:tr w:rsidR="00715BAB" w:rsidTr="7E878C74" w14:paraId="31AA81C9" w14:textId="77777777">
        <w:trPr>
          <w:trHeight w:val="300"/>
        </w:trPr>
        <w:tc>
          <w:tcPr>
            <w:tcW w:w="4290" w:type="dxa"/>
            <w:tcBorders>
              <w:top w:val="single" w:color="auto" w:sz="6" w:space="0"/>
              <w:left w:val="single" w:color="auto" w:sz="6" w:space="0"/>
              <w:bottom w:val="single" w:color="auto" w:sz="6" w:space="0"/>
              <w:right w:val="single" w:color="auto" w:sz="6" w:space="0"/>
            </w:tcBorders>
            <w:tcMar/>
          </w:tcPr>
          <w:p w:rsidR="00715BAB" w:rsidP="007F1C59" w:rsidRDefault="00715BAB" w14:paraId="0BC57873" w14:textId="77777777">
            <w:pPr>
              <w:jc w:val="center"/>
              <w:rPr>
                <w:rFonts w:ascii="Calibri Light" w:hAnsi="Calibri Light" w:eastAsia="Calibri Light" w:cs="Calibri Light"/>
              </w:rPr>
            </w:pPr>
            <w:r w:rsidRPr="7AC0953B">
              <w:rPr>
                <w:rFonts w:ascii="Calibri Light" w:hAnsi="Calibri Light" w:eastAsia="Calibri Light" w:cs="Calibri Light"/>
              </w:rPr>
              <w:t>Montant maximum annuel € HT</w:t>
            </w:r>
          </w:p>
        </w:tc>
      </w:tr>
      <w:tr w:rsidR="00715BAB" w:rsidTr="7E878C74" w14:paraId="76FE89E3" w14:textId="77777777">
        <w:trPr>
          <w:trHeight w:val="300"/>
        </w:trPr>
        <w:tc>
          <w:tcPr>
            <w:tcW w:w="4290" w:type="dxa"/>
            <w:tcBorders>
              <w:top w:val="single" w:color="auto" w:sz="6" w:space="0"/>
              <w:left w:val="single" w:color="auto" w:sz="6" w:space="0"/>
              <w:bottom w:val="single" w:color="auto" w:sz="6" w:space="0"/>
              <w:right w:val="single" w:color="auto" w:sz="6" w:space="0"/>
            </w:tcBorders>
            <w:tcMar/>
            <w:vAlign w:val="bottom"/>
          </w:tcPr>
          <w:p w:rsidR="00715BAB" w:rsidP="007F1C59" w:rsidRDefault="00715BAB" w14:paraId="7541C3B9" w14:textId="1223F036">
            <w:pPr>
              <w:jc w:val="center"/>
              <w:rPr>
                <w:rFonts w:ascii="Calibri Light" w:hAnsi="Calibri Light" w:eastAsia="Calibri Light" w:cs="Calibri Light"/>
              </w:rPr>
            </w:pPr>
            <w:r w:rsidRPr="7E878C74" w:rsidR="693DDC61">
              <w:rPr>
                <w:rFonts w:ascii="Calibri Light" w:hAnsi="Calibri Light" w:eastAsia="Calibri Light" w:cs="Calibri Light"/>
              </w:rPr>
              <w:t>6 0</w:t>
            </w:r>
            <w:r w:rsidRPr="7E878C74" w:rsidR="00715BAB">
              <w:rPr>
                <w:rFonts w:ascii="Calibri Light" w:hAnsi="Calibri Light" w:eastAsia="Calibri Light" w:cs="Calibri Light"/>
              </w:rPr>
              <w:t>00 000</w:t>
            </w:r>
            <w:r w:rsidRPr="7E878C74" w:rsidR="00715BAB">
              <w:rPr>
                <w:rFonts w:ascii="Calibri Light" w:hAnsi="Calibri Light" w:eastAsia="Calibri Light" w:cs="Calibri Light"/>
              </w:rPr>
              <w:t>€</w:t>
            </w:r>
          </w:p>
        </w:tc>
      </w:tr>
    </w:tbl>
    <w:p w:rsidRPr="00152729" w:rsidR="00715BAB" w:rsidP="00715BAB" w:rsidRDefault="00715BAB" w14:paraId="1DFCC912"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w:t>
      </w:r>
    </w:p>
    <w:p w:rsidRPr="00152729" w:rsidR="00715BAB" w:rsidP="00715BAB" w:rsidRDefault="00715BAB" w14:paraId="05BA77E8" w14:textId="2D04C3D4">
      <w:pPr>
        <w:jc w:val="both"/>
        <w:rPr>
          <w:rFonts w:ascii="Calibri Light" w:hAnsi="Calibri Light" w:eastAsia="Calibri Light" w:cs="Calibri Light"/>
          <w:color w:val="000000" w:themeColor="text1"/>
        </w:rPr>
      </w:pPr>
      <w:r w:rsidRPr="7E878C74" w:rsidR="00715BAB">
        <w:rPr>
          <w:rFonts w:ascii="Calibri Light" w:hAnsi="Calibri Light" w:eastAsia="Calibri Light" w:cs="Calibri Light"/>
          <w:color w:val="000000" w:themeColor="text1" w:themeTint="FF" w:themeShade="FF"/>
          <w:u w:val="single"/>
        </w:rPr>
        <w:t>A titre indicatif et non contractuel</w:t>
      </w:r>
      <w:r w:rsidRPr="7E878C74" w:rsidR="00715BAB">
        <w:rPr>
          <w:rFonts w:ascii="Calibri Light" w:hAnsi="Calibri Light" w:eastAsia="Calibri Light" w:cs="Calibri Light"/>
          <w:color w:val="000000" w:themeColor="text1" w:themeTint="FF" w:themeShade="FF"/>
        </w:rPr>
        <w:t>, le montant estimatif annuel des dépenses est de : </w:t>
      </w:r>
      <w:r w:rsidRPr="7E878C74" w:rsidR="41941B39">
        <w:rPr>
          <w:rFonts w:ascii="Calibri Light" w:hAnsi="Calibri Light" w:eastAsia="Calibri Light" w:cs="Calibri Light"/>
          <w:color w:val="000000" w:themeColor="text1" w:themeTint="FF" w:themeShade="FF"/>
        </w:rPr>
        <w:t>2 0</w:t>
      </w:r>
      <w:r w:rsidRPr="7E878C74" w:rsidR="00715BAB">
        <w:rPr>
          <w:rFonts w:ascii="Calibri Light" w:hAnsi="Calibri Light" w:eastAsia="Calibri Light" w:cs="Calibri Light"/>
          <w:color w:val="000000" w:themeColor="text1" w:themeTint="FF" w:themeShade="FF"/>
        </w:rPr>
        <w:t>00 000 € </w:t>
      </w:r>
    </w:p>
    <w:p w:rsidRPr="00152729" w:rsidR="00715BAB" w:rsidP="00715BAB" w:rsidRDefault="00715BAB" w14:paraId="5D96B3E1"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xml:space="preserve">Les prévisions ci-dessus ne sont données qu’à titre indicatif et ne sont calculés que </w:t>
      </w:r>
      <w:proofErr w:type="gramStart"/>
      <w:r w:rsidRPr="7AC0953B">
        <w:rPr>
          <w:rFonts w:ascii="Calibri Light" w:hAnsi="Calibri Light" w:eastAsia="Calibri Light" w:cs="Calibri Light"/>
          <w:color w:val="000000" w:themeColor="text1"/>
        </w:rPr>
        <w:t>suite à un</w:t>
      </w:r>
      <w:proofErr w:type="gramEnd"/>
      <w:r w:rsidRPr="7AC0953B">
        <w:rPr>
          <w:rFonts w:ascii="Calibri Light" w:hAnsi="Calibri Light" w:eastAsia="Calibri Light" w:cs="Calibri Light"/>
          <w:color w:val="000000" w:themeColor="text1"/>
        </w:rPr>
        <w:t xml:space="preserve"> recensement partiel des adhérents. </w:t>
      </w:r>
    </w:p>
    <w:p w:rsidRPr="00152729" w:rsidR="00715BAB" w:rsidP="00715BAB" w:rsidRDefault="00715BAB" w14:paraId="797FAC35" w14:textId="77777777">
      <w:pPr>
        <w:tabs>
          <w:tab w:val="left" w:pos="426"/>
          <w:tab w:val="left" w:pos="851"/>
        </w:tabs>
        <w:jc w:val="both"/>
        <w:rPr>
          <w:rFonts w:ascii="Calibri Light" w:hAnsi="Calibri Light" w:cs="Calibri Light" w:eastAsiaTheme="majorEastAsia"/>
          <w:color w:val="000000" w:themeColor="text1"/>
        </w:rPr>
      </w:pPr>
    </w:p>
    <w:p w:rsidR="00715BAB" w:rsidP="00715BAB" w:rsidRDefault="00715BAB" w14:paraId="31FE558E"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715BAB" w:rsidTr="007F1C59" w14:paraId="76F4EB9D" w14:textId="77777777">
        <w:trPr>
          <w:trHeight w:val="300"/>
        </w:trPr>
        <w:tc>
          <w:tcPr>
            <w:tcW w:w="9015" w:type="dxa"/>
            <w:shd w:val="clear" w:color="auto" w:fill="66CCFF"/>
            <w:tcMar>
              <w:left w:w="71" w:type="dxa"/>
              <w:right w:w="71" w:type="dxa"/>
            </w:tcMar>
          </w:tcPr>
          <w:p w:rsidR="00715BAB" w:rsidP="007F1C59" w:rsidRDefault="00715BAB" w14:paraId="0524FC6F"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715BAB" w:rsidP="00715BAB" w:rsidRDefault="00715BAB" w14:paraId="2CFFD634" w14:textId="77777777">
      <w:pPr>
        <w:tabs>
          <w:tab w:val="left" w:pos="851"/>
        </w:tabs>
        <w:spacing w:after="0"/>
      </w:pPr>
      <w:r w:rsidRPr="14A2DFF8">
        <w:rPr>
          <w:rFonts w:ascii="Univers" w:hAnsi="Univers" w:eastAsia="Univers" w:cs="Univers"/>
          <w:sz w:val="20"/>
          <w:szCs w:val="20"/>
        </w:rPr>
        <w:t xml:space="preserve"> </w:t>
      </w:r>
    </w:p>
    <w:p w:rsidR="00715BAB" w:rsidP="00715BAB" w:rsidRDefault="00715BAB" w14:paraId="6DC95F95"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715BAB" w:rsidP="00715BAB" w:rsidRDefault="00715BAB" w14:paraId="6164B709"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715BAB" w:rsidP="00715BAB" w:rsidRDefault="00715BAB" w14:paraId="6FCEC14A" w14:textId="77777777">
      <w:pPr>
        <w:tabs>
          <w:tab w:val="left" w:pos="851"/>
        </w:tabs>
        <w:spacing w:after="0"/>
        <w:jc w:val="both"/>
      </w:pPr>
      <w:r w:rsidRPr="14A2DFF8">
        <w:rPr>
          <w:rFonts w:ascii="Arial" w:hAnsi="Arial" w:eastAsia="Arial" w:cs="Arial"/>
          <w:sz w:val="20"/>
          <w:szCs w:val="20"/>
        </w:rPr>
        <w:t xml:space="preserve"> </w:t>
      </w:r>
    </w:p>
    <w:p w:rsidRPr="00152729" w:rsidR="00715BAB" w:rsidP="00715BAB" w:rsidRDefault="00715BAB" w14:paraId="69DA18BC"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715BAB" w:rsidP="3C860949" w:rsidRDefault="00715BAB" w14:paraId="6EF3D104" w14:textId="626E3C7A">
      <w:pPr>
        <w:pStyle w:val="Paragraphedeliste"/>
        <w:numPr>
          <w:ilvl w:val="0"/>
          <w:numId w:val="9"/>
        </w:numPr>
        <w:spacing w:after="120" w:line="240" w:lineRule="auto"/>
        <w:jc w:val="both"/>
        <w:rPr>
          <w:rFonts w:ascii="Calibri Light" w:hAnsi="Calibri Light" w:eastAsia="" w:cs="Calibri Light" w:eastAsiaTheme="majorEastAsia"/>
          <w:color w:val="000000" w:themeColor="text1"/>
        </w:rPr>
      </w:pPr>
      <w:r w:rsidRPr="3C860949" w:rsidR="00715BAB">
        <w:rPr>
          <w:rFonts w:ascii="Calibri Light" w:hAnsi="Calibri Light" w:eastAsia="" w:cs="Calibri Light" w:eastAsiaTheme="majorEastAsia"/>
          <w:color w:val="000000" w:themeColor="text1" w:themeTint="FF" w:themeShade="FF"/>
        </w:rPr>
        <w:t>CCP n° 20250</w:t>
      </w:r>
      <w:r w:rsidRPr="3C860949" w:rsidR="00715BAB">
        <w:rPr>
          <w:rFonts w:ascii="Calibri Light" w:hAnsi="Calibri Light" w:eastAsia="" w:cs="Calibri Light" w:eastAsiaTheme="majorEastAsia"/>
          <w:color w:val="000000" w:themeColor="text1" w:themeTint="FF" w:themeShade="FF"/>
        </w:rPr>
        <w:t>1</w:t>
      </w:r>
      <w:r w:rsidRPr="3C860949" w:rsidR="7B96A930">
        <w:rPr>
          <w:rFonts w:ascii="Calibri Light" w:hAnsi="Calibri Light" w:eastAsia="" w:cs="Calibri Light" w:eastAsiaTheme="majorEastAsia"/>
          <w:color w:val="000000" w:themeColor="text1" w:themeTint="FF" w:themeShade="FF"/>
        </w:rPr>
        <w:t xml:space="preserve">8 </w:t>
      </w:r>
      <w:r w:rsidRPr="3C860949" w:rsidR="00715BAB">
        <w:rPr>
          <w:rFonts w:ascii="Calibri Light" w:hAnsi="Calibri Light" w:eastAsia="" w:cs="Calibri Light" w:eastAsiaTheme="majorEastAsia"/>
          <w:color w:val="000000" w:themeColor="text1" w:themeTint="FF" w:themeShade="FF"/>
        </w:rPr>
        <w:t>;</w:t>
      </w:r>
    </w:p>
    <w:p w:rsidRPr="00152729" w:rsidR="00715BAB" w:rsidP="00715BAB" w:rsidRDefault="00715BAB" w14:paraId="1AA675CD"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715BAB" w:rsidP="3C860949" w:rsidRDefault="00715BAB" w14:paraId="7F01E9F3" w14:textId="17CADD93">
      <w:pPr>
        <w:pStyle w:val="Paragraphedeliste"/>
        <w:numPr>
          <w:ilvl w:val="0"/>
          <w:numId w:val="9"/>
        </w:numPr>
        <w:spacing w:after="120" w:line="240" w:lineRule="auto"/>
        <w:jc w:val="both"/>
        <w:rPr>
          <w:rFonts w:ascii="Calibri Light" w:hAnsi="Calibri Light" w:eastAsia="" w:cs="Calibri Light" w:eastAsiaTheme="majorEastAsia"/>
          <w:color w:val="000000" w:themeColor="text1"/>
        </w:rPr>
      </w:pPr>
      <w:r w:rsidRPr="3C860949" w:rsidR="00715BAB">
        <w:rPr>
          <w:rFonts w:ascii="Calibri Light" w:hAnsi="Calibri Light" w:eastAsia="" w:cs="Calibri Light" w:eastAsiaTheme="majorEastAsia"/>
          <w:color w:val="000000" w:themeColor="text1" w:themeTint="FF" w:themeShade="FF"/>
        </w:rPr>
        <w:t>Autres : RC n° 20250</w:t>
      </w:r>
      <w:r w:rsidRPr="3C860949" w:rsidR="00715BAB">
        <w:rPr>
          <w:rFonts w:ascii="Calibri Light" w:hAnsi="Calibri Light" w:eastAsia="" w:cs="Calibri Light" w:eastAsiaTheme="majorEastAsia"/>
          <w:color w:val="000000" w:themeColor="text1" w:themeTint="FF" w:themeShade="FF"/>
        </w:rPr>
        <w:t>1</w:t>
      </w:r>
      <w:r w:rsidRPr="3C860949" w:rsidR="77122391">
        <w:rPr>
          <w:rFonts w:ascii="Calibri Light" w:hAnsi="Calibri Light" w:eastAsia="" w:cs="Calibri Light" w:eastAsiaTheme="majorEastAsia"/>
          <w:color w:val="000000" w:themeColor="text1" w:themeTint="FF" w:themeShade="FF"/>
        </w:rPr>
        <w:t>8</w:t>
      </w:r>
      <w:r w:rsidRPr="3C860949" w:rsidR="00715BAB">
        <w:rPr>
          <w:rFonts w:ascii="Calibri Light" w:hAnsi="Calibri Light" w:eastAsia="" w:cs="Calibri Light" w:eastAsiaTheme="majorEastAsia"/>
          <w:color w:val="000000" w:themeColor="text1" w:themeTint="FF" w:themeShade="FF"/>
        </w:rPr>
        <w:t>.</w:t>
      </w:r>
    </w:p>
    <w:p w:rsidR="00715BAB" w:rsidP="00715BAB" w:rsidRDefault="00715BAB" w14:paraId="0778FD20" w14:textId="77777777">
      <w:pPr>
        <w:spacing w:after="120" w:line="240" w:lineRule="auto"/>
        <w:jc w:val="both"/>
        <w:rPr>
          <w:rFonts w:ascii="Calibri Light" w:hAnsi="Calibri Light" w:cs="Calibri Light" w:eastAsiaTheme="majorEastAsia"/>
          <w:color w:val="000000" w:themeColor="text1"/>
        </w:rPr>
      </w:pPr>
    </w:p>
    <w:p w:rsidRPr="00152729" w:rsidR="00715BAB" w:rsidP="00715BAB" w:rsidRDefault="00715BAB" w14:paraId="47937331" w14:textId="77777777">
      <w:pPr>
        <w:spacing w:after="120" w:line="240" w:lineRule="auto"/>
        <w:jc w:val="both"/>
        <w:rPr>
          <w:rFonts w:ascii="Calibri Light" w:hAnsi="Calibri Light" w:cs="Calibri Light" w:eastAsiaTheme="majorEastAsia"/>
          <w:color w:val="000000" w:themeColor="text1"/>
        </w:rPr>
      </w:pPr>
    </w:p>
    <w:p w:rsidR="00715BAB" w:rsidP="00715BAB" w:rsidRDefault="00715BAB" w14:paraId="7EB6EBF9" w14:textId="77777777">
      <w:pPr>
        <w:spacing w:line="240" w:lineRule="auto"/>
        <w:jc w:val="both"/>
        <w:rPr>
          <w:rFonts w:ascii="Calibri Light" w:hAnsi="Calibri Light" w:cs="Calibri Light" w:eastAsiaTheme="majorEastAsia"/>
          <w:color w:val="000000" w:themeColor="text1"/>
        </w:rPr>
      </w:pPr>
    </w:p>
    <w:p w:rsidR="00715BAB" w:rsidP="00715BAB" w:rsidRDefault="00715BAB" w14:paraId="4A87B31B" w14:textId="77777777">
      <w:pPr>
        <w:spacing w:line="240" w:lineRule="auto"/>
        <w:jc w:val="both"/>
        <w:rPr>
          <w:rFonts w:ascii="Calibri Light" w:hAnsi="Calibri Light" w:cs="Calibri Light" w:eastAsiaTheme="majorEastAsia"/>
          <w:color w:val="000000" w:themeColor="text1"/>
        </w:rPr>
      </w:pPr>
    </w:p>
    <w:p w:rsidR="00715BAB" w:rsidP="00715BAB" w:rsidRDefault="00715BAB" w14:paraId="52EEF231" w14:textId="77777777">
      <w:pPr>
        <w:spacing w:line="240" w:lineRule="auto"/>
        <w:jc w:val="both"/>
        <w:rPr>
          <w:rFonts w:ascii="Calibri Light" w:hAnsi="Calibri Light" w:cs="Calibri Light" w:eastAsiaTheme="majorEastAsia"/>
          <w:color w:val="000000" w:themeColor="text1"/>
        </w:rPr>
      </w:pPr>
    </w:p>
    <w:p w:rsidRPr="00152729" w:rsidR="00715BAB" w:rsidP="00715BAB" w:rsidRDefault="00715BAB" w14:paraId="33CE2468"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00715BAB" w:rsidP="00715BAB" w:rsidRDefault="00715BAB" w14:paraId="0657851F" w14:textId="77777777">
      <w:pPr>
        <w:spacing w:line="240" w:lineRule="auto"/>
        <w:jc w:val="both"/>
        <w:rPr>
          <w:rFonts w:asciiTheme="majorHAnsi" w:hAnsiTheme="majorHAnsi" w:eastAsiaTheme="majorEastAsia" w:cstheme="majorBidi"/>
          <w:color w:val="000000" w:themeColor="text1"/>
        </w:rPr>
      </w:pPr>
    </w:p>
    <w:p w:rsidR="00715BAB" w:rsidP="00715BAB" w:rsidRDefault="00715BAB" w14:paraId="669AB9D8"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715BAB" w:rsidP="00715BAB" w:rsidRDefault="00715BAB" w14:paraId="58D88D87"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715BAB" w:rsidP="00715BAB" w:rsidRDefault="00715BAB" w14:paraId="06BA49C4"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15BAB" w:rsidP="00715BAB" w:rsidRDefault="00715BAB" w14:paraId="33AC8FE3" w14:textId="77777777">
      <w:pPr>
        <w:spacing w:line="240" w:lineRule="auto"/>
        <w:jc w:val="both"/>
        <w:rPr>
          <w:rFonts w:asciiTheme="majorHAnsi" w:hAnsiTheme="majorHAnsi" w:eastAsiaTheme="majorEastAsia" w:cstheme="majorBidi"/>
          <w:color w:val="000000" w:themeColor="text1"/>
          <w:sz w:val="24"/>
          <w:szCs w:val="24"/>
        </w:rPr>
      </w:pPr>
    </w:p>
    <w:p w:rsidR="00715BAB" w:rsidP="00715BAB" w:rsidRDefault="00715BAB" w14:paraId="7E18CD54"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w:t>
      </w:r>
      <w:proofErr w:type="gramStart"/>
      <w:r w:rsidRPr="22357500">
        <w:rPr>
          <w:rFonts w:asciiTheme="majorHAnsi" w:hAnsiTheme="majorHAnsi" w:eastAsiaTheme="majorEastAsia" w:cstheme="majorBidi"/>
          <w:color w:val="000000" w:themeColor="text1"/>
          <w:sz w:val="24"/>
          <w:szCs w:val="24"/>
        </w:rPr>
        <w:t>XXX  sur</w:t>
      </w:r>
      <w:proofErr w:type="gramEnd"/>
      <w:r w:rsidRPr="22357500">
        <w:rPr>
          <w:rFonts w:asciiTheme="majorHAnsi" w:hAnsiTheme="majorHAnsi" w:eastAsiaTheme="majorEastAsia" w:cstheme="majorBidi"/>
          <w:color w:val="000000" w:themeColor="text1"/>
          <w:sz w:val="24"/>
          <w:szCs w:val="24"/>
        </w:rPr>
        <w:t xml:space="preserve"> la base de son offre ;</w:t>
      </w:r>
    </w:p>
    <w:p w:rsidR="00715BAB" w:rsidP="00715BAB" w:rsidRDefault="00715BAB" w14:paraId="188A15DD" w14:textId="77777777">
      <w:pPr>
        <w:pStyle w:val="En-tte"/>
        <w:jc w:val="both"/>
        <w:rPr>
          <w:rFonts w:ascii="Arial" w:hAnsi="Arial" w:eastAsia="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15BAB" w:rsidP="00715BAB" w:rsidRDefault="00715BAB" w14:paraId="04758CFD" w14:textId="77777777">
      <w:pPr>
        <w:pStyle w:val="En-tte"/>
        <w:jc w:val="both"/>
        <w:rPr>
          <w:rFonts w:asciiTheme="majorHAnsi" w:hAnsiTheme="majorHAnsi" w:eastAsiaTheme="majorEastAsia" w:cstheme="majorBidi"/>
          <w:color w:val="000000" w:themeColor="text1"/>
          <w:sz w:val="24"/>
          <w:szCs w:val="24"/>
        </w:rPr>
      </w:pPr>
    </w:p>
    <w:p w:rsidR="00715BAB" w:rsidP="00715BAB" w:rsidRDefault="00715BAB" w14:paraId="2CAE8740"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715BAB" w:rsidP="00715BAB" w:rsidRDefault="00715BAB" w14:paraId="3E8764B6"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715BAB" w:rsidP="00715BAB" w:rsidRDefault="00715BAB" w14:paraId="6B2F7860"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l’intégralité des denrées faisant l’objet du marché aux prix indiqués dans le B.P.U et en conformité avec les fiches techniques</w:t>
      </w:r>
      <w:r>
        <w:rPr>
          <w:rFonts w:ascii="Calibri Light" w:hAnsi="Calibri Light" w:cs="Calibri Light" w:eastAsiaTheme="majorEastAsia"/>
          <w:color w:val="000000" w:themeColor="text1"/>
        </w:rPr>
        <w:t xml:space="preserve"> ; </w:t>
      </w:r>
    </w:p>
    <w:p w:rsidRPr="00C64775" w:rsidR="00715BAB" w:rsidP="00715BAB" w:rsidRDefault="00715BAB" w14:paraId="1729E80C" w14:textId="77777777">
      <w:pPr>
        <w:pStyle w:val="Paragraphedeliste"/>
        <w:spacing w:line="240" w:lineRule="auto"/>
        <w:jc w:val="both"/>
        <w:rPr>
          <w:rFonts w:ascii="Calibri Light" w:hAnsi="Calibri Light" w:cs="Calibri Light" w:eastAsiaTheme="majorEastAsia"/>
          <w:color w:val="000000" w:themeColor="text1"/>
        </w:rPr>
      </w:pPr>
    </w:p>
    <w:p w:rsidRPr="00C64775" w:rsidR="00715BAB" w:rsidP="00715BAB" w:rsidRDefault="00715BAB" w14:paraId="3DB7E0DD"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des denrées garantissant la santé et le bien être des consommateurs</w:t>
      </w:r>
      <w:r>
        <w:rPr>
          <w:rFonts w:ascii="Calibri Light" w:hAnsi="Calibri Light" w:cs="Calibri Light" w:eastAsiaTheme="majorEastAsia"/>
          <w:color w:val="000000" w:themeColor="text1"/>
        </w:rPr>
        <w:t xml:space="preserve"> ; </w:t>
      </w:r>
    </w:p>
    <w:p w:rsidR="00715BAB" w:rsidP="00715BAB" w:rsidRDefault="00715BAB" w14:paraId="523A4338"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faire des offres régulières, acceptables et appropriées lors de la sollicitation pour les bons de commande</w:t>
      </w:r>
      <w:r>
        <w:rPr>
          <w:rFonts w:ascii="Calibri Light" w:hAnsi="Calibri Light" w:cs="Calibri Light" w:eastAsiaTheme="majorEastAsia"/>
          <w:color w:val="000000" w:themeColor="text1"/>
        </w:rPr>
        <w:t xml:space="preserve"> ; </w:t>
      </w:r>
    </w:p>
    <w:p w:rsidRPr="00C64775" w:rsidR="00715BAB" w:rsidP="00715BAB" w:rsidRDefault="00715BAB" w14:paraId="20319962" w14:textId="77777777">
      <w:pPr>
        <w:pStyle w:val="Paragraphedeliste"/>
        <w:spacing w:line="240" w:lineRule="auto"/>
        <w:jc w:val="both"/>
        <w:rPr>
          <w:rFonts w:ascii="Calibri Light" w:hAnsi="Calibri Light" w:cs="Calibri Light" w:eastAsiaTheme="majorEastAsia"/>
          <w:color w:val="000000" w:themeColor="text1"/>
        </w:rPr>
      </w:pPr>
    </w:p>
    <w:p w:rsidRPr="00152729" w:rsidR="00715BAB" w:rsidP="00715BAB" w:rsidRDefault="00715BAB" w14:paraId="29D5F681"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consentir une remise catalogue conforme au pourcentage indiqué dans le B.P.U.</w:t>
      </w:r>
      <w:r>
        <w:rPr>
          <w:rFonts w:ascii="Calibri Light" w:hAnsi="Calibri Light" w:cs="Calibri Light" w:eastAsiaTheme="majorEastAsia"/>
          <w:color w:val="000000" w:themeColor="text1"/>
        </w:rPr>
        <w:t xml:space="preserve"> ; </w:t>
      </w:r>
    </w:p>
    <w:p w:rsidRPr="00152729" w:rsidR="00715BAB" w:rsidP="00715BAB" w:rsidRDefault="00715BAB" w14:paraId="105E8BA8" w14:textId="77777777">
      <w:pPr>
        <w:pStyle w:val="fcase1ertab"/>
        <w:numPr>
          <w:ilvl w:val="0"/>
          <w:numId w:val="15"/>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exécuter l’ensemble des prestations prévues au cahier des clauses particulières et selon le C.R.T;</w:t>
      </w:r>
    </w:p>
    <w:p w:rsidR="00715BAB" w:rsidP="00715BAB" w:rsidRDefault="00715BAB" w14:paraId="162068E0" w14:textId="77777777">
      <w:pPr>
        <w:pStyle w:val="fcase1ertab"/>
        <w:numPr>
          <w:ilvl w:val="0"/>
          <w:numId w:val="15"/>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respecter scrupuleusement l’ensemble des prescriptions et obligations prévues au cahier des clauses particulières ainsi que la règlementation en vigueur ;</w:t>
      </w:r>
    </w:p>
    <w:p w:rsidRPr="00152729" w:rsidR="00715BAB" w:rsidP="00715BAB" w:rsidRDefault="00715BAB" w14:paraId="74641FBB"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152729" w:rsidR="00715BAB" w:rsidP="00715BAB" w:rsidRDefault="00715BAB" w14:paraId="40223847" w14:textId="77777777">
      <w:pPr>
        <w:pStyle w:val="Paragraphedeliste"/>
        <w:numPr>
          <w:ilvl w:val="0"/>
          <w:numId w:val="15"/>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livrer les fournitures demandées ou à exécuter les prestations demandées : aux prix indiqués ci-dessous ou dans l’annexe financière jointe au présent document.</w:t>
      </w:r>
    </w:p>
    <w:p w:rsidR="00715BAB" w:rsidP="00715BAB" w:rsidRDefault="00715BAB" w14:paraId="7BD5D2A2"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715BAB" w:rsidP="00715BAB" w:rsidRDefault="00715BAB" w14:paraId="54FE7EB2"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715BAB" w:rsidP="00715BAB" w:rsidRDefault="00715BAB" w14:paraId="424F5798" w14:textId="77777777">
      <w:pPr>
        <w:tabs>
          <w:tab w:val="left" w:pos="426"/>
          <w:tab w:val="left" w:pos="851"/>
        </w:tabs>
        <w:spacing w:after="0"/>
        <w:jc w:val="both"/>
        <w:rPr>
          <w:rFonts w:ascii="Arial" w:hAnsi="Arial" w:eastAsia="Arial" w:cs="Arial"/>
          <w:i/>
          <w:iCs/>
          <w:sz w:val="18"/>
          <w:szCs w:val="18"/>
        </w:rPr>
      </w:pPr>
    </w:p>
    <w:p w:rsidR="00715BAB" w:rsidP="00715BAB" w:rsidRDefault="00715BAB" w14:paraId="78E02F64"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715BAB" w:rsidP="00715BAB" w:rsidRDefault="00715BAB" w14:paraId="4B8712FA" w14:textId="77777777">
      <w:pPr>
        <w:tabs>
          <w:tab w:val="left" w:pos="851"/>
          <w:tab w:val="left" w:pos="6236"/>
        </w:tabs>
        <w:spacing w:after="0"/>
      </w:pPr>
      <w:r w:rsidRPr="14A2DFF8">
        <w:rPr>
          <w:rFonts w:ascii="Arial" w:hAnsi="Arial" w:eastAsia="Arial" w:cs="Arial"/>
          <w:i/>
          <w:iCs/>
          <w:sz w:val="18"/>
          <w:szCs w:val="18"/>
        </w:rPr>
        <w:t xml:space="preserve"> </w:t>
      </w:r>
    </w:p>
    <w:p w:rsidR="00715BAB" w:rsidP="00715BAB" w:rsidRDefault="00715BAB" w14:paraId="17EFE035"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715BAB" w:rsidP="00715BAB" w:rsidRDefault="00715BAB" w14:paraId="68790D7E"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715BAB" w:rsidP="00715BAB" w:rsidRDefault="00715BAB" w14:paraId="07079C7A"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715BAB" w:rsidP="00715BAB" w:rsidRDefault="00715BAB" w14:paraId="4A0AB7E8" w14:textId="77777777">
      <w:pPr>
        <w:tabs>
          <w:tab w:val="left" w:pos="851"/>
        </w:tabs>
        <w:spacing w:before="120" w:after="0"/>
        <w:jc w:val="both"/>
        <w:rPr>
          <w:rFonts w:ascii="Arial" w:hAnsi="Arial" w:eastAsia="Arial" w:cs="Arial"/>
          <w:sz w:val="20"/>
          <w:szCs w:val="20"/>
        </w:rPr>
      </w:pPr>
    </w:p>
    <w:p w:rsidR="00715BAB" w:rsidP="00715BAB" w:rsidRDefault="00715BAB" w14:paraId="183E12FB" w14:textId="77777777">
      <w:pPr>
        <w:tabs>
          <w:tab w:val="left" w:pos="851"/>
        </w:tabs>
        <w:spacing w:after="0"/>
        <w:jc w:val="both"/>
        <w:rPr>
          <w:rFonts w:ascii="Arial" w:hAnsi="Arial" w:eastAsia="Arial" w:cs="Arial"/>
          <w:i/>
          <w:iCs/>
          <w:sz w:val="18"/>
          <w:szCs w:val="18"/>
        </w:rPr>
      </w:pPr>
    </w:p>
    <w:p w:rsidR="00715BAB" w:rsidP="00715BAB" w:rsidRDefault="00715BAB" w14:paraId="206AD68A" w14:textId="77777777">
      <w:pPr>
        <w:tabs>
          <w:tab w:val="left" w:pos="851"/>
        </w:tabs>
        <w:spacing w:after="0"/>
        <w:jc w:val="both"/>
        <w:rPr>
          <w:rFonts w:ascii="Arial" w:hAnsi="Arial" w:eastAsia="Arial" w:cs="Arial"/>
          <w:i/>
          <w:iCs/>
          <w:sz w:val="18"/>
          <w:szCs w:val="18"/>
        </w:rPr>
      </w:pPr>
    </w:p>
    <w:p w:rsidR="00715BAB" w:rsidP="00715BAB" w:rsidRDefault="00715BAB" w14:paraId="3DB53E2E" w14:textId="77777777">
      <w:pPr>
        <w:tabs>
          <w:tab w:val="left" w:pos="851"/>
        </w:tabs>
        <w:spacing w:after="0"/>
        <w:jc w:val="both"/>
        <w:rPr>
          <w:rFonts w:ascii="Arial" w:hAnsi="Arial" w:eastAsia="Arial" w:cs="Arial"/>
          <w:i/>
          <w:iCs/>
          <w:sz w:val="18"/>
          <w:szCs w:val="18"/>
        </w:rPr>
      </w:pPr>
    </w:p>
    <w:p w:rsidR="00715BAB" w:rsidP="00715BAB" w:rsidRDefault="00715BAB" w14:paraId="6D1F4094" w14:textId="77777777">
      <w:pPr>
        <w:tabs>
          <w:tab w:val="left" w:pos="851"/>
        </w:tabs>
        <w:spacing w:after="0"/>
        <w:jc w:val="both"/>
        <w:rPr>
          <w:rFonts w:ascii="Arial" w:hAnsi="Arial" w:eastAsia="Arial" w:cs="Arial"/>
          <w:i/>
          <w:iCs/>
          <w:sz w:val="18"/>
          <w:szCs w:val="18"/>
        </w:rPr>
      </w:pPr>
      <w:r w:rsidRPr="3968B204">
        <w:rPr>
          <w:rFonts w:ascii="Arial" w:hAnsi="Arial" w:eastAsia="Arial" w:cs="Arial"/>
          <w:i/>
          <w:iCs/>
          <w:sz w:val="18"/>
          <w:szCs w:val="18"/>
        </w:rPr>
        <w:t>(Les membres du groupement conjoint indiquent dans le tableau ci-dessous la répartition des prestations que chacun d’entre eux s’engage à réaliser.)</w:t>
      </w:r>
    </w:p>
    <w:p w:rsidR="00715BAB" w:rsidP="00715BAB" w:rsidRDefault="00715BAB" w14:paraId="62FD4DBF"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715BAB" w:rsidTr="007F1C59" w14:paraId="449C6DB4"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715BAB" w:rsidP="007F1C59" w:rsidRDefault="00715BAB" w14:paraId="2A9C8C74" w14:textId="77777777">
            <w:pPr>
              <w:tabs>
                <w:tab w:val="left" w:pos="851"/>
              </w:tabs>
              <w:spacing w:after="0"/>
              <w:jc w:val="center"/>
            </w:pPr>
            <w:r w:rsidRPr="14A2DFF8">
              <w:rPr>
                <w:rFonts w:ascii="Arial" w:hAnsi="Arial" w:eastAsia="Arial" w:cs="Arial"/>
                <w:b/>
                <w:bCs/>
                <w:sz w:val="20"/>
                <w:szCs w:val="20"/>
              </w:rPr>
              <w:t xml:space="preserve">Désignation des membres </w:t>
            </w:r>
          </w:p>
          <w:p w:rsidR="00715BAB" w:rsidP="007F1C59" w:rsidRDefault="00715BAB" w14:paraId="52C4FF7A"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715BAB" w:rsidP="007F1C59" w:rsidRDefault="00715BAB" w14:paraId="6A89D425"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715BAB" w:rsidTr="007F1C59" w14:paraId="45FBB824" w14:textId="77777777">
        <w:trPr>
          <w:trHeight w:val="570"/>
        </w:trPr>
        <w:tc>
          <w:tcPr>
            <w:tcW w:w="3847" w:type="dxa"/>
            <w:vMerge/>
            <w:vAlign w:val="center"/>
          </w:tcPr>
          <w:p w:rsidR="00715BAB" w:rsidP="007F1C59" w:rsidRDefault="00715BAB" w14:paraId="40295933"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715BAB" w:rsidP="007F1C59" w:rsidRDefault="00715BAB" w14:paraId="0D4FC5F5"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715BAB" w:rsidP="007F1C59" w:rsidRDefault="00715BAB" w14:paraId="486A05F8" w14:textId="77777777">
            <w:pPr>
              <w:tabs>
                <w:tab w:val="left" w:pos="851"/>
              </w:tabs>
              <w:spacing w:after="0"/>
              <w:jc w:val="center"/>
            </w:pPr>
            <w:r w:rsidRPr="14A2DFF8">
              <w:rPr>
                <w:rFonts w:ascii="Arial" w:hAnsi="Arial" w:eastAsia="Arial" w:cs="Arial"/>
                <w:b/>
                <w:bCs/>
                <w:sz w:val="20"/>
                <w:szCs w:val="20"/>
              </w:rPr>
              <w:t xml:space="preserve">Montant HT </w:t>
            </w:r>
          </w:p>
          <w:p w:rsidR="00715BAB" w:rsidP="007F1C59" w:rsidRDefault="00715BAB" w14:paraId="2673DD40"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715BAB" w:rsidTr="007F1C59" w14:paraId="54C09CE1"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715BAB" w:rsidP="007F1C59" w:rsidRDefault="00715BAB" w14:paraId="64D41963"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715BAB" w:rsidP="007F1C59" w:rsidRDefault="00715BAB" w14:paraId="37DEE2C7"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715BAB" w:rsidP="007F1C59" w:rsidRDefault="00715BAB" w14:paraId="7CAEB0C6" w14:textId="77777777">
            <w:pPr>
              <w:tabs>
                <w:tab w:val="left" w:pos="851"/>
              </w:tabs>
              <w:spacing w:after="0"/>
              <w:jc w:val="both"/>
            </w:pPr>
            <w:r w:rsidRPr="14A2DFF8">
              <w:rPr>
                <w:rFonts w:ascii="Arial" w:hAnsi="Arial" w:eastAsia="Arial" w:cs="Arial"/>
                <w:sz w:val="20"/>
                <w:szCs w:val="20"/>
              </w:rPr>
              <w:t xml:space="preserve"> </w:t>
            </w:r>
          </w:p>
        </w:tc>
      </w:tr>
      <w:tr w:rsidR="00715BAB" w:rsidTr="007F1C59" w14:paraId="5B3A2E59"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715BAB" w:rsidP="007F1C59" w:rsidRDefault="00715BAB" w14:paraId="7C4F54CD"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00715BAB" w:rsidP="007F1C59" w:rsidRDefault="00715BAB" w14:paraId="0A75405A"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715BAB" w:rsidP="007F1C59" w:rsidRDefault="00715BAB" w14:paraId="4F32642F" w14:textId="77777777">
            <w:pPr>
              <w:tabs>
                <w:tab w:val="left" w:pos="851"/>
              </w:tabs>
              <w:spacing w:after="0"/>
              <w:jc w:val="both"/>
            </w:pPr>
            <w:r w:rsidRPr="14A2DFF8">
              <w:rPr>
                <w:rFonts w:ascii="Arial" w:hAnsi="Arial" w:eastAsia="Arial" w:cs="Arial"/>
                <w:sz w:val="20"/>
                <w:szCs w:val="20"/>
              </w:rPr>
              <w:t xml:space="preserve"> </w:t>
            </w:r>
          </w:p>
        </w:tc>
      </w:tr>
      <w:tr w:rsidR="00715BAB" w:rsidTr="007F1C59" w14:paraId="636C4CB5"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715BAB" w:rsidP="007F1C59" w:rsidRDefault="00715BAB" w14:paraId="6210ECEA" w14:textId="7777777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715BAB" w:rsidP="007F1C59" w:rsidRDefault="00715BAB" w14:paraId="3E5DAC04"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715BAB" w:rsidP="007F1C59" w:rsidRDefault="00715BAB" w14:paraId="2A9CFB95" w14:textId="77777777">
            <w:pPr>
              <w:tabs>
                <w:tab w:val="left" w:pos="851"/>
              </w:tabs>
              <w:spacing w:after="0"/>
              <w:jc w:val="both"/>
            </w:pPr>
            <w:r w:rsidRPr="14A2DFF8">
              <w:rPr>
                <w:rFonts w:ascii="Arial" w:hAnsi="Arial" w:eastAsia="Arial" w:cs="Arial"/>
                <w:sz w:val="20"/>
                <w:szCs w:val="20"/>
              </w:rPr>
              <w:t xml:space="preserve"> </w:t>
            </w:r>
          </w:p>
        </w:tc>
      </w:tr>
    </w:tbl>
    <w:p w:rsidR="00715BAB" w:rsidP="00715BAB" w:rsidRDefault="00715BAB" w14:paraId="4CC7A3D4" w14:textId="77777777">
      <w:pPr>
        <w:tabs>
          <w:tab w:val="left" w:pos="851"/>
        </w:tabs>
        <w:spacing w:after="0"/>
        <w:jc w:val="both"/>
      </w:pPr>
    </w:p>
    <w:p w:rsidRPr="00D637DA" w:rsidR="00715BAB" w:rsidP="00715BAB" w:rsidRDefault="00715BAB" w14:paraId="21E4E152"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715BAB" w:rsidP="00715BAB" w:rsidRDefault="00715BAB" w14:paraId="64A4D071"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715BAB" w:rsidP="00715BAB" w:rsidRDefault="00715BAB" w14:paraId="21DD6E19" w14:textId="77777777">
      <w:pPr>
        <w:tabs>
          <w:tab w:val="left" w:pos="426"/>
          <w:tab w:val="left" w:pos="851"/>
        </w:tabs>
        <w:spacing w:after="0"/>
      </w:pPr>
      <w:r w:rsidRPr="14A2DFF8">
        <w:rPr>
          <w:rFonts w:ascii="Arial" w:hAnsi="Arial" w:eastAsia="Arial" w:cs="Arial"/>
          <w:b/>
          <w:bCs/>
          <w:sz w:val="20"/>
          <w:szCs w:val="20"/>
        </w:rPr>
        <w:t xml:space="preserve"> </w:t>
      </w:r>
    </w:p>
    <w:p w:rsidR="00715BAB" w:rsidP="00715BAB" w:rsidRDefault="00715BAB" w14:paraId="46D56FE7"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715BAB" w:rsidP="00715BAB" w:rsidRDefault="00715BAB" w14:paraId="0532BAF3"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715BAB" w:rsidP="00715BAB" w:rsidRDefault="00715BAB" w14:paraId="063AC171"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715BAB" w:rsidP="00715BAB" w:rsidRDefault="00715BAB" w14:paraId="171BB244"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715BAB" w:rsidP="00715BAB" w:rsidRDefault="00715BAB" w14:paraId="1C92A69C"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715BAB" w:rsidP="00715BAB" w:rsidRDefault="00715BAB" w14:paraId="410E6239" w14:textId="77777777">
      <w:pPr>
        <w:tabs>
          <w:tab w:val="left" w:pos="426"/>
          <w:tab w:val="left" w:pos="851"/>
        </w:tabs>
        <w:spacing w:after="0"/>
      </w:pPr>
      <w:r w:rsidRPr="14A2DFF8">
        <w:rPr>
          <w:rFonts w:ascii="Arial" w:hAnsi="Arial" w:eastAsia="Arial" w:cs="Arial"/>
          <w:b/>
          <w:bCs/>
          <w:sz w:val="20"/>
          <w:szCs w:val="20"/>
        </w:rPr>
        <w:t xml:space="preserve"> </w:t>
      </w:r>
    </w:p>
    <w:p w:rsidR="00715BAB" w:rsidP="00715BAB" w:rsidRDefault="00715BAB" w14:paraId="5FDAFD58"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715BAB" w:rsidP="00715BAB" w:rsidRDefault="00715BAB" w14:paraId="6F361499" w14:textId="77777777">
      <w:pPr>
        <w:tabs>
          <w:tab w:val="left" w:pos="426"/>
          <w:tab w:val="left" w:pos="851"/>
        </w:tabs>
        <w:spacing w:after="0"/>
        <w:rPr>
          <w:rFonts w:ascii="Arial" w:hAnsi="Arial" w:eastAsia="Arial" w:cs="Arial"/>
          <w:b/>
          <w:bCs/>
          <w:sz w:val="20"/>
          <w:szCs w:val="20"/>
        </w:rPr>
      </w:pPr>
    </w:p>
    <w:p w:rsidR="00715BAB" w:rsidP="00715BAB" w:rsidRDefault="00715BAB" w14:paraId="08C1268C" w14:textId="77777777">
      <w:pPr>
        <w:tabs>
          <w:tab w:val="left" w:pos="426"/>
          <w:tab w:val="left" w:pos="851"/>
        </w:tabs>
        <w:spacing w:after="0"/>
      </w:pPr>
    </w:p>
    <w:p w:rsidR="00715BAB" w:rsidP="00715BAB" w:rsidRDefault="00715BAB" w14:paraId="74F0912A"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715BAB" w:rsidP="00715BAB" w:rsidRDefault="00715BAB" w14:paraId="4BFDDCF6" w14:textId="77777777">
      <w:pPr>
        <w:tabs>
          <w:tab w:val="left" w:pos="426"/>
          <w:tab w:val="left" w:pos="851"/>
        </w:tabs>
        <w:spacing w:after="0"/>
        <w:rPr>
          <w:rFonts w:ascii="Arial" w:hAnsi="Arial" w:eastAsia="Arial" w:cs="Arial"/>
          <w:b/>
          <w:bCs/>
          <w:sz w:val="20"/>
          <w:szCs w:val="20"/>
        </w:rPr>
      </w:pPr>
    </w:p>
    <w:p w:rsidR="00715BAB" w:rsidP="00715BAB" w:rsidRDefault="00715BAB" w14:paraId="6512A800" w14:textId="77777777">
      <w:pPr>
        <w:tabs>
          <w:tab w:val="left" w:pos="426"/>
          <w:tab w:val="left" w:pos="851"/>
        </w:tabs>
        <w:spacing w:after="0"/>
        <w:rPr>
          <w:rFonts w:ascii="Arial" w:hAnsi="Arial" w:eastAsia="Arial" w:cs="Arial"/>
          <w:b/>
          <w:bCs/>
          <w:sz w:val="20"/>
          <w:szCs w:val="20"/>
        </w:rPr>
      </w:pPr>
    </w:p>
    <w:p w:rsidR="00715BAB" w:rsidP="00715BAB" w:rsidRDefault="00715BAB" w14:paraId="17C3F1A7" w14:textId="77777777">
      <w:pPr>
        <w:tabs>
          <w:tab w:val="left" w:pos="426"/>
          <w:tab w:val="left" w:pos="851"/>
        </w:tabs>
        <w:spacing w:after="0"/>
        <w:rPr>
          <w:rFonts w:ascii="Arial" w:hAnsi="Arial" w:eastAsia="Arial" w:cs="Arial"/>
          <w:b/>
          <w:bCs/>
          <w:sz w:val="20"/>
          <w:szCs w:val="20"/>
        </w:rPr>
      </w:pPr>
    </w:p>
    <w:p w:rsidR="00715BAB" w:rsidP="00715BAB" w:rsidRDefault="00715BAB" w14:paraId="531A4B7D" w14:textId="77777777">
      <w:pPr>
        <w:tabs>
          <w:tab w:val="left" w:pos="426"/>
          <w:tab w:val="left" w:pos="851"/>
        </w:tabs>
        <w:spacing w:after="0"/>
        <w:rPr>
          <w:rFonts w:ascii="Arial" w:hAnsi="Arial" w:eastAsia="Arial" w:cs="Arial"/>
          <w:b/>
          <w:bCs/>
          <w:sz w:val="20"/>
          <w:szCs w:val="20"/>
        </w:rPr>
      </w:pPr>
    </w:p>
    <w:p w:rsidR="00715BAB" w:rsidP="00715BAB" w:rsidRDefault="00715BAB" w14:paraId="32CEE09D" w14:textId="77777777">
      <w:pPr>
        <w:tabs>
          <w:tab w:val="left" w:pos="426"/>
          <w:tab w:val="left" w:pos="851"/>
        </w:tabs>
        <w:spacing w:after="0"/>
      </w:pPr>
    </w:p>
    <w:p w:rsidRPr="00D637DA" w:rsidR="00715BAB" w:rsidP="00715BAB" w:rsidRDefault="00715BAB" w14:paraId="458BB795"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19">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0">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715BAB" w:rsidP="00715BAB" w:rsidRDefault="00715BAB" w14:paraId="1C0EB316"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715BAB" w:rsidP="00715BAB" w:rsidRDefault="00715BAB" w14:paraId="7AF9124E"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715BAB" w:rsidP="00715BAB" w:rsidRDefault="00715BAB" w14:paraId="404026D5" w14:textId="77777777">
      <w:pPr>
        <w:tabs>
          <w:tab w:val="left" w:pos="851"/>
        </w:tabs>
        <w:spacing w:after="0"/>
        <w:rPr>
          <w:rFonts w:ascii="Arial" w:hAnsi="Arial" w:eastAsia="Arial" w:cs="Arial"/>
          <w:i/>
          <w:iCs/>
          <w:sz w:val="18"/>
          <w:szCs w:val="18"/>
        </w:rPr>
      </w:pPr>
    </w:p>
    <w:p w:rsidR="00715BAB" w:rsidP="00715BAB" w:rsidRDefault="00715BAB" w14:paraId="781E93D0" w14:textId="77777777">
      <w:pPr>
        <w:tabs>
          <w:tab w:val="left" w:pos="851"/>
        </w:tabs>
        <w:spacing w:after="0"/>
      </w:pPr>
      <w:r w:rsidRPr="22357500">
        <w:rPr>
          <w:rFonts w:ascii="Arial" w:hAnsi="Arial" w:eastAsia="Arial" w:cs="Arial"/>
          <w:i/>
          <w:iCs/>
          <w:sz w:val="18"/>
          <w:szCs w:val="18"/>
        </w:rPr>
        <w:t>(Cocher la case correspondante.)</w:t>
      </w:r>
    </w:p>
    <w:p w:rsidR="00715BAB" w:rsidP="00715BAB" w:rsidRDefault="00715BAB" w14:paraId="48199BFB" w14:textId="77777777">
      <w:pPr>
        <w:tabs>
          <w:tab w:val="left" w:pos="851"/>
        </w:tabs>
        <w:spacing w:after="0"/>
        <w:rPr>
          <w:rFonts w:ascii="Arial" w:hAnsi="Arial" w:eastAsia="Arial" w:cs="Arial"/>
          <w:i/>
          <w:iCs/>
          <w:sz w:val="18"/>
          <w:szCs w:val="18"/>
        </w:rPr>
      </w:pPr>
    </w:p>
    <w:p w:rsidR="00715BAB" w:rsidP="00715BAB" w:rsidRDefault="00715BAB" w14:paraId="1981CB1F"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715BAB" w:rsidP="00715BAB" w:rsidRDefault="00715BAB" w14:paraId="235A1D0F"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715BAB" w:rsidP="00715BAB" w:rsidRDefault="00715BAB" w14:paraId="53199626" w14:textId="77777777">
      <w:pPr>
        <w:tabs>
          <w:tab w:val="left" w:pos="426"/>
          <w:tab w:val="left" w:pos="851"/>
        </w:tabs>
        <w:spacing w:after="0"/>
        <w:jc w:val="both"/>
      </w:pPr>
      <w:r w:rsidRPr="14A2DFF8">
        <w:rPr>
          <w:rFonts w:ascii="Arial" w:hAnsi="Arial" w:eastAsia="Arial" w:cs="Arial"/>
          <w:b/>
          <w:bCs/>
          <w:sz w:val="20"/>
          <w:szCs w:val="20"/>
        </w:rPr>
        <w:t xml:space="preserve"> </w:t>
      </w:r>
    </w:p>
    <w:p w:rsidR="00715BAB" w:rsidP="00715BAB" w:rsidRDefault="00715BAB" w14:paraId="17A21782" w14:textId="77777777">
      <w:pPr>
        <w:tabs>
          <w:tab w:val="left" w:pos="426"/>
          <w:tab w:val="left" w:pos="851"/>
        </w:tabs>
        <w:spacing w:after="0"/>
        <w:jc w:val="both"/>
        <w:rPr>
          <w:rFonts w:ascii="Arial" w:hAnsi="Arial" w:eastAsia="Arial" w:cs="Arial"/>
          <w:b/>
          <w:bCs/>
        </w:rPr>
      </w:pPr>
    </w:p>
    <w:p w:rsidR="00715BAB" w:rsidP="00715BAB" w:rsidRDefault="00715BAB" w14:paraId="406C98B0" w14:textId="77777777">
      <w:pPr>
        <w:shd w:val="clear" w:color="auto" w:fill="9CC2E5" w:themeFill="accent1" w:themeFillTint="99"/>
        <w:spacing w:after="0"/>
        <w:jc w:val="both"/>
        <w:rPr>
          <w:rFonts w:ascii="Arial" w:hAnsi="Arial" w:eastAsia="Arial" w:cs="Arial"/>
          <w:b/>
          <w:bCs/>
        </w:rPr>
      </w:pPr>
      <w:r w:rsidRPr="7B8B1A56" w:rsidR="00715BAB">
        <w:rPr>
          <w:rFonts w:eastAsia="" w:eastAsiaTheme="minorEastAsia"/>
          <w:b w:val="1"/>
          <w:bCs w:val="1"/>
        </w:rPr>
        <w:t>C</w:t>
      </w:r>
      <w:r w:rsidRPr="7B8B1A56" w:rsidR="00715BAB">
        <w:rPr>
          <w:rFonts w:eastAsia="" w:eastAsiaTheme="minorEastAsia"/>
          <w:b w:val="1"/>
          <w:bCs w:val="1"/>
        </w:rPr>
        <w:t>5 - Durée d’exécution du marché public</w:t>
      </w:r>
    </w:p>
    <w:p w:rsidR="7B8B1A56" w:rsidP="7B8B1A56" w:rsidRDefault="7B8B1A56" w14:paraId="4912FF09" w14:textId="7D9E4589">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00715BAB" w:rsidP="7B8B1A56" w:rsidRDefault="00715BAB" w14:paraId="111AD071" w14:textId="2667473F">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B8B1A56" w:rsidR="1251F82D">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marché est passé pour une période de 24 mois, à compter du 6 janvier 2026 ou de sa date de notification si celle-ci est postérieure. </w:t>
      </w:r>
    </w:p>
    <w:p w:rsidR="7B8B1A56" w:rsidP="7B8B1A56" w:rsidRDefault="7B8B1A56" w14:paraId="48562F31" w14:textId="501727CB">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00715BAB" w:rsidP="775714D3" w:rsidRDefault="00715BAB" w14:paraId="687877E1" w14:textId="7F78CDE6">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75714D3" w:rsidR="1251F82D">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Il pourra être reconduit de manière tacite deux fois pour des périodes de 12 mois sans que la durée d’exécution de l’accord-cadre ne dépasse 48 mois, reconductions comprises.   </w:t>
      </w:r>
    </w:p>
    <w:p w:rsidR="00715BAB" w:rsidP="00715BAB" w:rsidRDefault="00715BAB" w14:paraId="709BF483" w14:textId="77777777">
      <w:pPr>
        <w:spacing w:after="0"/>
        <w:jc w:val="both"/>
        <w:rPr>
          <w:rFonts w:ascii="Calibri Light" w:hAnsi="Calibri Light" w:eastAsia="Calibri Light" w:cs="Calibri Light"/>
          <w:b/>
          <w:bCs/>
        </w:rPr>
      </w:pPr>
    </w:p>
    <w:tbl>
      <w:tblPr>
        <w:tblW w:w="0" w:type="auto"/>
        <w:tblLayout w:type="fixed"/>
        <w:tblLook w:val="06A0" w:firstRow="1" w:lastRow="0" w:firstColumn="1" w:lastColumn="0" w:noHBand="1" w:noVBand="1"/>
      </w:tblPr>
      <w:tblGrid>
        <w:gridCol w:w="9015"/>
      </w:tblGrid>
      <w:tr w:rsidR="00715BAB" w:rsidTr="007F1C59" w14:paraId="6537E8E0" w14:textId="77777777">
        <w:trPr>
          <w:trHeight w:val="300"/>
        </w:trPr>
        <w:tc>
          <w:tcPr>
            <w:tcW w:w="9015" w:type="dxa"/>
            <w:shd w:val="clear" w:color="auto" w:fill="66CCFF"/>
            <w:tcMar>
              <w:left w:w="71" w:type="dxa"/>
              <w:right w:w="71" w:type="dxa"/>
            </w:tcMar>
          </w:tcPr>
          <w:p w:rsidRPr="00D637DA" w:rsidR="00715BAB" w:rsidP="007F1C59" w:rsidRDefault="00715BAB" w14:paraId="2A003682" w14:textId="77777777">
            <w:pPr>
              <w:spacing w:after="0"/>
              <w:jc w:val="both"/>
              <w:rPr>
                <w:rFonts w:cstheme="minorHAnsi"/>
              </w:rPr>
            </w:pPr>
            <w:r w:rsidRPr="00D637DA">
              <w:rPr>
                <w:rFonts w:eastAsia="Arial" w:cstheme="minorHAnsi"/>
                <w:b/>
                <w:bCs/>
              </w:rPr>
              <w:t>D - Signature du marché public par le titulaire individuel ou, en cas groupement, le mandataire dûment habilité ou chaque membre du groupement</w:t>
            </w:r>
          </w:p>
        </w:tc>
      </w:tr>
    </w:tbl>
    <w:p w:rsidR="00715BAB" w:rsidP="00715BAB" w:rsidRDefault="00715BAB" w14:paraId="2CEDB670"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715BAB" w:rsidP="00715BAB" w:rsidRDefault="00715BAB" w14:paraId="367CB118"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715BAB" w:rsidP="00715BAB" w:rsidRDefault="00715BAB" w14:paraId="68A2A75B" w14:textId="77777777">
      <w:pPr>
        <w:tabs>
          <w:tab w:val="left" w:pos="851"/>
        </w:tabs>
        <w:spacing w:after="0"/>
        <w:jc w:val="both"/>
      </w:pPr>
      <w:r w:rsidRPr="14A2DFF8">
        <w:rPr>
          <w:rFonts w:ascii="Univers" w:hAnsi="Univers" w:eastAsia="Univers" w:cs="Univers"/>
          <w:sz w:val="20"/>
          <w:szCs w:val="20"/>
        </w:rPr>
        <w:t xml:space="preserve"> </w:t>
      </w:r>
    </w:p>
    <w:p w:rsidRPr="00D637DA" w:rsidR="00715BAB" w:rsidP="00715BAB" w:rsidRDefault="00715BAB" w14:paraId="42FB2C65"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715BAB" w:rsidP="00715BAB" w:rsidRDefault="00715BAB" w14:paraId="38E2EC78"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715BAB" w:rsidTr="007F1C59" w14:paraId="221FD6FA"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715BAB" w:rsidP="007F1C59" w:rsidRDefault="00715BAB" w14:paraId="74967FE6" w14:textId="77777777">
            <w:pPr>
              <w:tabs>
                <w:tab w:val="left" w:pos="851"/>
              </w:tabs>
              <w:spacing w:after="0"/>
              <w:jc w:val="center"/>
            </w:pPr>
            <w:r w:rsidRPr="14A2DFF8">
              <w:rPr>
                <w:rFonts w:ascii="Arial" w:hAnsi="Arial" w:eastAsia="Arial" w:cs="Arial"/>
                <w:b/>
                <w:bCs/>
                <w:sz w:val="20"/>
                <w:szCs w:val="20"/>
              </w:rPr>
              <w:t>Nom, prénom et qualité</w:t>
            </w:r>
          </w:p>
          <w:p w:rsidR="00715BAB" w:rsidP="007F1C59" w:rsidRDefault="00715BAB" w14:paraId="4CB57F42"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715BAB" w:rsidP="007F1C59" w:rsidRDefault="00715BAB" w14:paraId="69DFE59C"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715BAB" w:rsidP="007F1C59" w:rsidRDefault="00715BAB" w14:paraId="4D787B52" w14:textId="77777777">
            <w:pPr>
              <w:tabs>
                <w:tab w:val="left" w:pos="851"/>
              </w:tabs>
              <w:spacing w:after="0"/>
              <w:jc w:val="center"/>
            </w:pPr>
            <w:r w:rsidRPr="14A2DFF8">
              <w:rPr>
                <w:rFonts w:ascii="Arial" w:hAnsi="Arial" w:eastAsia="Arial" w:cs="Arial"/>
                <w:b/>
                <w:bCs/>
                <w:sz w:val="20"/>
                <w:szCs w:val="20"/>
              </w:rPr>
              <w:t>Signature</w:t>
            </w:r>
          </w:p>
        </w:tc>
      </w:tr>
      <w:tr w:rsidR="00715BAB" w:rsidTr="007F1C59" w14:paraId="071ED68B"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715BAB" w:rsidP="007F1C59" w:rsidRDefault="00715BAB" w14:paraId="3A86F4A9"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715BAB" w:rsidP="007F1C59" w:rsidRDefault="00715BAB" w14:paraId="6664C7F1"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715BAB" w:rsidP="007F1C59" w:rsidRDefault="00715BAB" w14:paraId="43574C81" w14:textId="77777777">
            <w:pPr>
              <w:tabs>
                <w:tab w:val="left" w:pos="851"/>
              </w:tabs>
              <w:spacing w:after="0"/>
              <w:jc w:val="both"/>
            </w:pPr>
            <w:r w:rsidRPr="14A2DFF8">
              <w:rPr>
                <w:rFonts w:ascii="Arial" w:hAnsi="Arial" w:eastAsia="Arial" w:cs="Arial"/>
                <w:b/>
                <w:bCs/>
                <w:sz w:val="20"/>
                <w:szCs w:val="20"/>
              </w:rPr>
              <w:t xml:space="preserve"> </w:t>
            </w:r>
          </w:p>
        </w:tc>
      </w:tr>
    </w:tbl>
    <w:p w:rsidR="00715BAB" w:rsidP="00715BAB" w:rsidRDefault="00715BAB" w14:paraId="451958A1"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715BAB" w:rsidP="00715BAB" w:rsidRDefault="00715BAB" w14:paraId="7869F2EC" w14:textId="77777777"/>
    <w:p w:rsidR="00715BAB" w:rsidP="00715BAB" w:rsidRDefault="00715BAB" w14:paraId="13995128" w14:textId="77777777"/>
    <w:p w:rsidRPr="00D637DA" w:rsidR="00715BAB" w:rsidP="00715BAB" w:rsidRDefault="00715BAB" w14:paraId="7BCB2419"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715BAB" w:rsidP="00715BAB" w:rsidRDefault="00715BAB" w14:paraId="3B34D89B"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715BAB" w:rsidP="00715BAB" w:rsidRDefault="00715BAB" w14:paraId="75668028"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1">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2">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715BAB" w:rsidP="00715BAB" w:rsidRDefault="00715BAB" w14:paraId="784F742A" w14:textId="77777777">
      <w:pPr>
        <w:tabs>
          <w:tab w:val="left" w:pos="851"/>
        </w:tabs>
        <w:spacing w:after="0"/>
        <w:rPr>
          <w:rFonts w:ascii="Arial" w:hAnsi="Arial" w:eastAsia="Arial" w:cs="Arial"/>
          <w:i/>
          <w:iCs/>
          <w:sz w:val="18"/>
          <w:szCs w:val="18"/>
        </w:rPr>
      </w:pPr>
    </w:p>
    <w:p w:rsidR="00715BAB" w:rsidP="00715BAB" w:rsidRDefault="00715BAB" w14:paraId="1B28765B"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715BAB" w:rsidP="00715BAB" w:rsidRDefault="00715BAB" w14:paraId="7A5147B6" w14:textId="77777777">
      <w:pPr>
        <w:tabs>
          <w:tab w:val="left" w:pos="851"/>
        </w:tabs>
        <w:spacing w:after="0"/>
      </w:pPr>
      <w:r w:rsidRPr="14A2DFF8">
        <w:rPr>
          <w:rFonts w:ascii="Arial" w:hAnsi="Arial" w:eastAsia="Arial" w:cs="Arial"/>
          <w:sz w:val="20"/>
          <w:szCs w:val="20"/>
        </w:rPr>
        <w:t xml:space="preserve"> </w:t>
      </w:r>
    </w:p>
    <w:p w:rsidR="00715BAB" w:rsidP="00715BAB" w:rsidRDefault="00715BAB" w14:paraId="1B391C56" w14:textId="77777777">
      <w:pPr>
        <w:tabs>
          <w:tab w:val="left" w:pos="851"/>
        </w:tabs>
        <w:spacing w:after="0"/>
      </w:pPr>
      <w:r w:rsidRPr="14A2DFF8">
        <w:rPr>
          <w:rFonts w:ascii="Arial" w:hAnsi="Arial" w:eastAsia="Arial" w:cs="Arial"/>
          <w:sz w:val="20"/>
          <w:szCs w:val="20"/>
        </w:rPr>
        <w:t xml:space="preserve"> </w:t>
      </w:r>
    </w:p>
    <w:p w:rsidR="00715BAB" w:rsidP="00715BAB" w:rsidRDefault="00715BAB" w14:paraId="7900D599"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715BAB" w:rsidP="00715BAB" w:rsidRDefault="00715BAB" w14:paraId="300F3DED"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715BAB" w:rsidP="00715BAB" w:rsidRDefault="00715BAB" w14:paraId="53C783F0"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715BAB" w:rsidP="00715BAB" w:rsidRDefault="00715BAB" w14:paraId="281D7C09"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715BAB" w:rsidP="00715BAB" w:rsidRDefault="00715BAB" w14:paraId="0E2C23B0" w14:textId="77777777">
      <w:pPr>
        <w:tabs>
          <w:tab w:val="left" w:pos="851"/>
        </w:tabs>
        <w:spacing w:after="0"/>
        <w:rPr>
          <w:rFonts w:asciiTheme="majorHAnsi" w:hAnsiTheme="majorHAnsi" w:eastAsiaTheme="majorEastAsia" w:cstheme="majorBidi"/>
          <w:sz w:val="24"/>
          <w:szCs w:val="24"/>
        </w:rPr>
      </w:pPr>
    </w:p>
    <w:p w:rsidR="00715BAB" w:rsidP="00715BAB" w:rsidRDefault="00715BAB" w14:paraId="4E61D62D"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715BAB" w:rsidP="00715BAB" w:rsidRDefault="00715BAB" w14:paraId="1A6261E1" w14:textId="77777777">
      <w:pPr>
        <w:tabs>
          <w:tab w:val="left" w:pos="426"/>
          <w:tab w:val="left" w:pos="851"/>
        </w:tabs>
        <w:spacing w:after="0"/>
      </w:pPr>
      <w:r w:rsidRPr="14A2DFF8">
        <w:rPr>
          <w:rFonts w:ascii="Arial" w:hAnsi="Arial" w:eastAsia="Arial" w:cs="Arial"/>
          <w:sz w:val="20"/>
          <w:szCs w:val="20"/>
        </w:rPr>
        <w:t xml:space="preserve"> </w:t>
      </w:r>
    </w:p>
    <w:p w:rsidR="00715BAB" w:rsidP="00715BAB" w:rsidRDefault="00715BAB" w14:paraId="4B51ACEF"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715BAB" w:rsidP="00715BAB" w:rsidRDefault="00715BAB" w14:paraId="17642F82" w14:textId="77777777">
      <w:pPr>
        <w:tabs>
          <w:tab w:val="left" w:pos="851"/>
        </w:tabs>
        <w:spacing w:after="0"/>
      </w:pPr>
      <w:r w:rsidRPr="14A2DFF8">
        <w:rPr>
          <w:rFonts w:ascii="Arial" w:hAnsi="Arial" w:eastAsia="Arial" w:cs="Arial"/>
          <w:sz w:val="20"/>
          <w:szCs w:val="20"/>
        </w:rPr>
        <w:t xml:space="preserve"> </w:t>
      </w:r>
    </w:p>
    <w:p w:rsidR="00715BAB" w:rsidP="00715BAB" w:rsidRDefault="00715BAB" w14:paraId="797F4A2B"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lastRenderedPageBreak/>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715BAB" w:rsidP="00715BAB" w:rsidRDefault="00715BAB" w14:paraId="234D3973" w14:textId="77777777">
      <w:pPr>
        <w:tabs>
          <w:tab w:val="left" w:pos="851"/>
        </w:tabs>
        <w:spacing w:after="0"/>
      </w:pPr>
      <w:r w:rsidRPr="14A2DFF8">
        <w:rPr>
          <w:rFonts w:ascii="Arial" w:hAnsi="Arial" w:eastAsia="Arial" w:cs="Arial"/>
          <w:sz w:val="20"/>
          <w:szCs w:val="20"/>
        </w:rPr>
        <w:t xml:space="preserve"> </w:t>
      </w:r>
    </w:p>
    <w:p w:rsidR="00715BAB" w:rsidP="00715BAB" w:rsidRDefault="00715BAB" w14:paraId="64A1C4EB"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715BAB" w:rsidP="00715BAB" w:rsidRDefault="00715BAB" w14:paraId="2D0C6AE7" w14:textId="77777777">
      <w:pPr>
        <w:tabs>
          <w:tab w:val="left" w:pos="851"/>
        </w:tabs>
        <w:spacing w:after="0"/>
        <w:ind w:left="850" w:hanging="850"/>
      </w:pPr>
      <w:r w:rsidRPr="14A2DFF8">
        <w:rPr>
          <w:rFonts w:ascii="Arial" w:hAnsi="Arial" w:eastAsia="Arial" w:cs="Arial"/>
          <w:i/>
          <w:iCs/>
          <w:sz w:val="18"/>
          <w:szCs w:val="18"/>
        </w:rPr>
        <w:t xml:space="preserve"> </w:t>
      </w:r>
    </w:p>
    <w:p w:rsidR="00715BAB" w:rsidP="00715BAB" w:rsidRDefault="00715BAB" w14:paraId="506DD93D" w14:textId="77777777">
      <w:pPr>
        <w:tabs>
          <w:tab w:val="left" w:pos="851"/>
        </w:tabs>
        <w:spacing w:after="0"/>
        <w:rPr>
          <w:rFonts w:ascii="Arial" w:hAnsi="Arial" w:eastAsia="Arial" w:cs="Arial"/>
          <w:i/>
          <w:iCs/>
          <w:sz w:val="18"/>
          <w:szCs w:val="18"/>
        </w:rPr>
      </w:pPr>
    </w:p>
    <w:p w:rsidR="00715BAB" w:rsidP="00715BAB" w:rsidRDefault="00715BAB" w14:paraId="2133D147" w14:textId="77777777">
      <w:pPr>
        <w:tabs>
          <w:tab w:val="left" w:pos="851"/>
        </w:tabs>
        <w:spacing w:after="0"/>
        <w:rPr>
          <w:rFonts w:ascii="Arial" w:hAnsi="Arial" w:eastAsia="Arial" w:cs="Arial"/>
          <w:i/>
          <w:iCs/>
          <w:sz w:val="18"/>
          <w:szCs w:val="18"/>
        </w:rPr>
      </w:pPr>
    </w:p>
    <w:p w:rsidR="00715BAB" w:rsidP="00715BAB" w:rsidRDefault="00715BAB" w14:paraId="5BF05BA5" w14:textId="77777777">
      <w:pPr>
        <w:tabs>
          <w:tab w:val="left" w:pos="851"/>
        </w:tabs>
        <w:spacing w:after="0"/>
        <w:rPr>
          <w:rFonts w:ascii="Arial" w:hAnsi="Arial" w:eastAsia="Arial" w:cs="Arial"/>
          <w:i/>
          <w:iCs/>
          <w:sz w:val="18"/>
          <w:szCs w:val="18"/>
        </w:rPr>
      </w:pPr>
    </w:p>
    <w:p w:rsidR="00715BAB" w:rsidP="00715BAB" w:rsidRDefault="00715BAB" w14:paraId="2EF8B464" w14:textId="77777777">
      <w:pPr>
        <w:tabs>
          <w:tab w:val="left" w:pos="851"/>
        </w:tabs>
        <w:spacing w:after="0"/>
        <w:rPr>
          <w:rFonts w:ascii="Arial" w:hAnsi="Arial" w:eastAsia="Arial" w:cs="Arial"/>
          <w:i/>
          <w:iCs/>
          <w:sz w:val="18"/>
          <w:szCs w:val="18"/>
        </w:rPr>
      </w:pPr>
    </w:p>
    <w:p w:rsidR="00715BAB" w:rsidP="00715BAB" w:rsidRDefault="00715BAB" w14:paraId="162D25F0" w14:textId="77777777">
      <w:pPr>
        <w:tabs>
          <w:tab w:val="left" w:pos="851"/>
        </w:tabs>
        <w:spacing w:after="0"/>
        <w:rPr>
          <w:rFonts w:ascii="Arial" w:hAnsi="Arial" w:eastAsia="Arial" w:cs="Arial"/>
          <w:i/>
          <w:iCs/>
          <w:sz w:val="18"/>
          <w:szCs w:val="18"/>
        </w:rPr>
      </w:pPr>
    </w:p>
    <w:p w:rsidR="00715BAB" w:rsidP="00715BAB" w:rsidRDefault="00715BAB" w14:paraId="5D153836" w14:textId="77777777">
      <w:pPr>
        <w:tabs>
          <w:tab w:val="left" w:pos="851"/>
        </w:tabs>
        <w:spacing w:after="0"/>
        <w:rPr>
          <w:rFonts w:ascii="Arial" w:hAnsi="Arial" w:eastAsia="Arial" w:cs="Arial"/>
          <w:i/>
          <w:iCs/>
          <w:sz w:val="18"/>
          <w:szCs w:val="18"/>
        </w:rPr>
      </w:pPr>
    </w:p>
    <w:p w:rsidR="00715BAB" w:rsidP="00715BAB" w:rsidRDefault="00715BAB" w14:paraId="121A4929" w14:textId="77777777">
      <w:pPr>
        <w:tabs>
          <w:tab w:val="left" w:pos="851"/>
        </w:tabs>
        <w:spacing w:after="0"/>
        <w:rPr>
          <w:rFonts w:ascii="Arial" w:hAnsi="Arial" w:eastAsia="Arial" w:cs="Arial"/>
          <w:i/>
          <w:iCs/>
          <w:sz w:val="18"/>
          <w:szCs w:val="18"/>
        </w:rPr>
      </w:pPr>
    </w:p>
    <w:p w:rsidR="00715BAB" w:rsidP="00715BAB" w:rsidRDefault="00715BAB" w14:paraId="15755FB2" w14:textId="77777777">
      <w:pPr>
        <w:tabs>
          <w:tab w:val="left" w:pos="851"/>
        </w:tabs>
        <w:spacing w:after="0"/>
        <w:rPr>
          <w:rFonts w:ascii="Arial" w:hAnsi="Arial" w:eastAsia="Arial" w:cs="Arial"/>
          <w:i/>
          <w:iCs/>
          <w:sz w:val="18"/>
          <w:szCs w:val="18"/>
        </w:rPr>
      </w:pPr>
    </w:p>
    <w:p w:rsidR="00715BAB" w:rsidP="00715BAB" w:rsidRDefault="00715BAB" w14:paraId="52E4F32C"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715BAB" w:rsidP="00715BAB" w:rsidRDefault="00715BAB" w14:paraId="3451D213" w14:textId="77777777">
      <w:pPr>
        <w:tabs>
          <w:tab w:val="left" w:pos="851"/>
        </w:tabs>
        <w:spacing w:after="0"/>
      </w:pPr>
      <w:r w:rsidRPr="14A2DFF8">
        <w:rPr>
          <w:rFonts w:ascii="Arial" w:hAnsi="Arial" w:eastAsia="Arial" w:cs="Arial"/>
          <w:i/>
          <w:iCs/>
          <w:sz w:val="18"/>
          <w:szCs w:val="18"/>
        </w:rPr>
        <w:t>(Cocher la case correspondante.)</w:t>
      </w:r>
    </w:p>
    <w:p w:rsidR="00715BAB" w:rsidP="00715BAB" w:rsidRDefault="00715BAB" w14:paraId="41F4FCBE" w14:textId="77777777">
      <w:pPr>
        <w:tabs>
          <w:tab w:val="left" w:pos="851"/>
        </w:tabs>
        <w:spacing w:after="0"/>
      </w:pPr>
      <w:r w:rsidRPr="14A2DFF8">
        <w:rPr>
          <w:rFonts w:ascii="Arial" w:hAnsi="Arial" w:eastAsia="Arial" w:cs="Arial"/>
          <w:sz w:val="20"/>
          <w:szCs w:val="20"/>
        </w:rPr>
        <w:t xml:space="preserve"> </w:t>
      </w:r>
    </w:p>
    <w:p w:rsidR="00715BAB" w:rsidP="00715BAB" w:rsidRDefault="00715BAB" w14:paraId="6E90D6B1"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715BAB" w:rsidP="00715BAB" w:rsidRDefault="00715BAB" w14:paraId="4589440E"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715BAB" w:rsidP="00715BAB" w:rsidRDefault="00715BAB" w14:paraId="3E049B63"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715BAB" w:rsidP="00715BAB" w:rsidRDefault="00715BAB" w14:paraId="51C9F7AF"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715BAB" w:rsidP="00715BAB" w:rsidRDefault="00715BAB" w14:paraId="4C2FE2CB"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715BAB" w:rsidP="00715BAB" w:rsidRDefault="00715BAB" w14:paraId="641C6700" w14:textId="77777777">
      <w:pPr>
        <w:tabs>
          <w:tab w:val="left" w:pos="851"/>
        </w:tabs>
        <w:spacing w:after="0"/>
        <w:rPr>
          <w:rFonts w:asciiTheme="majorHAnsi" w:hAnsiTheme="majorHAnsi" w:eastAsiaTheme="majorEastAsia" w:cstheme="majorBidi"/>
        </w:rPr>
      </w:pPr>
    </w:p>
    <w:p w:rsidR="00715BAB" w:rsidP="00715BAB" w:rsidRDefault="00715BAB" w14:paraId="30A8625D"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715BAB" w:rsidP="00715BAB" w:rsidRDefault="00715BAB" w14:paraId="46D24AD3" w14:textId="77777777"/>
    <w:p w:rsidR="00715BAB" w:rsidP="00715BAB" w:rsidRDefault="00715BAB" w14:paraId="0C8D4D9B" w14:textId="77777777"/>
    <w:tbl>
      <w:tblPr>
        <w:tblW w:w="0" w:type="auto"/>
        <w:tblLayout w:type="fixed"/>
        <w:tblLook w:val="06A0" w:firstRow="1" w:lastRow="0" w:firstColumn="1" w:lastColumn="0" w:noHBand="1" w:noVBand="1"/>
      </w:tblPr>
      <w:tblGrid>
        <w:gridCol w:w="4027"/>
        <w:gridCol w:w="2338"/>
        <w:gridCol w:w="2650"/>
      </w:tblGrid>
      <w:tr w:rsidR="00715BAB" w:rsidTr="007F1C59" w14:paraId="259C4FBF"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715BAB" w:rsidP="007F1C59" w:rsidRDefault="00715BAB" w14:paraId="23E6FBB1" w14:textId="77777777">
            <w:pPr>
              <w:tabs>
                <w:tab w:val="left" w:pos="851"/>
              </w:tabs>
              <w:spacing w:after="0"/>
              <w:jc w:val="center"/>
            </w:pPr>
            <w:r w:rsidRPr="14A2DFF8">
              <w:rPr>
                <w:rFonts w:ascii="Arial" w:hAnsi="Arial" w:eastAsia="Arial" w:cs="Arial"/>
                <w:b/>
                <w:bCs/>
                <w:sz w:val="20"/>
                <w:szCs w:val="20"/>
              </w:rPr>
              <w:t>Nom, prénom et qualité</w:t>
            </w:r>
          </w:p>
          <w:p w:rsidR="00715BAB" w:rsidP="007F1C59" w:rsidRDefault="00715BAB" w14:paraId="6F527A9B"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715BAB" w:rsidP="007F1C59" w:rsidRDefault="00715BAB" w14:paraId="4A368D2F"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715BAB" w:rsidP="007F1C59" w:rsidRDefault="00715BAB" w14:paraId="29D32E19" w14:textId="77777777">
            <w:pPr>
              <w:tabs>
                <w:tab w:val="left" w:pos="851"/>
              </w:tabs>
              <w:spacing w:after="0"/>
              <w:jc w:val="center"/>
            </w:pPr>
            <w:r w:rsidRPr="14A2DFF8">
              <w:rPr>
                <w:rFonts w:ascii="Arial" w:hAnsi="Arial" w:eastAsia="Arial" w:cs="Arial"/>
                <w:b/>
                <w:bCs/>
                <w:sz w:val="20"/>
                <w:szCs w:val="20"/>
              </w:rPr>
              <w:t>Signature</w:t>
            </w:r>
          </w:p>
        </w:tc>
      </w:tr>
      <w:tr w:rsidR="00715BAB" w:rsidTr="007F1C59" w14:paraId="751AF280"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715BAB" w:rsidP="007F1C59" w:rsidRDefault="00715BAB" w14:paraId="78AC23FB"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715BAB" w:rsidP="007F1C59" w:rsidRDefault="00715BAB" w14:paraId="7EED4CF7"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715BAB" w:rsidP="007F1C59" w:rsidRDefault="00715BAB" w14:paraId="70AE9870" w14:textId="77777777">
            <w:pPr>
              <w:tabs>
                <w:tab w:val="left" w:pos="851"/>
              </w:tabs>
              <w:spacing w:after="0"/>
              <w:jc w:val="both"/>
            </w:pPr>
            <w:r w:rsidRPr="14A2DFF8">
              <w:rPr>
                <w:rFonts w:ascii="Arial" w:hAnsi="Arial" w:eastAsia="Arial" w:cs="Arial"/>
                <w:b/>
                <w:bCs/>
                <w:sz w:val="20"/>
                <w:szCs w:val="20"/>
              </w:rPr>
              <w:t xml:space="preserve"> </w:t>
            </w:r>
          </w:p>
        </w:tc>
      </w:tr>
      <w:tr w:rsidR="00715BAB" w:rsidTr="007F1C59" w14:paraId="002CF817"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715BAB" w:rsidP="007F1C59" w:rsidRDefault="00715BAB" w14:paraId="25D61568"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715BAB" w:rsidP="007F1C59" w:rsidRDefault="00715BAB" w14:paraId="210008D4"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715BAB" w:rsidP="007F1C59" w:rsidRDefault="00715BAB" w14:paraId="195F82E3" w14:textId="77777777">
            <w:pPr>
              <w:tabs>
                <w:tab w:val="left" w:pos="851"/>
              </w:tabs>
              <w:spacing w:after="0"/>
              <w:jc w:val="both"/>
            </w:pPr>
            <w:r w:rsidRPr="14A2DFF8">
              <w:rPr>
                <w:rFonts w:ascii="Arial" w:hAnsi="Arial" w:eastAsia="Arial" w:cs="Arial"/>
                <w:b/>
                <w:bCs/>
                <w:sz w:val="20"/>
                <w:szCs w:val="20"/>
              </w:rPr>
              <w:t xml:space="preserve"> </w:t>
            </w:r>
          </w:p>
        </w:tc>
      </w:tr>
      <w:tr w:rsidR="00715BAB" w:rsidTr="007F1C59" w14:paraId="4AAAAEE1"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715BAB" w:rsidP="007F1C59" w:rsidRDefault="00715BAB" w14:paraId="5836319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715BAB" w:rsidP="007F1C59" w:rsidRDefault="00715BAB" w14:paraId="321A5B22"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715BAB" w:rsidP="007F1C59" w:rsidRDefault="00715BAB" w14:paraId="3826FC52" w14:textId="77777777">
            <w:pPr>
              <w:tabs>
                <w:tab w:val="left" w:pos="851"/>
              </w:tabs>
              <w:spacing w:after="0"/>
              <w:jc w:val="both"/>
            </w:pPr>
            <w:r w:rsidRPr="14A2DFF8">
              <w:rPr>
                <w:rFonts w:ascii="Arial" w:hAnsi="Arial" w:eastAsia="Arial" w:cs="Arial"/>
                <w:b/>
                <w:bCs/>
                <w:sz w:val="20"/>
                <w:szCs w:val="20"/>
              </w:rPr>
              <w:t xml:space="preserve"> </w:t>
            </w:r>
          </w:p>
        </w:tc>
      </w:tr>
      <w:tr w:rsidR="00715BAB" w:rsidTr="007F1C59" w14:paraId="5CAF0E73"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715BAB" w:rsidP="007F1C59" w:rsidRDefault="00715BAB" w14:paraId="1103C675"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715BAB" w:rsidP="007F1C59" w:rsidRDefault="00715BAB" w14:paraId="58E12C60"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715BAB" w:rsidP="007F1C59" w:rsidRDefault="00715BAB" w14:paraId="51704FB7" w14:textId="77777777">
            <w:pPr>
              <w:tabs>
                <w:tab w:val="left" w:pos="851"/>
              </w:tabs>
              <w:spacing w:after="0"/>
              <w:jc w:val="both"/>
            </w:pPr>
            <w:r w:rsidRPr="14A2DFF8">
              <w:rPr>
                <w:rFonts w:ascii="Arial" w:hAnsi="Arial" w:eastAsia="Arial" w:cs="Arial"/>
                <w:b/>
                <w:bCs/>
                <w:sz w:val="20"/>
                <w:szCs w:val="20"/>
              </w:rPr>
              <w:t xml:space="preserve"> </w:t>
            </w:r>
          </w:p>
        </w:tc>
      </w:tr>
      <w:tr w:rsidR="00715BAB" w:rsidTr="007F1C59" w14:paraId="01EB16B4"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715BAB" w:rsidP="007F1C59" w:rsidRDefault="00715BAB" w14:paraId="42CA2BF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715BAB" w:rsidP="007F1C59" w:rsidRDefault="00715BAB" w14:paraId="61067D6C"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715BAB" w:rsidP="007F1C59" w:rsidRDefault="00715BAB" w14:paraId="51068362" w14:textId="77777777">
            <w:pPr>
              <w:tabs>
                <w:tab w:val="left" w:pos="851"/>
              </w:tabs>
              <w:spacing w:after="0"/>
              <w:jc w:val="both"/>
            </w:pPr>
            <w:r w:rsidRPr="14A2DFF8">
              <w:rPr>
                <w:rFonts w:ascii="Arial" w:hAnsi="Arial" w:eastAsia="Arial" w:cs="Arial"/>
                <w:b/>
                <w:bCs/>
                <w:sz w:val="20"/>
                <w:szCs w:val="20"/>
              </w:rPr>
              <w:t xml:space="preserve"> </w:t>
            </w:r>
          </w:p>
        </w:tc>
      </w:tr>
    </w:tbl>
    <w:p w:rsidR="00715BAB" w:rsidP="00715BAB" w:rsidRDefault="00715BAB" w14:paraId="32D2B189"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715BAB" w:rsidP="00715BAB" w:rsidRDefault="00715BAB" w14:paraId="57F1ACD0" w14:textId="77777777">
      <w:pPr>
        <w:spacing w:after="0"/>
        <w:jc w:val="both"/>
        <w:rPr>
          <w:rFonts w:ascii="Arial" w:hAnsi="Arial" w:eastAsia="Arial" w:cs="Arial"/>
        </w:rPr>
      </w:pPr>
    </w:p>
    <w:p w:rsidR="00715BAB" w:rsidP="00715BAB" w:rsidRDefault="00715BAB" w14:paraId="37A92BF4"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715BAB" w:rsidP="00715BAB" w:rsidRDefault="00715BAB" w14:paraId="70080E0C" w14:textId="77777777">
      <w:pPr>
        <w:tabs>
          <w:tab w:val="left" w:pos="851"/>
        </w:tabs>
        <w:spacing w:after="0"/>
        <w:rPr>
          <w:rFonts w:ascii="Arial" w:hAnsi="Arial" w:eastAsia="Arial" w:cs="Arial"/>
        </w:rPr>
      </w:pPr>
    </w:p>
    <w:p w:rsidRPr="00892B24" w:rsidR="00715BAB" w:rsidP="00715BAB" w:rsidRDefault="00715BAB" w14:paraId="000FDD79"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715BAB" w:rsidP="00715BAB" w:rsidRDefault="00715BAB" w14:paraId="7BB008DA" w14:textId="77777777">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715BAB" w:rsidP="00715BAB" w:rsidRDefault="00715BAB" w14:paraId="2B507F3F"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715BAB" w:rsidP="00715BAB" w:rsidRDefault="00715BAB" w14:paraId="4A2E524D"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715BAB" w:rsidP="00715BAB" w:rsidRDefault="00715BAB" w14:paraId="6E183993"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3265A1EE"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00020619"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68B0B05E"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5D6AE455"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68C684F1" w14:textId="77777777">
      <w:pPr>
        <w:tabs>
          <w:tab w:val="left" w:pos="851"/>
        </w:tabs>
        <w:spacing w:after="0"/>
        <w:jc w:val="both"/>
      </w:pPr>
      <w:r w:rsidRPr="14A2DFF8">
        <w:rPr>
          <w:rFonts w:ascii="Univers" w:hAnsi="Univers" w:eastAsia="Univers" w:cs="Univers"/>
          <w:sz w:val="20"/>
          <w:szCs w:val="20"/>
        </w:rPr>
        <w:t xml:space="preserve"> </w:t>
      </w:r>
    </w:p>
    <w:p w:rsidR="00715BAB" w:rsidP="00715BAB" w:rsidRDefault="00715BAB" w14:paraId="22E6F941" w14:textId="77777777">
      <w:pPr>
        <w:tabs>
          <w:tab w:val="left" w:pos="851"/>
        </w:tabs>
        <w:spacing w:after="0"/>
        <w:jc w:val="both"/>
      </w:pPr>
      <w:r w:rsidRPr="2F1D1AB4">
        <w:rPr>
          <w:rFonts w:ascii="Univers" w:hAnsi="Univers" w:eastAsia="Univers" w:cs="Univers"/>
          <w:sz w:val="20"/>
          <w:szCs w:val="20"/>
        </w:rPr>
        <w:t xml:space="preserve"> </w:t>
      </w:r>
    </w:p>
    <w:p w:rsidRPr="00152729" w:rsidR="00715BAB" w:rsidP="00715BAB" w:rsidRDefault="00715BAB" w14:paraId="11F4F514" w14:textId="77777777"/>
    <w:p w:rsidR="00A9544B" w:rsidRDefault="00A9544B" w14:paraId="783F7A40" w14:textId="77777777"/>
    <w:sectPr w:rsidR="00A9544B" w:rsidSect="00715BAB">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63f343c2"/>
    <w:multiLevelType xmlns:w="http://schemas.openxmlformats.org/wordprocessingml/2006/main" w:val="hybridMultilevel"/>
    <w:lvl xmlns:w="http://schemas.openxmlformats.org/wordprocessingml/2006/main" w:ilvl="0">
      <w:start w:val="1"/>
      <w:numFmt w:val="bullet"/>
      <w:lvlText w:val=""/>
      <w:lvlJc w:val="left"/>
      <w:pPr>
        <w:ind w:left="216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3A7E32"/>
    <w:multiLevelType w:val="hybridMultilevel"/>
    <w:tmpl w:val="FF981302"/>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194CB566"/>
    <w:multiLevelType w:val="hybridMultilevel"/>
    <w:tmpl w:val="4B0C71A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 w15:restartNumberingAfterBreak="0">
    <w:nsid w:val="1EB49FDD"/>
    <w:multiLevelType w:val="hybridMultilevel"/>
    <w:tmpl w:val="EA3483CE"/>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28FEE70D"/>
    <w:multiLevelType w:val="hybridMultilevel"/>
    <w:tmpl w:val="6BBEB1D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2982E62F"/>
    <w:multiLevelType w:val="hybridMultilevel"/>
    <w:tmpl w:val="7F1AB05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2C72A3E4"/>
    <w:multiLevelType w:val="hybridMultilevel"/>
    <w:tmpl w:val="E90885D0"/>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6"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BB3CAA"/>
    <w:multiLevelType w:val="hybridMultilevel"/>
    <w:tmpl w:val="F542A096"/>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4C00166F"/>
    <w:multiLevelType w:val="hybridMultilevel"/>
    <w:tmpl w:val="5CA6D1BA"/>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60CB8B51"/>
    <w:multiLevelType w:val="hybridMultilevel"/>
    <w:tmpl w:val="14A8BEE4"/>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0" w15:restartNumberingAfterBreak="0">
    <w:nsid w:val="62104777"/>
    <w:multiLevelType w:val="hybridMultilevel"/>
    <w:tmpl w:val="D01A0794"/>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6CFA0F16"/>
    <w:multiLevelType w:val="hybridMultilevel"/>
    <w:tmpl w:val="5A782F48"/>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719D42D2"/>
    <w:multiLevelType w:val="hybridMultilevel"/>
    <w:tmpl w:val="D7E4EAC8"/>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730AD4CE"/>
    <w:multiLevelType w:val="hybridMultilevel"/>
    <w:tmpl w:val="6EDC732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17">
    <w:abstractNumId w:val="16"/>
  </w:num>
  <w:num w:numId="1" w16cid:durableId="256134000">
    <w:abstractNumId w:val="9"/>
  </w:num>
  <w:num w:numId="2" w16cid:durableId="1505899535">
    <w:abstractNumId w:val="5"/>
  </w:num>
  <w:num w:numId="3" w16cid:durableId="2135101081">
    <w:abstractNumId w:val="2"/>
  </w:num>
  <w:num w:numId="4" w16cid:durableId="2027514665">
    <w:abstractNumId w:val="14"/>
  </w:num>
  <w:num w:numId="5" w16cid:durableId="1246571563">
    <w:abstractNumId w:val="11"/>
  </w:num>
  <w:num w:numId="6" w16cid:durableId="2124108908">
    <w:abstractNumId w:val="8"/>
  </w:num>
  <w:num w:numId="7" w16cid:durableId="1189832117">
    <w:abstractNumId w:val="0"/>
  </w:num>
  <w:num w:numId="8" w16cid:durableId="1952738312">
    <w:abstractNumId w:val="4"/>
  </w:num>
  <w:num w:numId="9" w16cid:durableId="1240867686">
    <w:abstractNumId w:val="3"/>
  </w:num>
  <w:num w:numId="10" w16cid:durableId="506753415">
    <w:abstractNumId w:val="15"/>
  </w:num>
  <w:num w:numId="11" w16cid:durableId="1389648202">
    <w:abstractNumId w:val="1"/>
  </w:num>
  <w:num w:numId="12" w16cid:durableId="1736003154">
    <w:abstractNumId w:val="13"/>
  </w:num>
  <w:num w:numId="13" w16cid:durableId="790243565">
    <w:abstractNumId w:val="6"/>
  </w:num>
  <w:num w:numId="14" w16cid:durableId="594362084">
    <w:abstractNumId w:val="12"/>
  </w:num>
  <w:num w:numId="15" w16cid:durableId="2139032282">
    <w:abstractNumId w:val="7"/>
  </w:num>
  <w:num w:numId="16" w16cid:durableId="191831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BAB"/>
    <w:rsid w:val="00680F81"/>
    <w:rsid w:val="00684C85"/>
    <w:rsid w:val="00715BAB"/>
    <w:rsid w:val="00A9544B"/>
    <w:rsid w:val="00FE684D"/>
    <w:rsid w:val="1084F664"/>
    <w:rsid w:val="1251F82D"/>
    <w:rsid w:val="3C860949"/>
    <w:rsid w:val="41941B39"/>
    <w:rsid w:val="44720B18"/>
    <w:rsid w:val="693DDC61"/>
    <w:rsid w:val="77122391"/>
    <w:rsid w:val="775714D3"/>
    <w:rsid w:val="7B8B1A56"/>
    <w:rsid w:val="7B96A930"/>
    <w:rsid w:val="7E878C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E432E"/>
  <w15:chartTrackingRefBased/>
  <w15:docId w15:val="{2F7C4D9F-9645-45E8-8B87-A455062F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15BAB"/>
    <w:rPr>
      <w:kern w:val="0"/>
      <w14:ligatures w14:val="none"/>
    </w:rPr>
  </w:style>
  <w:style w:type="paragraph" w:styleId="Titre1">
    <w:name w:val="heading 1"/>
    <w:basedOn w:val="Normal"/>
    <w:next w:val="Normal"/>
    <w:link w:val="Titre1Car"/>
    <w:uiPriority w:val="9"/>
    <w:qFormat/>
    <w:rsid w:val="00715BAB"/>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715BAB"/>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715BAB"/>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715BAB"/>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715BAB"/>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715BA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15BA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15BA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15BAB"/>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715BAB"/>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715BAB"/>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715BAB"/>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715BAB"/>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715BAB"/>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715BAB"/>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715BAB"/>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715BAB"/>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715BAB"/>
    <w:rPr>
      <w:rFonts w:eastAsiaTheme="majorEastAsia" w:cstheme="majorBidi"/>
      <w:color w:val="272727" w:themeColor="text1" w:themeTint="D8"/>
    </w:rPr>
  </w:style>
  <w:style w:type="paragraph" w:styleId="Titre">
    <w:name w:val="Title"/>
    <w:basedOn w:val="Normal"/>
    <w:next w:val="Normal"/>
    <w:link w:val="TitreCar"/>
    <w:uiPriority w:val="10"/>
    <w:qFormat/>
    <w:rsid w:val="00715BAB"/>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15BAB"/>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715BAB"/>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715BA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15BAB"/>
    <w:pPr>
      <w:spacing w:before="160"/>
      <w:jc w:val="center"/>
    </w:pPr>
    <w:rPr>
      <w:i/>
      <w:iCs/>
      <w:color w:val="404040" w:themeColor="text1" w:themeTint="BF"/>
    </w:rPr>
  </w:style>
  <w:style w:type="character" w:styleId="CitationCar" w:customStyle="1">
    <w:name w:val="Citation Car"/>
    <w:basedOn w:val="Policepardfaut"/>
    <w:link w:val="Citation"/>
    <w:uiPriority w:val="29"/>
    <w:rsid w:val="00715BAB"/>
    <w:rPr>
      <w:i/>
      <w:iCs/>
      <w:color w:val="404040" w:themeColor="text1" w:themeTint="BF"/>
    </w:rPr>
  </w:style>
  <w:style w:type="paragraph" w:styleId="Paragraphedeliste">
    <w:name w:val="List Paragraph"/>
    <w:basedOn w:val="Normal"/>
    <w:uiPriority w:val="34"/>
    <w:qFormat/>
    <w:rsid w:val="00715BAB"/>
    <w:pPr>
      <w:ind w:left="720"/>
      <w:contextualSpacing/>
    </w:pPr>
  </w:style>
  <w:style w:type="character" w:styleId="Accentuationintense">
    <w:name w:val="Intense Emphasis"/>
    <w:basedOn w:val="Policepardfaut"/>
    <w:uiPriority w:val="21"/>
    <w:qFormat/>
    <w:rsid w:val="00715BAB"/>
    <w:rPr>
      <w:i/>
      <w:iCs/>
      <w:color w:val="2E74B5" w:themeColor="accent1" w:themeShade="BF"/>
    </w:rPr>
  </w:style>
  <w:style w:type="paragraph" w:styleId="Citationintense">
    <w:name w:val="Intense Quote"/>
    <w:basedOn w:val="Normal"/>
    <w:next w:val="Normal"/>
    <w:link w:val="CitationintenseCar"/>
    <w:uiPriority w:val="30"/>
    <w:qFormat/>
    <w:rsid w:val="00715BAB"/>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715BAB"/>
    <w:rPr>
      <w:i/>
      <w:iCs/>
      <w:color w:val="2E74B5" w:themeColor="accent1" w:themeShade="BF"/>
    </w:rPr>
  </w:style>
  <w:style w:type="character" w:styleId="Rfrenceintense">
    <w:name w:val="Intense Reference"/>
    <w:basedOn w:val="Policepardfaut"/>
    <w:uiPriority w:val="32"/>
    <w:qFormat/>
    <w:rsid w:val="00715BAB"/>
    <w:rPr>
      <w:b/>
      <w:bCs/>
      <w:smallCaps/>
      <w:color w:val="2E74B5" w:themeColor="accent1" w:themeShade="BF"/>
      <w:spacing w:val="5"/>
    </w:rPr>
  </w:style>
  <w:style w:type="paragraph" w:styleId="Corpsdetexte31" w:customStyle="1">
    <w:name w:val="Corps de texte 31"/>
    <w:basedOn w:val="Normal"/>
    <w:uiPriority w:val="1"/>
    <w:rsid w:val="00715BAB"/>
    <w:rPr>
      <w:rFonts w:ascii="Arial" w:hAnsi="Arial" w:eastAsia="Times New Roman" w:cs="Arial"/>
      <w:i/>
      <w:iCs/>
      <w:sz w:val="16"/>
      <w:szCs w:val="16"/>
      <w:lang w:eastAsia="zh-CN"/>
    </w:rPr>
  </w:style>
  <w:style w:type="paragraph" w:styleId="fcase1ertab" w:customStyle="1">
    <w:name w:val="f_case_1ertab"/>
    <w:basedOn w:val="Normal"/>
    <w:uiPriority w:val="1"/>
    <w:rsid w:val="00715BAB"/>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715BAB"/>
    <w:rPr>
      <w:color w:val="0563C1" w:themeColor="hyperlink"/>
      <w:u w:val="single"/>
    </w:rPr>
  </w:style>
  <w:style w:type="character" w:styleId="En-tteCar" w:customStyle="1">
    <w:name w:val="En-tête Car"/>
    <w:basedOn w:val="Policepardfaut"/>
    <w:link w:val="En-tte"/>
    <w:uiPriority w:val="99"/>
    <w:rsid w:val="00715BAB"/>
  </w:style>
  <w:style w:type="paragraph" w:styleId="En-tte">
    <w:name w:val="header"/>
    <w:basedOn w:val="Normal"/>
    <w:link w:val="En-tteCar"/>
    <w:uiPriority w:val="99"/>
    <w:unhideWhenUsed/>
    <w:rsid w:val="00715BAB"/>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715BAB"/>
    <w:rPr>
      <w:kern w:val="0"/>
      <w14:ligatures w14:val="none"/>
    </w:rPr>
  </w:style>
  <w:style w:type="paragraph" w:styleId="Corpsdetexte">
    <w:name w:val="Body Text"/>
    <w:basedOn w:val="Normal"/>
    <w:link w:val="CorpsdetexteCar"/>
    <w:uiPriority w:val="1"/>
    <w:qFormat/>
    <w:rsid w:val="00715BAB"/>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715BAB"/>
    <w:rPr>
      <w:rFonts w:ascii="Carlito" w:hAnsi="Carlito" w:eastAsia="Carlito" w:cs="Carlito"/>
      <w:kern w:val="0"/>
      <w14:ligatures w14:val="none"/>
    </w:rPr>
  </w:style>
  <w:style w:type="character" w:styleId="normaltextrun" w:customStyle="true">
    <w:uiPriority w:val="1"/>
    <w:name w:val="normaltextrun"/>
    <w:basedOn w:val="Policepardfaut"/>
    <w:rsid w:val="1084F664"/>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Policepardfaut"/>
    <w:rsid w:val="1084F664"/>
    <w:rPr>
      <w:rFonts w:ascii="Calibri" w:hAnsi="Calibri" w:eastAsia="Calibri" w:cs="Arial" w:asciiTheme="minorAscii" w:hAnsiTheme="minorAscii" w:eastAsiaTheme="minorAscii" w:cstheme="minorBidi"/>
      <w:sz w:val="22"/>
      <w:szCs w:val="22"/>
    </w:rPr>
  </w:style>
  <w:style w:type="paragraph" w:styleId="paragraph" w:customStyle="true">
    <w:uiPriority w:val="1"/>
    <w:name w:val="paragraph"/>
    <w:basedOn w:val="Normal"/>
    <w:rsid w:val="1084F664"/>
    <w:rPr>
      <w:rFonts w:ascii="Times New Roman" w:hAnsi="Times New Roman" w:eastAsia="Times New Roman" w:cs="Times New Roman" w:asciiTheme="minorAscii" w:hAnsiTheme="minorAscii" w:eastAsiaTheme="minorAscii" w:cstheme="minorBidi"/>
      <w:sz w:val="24"/>
      <w:szCs w:val="24"/>
      <w:lang w:eastAsia="fr-FR"/>
    </w:rPr>
    <w:pPr>
      <w:spacing w:beforeAutospacing="on" w:afterAutospacing="on"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2.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customXml" Target="../customXml/item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theme" Target="theme/theme1.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fontTable" Target="fontTable.xml" Id="rId23"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2" /><Relationship Type="http://schemas.openxmlformats.org/officeDocument/2006/relationships/customXml" Target="../customXml/item3.xml" Id="rId27" /></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6B2CE4-9744-4C6E-8B03-38D170743739}"/>
</file>

<file path=customXml/itemProps2.xml><?xml version="1.0" encoding="utf-8"?>
<ds:datastoreItem xmlns:ds="http://schemas.openxmlformats.org/officeDocument/2006/customXml" ds:itemID="{A1015D9F-3196-4196-8F9F-5D565F85D8BA}"/>
</file>

<file path=customXml/itemProps3.xml><?xml version="1.0" encoding="utf-8"?>
<ds:datastoreItem xmlns:ds="http://schemas.openxmlformats.org/officeDocument/2006/customXml" ds:itemID="{049B9425-4B58-46C6-BB8C-0B7DA74CE0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Romane GAUTRIN</lastModifiedBy>
  <revision>6</revision>
  <dcterms:created xsi:type="dcterms:W3CDTF">2025-07-01T14:30:00.0000000Z</dcterms:created>
  <dcterms:modified xsi:type="dcterms:W3CDTF">2025-10-17T12:15:19.3209685Z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