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169BA" w14:textId="49D16647" w:rsidR="009916E6" w:rsidRDefault="009916E6">
      <w:pPr>
        <w:pStyle w:val="Standard"/>
      </w:pPr>
    </w:p>
    <w:p w14:paraId="4F29B973" w14:textId="31DB91FA" w:rsidR="009916E6" w:rsidRDefault="00232D4F" w:rsidP="00C96AA4">
      <w:pPr>
        <w:pStyle w:val="Standard"/>
        <w:rPr>
          <w:b/>
          <w:i/>
          <w:color w:val="000000"/>
          <w:sz w:val="24"/>
        </w:rPr>
      </w:pPr>
      <w:bookmarkStart w:id="0" w:name="AAPC"/>
      <w:r>
        <w:t xml:space="preserve"> </w:t>
      </w:r>
      <w:bookmarkStart w:id="1" w:name="FCS"/>
      <w:bookmarkEnd w:id="0"/>
      <w:bookmarkEnd w:id="1"/>
    </w:p>
    <w:p w14:paraId="0EBC5423" w14:textId="2B9FDC9F" w:rsidR="009916E6" w:rsidRDefault="00232D4F">
      <w:pPr>
        <w:pStyle w:val="Standard"/>
        <w:spacing w:after="240"/>
        <w:jc w:val="center"/>
        <w:rPr>
          <w:b/>
          <w:sz w:val="32"/>
        </w:rPr>
      </w:pPr>
      <w:r>
        <w:rPr>
          <w:b/>
          <w:sz w:val="32"/>
        </w:rPr>
        <w:t xml:space="preserve">AVIS </w:t>
      </w:r>
      <w:r w:rsidR="00E20522">
        <w:rPr>
          <w:b/>
          <w:sz w:val="32"/>
        </w:rPr>
        <w:t xml:space="preserve">D’APPEL PUBLIC </w:t>
      </w:r>
      <w:proofErr w:type="spellStart"/>
      <w:r w:rsidR="00E20522">
        <w:rPr>
          <w:b/>
          <w:sz w:val="32"/>
        </w:rPr>
        <w:t>A</w:t>
      </w:r>
      <w:proofErr w:type="spellEnd"/>
      <w:r w:rsidR="00E20522">
        <w:rPr>
          <w:b/>
          <w:sz w:val="32"/>
        </w:rPr>
        <w:t xml:space="preserve"> LA CONCURRENCE</w:t>
      </w:r>
    </w:p>
    <w:p w14:paraId="69F470A5" w14:textId="4082C8F0" w:rsidR="009916E6" w:rsidRDefault="00232D4F">
      <w:pPr>
        <w:pStyle w:val="Standard"/>
      </w:pPr>
      <w:r>
        <w:rPr>
          <w:b/>
          <w:sz w:val="22"/>
          <w:u w:val="single"/>
        </w:rPr>
        <w:t>NATURE DU MARCHE :</w:t>
      </w:r>
      <w:r>
        <w:t xml:space="preserve"> Marché public de </w:t>
      </w:r>
      <w:r w:rsidR="00D740A2">
        <w:t>prestations intellectuel</w:t>
      </w:r>
      <w:r w:rsidR="00C37F73">
        <w:t>le</w:t>
      </w:r>
      <w:r w:rsidR="00D740A2">
        <w:t xml:space="preserve">s </w:t>
      </w:r>
    </w:p>
    <w:p w14:paraId="6192510A" w14:textId="121BECF1" w:rsidR="009916E6" w:rsidRDefault="00232D4F">
      <w:pPr>
        <w:pStyle w:val="Standard"/>
        <w:spacing w:before="120"/>
        <w:jc w:val="left"/>
      </w:pPr>
      <w:r>
        <w:t xml:space="preserve">La procédure d'achat du présent avis </w:t>
      </w:r>
      <w:r w:rsidR="004A137F">
        <w:t>n’</w:t>
      </w:r>
      <w:r>
        <w:t>est</w:t>
      </w:r>
      <w:r w:rsidR="002C0D6D">
        <w:t xml:space="preserve"> </w:t>
      </w:r>
      <w:r w:rsidR="004A137F">
        <w:t xml:space="preserve">pas </w:t>
      </w:r>
      <w:proofErr w:type="gramStart"/>
      <w:r>
        <w:t>couverte</w:t>
      </w:r>
      <w:proofErr w:type="gramEnd"/>
      <w:r>
        <w:t xml:space="preserve"> par l’accord sur les marchés publics de l'OMC.</w:t>
      </w:r>
    </w:p>
    <w:p w14:paraId="453BEA70" w14:textId="77777777" w:rsidR="009916E6" w:rsidRDefault="00232D4F">
      <w:pPr>
        <w:pStyle w:val="Standard"/>
        <w:keepNext/>
        <w:spacing w:before="120"/>
        <w:jc w:val="left"/>
        <w:rPr>
          <w:b/>
          <w:sz w:val="22"/>
          <w:u w:val="single"/>
        </w:rPr>
      </w:pPr>
      <w:r>
        <w:rPr>
          <w:b/>
          <w:sz w:val="22"/>
          <w:u w:val="single"/>
        </w:rPr>
        <w:t>POUVOIR ADJUDICATEUR</w:t>
      </w:r>
    </w:p>
    <w:p w14:paraId="269DA38E" w14:textId="77777777" w:rsidR="009916E6" w:rsidRDefault="00232D4F">
      <w:pPr>
        <w:pStyle w:val="Standard"/>
        <w:spacing w:before="120"/>
        <w:jc w:val="left"/>
      </w:pPr>
      <w:r>
        <w:t>Le pouvoir adjudicateur n'agit pas pour le compte d'autres pouvoirs adjudicateurs.</w:t>
      </w:r>
    </w:p>
    <w:p w14:paraId="08984266" w14:textId="77777777" w:rsidR="009916E6" w:rsidRDefault="00232D4F">
      <w:pPr>
        <w:pStyle w:val="Standard"/>
        <w:keepNext/>
        <w:spacing w:before="120"/>
        <w:jc w:val="left"/>
        <w:rPr>
          <w:b/>
        </w:rPr>
      </w:pPr>
      <w:r>
        <w:rPr>
          <w:b/>
        </w:rPr>
        <w:t>Nom et adresse officiels de l'organisme acheteur :</w:t>
      </w:r>
    </w:p>
    <w:p w14:paraId="5438054A" w14:textId="61841C6B" w:rsidR="009916E6" w:rsidRPr="006B068C" w:rsidRDefault="00232D4F">
      <w:pPr>
        <w:pStyle w:val="Standard"/>
        <w:jc w:val="left"/>
      </w:pPr>
      <w:r w:rsidRPr="006B068C">
        <w:t xml:space="preserve">Nom de l'organisme : </w:t>
      </w:r>
      <w:bookmarkStart w:id="2" w:name="AA_7_a"/>
      <w:r w:rsidRPr="006B068C">
        <w:t xml:space="preserve">Voies Navigables de France </w:t>
      </w:r>
      <w:r w:rsidR="00E50AA8" w:rsidRPr="006B068C">
        <w:t>–</w:t>
      </w:r>
      <w:bookmarkEnd w:id="2"/>
      <w:r w:rsidR="004F5539" w:rsidRPr="006B068C">
        <w:t xml:space="preserve"> </w:t>
      </w:r>
      <w:r w:rsidR="005053EE" w:rsidRPr="006B068C">
        <w:t>Direction de l’Ingénierie et de la Maitrise d’Ouvrage</w:t>
      </w:r>
    </w:p>
    <w:p w14:paraId="042FD79B" w14:textId="77777777" w:rsidR="009916E6" w:rsidRPr="006B068C" w:rsidRDefault="00232D4F">
      <w:pPr>
        <w:pStyle w:val="Standard"/>
        <w:jc w:val="left"/>
      </w:pPr>
      <w:r w:rsidRPr="006B068C">
        <w:t xml:space="preserve">Point de contact : </w:t>
      </w:r>
      <w:bookmarkStart w:id="3" w:name="AA_7_b"/>
      <w:r w:rsidRPr="006B068C">
        <w:t>Cellule Commande Publique</w:t>
      </w:r>
      <w:bookmarkEnd w:id="3"/>
    </w:p>
    <w:p w14:paraId="3A6F021E" w14:textId="77777777" w:rsidR="009916E6" w:rsidRPr="006B068C" w:rsidRDefault="00232D4F">
      <w:pPr>
        <w:pStyle w:val="Standard"/>
        <w:jc w:val="left"/>
      </w:pPr>
      <w:r w:rsidRPr="006B068C">
        <w:t xml:space="preserve">Adresse : </w:t>
      </w:r>
      <w:bookmarkStart w:id="4" w:name="AA_7_c"/>
      <w:r w:rsidRPr="006B068C">
        <w:t>37 rue du Plat - BP725</w:t>
      </w:r>
      <w:bookmarkEnd w:id="4"/>
    </w:p>
    <w:p w14:paraId="4FB10433" w14:textId="77777777" w:rsidR="009916E6" w:rsidRPr="006B068C" w:rsidRDefault="00232D4F" w:rsidP="250D8577">
      <w:pPr>
        <w:pStyle w:val="Standard"/>
        <w:tabs>
          <w:tab w:val="left" w:pos="2410"/>
        </w:tabs>
        <w:jc w:val="left"/>
      </w:pPr>
      <w:r w:rsidRPr="006B068C">
        <w:t xml:space="preserve">Code postal : </w:t>
      </w:r>
      <w:bookmarkStart w:id="5" w:name="AA_7_d"/>
      <w:r w:rsidRPr="006B068C">
        <w:t>59034</w:t>
      </w:r>
      <w:bookmarkEnd w:id="5"/>
      <w:r w:rsidRPr="006B068C">
        <w:tab/>
        <w:t xml:space="preserve">Ville : </w:t>
      </w:r>
      <w:bookmarkStart w:id="6" w:name="AA_7_e"/>
      <w:r w:rsidRPr="006B068C">
        <w:t>LILLE</w:t>
      </w:r>
      <w:bookmarkEnd w:id="6"/>
    </w:p>
    <w:p w14:paraId="54FB076C" w14:textId="77777777" w:rsidR="009916E6" w:rsidRPr="006B068C" w:rsidRDefault="00232D4F" w:rsidP="250D8577">
      <w:pPr>
        <w:pStyle w:val="Standard"/>
        <w:tabs>
          <w:tab w:val="left" w:pos="2410"/>
        </w:tabs>
        <w:jc w:val="left"/>
      </w:pPr>
      <w:r w:rsidRPr="006B068C">
        <w:t xml:space="preserve">Pays </w:t>
      </w:r>
      <w:r w:rsidRPr="006B068C">
        <w:rPr>
          <w:i/>
          <w:iCs/>
        </w:rPr>
        <w:t>(autre que France)</w:t>
      </w:r>
      <w:r w:rsidRPr="006B068C">
        <w:t> :</w:t>
      </w:r>
      <w:bookmarkStart w:id="7" w:name="AA_7_k"/>
      <w:bookmarkEnd w:id="7"/>
    </w:p>
    <w:p w14:paraId="3D588D7B" w14:textId="3B581A8D" w:rsidR="009916E6" w:rsidRPr="006B068C" w:rsidRDefault="00232D4F">
      <w:pPr>
        <w:pStyle w:val="Standard"/>
        <w:tabs>
          <w:tab w:val="left" w:pos="2410"/>
        </w:tabs>
        <w:jc w:val="left"/>
      </w:pPr>
      <w:r w:rsidRPr="006B068C">
        <w:t xml:space="preserve">Téléphone : </w:t>
      </w:r>
      <w:bookmarkStart w:id="8" w:name="AA_7_f"/>
      <w:r w:rsidRPr="006B068C">
        <w:t>0320154970</w:t>
      </w:r>
      <w:bookmarkEnd w:id="8"/>
      <w:r w:rsidRPr="006B068C">
        <w:tab/>
      </w:r>
    </w:p>
    <w:p w14:paraId="093879F5" w14:textId="77777777" w:rsidR="009916E6" w:rsidRPr="006B068C" w:rsidRDefault="00232D4F">
      <w:pPr>
        <w:pStyle w:val="Standard"/>
        <w:jc w:val="left"/>
      </w:pPr>
      <w:r w:rsidRPr="006B068C">
        <w:t>Courriel :</w:t>
      </w:r>
      <w:bookmarkStart w:id="9" w:name="AA_7_h"/>
      <w:bookmarkEnd w:id="9"/>
      <w:r w:rsidR="00CE311E" w:rsidRPr="006B068C">
        <w:t xml:space="preserve"> cp.dt-npdc@vnf.fr</w:t>
      </w:r>
    </w:p>
    <w:p w14:paraId="56AB706A" w14:textId="77777777" w:rsidR="009916E6" w:rsidRPr="006B068C" w:rsidRDefault="00232D4F">
      <w:pPr>
        <w:pStyle w:val="Standard"/>
        <w:jc w:val="left"/>
      </w:pPr>
      <w:r w:rsidRPr="006B068C">
        <w:t>Adresse Internet (URL) :</w:t>
      </w:r>
      <w:bookmarkStart w:id="10" w:name="AA_7_i"/>
      <w:bookmarkEnd w:id="10"/>
      <w:r w:rsidR="00CE311E" w:rsidRPr="006B068C">
        <w:t xml:space="preserve"> www.vnf.fr</w:t>
      </w:r>
    </w:p>
    <w:p w14:paraId="0A046622" w14:textId="77777777" w:rsidR="009916E6" w:rsidRDefault="00232D4F">
      <w:pPr>
        <w:pStyle w:val="Standard"/>
        <w:jc w:val="left"/>
      </w:pPr>
      <w:r w:rsidRPr="006B068C">
        <w:t>Adresse du profil d'acheteur (URL) :</w:t>
      </w:r>
      <w:bookmarkStart w:id="11" w:name="AA_7_j"/>
      <w:bookmarkEnd w:id="11"/>
      <w:r w:rsidR="00CE311E" w:rsidRPr="006B068C">
        <w:t xml:space="preserve"> </w:t>
      </w:r>
      <w:hyperlink r:id="rId11" w:history="1">
        <w:r w:rsidR="00CE311E" w:rsidRPr="006B068C">
          <w:rPr>
            <w:color w:val="000000"/>
          </w:rPr>
          <w:t>Lien</w:t>
        </w:r>
      </w:hyperlink>
      <w:r w:rsidR="00CE311E" w:rsidRPr="006B068C">
        <w:rPr>
          <w:color w:val="000000"/>
        </w:rPr>
        <w:t xml:space="preserve"> PLACE</w:t>
      </w:r>
    </w:p>
    <w:p w14:paraId="65CECEBC" w14:textId="77777777" w:rsidR="009916E6" w:rsidRDefault="00232D4F">
      <w:pPr>
        <w:pStyle w:val="Standard"/>
        <w:keepNext/>
        <w:spacing w:before="120"/>
        <w:jc w:val="left"/>
        <w:rPr>
          <w:b/>
          <w:sz w:val="22"/>
          <w:u w:val="single"/>
        </w:rPr>
      </w:pPr>
      <w:r>
        <w:rPr>
          <w:b/>
          <w:sz w:val="22"/>
          <w:u w:val="single"/>
        </w:rPr>
        <w:t>OBJET DU MARCHE</w:t>
      </w:r>
    </w:p>
    <w:p w14:paraId="49DDFED4" w14:textId="77777777" w:rsidR="009916E6" w:rsidRDefault="00232D4F">
      <w:pPr>
        <w:pStyle w:val="Standard"/>
        <w:keepNext/>
        <w:spacing w:before="120"/>
        <w:jc w:val="left"/>
        <w:rPr>
          <w:b/>
        </w:rPr>
      </w:pPr>
      <w:r>
        <w:rPr>
          <w:b/>
        </w:rPr>
        <w:t>Objet du marché :</w:t>
      </w:r>
    </w:p>
    <w:p w14:paraId="76662498" w14:textId="30CAC6CC" w:rsidR="00B9322F" w:rsidRDefault="001C461F" w:rsidP="001C461F">
      <w:pPr>
        <w:pStyle w:val="Standard"/>
        <w:spacing w:before="120"/>
        <w:jc w:val="left"/>
      </w:pPr>
      <w:bookmarkStart w:id="12" w:name="A0_p8_a"/>
      <w:bookmarkStart w:id="13" w:name="_Hlk149558053"/>
      <w:bookmarkEnd w:id="12"/>
      <w:r w:rsidRPr="001C461F">
        <w:t>AMO</w:t>
      </w:r>
      <w:r w:rsidR="006B068C">
        <w:t xml:space="preserve"> </w:t>
      </w:r>
      <w:r w:rsidR="00B7754F">
        <w:t>C</w:t>
      </w:r>
      <w:r w:rsidR="006B068C" w:rsidRPr="006B068C">
        <w:t xml:space="preserve">ontrôle </w:t>
      </w:r>
      <w:r w:rsidR="00B7754F">
        <w:t>E</w:t>
      </w:r>
      <w:r w:rsidR="006B068C" w:rsidRPr="006B068C">
        <w:t>xtérieur</w:t>
      </w:r>
      <w:r w:rsidR="006B068C">
        <w:t xml:space="preserve"> </w:t>
      </w:r>
      <w:r w:rsidRPr="001C461F">
        <w:t>relati</w:t>
      </w:r>
      <w:r w:rsidR="00F15FFA">
        <w:t>f</w:t>
      </w:r>
      <w:r w:rsidRPr="001C461F">
        <w:t xml:space="preserve"> à l’opération de reconstruction du barrage de Villeneuve</w:t>
      </w:r>
      <w:r w:rsidR="00B7754F">
        <w:t>-</w:t>
      </w:r>
      <w:r w:rsidRPr="001C461F">
        <w:t>Saint-Germain (02</w:t>
      </w:r>
      <w:r w:rsidR="004F5539" w:rsidRPr="00E0157F">
        <w:t>)</w:t>
      </w:r>
    </w:p>
    <w:bookmarkEnd w:id="13"/>
    <w:p w14:paraId="7F02BEBA" w14:textId="0202CBF4" w:rsidR="009916E6" w:rsidRDefault="00232D4F" w:rsidP="7C08AF6F">
      <w:pPr>
        <w:pStyle w:val="Standard"/>
        <w:spacing w:before="120"/>
        <w:rPr>
          <w:b/>
          <w:bCs/>
        </w:rPr>
      </w:pPr>
      <w:r w:rsidRPr="49FA7EB7">
        <w:rPr>
          <w:b/>
          <w:bCs/>
        </w:rPr>
        <w:t>Type de marché :</w:t>
      </w:r>
      <w:r w:rsidR="5B2858BC" w:rsidRPr="49FA7EB7">
        <w:rPr>
          <w:b/>
          <w:bCs/>
        </w:rPr>
        <w:t>Prestations intellectuelles.</w:t>
      </w:r>
    </w:p>
    <w:p w14:paraId="275BEE2B" w14:textId="77777777" w:rsidR="009916E6" w:rsidRDefault="00232D4F">
      <w:pPr>
        <w:pStyle w:val="Standard"/>
        <w:keepNext/>
        <w:spacing w:before="120"/>
        <w:jc w:val="left"/>
        <w:rPr>
          <w:b/>
        </w:rPr>
      </w:pPr>
      <w:r>
        <w:rPr>
          <w:b/>
        </w:rPr>
        <w:t xml:space="preserve">Classification </w:t>
      </w:r>
      <w:proofErr w:type="spellStart"/>
      <w:r>
        <w:rPr>
          <w:b/>
        </w:rPr>
        <w:t>CPV</w:t>
      </w:r>
      <w:proofErr w:type="spellEnd"/>
    </w:p>
    <w:tbl>
      <w:tblPr>
        <w:tblW w:w="9495" w:type="dxa"/>
        <w:tblInd w:w="-70" w:type="dxa"/>
        <w:tblLayout w:type="fixed"/>
        <w:tblCellMar>
          <w:left w:w="10" w:type="dxa"/>
          <w:right w:w="10" w:type="dxa"/>
        </w:tblCellMar>
        <w:tblLook w:val="0000" w:firstRow="0" w:lastRow="0" w:firstColumn="0" w:lastColumn="0" w:noHBand="0" w:noVBand="0"/>
      </w:tblPr>
      <w:tblGrid>
        <w:gridCol w:w="9495"/>
      </w:tblGrid>
      <w:tr w:rsidR="009916E6" w14:paraId="212A56F6" w14:textId="77777777" w:rsidTr="49FA7EB7">
        <w:trPr>
          <w:tblHeader/>
        </w:trPr>
        <w:tc>
          <w:tcPr>
            <w:tcW w:w="9495" w:type="dxa"/>
            <w:tcMar>
              <w:top w:w="0" w:type="dxa"/>
              <w:left w:w="70" w:type="dxa"/>
              <w:bottom w:w="0" w:type="dxa"/>
              <w:right w:w="70" w:type="dxa"/>
            </w:tcMar>
          </w:tcPr>
          <w:p w14:paraId="0CCCA032" w14:textId="5C5F3887" w:rsidR="009916E6" w:rsidRDefault="00232D4F" w:rsidP="49FA7EB7">
            <w:pPr>
              <w:pStyle w:val="Standard"/>
              <w:snapToGrid w:val="0"/>
              <w:jc w:val="left"/>
            </w:pPr>
            <w:r>
              <w:t xml:space="preserve">Objet principal : </w:t>
            </w:r>
            <w:r w:rsidR="001C461F">
              <w:t>71310000-4</w:t>
            </w:r>
            <w:r w:rsidR="44B47B3A" w:rsidRPr="49FA7EB7">
              <w:rPr>
                <w:rFonts w:ascii="Segoe UI" w:eastAsia="Segoe UI" w:hAnsi="Segoe UI" w:cs="Segoe UI"/>
                <w:b/>
                <w:bCs/>
                <w:color w:val="333333"/>
                <w:sz w:val="18"/>
                <w:szCs w:val="18"/>
              </w:rPr>
              <w:t xml:space="preserve"> Services de conseil en matière d'ingénierie et de construction</w:t>
            </w:r>
            <w:r w:rsidR="44B47B3A" w:rsidRPr="49FA7EB7">
              <w:rPr>
                <w:rFonts w:ascii="Segoe UI" w:eastAsia="Segoe UI" w:hAnsi="Segoe UI" w:cs="Segoe UI"/>
                <w:color w:val="333333"/>
                <w:sz w:val="18"/>
                <w:szCs w:val="18"/>
              </w:rPr>
              <w:t>.</w:t>
            </w:r>
          </w:p>
        </w:tc>
      </w:tr>
    </w:tbl>
    <w:p w14:paraId="7056E911" w14:textId="2953838A" w:rsidR="009916E6" w:rsidRDefault="00232D4F">
      <w:pPr>
        <w:pStyle w:val="Standard"/>
        <w:spacing w:before="120"/>
        <w:jc w:val="left"/>
      </w:pPr>
      <w:r>
        <w:rPr>
          <w:b/>
        </w:rPr>
        <w:t>Lieu d'exécution :</w:t>
      </w:r>
      <w:r>
        <w:t xml:space="preserve"> </w:t>
      </w:r>
      <w:r w:rsidR="004F5539">
        <w:t>B</w:t>
      </w:r>
      <w:r w:rsidR="004F5539" w:rsidRPr="00E0157F">
        <w:t>arrage de Villeneuve Saint-Germain (02)</w:t>
      </w:r>
    </w:p>
    <w:p w14:paraId="513818E0" w14:textId="77777777" w:rsidR="009916E6" w:rsidRDefault="00232D4F">
      <w:pPr>
        <w:pStyle w:val="Standard"/>
        <w:spacing w:before="120"/>
        <w:jc w:val="left"/>
      </w:pPr>
      <w:r>
        <w:rPr>
          <w:b/>
        </w:rPr>
        <w:t>L'avis implique :</w:t>
      </w:r>
      <w:r>
        <w:t xml:space="preserve"> un marché public</w:t>
      </w:r>
    </w:p>
    <w:p w14:paraId="701F3232" w14:textId="77777777" w:rsidR="009916E6" w:rsidRDefault="00232D4F">
      <w:pPr>
        <w:pStyle w:val="Standard"/>
        <w:keepNext/>
        <w:spacing w:before="120" w:after="120"/>
        <w:jc w:val="left"/>
        <w:rPr>
          <w:b/>
          <w:sz w:val="22"/>
          <w:u w:val="single"/>
        </w:rPr>
      </w:pPr>
      <w:proofErr w:type="spellStart"/>
      <w:r>
        <w:rPr>
          <w:b/>
          <w:sz w:val="22"/>
          <w:u w:val="single"/>
        </w:rPr>
        <w:t>CARACTERISTIQUES</w:t>
      </w:r>
      <w:proofErr w:type="spellEnd"/>
      <w:r>
        <w:rPr>
          <w:b/>
          <w:sz w:val="22"/>
          <w:u w:val="single"/>
        </w:rPr>
        <w:t xml:space="preserve"> PRINCIPALES</w:t>
      </w:r>
    </w:p>
    <w:p w14:paraId="557C5522" w14:textId="77777777" w:rsidR="002B5430" w:rsidRPr="002B5430" w:rsidRDefault="002B5430" w:rsidP="002B5430">
      <w:pPr>
        <w:pStyle w:val="Style3"/>
        <w:rPr>
          <w:rFonts w:ascii="Times New Roman" w:hAnsi="Times New Roman" w:cs="Times New Roman"/>
        </w:rPr>
      </w:pPr>
      <w:bookmarkStart w:id="14" w:name="_Hlk204850843"/>
      <w:r w:rsidRPr="002B5430">
        <w:rPr>
          <w:rFonts w:ascii="Times New Roman" w:hAnsi="Times New Roman" w:cs="Times New Roman"/>
        </w:rPr>
        <w:t>Par la mise à disposition de ses compétences, de son expérience et de sa capacité à piloter l’avancement d’un projet complexe, l’AMO doit proposer et mettre en œuvre les conditions de réussite permettant au maître d’ouvrage de mener à bien son projet, notamment sur les aspects suivants :</w:t>
      </w:r>
    </w:p>
    <w:p w14:paraId="1DDAE6F9" w14:textId="77777777" w:rsidR="002B5430" w:rsidRPr="002B5430" w:rsidRDefault="002B5430" w:rsidP="002B5430">
      <w:pPr>
        <w:pStyle w:val="Paragraphedeliste"/>
        <w:numPr>
          <w:ilvl w:val="0"/>
          <w:numId w:val="18"/>
        </w:numPr>
        <w:suppressAutoHyphens/>
        <w:spacing w:before="120" w:after="60" w:line="257" w:lineRule="auto"/>
        <w:rPr>
          <w:rFonts w:ascii="Times New Roman" w:hAnsi="Times New Roman" w:cs="Times New Roman"/>
          <w:sz w:val="20"/>
        </w:rPr>
      </w:pPr>
      <w:r w:rsidRPr="002B5430">
        <w:rPr>
          <w:rFonts w:ascii="Times New Roman" w:hAnsi="Times New Roman" w:cs="Times New Roman"/>
          <w:sz w:val="20"/>
        </w:rPr>
        <w:t xml:space="preserve">Organisation &amp; pilotage : structuration des études, mise en place et suivi des outils de pilotage et de </w:t>
      </w:r>
      <w:proofErr w:type="spellStart"/>
      <w:r w:rsidRPr="002B5430">
        <w:rPr>
          <w:rFonts w:ascii="Times New Roman" w:hAnsi="Times New Roman" w:cs="Times New Roman"/>
          <w:sz w:val="20"/>
        </w:rPr>
        <w:t>reporting</w:t>
      </w:r>
      <w:proofErr w:type="spellEnd"/>
      <w:r w:rsidRPr="002B5430">
        <w:rPr>
          <w:rFonts w:ascii="Times New Roman" w:hAnsi="Times New Roman" w:cs="Times New Roman"/>
          <w:sz w:val="20"/>
        </w:rPr>
        <w:t>, cadencement du projet, respect du planning, gestion des risques, gestion de la qualité</w:t>
      </w:r>
    </w:p>
    <w:p w14:paraId="71DBAE54" w14:textId="77777777" w:rsidR="002B5430" w:rsidRPr="002B5430" w:rsidRDefault="002B5430" w:rsidP="002B5430">
      <w:pPr>
        <w:pStyle w:val="Paragraphedeliste"/>
        <w:numPr>
          <w:ilvl w:val="0"/>
          <w:numId w:val="18"/>
        </w:numPr>
        <w:suppressAutoHyphens/>
        <w:spacing w:before="120" w:after="60" w:line="257" w:lineRule="auto"/>
        <w:rPr>
          <w:rFonts w:ascii="Times New Roman" w:hAnsi="Times New Roman" w:cs="Times New Roman"/>
          <w:sz w:val="20"/>
        </w:rPr>
      </w:pPr>
      <w:r w:rsidRPr="002B5430">
        <w:rPr>
          <w:rFonts w:ascii="Times New Roman" w:hAnsi="Times New Roman" w:cs="Times New Roman"/>
          <w:sz w:val="20"/>
        </w:rPr>
        <w:t>Administratif &amp; contractuel : respect des procédures et des règlements, conseil et assistance juridique</w:t>
      </w:r>
    </w:p>
    <w:p w14:paraId="13BBBE7C" w14:textId="77777777" w:rsidR="002B5430" w:rsidRPr="002B5430" w:rsidRDefault="002B5430" w:rsidP="002B5430">
      <w:pPr>
        <w:pStyle w:val="Paragraphedeliste"/>
        <w:numPr>
          <w:ilvl w:val="0"/>
          <w:numId w:val="18"/>
        </w:numPr>
        <w:suppressAutoHyphens/>
        <w:spacing w:before="120" w:after="60" w:line="257" w:lineRule="auto"/>
        <w:rPr>
          <w:rFonts w:ascii="Times New Roman" w:hAnsi="Times New Roman" w:cs="Times New Roman"/>
          <w:sz w:val="20"/>
        </w:rPr>
      </w:pPr>
      <w:r w:rsidRPr="002B5430">
        <w:rPr>
          <w:rFonts w:ascii="Times New Roman" w:hAnsi="Times New Roman" w:cs="Times New Roman"/>
          <w:sz w:val="20"/>
        </w:rPr>
        <w:t xml:space="preserve">Technique : respect du programme, contrôle des productions, conseil et assistance technique, préparation de la mise en œuvre des travaux, procédures réglementaires applicables au projet </w:t>
      </w:r>
    </w:p>
    <w:p w14:paraId="2487592A" w14:textId="77777777" w:rsidR="002B5430" w:rsidRPr="002B5430" w:rsidRDefault="002B5430" w:rsidP="002B5430">
      <w:pPr>
        <w:pStyle w:val="Paragraphedeliste"/>
        <w:numPr>
          <w:ilvl w:val="0"/>
          <w:numId w:val="18"/>
        </w:numPr>
        <w:suppressAutoHyphens/>
        <w:spacing w:before="120" w:after="60" w:line="252" w:lineRule="auto"/>
        <w:rPr>
          <w:rFonts w:ascii="Times New Roman" w:hAnsi="Times New Roman" w:cs="Times New Roman"/>
          <w:sz w:val="20"/>
          <w:szCs w:val="20"/>
        </w:rPr>
      </w:pPr>
      <w:r w:rsidRPr="002B5430">
        <w:rPr>
          <w:rFonts w:ascii="Times New Roman" w:hAnsi="Times New Roman" w:cs="Times New Roman"/>
          <w:sz w:val="20"/>
          <w:szCs w:val="20"/>
        </w:rPr>
        <w:t>Financier : aide au suivi et à la maîtrise des coûts d’études, maîtrise du coût prévisionnel des travaux, évaluation et gestion des provisions pour aléas</w:t>
      </w:r>
    </w:p>
    <w:p w14:paraId="777469FC" w14:textId="77777777" w:rsidR="002B5430" w:rsidRPr="002B5430" w:rsidRDefault="002B5430" w:rsidP="002B5430">
      <w:pPr>
        <w:pStyle w:val="Paragraphedeliste"/>
        <w:numPr>
          <w:ilvl w:val="0"/>
          <w:numId w:val="18"/>
        </w:numPr>
        <w:suppressAutoHyphens/>
        <w:spacing w:before="120" w:after="60" w:line="257" w:lineRule="auto"/>
        <w:rPr>
          <w:rFonts w:ascii="Times New Roman" w:hAnsi="Times New Roman" w:cs="Times New Roman"/>
          <w:sz w:val="20"/>
        </w:rPr>
      </w:pPr>
      <w:r w:rsidRPr="002B5430">
        <w:rPr>
          <w:rFonts w:ascii="Times New Roman" w:hAnsi="Times New Roman" w:cs="Times New Roman"/>
          <w:sz w:val="20"/>
        </w:rPr>
        <w:t xml:space="preserve">Interfaces : gestion et maîtrise des interfaces du projet, prise en compte des attentes exprimées par les partenaires de VNF. </w:t>
      </w:r>
    </w:p>
    <w:bookmarkEnd w:id="14"/>
    <w:p w14:paraId="4812DE8F" w14:textId="77777777" w:rsidR="002B5430" w:rsidRPr="002B5430" w:rsidRDefault="002B5430" w:rsidP="002B5430">
      <w:pPr>
        <w:pStyle w:val="Style3"/>
        <w:rPr>
          <w:rFonts w:ascii="Times New Roman" w:hAnsi="Times New Roman" w:cs="Times New Roman"/>
        </w:rPr>
      </w:pPr>
    </w:p>
    <w:p w14:paraId="16F0F117" w14:textId="77777777" w:rsidR="002B5430" w:rsidRPr="002B5430" w:rsidRDefault="002B5430" w:rsidP="002B5430">
      <w:pPr>
        <w:pStyle w:val="Style3"/>
        <w:rPr>
          <w:rFonts w:ascii="Times New Roman" w:hAnsi="Times New Roman" w:cs="Times New Roman"/>
        </w:rPr>
      </w:pPr>
      <w:r w:rsidRPr="002B5430">
        <w:rPr>
          <w:rFonts w:ascii="Times New Roman" w:hAnsi="Times New Roman" w:cs="Times New Roman"/>
        </w:rPr>
        <w:t>Il est précisé qu’il ne s’agit pas d’une prestation de conduite d’opération, celle-ci étant pleinement assurée par VNF.</w:t>
      </w:r>
    </w:p>
    <w:p w14:paraId="627C805C" w14:textId="63C2EF37" w:rsidR="00EA06E2" w:rsidRDefault="00EA06E2" w:rsidP="00EE1A0E">
      <w:pPr>
        <w:pStyle w:val="Normal1"/>
        <w:tabs>
          <w:tab w:val="left" w:leader="underscore" w:pos="9240"/>
        </w:tabs>
      </w:pPr>
    </w:p>
    <w:p w14:paraId="48600D70" w14:textId="05B16222" w:rsidR="001E1AC9" w:rsidRDefault="001E1AC9">
      <w:pPr>
        <w:pStyle w:val="Standard"/>
        <w:tabs>
          <w:tab w:val="left" w:leader="underscore" w:pos="9248"/>
        </w:tabs>
      </w:pPr>
    </w:p>
    <w:p w14:paraId="5B528857" w14:textId="7D4AFD41" w:rsidR="009832A4" w:rsidRDefault="00232D4F">
      <w:pPr>
        <w:pStyle w:val="Standard"/>
        <w:tabs>
          <w:tab w:val="left" w:leader="underscore" w:pos="9248"/>
        </w:tabs>
      </w:pPr>
      <w:r>
        <w:t xml:space="preserve">Le marché </w:t>
      </w:r>
      <w:r w:rsidR="001972E8">
        <w:t>n’est pas alloti</w:t>
      </w:r>
      <w:r w:rsidR="00B3779E">
        <w:t>.</w:t>
      </w:r>
    </w:p>
    <w:p w14:paraId="40E28EEA" w14:textId="77777777" w:rsidR="009832A4" w:rsidRDefault="009832A4">
      <w:pPr>
        <w:rPr>
          <w:sz w:val="20"/>
        </w:rPr>
      </w:pPr>
      <w:r>
        <w:br w:type="page"/>
      </w:r>
    </w:p>
    <w:p w14:paraId="23AEA05E" w14:textId="77777777" w:rsidR="009916E6" w:rsidRDefault="009916E6">
      <w:pPr>
        <w:pStyle w:val="Standard"/>
        <w:tabs>
          <w:tab w:val="left" w:leader="underscore" w:pos="9248"/>
        </w:tabs>
      </w:pPr>
    </w:p>
    <w:p w14:paraId="7E7BD566" w14:textId="6FB6AB27" w:rsidR="000F108E" w:rsidRDefault="00547D01">
      <w:pPr>
        <w:pStyle w:val="Standard"/>
        <w:keepNext/>
        <w:spacing w:before="120"/>
        <w:jc w:val="left"/>
        <w:rPr>
          <w:b/>
        </w:rPr>
      </w:pPr>
      <w:proofErr w:type="spellStart"/>
      <w:r>
        <w:rPr>
          <w:b/>
        </w:rPr>
        <w:t>Eléments</w:t>
      </w:r>
      <w:proofErr w:type="spellEnd"/>
      <w:r>
        <w:rPr>
          <w:b/>
        </w:rPr>
        <w:t xml:space="preserve"> de mission</w:t>
      </w:r>
      <w:r w:rsidR="00232D4F">
        <w:rPr>
          <w:b/>
        </w:rPr>
        <w:t> :</w:t>
      </w:r>
    </w:p>
    <w:p w14:paraId="34D7EBB9" w14:textId="77777777" w:rsidR="006E08D5" w:rsidRDefault="006E08D5">
      <w:pPr>
        <w:pStyle w:val="Standard"/>
        <w:keepNext/>
        <w:spacing w:before="120"/>
        <w:jc w:val="left"/>
        <w:rPr>
          <w:b/>
        </w:rPr>
      </w:pPr>
    </w:p>
    <w:tbl>
      <w:tblPr>
        <w:tblStyle w:val="Grilledutableau"/>
        <w:tblW w:w="9464" w:type="dxa"/>
        <w:tblLook w:val="04A0" w:firstRow="1" w:lastRow="0" w:firstColumn="1" w:lastColumn="0" w:noHBand="0" w:noVBand="1"/>
      </w:tblPr>
      <w:tblGrid>
        <w:gridCol w:w="3577"/>
        <w:gridCol w:w="813"/>
        <w:gridCol w:w="5074"/>
      </w:tblGrid>
      <w:tr w:rsidR="00F15FFA" w:rsidRPr="00A278B7" w14:paraId="4A12E582" w14:textId="77777777" w:rsidTr="00FC7ACA">
        <w:tc>
          <w:tcPr>
            <w:tcW w:w="3577" w:type="dxa"/>
            <w:shd w:val="clear" w:color="auto" w:fill="D9D9D9" w:themeFill="background1" w:themeFillShade="D9"/>
            <w:vAlign w:val="center"/>
          </w:tcPr>
          <w:p w14:paraId="71A199BE" w14:textId="77777777" w:rsidR="00F15FFA" w:rsidRPr="00F15FFA" w:rsidRDefault="00F15FFA" w:rsidP="00D263A9">
            <w:pPr>
              <w:jc w:val="center"/>
              <w:rPr>
                <w:rFonts w:cs="Times New Roman"/>
                <w:b/>
                <w:sz w:val="20"/>
                <w:szCs w:val="20"/>
              </w:rPr>
            </w:pPr>
            <w:r w:rsidRPr="00F15FFA">
              <w:rPr>
                <w:rFonts w:cs="Times New Roman"/>
                <w:b/>
                <w:sz w:val="20"/>
                <w:szCs w:val="20"/>
              </w:rPr>
              <w:t>Missions principales</w:t>
            </w:r>
          </w:p>
        </w:tc>
        <w:tc>
          <w:tcPr>
            <w:tcW w:w="5887" w:type="dxa"/>
            <w:gridSpan w:val="2"/>
            <w:shd w:val="clear" w:color="auto" w:fill="D9D9D9" w:themeFill="background1" w:themeFillShade="D9"/>
            <w:vAlign w:val="center"/>
          </w:tcPr>
          <w:p w14:paraId="5F93F460" w14:textId="77777777" w:rsidR="00F15FFA" w:rsidRPr="00F15FFA" w:rsidRDefault="00F15FFA" w:rsidP="00D263A9">
            <w:pPr>
              <w:jc w:val="center"/>
              <w:rPr>
                <w:rFonts w:cs="Times New Roman"/>
                <w:b/>
                <w:sz w:val="20"/>
                <w:szCs w:val="20"/>
              </w:rPr>
            </w:pPr>
            <w:r w:rsidRPr="00F15FFA">
              <w:rPr>
                <w:rFonts w:cs="Times New Roman"/>
                <w:b/>
                <w:sz w:val="20"/>
                <w:szCs w:val="20"/>
              </w:rPr>
              <w:t>Sous-missions</w:t>
            </w:r>
          </w:p>
        </w:tc>
      </w:tr>
      <w:tr w:rsidR="00F15FFA" w:rsidRPr="009568DA" w14:paraId="74BD3CB7" w14:textId="77777777" w:rsidTr="00FC7ACA">
        <w:trPr>
          <w:trHeight w:val="460"/>
        </w:trPr>
        <w:tc>
          <w:tcPr>
            <w:tcW w:w="3577" w:type="dxa"/>
            <w:vMerge w:val="restart"/>
            <w:vAlign w:val="center"/>
          </w:tcPr>
          <w:p w14:paraId="51FB95E0" w14:textId="77777777" w:rsidR="00F15FFA" w:rsidRPr="00F15FFA" w:rsidRDefault="00F15FFA" w:rsidP="00D263A9">
            <w:pPr>
              <w:rPr>
                <w:rFonts w:cs="Times New Roman"/>
                <w:sz w:val="20"/>
                <w:szCs w:val="20"/>
                <w:highlight w:val="white"/>
              </w:rPr>
            </w:pPr>
            <w:r w:rsidRPr="00F15FFA">
              <w:rPr>
                <w:rFonts w:cs="Times New Roman"/>
                <w:color w:val="000000"/>
                <w:sz w:val="20"/>
                <w:szCs w:val="20"/>
              </w:rPr>
              <w:t>M1 : Appropriation de l’opération, mise en place des outils et démarche qualité et sécurité</w:t>
            </w:r>
          </w:p>
        </w:tc>
        <w:tc>
          <w:tcPr>
            <w:tcW w:w="813" w:type="dxa"/>
            <w:vAlign w:val="center"/>
          </w:tcPr>
          <w:p w14:paraId="3BB1908F" w14:textId="77777777" w:rsidR="00F15FFA" w:rsidRPr="00F15FFA" w:rsidRDefault="00F15FFA" w:rsidP="00D263A9">
            <w:pPr>
              <w:jc w:val="center"/>
              <w:rPr>
                <w:rFonts w:cs="Times New Roman"/>
                <w:sz w:val="20"/>
                <w:szCs w:val="20"/>
                <w:highlight w:val="white"/>
              </w:rPr>
            </w:pPr>
            <w:r w:rsidRPr="00F15FFA">
              <w:rPr>
                <w:rFonts w:cs="Times New Roman"/>
                <w:sz w:val="20"/>
                <w:szCs w:val="20"/>
                <w:highlight w:val="white"/>
              </w:rPr>
              <w:t>M1-1</w:t>
            </w:r>
          </w:p>
        </w:tc>
        <w:tc>
          <w:tcPr>
            <w:tcW w:w="5074" w:type="dxa"/>
            <w:vAlign w:val="center"/>
          </w:tcPr>
          <w:p w14:paraId="2603A427" w14:textId="77777777" w:rsidR="00F15FFA" w:rsidRPr="00F15FFA" w:rsidRDefault="00F15FFA" w:rsidP="00D263A9">
            <w:pPr>
              <w:rPr>
                <w:rFonts w:cs="Times New Roman"/>
                <w:sz w:val="20"/>
                <w:szCs w:val="20"/>
                <w:highlight w:val="white"/>
              </w:rPr>
            </w:pPr>
            <w:r w:rsidRPr="00F15FFA">
              <w:rPr>
                <w:rFonts w:eastAsia="Trebuchet MS" w:cs="Times New Roman"/>
                <w:color w:val="000000"/>
                <w:sz w:val="20"/>
                <w:szCs w:val="20"/>
              </w:rPr>
              <w:t>Appropriation de l’opération et avis critique</w:t>
            </w:r>
          </w:p>
        </w:tc>
      </w:tr>
      <w:tr w:rsidR="00F15FFA" w:rsidRPr="009568DA" w14:paraId="2DE9C65C" w14:textId="77777777" w:rsidTr="00FC7ACA">
        <w:trPr>
          <w:trHeight w:val="460"/>
        </w:trPr>
        <w:tc>
          <w:tcPr>
            <w:tcW w:w="3577" w:type="dxa"/>
            <w:vMerge/>
            <w:vAlign w:val="center"/>
          </w:tcPr>
          <w:p w14:paraId="1ACF1C70" w14:textId="77777777" w:rsidR="00F15FFA" w:rsidRPr="00F15FFA" w:rsidRDefault="00F15FFA" w:rsidP="00D263A9">
            <w:pPr>
              <w:rPr>
                <w:rFonts w:cs="Times New Roman"/>
                <w:color w:val="000000"/>
                <w:sz w:val="20"/>
                <w:szCs w:val="20"/>
              </w:rPr>
            </w:pPr>
          </w:p>
        </w:tc>
        <w:tc>
          <w:tcPr>
            <w:tcW w:w="813" w:type="dxa"/>
            <w:vAlign w:val="center"/>
          </w:tcPr>
          <w:p w14:paraId="1682B428" w14:textId="77777777" w:rsidR="00F15FFA" w:rsidRPr="00F15FFA" w:rsidRDefault="00F15FFA" w:rsidP="00D263A9">
            <w:pPr>
              <w:jc w:val="center"/>
              <w:rPr>
                <w:rFonts w:cs="Times New Roman"/>
                <w:sz w:val="20"/>
                <w:szCs w:val="20"/>
                <w:highlight w:val="white"/>
              </w:rPr>
            </w:pPr>
            <w:r w:rsidRPr="00F15FFA">
              <w:rPr>
                <w:rFonts w:cs="Times New Roman"/>
                <w:sz w:val="20"/>
                <w:szCs w:val="20"/>
                <w:highlight w:val="white"/>
              </w:rPr>
              <w:t>M1-2</w:t>
            </w:r>
          </w:p>
        </w:tc>
        <w:tc>
          <w:tcPr>
            <w:tcW w:w="5074" w:type="dxa"/>
            <w:vAlign w:val="center"/>
          </w:tcPr>
          <w:p w14:paraId="2F46103D" w14:textId="77777777" w:rsidR="00F15FFA" w:rsidRPr="00F15FFA" w:rsidRDefault="00F15FFA" w:rsidP="00D263A9">
            <w:pPr>
              <w:rPr>
                <w:rFonts w:eastAsia="Trebuchet MS" w:cs="Times New Roman"/>
                <w:color w:val="000000"/>
                <w:sz w:val="20"/>
                <w:szCs w:val="20"/>
              </w:rPr>
            </w:pPr>
            <w:r w:rsidRPr="00F15FFA">
              <w:rPr>
                <w:rFonts w:eastAsia="Trebuchet MS" w:cs="Times New Roman"/>
                <w:color w:val="000000"/>
                <w:sz w:val="20"/>
                <w:szCs w:val="20"/>
              </w:rPr>
              <w:t>Mise en application des démarches qualité du Plan de Management de Projet</w:t>
            </w:r>
          </w:p>
        </w:tc>
      </w:tr>
      <w:tr w:rsidR="00F15FFA" w:rsidRPr="009568DA" w14:paraId="4A048CEE" w14:textId="77777777" w:rsidTr="00FC7ACA">
        <w:trPr>
          <w:trHeight w:val="460"/>
        </w:trPr>
        <w:tc>
          <w:tcPr>
            <w:tcW w:w="3577" w:type="dxa"/>
            <w:vMerge/>
            <w:vAlign w:val="center"/>
          </w:tcPr>
          <w:p w14:paraId="7C6B74DC" w14:textId="77777777" w:rsidR="00F15FFA" w:rsidRPr="00F15FFA" w:rsidRDefault="00F15FFA" w:rsidP="00D263A9">
            <w:pPr>
              <w:rPr>
                <w:rFonts w:cs="Times New Roman"/>
                <w:sz w:val="20"/>
                <w:szCs w:val="20"/>
                <w:highlight w:val="white"/>
              </w:rPr>
            </w:pPr>
          </w:p>
        </w:tc>
        <w:tc>
          <w:tcPr>
            <w:tcW w:w="813" w:type="dxa"/>
            <w:vAlign w:val="center"/>
          </w:tcPr>
          <w:p w14:paraId="416F1A07" w14:textId="77777777" w:rsidR="00F15FFA" w:rsidRPr="00F15FFA" w:rsidRDefault="00F15FFA" w:rsidP="00D263A9">
            <w:pPr>
              <w:jc w:val="center"/>
              <w:rPr>
                <w:rFonts w:cs="Times New Roman"/>
                <w:sz w:val="20"/>
                <w:szCs w:val="20"/>
                <w:highlight w:val="white"/>
              </w:rPr>
            </w:pPr>
            <w:r w:rsidRPr="00F15FFA">
              <w:rPr>
                <w:rFonts w:cs="Times New Roman"/>
                <w:sz w:val="20"/>
                <w:szCs w:val="20"/>
                <w:highlight w:val="white"/>
              </w:rPr>
              <w:t>M1-3</w:t>
            </w:r>
          </w:p>
        </w:tc>
        <w:tc>
          <w:tcPr>
            <w:tcW w:w="5074" w:type="dxa"/>
            <w:vAlign w:val="center"/>
          </w:tcPr>
          <w:p w14:paraId="5E464CFE" w14:textId="77777777" w:rsidR="00F15FFA" w:rsidRPr="00F15FFA" w:rsidRDefault="00F15FFA" w:rsidP="00D263A9">
            <w:pPr>
              <w:rPr>
                <w:rFonts w:eastAsia="Trebuchet MS" w:cs="Times New Roman"/>
                <w:color w:val="000000"/>
                <w:sz w:val="20"/>
                <w:szCs w:val="20"/>
              </w:rPr>
            </w:pPr>
            <w:r w:rsidRPr="00F15FFA">
              <w:rPr>
                <w:rFonts w:eastAsia="Trebuchet MS" w:cs="Times New Roman"/>
                <w:color w:val="000000"/>
                <w:sz w:val="20"/>
                <w:szCs w:val="20"/>
              </w:rPr>
              <w:t>Mise en application de la démarche analyse des risques du Plan de Management de Projet</w:t>
            </w:r>
          </w:p>
        </w:tc>
      </w:tr>
      <w:tr w:rsidR="00F15FFA" w:rsidRPr="009568DA" w14:paraId="454805F4" w14:textId="77777777" w:rsidTr="00FC7ACA">
        <w:trPr>
          <w:trHeight w:val="460"/>
        </w:trPr>
        <w:tc>
          <w:tcPr>
            <w:tcW w:w="3577" w:type="dxa"/>
            <w:vMerge w:val="restart"/>
            <w:vAlign w:val="center"/>
          </w:tcPr>
          <w:p w14:paraId="2B9F6C71" w14:textId="77777777" w:rsidR="00F15FFA" w:rsidRPr="00F15FFA" w:rsidRDefault="00F15FFA" w:rsidP="00D263A9">
            <w:pPr>
              <w:rPr>
                <w:rFonts w:cs="Times New Roman"/>
                <w:color w:val="000000"/>
                <w:sz w:val="20"/>
                <w:szCs w:val="20"/>
              </w:rPr>
            </w:pPr>
            <w:r w:rsidRPr="00F15FFA">
              <w:rPr>
                <w:rFonts w:cs="Times New Roman"/>
                <w:color w:val="000000"/>
                <w:sz w:val="20"/>
                <w:szCs w:val="20"/>
              </w:rPr>
              <w:t>M2 : Conseil et assistance technique, contrôle extérieur des prestations d’étude</w:t>
            </w:r>
          </w:p>
        </w:tc>
        <w:tc>
          <w:tcPr>
            <w:tcW w:w="813" w:type="dxa"/>
            <w:vAlign w:val="center"/>
          </w:tcPr>
          <w:p w14:paraId="1E0FE6B2" w14:textId="77777777" w:rsidR="00F15FFA" w:rsidRPr="00F15FFA" w:rsidRDefault="00F15FFA" w:rsidP="00D263A9">
            <w:pPr>
              <w:jc w:val="center"/>
              <w:rPr>
                <w:rFonts w:cs="Times New Roman"/>
                <w:sz w:val="20"/>
                <w:szCs w:val="20"/>
                <w:highlight w:val="white"/>
              </w:rPr>
            </w:pPr>
            <w:r w:rsidRPr="00F15FFA">
              <w:rPr>
                <w:rFonts w:cs="Times New Roman"/>
                <w:sz w:val="20"/>
                <w:szCs w:val="20"/>
                <w:highlight w:val="white"/>
              </w:rPr>
              <w:t>M2-1</w:t>
            </w:r>
          </w:p>
        </w:tc>
        <w:tc>
          <w:tcPr>
            <w:tcW w:w="5074" w:type="dxa"/>
            <w:vAlign w:val="center"/>
          </w:tcPr>
          <w:p w14:paraId="6312049E" w14:textId="77777777" w:rsidR="00F15FFA" w:rsidRPr="00F15FFA" w:rsidRDefault="00F15FFA" w:rsidP="00D263A9">
            <w:pPr>
              <w:spacing w:line="230" w:lineRule="exact"/>
              <w:ind w:right="80"/>
              <w:jc w:val="both"/>
              <w:rPr>
                <w:rFonts w:eastAsia="Arial" w:cs="Times New Roman"/>
                <w:color w:val="000000"/>
                <w:sz w:val="20"/>
              </w:rPr>
            </w:pPr>
            <w:r w:rsidRPr="00F15FFA">
              <w:rPr>
                <w:rFonts w:eastAsia="Arial" w:cs="Times New Roman"/>
                <w:color w:val="000000"/>
                <w:sz w:val="20"/>
              </w:rPr>
              <w:t>Contrôle et avis technique en AVP</w:t>
            </w:r>
          </w:p>
        </w:tc>
      </w:tr>
      <w:tr w:rsidR="00F15FFA" w:rsidRPr="009568DA" w14:paraId="18264445" w14:textId="77777777" w:rsidTr="00FC7ACA">
        <w:trPr>
          <w:trHeight w:val="460"/>
        </w:trPr>
        <w:tc>
          <w:tcPr>
            <w:tcW w:w="3577" w:type="dxa"/>
            <w:vMerge/>
            <w:vAlign w:val="center"/>
          </w:tcPr>
          <w:p w14:paraId="77193256" w14:textId="77777777" w:rsidR="00F15FFA" w:rsidRPr="00F15FFA" w:rsidRDefault="00F15FFA" w:rsidP="00D263A9">
            <w:pPr>
              <w:rPr>
                <w:rFonts w:cs="Times New Roman"/>
                <w:color w:val="000000"/>
                <w:sz w:val="20"/>
                <w:szCs w:val="20"/>
              </w:rPr>
            </w:pPr>
          </w:p>
        </w:tc>
        <w:tc>
          <w:tcPr>
            <w:tcW w:w="813" w:type="dxa"/>
            <w:vAlign w:val="center"/>
          </w:tcPr>
          <w:p w14:paraId="1CACFF23" w14:textId="77777777" w:rsidR="00F15FFA" w:rsidRPr="00F15FFA" w:rsidRDefault="00F15FFA" w:rsidP="00D263A9">
            <w:pPr>
              <w:jc w:val="center"/>
              <w:rPr>
                <w:rFonts w:cs="Times New Roman"/>
                <w:sz w:val="20"/>
                <w:szCs w:val="20"/>
                <w:highlight w:val="white"/>
              </w:rPr>
            </w:pPr>
            <w:r w:rsidRPr="00F15FFA">
              <w:rPr>
                <w:rFonts w:cs="Times New Roman"/>
                <w:sz w:val="20"/>
                <w:szCs w:val="20"/>
                <w:highlight w:val="white"/>
              </w:rPr>
              <w:t>M2-2</w:t>
            </w:r>
          </w:p>
        </w:tc>
        <w:tc>
          <w:tcPr>
            <w:tcW w:w="5074" w:type="dxa"/>
            <w:vAlign w:val="center"/>
          </w:tcPr>
          <w:p w14:paraId="33C498CA" w14:textId="77777777" w:rsidR="00F15FFA" w:rsidRPr="00F15FFA" w:rsidRDefault="00F15FFA" w:rsidP="00D263A9">
            <w:pPr>
              <w:spacing w:line="230" w:lineRule="exact"/>
              <w:ind w:right="80"/>
              <w:jc w:val="both"/>
              <w:rPr>
                <w:rFonts w:eastAsia="Arial" w:cs="Times New Roman"/>
                <w:color w:val="000000"/>
                <w:sz w:val="20"/>
              </w:rPr>
            </w:pPr>
            <w:r w:rsidRPr="00F15FFA">
              <w:rPr>
                <w:rFonts w:eastAsia="Arial" w:cs="Times New Roman"/>
                <w:color w:val="000000"/>
                <w:sz w:val="20"/>
              </w:rPr>
              <w:t>Contrôle et avis technique en PRO</w:t>
            </w:r>
          </w:p>
        </w:tc>
      </w:tr>
    </w:tbl>
    <w:p w14:paraId="4BBC5876" w14:textId="70E923B8" w:rsidR="00123F72" w:rsidRPr="005356FE" w:rsidRDefault="005F5B31" w:rsidP="005356FE">
      <w:pPr>
        <w:pStyle w:val="NormalWeb"/>
        <w:spacing w:after="0"/>
        <w:rPr>
          <w:sz w:val="20"/>
          <w:szCs w:val="20"/>
        </w:rPr>
      </w:pPr>
      <w:bookmarkStart w:id="15" w:name="_Hlk150154944"/>
      <w:r>
        <w:rPr>
          <w:sz w:val="20"/>
          <w:szCs w:val="20"/>
        </w:rPr>
        <w:t>Il n’est pas prévu de fractionnement d</w:t>
      </w:r>
      <w:r w:rsidR="009321F5">
        <w:rPr>
          <w:sz w:val="20"/>
          <w:szCs w:val="20"/>
        </w:rPr>
        <w:t>u marché, les prestations peuvent être réalisées en même temps</w:t>
      </w:r>
      <w:r w:rsidR="007157F9">
        <w:rPr>
          <w:sz w:val="20"/>
          <w:szCs w:val="20"/>
        </w:rPr>
        <w:t>.</w:t>
      </w:r>
      <w:bookmarkEnd w:id="15"/>
    </w:p>
    <w:p w14:paraId="2AC4079E" w14:textId="4907B7FF" w:rsidR="009916E6" w:rsidRPr="006E49F0" w:rsidRDefault="00232D4F">
      <w:pPr>
        <w:pStyle w:val="Standard"/>
        <w:spacing w:before="120"/>
        <w:jc w:val="left"/>
      </w:pPr>
      <w:r w:rsidRPr="002671ED">
        <w:rPr>
          <w:b/>
        </w:rPr>
        <w:t>Acceptation des variantes :</w:t>
      </w:r>
      <w:r w:rsidR="00A81C96" w:rsidRPr="002671ED">
        <w:t xml:space="preserve"> </w:t>
      </w:r>
      <w:r w:rsidR="00BD6801">
        <w:t>Non</w:t>
      </w:r>
    </w:p>
    <w:p w14:paraId="3D64F325" w14:textId="77777777" w:rsidR="009916E6" w:rsidRDefault="00232D4F">
      <w:pPr>
        <w:pStyle w:val="Standard"/>
        <w:spacing w:before="120"/>
        <w:jc w:val="left"/>
      </w:pPr>
      <w:r w:rsidRPr="006E49F0">
        <w:rPr>
          <w:b/>
        </w:rPr>
        <w:t>Prestations divisées en lots :</w:t>
      </w:r>
      <w:r w:rsidRPr="006E49F0">
        <w:t xml:space="preserve"> Non</w:t>
      </w:r>
    </w:p>
    <w:p w14:paraId="64D09580" w14:textId="77777777" w:rsidR="009916E6" w:rsidRDefault="00232D4F">
      <w:pPr>
        <w:pStyle w:val="Standard"/>
        <w:keepNext/>
        <w:spacing w:before="120"/>
        <w:jc w:val="left"/>
        <w:rPr>
          <w:b/>
          <w:sz w:val="22"/>
          <w:u w:val="single"/>
        </w:rPr>
      </w:pPr>
      <w:r>
        <w:rPr>
          <w:b/>
          <w:sz w:val="22"/>
          <w:u w:val="single"/>
        </w:rPr>
        <w:t>CONDITIONS RELATIVES AU MARCHE</w:t>
      </w:r>
    </w:p>
    <w:p w14:paraId="31043F25" w14:textId="77777777" w:rsidR="009916E6" w:rsidRDefault="00232D4F">
      <w:pPr>
        <w:pStyle w:val="Standard"/>
        <w:keepNext/>
        <w:spacing w:before="120"/>
        <w:jc w:val="left"/>
        <w:rPr>
          <w:b/>
        </w:rPr>
      </w:pPr>
      <w:r>
        <w:rPr>
          <w:b/>
        </w:rPr>
        <w:t>Modalités essentielles de financement et de paiement et / ou références aux textes qui les réglementent :</w:t>
      </w:r>
    </w:p>
    <w:p w14:paraId="0AF73AA6" w14:textId="480176E7" w:rsidR="009916E6" w:rsidRDefault="00232D4F">
      <w:pPr>
        <w:pStyle w:val="Standard"/>
      </w:pPr>
      <w:bookmarkStart w:id="16" w:name="AA_15_2_p1_a"/>
      <w:r>
        <w:t xml:space="preserve">* Origine du financement : </w:t>
      </w:r>
      <w:bookmarkEnd w:id="16"/>
      <w:r w:rsidR="005356FE">
        <w:t>ressources propres à l’établissement</w:t>
      </w:r>
      <w:r w:rsidR="00374C1F">
        <w:t>.</w:t>
      </w:r>
      <w:r w:rsidR="005356FE">
        <w:t xml:space="preserve"> </w:t>
      </w:r>
    </w:p>
    <w:p w14:paraId="49919B5D" w14:textId="32F643C9" w:rsidR="009916E6" w:rsidRDefault="00232D4F">
      <w:pPr>
        <w:pStyle w:val="Standard"/>
      </w:pPr>
      <w:r>
        <w:t xml:space="preserve">* Une avance sera accordée au titulaire selon les conditions fixées au </w:t>
      </w:r>
      <w:r w:rsidR="004F7AF5">
        <w:t>cahier des clauses particulières</w:t>
      </w:r>
      <w:r>
        <w:t> ;</w:t>
      </w:r>
    </w:p>
    <w:p w14:paraId="72022D4D" w14:textId="4D35C88D" w:rsidR="009916E6" w:rsidRDefault="00232D4F">
      <w:pPr>
        <w:pStyle w:val="Standard"/>
      </w:pPr>
      <w:r>
        <w:t>* Les prix seront révisables ;</w:t>
      </w:r>
    </w:p>
    <w:p w14:paraId="5890E01A" w14:textId="76281A4A" w:rsidR="009916E6" w:rsidRDefault="00232D4F">
      <w:pPr>
        <w:pStyle w:val="Standard"/>
      </w:pPr>
      <w:r>
        <w:t xml:space="preserve">* Les comptes seront réglés </w:t>
      </w:r>
      <w:r w:rsidR="00636F95">
        <w:t>sous la forme d'acomptes et d'un solde </w:t>
      </w:r>
      <w:r>
        <w:t>;</w:t>
      </w:r>
    </w:p>
    <w:p w14:paraId="48F22C79" w14:textId="77777777" w:rsidR="009916E6" w:rsidRDefault="00232D4F">
      <w:pPr>
        <w:pStyle w:val="Standard"/>
      </w:pPr>
      <w:r>
        <w:t xml:space="preserve">* Le délai global de paiement du règlement des comptes sera fixé à </w:t>
      </w:r>
      <w:bookmarkStart w:id="17" w:name="AA_15_2_p5_a"/>
      <w:r>
        <w:t>30 jours</w:t>
      </w:r>
      <w:bookmarkEnd w:id="17"/>
      <w:r>
        <w:t> ;</w:t>
      </w:r>
    </w:p>
    <w:p w14:paraId="0DA0EE6F" w14:textId="77777777" w:rsidR="009916E6" w:rsidRDefault="00232D4F">
      <w:pPr>
        <w:pStyle w:val="Standard"/>
        <w:keepNext/>
        <w:spacing w:before="120"/>
        <w:jc w:val="left"/>
        <w:rPr>
          <w:b/>
        </w:rPr>
      </w:pPr>
      <w:r>
        <w:rPr>
          <w:b/>
        </w:rPr>
        <w:t>Forme juridique que devra revêtir le groupement d'opérateurs économiques attributaire du marché :</w:t>
      </w:r>
    </w:p>
    <w:p w14:paraId="71E7CEF2" w14:textId="77777777" w:rsidR="009916E6" w:rsidRDefault="00232D4F">
      <w:pPr>
        <w:pStyle w:val="Standard"/>
      </w:pPr>
      <w:r>
        <w:t>Nature de l'attributaire, le marché sera conclu :</w:t>
      </w:r>
    </w:p>
    <w:p w14:paraId="64FB03B6" w14:textId="77777777" w:rsidR="009916E6" w:rsidRDefault="00232D4F">
      <w:pPr>
        <w:pStyle w:val="Standard"/>
      </w:pPr>
      <w:r>
        <w:t>- soit avec un prestataire unique ;</w:t>
      </w:r>
    </w:p>
    <w:p w14:paraId="0CCA493E" w14:textId="77777777" w:rsidR="009916E6" w:rsidRDefault="00232D4F">
      <w:pPr>
        <w:pStyle w:val="Standard"/>
      </w:pPr>
      <w:r>
        <w:t>- soit avec des prestataires groupés conjoints ou des prestataires groupés solidaires.</w:t>
      </w:r>
    </w:p>
    <w:p w14:paraId="4768871F" w14:textId="77777777" w:rsidR="009916E6" w:rsidRDefault="00232D4F">
      <w:pPr>
        <w:pStyle w:val="Standard"/>
      </w:pPr>
      <w:r>
        <w:t>Le mandataire du groupement conjoint sera solidaire, pour l'exécution du marché, de chacun des membres du groupement pour ses obligations contractuelles à l'égard du pouvoir adjudicateur.</w:t>
      </w:r>
    </w:p>
    <w:p w14:paraId="10148190" w14:textId="77777777" w:rsidR="009916E6" w:rsidRDefault="00232D4F">
      <w:pPr>
        <w:pStyle w:val="Standard"/>
      </w:pPr>
      <w:r>
        <w:t>Chaque candidat ne pourra remettre, pour la présente consultation, qu'une seule offre en agissant en qualité soit de candidat individuel, soit de membre d'un groupement.</w:t>
      </w:r>
    </w:p>
    <w:p w14:paraId="7DBB27DB" w14:textId="77777777" w:rsidR="00056D1B" w:rsidRDefault="00056D1B">
      <w:pPr>
        <w:pStyle w:val="Standard"/>
      </w:pPr>
      <w:r w:rsidRPr="00056D1B">
        <w:t xml:space="preserve">* Les conditions relatives </w:t>
      </w:r>
      <w:r>
        <w:t>au marché</w:t>
      </w:r>
      <w:r w:rsidRPr="00056D1B">
        <w:t xml:space="preserve"> sont précisées dans le règlement de la consultation.</w:t>
      </w:r>
    </w:p>
    <w:p w14:paraId="0FF505C1" w14:textId="77777777" w:rsidR="009916E6" w:rsidRDefault="00232D4F">
      <w:pPr>
        <w:pStyle w:val="Standard"/>
        <w:keepNext/>
        <w:spacing w:before="120"/>
        <w:jc w:val="left"/>
        <w:rPr>
          <w:b/>
          <w:sz w:val="22"/>
          <w:u w:val="single"/>
        </w:rPr>
      </w:pPr>
      <w:r w:rsidRPr="00D0462A">
        <w:rPr>
          <w:b/>
          <w:sz w:val="22"/>
          <w:u w:val="single"/>
        </w:rPr>
        <w:t>CONDITIONS DE PARTICIPATION</w:t>
      </w:r>
    </w:p>
    <w:p w14:paraId="45EA8711" w14:textId="77777777" w:rsidR="009916E6" w:rsidRDefault="00232D4F">
      <w:pPr>
        <w:pStyle w:val="Standard"/>
        <w:keepNext/>
        <w:spacing w:before="120"/>
        <w:rPr>
          <w:b/>
        </w:rPr>
      </w:pPr>
      <w:r>
        <w:rPr>
          <w:b/>
        </w:rPr>
        <w:t>Situation juridique - références requises :</w:t>
      </w:r>
    </w:p>
    <w:p w14:paraId="514C7BBB" w14:textId="53235B9B" w:rsidR="009916E6" w:rsidRDefault="00232D4F">
      <w:pPr>
        <w:pStyle w:val="Standard"/>
      </w:pPr>
      <w:bookmarkStart w:id="18" w:name="AA_16_1_a"/>
      <w:r>
        <w:t xml:space="preserve">* Les documents et renseignements qui rendent recevables les candidatures en application de l'article </w:t>
      </w:r>
      <w:r w:rsidR="000A0678">
        <w:t>R 2143-3 du code de la commande publique</w:t>
      </w:r>
      <w:r>
        <w:t xml:space="preserve">, à cet effet le candidat pourra utiliser les formulaires DC1 et DC2 téléchargeables sur le site </w:t>
      </w:r>
      <w:r w:rsidR="000A0678">
        <w:t>http://www.economie.</w:t>
      </w:r>
      <w:r w:rsidR="00924E21">
        <w:rPr>
          <w:rFonts w:cs="Times New Roman"/>
          <w:szCs w:val="20"/>
        </w:rPr>
        <w:t>gouv.fr,</w:t>
      </w:r>
      <w:r w:rsidR="000A0678" w:rsidRPr="00EA06E2">
        <w:rPr>
          <w:rFonts w:cs="Times New Roman"/>
          <w:szCs w:val="20"/>
        </w:rPr>
        <w:t xml:space="preserve"> ou le DUME</w:t>
      </w:r>
      <w:r w:rsidR="00924E21">
        <w:rPr>
          <w:rFonts w:cs="Times New Roman"/>
          <w:szCs w:val="20"/>
        </w:rPr>
        <w:t xml:space="preserve"> </w:t>
      </w:r>
      <w:r w:rsidRPr="00EA06E2">
        <w:rPr>
          <w:rFonts w:cs="Times New Roman"/>
          <w:szCs w:val="20"/>
        </w:rPr>
        <w:t>;</w:t>
      </w:r>
    </w:p>
    <w:p w14:paraId="7E3385A1" w14:textId="77777777" w:rsidR="009916E6" w:rsidRDefault="00232D4F">
      <w:pPr>
        <w:pStyle w:val="Standard"/>
      </w:pPr>
      <w:r>
        <w:t>* La forme juridique du candidat ;</w:t>
      </w:r>
    </w:p>
    <w:p w14:paraId="199A6362" w14:textId="77777777" w:rsidR="009916E6" w:rsidRDefault="00232D4F">
      <w:pPr>
        <w:pStyle w:val="Standard"/>
      </w:pPr>
      <w:r>
        <w:t>* En cas de groupement, sa nature et le nom du mandataire ;</w:t>
      </w:r>
    </w:p>
    <w:p w14:paraId="52E35DAC" w14:textId="77777777" w:rsidR="009916E6" w:rsidRDefault="00232D4F">
      <w:pPr>
        <w:pStyle w:val="Standard"/>
      </w:pPr>
      <w:r>
        <w:t>* Les pouvoirs de la personne habilitée pour engager le candidat y compris, en cas de groupement, le cas échéant, les habilitations nécessaires pour représenter les entreprises au stade de la passation du marché.</w:t>
      </w:r>
      <w:bookmarkEnd w:id="18"/>
    </w:p>
    <w:p w14:paraId="71F4B2CE" w14:textId="77777777" w:rsidR="00F7162B" w:rsidRDefault="00F7162B" w:rsidP="00F7162B">
      <w:pPr>
        <w:pStyle w:val="Standard"/>
      </w:pPr>
    </w:p>
    <w:p w14:paraId="252A38E8" w14:textId="70AE836C" w:rsidR="00F7162B" w:rsidRPr="00F7162B" w:rsidRDefault="00F7162B" w:rsidP="00F7162B">
      <w:pPr>
        <w:pStyle w:val="Standard"/>
      </w:pPr>
      <w:r w:rsidRPr="00F7162B">
        <w:t>Les éléments permettant d’évaluer les capacités professionnelles, techniques et financières du candidat ou de chaque membre du groupement (et des sous-traitants envisagés) sont les suivants : </w:t>
      </w:r>
    </w:p>
    <w:p w14:paraId="778D7CBA" w14:textId="4A1F130A" w:rsidR="009916E6" w:rsidRDefault="00232D4F">
      <w:pPr>
        <w:pStyle w:val="Standard"/>
        <w:keepNext/>
        <w:spacing w:before="120"/>
        <w:rPr>
          <w:b/>
        </w:rPr>
      </w:pPr>
      <w:r>
        <w:rPr>
          <w:b/>
        </w:rPr>
        <w:t>Capacité économique et financière - références requises :</w:t>
      </w:r>
    </w:p>
    <w:p w14:paraId="5FC8A7CC" w14:textId="18045422" w:rsidR="009916E6" w:rsidRPr="00157DAE" w:rsidRDefault="00232D4F" w:rsidP="00157DAE">
      <w:pPr>
        <w:pStyle w:val="Standard"/>
        <w:spacing w:before="120"/>
      </w:pPr>
      <w:bookmarkStart w:id="19" w:name="AA_16_2_a1"/>
      <w:r>
        <w:rPr>
          <w:color w:val="000000"/>
        </w:rPr>
        <w:t>* Une déclaration concernant le chiffre d'affaires global et le chiffre d'affaires concernant les services objet du marché, réalisés au cours des 3 derniers exercices disponibles ; Le candidat peut prouver sa capacité par tout autre document considéré comme équivalent par le pouvoir adjudicateur</w:t>
      </w:r>
      <w:bookmarkEnd w:id="19"/>
      <w:r>
        <w:rPr>
          <w:color w:val="000000"/>
        </w:rPr>
        <w:t>.</w:t>
      </w:r>
    </w:p>
    <w:p w14:paraId="2FDA269C" w14:textId="77777777" w:rsidR="009916E6" w:rsidRDefault="00232D4F">
      <w:pPr>
        <w:pStyle w:val="Standard"/>
        <w:rPr>
          <w:color w:val="000000"/>
        </w:rPr>
      </w:pPr>
      <w:r>
        <w:rPr>
          <w:color w:val="000000"/>
        </w:rPr>
        <w:t>* Déclaration appropriée de banques ou preuve d’une assurance pour les risques professionnels ;</w:t>
      </w:r>
      <w:bookmarkStart w:id="20" w:name="AA_16_2_a"/>
      <w:bookmarkEnd w:id="20"/>
    </w:p>
    <w:p w14:paraId="5F07FEEB" w14:textId="77777777" w:rsidR="009916E6" w:rsidRDefault="00232D4F">
      <w:pPr>
        <w:pStyle w:val="Standard"/>
        <w:keepNext/>
        <w:spacing w:before="120"/>
        <w:rPr>
          <w:b/>
        </w:rPr>
      </w:pPr>
      <w:r w:rsidRPr="00D0462A">
        <w:rPr>
          <w:b/>
        </w:rPr>
        <w:t>Capacité économique et financière - niveau(x) spécifique(s) minimal(aux) :</w:t>
      </w:r>
    </w:p>
    <w:p w14:paraId="50CB6BD1" w14:textId="77777777" w:rsidR="009916E6" w:rsidRDefault="00232D4F">
      <w:pPr>
        <w:pStyle w:val="Standard"/>
        <w:keepNext/>
        <w:spacing w:before="120"/>
        <w:rPr>
          <w:b/>
        </w:rPr>
      </w:pPr>
      <w:r>
        <w:rPr>
          <w:b/>
        </w:rPr>
        <w:t>Référence professionnelle et capacité technique - références requises :</w:t>
      </w:r>
    </w:p>
    <w:p w14:paraId="26F400BA" w14:textId="77777777" w:rsidR="009916E6" w:rsidRDefault="00232D4F">
      <w:pPr>
        <w:pStyle w:val="Standard"/>
      </w:pPr>
      <w:bookmarkStart w:id="21" w:name="AA_16_3_a"/>
      <w:r>
        <w:t>A – Expérience:</w:t>
      </w:r>
    </w:p>
    <w:p w14:paraId="79CCA434" w14:textId="77777777" w:rsidR="009916E6" w:rsidRDefault="00232D4F">
      <w:pPr>
        <w:pStyle w:val="Standard"/>
        <w:rPr>
          <w:color w:val="000000"/>
        </w:rPr>
      </w:pPr>
      <w:r>
        <w:rPr>
          <w:color w:val="000000"/>
        </w:rPr>
        <w:t>* Une présentation des principaux services élaborés au cours des 3 dernières années, indiquant notamment l'intitulé de l'opération, le cas échéant son montant, le contenu de la mission exercée, l'importance du projet, la date et le maître de l'ouvrage public ou privé. Cette présentation pourra être accompagnée d'attestations du maître de l'ouvrage ;</w:t>
      </w:r>
    </w:p>
    <w:p w14:paraId="3AC4476B" w14:textId="77777777" w:rsidR="009916E6" w:rsidRDefault="00232D4F">
      <w:pPr>
        <w:pStyle w:val="Standard"/>
      </w:pPr>
      <w:r>
        <w:t xml:space="preserve"> </w:t>
      </w:r>
    </w:p>
    <w:p w14:paraId="1F1E2C02" w14:textId="77777777" w:rsidR="00DE564B" w:rsidRDefault="00DE564B">
      <w:pPr>
        <w:pStyle w:val="Standard"/>
      </w:pPr>
    </w:p>
    <w:p w14:paraId="20AB10E5" w14:textId="734AFECE" w:rsidR="009916E6" w:rsidRDefault="001539F3">
      <w:pPr>
        <w:pStyle w:val="Standard"/>
      </w:pPr>
      <w:r>
        <w:lastRenderedPageBreak/>
        <w:t>B</w:t>
      </w:r>
      <w:r w:rsidR="00232D4F">
        <w:t xml:space="preserve"> - Capacités techniques:</w:t>
      </w:r>
    </w:p>
    <w:p w14:paraId="4D43CAA1" w14:textId="537C6A51" w:rsidR="0098263C" w:rsidRDefault="00232D4F" w:rsidP="00F7162B">
      <w:pPr>
        <w:pStyle w:val="Standard"/>
        <w:rPr>
          <w:color w:val="000000"/>
        </w:rPr>
      </w:pPr>
      <w:r>
        <w:rPr>
          <w:color w:val="000000"/>
        </w:rPr>
        <w:t xml:space="preserve">* </w:t>
      </w:r>
      <w:bookmarkEnd w:id="21"/>
      <w:r>
        <w:rPr>
          <w:rFonts w:cs="Arial"/>
          <w:color w:val="000000"/>
        </w:rPr>
        <w:t>Une déclaration indiquant les effectifs moyens annuels du candidat et l'importance du personnel d'encadrement pour chacune des trois dernières années disponibles ;</w:t>
      </w:r>
    </w:p>
    <w:p w14:paraId="1EC7A312" w14:textId="061940AF" w:rsidR="00F7162B" w:rsidRPr="0098263C" w:rsidRDefault="00F7162B" w:rsidP="00F7162B">
      <w:pPr>
        <w:pStyle w:val="Standard"/>
        <w:rPr>
          <w:color w:val="000000"/>
        </w:rPr>
      </w:pPr>
      <w:r>
        <w:rPr>
          <w:color w:val="000000"/>
        </w:rPr>
        <w:t>*</w:t>
      </w:r>
      <w:r>
        <w:rPr>
          <w:rStyle w:val="normaltextrun"/>
          <w:b/>
          <w:bCs/>
          <w:color w:val="000000"/>
          <w:szCs w:val="20"/>
          <w:shd w:val="clear" w:color="auto" w:fill="FFFFFF"/>
        </w:rPr>
        <w:t>Agrément ministériel « Barrages de classe C et digues - études, diagnostics et suivi des travaux » au titre de la sécurité des ouvrages hydrauliques conformément à l’arrêté du 18 juin 2018 portant agrément d’organismes intervenant pour la sécurité des ouvrages hydrauliques.</w:t>
      </w:r>
      <w:r>
        <w:rPr>
          <w:rStyle w:val="normaltextrun"/>
          <w:color w:val="000000"/>
          <w:szCs w:val="20"/>
          <w:shd w:val="clear" w:color="auto" w:fill="FFFFFF"/>
        </w:rPr>
        <w:t> </w:t>
      </w:r>
      <w:r>
        <w:rPr>
          <w:rStyle w:val="eop"/>
          <w:color w:val="000000"/>
          <w:szCs w:val="20"/>
          <w:shd w:val="clear" w:color="auto" w:fill="FFFFFF"/>
        </w:rPr>
        <w:t> </w:t>
      </w:r>
    </w:p>
    <w:p w14:paraId="2C314C1A" w14:textId="33DCFC3C" w:rsidR="00877A4A" w:rsidRPr="00877A4A" w:rsidRDefault="00877A4A" w:rsidP="00877A4A">
      <w:pPr>
        <w:pStyle w:val="Standard"/>
        <w:rPr>
          <w:rFonts w:eastAsia="ArialNarrow" w:cs="ArialNarrow"/>
          <w:color w:val="000000"/>
        </w:rPr>
      </w:pPr>
      <w:r w:rsidRPr="00877A4A">
        <w:rPr>
          <w:rFonts w:eastAsia="ArialNarrow" w:cs="ArialNarrow"/>
          <w:color w:val="000000"/>
        </w:rPr>
        <w:t>*Certificats de qualité ci-après, ou équivalents, délivrés par des organismes indépendants fondés sur les normes européennes :</w:t>
      </w:r>
    </w:p>
    <w:p w14:paraId="7A41519E" w14:textId="77777777" w:rsidR="00877A4A" w:rsidRPr="00877A4A" w:rsidRDefault="00877A4A" w:rsidP="00877A4A">
      <w:pPr>
        <w:pStyle w:val="Standard"/>
        <w:numPr>
          <w:ilvl w:val="0"/>
          <w:numId w:val="17"/>
        </w:numPr>
      </w:pPr>
      <w:proofErr w:type="spellStart"/>
      <w:r w:rsidRPr="00877A4A">
        <w:t>OPQIBI</w:t>
      </w:r>
      <w:proofErr w:type="spellEnd"/>
      <w:r w:rsidRPr="00877A4A">
        <w:t xml:space="preserve"> 2202 : Maîtrise des coûts en phase de conception et de réalisation</w:t>
      </w:r>
    </w:p>
    <w:p w14:paraId="36E501E0" w14:textId="77777777" w:rsidR="00877A4A" w:rsidRPr="00877A4A" w:rsidRDefault="00877A4A" w:rsidP="00877A4A">
      <w:pPr>
        <w:pStyle w:val="Standard"/>
        <w:numPr>
          <w:ilvl w:val="0"/>
          <w:numId w:val="17"/>
        </w:numPr>
      </w:pPr>
      <w:proofErr w:type="spellStart"/>
      <w:r w:rsidRPr="00877A4A">
        <w:t>OPQIBI</w:t>
      </w:r>
      <w:proofErr w:type="spellEnd"/>
      <w:r w:rsidRPr="00877A4A">
        <w:t xml:space="preserve"> 0331 : Direction de l’exécution des travaux</w:t>
      </w:r>
    </w:p>
    <w:p w14:paraId="0A85C260" w14:textId="77777777" w:rsidR="00877A4A" w:rsidRPr="00877A4A" w:rsidRDefault="00877A4A" w:rsidP="00877A4A">
      <w:pPr>
        <w:pStyle w:val="Standard"/>
        <w:numPr>
          <w:ilvl w:val="0"/>
          <w:numId w:val="17"/>
        </w:numPr>
      </w:pPr>
      <w:proofErr w:type="spellStart"/>
      <w:r w:rsidRPr="00877A4A">
        <w:t>OPQIBI</w:t>
      </w:r>
      <w:proofErr w:type="spellEnd"/>
      <w:r w:rsidRPr="00877A4A">
        <w:t xml:space="preserve"> 1002 : </w:t>
      </w:r>
      <w:proofErr w:type="spellStart"/>
      <w:r w:rsidRPr="00877A4A">
        <w:t>Etude</w:t>
      </w:r>
      <w:proofErr w:type="spellEnd"/>
      <w:r w:rsidRPr="00877A4A">
        <w:t xml:space="preserve"> de projet complexe en géotechnique</w:t>
      </w:r>
    </w:p>
    <w:p w14:paraId="38441796" w14:textId="2E89F06F" w:rsidR="00877A4A" w:rsidRDefault="00877A4A" w:rsidP="00877A4A">
      <w:pPr>
        <w:pStyle w:val="Standard"/>
        <w:numPr>
          <w:ilvl w:val="0"/>
          <w:numId w:val="17"/>
        </w:numPr>
      </w:pPr>
      <w:proofErr w:type="spellStart"/>
      <w:r w:rsidRPr="00877A4A">
        <w:t>OPQIBI</w:t>
      </w:r>
      <w:proofErr w:type="spellEnd"/>
      <w:r w:rsidRPr="00877A4A">
        <w:t xml:space="preserve"> 1821 : Ingénierie des canaux, d’ouvrages fluviaux, hydrauliques et portuaires</w:t>
      </w:r>
      <w:r w:rsidR="00140FAE">
        <w:t>.</w:t>
      </w:r>
    </w:p>
    <w:p w14:paraId="2749ACDC" w14:textId="77777777" w:rsidR="00877A4A" w:rsidRDefault="00877A4A" w:rsidP="00877A4A">
      <w:pPr>
        <w:pStyle w:val="Standard"/>
        <w:spacing w:before="120"/>
      </w:pPr>
      <w:r>
        <w:t>La preuve de ces capacités peut être apportée par tout autre moyen notamment par des certificats d’identité professionnelle ou des références de travaux attestant de la compétence de l’opérateur économique à réaliser la prestation pour laquelle il se porte candidat.</w:t>
      </w:r>
    </w:p>
    <w:p w14:paraId="507945D1" w14:textId="77777777" w:rsidR="00877A4A" w:rsidRDefault="00877A4A" w:rsidP="00877A4A">
      <w:pPr>
        <w:pStyle w:val="Standard"/>
        <w:spacing w:before="120"/>
      </w:pPr>
      <w:r>
        <w:t>En cas de groupement, les documents précités sont à fournir pour chaque membre du groupement, à l’exception du formulaire DC1.</w:t>
      </w:r>
    </w:p>
    <w:p w14:paraId="5884E3B0" w14:textId="2ECDAA79" w:rsidR="009916E6" w:rsidRDefault="00877A4A">
      <w:pPr>
        <w:pStyle w:val="Standard"/>
        <w:spacing w:before="120"/>
      </w:pPr>
      <w:r>
        <w:t>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 entre ces opérateurs et lui (notamment en cas de sous-traitance). En outre, pour justifier qu’il dispose des capacités des opérateurs économiques pour l’exécution du marché, le candidat produit un engagement écrit de ceux-ci.</w:t>
      </w:r>
    </w:p>
    <w:p w14:paraId="7D1FAED3" w14:textId="77777777" w:rsidR="009916E6" w:rsidRDefault="00232D4F">
      <w:pPr>
        <w:pStyle w:val="Standard"/>
        <w:keepNext/>
        <w:spacing w:before="120"/>
        <w:rPr>
          <w:b/>
        </w:rPr>
      </w:pPr>
      <w:r>
        <w:rPr>
          <w:b/>
        </w:rPr>
        <w:t>Référence professionnelle et capacité technique - niveau(x) spécifique(s) minimal(aux) :</w:t>
      </w:r>
    </w:p>
    <w:p w14:paraId="4382D754" w14:textId="77777777" w:rsidR="009916E6" w:rsidRDefault="00232D4F">
      <w:pPr>
        <w:pStyle w:val="Standard"/>
        <w:keepNext/>
        <w:spacing w:before="120"/>
        <w:rPr>
          <w:b/>
        </w:rPr>
      </w:pPr>
      <w:r>
        <w:rPr>
          <w:b/>
        </w:rPr>
        <w:t>Marché non réservé à des ateliers protégés.</w:t>
      </w:r>
    </w:p>
    <w:p w14:paraId="0D8B82F7" w14:textId="77777777" w:rsidR="009916E6" w:rsidRDefault="00232D4F">
      <w:pPr>
        <w:pStyle w:val="Standard"/>
        <w:keepNext/>
        <w:spacing w:before="120"/>
        <w:jc w:val="left"/>
        <w:rPr>
          <w:b/>
          <w:sz w:val="22"/>
          <w:u w:val="single"/>
        </w:rPr>
      </w:pPr>
      <w:proofErr w:type="spellStart"/>
      <w:r>
        <w:rPr>
          <w:b/>
          <w:sz w:val="22"/>
          <w:u w:val="single"/>
        </w:rPr>
        <w:t>CRITERES</w:t>
      </w:r>
      <w:proofErr w:type="spellEnd"/>
      <w:r>
        <w:rPr>
          <w:b/>
          <w:sz w:val="22"/>
          <w:u w:val="single"/>
        </w:rPr>
        <w:t xml:space="preserve"> D'ATTRIBUTION</w:t>
      </w:r>
    </w:p>
    <w:p w14:paraId="3C2C0237" w14:textId="77777777" w:rsidR="009916E6" w:rsidRDefault="00232D4F">
      <w:pPr>
        <w:pStyle w:val="Standard"/>
        <w:keepNext/>
        <w:spacing w:before="120"/>
      </w:pPr>
      <w:r>
        <w:t>Offre économiquement la plus avantageuse appréciée en fonction des critères énoncés ci-dessous avec leur pondération :</w:t>
      </w:r>
    </w:p>
    <w:tbl>
      <w:tblPr>
        <w:tblW w:w="9494" w:type="dxa"/>
        <w:tblInd w:w="-70" w:type="dxa"/>
        <w:tblLayout w:type="fixed"/>
        <w:tblCellMar>
          <w:left w:w="10" w:type="dxa"/>
          <w:right w:w="10" w:type="dxa"/>
        </w:tblCellMar>
        <w:tblLook w:val="0000" w:firstRow="0" w:lastRow="0" w:firstColumn="0" w:lastColumn="0" w:noHBand="0" w:noVBand="0"/>
      </w:tblPr>
      <w:tblGrid>
        <w:gridCol w:w="1063"/>
        <w:gridCol w:w="8431"/>
      </w:tblGrid>
      <w:tr w:rsidR="009916E6" w14:paraId="0ED477AB" w14:textId="77777777">
        <w:trPr>
          <w:tblHeader/>
        </w:trPr>
        <w:tc>
          <w:tcPr>
            <w:tcW w:w="1063" w:type="dxa"/>
            <w:tcMar>
              <w:top w:w="0" w:type="dxa"/>
              <w:left w:w="70" w:type="dxa"/>
              <w:bottom w:w="0" w:type="dxa"/>
              <w:right w:w="70" w:type="dxa"/>
            </w:tcMar>
          </w:tcPr>
          <w:p w14:paraId="7F5DD291" w14:textId="795063FA" w:rsidR="009916E6" w:rsidRDefault="00170CDE" w:rsidP="00123F72">
            <w:pPr>
              <w:pStyle w:val="Standard"/>
              <w:tabs>
                <w:tab w:val="left" w:pos="993"/>
              </w:tabs>
              <w:snapToGrid w:val="0"/>
              <w:jc w:val="right"/>
            </w:pPr>
            <w:r>
              <w:t>7</w:t>
            </w:r>
            <w:r w:rsidR="009D3F6B">
              <w:t>0</w:t>
            </w:r>
            <w:r w:rsidR="00232D4F">
              <w:t>%</w:t>
            </w:r>
          </w:p>
        </w:tc>
        <w:tc>
          <w:tcPr>
            <w:tcW w:w="8431" w:type="dxa"/>
            <w:tcMar>
              <w:top w:w="0" w:type="dxa"/>
              <w:left w:w="70" w:type="dxa"/>
              <w:bottom w:w="0" w:type="dxa"/>
              <w:right w:w="70" w:type="dxa"/>
            </w:tcMar>
          </w:tcPr>
          <w:p w14:paraId="490C1D22" w14:textId="77777777" w:rsidR="009916E6" w:rsidRDefault="00232D4F">
            <w:pPr>
              <w:pStyle w:val="Standard"/>
              <w:snapToGrid w:val="0"/>
            </w:pPr>
            <w:r>
              <w:t>La valeur technique</w:t>
            </w:r>
            <w:r w:rsidR="00DF5C03">
              <w:t xml:space="preserve"> des prestations, appréciée au regard des sous-critères définis dans le règlement de la consultation</w:t>
            </w:r>
            <w:r w:rsidR="00211396">
              <w:t> :</w:t>
            </w:r>
          </w:p>
          <w:p w14:paraId="18B50F4B" w14:textId="77777777" w:rsidR="00211396" w:rsidRPr="00B81908" w:rsidRDefault="00211396" w:rsidP="00211396">
            <w:pPr>
              <w:pStyle w:val="Parareponse"/>
              <w:keepNext/>
              <w:widowControl/>
              <w:numPr>
                <w:ilvl w:val="0"/>
                <w:numId w:val="13"/>
              </w:numPr>
              <w:overflowPunct w:val="0"/>
              <w:autoSpaceDE w:val="0"/>
              <w:spacing w:before="0" w:after="0"/>
              <w:rPr>
                <w:rFonts w:cs="Times New Roman"/>
              </w:rPr>
            </w:pPr>
            <w:r w:rsidRPr="00B81908">
              <w:rPr>
                <w:rFonts w:cs="Times New Roman"/>
              </w:rPr>
              <w:t xml:space="preserve">La pertinence de l’équipe projet et de son organisation </w:t>
            </w:r>
          </w:p>
          <w:p w14:paraId="4D63F5AB" w14:textId="5185E528" w:rsidR="00211396" w:rsidRPr="00211396" w:rsidRDefault="00211396" w:rsidP="00B81908">
            <w:pPr>
              <w:pStyle w:val="Parareponse"/>
              <w:keepNext/>
              <w:widowControl/>
              <w:numPr>
                <w:ilvl w:val="0"/>
                <w:numId w:val="13"/>
              </w:numPr>
              <w:overflowPunct w:val="0"/>
              <w:autoSpaceDE w:val="0"/>
              <w:spacing w:before="0" w:after="0"/>
              <w:rPr>
                <w:rFonts w:cs="Times New Roman"/>
              </w:rPr>
            </w:pPr>
            <w:r w:rsidRPr="00B81908">
              <w:rPr>
                <w:rFonts w:cs="Times New Roman"/>
              </w:rPr>
              <w:t>La pertinence des méthodologies</w:t>
            </w:r>
            <w:r>
              <w:rPr>
                <w:rFonts w:cs="Times New Roman"/>
                <w:u w:val="single"/>
              </w:rPr>
              <w:t xml:space="preserve"> </w:t>
            </w:r>
          </w:p>
        </w:tc>
      </w:tr>
      <w:tr w:rsidR="009916E6" w14:paraId="7008097B" w14:textId="77777777">
        <w:tc>
          <w:tcPr>
            <w:tcW w:w="1063" w:type="dxa"/>
            <w:tcMar>
              <w:top w:w="0" w:type="dxa"/>
              <w:left w:w="70" w:type="dxa"/>
              <w:bottom w:w="0" w:type="dxa"/>
              <w:right w:w="70" w:type="dxa"/>
            </w:tcMar>
          </w:tcPr>
          <w:p w14:paraId="07FF86BC" w14:textId="0E2FE881" w:rsidR="009916E6" w:rsidRDefault="00170CDE">
            <w:pPr>
              <w:pStyle w:val="Standard"/>
              <w:tabs>
                <w:tab w:val="left" w:pos="993"/>
              </w:tabs>
              <w:snapToGrid w:val="0"/>
              <w:jc w:val="right"/>
            </w:pPr>
            <w:r>
              <w:t>3</w:t>
            </w:r>
            <w:r w:rsidR="009D3F6B">
              <w:t>0</w:t>
            </w:r>
            <w:r w:rsidR="00232D4F">
              <w:t>%</w:t>
            </w:r>
          </w:p>
        </w:tc>
        <w:tc>
          <w:tcPr>
            <w:tcW w:w="8431" w:type="dxa"/>
            <w:tcMar>
              <w:top w:w="0" w:type="dxa"/>
              <w:left w:w="70" w:type="dxa"/>
              <w:bottom w:w="0" w:type="dxa"/>
              <w:right w:w="70" w:type="dxa"/>
            </w:tcMar>
          </w:tcPr>
          <w:p w14:paraId="70E082D5" w14:textId="77777777" w:rsidR="009916E6" w:rsidRDefault="00232D4F">
            <w:pPr>
              <w:pStyle w:val="Standard"/>
              <w:snapToGrid w:val="0"/>
            </w:pPr>
            <w:r>
              <w:t>Le prix des prestations</w:t>
            </w:r>
          </w:p>
        </w:tc>
      </w:tr>
    </w:tbl>
    <w:p w14:paraId="7F60A74B" w14:textId="77777777" w:rsidR="009916E6" w:rsidRDefault="009916E6">
      <w:pPr>
        <w:pStyle w:val="Standard"/>
      </w:pPr>
    </w:p>
    <w:p w14:paraId="39FEF2F0" w14:textId="77777777" w:rsidR="009916E6" w:rsidRDefault="00232D4F">
      <w:pPr>
        <w:pStyle w:val="Standard"/>
        <w:keepNext/>
        <w:spacing w:before="120"/>
        <w:jc w:val="left"/>
        <w:rPr>
          <w:b/>
          <w:sz w:val="22"/>
          <w:u w:val="single"/>
        </w:rPr>
      </w:pPr>
      <w:proofErr w:type="spellStart"/>
      <w:r>
        <w:rPr>
          <w:b/>
          <w:sz w:val="22"/>
          <w:u w:val="single"/>
        </w:rPr>
        <w:t>PROCEDURES</w:t>
      </w:r>
      <w:proofErr w:type="spellEnd"/>
    </w:p>
    <w:p w14:paraId="04BAC36C" w14:textId="233BBEAD" w:rsidR="009916E6" w:rsidRDefault="00232D4F">
      <w:pPr>
        <w:pStyle w:val="Standard"/>
        <w:spacing w:before="120"/>
      </w:pPr>
      <w:r>
        <w:rPr>
          <w:b/>
        </w:rPr>
        <w:t>Type de procédure :</w:t>
      </w:r>
      <w:r>
        <w:t xml:space="preserve"> </w:t>
      </w:r>
      <w:r w:rsidR="00327DB2">
        <w:t>Appel d’offres ouvert</w:t>
      </w:r>
      <w:r w:rsidR="009D3F6B">
        <w:t xml:space="preserve"> </w:t>
      </w:r>
    </w:p>
    <w:p w14:paraId="0BE7BEBC" w14:textId="77777777" w:rsidR="009916E6" w:rsidRDefault="00232D4F">
      <w:pPr>
        <w:pStyle w:val="Standard"/>
        <w:keepNext/>
        <w:spacing w:before="120"/>
        <w:rPr>
          <w:b/>
        </w:rPr>
      </w:pPr>
      <w:r>
        <w:rPr>
          <w:b/>
        </w:rPr>
        <w:t>Conditions de délai</w:t>
      </w:r>
    </w:p>
    <w:p w14:paraId="41133862" w14:textId="1210FF9E" w:rsidR="00924E21" w:rsidRDefault="00232D4F" w:rsidP="7C08AF6F">
      <w:pPr>
        <w:pStyle w:val="Standard"/>
        <w:rPr>
          <w:highlight w:val="yellow"/>
        </w:rPr>
      </w:pPr>
      <w:r>
        <w:t>Date limite de réception des offres :</w:t>
      </w:r>
      <w:r w:rsidR="00924E21">
        <w:t> </w:t>
      </w:r>
      <w:r w:rsidR="00BB1AA0" w:rsidRPr="49FA7EB7">
        <w:rPr>
          <w:highlight w:val="yellow"/>
        </w:rPr>
        <w:t>17</w:t>
      </w:r>
      <w:r w:rsidR="001B18F4" w:rsidRPr="49FA7EB7">
        <w:rPr>
          <w:highlight w:val="yellow"/>
        </w:rPr>
        <w:t>/</w:t>
      </w:r>
      <w:r w:rsidR="00BB1AA0" w:rsidRPr="49FA7EB7">
        <w:rPr>
          <w:highlight w:val="yellow"/>
        </w:rPr>
        <w:t>11</w:t>
      </w:r>
      <w:r w:rsidR="00511569" w:rsidRPr="49FA7EB7">
        <w:rPr>
          <w:highlight w:val="yellow"/>
        </w:rPr>
        <w:t>/</w:t>
      </w:r>
      <w:r w:rsidR="001B18F4" w:rsidRPr="49FA7EB7">
        <w:rPr>
          <w:highlight w:val="yellow"/>
        </w:rPr>
        <w:t>202</w:t>
      </w:r>
      <w:r w:rsidR="001C3A8E" w:rsidRPr="49FA7EB7">
        <w:rPr>
          <w:highlight w:val="yellow"/>
        </w:rPr>
        <w:t>5</w:t>
      </w:r>
      <w:r w:rsidR="001B18F4" w:rsidRPr="49FA7EB7">
        <w:rPr>
          <w:highlight w:val="yellow"/>
        </w:rPr>
        <w:t xml:space="preserve"> : </w:t>
      </w:r>
      <w:r w:rsidR="00E507E4" w:rsidRPr="49FA7EB7">
        <w:rPr>
          <w:highlight w:val="yellow"/>
        </w:rPr>
        <w:t>12</w:t>
      </w:r>
      <w:r w:rsidR="001B18F4" w:rsidRPr="49FA7EB7">
        <w:rPr>
          <w:highlight w:val="yellow"/>
        </w:rPr>
        <w:t>h00</w:t>
      </w:r>
    </w:p>
    <w:p w14:paraId="3C187172" w14:textId="326EF183" w:rsidR="009916E6" w:rsidRDefault="00232D4F">
      <w:pPr>
        <w:pStyle w:val="Standard"/>
      </w:pPr>
      <w:r>
        <w:t xml:space="preserve">Délai minimum de validité des offres : </w:t>
      </w:r>
      <w:bookmarkStart w:id="22" w:name="AA_26_p1B_c"/>
      <w:r>
        <w:t>1</w:t>
      </w:r>
      <w:bookmarkEnd w:id="22"/>
      <w:r w:rsidR="007446BA">
        <w:t>2</w:t>
      </w:r>
      <w:r>
        <w:t>0 jours, à compter de la date limite de réception des offres.</w:t>
      </w:r>
    </w:p>
    <w:p w14:paraId="10C509BE" w14:textId="77777777" w:rsidR="009916E6" w:rsidRDefault="00232D4F">
      <w:pPr>
        <w:pStyle w:val="Standard"/>
        <w:keepNext/>
        <w:spacing w:before="120"/>
        <w:jc w:val="left"/>
        <w:rPr>
          <w:b/>
          <w:sz w:val="22"/>
          <w:szCs w:val="22"/>
          <w:u w:val="single"/>
        </w:rPr>
      </w:pPr>
      <w:r>
        <w:rPr>
          <w:b/>
          <w:sz w:val="22"/>
          <w:szCs w:val="22"/>
          <w:u w:val="single"/>
        </w:rPr>
        <w:t xml:space="preserve">RENSEIGNEMENTS </w:t>
      </w:r>
      <w:proofErr w:type="spellStart"/>
      <w:r>
        <w:rPr>
          <w:b/>
          <w:sz w:val="22"/>
          <w:szCs w:val="22"/>
          <w:u w:val="single"/>
        </w:rPr>
        <w:t>COMPLEMENTAIRES</w:t>
      </w:r>
      <w:proofErr w:type="spellEnd"/>
    </w:p>
    <w:p w14:paraId="72138401" w14:textId="640F4050" w:rsidR="009916E6" w:rsidRDefault="00232D4F">
      <w:pPr>
        <w:pStyle w:val="Standard"/>
        <w:spacing w:before="120"/>
        <w:rPr>
          <w:szCs w:val="20"/>
        </w:rPr>
      </w:pPr>
      <w:r>
        <w:rPr>
          <w:b/>
          <w:szCs w:val="20"/>
        </w:rPr>
        <w:t xml:space="preserve">Numéro de référence attribué au marché par le pouvoir </w:t>
      </w:r>
      <w:r w:rsidRPr="00F5207A">
        <w:rPr>
          <w:b/>
          <w:szCs w:val="20"/>
        </w:rPr>
        <w:t>adjudicateur :</w:t>
      </w:r>
      <w:r w:rsidR="00924E21" w:rsidRPr="00F5207A">
        <w:rPr>
          <w:b/>
          <w:szCs w:val="20"/>
        </w:rPr>
        <w:t xml:space="preserve"> </w:t>
      </w:r>
      <w:r w:rsidR="0036034A">
        <w:rPr>
          <w:b/>
          <w:szCs w:val="20"/>
        </w:rPr>
        <w:t>CP25-512</w:t>
      </w:r>
    </w:p>
    <w:p w14:paraId="71BC0D3A" w14:textId="77777777" w:rsidR="009916E6" w:rsidRDefault="00232D4F">
      <w:pPr>
        <w:pStyle w:val="Standard"/>
        <w:keepNext/>
        <w:tabs>
          <w:tab w:val="left" w:pos="2694"/>
        </w:tabs>
        <w:spacing w:before="120"/>
        <w:rPr>
          <w:b/>
        </w:rPr>
      </w:pPr>
      <w:r>
        <w:rPr>
          <w:b/>
        </w:rPr>
        <w:t>Autres informations :</w:t>
      </w:r>
    </w:p>
    <w:p w14:paraId="2375B2D0" w14:textId="0C6BF1D1" w:rsidR="00303179" w:rsidRDefault="00303179">
      <w:pPr>
        <w:pStyle w:val="Standard"/>
      </w:pPr>
      <w:r>
        <w:t xml:space="preserve">* </w:t>
      </w:r>
      <w:r w:rsidRPr="007C6D55">
        <w:t xml:space="preserve">Dans le cadre de ce marché, le </w:t>
      </w:r>
      <w:r w:rsidR="00F73FB8">
        <w:t>maitre d’ouvrage</w:t>
      </w:r>
      <w:r w:rsidRPr="007C6D55">
        <w:t xml:space="preserve"> a fait le choix de mobiliser, conformément à l’article L2112-2 du code de la commande publique, une condition d’exécution qui comportera une action d'insertion par l'activité économique obligatoire sur l’ensemble du marché</w:t>
      </w:r>
      <w:r>
        <w:t> ;</w:t>
      </w:r>
    </w:p>
    <w:p w14:paraId="56545571" w14:textId="2672F6E0" w:rsidR="009916E6" w:rsidRDefault="00232D4F">
      <w:pPr>
        <w:pStyle w:val="Standard"/>
      </w:pPr>
      <w:r>
        <w:t>* Les candidatures et les offres seront entièrement rédigées ou traduites en langue française ainsi que tous les documents de présentation associés ;</w:t>
      </w:r>
    </w:p>
    <w:p w14:paraId="7C5EB520" w14:textId="676C8802" w:rsidR="009916E6" w:rsidRDefault="00232D4F">
      <w:pPr>
        <w:pStyle w:val="Standard"/>
      </w:pPr>
      <w:r>
        <w:t>* Unité monétaire utilisée, l'euro ;</w:t>
      </w:r>
    </w:p>
    <w:p w14:paraId="6C01BCAC" w14:textId="77777777" w:rsidR="00810AB0" w:rsidRDefault="00032BE7">
      <w:pPr>
        <w:pStyle w:val="Standard"/>
      </w:pPr>
      <w:r w:rsidRPr="00B81908">
        <w:t>* L'exécution du marché comportera des éléments à caractères environnementaux</w:t>
      </w:r>
      <w:r>
        <w:t xml:space="preserve"> </w:t>
      </w:r>
      <w:r w:rsidRPr="00B81908">
        <w:t>;</w:t>
      </w:r>
    </w:p>
    <w:p w14:paraId="58578E1A" w14:textId="120364B0" w:rsidR="009916E6" w:rsidRDefault="00232D4F">
      <w:pPr>
        <w:pStyle w:val="Standard"/>
      </w:pPr>
      <w:r>
        <w:t xml:space="preserve">* </w:t>
      </w:r>
      <w:bookmarkStart w:id="23" w:name="AA_27_5_p5_a"/>
      <w:r>
        <w:t xml:space="preserve">A titre indicatif, les prestations commenceront </w:t>
      </w:r>
      <w:r w:rsidR="00F30268">
        <w:t>fin</w:t>
      </w:r>
      <w:r w:rsidR="00C717D8">
        <w:t xml:space="preserve"> </w:t>
      </w:r>
      <w:r w:rsidR="0041662D">
        <w:t xml:space="preserve">du </w:t>
      </w:r>
      <w:r w:rsidR="00F30268">
        <w:t>second tri</w:t>
      </w:r>
      <w:r w:rsidR="003E5C09">
        <w:t xml:space="preserve">mestre </w:t>
      </w:r>
      <w:r>
        <w:t>202</w:t>
      </w:r>
      <w:r w:rsidR="00F30268">
        <w:t>5</w:t>
      </w:r>
      <w:bookmarkEnd w:id="23"/>
      <w:r w:rsidR="00810AB0">
        <w:t> ;</w:t>
      </w:r>
    </w:p>
    <w:p w14:paraId="31F3507D" w14:textId="4EB6CB94" w:rsidR="009916E6" w:rsidRDefault="00232D4F">
      <w:pPr>
        <w:pStyle w:val="Standard"/>
      </w:pPr>
      <w:r>
        <w:t>* Les prestations ne sont pas réservées à une profession particulière ;</w:t>
      </w:r>
    </w:p>
    <w:p w14:paraId="0044A340" w14:textId="576E336B" w:rsidR="001C3A4B" w:rsidRDefault="001C3A4B">
      <w:pPr>
        <w:pStyle w:val="Standard"/>
      </w:pPr>
      <w:r>
        <w:t>* Les candidats</w:t>
      </w:r>
      <w:r w:rsidR="0064479C">
        <w:t xml:space="preserve"> feront état des réalisations similaires ;</w:t>
      </w:r>
    </w:p>
    <w:p w14:paraId="30B5EF30" w14:textId="388E84C6" w:rsidR="009916E6" w:rsidRDefault="00232D4F">
      <w:pPr>
        <w:pStyle w:val="Standard"/>
      </w:pPr>
      <w:r>
        <w:t xml:space="preserve">* Il ne s'agit pas d'un marché </w:t>
      </w:r>
      <w:proofErr w:type="spellStart"/>
      <w:r>
        <w:t>a</w:t>
      </w:r>
      <w:proofErr w:type="spellEnd"/>
      <w:r>
        <w:t xml:space="preserve"> caractère périodique ;</w:t>
      </w:r>
    </w:p>
    <w:p w14:paraId="4E887F2A" w14:textId="77777777" w:rsidR="009A48ED" w:rsidRDefault="009A48ED">
      <w:pPr>
        <w:pStyle w:val="Standard"/>
      </w:pPr>
    </w:p>
    <w:p w14:paraId="4CB776AE" w14:textId="77777777" w:rsidR="009916E6" w:rsidRDefault="00232D4F">
      <w:pPr>
        <w:pStyle w:val="Standard"/>
        <w:keepNext/>
        <w:spacing w:before="120"/>
        <w:jc w:val="left"/>
      </w:pPr>
      <w:r>
        <w:t>Modalités d’ouverture des offres</w:t>
      </w:r>
    </w:p>
    <w:p w14:paraId="3550CB93" w14:textId="77777777" w:rsidR="009916E6" w:rsidRDefault="00232D4F">
      <w:pPr>
        <w:pStyle w:val="Standard"/>
      </w:pPr>
      <w:r>
        <w:t>* Personnes autorisées à assister à l'ouverture des offres : Non</w:t>
      </w:r>
    </w:p>
    <w:p w14:paraId="779EA27C" w14:textId="77777777" w:rsidR="009916E6" w:rsidRDefault="00232D4F">
      <w:pPr>
        <w:pStyle w:val="Standard"/>
      </w:pPr>
      <w:r>
        <w:t>* L'ouverture des plis n'est pas publique.</w:t>
      </w:r>
    </w:p>
    <w:p w14:paraId="1BCC7851" w14:textId="77777777" w:rsidR="009916E6" w:rsidRDefault="00232D4F">
      <w:pPr>
        <w:pStyle w:val="Standard"/>
        <w:keepNext/>
        <w:spacing w:before="120"/>
      </w:pPr>
      <w:r>
        <w:t>Conditions d’obtention du cahier des charges et des documents complémentaires :</w:t>
      </w:r>
    </w:p>
    <w:p w14:paraId="0E308C47" w14:textId="77777777" w:rsidR="009916E6" w:rsidRDefault="00232D4F">
      <w:pPr>
        <w:pStyle w:val="Standard"/>
      </w:pPr>
      <w:r>
        <w:t>* Le mode de retrait du dossier de consultation ne conditionne pas le choix du mode de transmission de l'offre ;</w:t>
      </w:r>
    </w:p>
    <w:p w14:paraId="778232E4" w14:textId="1F773B3F" w:rsidR="008F0639" w:rsidRDefault="008F0639">
      <w:pPr>
        <w:pStyle w:val="Standard"/>
      </w:pPr>
      <w:r w:rsidRPr="008F0639">
        <w:lastRenderedPageBreak/>
        <w:t xml:space="preserve">* Les documents de la consultation sont disponibles par voie électronique sur la plate-forme de dématérialisation (http://www.marches-publics.gouv.fr) sous la référence publique </w:t>
      </w:r>
      <w:r w:rsidRPr="00C45894">
        <w:t>"</w:t>
      </w:r>
      <w:r w:rsidR="0036034A">
        <w:t>CP25-512</w:t>
      </w:r>
      <w:r w:rsidR="009321F5" w:rsidRPr="009321F5">
        <w:t xml:space="preserve"> </w:t>
      </w:r>
      <w:r w:rsidRPr="009321F5">
        <w:t>après</w:t>
      </w:r>
      <w:r w:rsidRPr="008F0639">
        <w:t xml:space="preserve"> avoir installé les </w:t>
      </w:r>
      <w:proofErr w:type="spellStart"/>
      <w:r w:rsidRPr="008F0639">
        <w:t>pré-requis</w:t>
      </w:r>
      <w:proofErr w:type="spellEnd"/>
      <w:r w:rsidRPr="008F0639">
        <w:t xml:space="preserve"> techniques et avoir pris connaissance du manuel d'utilisation ;</w:t>
      </w:r>
    </w:p>
    <w:p w14:paraId="58E75062" w14:textId="77777777" w:rsidR="009916E6" w:rsidRDefault="00232D4F">
      <w:pPr>
        <w:pStyle w:val="Textbody"/>
        <w:keepNext/>
        <w:spacing w:before="120" w:after="0"/>
      </w:pPr>
      <w:r>
        <w:t>Conditions de remise des offres ou des candidatures :</w:t>
      </w:r>
    </w:p>
    <w:p w14:paraId="3D03ADAC" w14:textId="77777777" w:rsidR="00056D1B" w:rsidRDefault="00056D1B">
      <w:pPr>
        <w:pStyle w:val="Textbody"/>
        <w:keepNext/>
        <w:spacing w:before="120" w:after="0"/>
      </w:pPr>
      <w:r w:rsidRPr="00056D1B">
        <w:t>* Les conditions de remise des candidatures et des offres sont précisées dans le règlement de la consultation.</w:t>
      </w:r>
    </w:p>
    <w:p w14:paraId="512A72CE" w14:textId="77777777" w:rsidR="00056D1B" w:rsidRPr="00A2775E" w:rsidRDefault="00056D1B" w:rsidP="00056D1B">
      <w:pPr>
        <w:keepNext/>
        <w:spacing w:before="120"/>
        <w:jc w:val="both"/>
        <w:rPr>
          <w:rFonts w:cs="Times New Roman"/>
          <w:b/>
          <w:sz w:val="20"/>
          <w:szCs w:val="20"/>
        </w:rPr>
      </w:pPr>
      <w:r w:rsidRPr="00A2775E">
        <w:rPr>
          <w:rFonts w:cs="Times New Roman"/>
          <w:b/>
          <w:sz w:val="20"/>
          <w:szCs w:val="20"/>
        </w:rPr>
        <w:t>Les offres transmises par échanges électroniques sur la plate-forme de dématérialisation (http://www.marches-publics.gouv.fr) le seront suivant les modalités précisées dans le règlement de la consultation.</w:t>
      </w:r>
    </w:p>
    <w:p w14:paraId="64832213" w14:textId="77777777" w:rsidR="00056D1B" w:rsidRPr="00A2775E" w:rsidRDefault="00056D1B" w:rsidP="00056D1B">
      <w:pPr>
        <w:keepNext/>
        <w:spacing w:before="120"/>
        <w:jc w:val="both"/>
        <w:rPr>
          <w:rFonts w:cs="Times New Roman"/>
          <w:b/>
          <w:sz w:val="20"/>
          <w:szCs w:val="20"/>
        </w:rPr>
      </w:pPr>
      <w:r w:rsidRPr="00A2775E">
        <w:rPr>
          <w:rFonts w:cs="Times New Roman"/>
          <w:b/>
          <w:sz w:val="20"/>
          <w:szCs w:val="20"/>
        </w:rPr>
        <w:t>Depuis le 1</w:t>
      </w:r>
      <w:r w:rsidRPr="00A2775E">
        <w:rPr>
          <w:rFonts w:cs="Times New Roman"/>
          <w:b/>
          <w:sz w:val="20"/>
          <w:szCs w:val="20"/>
          <w:vertAlign w:val="superscript"/>
        </w:rPr>
        <w:t>er</w:t>
      </w:r>
      <w:r w:rsidRPr="00A2775E">
        <w:rPr>
          <w:rFonts w:cs="Times New Roman"/>
          <w:b/>
          <w:sz w:val="20"/>
          <w:szCs w:val="20"/>
        </w:rPr>
        <w:t xml:space="preserve"> octobre 2018, les candidats doivent obligatoirement et exclusivement transmettre leurs candidatures et leurs offres par voie électronique en utilisant la plateforme de dématérialisation PLACE. L’ensemble des échanges électroniques intervenant en cours de procédure seront également dématérialisés avec PLACE.</w:t>
      </w:r>
    </w:p>
    <w:p w14:paraId="15BF198F" w14:textId="77777777" w:rsidR="00056D1B" w:rsidRPr="00A2775E" w:rsidRDefault="00056D1B" w:rsidP="00056D1B">
      <w:pPr>
        <w:keepNext/>
        <w:spacing w:before="120"/>
        <w:jc w:val="both"/>
        <w:rPr>
          <w:rFonts w:cs="Times New Roman"/>
          <w:b/>
          <w:sz w:val="20"/>
          <w:szCs w:val="20"/>
        </w:rPr>
      </w:pPr>
      <w:r w:rsidRPr="00A2775E">
        <w:rPr>
          <w:rFonts w:cs="Times New Roman"/>
          <w:b/>
          <w:sz w:val="20"/>
          <w:szCs w:val="20"/>
        </w:rPr>
        <w:t>En cas de problème avec la plateforme de dématérialisation, vous pouvez contacter l’assistance technique au 01.76.64.74.07 ou via le lien spécifique « assistance en ligne » sur la consultation.</w:t>
      </w:r>
    </w:p>
    <w:p w14:paraId="7254013C" w14:textId="4D522EE3" w:rsidR="009916E6" w:rsidRDefault="009916E6">
      <w:pPr>
        <w:pStyle w:val="Standard"/>
      </w:pPr>
    </w:p>
    <w:p w14:paraId="1BC042F3" w14:textId="77777777" w:rsidR="009916E6" w:rsidRDefault="00232D4F">
      <w:pPr>
        <w:pStyle w:val="Standard"/>
        <w:keepNext/>
        <w:spacing w:before="120"/>
        <w:jc w:val="left"/>
        <w:rPr>
          <w:b/>
          <w:sz w:val="22"/>
          <w:u w:val="single"/>
        </w:rPr>
      </w:pPr>
      <w:proofErr w:type="spellStart"/>
      <w:r>
        <w:rPr>
          <w:b/>
          <w:sz w:val="22"/>
          <w:u w:val="single"/>
        </w:rPr>
        <w:t>PROCEDURES</w:t>
      </w:r>
      <w:proofErr w:type="spellEnd"/>
      <w:r>
        <w:rPr>
          <w:b/>
          <w:sz w:val="22"/>
          <w:u w:val="single"/>
        </w:rPr>
        <w:t xml:space="preserve"> DE RECOURS</w:t>
      </w:r>
    </w:p>
    <w:p w14:paraId="39D52A56" w14:textId="77777777" w:rsidR="009916E6" w:rsidRDefault="00232D4F">
      <w:pPr>
        <w:pStyle w:val="Standard"/>
        <w:keepNext/>
        <w:tabs>
          <w:tab w:val="left" w:pos="2694"/>
        </w:tabs>
        <w:spacing w:before="120"/>
        <w:rPr>
          <w:b/>
        </w:rPr>
      </w:pPr>
      <w:r>
        <w:rPr>
          <w:b/>
        </w:rPr>
        <w:t>Instance chargée des procédures de recours et auprès de laquelle des renseignements peuvent être obtenus concernant l'introduction des recours :</w:t>
      </w:r>
    </w:p>
    <w:p w14:paraId="41C5F8B6" w14:textId="77777777" w:rsidR="009916E6" w:rsidRDefault="00232D4F">
      <w:pPr>
        <w:pStyle w:val="Standard"/>
        <w:jc w:val="left"/>
      </w:pPr>
      <w:r>
        <w:t xml:space="preserve">Nom de l'organisme : </w:t>
      </w:r>
      <w:bookmarkStart w:id="24" w:name="AA_28_a"/>
      <w:r>
        <w:t>Tribunal Administratif de Lille</w:t>
      </w:r>
      <w:bookmarkEnd w:id="24"/>
    </w:p>
    <w:p w14:paraId="62E3454B" w14:textId="77777777" w:rsidR="009916E6" w:rsidRDefault="00232D4F">
      <w:pPr>
        <w:pStyle w:val="Standard"/>
        <w:jc w:val="left"/>
      </w:pPr>
      <w:r>
        <w:t xml:space="preserve">Adresse : </w:t>
      </w:r>
      <w:bookmarkStart w:id="25" w:name="AA_28_b"/>
      <w:bookmarkEnd w:id="25"/>
      <w:r>
        <w:t>5 Rue Geoffroy Saint-Hilaire</w:t>
      </w:r>
    </w:p>
    <w:p w14:paraId="43E62CA8" w14:textId="77777777" w:rsidR="009916E6" w:rsidRDefault="00232D4F">
      <w:pPr>
        <w:pStyle w:val="Standard"/>
        <w:tabs>
          <w:tab w:val="left" w:pos="2410"/>
        </w:tabs>
        <w:jc w:val="left"/>
      </w:pPr>
      <w:r>
        <w:t xml:space="preserve">Code postal : </w:t>
      </w:r>
      <w:bookmarkStart w:id="26" w:name="AA_28_c"/>
      <w:r>
        <w:t>59000</w:t>
      </w:r>
      <w:bookmarkEnd w:id="26"/>
      <w:r>
        <w:tab/>
        <w:t xml:space="preserve">Ville : </w:t>
      </w:r>
      <w:bookmarkStart w:id="27" w:name="AA_28_d"/>
      <w:r>
        <w:t>LILLE</w:t>
      </w:r>
      <w:bookmarkEnd w:id="27"/>
    </w:p>
    <w:p w14:paraId="704BFDC6" w14:textId="77777777" w:rsidR="009916E6" w:rsidRDefault="00232D4F">
      <w:pPr>
        <w:pStyle w:val="Standard"/>
        <w:tabs>
          <w:tab w:val="left" w:pos="2410"/>
        </w:tabs>
        <w:jc w:val="left"/>
      </w:pPr>
      <w:r>
        <w:t xml:space="preserve">Pays </w:t>
      </w:r>
      <w:r>
        <w:rPr>
          <w:i/>
        </w:rPr>
        <w:t>(autre que France)</w:t>
      </w:r>
      <w:r>
        <w:t> :</w:t>
      </w:r>
      <w:bookmarkStart w:id="28" w:name="AA_28_k"/>
      <w:bookmarkEnd w:id="28"/>
    </w:p>
    <w:p w14:paraId="2E537F7B" w14:textId="6BE4A6F1" w:rsidR="009916E6" w:rsidRDefault="00232D4F">
      <w:pPr>
        <w:pStyle w:val="Standard"/>
        <w:tabs>
          <w:tab w:val="left" w:pos="2410"/>
        </w:tabs>
        <w:jc w:val="left"/>
      </w:pPr>
      <w:r>
        <w:t xml:space="preserve">Téléphone : </w:t>
      </w:r>
      <w:bookmarkStart w:id="29" w:name="AA_28_e"/>
      <w:bookmarkEnd w:id="29"/>
      <w:r w:rsidR="00D337E8">
        <w:t>0359542342</w:t>
      </w:r>
      <w:r>
        <w:tab/>
        <w:t>Télécopieur :</w:t>
      </w:r>
      <w:bookmarkStart w:id="30" w:name="AA_28_f"/>
      <w:bookmarkEnd w:id="30"/>
      <w:r w:rsidR="00D337E8">
        <w:t xml:space="preserve"> 0359542445</w:t>
      </w:r>
    </w:p>
    <w:p w14:paraId="544E508C" w14:textId="2F6EC590" w:rsidR="009916E6" w:rsidRDefault="00232D4F">
      <w:pPr>
        <w:pStyle w:val="Standard"/>
        <w:jc w:val="left"/>
      </w:pPr>
      <w:r>
        <w:t>Courriel :</w:t>
      </w:r>
      <w:bookmarkStart w:id="31" w:name="AA_28_g"/>
      <w:bookmarkEnd w:id="31"/>
      <w:r w:rsidR="00D337E8">
        <w:t xml:space="preserve"> greffe.ta-lille@juradm.fr</w:t>
      </w:r>
    </w:p>
    <w:p w14:paraId="225B76D0" w14:textId="77777777" w:rsidR="00D337E8" w:rsidRDefault="00232D4F" w:rsidP="00D337E8">
      <w:pPr>
        <w:pStyle w:val="Standard"/>
      </w:pPr>
      <w:r>
        <w:t>Adresse Internet (URL) :</w:t>
      </w:r>
      <w:bookmarkStart w:id="32" w:name="AA_28_h"/>
      <w:bookmarkEnd w:id="32"/>
      <w:r w:rsidR="00D337E8">
        <w:t xml:space="preserve"> </w:t>
      </w:r>
      <w:hyperlink r:id="rId12" w:history="1">
        <w:r w:rsidR="00D337E8">
          <w:t>http://lille.tribunal-administratif.fr/acces-et-coordonnees/</w:t>
        </w:r>
      </w:hyperlink>
    </w:p>
    <w:p w14:paraId="5B74F3E8" w14:textId="63612F2B" w:rsidR="009916E6" w:rsidRDefault="009916E6">
      <w:pPr>
        <w:pStyle w:val="Standard"/>
        <w:jc w:val="left"/>
      </w:pPr>
    </w:p>
    <w:p w14:paraId="2E2E6908" w14:textId="77777777" w:rsidR="000C22AA" w:rsidRPr="000C22AA" w:rsidRDefault="000C22AA" w:rsidP="000C22AA">
      <w:pPr>
        <w:pStyle w:val="Standard"/>
        <w:spacing w:before="120"/>
        <w:rPr>
          <w:b/>
          <w:sz w:val="22"/>
          <w:u w:val="single"/>
        </w:rPr>
      </w:pPr>
      <w:r w:rsidRPr="000C22AA">
        <w:rPr>
          <w:b/>
          <w:sz w:val="22"/>
          <w:u w:val="single"/>
        </w:rPr>
        <w:t xml:space="preserve">ADRESSES </w:t>
      </w:r>
      <w:proofErr w:type="spellStart"/>
      <w:r w:rsidRPr="000C22AA">
        <w:rPr>
          <w:b/>
          <w:sz w:val="22"/>
          <w:u w:val="single"/>
        </w:rPr>
        <w:t>COMPLEMENTAIRES</w:t>
      </w:r>
      <w:proofErr w:type="spellEnd"/>
    </w:p>
    <w:p w14:paraId="45802109" w14:textId="64BB0EAA" w:rsidR="000C22AA" w:rsidRPr="000C22AA" w:rsidRDefault="000C22AA" w:rsidP="00F5207A">
      <w:pPr>
        <w:widowControl/>
        <w:suppressAutoHyphens w:val="0"/>
        <w:autoSpaceDE w:val="0"/>
        <w:adjustRightInd w:val="0"/>
        <w:textAlignment w:val="auto"/>
        <w:rPr>
          <w:b/>
          <w:sz w:val="22"/>
          <w:u w:val="single"/>
        </w:rPr>
      </w:pPr>
      <w:r w:rsidRPr="000C22AA">
        <w:rPr>
          <w:b/>
          <w:sz w:val="22"/>
          <w:u w:val="single"/>
        </w:rPr>
        <w:t>Adresse auprès de laquelle des renseignements d'ordre administratif ou technique peuvent être obtenus :</w:t>
      </w:r>
      <w:r w:rsidR="006A2793">
        <w:rPr>
          <w:b/>
          <w:sz w:val="22"/>
          <w:u w:val="single"/>
        </w:rPr>
        <w:t xml:space="preserve"> </w:t>
      </w:r>
      <w:r w:rsidR="007652B4" w:rsidRPr="000C22AA">
        <w:rPr>
          <w:b/>
          <w:sz w:val="22"/>
          <w:u w:val="single"/>
        </w:rPr>
        <w:t>lien PLACE</w:t>
      </w:r>
    </w:p>
    <w:p w14:paraId="5F803AE6" w14:textId="77777777" w:rsidR="000C22AA" w:rsidRPr="000C22AA" w:rsidRDefault="000C22AA" w:rsidP="000C22AA">
      <w:pPr>
        <w:pStyle w:val="Standard"/>
        <w:spacing w:before="120"/>
        <w:rPr>
          <w:b/>
          <w:sz w:val="22"/>
          <w:u w:val="single"/>
        </w:rPr>
      </w:pPr>
      <w:r w:rsidRPr="000C22AA">
        <w:rPr>
          <w:b/>
          <w:sz w:val="22"/>
          <w:u w:val="single"/>
        </w:rPr>
        <w:t>Adresse Internet (URL) : lien PLACE</w:t>
      </w:r>
    </w:p>
    <w:p w14:paraId="6D7E8F1C" w14:textId="7FF68168" w:rsidR="000C22AA" w:rsidRPr="000C22AA" w:rsidRDefault="000C22AA" w:rsidP="000C22AA">
      <w:pPr>
        <w:pStyle w:val="Standard"/>
        <w:spacing w:before="120"/>
        <w:rPr>
          <w:b/>
          <w:sz w:val="22"/>
          <w:u w:val="single"/>
        </w:rPr>
      </w:pPr>
      <w:r w:rsidRPr="000C22AA">
        <w:rPr>
          <w:b/>
          <w:sz w:val="22"/>
          <w:u w:val="single"/>
        </w:rPr>
        <w:t>Adresse à laquelle les documents peuvent être obtenus :</w:t>
      </w:r>
    </w:p>
    <w:p w14:paraId="2B452959" w14:textId="77777777" w:rsidR="000C22AA" w:rsidRPr="000C22AA" w:rsidRDefault="000C22AA" w:rsidP="000C22AA">
      <w:pPr>
        <w:pStyle w:val="Standard"/>
        <w:spacing w:before="120"/>
        <w:rPr>
          <w:b/>
          <w:sz w:val="22"/>
          <w:u w:val="single"/>
        </w:rPr>
      </w:pPr>
      <w:r w:rsidRPr="000C22AA">
        <w:rPr>
          <w:b/>
          <w:sz w:val="22"/>
          <w:u w:val="single"/>
        </w:rPr>
        <w:t>Adresse Internet (URL) :  lien PLACE</w:t>
      </w:r>
    </w:p>
    <w:p w14:paraId="174FFEB2" w14:textId="77777777" w:rsidR="000C22AA" w:rsidRPr="000C22AA" w:rsidRDefault="000C22AA" w:rsidP="000C22AA">
      <w:pPr>
        <w:pStyle w:val="Standard"/>
        <w:spacing w:before="120"/>
        <w:rPr>
          <w:b/>
          <w:sz w:val="22"/>
          <w:u w:val="single"/>
        </w:rPr>
      </w:pPr>
      <w:r w:rsidRPr="000C22AA">
        <w:rPr>
          <w:b/>
          <w:sz w:val="22"/>
          <w:u w:val="single"/>
        </w:rPr>
        <w:t>Adresse à laquelle les offres / candidatures / projets / demandes de participation doivent être envoyées :</w:t>
      </w:r>
    </w:p>
    <w:p w14:paraId="46039CBD" w14:textId="72EAB174" w:rsidR="000C22AA" w:rsidRDefault="000C22AA" w:rsidP="000C22AA">
      <w:pPr>
        <w:pStyle w:val="Standard"/>
        <w:spacing w:before="120"/>
        <w:rPr>
          <w:b/>
          <w:sz w:val="22"/>
          <w:u w:val="single"/>
        </w:rPr>
      </w:pPr>
      <w:r w:rsidRPr="000C22AA">
        <w:rPr>
          <w:b/>
          <w:sz w:val="22"/>
          <w:u w:val="single"/>
        </w:rPr>
        <w:t>Adresse Internet (URL) :  lien PLACE</w:t>
      </w:r>
    </w:p>
    <w:p w14:paraId="7CFDBCCF" w14:textId="5204A587" w:rsidR="009916E6" w:rsidRDefault="00232D4F" w:rsidP="7C08AF6F">
      <w:pPr>
        <w:pStyle w:val="Standard"/>
        <w:spacing w:before="120"/>
        <w:rPr>
          <w:highlight w:val="yellow"/>
        </w:rPr>
      </w:pPr>
      <w:r w:rsidRPr="7C08AF6F">
        <w:rPr>
          <w:b/>
          <w:bCs/>
          <w:sz w:val="22"/>
          <w:szCs w:val="22"/>
          <w:u w:val="single"/>
        </w:rPr>
        <w:t xml:space="preserve">DATE D'ENVOI DU </w:t>
      </w:r>
      <w:proofErr w:type="spellStart"/>
      <w:r w:rsidRPr="7C08AF6F">
        <w:rPr>
          <w:b/>
          <w:bCs/>
          <w:sz w:val="22"/>
          <w:szCs w:val="22"/>
          <w:u w:val="single"/>
        </w:rPr>
        <w:t>PRESENT</w:t>
      </w:r>
      <w:proofErr w:type="spellEnd"/>
      <w:r w:rsidRPr="7C08AF6F">
        <w:rPr>
          <w:b/>
          <w:bCs/>
          <w:sz w:val="22"/>
          <w:szCs w:val="22"/>
          <w:u w:val="single"/>
        </w:rPr>
        <w:t xml:space="preserve"> AVIS </w:t>
      </w:r>
      <w:proofErr w:type="spellStart"/>
      <w:r w:rsidRPr="7C08AF6F">
        <w:rPr>
          <w:b/>
          <w:bCs/>
          <w:sz w:val="22"/>
          <w:szCs w:val="22"/>
          <w:u w:val="single"/>
        </w:rPr>
        <w:t>A</w:t>
      </w:r>
      <w:proofErr w:type="spellEnd"/>
      <w:r w:rsidRPr="7C08AF6F">
        <w:rPr>
          <w:b/>
          <w:bCs/>
          <w:sz w:val="22"/>
          <w:szCs w:val="22"/>
          <w:u w:val="single"/>
        </w:rPr>
        <w:t xml:space="preserve"> LA PUBLICATION :</w:t>
      </w:r>
      <w:r w:rsidRPr="7C08AF6F">
        <w:rPr>
          <w:sz w:val="22"/>
          <w:szCs w:val="22"/>
        </w:rPr>
        <w:t xml:space="preserve"> </w:t>
      </w:r>
    </w:p>
    <w:sectPr w:rsidR="009916E6">
      <w:pgSz w:w="11906" w:h="16838"/>
      <w:pgMar w:top="720" w:right="1134" w:bottom="720" w:left="141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7C5425" w14:textId="77777777" w:rsidR="00A76C77" w:rsidRDefault="00A76C77">
      <w:r>
        <w:separator/>
      </w:r>
    </w:p>
  </w:endnote>
  <w:endnote w:type="continuationSeparator" w:id="0">
    <w:p w14:paraId="2F441967" w14:textId="77777777" w:rsidR="00A76C77" w:rsidRDefault="00A76C77">
      <w:r>
        <w:continuationSeparator/>
      </w:r>
    </w:p>
  </w:endnote>
  <w:endnote w:type="continuationNotice" w:id="1">
    <w:p w14:paraId="3863E781" w14:textId="77777777" w:rsidR="004F3896" w:rsidRDefault="004F38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Geneva">
    <w:altName w:val="Times New Roman"/>
    <w:charset w:val="02"/>
    <w:family w:val="roman"/>
    <w:pitch w:val="variable"/>
  </w:font>
  <w:font w:name="Wingdings, Wingdings">
    <w:charset w:val="02"/>
    <w:family w:val="auto"/>
    <w:pitch w:val="variable"/>
  </w:font>
  <w:font w:name="MS LineDraw">
    <w:altName w:val="Courier New"/>
    <w:charset w:val="00"/>
    <w:family w:val="modern"/>
    <w:pitch w:val="default"/>
  </w:font>
  <w:font w:name="StarSymbol">
    <w:altName w:val="Times New Roman"/>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Narrow">
    <w:charset w:val="00"/>
    <w:family w:val="auto"/>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359487" w14:textId="77777777" w:rsidR="00A76C77" w:rsidRDefault="00A76C77">
      <w:r>
        <w:rPr>
          <w:color w:val="000000"/>
        </w:rPr>
        <w:ptab w:relativeTo="margin" w:alignment="center" w:leader="none"/>
      </w:r>
    </w:p>
  </w:footnote>
  <w:footnote w:type="continuationSeparator" w:id="0">
    <w:p w14:paraId="2D667473" w14:textId="77777777" w:rsidR="00A76C77" w:rsidRDefault="00A76C77">
      <w:r>
        <w:continuationSeparator/>
      </w:r>
    </w:p>
  </w:footnote>
  <w:footnote w:type="continuationNotice" w:id="1">
    <w:p w14:paraId="295387E1" w14:textId="77777777" w:rsidR="004F3896" w:rsidRDefault="004F389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77DFA"/>
    <w:multiLevelType w:val="multilevel"/>
    <w:tmpl w:val="53462734"/>
    <w:lvl w:ilvl="0">
      <w:numFmt w:val="bullet"/>
      <w:lvlText w:val=""/>
      <w:lvlJc w:val="left"/>
      <w:pPr>
        <w:ind w:left="720" w:hanging="360"/>
      </w:pPr>
      <w:rPr>
        <w:rFonts w:ascii="Symbol" w:hAnsi="Symbol"/>
        <w:sz w:val="18"/>
        <w:szCs w:val="18"/>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0BE2068B"/>
    <w:multiLevelType w:val="multilevel"/>
    <w:tmpl w:val="41FCB4A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28A70AE"/>
    <w:multiLevelType w:val="multilevel"/>
    <w:tmpl w:val="396AE598"/>
    <w:styleLink w:val="WW8Num16"/>
    <w:lvl w:ilvl="0">
      <w:numFmt w:val="bullet"/>
      <w:pStyle w:val="Listenorma"/>
      <w:lvlText w:val=""/>
      <w:lvlJc w:val="left"/>
      <w:pPr>
        <w:ind w:left="1580" w:hanging="340"/>
      </w:pPr>
      <w:rPr>
        <w:rFonts w:ascii="Symbol, Geneva" w:hAnsi="Symbol, Geneva" w:cs="Symbol, Geneva"/>
      </w:rPr>
    </w:lvl>
    <w:lvl w:ilvl="1">
      <w:numFmt w:val="bullet"/>
      <w:lvlText w:val="o"/>
      <w:lvlJc w:val="left"/>
      <w:pPr>
        <w:ind w:left="2680" w:hanging="360"/>
      </w:pPr>
      <w:rPr>
        <w:rFonts w:ascii="Courier New" w:hAnsi="Courier New" w:cs="Courier New"/>
      </w:rPr>
    </w:lvl>
    <w:lvl w:ilvl="2">
      <w:numFmt w:val="bullet"/>
      <w:lvlText w:val=""/>
      <w:lvlJc w:val="left"/>
      <w:pPr>
        <w:ind w:left="3400" w:hanging="360"/>
      </w:pPr>
      <w:rPr>
        <w:rFonts w:ascii="Wingdings, Wingdings" w:hAnsi="Wingdings, Wingdings" w:cs="Wingdings, Wingdings"/>
      </w:rPr>
    </w:lvl>
    <w:lvl w:ilvl="3">
      <w:numFmt w:val="bullet"/>
      <w:lvlText w:val=""/>
      <w:lvlJc w:val="left"/>
      <w:pPr>
        <w:ind w:left="4120" w:hanging="360"/>
      </w:pPr>
      <w:rPr>
        <w:rFonts w:ascii="Symbol, Geneva" w:hAnsi="Symbol, Geneva" w:cs="Symbol, Geneva"/>
      </w:rPr>
    </w:lvl>
    <w:lvl w:ilvl="4">
      <w:numFmt w:val="bullet"/>
      <w:lvlText w:val="o"/>
      <w:lvlJc w:val="left"/>
      <w:pPr>
        <w:ind w:left="4840" w:hanging="360"/>
      </w:pPr>
      <w:rPr>
        <w:rFonts w:ascii="Courier New" w:hAnsi="Courier New" w:cs="Courier New"/>
      </w:rPr>
    </w:lvl>
    <w:lvl w:ilvl="5">
      <w:numFmt w:val="bullet"/>
      <w:lvlText w:val=""/>
      <w:lvlJc w:val="left"/>
      <w:pPr>
        <w:ind w:left="5560" w:hanging="360"/>
      </w:pPr>
      <w:rPr>
        <w:rFonts w:ascii="Wingdings, Wingdings" w:hAnsi="Wingdings, Wingdings" w:cs="Wingdings, Wingdings"/>
      </w:rPr>
    </w:lvl>
    <w:lvl w:ilvl="6">
      <w:numFmt w:val="bullet"/>
      <w:lvlText w:val=""/>
      <w:lvlJc w:val="left"/>
      <w:pPr>
        <w:ind w:left="6280" w:hanging="360"/>
      </w:pPr>
      <w:rPr>
        <w:rFonts w:ascii="Symbol, Geneva" w:hAnsi="Symbol, Geneva" w:cs="Symbol, Geneva"/>
      </w:rPr>
    </w:lvl>
    <w:lvl w:ilvl="7">
      <w:numFmt w:val="bullet"/>
      <w:lvlText w:val="o"/>
      <w:lvlJc w:val="left"/>
      <w:pPr>
        <w:ind w:left="7000" w:hanging="360"/>
      </w:pPr>
      <w:rPr>
        <w:rFonts w:ascii="Courier New" w:hAnsi="Courier New" w:cs="Courier New"/>
      </w:rPr>
    </w:lvl>
    <w:lvl w:ilvl="8">
      <w:numFmt w:val="bullet"/>
      <w:lvlText w:val=""/>
      <w:lvlJc w:val="left"/>
      <w:pPr>
        <w:ind w:left="7720" w:hanging="360"/>
      </w:pPr>
      <w:rPr>
        <w:rFonts w:ascii="Wingdings, Wingdings" w:hAnsi="Wingdings, Wingdings" w:cs="Wingdings, Wingdings"/>
      </w:rPr>
    </w:lvl>
  </w:abstractNum>
  <w:abstractNum w:abstractNumId="3" w15:restartNumberingAfterBreak="0">
    <w:nsid w:val="16FD2113"/>
    <w:multiLevelType w:val="multilevel"/>
    <w:tmpl w:val="68F85E3C"/>
    <w:lvl w:ilvl="0">
      <w:numFmt w:val="bullet"/>
      <w:lvlText w:val="-"/>
      <w:lvlJc w:val="left"/>
      <w:pPr>
        <w:ind w:left="283" w:hanging="283"/>
      </w:pPr>
      <w:rPr>
        <w:rFonts w:ascii="MS LineDraw" w:hAnsi="MS LineDraw"/>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245B6A35"/>
    <w:multiLevelType w:val="multilevel"/>
    <w:tmpl w:val="68BC6C64"/>
    <w:lvl w:ilvl="0">
      <w:numFmt w:val="bullet"/>
      <w:lvlText w:val="–"/>
      <w:lvlJc w:val="left"/>
      <w:pPr>
        <w:ind w:left="720" w:hanging="360"/>
      </w:pPr>
      <w:rPr>
        <w:rFonts w:ascii="StarSymbol" w:hAnsi="StarSymbol"/>
        <w:sz w:val="18"/>
      </w:rPr>
    </w:lvl>
    <w:lvl w:ilvl="1">
      <w:numFmt w:val="bullet"/>
      <w:lvlText w:val="–"/>
      <w:lvlJc w:val="left"/>
      <w:pPr>
        <w:ind w:left="1458" w:hanging="360"/>
      </w:pPr>
      <w:rPr>
        <w:rFonts w:ascii="StarSymbol" w:hAnsi="StarSymbol"/>
        <w:sz w:val="18"/>
      </w:rPr>
    </w:lvl>
    <w:lvl w:ilvl="2">
      <w:numFmt w:val="bullet"/>
      <w:lvlText w:val="–"/>
      <w:lvlJc w:val="left"/>
      <w:pPr>
        <w:ind w:left="2196" w:hanging="360"/>
      </w:pPr>
      <w:rPr>
        <w:rFonts w:ascii="StarSymbol" w:hAnsi="StarSymbol"/>
        <w:sz w:val="18"/>
      </w:rPr>
    </w:lvl>
    <w:lvl w:ilvl="3">
      <w:numFmt w:val="bullet"/>
      <w:lvlText w:val="–"/>
      <w:lvlJc w:val="left"/>
      <w:pPr>
        <w:ind w:left="2934" w:hanging="360"/>
      </w:pPr>
      <w:rPr>
        <w:rFonts w:ascii="StarSymbol" w:hAnsi="StarSymbol"/>
        <w:sz w:val="18"/>
      </w:rPr>
    </w:lvl>
    <w:lvl w:ilvl="4">
      <w:numFmt w:val="bullet"/>
      <w:lvlText w:val="–"/>
      <w:lvlJc w:val="left"/>
      <w:pPr>
        <w:ind w:left="3672" w:hanging="360"/>
      </w:pPr>
      <w:rPr>
        <w:rFonts w:ascii="StarSymbol" w:hAnsi="StarSymbol"/>
        <w:sz w:val="18"/>
      </w:rPr>
    </w:lvl>
    <w:lvl w:ilvl="5">
      <w:numFmt w:val="bullet"/>
      <w:lvlText w:val="–"/>
      <w:lvlJc w:val="left"/>
      <w:pPr>
        <w:ind w:left="4410" w:hanging="360"/>
      </w:pPr>
      <w:rPr>
        <w:rFonts w:ascii="StarSymbol" w:hAnsi="StarSymbol"/>
        <w:sz w:val="18"/>
      </w:rPr>
    </w:lvl>
    <w:lvl w:ilvl="6">
      <w:numFmt w:val="bullet"/>
      <w:lvlText w:val="–"/>
      <w:lvlJc w:val="left"/>
      <w:pPr>
        <w:ind w:left="5148" w:hanging="360"/>
      </w:pPr>
      <w:rPr>
        <w:rFonts w:ascii="StarSymbol" w:hAnsi="StarSymbol"/>
        <w:sz w:val="18"/>
      </w:rPr>
    </w:lvl>
    <w:lvl w:ilvl="7">
      <w:numFmt w:val="bullet"/>
      <w:lvlText w:val="–"/>
      <w:lvlJc w:val="left"/>
      <w:pPr>
        <w:ind w:left="5886" w:hanging="360"/>
      </w:pPr>
      <w:rPr>
        <w:rFonts w:ascii="StarSymbol" w:hAnsi="StarSymbol"/>
        <w:sz w:val="18"/>
      </w:rPr>
    </w:lvl>
    <w:lvl w:ilvl="8">
      <w:numFmt w:val="bullet"/>
      <w:lvlText w:val="–"/>
      <w:lvlJc w:val="left"/>
      <w:pPr>
        <w:ind w:left="6624" w:hanging="360"/>
      </w:pPr>
      <w:rPr>
        <w:rFonts w:ascii="StarSymbol" w:hAnsi="StarSymbol"/>
        <w:sz w:val="18"/>
      </w:rPr>
    </w:lvl>
  </w:abstractNum>
  <w:abstractNum w:abstractNumId="5" w15:restartNumberingAfterBreak="0">
    <w:nsid w:val="305202EA"/>
    <w:multiLevelType w:val="multilevel"/>
    <w:tmpl w:val="FAE6DB60"/>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6" w15:restartNumberingAfterBreak="0">
    <w:nsid w:val="313E4C64"/>
    <w:multiLevelType w:val="multilevel"/>
    <w:tmpl w:val="B20CFE3E"/>
    <w:styleLink w:val="Outline"/>
    <w:lvl w:ilvl="0">
      <w:start w:val="1"/>
      <w:numFmt w:val="decimal"/>
      <w:lvlText w:val="ARTICLE %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355B2090"/>
    <w:multiLevelType w:val="hybridMultilevel"/>
    <w:tmpl w:val="C53284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2127A2"/>
    <w:multiLevelType w:val="hybridMultilevel"/>
    <w:tmpl w:val="6AC0C5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852281"/>
    <w:multiLevelType w:val="hybridMultilevel"/>
    <w:tmpl w:val="721040AA"/>
    <w:lvl w:ilvl="0" w:tplc="040C0001">
      <w:start w:val="1"/>
      <w:numFmt w:val="bullet"/>
      <w:lvlText w:val=""/>
      <w:lvlJc w:val="left"/>
      <w:pPr>
        <w:ind w:left="720" w:hanging="360"/>
      </w:pPr>
      <w:rPr>
        <w:rFonts w:ascii="Symbol" w:hAnsi="Symbol" w:hint="default"/>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BE3FCD"/>
    <w:multiLevelType w:val="hybridMultilevel"/>
    <w:tmpl w:val="3C5AA5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4E5441"/>
    <w:multiLevelType w:val="multilevel"/>
    <w:tmpl w:val="0BB8E2AA"/>
    <w:styleLink w:val="WW8Num24"/>
    <w:lvl w:ilvl="0">
      <w:numFmt w:val="bullet"/>
      <w:lvlText w:val=""/>
      <w:lvlJc w:val="left"/>
      <w:pPr>
        <w:ind w:left="641" w:hanging="357"/>
      </w:pPr>
      <w:rPr>
        <w:rFonts w:ascii="Wingdings" w:hAnsi="Wingdings" w:cs="Wingdings"/>
        <w:color w:val="000000"/>
      </w:rPr>
    </w:lvl>
    <w:lvl w:ilvl="1">
      <w:numFmt w:val="bullet"/>
      <w:lvlText w:val=""/>
      <w:lvlJc w:val="left"/>
      <w:pPr>
        <w:ind w:left="851" w:hanging="341"/>
      </w:pPr>
      <w:rPr>
        <w:rFonts w:ascii="Wingdings" w:hAnsi="Wingdings" w:cs="Wingdings"/>
        <w:sz w:val="12"/>
      </w:rPr>
    </w:lvl>
    <w:lvl w:ilvl="2">
      <w:start w:val="1"/>
      <w:numFmt w:val="lowerRoman"/>
      <w:lvlText w:val="%3)"/>
      <w:lvlJc w:val="left"/>
      <w:pPr>
        <w:ind w:left="1931" w:hanging="360"/>
      </w:pPr>
    </w:lvl>
    <w:lvl w:ilvl="3">
      <w:start w:val="1"/>
      <w:numFmt w:val="decimal"/>
      <w:lvlText w:val="(%4)"/>
      <w:lvlJc w:val="left"/>
      <w:pPr>
        <w:ind w:left="2291" w:hanging="360"/>
      </w:pPr>
    </w:lvl>
    <w:lvl w:ilvl="4">
      <w:start w:val="1"/>
      <w:numFmt w:val="lowerLetter"/>
      <w:lvlText w:val="(%5)"/>
      <w:lvlJc w:val="left"/>
      <w:pPr>
        <w:ind w:left="2651" w:hanging="360"/>
      </w:pPr>
    </w:lvl>
    <w:lvl w:ilvl="5">
      <w:start w:val="1"/>
      <w:numFmt w:val="lowerRoman"/>
      <w:lvlText w:val="(%6)"/>
      <w:lvlJc w:val="left"/>
      <w:pPr>
        <w:ind w:left="3011" w:hanging="360"/>
      </w:pPr>
    </w:lvl>
    <w:lvl w:ilvl="6">
      <w:start w:val="1"/>
      <w:numFmt w:val="decimal"/>
      <w:lvlText w:val="%7."/>
      <w:lvlJc w:val="left"/>
      <w:pPr>
        <w:ind w:left="3371" w:hanging="360"/>
      </w:pPr>
    </w:lvl>
    <w:lvl w:ilvl="7">
      <w:start w:val="1"/>
      <w:numFmt w:val="lowerLetter"/>
      <w:lvlText w:val="%8."/>
      <w:lvlJc w:val="left"/>
      <w:pPr>
        <w:ind w:left="3731" w:hanging="360"/>
      </w:pPr>
    </w:lvl>
    <w:lvl w:ilvl="8">
      <w:start w:val="1"/>
      <w:numFmt w:val="lowerRoman"/>
      <w:lvlText w:val="%9."/>
      <w:lvlJc w:val="left"/>
      <w:pPr>
        <w:ind w:left="4091" w:hanging="360"/>
      </w:pPr>
    </w:lvl>
  </w:abstractNum>
  <w:abstractNum w:abstractNumId="12" w15:restartNumberingAfterBreak="0">
    <w:nsid w:val="554D43C3"/>
    <w:multiLevelType w:val="hybridMultilevel"/>
    <w:tmpl w:val="DFDC9E70"/>
    <w:lvl w:ilvl="0" w:tplc="5AB68CE6">
      <w:start w:val="4"/>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AB478A6"/>
    <w:multiLevelType w:val="hybridMultilevel"/>
    <w:tmpl w:val="755CB0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D62ACB"/>
    <w:multiLevelType w:val="multilevel"/>
    <w:tmpl w:val="B3BE0C14"/>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60DB06D7"/>
    <w:multiLevelType w:val="hybridMultilevel"/>
    <w:tmpl w:val="1464B3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2A776AC"/>
    <w:multiLevelType w:val="hybridMultilevel"/>
    <w:tmpl w:val="D59E8CF6"/>
    <w:lvl w:ilvl="0" w:tplc="B24CAEB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3A42DA0"/>
    <w:multiLevelType w:val="hybridMultilevel"/>
    <w:tmpl w:val="2D02F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83000379">
    <w:abstractNumId w:val="6"/>
  </w:num>
  <w:num w:numId="2" w16cid:durableId="1350447958">
    <w:abstractNumId w:val="2"/>
  </w:num>
  <w:num w:numId="3" w16cid:durableId="534075267">
    <w:abstractNumId w:val="11"/>
  </w:num>
  <w:num w:numId="4" w16cid:durableId="399527091">
    <w:abstractNumId w:val="4"/>
  </w:num>
  <w:num w:numId="5" w16cid:durableId="1851942871">
    <w:abstractNumId w:val="12"/>
  </w:num>
  <w:num w:numId="6" w16cid:durableId="1052315340">
    <w:abstractNumId w:val="5"/>
  </w:num>
  <w:num w:numId="7" w16cid:durableId="1250653989">
    <w:abstractNumId w:val="14"/>
  </w:num>
  <w:num w:numId="8" w16cid:durableId="1572734075">
    <w:abstractNumId w:val="3"/>
  </w:num>
  <w:num w:numId="9" w16cid:durableId="112989391">
    <w:abstractNumId w:val="0"/>
  </w:num>
  <w:num w:numId="10" w16cid:durableId="1683508926">
    <w:abstractNumId w:val="10"/>
  </w:num>
  <w:num w:numId="11" w16cid:durableId="1921062869">
    <w:abstractNumId w:val="1"/>
  </w:num>
  <w:num w:numId="12" w16cid:durableId="933827497">
    <w:abstractNumId w:val="15"/>
  </w:num>
  <w:num w:numId="13" w16cid:durableId="1243107255">
    <w:abstractNumId w:val="9"/>
  </w:num>
  <w:num w:numId="14" w16cid:durableId="864560698">
    <w:abstractNumId w:val="13"/>
  </w:num>
  <w:num w:numId="15" w16cid:durableId="1758670145">
    <w:abstractNumId w:val="16"/>
  </w:num>
  <w:num w:numId="16" w16cid:durableId="654719979">
    <w:abstractNumId w:val="7"/>
  </w:num>
  <w:num w:numId="17" w16cid:durableId="2065910584">
    <w:abstractNumId w:val="17"/>
  </w:num>
  <w:num w:numId="18" w16cid:durableId="21377482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9"/>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6E6"/>
    <w:rsid w:val="00006717"/>
    <w:rsid w:val="00013213"/>
    <w:rsid w:val="00021C04"/>
    <w:rsid w:val="00032BE7"/>
    <w:rsid w:val="00043A18"/>
    <w:rsid w:val="00046DE0"/>
    <w:rsid w:val="00056D1B"/>
    <w:rsid w:val="000660BE"/>
    <w:rsid w:val="00074CEC"/>
    <w:rsid w:val="00082D5A"/>
    <w:rsid w:val="00090CB7"/>
    <w:rsid w:val="00090D05"/>
    <w:rsid w:val="0009215B"/>
    <w:rsid w:val="000A0678"/>
    <w:rsid w:val="000B1DD0"/>
    <w:rsid w:val="000B4C83"/>
    <w:rsid w:val="000B7809"/>
    <w:rsid w:val="000C22AA"/>
    <w:rsid w:val="000C2D12"/>
    <w:rsid w:val="000C3DEC"/>
    <w:rsid w:val="000E199D"/>
    <w:rsid w:val="000F108E"/>
    <w:rsid w:val="001055D1"/>
    <w:rsid w:val="001065F7"/>
    <w:rsid w:val="001069B5"/>
    <w:rsid w:val="00123F72"/>
    <w:rsid w:val="00125318"/>
    <w:rsid w:val="00131F97"/>
    <w:rsid w:val="00140FAE"/>
    <w:rsid w:val="00141E7E"/>
    <w:rsid w:val="00144F78"/>
    <w:rsid w:val="00147C9F"/>
    <w:rsid w:val="001539F3"/>
    <w:rsid w:val="00157DAE"/>
    <w:rsid w:val="00161303"/>
    <w:rsid w:val="00170CDE"/>
    <w:rsid w:val="001972E8"/>
    <w:rsid w:val="001A2DF1"/>
    <w:rsid w:val="001B18F4"/>
    <w:rsid w:val="001C3A4B"/>
    <w:rsid w:val="001C3A8E"/>
    <w:rsid w:val="001C461F"/>
    <w:rsid w:val="001D3FEA"/>
    <w:rsid w:val="001D4964"/>
    <w:rsid w:val="001E1AC9"/>
    <w:rsid w:val="001F5E51"/>
    <w:rsid w:val="00211396"/>
    <w:rsid w:val="00211D57"/>
    <w:rsid w:val="00212448"/>
    <w:rsid w:val="00224D73"/>
    <w:rsid w:val="0022580D"/>
    <w:rsid w:val="00227E5F"/>
    <w:rsid w:val="00231E74"/>
    <w:rsid w:val="00232164"/>
    <w:rsid w:val="00232D4F"/>
    <w:rsid w:val="00243133"/>
    <w:rsid w:val="00246965"/>
    <w:rsid w:val="0025025F"/>
    <w:rsid w:val="0026414A"/>
    <w:rsid w:val="002669F3"/>
    <w:rsid w:val="002671ED"/>
    <w:rsid w:val="00271A34"/>
    <w:rsid w:val="00275554"/>
    <w:rsid w:val="00275BEC"/>
    <w:rsid w:val="00275D57"/>
    <w:rsid w:val="002A0455"/>
    <w:rsid w:val="002B5430"/>
    <w:rsid w:val="002C0D6D"/>
    <w:rsid w:val="002E6002"/>
    <w:rsid w:val="00301B42"/>
    <w:rsid w:val="00303179"/>
    <w:rsid w:val="00305649"/>
    <w:rsid w:val="00305C10"/>
    <w:rsid w:val="00321D24"/>
    <w:rsid w:val="00321FD5"/>
    <w:rsid w:val="00327DB2"/>
    <w:rsid w:val="00342205"/>
    <w:rsid w:val="00344064"/>
    <w:rsid w:val="00346A34"/>
    <w:rsid w:val="00357C4E"/>
    <w:rsid w:val="0036034A"/>
    <w:rsid w:val="00361709"/>
    <w:rsid w:val="00363296"/>
    <w:rsid w:val="00364228"/>
    <w:rsid w:val="00374C1F"/>
    <w:rsid w:val="00384089"/>
    <w:rsid w:val="00386FFE"/>
    <w:rsid w:val="003921E6"/>
    <w:rsid w:val="003A1947"/>
    <w:rsid w:val="003A2126"/>
    <w:rsid w:val="003C1FDD"/>
    <w:rsid w:val="003C2154"/>
    <w:rsid w:val="003C2569"/>
    <w:rsid w:val="003E5C09"/>
    <w:rsid w:val="00406223"/>
    <w:rsid w:val="004130DB"/>
    <w:rsid w:val="0041662D"/>
    <w:rsid w:val="00430E8A"/>
    <w:rsid w:val="00433153"/>
    <w:rsid w:val="00440966"/>
    <w:rsid w:val="0045749D"/>
    <w:rsid w:val="004650B5"/>
    <w:rsid w:val="004953FF"/>
    <w:rsid w:val="004A065C"/>
    <w:rsid w:val="004A0BFF"/>
    <w:rsid w:val="004A137F"/>
    <w:rsid w:val="004B022D"/>
    <w:rsid w:val="004B0468"/>
    <w:rsid w:val="004B3030"/>
    <w:rsid w:val="004D2A78"/>
    <w:rsid w:val="004E49A4"/>
    <w:rsid w:val="004F3896"/>
    <w:rsid w:val="004F474B"/>
    <w:rsid w:val="004F5539"/>
    <w:rsid w:val="004F589D"/>
    <w:rsid w:val="004F7AF5"/>
    <w:rsid w:val="005014AF"/>
    <w:rsid w:val="005053EE"/>
    <w:rsid w:val="00511569"/>
    <w:rsid w:val="00513B3D"/>
    <w:rsid w:val="0052062E"/>
    <w:rsid w:val="00526F5A"/>
    <w:rsid w:val="005314B5"/>
    <w:rsid w:val="005356FE"/>
    <w:rsid w:val="00547D01"/>
    <w:rsid w:val="0055476B"/>
    <w:rsid w:val="0055666C"/>
    <w:rsid w:val="00565D9D"/>
    <w:rsid w:val="00567273"/>
    <w:rsid w:val="00577BEC"/>
    <w:rsid w:val="00585402"/>
    <w:rsid w:val="00593DD2"/>
    <w:rsid w:val="005A4856"/>
    <w:rsid w:val="005D2775"/>
    <w:rsid w:val="005D5190"/>
    <w:rsid w:val="005F5B31"/>
    <w:rsid w:val="0060112F"/>
    <w:rsid w:val="006022F9"/>
    <w:rsid w:val="006262E5"/>
    <w:rsid w:val="00636F95"/>
    <w:rsid w:val="0064479C"/>
    <w:rsid w:val="00650C70"/>
    <w:rsid w:val="00657F51"/>
    <w:rsid w:val="00661687"/>
    <w:rsid w:val="00670D57"/>
    <w:rsid w:val="00683A73"/>
    <w:rsid w:val="0068556B"/>
    <w:rsid w:val="006A276F"/>
    <w:rsid w:val="006A2793"/>
    <w:rsid w:val="006A3880"/>
    <w:rsid w:val="006B068C"/>
    <w:rsid w:val="006C6185"/>
    <w:rsid w:val="006E08D5"/>
    <w:rsid w:val="006E49F0"/>
    <w:rsid w:val="006E4F6A"/>
    <w:rsid w:val="006E59E0"/>
    <w:rsid w:val="006E63D7"/>
    <w:rsid w:val="006F1685"/>
    <w:rsid w:val="006F1821"/>
    <w:rsid w:val="007157F9"/>
    <w:rsid w:val="007269C1"/>
    <w:rsid w:val="00727A08"/>
    <w:rsid w:val="007446BA"/>
    <w:rsid w:val="00744C45"/>
    <w:rsid w:val="00761A40"/>
    <w:rsid w:val="007652B4"/>
    <w:rsid w:val="00767A0F"/>
    <w:rsid w:val="007728EB"/>
    <w:rsid w:val="00774F7A"/>
    <w:rsid w:val="00781E04"/>
    <w:rsid w:val="007967D9"/>
    <w:rsid w:val="00797BB0"/>
    <w:rsid w:val="007A23E1"/>
    <w:rsid w:val="007A5663"/>
    <w:rsid w:val="007B4FD7"/>
    <w:rsid w:val="007C6D55"/>
    <w:rsid w:val="007D3AC1"/>
    <w:rsid w:val="007E048A"/>
    <w:rsid w:val="007E35E7"/>
    <w:rsid w:val="007E4AA6"/>
    <w:rsid w:val="007F515B"/>
    <w:rsid w:val="00803880"/>
    <w:rsid w:val="00810AB0"/>
    <w:rsid w:val="0081201C"/>
    <w:rsid w:val="008159B6"/>
    <w:rsid w:val="00824811"/>
    <w:rsid w:val="00824D20"/>
    <w:rsid w:val="00831FAB"/>
    <w:rsid w:val="008344BE"/>
    <w:rsid w:val="00855E43"/>
    <w:rsid w:val="008567C9"/>
    <w:rsid w:val="00856A4B"/>
    <w:rsid w:val="008676FB"/>
    <w:rsid w:val="00867700"/>
    <w:rsid w:val="00877A4A"/>
    <w:rsid w:val="00880CFD"/>
    <w:rsid w:val="00882BB5"/>
    <w:rsid w:val="008839F4"/>
    <w:rsid w:val="00884E72"/>
    <w:rsid w:val="0089011E"/>
    <w:rsid w:val="00897260"/>
    <w:rsid w:val="008A008B"/>
    <w:rsid w:val="008B2B20"/>
    <w:rsid w:val="008C5140"/>
    <w:rsid w:val="008D336A"/>
    <w:rsid w:val="008E3641"/>
    <w:rsid w:val="008E54E6"/>
    <w:rsid w:val="008E68DF"/>
    <w:rsid w:val="008F0639"/>
    <w:rsid w:val="008F16BA"/>
    <w:rsid w:val="008F32C1"/>
    <w:rsid w:val="008F5583"/>
    <w:rsid w:val="009043C9"/>
    <w:rsid w:val="00924E21"/>
    <w:rsid w:val="00931D1B"/>
    <w:rsid w:val="009321F5"/>
    <w:rsid w:val="00943422"/>
    <w:rsid w:val="00947C94"/>
    <w:rsid w:val="0097683B"/>
    <w:rsid w:val="0098263C"/>
    <w:rsid w:val="009832A4"/>
    <w:rsid w:val="009916E6"/>
    <w:rsid w:val="009A22DF"/>
    <w:rsid w:val="009A48ED"/>
    <w:rsid w:val="009A519E"/>
    <w:rsid w:val="009B24DB"/>
    <w:rsid w:val="009C6717"/>
    <w:rsid w:val="009C67A3"/>
    <w:rsid w:val="009D1820"/>
    <w:rsid w:val="009D3F6B"/>
    <w:rsid w:val="009F5CF0"/>
    <w:rsid w:val="00A07485"/>
    <w:rsid w:val="00A10FB6"/>
    <w:rsid w:val="00A11D75"/>
    <w:rsid w:val="00A12A94"/>
    <w:rsid w:val="00A20474"/>
    <w:rsid w:val="00A2775E"/>
    <w:rsid w:val="00A3626C"/>
    <w:rsid w:val="00A36725"/>
    <w:rsid w:val="00A43974"/>
    <w:rsid w:val="00A4592B"/>
    <w:rsid w:val="00A7105F"/>
    <w:rsid w:val="00A76C77"/>
    <w:rsid w:val="00A81C96"/>
    <w:rsid w:val="00AA1916"/>
    <w:rsid w:val="00AA2ACF"/>
    <w:rsid w:val="00AB0DE9"/>
    <w:rsid w:val="00AC3DBA"/>
    <w:rsid w:val="00AC593D"/>
    <w:rsid w:val="00AD3778"/>
    <w:rsid w:val="00AF799D"/>
    <w:rsid w:val="00B11538"/>
    <w:rsid w:val="00B13F9F"/>
    <w:rsid w:val="00B26F69"/>
    <w:rsid w:val="00B31760"/>
    <w:rsid w:val="00B33038"/>
    <w:rsid w:val="00B3779E"/>
    <w:rsid w:val="00B55767"/>
    <w:rsid w:val="00B6368F"/>
    <w:rsid w:val="00B7585C"/>
    <w:rsid w:val="00B7754F"/>
    <w:rsid w:val="00B7786B"/>
    <w:rsid w:val="00B81908"/>
    <w:rsid w:val="00B9322F"/>
    <w:rsid w:val="00B9658F"/>
    <w:rsid w:val="00BA5115"/>
    <w:rsid w:val="00BB1AA0"/>
    <w:rsid w:val="00BD6801"/>
    <w:rsid w:val="00BF2748"/>
    <w:rsid w:val="00BF5BDB"/>
    <w:rsid w:val="00BF5C76"/>
    <w:rsid w:val="00C01C93"/>
    <w:rsid w:val="00C02F0C"/>
    <w:rsid w:val="00C07647"/>
    <w:rsid w:val="00C34B68"/>
    <w:rsid w:val="00C36662"/>
    <w:rsid w:val="00C37BA8"/>
    <w:rsid w:val="00C37F73"/>
    <w:rsid w:val="00C45894"/>
    <w:rsid w:val="00C537D3"/>
    <w:rsid w:val="00C56ABC"/>
    <w:rsid w:val="00C717D8"/>
    <w:rsid w:val="00C75DE0"/>
    <w:rsid w:val="00C902F9"/>
    <w:rsid w:val="00C96AA4"/>
    <w:rsid w:val="00C97B30"/>
    <w:rsid w:val="00CC2C2A"/>
    <w:rsid w:val="00CD14E1"/>
    <w:rsid w:val="00CD352B"/>
    <w:rsid w:val="00CD6084"/>
    <w:rsid w:val="00CE311E"/>
    <w:rsid w:val="00CE7EBB"/>
    <w:rsid w:val="00CF55CD"/>
    <w:rsid w:val="00D0462A"/>
    <w:rsid w:val="00D17662"/>
    <w:rsid w:val="00D24489"/>
    <w:rsid w:val="00D263A9"/>
    <w:rsid w:val="00D26773"/>
    <w:rsid w:val="00D30C86"/>
    <w:rsid w:val="00D337E8"/>
    <w:rsid w:val="00D536BB"/>
    <w:rsid w:val="00D53E76"/>
    <w:rsid w:val="00D55942"/>
    <w:rsid w:val="00D64A2A"/>
    <w:rsid w:val="00D740A2"/>
    <w:rsid w:val="00D82450"/>
    <w:rsid w:val="00D865E1"/>
    <w:rsid w:val="00DA5C23"/>
    <w:rsid w:val="00DB3606"/>
    <w:rsid w:val="00DD7F94"/>
    <w:rsid w:val="00DE564B"/>
    <w:rsid w:val="00DF5C03"/>
    <w:rsid w:val="00E00D95"/>
    <w:rsid w:val="00E11299"/>
    <w:rsid w:val="00E13662"/>
    <w:rsid w:val="00E13830"/>
    <w:rsid w:val="00E20522"/>
    <w:rsid w:val="00E20BC1"/>
    <w:rsid w:val="00E2793C"/>
    <w:rsid w:val="00E30250"/>
    <w:rsid w:val="00E31739"/>
    <w:rsid w:val="00E35A69"/>
    <w:rsid w:val="00E45EE5"/>
    <w:rsid w:val="00E507E4"/>
    <w:rsid w:val="00E50AA8"/>
    <w:rsid w:val="00E67879"/>
    <w:rsid w:val="00E77FE9"/>
    <w:rsid w:val="00E83B44"/>
    <w:rsid w:val="00EA06E2"/>
    <w:rsid w:val="00EA412C"/>
    <w:rsid w:val="00EA648D"/>
    <w:rsid w:val="00EE1A0E"/>
    <w:rsid w:val="00F15FFA"/>
    <w:rsid w:val="00F30268"/>
    <w:rsid w:val="00F371D6"/>
    <w:rsid w:val="00F5207A"/>
    <w:rsid w:val="00F5271C"/>
    <w:rsid w:val="00F7162B"/>
    <w:rsid w:val="00F73FB8"/>
    <w:rsid w:val="00F841C8"/>
    <w:rsid w:val="00F86F70"/>
    <w:rsid w:val="00F874E7"/>
    <w:rsid w:val="00F87E0D"/>
    <w:rsid w:val="00FB0082"/>
    <w:rsid w:val="00FC7ACA"/>
    <w:rsid w:val="00FD07B7"/>
    <w:rsid w:val="00FD2A87"/>
    <w:rsid w:val="00FE0D0E"/>
    <w:rsid w:val="00FF1D7E"/>
    <w:rsid w:val="1E92F7BD"/>
    <w:rsid w:val="250D8577"/>
    <w:rsid w:val="2DF20E2F"/>
    <w:rsid w:val="32A6A50B"/>
    <w:rsid w:val="44B47B3A"/>
    <w:rsid w:val="49FA7EB7"/>
    <w:rsid w:val="5B2858BC"/>
    <w:rsid w:val="7C08AF6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FE41D"/>
  <w15:docId w15:val="{D8AD6976-ABEA-4EF7-ACAC-8A5705670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ahoma"/>
        <w:kern w:val="3"/>
        <w:sz w:val="24"/>
        <w:szCs w:val="24"/>
        <w:lang w:val="fr-FR" w:eastAsia="fr-FR"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pPr>
      <w:keepNext/>
      <w:widowControl/>
      <w:shd w:val="clear" w:color="auto" w:fill="CCCCCC"/>
      <w:spacing w:before="601" w:after="238"/>
      <w:ind w:hanging="283"/>
      <w:outlineLvl w:val="0"/>
    </w:pPr>
    <w:rPr>
      <w:b/>
      <w:bCs/>
      <w:sz w:val="28"/>
      <w:u w:val="single"/>
    </w:rPr>
  </w:style>
  <w:style w:type="paragraph" w:styleId="Titre2">
    <w:name w:val="heading 2"/>
    <w:basedOn w:val="Standard"/>
    <w:next w:val="Standard"/>
    <w:pPr>
      <w:keepNext/>
      <w:widowControl/>
      <w:spacing w:before="238" w:after="119"/>
      <w:ind w:hanging="283"/>
      <w:outlineLvl w:val="1"/>
    </w:pPr>
    <w:rPr>
      <w:b/>
      <w:bCs/>
      <w:i/>
      <w:iCs/>
      <w:sz w:val="28"/>
      <w:szCs w:val="28"/>
      <w:u w:val="single"/>
    </w:rPr>
  </w:style>
  <w:style w:type="paragraph" w:styleId="Titre3">
    <w:name w:val="heading 3"/>
    <w:basedOn w:val="Standard"/>
    <w:next w:val="Standard"/>
    <w:pPr>
      <w:keepNext/>
      <w:widowControl/>
      <w:spacing w:before="238" w:after="119"/>
      <w:ind w:hanging="283"/>
      <w:outlineLvl w:val="2"/>
    </w:pPr>
    <w:rPr>
      <w:b/>
      <w:bCs/>
      <w:sz w:val="28"/>
      <w:szCs w:val="28"/>
    </w:rPr>
  </w:style>
  <w:style w:type="paragraph" w:styleId="Titre5">
    <w:name w:val="heading 5"/>
    <w:basedOn w:val="Standard"/>
    <w:next w:val="Standard"/>
    <w:pPr>
      <w:spacing w:before="240" w:after="60"/>
      <w:outlineLvl w:val="4"/>
    </w:pPr>
    <w:rPr>
      <w:rFonts w:ascii="Arial" w:eastAsia="Arial" w:hAnsi="Arial" w:cs="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link w:val="StandardCar"/>
    <w:qFormat/>
    <w:pPr>
      <w:jc w:val="both"/>
    </w:pPr>
    <w:rPr>
      <w:sz w:val="20"/>
    </w:rPr>
  </w:style>
  <w:style w:type="paragraph" w:customStyle="1" w:styleId="Textbody">
    <w:name w:val="Text body"/>
    <w:basedOn w:val="Standard"/>
    <w:pPr>
      <w:spacing w:after="120"/>
    </w:pPr>
  </w:style>
  <w:style w:type="paragraph" w:customStyle="1" w:styleId="Heading">
    <w:name w:val="Heading"/>
    <w:basedOn w:val="Standard"/>
    <w:next w:val="Textbody"/>
    <w:pPr>
      <w:keepNext/>
      <w:widowControl/>
      <w:shd w:val="clear" w:color="auto" w:fill="CCCCCC"/>
      <w:spacing w:before="240" w:after="120"/>
    </w:pPr>
    <w:rPr>
      <w:b/>
      <w:sz w:val="28"/>
      <w:szCs w:val="28"/>
    </w:rPr>
  </w:style>
  <w:style w:type="paragraph" w:styleId="Liste">
    <w:name w:val="List"/>
    <w:basedOn w:val="Textbody"/>
  </w:style>
  <w:style w:type="paragraph" w:styleId="En-tte">
    <w:name w:val="header"/>
    <w:basedOn w:val="Standard"/>
    <w:pPr>
      <w:suppressLineNumbers/>
      <w:tabs>
        <w:tab w:val="center" w:pos="4818"/>
        <w:tab w:val="right" w:pos="9637"/>
      </w:tabs>
    </w:pPr>
  </w:style>
  <w:style w:type="paragraph" w:styleId="Pieddepage">
    <w:name w:val="footer"/>
    <w:basedOn w:val="Standard"/>
    <w:pPr>
      <w:suppressLineNumbers/>
      <w:tabs>
        <w:tab w:val="center" w:pos="4818"/>
        <w:tab w:val="right" w:pos="9637"/>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styleId="Lgende">
    <w:name w:val="caption"/>
    <w:basedOn w:val="Standard"/>
    <w:pPr>
      <w:suppressLineNumbers/>
      <w:spacing w:before="120" w:after="120"/>
    </w:pPr>
    <w:rPr>
      <w:i/>
      <w:iCs/>
      <w:szCs w:val="20"/>
    </w:rPr>
  </w:style>
  <w:style w:type="paragraph" w:customStyle="1" w:styleId="Index">
    <w:name w:val="Index"/>
    <w:basedOn w:val="Standard"/>
    <w:pPr>
      <w:suppressLineNumbers/>
    </w:pPr>
  </w:style>
  <w:style w:type="paragraph" w:customStyle="1" w:styleId="Contents1">
    <w:name w:val="Contents 1"/>
    <w:basedOn w:val="Index"/>
    <w:pPr>
      <w:tabs>
        <w:tab w:val="right" w:leader="dot" w:pos="9637"/>
      </w:tabs>
      <w:spacing w:before="170"/>
    </w:pPr>
  </w:style>
  <w:style w:type="paragraph" w:customStyle="1" w:styleId="Contents2">
    <w:name w:val="Contents 2"/>
    <w:basedOn w:val="Index"/>
    <w:pPr>
      <w:tabs>
        <w:tab w:val="right" w:leader="dot" w:pos="9637"/>
      </w:tabs>
      <w:spacing w:before="170"/>
      <w:ind w:left="283"/>
    </w:pPr>
  </w:style>
  <w:style w:type="paragraph" w:customStyle="1" w:styleId="Contents3">
    <w:name w:val="Contents 3"/>
    <w:basedOn w:val="Index"/>
    <w:pPr>
      <w:tabs>
        <w:tab w:val="right" w:leader="dot" w:pos="9637"/>
      </w:tabs>
      <w:spacing w:before="170"/>
      <w:ind w:left="566"/>
    </w:pPr>
  </w:style>
  <w:style w:type="paragraph" w:customStyle="1" w:styleId="Contents4">
    <w:name w:val="Contents 4"/>
    <w:basedOn w:val="Index"/>
    <w:pPr>
      <w:tabs>
        <w:tab w:val="right" w:leader="dot" w:pos="9637"/>
      </w:tabs>
      <w:spacing w:before="170"/>
      <w:ind w:left="849"/>
    </w:pPr>
  </w:style>
  <w:style w:type="paragraph" w:customStyle="1" w:styleId="Contents5">
    <w:name w:val="Contents 5"/>
    <w:basedOn w:val="Index"/>
    <w:pPr>
      <w:tabs>
        <w:tab w:val="right" w:leader="dot" w:pos="9637"/>
      </w:tabs>
      <w:spacing w:before="170"/>
      <w:ind w:left="1132"/>
    </w:pPr>
  </w:style>
  <w:style w:type="paragraph" w:customStyle="1" w:styleId="Contents6">
    <w:name w:val="Contents 6"/>
    <w:basedOn w:val="Index"/>
    <w:pPr>
      <w:tabs>
        <w:tab w:val="right" w:leader="dot" w:pos="9637"/>
      </w:tabs>
      <w:spacing w:before="170"/>
      <w:ind w:left="1415"/>
    </w:pPr>
  </w:style>
  <w:style w:type="paragraph" w:customStyle="1" w:styleId="Trame">
    <w:name w:val="Trame"/>
    <w:basedOn w:val="Standard"/>
    <w:pPr>
      <w:shd w:val="clear" w:color="auto" w:fill="CCCCCC"/>
      <w:jc w:val="center"/>
    </w:pPr>
    <w:rPr>
      <w:b/>
      <w:sz w:val="40"/>
    </w:rPr>
  </w:style>
  <w:style w:type="paragraph" w:customStyle="1" w:styleId="Cadrerelief">
    <w:name w:val="Cadre_relief"/>
    <w:basedOn w:val="Standard"/>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Paragraphe">
    <w:name w:val="Paragraphe"/>
    <w:basedOn w:val="Standard"/>
    <w:qFormat/>
    <w:pPr>
      <w:spacing w:before="120"/>
    </w:pPr>
  </w:style>
  <w:style w:type="paragraph" w:customStyle="1" w:styleId="Paradouble">
    <w:name w:val="Para_double"/>
    <w:basedOn w:val="Paragraphe"/>
    <w:pPr>
      <w:spacing w:after="240"/>
    </w:pPr>
  </w:style>
  <w:style w:type="paragraph" w:customStyle="1" w:styleId="Parareponse">
    <w:name w:val="Para_reponse"/>
    <w:basedOn w:val="Standard"/>
    <w:pPr>
      <w:spacing w:before="120" w:after="120"/>
    </w:pPr>
  </w:style>
  <w:style w:type="paragraph" w:customStyle="1" w:styleId="Reponse">
    <w:name w:val="Reponse"/>
    <w:basedOn w:val="Standard"/>
    <w:pPr>
      <w:ind w:left="567" w:right="567"/>
    </w:pPr>
  </w:style>
  <w:style w:type="paragraph" w:customStyle="1" w:styleId="Drawing">
    <w:name w:val="Drawing"/>
    <w:basedOn w:val="Lgende"/>
  </w:style>
  <w:style w:type="paragraph" w:customStyle="1" w:styleId="Rub2">
    <w:name w:val="Rub 2"/>
    <w:basedOn w:val="Standard"/>
    <w:next w:val="Standard"/>
    <w:pPr>
      <w:keepNext/>
      <w:spacing w:before="240" w:after="120"/>
      <w:ind w:left="-142"/>
      <w:jc w:val="left"/>
    </w:pPr>
    <w:rPr>
      <w:rFonts w:eastAsia="Times New Roman" w:cs="Times New Roman"/>
      <w:b/>
      <w:smallCaps/>
    </w:rPr>
  </w:style>
  <w:style w:type="paragraph" w:customStyle="1" w:styleId="Rub1">
    <w:name w:val="Rub 1"/>
    <w:basedOn w:val="Standard"/>
    <w:next w:val="Standard"/>
    <w:pPr>
      <w:keepNext/>
      <w:spacing w:before="240"/>
      <w:ind w:left="-142"/>
    </w:pPr>
    <w:rPr>
      <w:b/>
      <w:caps/>
    </w:rPr>
  </w:style>
  <w:style w:type="paragraph" w:customStyle="1" w:styleId="Listenorma">
    <w:name w:val="Liste norma"/>
    <w:basedOn w:val="Standard"/>
    <w:pPr>
      <w:numPr>
        <w:numId w:val="2"/>
      </w:numPr>
    </w:pPr>
  </w:style>
  <w:style w:type="character" w:customStyle="1" w:styleId="Internetlink">
    <w:name w:val="Internet link"/>
    <w:rPr>
      <w:color w:val="000080"/>
      <w:u w:val="single"/>
    </w:rPr>
  </w:style>
  <w:style w:type="numbering" w:customStyle="1" w:styleId="WW8Num16">
    <w:name w:val="WW8Num16"/>
    <w:basedOn w:val="Aucuneliste"/>
    <w:pPr>
      <w:numPr>
        <w:numId w:val="2"/>
      </w:numPr>
    </w:pPr>
  </w:style>
  <w:style w:type="numbering" w:customStyle="1" w:styleId="WW8Num24">
    <w:name w:val="WW8Num24"/>
    <w:basedOn w:val="Aucuneliste"/>
    <w:pPr>
      <w:numPr>
        <w:numId w:val="3"/>
      </w:numPr>
    </w:pPr>
  </w:style>
  <w:style w:type="character" w:styleId="Marquedecommentaire">
    <w:name w:val="annotation reference"/>
    <w:basedOn w:val="Policepardfaut"/>
    <w:uiPriority w:val="99"/>
    <w:unhideWhenUsed/>
    <w:rsid w:val="00212448"/>
    <w:rPr>
      <w:sz w:val="16"/>
      <w:szCs w:val="16"/>
    </w:rPr>
  </w:style>
  <w:style w:type="paragraph" w:styleId="Commentaire">
    <w:name w:val="annotation text"/>
    <w:basedOn w:val="Normal"/>
    <w:link w:val="CommentaireCar"/>
    <w:uiPriority w:val="99"/>
    <w:unhideWhenUsed/>
    <w:rsid w:val="00212448"/>
    <w:rPr>
      <w:sz w:val="20"/>
      <w:szCs w:val="20"/>
    </w:rPr>
  </w:style>
  <w:style w:type="character" w:customStyle="1" w:styleId="CommentaireCar">
    <w:name w:val="Commentaire Car"/>
    <w:basedOn w:val="Policepardfaut"/>
    <w:link w:val="Commentaire"/>
    <w:uiPriority w:val="99"/>
    <w:rsid w:val="00212448"/>
    <w:rPr>
      <w:sz w:val="20"/>
      <w:szCs w:val="20"/>
    </w:rPr>
  </w:style>
  <w:style w:type="paragraph" w:styleId="Objetducommentaire">
    <w:name w:val="annotation subject"/>
    <w:basedOn w:val="Commentaire"/>
    <w:next w:val="Commentaire"/>
    <w:link w:val="ObjetducommentaireCar"/>
    <w:uiPriority w:val="99"/>
    <w:semiHidden/>
    <w:unhideWhenUsed/>
    <w:rsid w:val="00212448"/>
    <w:rPr>
      <w:b/>
      <w:bCs/>
    </w:rPr>
  </w:style>
  <w:style w:type="character" w:customStyle="1" w:styleId="ObjetducommentaireCar">
    <w:name w:val="Objet du commentaire Car"/>
    <w:basedOn w:val="CommentaireCar"/>
    <w:link w:val="Objetducommentaire"/>
    <w:uiPriority w:val="99"/>
    <w:semiHidden/>
    <w:rsid w:val="00212448"/>
    <w:rPr>
      <w:b/>
      <w:bCs/>
      <w:sz w:val="20"/>
      <w:szCs w:val="20"/>
    </w:rPr>
  </w:style>
  <w:style w:type="paragraph" w:styleId="Textedebulles">
    <w:name w:val="Balloon Text"/>
    <w:basedOn w:val="Normal"/>
    <w:link w:val="TextedebullesCar"/>
    <w:uiPriority w:val="99"/>
    <w:semiHidden/>
    <w:unhideWhenUsed/>
    <w:rsid w:val="00212448"/>
    <w:rPr>
      <w:rFonts w:ascii="Segoe UI" w:hAnsi="Segoe UI" w:cs="Segoe UI"/>
      <w:sz w:val="18"/>
      <w:szCs w:val="18"/>
    </w:rPr>
  </w:style>
  <w:style w:type="character" w:customStyle="1" w:styleId="TextedebullesCar">
    <w:name w:val="Texte de bulles Car"/>
    <w:basedOn w:val="Policepardfaut"/>
    <w:link w:val="Textedebulles"/>
    <w:uiPriority w:val="99"/>
    <w:semiHidden/>
    <w:rsid w:val="00212448"/>
    <w:rPr>
      <w:rFonts w:ascii="Segoe UI" w:hAnsi="Segoe UI" w:cs="Segoe UI"/>
      <w:sz w:val="18"/>
      <w:szCs w:val="18"/>
    </w:rPr>
  </w:style>
  <w:style w:type="table" w:styleId="Grilledutableau">
    <w:name w:val="Table Grid"/>
    <w:basedOn w:val="TableauNormal"/>
    <w:uiPriority w:val="59"/>
    <w:rsid w:val="00A81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B13F9F"/>
    <w:pPr>
      <w:widowControl/>
      <w:suppressAutoHyphens w:val="0"/>
      <w:autoSpaceDN/>
      <w:spacing w:before="119" w:after="119"/>
      <w:jc w:val="both"/>
      <w:textAlignment w:val="auto"/>
    </w:pPr>
    <w:rPr>
      <w:rFonts w:eastAsia="Times New Roman" w:cs="Times New Roman"/>
      <w:kern w:val="0"/>
      <w:sz w:val="22"/>
      <w:szCs w:val="22"/>
    </w:rPr>
  </w:style>
  <w:style w:type="character" w:customStyle="1" w:styleId="StandardCar">
    <w:name w:val="Standard Car"/>
    <w:link w:val="Standard"/>
    <w:rsid w:val="00B11538"/>
    <w:rPr>
      <w:sz w:val="20"/>
    </w:rPr>
  </w:style>
  <w:style w:type="paragraph" w:styleId="NormalWeb">
    <w:name w:val="Normal (Web)"/>
    <w:basedOn w:val="Normal"/>
    <w:uiPriority w:val="99"/>
    <w:unhideWhenUsed/>
    <w:rsid w:val="00F841C8"/>
    <w:pPr>
      <w:widowControl/>
      <w:suppressAutoHyphens w:val="0"/>
      <w:autoSpaceDN/>
      <w:spacing w:before="100" w:beforeAutospacing="1" w:after="142" w:line="288" w:lineRule="auto"/>
      <w:textAlignment w:val="auto"/>
    </w:pPr>
    <w:rPr>
      <w:rFonts w:eastAsia="Times New Roman" w:cs="Times New Roman"/>
      <w:kern w:val="0"/>
    </w:rPr>
  </w:style>
  <w:style w:type="paragraph" w:customStyle="1" w:styleId="Normal1">
    <w:name w:val="Normal1"/>
    <w:rsid w:val="001E1AC9"/>
    <w:pPr>
      <w:widowControl/>
      <w:autoSpaceDN/>
      <w:jc w:val="both"/>
    </w:pPr>
    <w:rPr>
      <w:rFonts w:eastAsia="Times New Roman" w:cs="Times New Roman"/>
      <w:color w:val="00000A"/>
      <w:kern w:val="0"/>
      <w:szCs w:val="20"/>
      <w:lang w:bidi="fr-FR"/>
    </w:rPr>
  </w:style>
  <w:style w:type="paragraph" w:styleId="Rvision">
    <w:name w:val="Revision"/>
    <w:hidden/>
    <w:uiPriority w:val="99"/>
    <w:semiHidden/>
    <w:rsid w:val="00AA2ACF"/>
    <w:pPr>
      <w:widowControl/>
      <w:suppressAutoHyphens w:val="0"/>
      <w:autoSpaceDN/>
      <w:textAlignment w:val="auto"/>
    </w:pPr>
  </w:style>
  <w:style w:type="paragraph" w:styleId="Paragraphedeliste">
    <w:name w:val="List Paragraph"/>
    <w:aliases w:val="6 pt paragraphe carré,Paragraphe de liste1,alinéa 1,List Paragraph1"/>
    <w:basedOn w:val="Normal"/>
    <w:link w:val="ParagraphedelisteCar"/>
    <w:qFormat/>
    <w:rsid w:val="009D1820"/>
    <w:pPr>
      <w:widowControl/>
      <w:suppressAutoHyphens w:val="0"/>
      <w:autoSpaceDN/>
      <w:spacing w:after="120" w:line="276" w:lineRule="auto"/>
      <w:ind w:left="720"/>
      <w:contextualSpacing/>
      <w:jc w:val="both"/>
      <w:textAlignment w:val="auto"/>
    </w:pPr>
    <w:rPr>
      <w:rFonts w:ascii="Calibri" w:eastAsiaTheme="minorHAnsi" w:hAnsi="Calibri" w:cstheme="minorBidi"/>
      <w:kern w:val="0"/>
      <w:sz w:val="22"/>
      <w:szCs w:val="22"/>
      <w:lang w:eastAsia="en-US"/>
    </w:rPr>
  </w:style>
  <w:style w:type="character" w:customStyle="1" w:styleId="ParagraphedelisteCar">
    <w:name w:val="Paragraphe de liste Car"/>
    <w:aliases w:val="6 pt paragraphe carré Car,Paragraphe de liste1 Car,alinéa 1 Car,List Paragraph1 Car"/>
    <w:basedOn w:val="Policepardfaut"/>
    <w:link w:val="Paragraphedeliste"/>
    <w:uiPriority w:val="34"/>
    <w:locked/>
    <w:rsid w:val="009D1820"/>
    <w:rPr>
      <w:rFonts w:ascii="Calibri" w:eastAsiaTheme="minorHAnsi" w:hAnsi="Calibri" w:cstheme="minorBidi"/>
      <w:kern w:val="0"/>
      <w:sz w:val="22"/>
      <w:szCs w:val="22"/>
      <w:lang w:eastAsia="en-US"/>
    </w:rPr>
  </w:style>
  <w:style w:type="paragraph" w:customStyle="1" w:styleId="Default">
    <w:name w:val="Default"/>
    <w:rsid w:val="000F108E"/>
    <w:pPr>
      <w:widowControl/>
      <w:suppressAutoHyphens w:val="0"/>
      <w:autoSpaceDE w:val="0"/>
      <w:adjustRightInd w:val="0"/>
      <w:textAlignment w:val="auto"/>
    </w:pPr>
    <w:rPr>
      <w:rFonts w:cs="Times New Roman"/>
      <w:color w:val="000000"/>
      <w:kern w:val="0"/>
    </w:rPr>
  </w:style>
  <w:style w:type="character" w:customStyle="1" w:styleId="normaltextrun">
    <w:name w:val="normaltextrun"/>
    <w:basedOn w:val="Policepardfaut"/>
    <w:rsid w:val="00F7162B"/>
  </w:style>
  <w:style w:type="character" w:customStyle="1" w:styleId="eop">
    <w:name w:val="eop"/>
    <w:basedOn w:val="Policepardfaut"/>
    <w:rsid w:val="00F7162B"/>
  </w:style>
  <w:style w:type="paragraph" w:customStyle="1" w:styleId="Style3">
    <w:name w:val="Style3"/>
    <w:basedOn w:val="Normal"/>
    <w:link w:val="Style3Car"/>
    <w:qFormat/>
    <w:rsid w:val="00FD2A87"/>
    <w:pPr>
      <w:widowControl/>
      <w:suppressAutoHyphens w:val="0"/>
      <w:autoSpaceDN/>
      <w:jc w:val="both"/>
      <w:textAlignment w:val="auto"/>
    </w:pPr>
    <w:rPr>
      <w:rFonts w:ascii="Arial" w:eastAsia="Times New Roman" w:hAnsi="Arial" w:cs="Arial"/>
      <w:kern w:val="0"/>
      <w:sz w:val="20"/>
      <w:szCs w:val="20"/>
      <w:lang w:eastAsia="en-US"/>
    </w:rPr>
  </w:style>
  <w:style w:type="character" w:customStyle="1" w:styleId="Style3Car">
    <w:name w:val="Style3 Car"/>
    <w:basedOn w:val="Policepardfaut"/>
    <w:link w:val="Style3"/>
    <w:rsid w:val="00FD2A87"/>
    <w:rPr>
      <w:rFonts w:ascii="Arial" w:eastAsia="Times New Roman" w:hAnsi="Arial" w:cs="Arial"/>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lille.tribunal-administratif.fr/acces-et-coordonne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Lien/"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5B98083ED1514BAB9A24A92D30F843" ma:contentTypeVersion="11" ma:contentTypeDescription="Crée un document." ma:contentTypeScope="" ma:versionID="b3a3f1d963e40a6f397ffdeb529c7011">
  <xsd:schema xmlns:xsd="http://www.w3.org/2001/XMLSchema" xmlns:xs="http://www.w3.org/2001/XMLSchema" xmlns:p="http://schemas.microsoft.com/office/2006/metadata/properties" xmlns:ns2="f88f7e32-813d-4564-9345-3027de355795" xmlns:ns3="ebdd1c2f-299d-4745-b291-6e5101ed3d74" targetNamespace="http://schemas.microsoft.com/office/2006/metadata/properties" ma:root="true" ma:fieldsID="c54ab34650a440941b2bb54973cdfc2b" ns2:_="" ns3:_="">
    <xsd:import namespace="f88f7e32-813d-4564-9345-3027de355795"/>
    <xsd:import namespace="ebdd1c2f-299d-4745-b291-6e5101ed3d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f7e32-813d-4564-9345-3027de355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d1c2f-299d-4745-b291-6e5101ed3d7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e7ea84-0b8b-44dc-aaf6-1c2b24fc955e}" ma:internalName="TaxCatchAll" ma:showField="CatchAllData" ma:web="ebdd1c2f-299d-4745-b291-6e5101ed3d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8f7e32-813d-4564-9345-3027de355795">
      <Terms xmlns="http://schemas.microsoft.com/office/infopath/2007/PartnerControls"/>
    </lcf76f155ced4ddcb4097134ff3c332f>
    <TaxCatchAll xmlns="ebdd1c2f-299d-4745-b291-6e5101ed3d7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2B70F8-353E-4CD8-91F6-A8D6E07CF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f7e32-813d-4564-9345-3027de355795"/>
    <ds:schemaRef ds:uri="ebdd1c2f-299d-4745-b291-6e5101ed3d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32A4B8-C2F8-47C0-9918-CD48D4513E6A}">
  <ds:schemaRefs>
    <ds:schemaRef ds:uri="http://schemas.microsoft.com/office/2006/metadata/properties"/>
    <ds:schemaRef ds:uri="http://schemas.microsoft.com/office/infopath/2007/PartnerControls"/>
    <ds:schemaRef ds:uri="396378e7-153f-4ab9-9f93-c5b0f26a4697"/>
    <ds:schemaRef ds:uri="2c52961c-71b5-4d26-84f0-38bb65ae9126"/>
    <ds:schemaRef ds:uri="8cbd1597-0ef6-4614-aa46-b98dd99fa3ef"/>
    <ds:schemaRef ds:uri="f88f7e32-813d-4564-9345-3027de355795"/>
    <ds:schemaRef ds:uri="ebdd1c2f-299d-4745-b291-6e5101ed3d74"/>
  </ds:schemaRefs>
</ds:datastoreItem>
</file>

<file path=customXml/itemProps3.xml><?xml version="1.0" encoding="utf-8"?>
<ds:datastoreItem xmlns:ds="http://schemas.openxmlformats.org/officeDocument/2006/customXml" ds:itemID="{17F7D99B-BC51-4B33-A444-26AEBBC556C9}">
  <ds:schemaRefs>
    <ds:schemaRef ds:uri="http://schemas.openxmlformats.org/officeDocument/2006/bibliography"/>
  </ds:schemaRefs>
</ds:datastoreItem>
</file>

<file path=customXml/itemProps4.xml><?xml version="1.0" encoding="utf-8"?>
<ds:datastoreItem xmlns:ds="http://schemas.openxmlformats.org/officeDocument/2006/customXml" ds:itemID="{0547F246-5B56-4ADF-8036-8E31761ED5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1879</Words>
  <Characters>10339</Characters>
  <Application>Microsoft Office Word</Application>
  <DocSecurity>0</DocSecurity>
  <Lines>86</Lines>
  <Paragraphs>24</Paragraphs>
  <ScaleCrop>false</ScaleCrop>
  <Company>VNF</Company>
  <LinksUpToDate>false</LinksUpToDate>
  <CharactersWithSpaces>12194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BENET</dc:creator>
  <cp:keywords/>
  <cp:lastModifiedBy>DOUCHET Fassiath</cp:lastModifiedBy>
  <cp:revision>14</cp:revision>
  <cp:lastPrinted>2020-02-24T10:32:00Z</cp:lastPrinted>
  <dcterms:created xsi:type="dcterms:W3CDTF">2025-10-01T08:21:00Z</dcterms:created>
  <dcterms:modified xsi:type="dcterms:W3CDTF">2025-10-14T14:31:00Z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0x0101009E5B98083ED1514BAB9A24A92D30F843</vt:lpwstr>
  </property>
  <property fmtid="{D5CDD505-2E9C-101B-9397-08002B2CF9AE}" pid="7" name="MediaServiceImageTags">
    <vt:lpwstr/>
  </property>
</Properties>
</file>