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87E80" w14:textId="0B505B59" w:rsidR="00A72224" w:rsidRDefault="00D47DF3" w:rsidP="00451ED3">
      <w:pPr>
        <w:tabs>
          <w:tab w:val="left" w:pos="8820"/>
        </w:tabs>
        <w:rPr>
          <w:rFonts w:ascii="Arial" w:hAnsi="Arial"/>
          <w:i/>
          <w:iCs/>
          <w:sz w:val="16"/>
          <w:szCs w:val="16"/>
        </w:rPr>
      </w:pPr>
      <w:r>
        <w:rPr>
          <w:noProof/>
        </w:rPr>
        <w:drawing>
          <wp:anchor distT="0" distB="0" distL="114300" distR="114300" simplePos="0" relativeHeight="251659264" behindDoc="0" locked="0" layoutInCell="1" allowOverlap="1" wp14:anchorId="24CD227A" wp14:editId="06426D96">
            <wp:simplePos x="0" y="0"/>
            <wp:positionH relativeFrom="column">
              <wp:posOffset>14605</wp:posOffset>
            </wp:positionH>
            <wp:positionV relativeFrom="paragraph">
              <wp:posOffset>-10795</wp:posOffset>
            </wp:positionV>
            <wp:extent cx="1250950" cy="11493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c_marqu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0950" cy="1149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A9CEA3" w14:textId="0901AF6C" w:rsidR="00A72224" w:rsidRDefault="00D47DF3" w:rsidP="00451ED3">
      <w:pPr>
        <w:tabs>
          <w:tab w:val="left" w:pos="8820"/>
        </w:tabs>
        <w:rPr>
          <w:rFonts w:ascii="Arial" w:hAnsi="Arial"/>
          <w:i/>
          <w:iCs/>
          <w:sz w:val="16"/>
          <w:szCs w:val="16"/>
        </w:rPr>
      </w:pPr>
      <w:r>
        <w:rPr>
          <w:noProof/>
        </w:rPr>
        <w:drawing>
          <wp:anchor distT="0" distB="0" distL="114300" distR="114300" simplePos="0" relativeHeight="251661312" behindDoc="0" locked="0" layoutInCell="1" allowOverlap="1" wp14:anchorId="074DF457" wp14:editId="3D72BA75">
            <wp:simplePos x="0" y="0"/>
            <wp:positionH relativeFrom="column">
              <wp:posOffset>4699635</wp:posOffset>
            </wp:positionH>
            <wp:positionV relativeFrom="paragraph">
              <wp:posOffset>83820</wp:posOffset>
            </wp:positionV>
            <wp:extent cx="1724025" cy="72580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4025" cy="725805"/>
                    </a:xfrm>
                    <a:prstGeom prst="rect">
                      <a:avLst/>
                    </a:prstGeom>
                    <a:noFill/>
                  </pic:spPr>
                </pic:pic>
              </a:graphicData>
            </a:graphic>
            <wp14:sizeRelH relativeFrom="page">
              <wp14:pctWidth>0</wp14:pctWidth>
            </wp14:sizeRelH>
            <wp14:sizeRelV relativeFrom="page">
              <wp14:pctHeight>0</wp14:pctHeight>
            </wp14:sizeRelV>
          </wp:anchor>
        </w:drawing>
      </w:r>
    </w:p>
    <w:p w14:paraId="1B6930C3" w14:textId="77777777" w:rsidR="00A72224" w:rsidRDefault="00A72224" w:rsidP="00451ED3">
      <w:pPr>
        <w:tabs>
          <w:tab w:val="left" w:pos="8820"/>
        </w:tabs>
        <w:rPr>
          <w:rFonts w:ascii="Arial" w:hAnsi="Arial"/>
          <w:i/>
          <w:iCs/>
          <w:sz w:val="16"/>
          <w:szCs w:val="16"/>
        </w:rPr>
      </w:pPr>
    </w:p>
    <w:p w14:paraId="6877DFE5" w14:textId="7A96DF4E" w:rsidR="00A72224" w:rsidRDefault="00A72224" w:rsidP="00451ED3">
      <w:pPr>
        <w:tabs>
          <w:tab w:val="left" w:pos="8820"/>
        </w:tabs>
        <w:rPr>
          <w:rFonts w:ascii="Arial" w:hAnsi="Arial"/>
          <w:i/>
          <w:iCs/>
          <w:sz w:val="16"/>
          <w:szCs w:val="16"/>
        </w:rPr>
      </w:pPr>
    </w:p>
    <w:p w14:paraId="451A364C" w14:textId="77777777" w:rsidR="00D47DF3" w:rsidRDefault="00D47DF3" w:rsidP="00451ED3">
      <w:pPr>
        <w:tabs>
          <w:tab w:val="left" w:pos="8820"/>
        </w:tabs>
        <w:rPr>
          <w:rFonts w:ascii="Arial" w:hAnsi="Arial"/>
          <w:i/>
          <w:iCs/>
          <w:sz w:val="16"/>
          <w:szCs w:val="16"/>
        </w:rPr>
      </w:pPr>
    </w:p>
    <w:p w14:paraId="19A1D9F4" w14:textId="77777777" w:rsidR="00D47DF3" w:rsidRDefault="00D47DF3" w:rsidP="00451ED3">
      <w:pPr>
        <w:tabs>
          <w:tab w:val="left" w:pos="8820"/>
        </w:tabs>
        <w:rPr>
          <w:rFonts w:ascii="Arial" w:hAnsi="Arial"/>
          <w:i/>
          <w:iCs/>
          <w:sz w:val="16"/>
          <w:szCs w:val="16"/>
        </w:rPr>
      </w:pPr>
    </w:p>
    <w:p w14:paraId="71331F08" w14:textId="77777777" w:rsidR="00D47DF3" w:rsidRDefault="00D47DF3" w:rsidP="00451ED3">
      <w:pPr>
        <w:tabs>
          <w:tab w:val="left" w:pos="8820"/>
        </w:tabs>
        <w:rPr>
          <w:rFonts w:ascii="Arial" w:hAnsi="Arial"/>
          <w:i/>
          <w:iCs/>
          <w:sz w:val="16"/>
          <w:szCs w:val="16"/>
        </w:rPr>
      </w:pPr>
    </w:p>
    <w:p w14:paraId="513A7B5A" w14:textId="77777777" w:rsidR="00D47DF3" w:rsidRDefault="00D47DF3" w:rsidP="00451ED3">
      <w:pPr>
        <w:tabs>
          <w:tab w:val="left" w:pos="8820"/>
        </w:tabs>
        <w:rPr>
          <w:rFonts w:ascii="Arial" w:hAnsi="Arial"/>
          <w:i/>
          <w:iCs/>
          <w:sz w:val="16"/>
          <w:szCs w:val="16"/>
        </w:rPr>
      </w:pPr>
    </w:p>
    <w:p w14:paraId="4B9B18DE" w14:textId="77777777" w:rsidR="00D47DF3" w:rsidRDefault="00D47DF3" w:rsidP="00451ED3">
      <w:pPr>
        <w:tabs>
          <w:tab w:val="left" w:pos="8820"/>
        </w:tabs>
        <w:rPr>
          <w:rFonts w:ascii="Arial" w:hAnsi="Arial"/>
          <w:i/>
          <w:iCs/>
          <w:sz w:val="16"/>
          <w:szCs w:val="16"/>
        </w:rPr>
      </w:pPr>
    </w:p>
    <w:p w14:paraId="1815C914" w14:textId="77777777" w:rsidR="00D47DF3" w:rsidRDefault="00D47DF3" w:rsidP="00451ED3">
      <w:pPr>
        <w:tabs>
          <w:tab w:val="left" w:pos="8820"/>
        </w:tabs>
        <w:rPr>
          <w:rFonts w:ascii="Arial" w:hAnsi="Arial"/>
          <w:i/>
          <w:iCs/>
          <w:sz w:val="16"/>
          <w:szCs w:val="16"/>
        </w:rPr>
      </w:pPr>
    </w:p>
    <w:p w14:paraId="16CFC23C" w14:textId="77777777" w:rsidR="00D47DF3" w:rsidRDefault="00D47DF3" w:rsidP="00451ED3">
      <w:pPr>
        <w:tabs>
          <w:tab w:val="left" w:pos="8820"/>
        </w:tabs>
        <w:rPr>
          <w:rFonts w:ascii="Arial" w:hAnsi="Arial"/>
          <w:i/>
          <w:iCs/>
          <w:sz w:val="16"/>
          <w:szCs w:val="16"/>
        </w:rPr>
      </w:pPr>
    </w:p>
    <w:p w14:paraId="3B5B3397" w14:textId="77777777" w:rsidR="00D47DF3" w:rsidRPr="00D47DF3" w:rsidRDefault="00D47DF3" w:rsidP="00451ED3">
      <w:pPr>
        <w:tabs>
          <w:tab w:val="left" w:pos="8820"/>
        </w:tabs>
        <w:rPr>
          <w:rFonts w:ascii="Arial" w:hAnsi="Arial" w:cs="Arial"/>
          <w:i/>
          <w:iCs/>
          <w:sz w:val="20"/>
          <w:szCs w:val="20"/>
        </w:rPr>
      </w:pPr>
    </w:p>
    <w:p w14:paraId="4481AF02" w14:textId="77777777" w:rsidR="00D47DF3" w:rsidRPr="00D47DF3" w:rsidRDefault="00D47DF3" w:rsidP="00D47DF3">
      <w:pPr>
        <w:tabs>
          <w:tab w:val="left" w:pos="1700"/>
          <w:tab w:val="left" w:pos="2640"/>
          <w:tab w:val="left" w:pos="3980"/>
        </w:tabs>
        <w:autoSpaceDE w:val="0"/>
        <w:autoSpaceDN w:val="0"/>
        <w:adjustRightInd w:val="0"/>
        <w:spacing w:line="160" w:lineRule="atLeast"/>
        <w:ind w:right="6"/>
        <w:rPr>
          <w:rFonts w:ascii="Arial" w:hAnsi="Arial" w:cs="Arial"/>
          <w:b/>
          <w:color w:val="000000"/>
        </w:rPr>
      </w:pPr>
      <w:r w:rsidRPr="00D47DF3">
        <w:rPr>
          <w:rFonts w:ascii="Arial" w:hAnsi="Arial" w:cs="Arial"/>
          <w:b/>
          <w:color w:val="000000"/>
        </w:rPr>
        <w:t>Institut national de l’information géographique et forestière (IGN)</w:t>
      </w:r>
    </w:p>
    <w:p w14:paraId="3E23AEA0" w14:textId="77777777" w:rsidR="00D47DF3" w:rsidRPr="00D47DF3" w:rsidRDefault="00D47DF3" w:rsidP="00D47DF3">
      <w:pPr>
        <w:tabs>
          <w:tab w:val="left" w:pos="1700"/>
          <w:tab w:val="left" w:pos="2640"/>
          <w:tab w:val="left" w:pos="3980"/>
        </w:tabs>
        <w:autoSpaceDE w:val="0"/>
        <w:autoSpaceDN w:val="0"/>
        <w:adjustRightInd w:val="0"/>
        <w:spacing w:line="160" w:lineRule="atLeast"/>
        <w:ind w:right="6"/>
        <w:rPr>
          <w:rFonts w:ascii="Arial" w:hAnsi="Arial" w:cs="Arial"/>
          <w:color w:val="000000"/>
        </w:rPr>
      </w:pPr>
      <w:r w:rsidRPr="00D47DF3">
        <w:rPr>
          <w:rFonts w:ascii="Arial" w:hAnsi="Arial" w:cs="Arial"/>
          <w:color w:val="000000"/>
        </w:rPr>
        <w:t>Etablissement Public de l'Etat à caractère administratif</w:t>
      </w:r>
    </w:p>
    <w:p w14:paraId="79EF143A" w14:textId="77777777" w:rsidR="00D47DF3" w:rsidRPr="00D47DF3" w:rsidRDefault="00D47DF3" w:rsidP="00D47DF3">
      <w:pPr>
        <w:tabs>
          <w:tab w:val="left" w:pos="1700"/>
          <w:tab w:val="left" w:pos="2640"/>
          <w:tab w:val="left" w:pos="3980"/>
        </w:tabs>
        <w:autoSpaceDE w:val="0"/>
        <w:autoSpaceDN w:val="0"/>
        <w:adjustRightInd w:val="0"/>
        <w:spacing w:line="160" w:lineRule="atLeast"/>
        <w:ind w:right="6"/>
        <w:rPr>
          <w:rFonts w:ascii="Arial" w:hAnsi="Arial" w:cs="Arial"/>
          <w:color w:val="000000"/>
        </w:rPr>
      </w:pPr>
      <w:r w:rsidRPr="00D47DF3">
        <w:rPr>
          <w:rFonts w:ascii="Arial" w:hAnsi="Arial" w:cs="Arial"/>
          <w:color w:val="000000"/>
        </w:rPr>
        <w:t>73 avenue de Paris</w:t>
      </w:r>
    </w:p>
    <w:p w14:paraId="63E7E8AF" w14:textId="77777777" w:rsidR="00D47DF3" w:rsidRPr="00D47DF3" w:rsidRDefault="00D47DF3" w:rsidP="00D47DF3">
      <w:pPr>
        <w:tabs>
          <w:tab w:val="left" w:pos="1700"/>
          <w:tab w:val="left" w:pos="2640"/>
          <w:tab w:val="left" w:pos="3980"/>
        </w:tabs>
        <w:autoSpaceDE w:val="0"/>
        <w:autoSpaceDN w:val="0"/>
        <w:adjustRightInd w:val="0"/>
        <w:spacing w:line="160" w:lineRule="atLeast"/>
        <w:ind w:right="6"/>
        <w:rPr>
          <w:rFonts w:ascii="Arial" w:hAnsi="Arial" w:cs="Arial"/>
          <w:color w:val="000000"/>
        </w:rPr>
      </w:pPr>
      <w:r w:rsidRPr="00D47DF3">
        <w:rPr>
          <w:rFonts w:ascii="Arial" w:hAnsi="Arial" w:cs="Arial"/>
          <w:color w:val="000000"/>
        </w:rPr>
        <w:t>94160 Saint-Mandé</w:t>
      </w:r>
    </w:p>
    <w:p w14:paraId="0BB5F88A" w14:textId="1FC6651A" w:rsidR="006835DA" w:rsidRDefault="006835DA" w:rsidP="00451ED3">
      <w:pPr>
        <w:rPr>
          <w:rFonts w:ascii="Arial" w:hAnsi="Arial"/>
          <w:i/>
          <w:iCs/>
          <w:sz w:val="16"/>
          <w:szCs w:val="16"/>
        </w:rPr>
      </w:pPr>
    </w:p>
    <w:p w14:paraId="50CF8E96" w14:textId="77777777" w:rsidR="00A72224" w:rsidRDefault="00A72224" w:rsidP="00451ED3">
      <w:pPr>
        <w:rPr>
          <w:rFonts w:ascii="Arial" w:hAnsi="Arial"/>
          <w:i/>
          <w:iCs/>
          <w:sz w:val="16"/>
          <w:szCs w:val="16"/>
        </w:rPr>
      </w:pPr>
    </w:p>
    <w:p w14:paraId="3D51FB86" w14:textId="77777777" w:rsidR="00DF75CB" w:rsidRDefault="00DF75CB" w:rsidP="00451ED3">
      <w:pPr>
        <w:rPr>
          <w:rFonts w:ascii="Arial" w:hAnsi="Arial"/>
          <w:i/>
          <w:iCs/>
          <w:sz w:val="16"/>
          <w:szCs w:val="16"/>
        </w:rPr>
      </w:pPr>
    </w:p>
    <w:p w14:paraId="65BBD8AF" w14:textId="77777777" w:rsidR="00D47DF3" w:rsidRPr="00D47DF3" w:rsidRDefault="00D47DF3" w:rsidP="00D47DF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rPr>
          <w:rFonts w:ascii="Arial" w:hAnsi="Arial" w:cs="Arial"/>
        </w:rPr>
      </w:pPr>
      <w:r w:rsidRPr="00D47DF3">
        <w:rPr>
          <w:rFonts w:ascii="Arial" w:hAnsi="Arial" w:cs="Arial"/>
        </w:rPr>
        <w:t>Code T.V.A. de l'IGN : FR18180067019</w:t>
      </w:r>
    </w:p>
    <w:p w14:paraId="72749860" w14:textId="77777777" w:rsidR="00D47DF3" w:rsidRPr="00D47DF3" w:rsidRDefault="00D47DF3" w:rsidP="00D47DF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rPr>
          <w:rFonts w:ascii="Arial" w:hAnsi="Arial" w:cs="Arial"/>
        </w:rPr>
      </w:pPr>
    </w:p>
    <w:p w14:paraId="7E067CCE" w14:textId="77777777" w:rsidR="00D47DF3" w:rsidRPr="00D47DF3" w:rsidRDefault="00D47DF3" w:rsidP="00D47DF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60"/>
        </w:tabs>
        <w:suppressAutoHyphens/>
        <w:rPr>
          <w:rFonts w:ascii="Arial" w:hAnsi="Arial" w:cs="Arial"/>
        </w:rPr>
      </w:pPr>
    </w:p>
    <w:p w14:paraId="17094D9C" w14:textId="0AC5D368" w:rsidR="00D47DF3" w:rsidRPr="00774E50" w:rsidRDefault="00774E50" w:rsidP="00774E50">
      <w:pPr>
        <w:tabs>
          <w:tab w:val="left" w:pos="1700"/>
          <w:tab w:val="left" w:pos="2640"/>
          <w:tab w:val="left" w:pos="3980"/>
        </w:tabs>
        <w:autoSpaceDE w:val="0"/>
        <w:autoSpaceDN w:val="0"/>
        <w:adjustRightInd w:val="0"/>
        <w:spacing w:line="160" w:lineRule="atLeast"/>
        <w:ind w:right="6"/>
        <w:jc w:val="center"/>
        <w:rPr>
          <w:rFonts w:ascii="Arial" w:hAnsi="Arial" w:cs="Arial"/>
          <w:color w:val="000000"/>
        </w:rPr>
      </w:pPr>
      <w:bookmarkStart w:id="0" w:name="_Hlk208387182"/>
      <w:r w:rsidRPr="00774E50">
        <w:rPr>
          <w:rFonts w:ascii="Arial" w:hAnsi="Arial" w:cs="Arial"/>
          <w:color w:val="000000"/>
        </w:rPr>
        <w:t>Représenté par M. Sébastien Soriano, Directeur général de l’IGN, nommé par décret du 3 janvier 2025 (JORF n°0003 du 4 janvier 2025</w:t>
      </w:r>
      <w:r w:rsidR="00BE10DE">
        <w:rPr>
          <w:rFonts w:ascii="Arial" w:hAnsi="Arial" w:cs="Arial"/>
          <w:color w:val="000000"/>
        </w:rPr>
        <w:t>)</w:t>
      </w:r>
    </w:p>
    <w:bookmarkEnd w:id="0"/>
    <w:p w14:paraId="5AF31F6E" w14:textId="77777777" w:rsidR="00D47DF3"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bCs/>
        </w:rPr>
      </w:pPr>
    </w:p>
    <w:p w14:paraId="57D5DB08" w14:textId="77777777" w:rsidR="00D47DF3"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bCs/>
        </w:rPr>
      </w:pPr>
    </w:p>
    <w:p w14:paraId="42409ED1" w14:textId="77777777" w:rsidR="00D47DF3" w:rsidRPr="00D47DF3" w:rsidRDefault="00D47DF3" w:rsidP="00D47DF3">
      <w:pPr>
        <w:tabs>
          <w:tab w:val="left" w:pos="1700"/>
          <w:tab w:val="left" w:pos="2640"/>
          <w:tab w:val="left" w:pos="3980"/>
        </w:tabs>
        <w:autoSpaceDE w:val="0"/>
        <w:autoSpaceDN w:val="0"/>
        <w:adjustRightInd w:val="0"/>
        <w:spacing w:line="160" w:lineRule="atLeast"/>
        <w:ind w:right="6"/>
        <w:jc w:val="center"/>
        <w:rPr>
          <w:rFonts w:ascii="Arial" w:hAnsi="Arial" w:cs="Arial"/>
        </w:rPr>
      </w:pPr>
    </w:p>
    <w:p w14:paraId="3A51D7B2" w14:textId="77777777" w:rsidR="00D47DF3" w:rsidRPr="001B769A" w:rsidRDefault="00D47DF3" w:rsidP="00D47DF3">
      <w:pPr>
        <w:tabs>
          <w:tab w:val="left" w:pos="1700"/>
          <w:tab w:val="left" w:pos="2640"/>
          <w:tab w:val="left" w:pos="3980"/>
        </w:tabs>
        <w:autoSpaceDE w:val="0"/>
        <w:autoSpaceDN w:val="0"/>
        <w:adjustRightInd w:val="0"/>
        <w:spacing w:line="160" w:lineRule="atLeast"/>
        <w:ind w:right="6"/>
        <w:jc w:val="center"/>
        <w:rPr>
          <w:rFonts w:cstheme="minorHAnsi"/>
        </w:rPr>
      </w:pPr>
    </w:p>
    <w:p w14:paraId="48C31B6F" w14:textId="5694C2FB" w:rsidR="00D47DF3" w:rsidRPr="00D47DF3" w:rsidRDefault="00D47DF3" w:rsidP="00D47DF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rFonts w:cstheme="minorHAnsi"/>
          <w:b/>
          <w:sz w:val="48"/>
          <w:szCs w:val="48"/>
        </w:rPr>
      </w:pPr>
      <w:r w:rsidRPr="00D47DF3">
        <w:rPr>
          <w:rFonts w:cstheme="minorHAnsi"/>
          <w:b/>
          <w:sz w:val="48"/>
          <w:szCs w:val="48"/>
        </w:rPr>
        <w:t xml:space="preserve">CADRE DE REPONSE </w:t>
      </w:r>
      <w:r>
        <w:rPr>
          <w:rFonts w:cstheme="minorHAnsi"/>
          <w:b/>
          <w:sz w:val="48"/>
          <w:szCs w:val="48"/>
        </w:rPr>
        <w:t>DU</w:t>
      </w:r>
    </w:p>
    <w:p w14:paraId="70CC9AD5" w14:textId="20404EAB" w:rsidR="00D47DF3" w:rsidRPr="001B769A" w:rsidRDefault="00D47DF3" w:rsidP="00D47DF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uppressAutoHyphens/>
        <w:jc w:val="center"/>
        <w:rPr>
          <w:rFonts w:cstheme="minorHAnsi"/>
          <w:b/>
          <w:sz w:val="48"/>
          <w:szCs w:val="48"/>
        </w:rPr>
      </w:pPr>
      <w:r w:rsidRPr="00D47DF3">
        <w:rPr>
          <w:rFonts w:cstheme="minorHAnsi"/>
          <w:b/>
          <w:sz w:val="48"/>
          <w:szCs w:val="48"/>
        </w:rPr>
        <w:t>MEMOIRE TECHNIQUE</w:t>
      </w:r>
      <w:r>
        <w:rPr>
          <w:rFonts w:cstheme="minorHAnsi"/>
          <w:b/>
          <w:sz w:val="48"/>
          <w:szCs w:val="48"/>
        </w:rPr>
        <w:t xml:space="preserve"> (CMT)</w:t>
      </w:r>
    </w:p>
    <w:p w14:paraId="4B85C3F8" w14:textId="77777777" w:rsidR="00D47DF3" w:rsidRDefault="00D47DF3" w:rsidP="00451ED3">
      <w:pPr>
        <w:rPr>
          <w:rFonts w:ascii="Arial" w:hAnsi="Arial"/>
          <w:i/>
          <w:iCs/>
          <w:sz w:val="16"/>
          <w:szCs w:val="16"/>
        </w:rPr>
      </w:pPr>
    </w:p>
    <w:p w14:paraId="392C8980" w14:textId="77777777" w:rsidR="00DF75CB" w:rsidRDefault="00DF75CB" w:rsidP="00451ED3">
      <w:pPr>
        <w:rPr>
          <w:rFonts w:ascii="Arial" w:hAnsi="Arial"/>
          <w:i/>
          <w:iCs/>
          <w:sz w:val="16"/>
          <w:szCs w:val="16"/>
        </w:rPr>
      </w:pPr>
    </w:p>
    <w:p w14:paraId="254DA792" w14:textId="77777777" w:rsidR="00D47DF3" w:rsidRDefault="00D47DF3" w:rsidP="00451ED3">
      <w:pPr>
        <w:rPr>
          <w:rFonts w:ascii="Arial" w:hAnsi="Arial"/>
          <w:i/>
          <w:iCs/>
          <w:sz w:val="16"/>
          <w:szCs w:val="16"/>
        </w:rPr>
      </w:pPr>
    </w:p>
    <w:p w14:paraId="2F2258B2" w14:textId="77777777" w:rsidR="00D47DF3" w:rsidRDefault="00D47DF3" w:rsidP="00451ED3">
      <w:pPr>
        <w:rPr>
          <w:rFonts w:ascii="Arial" w:hAnsi="Arial"/>
          <w:i/>
          <w:iCs/>
          <w:sz w:val="16"/>
          <w:szCs w:val="16"/>
        </w:rPr>
      </w:pPr>
    </w:p>
    <w:p w14:paraId="459E030F" w14:textId="77777777" w:rsidR="00A72224" w:rsidRDefault="00A72224" w:rsidP="00451ED3">
      <w:pPr>
        <w:rPr>
          <w:rFonts w:ascii="Arial" w:hAnsi="Arial"/>
          <w:i/>
          <w:iCs/>
          <w:sz w:val="16"/>
          <w:szCs w:val="16"/>
        </w:rPr>
      </w:pPr>
    </w:p>
    <w:p w14:paraId="59E825DF" w14:textId="00015B4E" w:rsidR="00A72224" w:rsidRPr="00D47DF3" w:rsidRDefault="00A72224" w:rsidP="00A72224">
      <w:pPr>
        <w:jc w:val="center"/>
        <w:rPr>
          <w:rFonts w:ascii="Arial" w:hAnsi="Arial"/>
          <w:iCs/>
          <w:sz w:val="20"/>
          <w:szCs w:val="20"/>
        </w:rPr>
      </w:pPr>
      <w:r w:rsidRPr="00D47DF3">
        <w:rPr>
          <w:rFonts w:ascii="Arial" w:hAnsi="Arial"/>
          <w:iCs/>
          <w:sz w:val="20"/>
          <w:szCs w:val="20"/>
        </w:rPr>
        <w:t>CONSULTATION</w:t>
      </w:r>
      <w:r w:rsidR="00972FFD">
        <w:rPr>
          <w:rFonts w:ascii="Arial" w:hAnsi="Arial"/>
          <w:iCs/>
          <w:sz w:val="20"/>
          <w:szCs w:val="20"/>
        </w:rPr>
        <w:t xml:space="preserve"> SILOG 25005</w:t>
      </w:r>
    </w:p>
    <w:p w14:paraId="5F0C8632" w14:textId="77777777" w:rsidR="006835DA" w:rsidRDefault="006835DA" w:rsidP="00451ED3">
      <w:pPr>
        <w:rPr>
          <w:rFonts w:ascii="Arial" w:hAnsi="Arial"/>
          <w:i/>
          <w:iCs/>
          <w:sz w:val="16"/>
          <w:szCs w:val="16"/>
        </w:rPr>
      </w:pPr>
    </w:p>
    <w:p w14:paraId="7E85119D" w14:textId="77777777" w:rsidR="006835DA" w:rsidRDefault="006835DA" w:rsidP="00451ED3">
      <w:pPr>
        <w:rPr>
          <w:rFonts w:ascii="Arial" w:hAnsi="Arial"/>
          <w:i/>
          <w:iCs/>
          <w:sz w:val="16"/>
          <w:szCs w:val="16"/>
        </w:rPr>
      </w:pPr>
    </w:p>
    <w:p w14:paraId="0D2B13B5" w14:textId="77777777" w:rsidR="00DF75CB" w:rsidRPr="00F021AE" w:rsidRDefault="00DF75CB" w:rsidP="00451ED3">
      <w:pPr>
        <w:rPr>
          <w:rFonts w:ascii="Arial" w:hAnsi="Arial"/>
          <w:i/>
          <w:iCs/>
          <w:sz w:val="16"/>
          <w:szCs w:val="16"/>
        </w:rPr>
      </w:pPr>
    </w:p>
    <w:p w14:paraId="26161DCA" w14:textId="77777777" w:rsidR="00451ED3" w:rsidRPr="00433172" w:rsidRDefault="00451ED3" w:rsidP="00451ED3">
      <w:pPr>
        <w:rPr>
          <w:sz w:val="16"/>
          <w:szCs w:val="16"/>
        </w:rPr>
      </w:pPr>
    </w:p>
    <w:p w14:paraId="57F90364" w14:textId="79543F0D" w:rsidR="00401FD1" w:rsidRPr="00401FD1" w:rsidRDefault="00401FD1" w:rsidP="00401FD1">
      <w:pPr>
        <w:rPr>
          <w:rFonts w:ascii="Calibri" w:hAnsi="Calibri" w:cs="Calibri"/>
          <w:b/>
          <w:bCs/>
          <w:sz w:val="32"/>
          <w:szCs w:val="32"/>
        </w:rPr>
      </w:pPr>
      <w:bookmarkStart w:id="1" w:name="_Hlk212648884"/>
      <w:bookmarkStart w:id="2" w:name="_Hlk198108672"/>
      <w:r w:rsidRPr="00401FD1">
        <w:rPr>
          <w:rFonts w:ascii="Calibri" w:hAnsi="Calibri" w:cs="Calibri"/>
          <w:b/>
          <w:bCs/>
          <w:sz w:val="32"/>
          <w:szCs w:val="32"/>
        </w:rPr>
        <w:t>Mission d’études (tranche ferme) et mission de maîtrise d’œuvre (tranche conditionnelle) pour le remplacement du groupe froid de secours et des centrales frigorifiques des chambres froides du bâtiment B, ainsi que pour le diagnostic de performance de la salle informatique du bâtiment P à Saint-Mandé</w:t>
      </w:r>
      <w:bookmarkEnd w:id="1"/>
      <w:r w:rsidRPr="00401FD1">
        <w:rPr>
          <w:rFonts w:ascii="Calibri" w:hAnsi="Calibri" w:cs="Calibri"/>
          <w:b/>
          <w:bCs/>
          <w:sz w:val="32"/>
          <w:szCs w:val="32"/>
        </w:rPr>
        <w:t xml:space="preserve"> (94)</w:t>
      </w:r>
    </w:p>
    <w:p w14:paraId="74B7CCBD" w14:textId="07040958" w:rsidR="00972FFD" w:rsidRPr="00445A5D" w:rsidRDefault="00972FFD" w:rsidP="00401FD1">
      <w:pPr>
        <w:rPr>
          <w:rFonts w:ascii="Calibri" w:hAnsi="Calibri" w:cs="Calibri"/>
          <w:b/>
          <w:bCs/>
          <w:sz w:val="32"/>
          <w:szCs w:val="32"/>
        </w:rPr>
      </w:pPr>
    </w:p>
    <w:bookmarkEnd w:id="2"/>
    <w:p w14:paraId="5DD012A1" w14:textId="77777777" w:rsidR="00451ED3" w:rsidRDefault="00451ED3" w:rsidP="00451ED3"/>
    <w:p w14:paraId="2D7145DF" w14:textId="77777777" w:rsidR="00451ED3" w:rsidRDefault="00451ED3" w:rsidP="00451ED3"/>
    <w:p w14:paraId="5C7B42AA" w14:textId="77777777" w:rsidR="00D47DF3" w:rsidRDefault="00D47DF3" w:rsidP="00451ED3"/>
    <w:p w14:paraId="7FB96DAA" w14:textId="77777777" w:rsidR="00D47DF3" w:rsidRDefault="00D47DF3" w:rsidP="00451ED3"/>
    <w:p w14:paraId="07B100E8" w14:textId="77777777" w:rsidR="00D47DF3" w:rsidRDefault="00D47DF3" w:rsidP="00451ED3"/>
    <w:p w14:paraId="2C7C785C" w14:textId="77777777" w:rsidR="00D47DF3" w:rsidRDefault="00D47DF3" w:rsidP="00451ED3"/>
    <w:p w14:paraId="3E221E1D" w14:textId="77777777" w:rsidR="00D47DF3" w:rsidRDefault="00D47DF3" w:rsidP="00451ED3"/>
    <w:p w14:paraId="3DEA1D52" w14:textId="77777777" w:rsidR="00D47DF3" w:rsidRDefault="00D47DF3" w:rsidP="00451ED3"/>
    <w:p w14:paraId="66EE01F1" w14:textId="77777777" w:rsidR="00DF75CB" w:rsidRDefault="00DF75CB" w:rsidP="00451ED3"/>
    <w:p w14:paraId="32ACBBA0" w14:textId="77777777" w:rsidR="00DF75CB" w:rsidRDefault="00DF75CB" w:rsidP="00451ED3"/>
    <w:p w14:paraId="30FD5CEF" w14:textId="4BC7019D" w:rsidR="00DF75CB" w:rsidRPr="004A0016" w:rsidRDefault="00DF75CB" w:rsidP="00DF75CB">
      <w:pPr>
        <w:jc w:val="both"/>
        <w:rPr>
          <w:rFonts w:ascii="Arial" w:hAnsi="Arial" w:cs="Arial"/>
        </w:rPr>
      </w:pPr>
      <w:r w:rsidRPr="004A0016">
        <w:rPr>
          <w:rFonts w:ascii="Arial" w:hAnsi="Arial" w:cs="Arial"/>
        </w:rPr>
        <w:lastRenderedPageBreak/>
        <w:t>Le présent cadre de réponse technique a pour objet de juger la valeur technique de l’offre du candidat.</w:t>
      </w:r>
    </w:p>
    <w:p w14:paraId="02E2FD0B" w14:textId="6580C1EE" w:rsidR="00DF75CB" w:rsidRPr="004A0016" w:rsidRDefault="00DF75CB" w:rsidP="00DF75CB">
      <w:pPr>
        <w:jc w:val="both"/>
        <w:rPr>
          <w:rFonts w:ascii="Arial" w:hAnsi="Arial" w:cs="Arial"/>
        </w:rPr>
      </w:pPr>
      <w:r w:rsidRPr="004A0016">
        <w:rPr>
          <w:rFonts w:ascii="Arial" w:hAnsi="Arial" w:cs="Arial"/>
        </w:rPr>
        <w:t xml:space="preserve">Le présent cadre de réponse technique doit être complété par le candidat sous peine d’irrégularité de l’offre. </w:t>
      </w:r>
    </w:p>
    <w:p w14:paraId="591235A8" w14:textId="77777777" w:rsidR="00DF75CB" w:rsidRPr="004A0016" w:rsidRDefault="00DF75CB" w:rsidP="00DF75CB">
      <w:pPr>
        <w:jc w:val="both"/>
        <w:rPr>
          <w:rFonts w:ascii="Arial" w:hAnsi="Arial" w:cs="Arial"/>
        </w:rPr>
      </w:pPr>
      <w:r w:rsidRPr="004A0016">
        <w:rPr>
          <w:rFonts w:ascii="Arial" w:hAnsi="Arial" w:cs="Arial"/>
        </w:rPr>
        <w:t xml:space="preserve">Les réponses du candidat ne doivent pas être une simple énumération de l’organisation des moyens généraux de l’Entreprise. </w:t>
      </w:r>
    </w:p>
    <w:p w14:paraId="2AA163BF" w14:textId="77777777" w:rsidR="00DF75CB" w:rsidRPr="004A0016" w:rsidRDefault="00DF75CB" w:rsidP="00DF75CB">
      <w:pPr>
        <w:jc w:val="both"/>
        <w:rPr>
          <w:rFonts w:ascii="Arial" w:hAnsi="Arial" w:cs="Arial"/>
        </w:rPr>
      </w:pPr>
      <w:r w:rsidRPr="004A0016">
        <w:rPr>
          <w:rFonts w:ascii="Arial" w:hAnsi="Arial" w:cs="Arial"/>
        </w:rPr>
        <w:t>Le candidat doit indiquer, par item, les dispositions qu'il compte adopter en complément des exigences figurant déjà au cahier des charges.</w:t>
      </w:r>
    </w:p>
    <w:p w14:paraId="0C7C6E95" w14:textId="77777777" w:rsidR="00DF75CB" w:rsidRPr="004A0016" w:rsidRDefault="00DF75CB" w:rsidP="00DF75CB">
      <w:pPr>
        <w:jc w:val="both"/>
        <w:rPr>
          <w:rFonts w:ascii="Arial" w:hAnsi="Arial" w:cs="Arial"/>
        </w:rPr>
      </w:pPr>
      <w:r w:rsidRPr="004A0016">
        <w:rPr>
          <w:rFonts w:ascii="Arial" w:hAnsi="Arial" w:cs="Arial"/>
        </w:rPr>
        <w:t xml:space="preserve">Le candidat peut, s’il le souhaite, joindre des documents complémentaires au présent cadre de réponse technique à condition qu’ils soient en rapport direct avec l’objet du marché. </w:t>
      </w:r>
    </w:p>
    <w:p w14:paraId="27A6ACA3" w14:textId="1CAAF597" w:rsidR="00DF75CB" w:rsidRPr="004A0016" w:rsidRDefault="00DF75CB" w:rsidP="00DF75CB">
      <w:pPr>
        <w:jc w:val="both"/>
        <w:rPr>
          <w:rFonts w:ascii="Arial" w:hAnsi="Arial" w:cs="Arial"/>
        </w:rPr>
      </w:pPr>
      <w:r w:rsidRPr="004A0016">
        <w:rPr>
          <w:rFonts w:ascii="Arial" w:hAnsi="Arial" w:cs="Arial"/>
        </w:rPr>
        <w:t>Les informations et dispositions renseignées dans chacun des items engagent contractuellement le titulaire quant au respect des moyens mis en œuvre pour l’exécution des prestations.</w:t>
      </w:r>
    </w:p>
    <w:p w14:paraId="4039B5F1" w14:textId="77777777" w:rsidR="00DF75CB" w:rsidRPr="004A0016" w:rsidRDefault="00DF75CB" w:rsidP="00451ED3">
      <w:pPr>
        <w:rPr>
          <w:rFonts w:ascii="Arial" w:hAnsi="Arial" w:cs="Arial"/>
        </w:rPr>
      </w:pPr>
    </w:p>
    <w:p w14:paraId="0105B865" w14:textId="77777777" w:rsidR="00DF75CB" w:rsidRPr="004A0016" w:rsidRDefault="00DF75CB" w:rsidP="00451ED3">
      <w:pPr>
        <w:rPr>
          <w:rFonts w:ascii="Arial" w:hAnsi="Arial" w:cs="Arial"/>
        </w:rPr>
      </w:pPr>
    </w:p>
    <w:p w14:paraId="537FA600" w14:textId="77777777" w:rsidR="00DF75CB" w:rsidRDefault="00DF75CB" w:rsidP="00451ED3"/>
    <w:p w14:paraId="33F3951F" w14:textId="77777777" w:rsidR="00885A51" w:rsidRPr="004A0016" w:rsidRDefault="00885A51" w:rsidP="00885A51">
      <w:pPr>
        <w:pStyle w:val="Corpsdetexte"/>
        <w:jc w:val="both"/>
        <w:rPr>
          <w:rFonts w:ascii="Arial" w:hAnsi="Arial" w:cs="Arial"/>
          <w:sz w:val="24"/>
          <w:szCs w:val="24"/>
          <w:u w:val="single"/>
        </w:rPr>
      </w:pPr>
      <w:r w:rsidRPr="004A0016">
        <w:rPr>
          <w:rFonts w:ascii="Arial" w:hAnsi="Arial" w:cs="Arial"/>
          <w:sz w:val="24"/>
          <w:szCs w:val="24"/>
          <w:u w:val="single"/>
        </w:rPr>
        <w:t>Le candidat développera les points suivants sous forme de mémoire :</w:t>
      </w:r>
    </w:p>
    <w:p w14:paraId="22ACA1E7" w14:textId="77777777" w:rsidR="00885A51" w:rsidRPr="004A0016" w:rsidRDefault="00885A51" w:rsidP="00885A51">
      <w:pPr>
        <w:jc w:val="both"/>
        <w:rPr>
          <w:rFonts w:ascii="Arial" w:hAnsi="Arial" w:cs="Arial"/>
        </w:rPr>
      </w:pPr>
    </w:p>
    <w:p w14:paraId="5CD6CFF1" w14:textId="77777777" w:rsidR="004A0016" w:rsidRPr="004A0016" w:rsidRDefault="004A0016" w:rsidP="00885A51">
      <w:pPr>
        <w:jc w:val="both"/>
        <w:rPr>
          <w:rFonts w:ascii="Arial" w:hAnsi="Arial" w:cs="Arial"/>
        </w:rPr>
      </w:pPr>
    </w:p>
    <w:p w14:paraId="7CA3BE46" w14:textId="2DE6927A" w:rsidR="00DF75CB" w:rsidRPr="004A0016" w:rsidRDefault="005272BC" w:rsidP="00A0667A">
      <w:pPr>
        <w:tabs>
          <w:tab w:val="left" w:pos="0"/>
        </w:tabs>
        <w:jc w:val="both"/>
        <w:rPr>
          <w:rFonts w:ascii="Arial" w:hAnsi="Arial" w:cs="Arial"/>
          <w:bCs/>
        </w:rPr>
      </w:pPr>
      <w:r w:rsidRPr="004A0016">
        <w:rPr>
          <w:rFonts w:ascii="Arial" w:hAnsi="Arial" w:cs="Arial"/>
          <w:bCs/>
        </w:rPr>
        <w:sym w:font="Wingdings" w:char="F0D8"/>
      </w:r>
      <w:r w:rsidR="00DF75CB" w:rsidRPr="004A0016">
        <w:rPr>
          <w:rFonts w:ascii="Arial" w:hAnsi="Arial" w:cs="Arial"/>
          <w:bCs/>
        </w:rPr>
        <w:t xml:space="preserve"> Planning de réalisation et méthodologie mise en place pour garantir le respect du planning</w:t>
      </w:r>
      <w:r w:rsidR="00A0667A">
        <w:rPr>
          <w:rFonts w:ascii="Arial" w:hAnsi="Arial" w:cs="Arial"/>
          <w:bCs/>
        </w:rPr>
        <w:t xml:space="preserve"> </w:t>
      </w:r>
      <w:r w:rsidR="00C01C98">
        <w:rPr>
          <w:rFonts w:ascii="Arial" w:hAnsi="Arial" w:cs="Arial"/>
          <w:bCs/>
        </w:rPr>
        <w:t>pour la tranche ferme et pour la tranche conditionnelle.</w:t>
      </w:r>
    </w:p>
    <w:p w14:paraId="72A9DD3B" w14:textId="467E1B53" w:rsidR="00DF75CB" w:rsidRPr="00B577C1" w:rsidRDefault="00DF75CB" w:rsidP="005272BC">
      <w:pPr>
        <w:tabs>
          <w:tab w:val="left" w:pos="0"/>
        </w:tabs>
        <w:rPr>
          <w:rFonts w:ascii="Arial" w:hAnsi="Arial" w:cs="Arial"/>
          <w:bCs/>
          <w:color w:val="00B0F0"/>
        </w:rPr>
      </w:pPr>
      <w:proofErr w:type="gramStart"/>
      <w:r w:rsidRPr="004A0016">
        <w:rPr>
          <w:rFonts w:ascii="Arial" w:hAnsi="Arial" w:cs="Arial"/>
          <w:bCs/>
          <w:color w:val="00B0F0"/>
        </w:rPr>
        <w:t>page</w:t>
      </w:r>
      <w:proofErr w:type="gramEnd"/>
      <w:r w:rsidRPr="004A0016">
        <w:rPr>
          <w:rFonts w:ascii="Arial" w:hAnsi="Arial" w:cs="Arial"/>
          <w:bCs/>
          <w:color w:val="00B0F0"/>
        </w:rPr>
        <w:t xml:space="preserve"> n° :</w:t>
      </w:r>
    </w:p>
    <w:p w14:paraId="79991D69" w14:textId="77777777" w:rsidR="00DF75CB" w:rsidRPr="004A0016" w:rsidRDefault="00DF75CB" w:rsidP="005272BC">
      <w:pPr>
        <w:tabs>
          <w:tab w:val="left" w:pos="0"/>
        </w:tabs>
        <w:rPr>
          <w:rFonts w:ascii="Arial" w:hAnsi="Arial" w:cs="Arial"/>
          <w:bCs/>
        </w:rPr>
      </w:pPr>
    </w:p>
    <w:p w14:paraId="6C2CD7B3" w14:textId="77777777" w:rsidR="00DF75CB" w:rsidRPr="004A0016" w:rsidRDefault="00DF75CB" w:rsidP="005272BC">
      <w:pPr>
        <w:tabs>
          <w:tab w:val="left" w:pos="0"/>
        </w:tabs>
        <w:rPr>
          <w:rFonts w:ascii="Arial" w:hAnsi="Arial" w:cs="Arial"/>
          <w:bCs/>
        </w:rPr>
      </w:pPr>
    </w:p>
    <w:p w14:paraId="21F98BF3" w14:textId="77777777" w:rsidR="00A0362D" w:rsidRPr="0028718D" w:rsidRDefault="00DF75CB" w:rsidP="0028718D">
      <w:pPr>
        <w:tabs>
          <w:tab w:val="left" w:pos="0"/>
        </w:tabs>
        <w:jc w:val="both"/>
        <w:rPr>
          <w:rFonts w:ascii="Arial" w:hAnsi="Arial" w:cs="Arial"/>
          <w:bCs/>
        </w:rPr>
      </w:pPr>
      <w:r w:rsidRPr="00A0667A">
        <w:rPr>
          <w:rFonts w:ascii="Arial" w:hAnsi="Arial" w:cs="Arial"/>
          <w:bCs/>
        </w:rPr>
        <w:sym w:font="Wingdings" w:char="F0D8"/>
      </w:r>
      <w:r w:rsidRPr="00A0667A">
        <w:rPr>
          <w:rFonts w:ascii="Arial" w:hAnsi="Arial" w:cs="Arial"/>
          <w:bCs/>
        </w:rPr>
        <w:t xml:space="preserve"> </w:t>
      </w:r>
      <w:r w:rsidR="00A02159" w:rsidRPr="00A0667A">
        <w:rPr>
          <w:rFonts w:ascii="Arial" w:hAnsi="Arial" w:cs="Arial"/>
          <w:bCs/>
        </w:rPr>
        <w:t xml:space="preserve">Qualification et référence : </w:t>
      </w:r>
      <w:r w:rsidR="00A0362D" w:rsidRPr="0028718D">
        <w:rPr>
          <w:rFonts w:ascii="Arial" w:hAnsi="Arial" w:cs="Arial"/>
          <w:bCs/>
        </w:rPr>
        <w:t xml:space="preserve">présentation des moyens humains et techniques dédiés à l’exécution et au suivi du marché. </w:t>
      </w:r>
    </w:p>
    <w:p w14:paraId="778D0856" w14:textId="77777777" w:rsidR="008E499A" w:rsidRDefault="008E499A" w:rsidP="0028718D">
      <w:pPr>
        <w:tabs>
          <w:tab w:val="left" w:pos="0"/>
        </w:tabs>
        <w:jc w:val="both"/>
        <w:rPr>
          <w:rFonts w:ascii="Arial" w:hAnsi="Arial" w:cs="Arial"/>
          <w:bCs/>
        </w:rPr>
      </w:pPr>
    </w:p>
    <w:p w14:paraId="7D7AA943" w14:textId="44186950" w:rsidR="00A0362D" w:rsidRPr="0028718D" w:rsidRDefault="00A0362D" w:rsidP="0028718D">
      <w:pPr>
        <w:tabs>
          <w:tab w:val="left" w:pos="0"/>
        </w:tabs>
        <w:jc w:val="both"/>
        <w:rPr>
          <w:rFonts w:ascii="Arial" w:hAnsi="Arial" w:cs="Arial"/>
          <w:bCs/>
        </w:rPr>
      </w:pPr>
      <w:r w:rsidRPr="0028718D">
        <w:rPr>
          <w:rFonts w:ascii="Arial" w:hAnsi="Arial" w:cs="Arial"/>
          <w:bCs/>
        </w:rPr>
        <w:t>Le candidat fournira les CV des personnes affectées au projet en estimant la charge de travail pour chaque personne dans chacune des phases.</w:t>
      </w:r>
    </w:p>
    <w:p w14:paraId="65BC7430" w14:textId="7AEA2D7D" w:rsidR="00A0362D" w:rsidRDefault="00A0362D" w:rsidP="0028718D">
      <w:pPr>
        <w:tabs>
          <w:tab w:val="left" w:pos="0"/>
        </w:tabs>
        <w:jc w:val="both"/>
        <w:rPr>
          <w:rFonts w:ascii="Arial" w:hAnsi="Arial" w:cs="Arial"/>
          <w:bCs/>
        </w:rPr>
      </w:pPr>
      <w:r w:rsidRPr="0028718D">
        <w:rPr>
          <w:rFonts w:ascii="Arial" w:hAnsi="Arial" w:cs="Arial"/>
          <w:bCs/>
        </w:rPr>
        <w:t>Le candidat précisera comment il garanti</w:t>
      </w:r>
      <w:r>
        <w:rPr>
          <w:rFonts w:ascii="Arial" w:hAnsi="Arial" w:cs="Arial"/>
          <w:bCs/>
        </w:rPr>
        <w:t>t</w:t>
      </w:r>
      <w:r w:rsidRPr="0028718D">
        <w:rPr>
          <w:rFonts w:ascii="Arial" w:hAnsi="Arial" w:cs="Arial"/>
          <w:bCs/>
        </w:rPr>
        <w:t xml:space="preserve"> ces moyens humains et techniques affectés tout au long de la prestation.</w:t>
      </w:r>
    </w:p>
    <w:p w14:paraId="04E006AE" w14:textId="216CF4D7" w:rsidR="00621025" w:rsidRDefault="00621025" w:rsidP="0028718D">
      <w:pPr>
        <w:tabs>
          <w:tab w:val="left" w:pos="0"/>
        </w:tabs>
        <w:jc w:val="both"/>
        <w:rPr>
          <w:rFonts w:ascii="Arial" w:hAnsi="Arial" w:cs="Arial"/>
          <w:bCs/>
        </w:rPr>
      </w:pPr>
    </w:p>
    <w:p w14:paraId="6BF99559" w14:textId="0D045E62" w:rsidR="00621025" w:rsidRDefault="00621025" w:rsidP="0028718D">
      <w:pPr>
        <w:tabs>
          <w:tab w:val="left" w:pos="0"/>
        </w:tabs>
        <w:jc w:val="both"/>
        <w:rPr>
          <w:rFonts w:ascii="Arial" w:hAnsi="Arial" w:cs="Arial"/>
          <w:bCs/>
        </w:rPr>
      </w:pPr>
      <w:r>
        <w:rPr>
          <w:rFonts w:ascii="Arial" w:hAnsi="Arial" w:cs="Arial"/>
          <w:bCs/>
        </w:rPr>
        <w:t>Le candidat indiquera s’il compte faire appel à de la sous-traitance sur la tranche optionnelle : il précisera les sous-traitants envisagés et la nature et la part des missions sous-traités.</w:t>
      </w:r>
    </w:p>
    <w:p w14:paraId="5DFC7DF7" w14:textId="6F99CE21" w:rsidR="00621025" w:rsidRDefault="00621025" w:rsidP="0028718D">
      <w:pPr>
        <w:tabs>
          <w:tab w:val="left" w:pos="0"/>
        </w:tabs>
        <w:jc w:val="both"/>
        <w:rPr>
          <w:rFonts w:ascii="Arial" w:hAnsi="Arial" w:cs="Arial"/>
          <w:bCs/>
        </w:rPr>
      </w:pPr>
      <w:r>
        <w:rPr>
          <w:rFonts w:ascii="Arial" w:hAnsi="Arial" w:cs="Arial"/>
          <w:bCs/>
        </w:rPr>
        <w:t xml:space="preserve">Conformément au règlement de consultation (RC) et au cahier des clauses particulières (CCP) </w:t>
      </w:r>
      <w:r w:rsidRPr="00621025">
        <w:rPr>
          <w:rFonts w:ascii="Arial" w:hAnsi="Arial" w:cs="Arial"/>
          <w:bCs/>
        </w:rPr>
        <w:t>la sous-traitance n’est pas autorisée pour la tranche ferme</w:t>
      </w:r>
      <w:r w:rsidRPr="00621025">
        <w:rPr>
          <w:rFonts w:ascii="Arial" w:hAnsi="Arial" w:cs="Arial"/>
          <w:bCs/>
        </w:rPr>
        <w:t xml:space="preserve"> dont les missions sont définies comme tâches essentielles.</w:t>
      </w:r>
    </w:p>
    <w:p w14:paraId="0F1842AC" w14:textId="77777777" w:rsidR="00F04D96" w:rsidRDefault="00F04D96" w:rsidP="0028718D">
      <w:pPr>
        <w:tabs>
          <w:tab w:val="left" w:pos="0"/>
        </w:tabs>
        <w:jc w:val="both"/>
        <w:rPr>
          <w:rFonts w:ascii="Arial" w:hAnsi="Arial" w:cs="Arial"/>
          <w:bCs/>
        </w:rPr>
      </w:pPr>
    </w:p>
    <w:p w14:paraId="59050550" w14:textId="796CC5A3" w:rsidR="00A0362D" w:rsidRDefault="00A0362D" w:rsidP="0028718D">
      <w:pPr>
        <w:tabs>
          <w:tab w:val="left" w:pos="0"/>
        </w:tabs>
        <w:jc w:val="both"/>
        <w:rPr>
          <w:rFonts w:ascii="Arial" w:hAnsi="Arial" w:cs="Arial"/>
          <w:bCs/>
        </w:rPr>
      </w:pPr>
      <w:r w:rsidRPr="0028718D">
        <w:rPr>
          <w:rFonts w:ascii="Arial" w:hAnsi="Arial" w:cs="Arial"/>
          <w:bCs/>
        </w:rPr>
        <w:t>Le candidat illustre son savoir-faire en développant un argumentaire autour de 1 à 3 références qu’il juge similaire(s) et représentatives en expliquant les aspects par lesquels ces expériences apportent une valeur ajoutée au projet</w:t>
      </w:r>
      <w:r>
        <w:rPr>
          <w:rFonts w:ascii="Arial" w:hAnsi="Arial" w:cs="Arial"/>
          <w:bCs/>
        </w:rPr>
        <w:t xml:space="preserve"> .</w:t>
      </w:r>
    </w:p>
    <w:p w14:paraId="4C15FD65" w14:textId="30A9B40B" w:rsidR="00855315" w:rsidRPr="0028718D" w:rsidRDefault="004A0016" w:rsidP="0028718D">
      <w:pPr>
        <w:tabs>
          <w:tab w:val="left" w:pos="0"/>
        </w:tabs>
        <w:rPr>
          <w:rFonts w:ascii="Arial" w:hAnsi="Arial" w:cs="Arial"/>
          <w:bCs/>
          <w:color w:val="00B0F0"/>
        </w:rPr>
      </w:pPr>
      <w:proofErr w:type="gramStart"/>
      <w:r w:rsidRPr="004A0016">
        <w:rPr>
          <w:rFonts w:ascii="Arial" w:hAnsi="Arial" w:cs="Arial"/>
          <w:bCs/>
          <w:color w:val="00B0F0"/>
        </w:rPr>
        <w:t>page</w:t>
      </w:r>
      <w:proofErr w:type="gramEnd"/>
      <w:r w:rsidRPr="004A0016">
        <w:rPr>
          <w:rFonts w:ascii="Arial" w:hAnsi="Arial" w:cs="Arial"/>
          <w:bCs/>
          <w:color w:val="00B0F0"/>
        </w:rPr>
        <w:t xml:space="preserve"> n° :</w:t>
      </w:r>
      <w:r w:rsidR="00855315" w:rsidRPr="0028718D">
        <w:rPr>
          <w:rFonts w:ascii="Arial" w:hAnsi="Arial" w:cs="Arial"/>
          <w:bCs/>
          <w:color w:val="00B0F0"/>
        </w:rPr>
        <w:t xml:space="preserve"> </w:t>
      </w:r>
    </w:p>
    <w:p w14:paraId="418B1656" w14:textId="77777777" w:rsidR="00A72224" w:rsidRDefault="00A72224" w:rsidP="005272BC">
      <w:pPr>
        <w:tabs>
          <w:tab w:val="left" w:pos="0"/>
        </w:tabs>
        <w:rPr>
          <w:rFonts w:ascii="Arial" w:hAnsi="Arial" w:cs="Arial"/>
          <w:bCs/>
          <w:sz w:val="22"/>
          <w:szCs w:val="22"/>
        </w:rPr>
      </w:pPr>
    </w:p>
    <w:sectPr w:rsidR="00A72224" w:rsidSect="00D7032B">
      <w:footerReference w:type="even" r:id="rId9"/>
      <w:footerReference w:type="default" r:id="rId10"/>
      <w:pgSz w:w="11907" w:h="16840"/>
      <w:pgMar w:top="1134" w:right="1134" w:bottom="1134" w:left="1134" w:header="720" w:footer="720" w:gutter="0"/>
      <w:paperSrc w:first="7" w:other="7"/>
      <w:pgNumType w:start="1"/>
      <w:cols w:space="720" w:equalWidth="0">
        <w:col w:w="9123"/>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100F0" w14:textId="77777777" w:rsidR="00A91CA5" w:rsidRDefault="00A91CA5">
      <w:r>
        <w:separator/>
      </w:r>
    </w:p>
  </w:endnote>
  <w:endnote w:type="continuationSeparator" w:id="0">
    <w:p w14:paraId="5F60CF3D" w14:textId="77777777" w:rsidR="00A91CA5" w:rsidRDefault="00A91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7FE16" w14:textId="77777777" w:rsidR="00D7032B" w:rsidRDefault="00D7032B" w:rsidP="001A6BE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18B4253" w14:textId="77777777" w:rsidR="00D7032B" w:rsidRDefault="00D7032B" w:rsidP="001A6BE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0D54E" w14:textId="77777777" w:rsidR="005272BC" w:rsidRPr="005272BC" w:rsidRDefault="005272BC" w:rsidP="005272BC">
    <w:pPr>
      <w:pStyle w:val="Pieddepage"/>
      <w:ind w:left="360"/>
      <w:jc w:val="both"/>
      <w:rPr>
        <w:rFonts w:cs="Arial"/>
        <w:sz w:val="16"/>
        <w:szCs w:val="16"/>
      </w:rPr>
    </w:pPr>
  </w:p>
  <w:p w14:paraId="4E03DC57" w14:textId="77777777" w:rsidR="005272BC" w:rsidRPr="005272BC" w:rsidRDefault="005272BC" w:rsidP="005272BC">
    <w:pPr>
      <w:pStyle w:val="Pieddepage"/>
      <w:ind w:left="360"/>
      <w:jc w:val="both"/>
      <w:rPr>
        <w:rFonts w:cs="Arial"/>
        <w:sz w:val="16"/>
        <w:szCs w:val="16"/>
      </w:rPr>
    </w:pPr>
  </w:p>
  <w:p w14:paraId="737250AF" w14:textId="3D26E122" w:rsidR="00D7032B" w:rsidRPr="00D7032B" w:rsidRDefault="005272BC" w:rsidP="00D7032B">
    <w:pPr>
      <w:pStyle w:val="Pieddepage"/>
      <w:ind w:left="360"/>
      <w:jc w:val="both"/>
      <w:rPr>
        <w:rFonts w:ascii="Arial" w:hAnsi="Arial" w:cs="Arial"/>
        <w:i/>
        <w:iCs/>
        <w:sz w:val="16"/>
        <w:szCs w:val="16"/>
      </w:rPr>
    </w:pPr>
    <w:r w:rsidRPr="005272BC">
      <w:rPr>
        <w:rFonts w:cs="Arial"/>
        <w:sz w:val="16"/>
        <w:szCs w:val="16"/>
      </w:rPr>
      <w:object w:dxaOrig="9752" w:dyaOrig="9497" w14:anchorId="5CAD15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85pt;height:474.2pt">
          <v:imagedata r:id="rId1" o:title=""/>
        </v:shape>
        <o:OLEObject Type="Embed" ProgID="Word.Document.12" ShapeID="_x0000_i1025" DrawAspect="Content" ObjectID="_1823348517" r:id="rId2">
          <o:FieldCodes>\s</o:FieldCodes>
        </o:OLEObject>
      </w:object>
    </w:r>
    <w:r w:rsidR="00D7032B">
      <w:rPr>
        <w:rFonts w:ascii="Arial" w:hAnsi="Arial" w:cs="Arial"/>
        <w:i/>
        <w:iCs/>
        <w:sz w:val="16"/>
        <w:szCs w:val="16"/>
      </w:rPr>
      <w:tab/>
    </w:r>
    <w:r w:rsidR="00D7032B" w:rsidRPr="00D7032B">
      <w:rPr>
        <w:rStyle w:val="Numrodepage"/>
        <w:rFonts w:ascii="Arial" w:hAnsi="Arial" w:cs="Arial"/>
        <w:sz w:val="16"/>
        <w:szCs w:val="16"/>
      </w:rPr>
      <w:fldChar w:fldCharType="begin"/>
    </w:r>
    <w:r w:rsidR="00D7032B" w:rsidRPr="00D7032B">
      <w:rPr>
        <w:rStyle w:val="Numrodepage"/>
        <w:rFonts w:ascii="Arial" w:hAnsi="Arial" w:cs="Arial"/>
        <w:sz w:val="16"/>
        <w:szCs w:val="16"/>
      </w:rPr>
      <w:instrText xml:space="preserve"> PAGE </w:instrText>
    </w:r>
    <w:r w:rsidR="00D7032B" w:rsidRPr="00D7032B">
      <w:rPr>
        <w:rStyle w:val="Numrodepage"/>
        <w:rFonts w:ascii="Arial" w:hAnsi="Arial" w:cs="Arial"/>
        <w:sz w:val="16"/>
        <w:szCs w:val="16"/>
      </w:rPr>
      <w:fldChar w:fldCharType="separate"/>
    </w:r>
    <w:r w:rsidR="00A0667A">
      <w:rPr>
        <w:rStyle w:val="Numrodepage"/>
        <w:rFonts w:ascii="Arial" w:hAnsi="Arial" w:cs="Arial"/>
        <w:noProof/>
        <w:sz w:val="16"/>
        <w:szCs w:val="16"/>
      </w:rPr>
      <w:t>2</w:t>
    </w:r>
    <w:r w:rsidR="00D7032B" w:rsidRPr="00D7032B">
      <w:rPr>
        <w:rStyle w:val="Numrodepage"/>
        <w:rFonts w:ascii="Arial" w:hAnsi="Arial" w:cs="Arial"/>
        <w:sz w:val="16"/>
        <w:szCs w:val="16"/>
      </w:rPr>
      <w:fldChar w:fldCharType="end"/>
    </w:r>
    <w:r w:rsidR="00D7032B">
      <w:rPr>
        <w:rStyle w:val="Numrodepage"/>
        <w:rFonts w:ascii="Arial" w:hAnsi="Arial" w:cs="Arial"/>
        <w:sz w:val="16"/>
        <w:szCs w:val="16"/>
      </w:rPr>
      <w:t>/</w:t>
    </w:r>
    <w:r w:rsidR="00D7032B" w:rsidRPr="00D7032B">
      <w:rPr>
        <w:rStyle w:val="Numrodepage"/>
        <w:rFonts w:ascii="Arial" w:hAnsi="Arial" w:cs="Arial"/>
        <w:sz w:val="16"/>
        <w:szCs w:val="16"/>
      </w:rPr>
      <w:fldChar w:fldCharType="begin"/>
    </w:r>
    <w:r w:rsidR="00D7032B" w:rsidRPr="00D7032B">
      <w:rPr>
        <w:rStyle w:val="Numrodepage"/>
        <w:rFonts w:ascii="Arial" w:hAnsi="Arial" w:cs="Arial"/>
        <w:sz w:val="16"/>
        <w:szCs w:val="16"/>
      </w:rPr>
      <w:instrText xml:space="preserve"> NUMPAGES </w:instrText>
    </w:r>
    <w:r w:rsidR="00D7032B" w:rsidRPr="00D7032B">
      <w:rPr>
        <w:rStyle w:val="Numrodepage"/>
        <w:rFonts w:ascii="Arial" w:hAnsi="Arial" w:cs="Arial"/>
        <w:sz w:val="16"/>
        <w:szCs w:val="16"/>
      </w:rPr>
      <w:fldChar w:fldCharType="separate"/>
    </w:r>
    <w:r w:rsidR="00A0667A">
      <w:rPr>
        <w:rStyle w:val="Numrodepage"/>
        <w:rFonts w:ascii="Arial" w:hAnsi="Arial" w:cs="Arial"/>
        <w:noProof/>
        <w:sz w:val="16"/>
        <w:szCs w:val="16"/>
      </w:rPr>
      <w:t>2</w:t>
    </w:r>
    <w:r w:rsidR="00D7032B" w:rsidRPr="00D7032B">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DB519" w14:textId="77777777" w:rsidR="00A91CA5" w:rsidRDefault="00A91CA5">
      <w:r>
        <w:separator/>
      </w:r>
    </w:p>
  </w:footnote>
  <w:footnote w:type="continuationSeparator" w:id="0">
    <w:p w14:paraId="490B9936" w14:textId="77777777" w:rsidR="00A91CA5" w:rsidRDefault="00A91C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C3988"/>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354562F3"/>
    <w:multiLevelType w:val="hybridMultilevel"/>
    <w:tmpl w:val="AB2C2566"/>
    <w:lvl w:ilvl="0" w:tplc="7708E584">
      <w:numFmt w:val="bullet"/>
      <w:lvlText w:val="-"/>
      <w:lvlJc w:val="left"/>
      <w:pPr>
        <w:ind w:left="720" w:hanging="360"/>
      </w:pPr>
      <w:rPr>
        <w:rFonts w:ascii="Times New Roman" w:hAnsi="Times New Roman"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85A6CF0"/>
    <w:multiLevelType w:val="hybridMultilevel"/>
    <w:tmpl w:val="ABD6C9C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3385030"/>
    <w:multiLevelType w:val="hybridMultilevel"/>
    <w:tmpl w:val="F52402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702A90"/>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5" w15:restartNumberingAfterBreak="0">
    <w:nsid w:val="66064A95"/>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6" w15:restartNumberingAfterBreak="0">
    <w:nsid w:val="6CA41033"/>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abstractNumId w:val="3"/>
  </w:num>
  <w:num w:numId="2">
    <w:abstractNumId w:val="5"/>
  </w:num>
  <w:num w:numId="3">
    <w:abstractNumId w:val="6"/>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1ED3"/>
    <w:rsid w:val="00115C7A"/>
    <w:rsid w:val="001271DA"/>
    <w:rsid w:val="00162041"/>
    <w:rsid w:val="00164857"/>
    <w:rsid w:val="001A6BEF"/>
    <w:rsid w:val="001F4EBF"/>
    <w:rsid w:val="002404A2"/>
    <w:rsid w:val="0028718D"/>
    <w:rsid w:val="002A2F4B"/>
    <w:rsid w:val="002C5375"/>
    <w:rsid w:val="00314B00"/>
    <w:rsid w:val="0037300E"/>
    <w:rsid w:val="003A7340"/>
    <w:rsid w:val="003D5353"/>
    <w:rsid w:val="0040034C"/>
    <w:rsid w:val="00401FD1"/>
    <w:rsid w:val="00451ED3"/>
    <w:rsid w:val="004A0016"/>
    <w:rsid w:val="004A117D"/>
    <w:rsid w:val="00500679"/>
    <w:rsid w:val="005272BC"/>
    <w:rsid w:val="00574219"/>
    <w:rsid w:val="005A01CD"/>
    <w:rsid w:val="00621025"/>
    <w:rsid w:val="00636E90"/>
    <w:rsid w:val="006835DA"/>
    <w:rsid w:val="0068376F"/>
    <w:rsid w:val="00774E50"/>
    <w:rsid w:val="0081430E"/>
    <w:rsid w:val="00855315"/>
    <w:rsid w:val="00885A51"/>
    <w:rsid w:val="008B3D04"/>
    <w:rsid w:val="008C58C8"/>
    <w:rsid w:val="008E499A"/>
    <w:rsid w:val="008F6CF3"/>
    <w:rsid w:val="009502D5"/>
    <w:rsid w:val="00972FFD"/>
    <w:rsid w:val="0097544C"/>
    <w:rsid w:val="009879AF"/>
    <w:rsid w:val="00A02159"/>
    <w:rsid w:val="00A0362D"/>
    <w:rsid w:val="00A0667A"/>
    <w:rsid w:val="00A36559"/>
    <w:rsid w:val="00A414E8"/>
    <w:rsid w:val="00A53B48"/>
    <w:rsid w:val="00A72224"/>
    <w:rsid w:val="00A91CA5"/>
    <w:rsid w:val="00B26C85"/>
    <w:rsid w:val="00B409DB"/>
    <w:rsid w:val="00B577C1"/>
    <w:rsid w:val="00B81C75"/>
    <w:rsid w:val="00BC7813"/>
    <w:rsid w:val="00BE10DE"/>
    <w:rsid w:val="00C01C98"/>
    <w:rsid w:val="00C85183"/>
    <w:rsid w:val="00CD10EC"/>
    <w:rsid w:val="00CE6F43"/>
    <w:rsid w:val="00D47DF3"/>
    <w:rsid w:val="00D63D3F"/>
    <w:rsid w:val="00D7032B"/>
    <w:rsid w:val="00D83D53"/>
    <w:rsid w:val="00D95F06"/>
    <w:rsid w:val="00DF75CB"/>
    <w:rsid w:val="00E10F91"/>
    <w:rsid w:val="00E369BF"/>
    <w:rsid w:val="00E74F46"/>
    <w:rsid w:val="00E75076"/>
    <w:rsid w:val="00F04D96"/>
    <w:rsid w:val="00F5693A"/>
    <w:rsid w:val="00F92FC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14:docId w14:val="67B12364"/>
  <w15:docId w15:val="{CB78754A-49B2-485A-BF7F-E56D657CC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1ED3"/>
    <w:rPr>
      <w:sz w:val="24"/>
      <w:szCs w:val="24"/>
    </w:rPr>
  </w:style>
  <w:style w:type="paragraph" w:styleId="Titre1">
    <w:name w:val="heading 1"/>
    <w:basedOn w:val="Normal"/>
    <w:next w:val="Normal"/>
    <w:qFormat/>
    <w:rsid w:val="00451ED3"/>
    <w:pPr>
      <w:keepNext/>
      <w:spacing w:before="240" w:after="60"/>
      <w:outlineLvl w:val="0"/>
    </w:pPr>
    <w:rPr>
      <w:rFonts w:ascii="Arial" w:hAnsi="Arial" w:cs="Arial"/>
      <w:b/>
      <w:bCs/>
      <w:kern w:val="32"/>
      <w:sz w:val="32"/>
      <w:szCs w:val="32"/>
    </w:rPr>
  </w:style>
  <w:style w:type="paragraph" w:styleId="Titre3">
    <w:name w:val="heading 3"/>
    <w:basedOn w:val="Normal"/>
    <w:next w:val="Normal"/>
    <w:qFormat/>
    <w:rsid w:val="00451ED3"/>
    <w:pPr>
      <w:keepNext/>
      <w:spacing w:before="240" w:after="60"/>
      <w:outlineLvl w:val="2"/>
    </w:pPr>
    <w:rPr>
      <w:rFonts w:ascii="Arial" w:hAnsi="Arial" w:cs="Arial"/>
      <w:b/>
      <w:bCs/>
      <w:sz w:val="26"/>
      <w:szCs w:val="26"/>
    </w:rPr>
  </w:style>
  <w:style w:type="paragraph" w:styleId="Titre4">
    <w:name w:val="heading 4"/>
    <w:basedOn w:val="Normal"/>
    <w:next w:val="Normal"/>
    <w:qFormat/>
    <w:rsid w:val="00451ED3"/>
    <w:pPr>
      <w:keepNext/>
      <w:spacing w:before="240" w:after="60"/>
      <w:outlineLvl w:val="3"/>
    </w:pPr>
    <w:rPr>
      <w:b/>
      <w:bCs/>
      <w:sz w:val="28"/>
      <w:szCs w:val="28"/>
    </w:rPr>
  </w:style>
  <w:style w:type="paragraph" w:styleId="Titre5">
    <w:name w:val="heading 5"/>
    <w:basedOn w:val="Normal"/>
    <w:next w:val="Normal"/>
    <w:qFormat/>
    <w:rsid w:val="00451ED3"/>
    <w:pPr>
      <w:spacing w:before="240" w:after="60"/>
      <w:outlineLvl w:val="4"/>
    </w:pPr>
    <w:rPr>
      <w:b/>
      <w:bCs/>
      <w:i/>
      <w:iCs/>
      <w:sz w:val="26"/>
      <w:szCs w:val="26"/>
    </w:rPr>
  </w:style>
  <w:style w:type="paragraph" w:styleId="Titre6">
    <w:name w:val="heading 6"/>
    <w:basedOn w:val="Normal"/>
    <w:next w:val="Normal"/>
    <w:qFormat/>
    <w:rsid w:val="00451ED3"/>
    <w:pPr>
      <w:spacing w:before="240" w:after="60"/>
      <w:outlineLvl w:val="5"/>
    </w:pPr>
    <w:rPr>
      <w:b/>
      <w:bCs/>
      <w:sz w:val="22"/>
      <w:szCs w:val="22"/>
    </w:rPr>
  </w:style>
  <w:style w:type="paragraph" w:styleId="Titre7">
    <w:name w:val="heading 7"/>
    <w:basedOn w:val="Normal"/>
    <w:next w:val="Normal"/>
    <w:qFormat/>
    <w:rsid w:val="00451ED3"/>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451ED3"/>
    <w:pPr>
      <w:tabs>
        <w:tab w:val="center" w:pos="4536"/>
        <w:tab w:val="right" w:pos="9072"/>
      </w:tabs>
    </w:pPr>
  </w:style>
  <w:style w:type="table" w:styleId="Grilledutableau">
    <w:name w:val="Table Grid"/>
    <w:basedOn w:val="TableauNormal"/>
    <w:rsid w:val="00451E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451ED3"/>
  </w:style>
  <w:style w:type="paragraph" w:styleId="Corpsdetexte">
    <w:name w:val="Body Text"/>
    <w:basedOn w:val="Normal"/>
    <w:rsid w:val="00451ED3"/>
    <w:pPr>
      <w:jc w:val="center"/>
    </w:pPr>
    <w:rPr>
      <w:sz w:val="22"/>
      <w:szCs w:val="20"/>
    </w:rPr>
  </w:style>
  <w:style w:type="paragraph" w:styleId="Retraitcorpsdetexte">
    <w:name w:val="Body Text Indent"/>
    <w:basedOn w:val="Normal"/>
    <w:rsid w:val="00451ED3"/>
    <w:pPr>
      <w:spacing w:after="120"/>
      <w:ind w:left="283"/>
    </w:pPr>
  </w:style>
  <w:style w:type="paragraph" w:styleId="En-tte">
    <w:name w:val="header"/>
    <w:basedOn w:val="Normal"/>
    <w:rsid w:val="00D7032B"/>
    <w:pPr>
      <w:tabs>
        <w:tab w:val="center" w:pos="4536"/>
        <w:tab w:val="right" w:pos="9072"/>
      </w:tabs>
    </w:pPr>
  </w:style>
  <w:style w:type="paragraph" w:styleId="Textedebulles">
    <w:name w:val="Balloon Text"/>
    <w:basedOn w:val="Normal"/>
    <w:link w:val="TextedebullesCar"/>
    <w:rsid w:val="003A7340"/>
    <w:rPr>
      <w:rFonts w:ascii="Lucida Grande" w:hAnsi="Lucida Grande" w:cs="Lucida Grande"/>
      <w:sz w:val="18"/>
      <w:szCs w:val="18"/>
    </w:rPr>
  </w:style>
  <w:style w:type="character" w:customStyle="1" w:styleId="TextedebullesCar">
    <w:name w:val="Texte de bulles Car"/>
    <w:basedOn w:val="Policepardfaut"/>
    <w:link w:val="Textedebulles"/>
    <w:rsid w:val="003A7340"/>
    <w:rPr>
      <w:rFonts w:ascii="Lucida Grande" w:hAnsi="Lucida Grande" w:cs="Lucida Grande"/>
      <w:sz w:val="18"/>
      <w:szCs w:val="18"/>
    </w:rPr>
  </w:style>
  <w:style w:type="paragraph" w:styleId="Textebrut">
    <w:name w:val="Plain Text"/>
    <w:basedOn w:val="Normal"/>
    <w:link w:val="TextebrutCar"/>
    <w:uiPriority w:val="99"/>
    <w:unhideWhenUsed/>
    <w:rsid w:val="00855315"/>
    <w:rPr>
      <w:rFonts w:ascii="Calibri" w:eastAsiaTheme="minorEastAsia" w:hAnsi="Calibri" w:cs="Calibri"/>
      <w:sz w:val="22"/>
      <w:szCs w:val="22"/>
      <w:lang w:eastAsia="en-US"/>
    </w:rPr>
  </w:style>
  <w:style w:type="character" w:customStyle="1" w:styleId="TextebrutCar">
    <w:name w:val="Texte brut Car"/>
    <w:basedOn w:val="Policepardfaut"/>
    <w:link w:val="Textebrut"/>
    <w:uiPriority w:val="99"/>
    <w:rsid w:val="00855315"/>
    <w:rPr>
      <w:rFonts w:ascii="Calibri" w:eastAsiaTheme="minorEastAsia" w:hAnsi="Calibri" w:cs="Calibri"/>
      <w:sz w:val="22"/>
      <w:szCs w:val="22"/>
      <w:lang w:eastAsia="en-US"/>
    </w:rPr>
  </w:style>
  <w:style w:type="character" w:customStyle="1" w:styleId="normaltextrun">
    <w:name w:val="normaltextrun"/>
    <w:basedOn w:val="Policepardfaut"/>
    <w:rsid w:val="00A0667A"/>
  </w:style>
  <w:style w:type="paragraph" w:styleId="Commentaire">
    <w:name w:val="annotation text"/>
    <w:basedOn w:val="Normal"/>
    <w:link w:val="CommentaireCar"/>
    <w:semiHidden/>
    <w:rsid w:val="00972FFD"/>
    <w:pPr>
      <w:spacing w:before="60"/>
    </w:pPr>
    <w:rPr>
      <w:rFonts w:ascii="Bookman Old Style" w:hAnsi="Bookman Old Style"/>
      <w:sz w:val="18"/>
      <w:szCs w:val="20"/>
    </w:rPr>
  </w:style>
  <w:style w:type="character" w:customStyle="1" w:styleId="CommentaireCar">
    <w:name w:val="Commentaire Car"/>
    <w:basedOn w:val="Policepardfaut"/>
    <w:link w:val="Commentaire"/>
    <w:semiHidden/>
    <w:rsid w:val="00972FFD"/>
    <w:rPr>
      <w:rFonts w:ascii="Bookman Old Style" w:hAnsi="Bookman Old Style"/>
      <w:sz w:val="18"/>
    </w:rPr>
  </w:style>
  <w:style w:type="paragraph" w:styleId="Sansinterligne">
    <w:name w:val="No Spacing"/>
    <w:link w:val="SansinterligneCar"/>
    <w:uiPriority w:val="1"/>
    <w:qFormat/>
    <w:rsid w:val="00A0362D"/>
    <w:rPr>
      <w:rFonts w:asciiTheme="minorHAnsi" w:eastAsiaTheme="minorHAnsi" w:hAnsiTheme="minorHAnsi" w:cstheme="minorBidi"/>
      <w:sz w:val="22"/>
      <w:szCs w:val="22"/>
      <w:lang w:eastAsia="en-US"/>
    </w:rPr>
  </w:style>
  <w:style w:type="character" w:customStyle="1" w:styleId="SansinterligneCar">
    <w:name w:val="Sans interligne Car"/>
    <w:basedOn w:val="Policepardfaut"/>
    <w:link w:val="Sansinterligne"/>
    <w:uiPriority w:val="1"/>
    <w:rsid w:val="00A0362D"/>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package" Target="embeddings/Microsoft_Word_Document.docx"/><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2</Pages>
  <Words>439</Words>
  <Characters>2418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Institut Géographique National</vt:lpstr>
    </vt:vector>
  </TitlesOfParts>
  <Company>IGN</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 Géographique National</dc:title>
  <dc:creator/>
  <cp:lastModifiedBy>Christophe Provot</cp:lastModifiedBy>
  <cp:revision>26</cp:revision>
  <cp:lastPrinted>2020-02-28T16:03:00Z</cp:lastPrinted>
  <dcterms:created xsi:type="dcterms:W3CDTF">2020-03-23T07:57:00Z</dcterms:created>
  <dcterms:modified xsi:type="dcterms:W3CDTF">2025-10-30T15:55:00Z</dcterms:modified>
</cp:coreProperties>
</file>