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9F4027"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109AB355" w14:textId="573BE3E3" w:rsidR="00427421" w:rsidRPr="00427421" w:rsidRDefault="0083082B" w:rsidP="00427421">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tbl>
            <w:tblPr>
              <w:tblW w:w="0" w:type="auto"/>
              <w:tblBorders>
                <w:top w:val="nil"/>
                <w:left w:val="nil"/>
                <w:bottom w:val="nil"/>
                <w:right w:val="nil"/>
              </w:tblBorders>
              <w:tblLook w:val="0000" w:firstRow="0" w:lastRow="0" w:firstColumn="0" w:lastColumn="0" w:noHBand="0" w:noVBand="0"/>
            </w:tblPr>
            <w:tblGrid>
              <w:gridCol w:w="7743"/>
            </w:tblGrid>
            <w:tr w:rsidR="00427421" w:rsidRPr="009F4027" w14:paraId="083F1C98" w14:textId="77777777">
              <w:trPr>
                <w:trHeight w:val="260"/>
              </w:trPr>
              <w:tc>
                <w:tcPr>
                  <w:tcW w:w="0" w:type="auto"/>
                </w:tcPr>
                <w:p w14:paraId="19DE8272" w14:textId="7A8AFF06" w:rsidR="00427421" w:rsidRPr="009F4027" w:rsidRDefault="00427421" w:rsidP="00427421">
                  <w:pPr>
                    <w:autoSpaceDE w:val="0"/>
                    <w:autoSpaceDN w:val="0"/>
                    <w:adjustRightInd w:val="0"/>
                    <w:spacing w:line="240" w:lineRule="auto"/>
                    <w:rPr>
                      <w:rFonts w:ascii="Calibri" w:hAnsi="Calibri" w:cs="Calibri"/>
                      <w:color w:val="000000"/>
                      <w:sz w:val="22"/>
                      <w:szCs w:val="22"/>
                      <w:lang w:val="en-US"/>
                    </w:rPr>
                  </w:pPr>
                  <w:r w:rsidRPr="009F4027">
                    <w:rPr>
                      <w:rFonts w:ascii="Calibri" w:hAnsi="Calibri" w:cs="Calibri"/>
                      <w:color w:val="000000"/>
                      <w:sz w:val="22"/>
                      <w:szCs w:val="22"/>
                      <w:lang w:val="en-US"/>
                    </w:rPr>
                    <w:t>Labour hire services, recruitment assistance services and human resources (HR) for Expertise France in M</w:t>
                  </w:r>
                  <w:r w:rsidR="00E55630" w:rsidRPr="009F4027">
                    <w:rPr>
                      <w:rFonts w:ascii="Calibri" w:hAnsi="Calibri" w:cs="Calibri"/>
                      <w:color w:val="000000"/>
                      <w:sz w:val="22"/>
                      <w:szCs w:val="22"/>
                      <w:lang w:val="en-US"/>
                    </w:rPr>
                    <w:t>e</w:t>
                  </w:r>
                  <w:r w:rsidRPr="009F4027">
                    <w:rPr>
                      <w:rFonts w:ascii="Calibri" w:hAnsi="Calibri" w:cs="Calibri"/>
                      <w:color w:val="000000"/>
                      <w:sz w:val="22"/>
                      <w:szCs w:val="22"/>
                      <w:lang w:val="en-US"/>
                    </w:rPr>
                    <w:t xml:space="preserve">xico </w:t>
                  </w:r>
                </w:p>
              </w:tc>
            </w:tr>
          </w:tbl>
          <w:p w14:paraId="2B8821F0" w14:textId="7079ED8A" w:rsidR="0083082B" w:rsidRPr="009F4027" w:rsidRDefault="0083082B" w:rsidP="0083082B">
            <w:pPr>
              <w:jc w:val="both"/>
              <w:rPr>
                <w:rFonts w:asciiTheme="minorHAnsi" w:hAnsiTheme="minorHAnsi" w:cstheme="minorHAnsi"/>
                <w:b/>
                <w:sz w:val="22"/>
                <w:szCs w:val="22"/>
                <w:lang w:val="en-US"/>
              </w:rPr>
            </w:pPr>
          </w:p>
        </w:tc>
      </w:tr>
      <w:tr w:rsidR="0083082B" w:rsidRPr="009F4027" w14:paraId="36B2EDB6" w14:textId="77777777" w:rsidTr="0083082B">
        <w:tc>
          <w:tcPr>
            <w:tcW w:w="236" w:type="dxa"/>
            <w:tcBorders>
              <w:top w:val="nil"/>
              <w:left w:val="nil"/>
              <w:bottom w:val="nil"/>
              <w:right w:val="single" w:sz="4" w:space="0" w:color="auto"/>
            </w:tcBorders>
          </w:tcPr>
          <w:p w14:paraId="07BB57F8" w14:textId="77777777" w:rsidR="0083082B" w:rsidRPr="009F4027"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9F4027"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4868016A" w:rsidR="0083082B" w:rsidRPr="00342E4D" w:rsidRDefault="004C0F2E" w:rsidP="0083082B">
            <w:pPr>
              <w:rPr>
                <w:rFonts w:asciiTheme="minorHAnsi" w:hAnsiTheme="minorHAnsi" w:cstheme="minorHAnsi"/>
                <w:sz w:val="22"/>
                <w:szCs w:val="22"/>
                <w:lang w:val="en-GB"/>
              </w:rPr>
            </w:pPr>
            <w:r>
              <w:rPr>
                <w:rFonts w:asciiTheme="minorHAnsi" w:hAnsiTheme="minorHAnsi" w:cstheme="minorHAnsi"/>
                <w:b/>
                <w:bCs/>
                <w:sz w:val="22"/>
                <w:szCs w:val="22"/>
                <w:highlight w:val="yellow"/>
                <w:lang w:val="en"/>
              </w:rPr>
              <w:t>13</w:t>
            </w:r>
            <w:r w:rsidR="00427421">
              <w:rPr>
                <w:rFonts w:asciiTheme="minorHAnsi" w:hAnsiTheme="minorHAnsi" w:cstheme="minorHAnsi"/>
                <w:b/>
                <w:bCs/>
                <w:sz w:val="22"/>
                <w:szCs w:val="22"/>
                <w:highlight w:val="yellow"/>
                <w:lang w:val="en"/>
              </w:rPr>
              <w:t>/</w:t>
            </w:r>
            <w:r>
              <w:rPr>
                <w:rFonts w:asciiTheme="minorHAnsi" w:hAnsiTheme="minorHAnsi" w:cstheme="minorHAnsi"/>
                <w:b/>
                <w:bCs/>
                <w:sz w:val="22"/>
                <w:szCs w:val="22"/>
                <w:highlight w:val="yellow"/>
                <w:lang w:val="en"/>
              </w:rPr>
              <w:t>11</w:t>
            </w:r>
            <w:r w:rsidR="00427421">
              <w:rPr>
                <w:rFonts w:asciiTheme="minorHAnsi" w:hAnsiTheme="minorHAnsi" w:cstheme="minorHAnsi"/>
                <w:b/>
                <w:bCs/>
                <w:sz w:val="22"/>
                <w:szCs w:val="22"/>
                <w:highlight w:val="yellow"/>
                <w:lang w:val="en"/>
              </w:rPr>
              <w:t>/2025</w:t>
            </w:r>
            <w:r w:rsidR="0083082B">
              <w:rPr>
                <w:rFonts w:asciiTheme="minorHAnsi" w:hAnsiTheme="minorHAnsi" w:cstheme="minorHAnsi"/>
                <w:b/>
                <w:bCs/>
                <w:sz w:val="22"/>
                <w:szCs w:val="22"/>
                <w:highlight w:val="yellow"/>
                <w:lang w:val="en"/>
              </w:rPr>
              <w:t xml:space="preserve"> at </w:t>
            </w:r>
            <w:r>
              <w:rPr>
                <w:rFonts w:asciiTheme="minorHAnsi" w:hAnsiTheme="minorHAnsi" w:cstheme="minorHAnsi"/>
                <w:b/>
                <w:bCs/>
                <w:sz w:val="22"/>
                <w:szCs w:val="22"/>
                <w:highlight w:val="yellow"/>
                <w:lang w:val="en"/>
              </w:rPr>
              <w:t>18</w:t>
            </w:r>
            <w:r w:rsidR="0083082B">
              <w:rPr>
                <w:rFonts w:asciiTheme="minorHAnsi" w:hAnsiTheme="minorHAnsi" w:cstheme="minorHAnsi"/>
                <w:b/>
                <w:bCs/>
                <w:sz w:val="22"/>
                <w:szCs w:val="22"/>
                <w:highlight w:val="yellow"/>
                <w:lang w:val="en"/>
              </w:rPr>
              <w:t>:</w:t>
            </w:r>
            <w:r>
              <w:rPr>
                <w:rFonts w:asciiTheme="minorHAnsi" w:hAnsiTheme="minorHAnsi" w:cstheme="minorHAnsi"/>
                <w:b/>
                <w:bCs/>
                <w:sz w:val="22"/>
                <w:szCs w:val="22"/>
                <w:highlight w:val="yellow"/>
                <w:lang w:val="en"/>
              </w:rPr>
              <w:t>00</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FA400A">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FA400A">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FA400A">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FA400A">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FA400A">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FA400A">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FA400A">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FA400A">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FA400A">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FA400A">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FA400A">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FA400A">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FA400A">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FA400A">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FA400A">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FA400A">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FA400A">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FA400A">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FA400A">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FA400A">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FA400A">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FA400A">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FA400A">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FA400A">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FA400A">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FA400A">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FA400A">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FA400A">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FA400A">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FA400A">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FA400A">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FA400A">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FA400A">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FA400A">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FA400A">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FA400A">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FA400A">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FA400A">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FA400A">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FA400A">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FA400A">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FA400A">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FA400A">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FA400A">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FA400A">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FA400A">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FA400A">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FA400A">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FA400A">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FA400A">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624EF12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427421">
        <w:rPr>
          <w:rFonts w:asciiTheme="minorHAnsi" w:hAnsiTheme="minorHAnsi" w:cstheme="minorHAnsi"/>
          <w:szCs w:val="22"/>
          <w:lang w:val="en"/>
        </w:rPr>
        <w:t>service</w:t>
      </w:r>
      <w:r>
        <w:rPr>
          <w:rFonts w:asciiTheme="minorHAnsi" w:hAnsiTheme="minorHAnsi" w:cstheme="minorHAnsi"/>
          <w:szCs w:val="22"/>
          <w:lang w:val="en"/>
        </w:rPr>
        <w:t xml:space="preserve"> covering “</w:t>
      </w:r>
      <w:r w:rsidR="00427421" w:rsidRPr="009F4027">
        <w:rPr>
          <w:rFonts w:asciiTheme="minorHAnsi" w:hAnsiTheme="minorHAnsi" w:cstheme="minorHAnsi"/>
          <w:i/>
          <w:iCs/>
          <w:szCs w:val="22"/>
          <w:lang w:val="en-US"/>
        </w:rPr>
        <w:t>Labour hire services, recruitment assistance services and human resources (HR) for Expertise France in México</w:t>
      </w:r>
      <w:r w:rsidRPr="00427421">
        <w:rPr>
          <w:rFonts w:asciiTheme="minorHAnsi" w:hAnsiTheme="minorHAnsi" w:cstheme="minorHAnsi"/>
          <w:szCs w:val="22"/>
          <w:lang w:val="en"/>
        </w:rPr>
        <w: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B22B0C2" w14:textId="150E158E" w:rsidR="009009F8" w:rsidRPr="00D92283"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w:t>
      </w:r>
      <w:r w:rsidR="001623C3">
        <w:rPr>
          <w:rFonts w:asciiTheme="minorHAnsi" w:hAnsiTheme="minorHAnsi" w:cstheme="minorHAnsi"/>
          <w:szCs w:val="22"/>
          <w:lang w:val="en-GB"/>
        </w:rPr>
        <w:t xml:space="preserve"> </w:t>
      </w:r>
      <w:r w:rsidRPr="00D92283">
        <w:rPr>
          <w:rFonts w:asciiTheme="minorHAnsi" w:hAnsiTheme="minorHAnsi" w:cstheme="minorHAnsi"/>
          <w:szCs w:val="22"/>
          <w:lang w:val="en"/>
        </w:rPr>
        <w:t>adapted procedure in application of Articles L. 2123-1 and R. 2123-1 to R. 2123-7 of CCP</w:t>
      </w:r>
      <w:r w:rsidR="000D43B7">
        <w:rPr>
          <w:rFonts w:asciiTheme="minorHAnsi" w:hAnsiTheme="minorHAnsi" w:cstheme="minorHAnsi"/>
          <w:szCs w:val="22"/>
          <w:lang w:val="en"/>
        </w:rPr>
        <w:t>.</w:t>
      </w:r>
    </w:p>
    <w:p w14:paraId="0EDA0005" w14:textId="0744040B"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1623C3" w:rsidRDefault="009009F8" w:rsidP="00A025D7">
            <w:pPr>
              <w:spacing w:line="240" w:lineRule="auto"/>
              <w:jc w:val="center"/>
              <w:rPr>
                <w:rFonts w:asciiTheme="minorHAnsi" w:hAnsiTheme="minorHAnsi" w:cstheme="minorHAnsi"/>
                <w:b/>
                <w:sz w:val="22"/>
                <w:szCs w:val="22"/>
              </w:rPr>
            </w:pPr>
            <w:r w:rsidRPr="001623C3">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427421" w:rsidRDefault="009009F8" w:rsidP="00A025D7">
            <w:pPr>
              <w:spacing w:line="240" w:lineRule="auto"/>
              <w:jc w:val="both"/>
              <w:rPr>
                <w:rFonts w:asciiTheme="minorHAnsi" w:hAnsiTheme="minorHAnsi" w:cstheme="minorHAnsi"/>
                <w:b/>
                <w:sz w:val="22"/>
                <w:szCs w:val="22"/>
              </w:rPr>
            </w:pPr>
            <w:r w:rsidRPr="00427421">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B78BA9A" w:rsidR="009009F8" w:rsidRPr="001623C3" w:rsidRDefault="004C0F2E" w:rsidP="00A025D7">
            <w:pPr>
              <w:spacing w:line="240" w:lineRule="auto"/>
              <w:jc w:val="center"/>
              <w:rPr>
                <w:rFonts w:asciiTheme="minorHAnsi" w:hAnsiTheme="minorHAnsi" w:cstheme="minorHAnsi"/>
                <w:sz w:val="22"/>
                <w:szCs w:val="22"/>
              </w:rPr>
            </w:pPr>
            <w:r w:rsidRPr="001623C3">
              <w:rPr>
                <w:rFonts w:asciiTheme="minorHAnsi" w:hAnsiTheme="minorHAnsi" w:cstheme="minorHAnsi"/>
                <w:sz w:val="22"/>
                <w:szCs w:val="22"/>
                <w:lang w:val="en"/>
              </w:rPr>
              <w:t>13</w:t>
            </w:r>
            <w:r w:rsidR="009009F8" w:rsidRPr="001623C3">
              <w:rPr>
                <w:rFonts w:asciiTheme="minorHAnsi" w:hAnsiTheme="minorHAnsi" w:cstheme="minorHAnsi"/>
                <w:sz w:val="22"/>
                <w:szCs w:val="22"/>
                <w:lang w:val="en"/>
              </w:rPr>
              <w:t>/</w:t>
            </w:r>
            <w:r w:rsidRPr="001623C3">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427421" w:rsidRDefault="009009F8" w:rsidP="00A025D7">
            <w:pPr>
              <w:spacing w:line="240" w:lineRule="auto"/>
              <w:jc w:val="both"/>
              <w:rPr>
                <w:rFonts w:asciiTheme="minorHAnsi" w:hAnsiTheme="minorHAnsi" w:cstheme="minorHAnsi"/>
                <w:sz w:val="22"/>
                <w:szCs w:val="22"/>
              </w:rPr>
            </w:pPr>
            <w:r w:rsidRPr="00427421">
              <w:rPr>
                <w:rFonts w:asciiTheme="minorHAnsi" w:hAnsiTheme="minorHAnsi" w:cstheme="minorHAnsi"/>
                <w:sz w:val="22"/>
                <w:szCs w:val="22"/>
                <w:lang w:val="en"/>
              </w:rPr>
              <w:t>Bid submission deadline</w:t>
            </w:r>
          </w:p>
        </w:tc>
      </w:tr>
      <w:tr w:rsidR="009009F8" w:rsidRPr="009F4027"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E34ADF3" w:rsidR="009009F8" w:rsidRPr="001623C3" w:rsidRDefault="004C0F2E" w:rsidP="00A025D7">
            <w:pPr>
              <w:spacing w:line="240" w:lineRule="auto"/>
              <w:jc w:val="center"/>
              <w:rPr>
                <w:rFonts w:asciiTheme="minorHAnsi" w:hAnsiTheme="minorHAnsi" w:cstheme="minorHAnsi"/>
                <w:sz w:val="22"/>
                <w:szCs w:val="22"/>
              </w:rPr>
            </w:pPr>
            <w:r w:rsidRPr="001623C3">
              <w:rPr>
                <w:rFonts w:asciiTheme="minorHAnsi" w:hAnsiTheme="minorHAnsi" w:cstheme="minorHAnsi"/>
                <w:sz w:val="22"/>
                <w:szCs w:val="22"/>
                <w:lang w:val="en"/>
              </w:rPr>
              <w:t>19/11/2025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427421" w:rsidRDefault="009009F8" w:rsidP="00A025D7">
            <w:pPr>
              <w:spacing w:line="240" w:lineRule="auto"/>
              <w:jc w:val="both"/>
              <w:rPr>
                <w:rFonts w:asciiTheme="minorHAnsi" w:hAnsiTheme="minorHAnsi" w:cstheme="minorHAnsi"/>
                <w:sz w:val="22"/>
                <w:szCs w:val="22"/>
                <w:lang w:val="en-GB"/>
              </w:rPr>
            </w:pPr>
            <w:r w:rsidRPr="00427421">
              <w:rPr>
                <w:rFonts w:asciiTheme="minorHAnsi" w:hAnsiTheme="minorHAnsi" w:cstheme="minorHAnsi"/>
                <w:sz w:val="22"/>
                <w:szCs w:val="22"/>
                <w:lang w:val="en"/>
              </w:rPr>
              <w:t>Interviews/Negotiations and requests for optimised bids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341F4A89" w:rsidR="009009F8" w:rsidRPr="001623C3" w:rsidRDefault="004C0F2E" w:rsidP="00A025D7">
            <w:pPr>
              <w:spacing w:line="240" w:lineRule="auto"/>
              <w:jc w:val="center"/>
              <w:rPr>
                <w:rFonts w:asciiTheme="minorHAnsi" w:hAnsiTheme="minorHAnsi" w:cstheme="minorHAnsi"/>
                <w:sz w:val="22"/>
                <w:szCs w:val="22"/>
              </w:rPr>
            </w:pPr>
            <w:r w:rsidRPr="001623C3">
              <w:rPr>
                <w:rFonts w:asciiTheme="minorHAnsi" w:hAnsiTheme="minorHAnsi" w:cstheme="minorHAnsi"/>
                <w:sz w:val="22"/>
                <w:szCs w:val="22"/>
                <w:lang w:val="en"/>
              </w:rPr>
              <w:t>21/11/2025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427421" w:rsidRDefault="009009F8" w:rsidP="00A025D7">
            <w:pPr>
              <w:spacing w:line="240" w:lineRule="auto"/>
              <w:jc w:val="both"/>
              <w:rPr>
                <w:rFonts w:asciiTheme="minorHAnsi" w:hAnsiTheme="minorHAnsi" w:cstheme="minorHAnsi"/>
                <w:sz w:val="22"/>
                <w:szCs w:val="22"/>
              </w:rPr>
            </w:pPr>
            <w:r w:rsidRPr="00427421">
              <w:rPr>
                <w:rFonts w:asciiTheme="minorHAnsi" w:hAnsiTheme="minorHAnsi" w:cstheme="minorHAnsi"/>
                <w:sz w:val="22"/>
                <w:szCs w:val="22"/>
                <w:lang w:val="en"/>
              </w:rPr>
              <w:t>Optimised bid submission deadline</w:t>
            </w:r>
          </w:p>
        </w:tc>
      </w:tr>
      <w:tr w:rsidR="009009F8" w:rsidRPr="009F4027"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203FF820" w:rsidR="009009F8" w:rsidRPr="001623C3" w:rsidRDefault="004C0F2E" w:rsidP="00A025D7">
            <w:pPr>
              <w:spacing w:line="240" w:lineRule="auto"/>
              <w:jc w:val="center"/>
              <w:rPr>
                <w:rFonts w:asciiTheme="minorHAnsi" w:hAnsiTheme="minorHAnsi" w:cstheme="minorHAnsi"/>
                <w:sz w:val="22"/>
                <w:szCs w:val="22"/>
              </w:rPr>
            </w:pPr>
            <w:r w:rsidRPr="001623C3">
              <w:rPr>
                <w:rFonts w:asciiTheme="minorHAnsi" w:hAnsiTheme="minorHAnsi" w:cstheme="minorHAnsi"/>
                <w:sz w:val="22"/>
                <w:szCs w:val="22"/>
                <w:lang w:val="en"/>
              </w:rPr>
              <w:t>28</w:t>
            </w:r>
            <w:r w:rsidR="009009F8" w:rsidRPr="001623C3">
              <w:rPr>
                <w:rFonts w:asciiTheme="minorHAnsi" w:hAnsiTheme="minorHAnsi" w:cstheme="minorHAnsi"/>
                <w:sz w:val="22"/>
                <w:szCs w:val="22"/>
                <w:lang w:val="en"/>
              </w:rPr>
              <w:t>/</w:t>
            </w:r>
            <w:r w:rsidRPr="001623C3">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427421" w:rsidRDefault="009009F8" w:rsidP="00A025D7">
            <w:pPr>
              <w:spacing w:line="240" w:lineRule="auto"/>
              <w:rPr>
                <w:rFonts w:asciiTheme="minorHAnsi" w:hAnsiTheme="minorHAnsi" w:cstheme="minorHAnsi"/>
                <w:sz w:val="22"/>
                <w:szCs w:val="22"/>
                <w:lang w:val="en-GB"/>
              </w:rPr>
            </w:pPr>
            <w:r w:rsidRPr="00427421">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1D62490" w:rsidR="009009F8" w:rsidRPr="001623C3" w:rsidRDefault="004C0F2E" w:rsidP="00A025D7">
            <w:pPr>
              <w:spacing w:line="240" w:lineRule="auto"/>
              <w:jc w:val="center"/>
              <w:rPr>
                <w:rFonts w:asciiTheme="minorHAnsi" w:hAnsiTheme="minorHAnsi" w:cstheme="minorHAnsi"/>
                <w:sz w:val="22"/>
                <w:szCs w:val="22"/>
              </w:rPr>
            </w:pPr>
            <w:r w:rsidRPr="001623C3">
              <w:rPr>
                <w:rFonts w:asciiTheme="minorHAnsi" w:hAnsiTheme="minorHAnsi" w:cstheme="minorHAnsi"/>
                <w:sz w:val="22"/>
                <w:szCs w:val="22"/>
                <w:lang w:val="en"/>
              </w:rPr>
              <w:t>08/12/2025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427421" w:rsidRDefault="009009F8" w:rsidP="00A025D7">
            <w:pPr>
              <w:spacing w:line="240" w:lineRule="auto"/>
              <w:jc w:val="both"/>
              <w:rPr>
                <w:rFonts w:asciiTheme="minorHAnsi" w:hAnsiTheme="minorHAnsi" w:cstheme="minorHAnsi"/>
                <w:sz w:val="22"/>
                <w:szCs w:val="22"/>
              </w:rPr>
            </w:pPr>
            <w:r w:rsidRPr="00427421">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044284D3"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w:t>
      </w:r>
      <w:r w:rsidR="00427421">
        <w:rPr>
          <w:rFonts w:asciiTheme="minorHAnsi" w:hAnsiTheme="minorHAnsi" w:cstheme="minorHAnsi"/>
          <w:sz w:val="22"/>
          <w:szCs w:val="22"/>
          <w:lang w:val="en"/>
        </w:rPr>
        <w:t xml:space="preserve">in </w:t>
      </w:r>
      <w:r w:rsidR="00427421" w:rsidRPr="00427421">
        <w:rPr>
          <w:rFonts w:asciiTheme="minorHAnsi" w:hAnsiTheme="minorHAnsi" w:cstheme="minorHAnsi"/>
          <w:b/>
          <w:sz w:val="22"/>
          <w:szCs w:val="22"/>
          <w:lang w:val="en"/>
        </w:rPr>
        <w:t>English</w:t>
      </w:r>
      <w:r>
        <w:rPr>
          <w:rFonts w:asciiTheme="minorHAnsi" w:hAnsiTheme="minorHAnsi" w:cstheme="minorHAnsi"/>
          <w:sz w:val="22"/>
          <w:szCs w:val="22"/>
          <w:lang w:val="en"/>
        </w:rPr>
        <w:t xml:space="preserve">. </w:t>
      </w:r>
    </w:p>
    <w:p w14:paraId="7B55A535" w14:textId="45CA52BA"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007D4032">
        <w:rPr>
          <w:rFonts w:asciiTheme="minorHAnsi" w:hAnsiTheme="minorHAnsi" w:cstheme="minorHAnsi"/>
          <w:sz w:val="22"/>
          <w:szCs w:val="22"/>
          <w:lang w:val="en"/>
        </w:rPr>
        <w:t>dollars</w:t>
      </w:r>
      <w:r>
        <w:rPr>
          <w:rFonts w:asciiTheme="minorHAnsi" w:hAnsiTheme="minorHAnsi" w:cstheme="minorHAnsi"/>
          <w:sz w:val="22"/>
          <w:szCs w:val="22"/>
          <w:lang w:val="en"/>
        </w:rPr>
        <w:t>(</w:t>
      </w:r>
      <w:r w:rsidR="007D4032">
        <w:rPr>
          <w:rFonts w:asciiTheme="minorHAnsi" w:hAnsiTheme="minorHAnsi" w:cstheme="minorHAnsi"/>
          <w:sz w:val="22"/>
          <w:szCs w:val="22"/>
          <w:lang w:val="en"/>
        </w:rPr>
        <w:t>$</w:t>
      </w:r>
      <w:r>
        <w:rPr>
          <w:rFonts w:asciiTheme="minorHAnsi" w:hAnsiTheme="minorHAnsi" w:cstheme="minorHAnsi"/>
          <w:sz w:val="22"/>
          <w:szCs w:val="22"/>
          <w:lang w:val="en"/>
        </w:rPr>
        <w:t>).</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302F6AB1" w:rsidR="004B18E1" w:rsidRPr="00427421" w:rsidRDefault="0042742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1. </w:t>
      </w:r>
      <w:r w:rsidR="004B18E1">
        <w:rPr>
          <w:rFonts w:asciiTheme="minorHAnsi" w:hAnsiTheme="minorHAnsi" w:cstheme="minorHAnsi"/>
          <w:szCs w:val="22"/>
          <w:lang w:val="en"/>
        </w:rPr>
        <w:t>These tender rules (the “Rules”);</w:t>
      </w:r>
    </w:p>
    <w:p w14:paraId="26DF79DC" w14:textId="1C2E164E" w:rsidR="00427421" w:rsidRPr="00342E4D" w:rsidRDefault="0042742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2. The terms of reference</w:t>
      </w:r>
    </w:p>
    <w:p w14:paraId="1907F4C4" w14:textId="77777777" w:rsidR="00427421" w:rsidRPr="00427421" w:rsidRDefault="0042742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 xml:space="preserve">3. </w:t>
      </w:r>
      <w:r w:rsidR="004B18E1">
        <w:rPr>
          <w:rFonts w:asciiTheme="minorHAnsi" w:hAnsiTheme="minorHAnsi" w:cstheme="minorHAnsi"/>
          <w:color w:val="000000"/>
          <w:sz w:val="22"/>
          <w:szCs w:val="22"/>
          <w:lang w:val="en"/>
        </w:rPr>
        <w:t>The draft contract (general conditio</w:t>
      </w:r>
      <w:r>
        <w:rPr>
          <w:rFonts w:asciiTheme="minorHAnsi" w:hAnsiTheme="minorHAnsi" w:cstheme="minorHAnsi"/>
          <w:color w:val="000000"/>
          <w:sz w:val="22"/>
          <w:szCs w:val="22"/>
          <w:lang w:val="en"/>
        </w:rPr>
        <w:t>ns and special conditions) and</w:t>
      </w:r>
      <w:r w:rsidR="004B18E1">
        <w:rPr>
          <w:rFonts w:asciiTheme="minorHAnsi" w:hAnsiTheme="minorHAnsi" w:cstheme="minorHAnsi"/>
          <w:color w:val="000000"/>
          <w:sz w:val="22"/>
          <w:szCs w:val="22"/>
          <w:lang w:val="en"/>
        </w:rPr>
        <w:t xml:space="preserve"> annexes</w:t>
      </w:r>
      <w:r>
        <w:rPr>
          <w:rFonts w:asciiTheme="minorHAnsi" w:hAnsiTheme="minorHAnsi" w:cstheme="minorHAnsi"/>
          <w:color w:val="000000"/>
          <w:sz w:val="22"/>
          <w:szCs w:val="22"/>
          <w:lang w:val="en"/>
        </w:rPr>
        <w:t>, including:</w:t>
      </w:r>
    </w:p>
    <w:p w14:paraId="08130092" w14:textId="77777777" w:rsidR="00427421" w:rsidRPr="00427421" w:rsidRDefault="00427421" w:rsidP="00427421">
      <w:pPr>
        <w:pStyle w:val="Paragraphedeliste"/>
        <w:numPr>
          <w:ilvl w:val="1"/>
          <w:numId w:val="7"/>
        </w:numPr>
        <w:spacing w:line="240" w:lineRule="auto"/>
        <w:jc w:val="both"/>
        <w:rPr>
          <w:rFonts w:asciiTheme="minorHAnsi" w:hAnsiTheme="minorHAnsi" w:cstheme="minorHAnsi"/>
          <w:sz w:val="22"/>
          <w:szCs w:val="22"/>
          <w:lang w:val="en-GB"/>
        </w:rPr>
      </w:pPr>
      <w:r w:rsidRPr="00427421">
        <w:rPr>
          <w:rFonts w:asciiTheme="minorHAnsi" w:hAnsiTheme="minorHAnsi" w:cstheme="minorHAnsi"/>
          <w:sz w:val="22"/>
          <w:szCs w:val="22"/>
          <w:lang w:val="en-GB"/>
        </w:rPr>
        <w:t>Annex IV – Purchase Order template (and appendix)</w:t>
      </w:r>
    </w:p>
    <w:p w14:paraId="68C8BE2D" w14:textId="40FB51C8" w:rsidR="004B18E1" w:rsidRPr="00427421" w:rsidRDefault="00427421" w:rsidP="00427421">
      <w:pPr>
        <w:pStyle w:val="Paragraphedeliste"/>
        <w:numPr>
          <w:ilvl w:val="1"/>
          <w:numId w:val="7"/>
        </w:num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GB"/>
        </w:rPr>
        <w:t>Annex V – Perso</w:t>
      </w:r>
      <w:r w:rsidRPr="00427421">
        <w:rPr>
          <w:rFonts w:asciiTheme="minorHAnsi" w:hAnsiTheme="minorHAnsi" w:cstheme="minorHAnsi"/>
          <w:sz w:val="22"/>
          <w:szCs w:val="22"/>
          <w:lang w:val="en-GB"/>
        </w:rPr>
        <w:t>nal data processing (GDPR)</w:t>
      </w:r>
    </w:p>
    <w:p w14:paraId="4760C81F" w14:textId="760EEA5B" w:rsidR="00427421" w:rsidRPr="004022E9" w:rsidRDefault="00427421" w:rsidP="00427421">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A. </w:t>
      </w:r>
      <w:r w:rsidR="004B18E1">
        <w:rPr>
          <w:rFonts w:asciiTheme="minorHAnsi" w:hAnsiTheme="minorHAnsi" w:cstheme="minorHAnsi"/>
          <w:szCs w:val="22"/>
          <w:lang w:val="en"/>
        </w:rPr>
        <w:t>The application form;</w:t>
      </w:r>
    </w:p>
    <w:p w14:paraId="30C97806" w14:textId="5A4342A7" w:rsidR="00626CE8" w:rsidRPr="00427421" w:rsidRDefault="004022E9" w:rsidP="00427421">
      <w:pPr>
        <w:pStyle w:val="v"/>
        <w:widowControl w:val="0"/>
        <w:numPr>
          <w:ilvl w:val="0"/>
          <w:numId w:val="7"/>
        </w:numPr>
        <w:rPr>
          <w:rFonts w:asciiTheme="minorHAnsi" w:hAnsiTheme="minorHAnsi" w:cstheme="minorHAnsi"/>
          <w:szCs w:val="22"/>
        </w:rPr>
      </w:pPr>
      <w:r>
        <w:rPr>
          <w:rFonts w:asciiTheme="minorHAnsi" w:hAnsiTheme="minorHAnsi" w:cstheme="minorHAnsi"/>
          <w:szCs w:val="22"/>
        </w:rPr>
        <w:t>B. The financial offer template</w:t>
      </w:r>
    </w:p>
    <w:p w14:paraId="72CCFA05" w14:textId="42D1334F" w:rsidR="004B18E1" w:rsidRPr="004134C2" w:rsidRDefault="004022E9"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C</w:t>
      </w:r>
      <w:r w:rsidR="004134C2">
        <w:rPr>
          <w:rFonts w:asciiTheme="minorHAnsi" w:hAnsiTheme="minorHAnsi" w:cstheme="minorHAnsi"/>
          <w:szCs w:val="22"/>
          <w:lang w:val="en"/>
        </w:rPr>
        <w:t xml:space="preserve">. </w:t>
      </w:r>
      <w:r w:rsidR="004B18E1">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0CBD669D" w14:textId="67027DE0" w:rsidR="004B18E1" w:rsidRPr="004134C2" w:rsidRDefault="00427421" w:rsidP="004134C2">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The</w:t>
      </w:r>
      <w:r w:rsidR="00B83745" w:rsidRPr="00B83745">
        <w:rPr>
          <w:rFonts w:asciiTheme="minorHAnsi" w:hAnsiTheme="minorHAnsi" w:cstheme="minorHAnsi"/>
          <w:szCs w:val="22"/>
          <w:lang w:val="en-GB"/>
        </w:rPr>
        <w:t xml:space="preserve"> PLACE user guide for companies</w:t>
      </w:r>
      <w:r w:rsidR="006D4EF1">
        <w:rPr>
          <w:rFonts w:asciiTheme="minorHAnsi" w:hAnsiTheme="minorHAnsi" w:cstheme="minorHAnsi"/>
          <w:szCs w:val="22"/>
          <w:lang w:val="en-GB"/>
        </w:rPr>
        <w:t>.</w:t>
      </w:r>
    </w:p>
    <w:p w14:paraId="0A96F8D8" w14:textId="238B4BA1" w:rsidR="00390B8F" w:rsidRPr="009F4027"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09D06AED"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w:t>
      </w:r>
      <w:r w:rsidR="004134C2">
        <w:rPr>
          <w:rFonts w:asciiTheme="minorHAnsi" w:hAnsiTheme="minorHAnsi" w:cstheme="minorHAnsi"/>
          <w:sz w:val="22"/>
          <w:szCs w:val="22"/>
          <w:lang w:val="en"/>
        </w:rPr>
        <w:t xml:space="preserve"> </w:t>
      </w:r>
      <w:r w:rsidR="00D92283">
        <w:rPr>
          <w:rFonts w:asciiTheme="minorHAnsi" w:hAnsiTheme="minorHAnsi" w:cstheme="minorHAnsi"/>
          <w:sz w:val="22"/>
          <w:szCs w:val="22"/>
          <w:lang w:val="en"/>
        </w:rPr>
        <w:t xml:space="preserve">4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lastRenderedPageBreak/>
        <w:t>Form of the contract</w:t>
      </w:r>
      <w:bookmarkEnd w:id="18"/>
    </w:p>
    <w:p w14:paraId="0C55277B" w14:textId="70604137" w:rsidR="00093D39" w:rsidRPr="00342E4D" w:rsidRDefault="00093D39" w:rsidP="00E0425F">
      <w:pPr>
        <w:spacing w:line="240" w:lineRule="auto"/>
        <w:rPr>
          <w:rFonts w:asciiTheme="minorHAnsi" w:hAnsiTheme="minorHAnsi" w:cstheme="minorHAnsi"/>
          <w:sz w:val="22"/>
          <w:szCs w:val="22"/>
          <w:lang w:val="en-GB"/>
        </w:rPr>
      </w:pPr>
      <w:r w:rsidRPr="004022E9">
        <w:rPr>
          <w:rFonts w:asciiTheme="minorHAnsi" w:hAnsiTheme="minorHAnsi" w:cstheme="minorHAnsi"/>
          <w:sz w:val="22"/>
          <w:szCs w:val="22"/>
          <w:lang w:val="en"/>
        </w:rPr>
        <w:t>The contract is a framework contract via purchase order entered into with a single operator (single contractor)</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7BA3747A"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at a maximum of </w:t>
      </w:r>
      <w:r w:rsidR="009F4027" w:rsidRPr="009F4027">
        <w:rPr>
          <w:rFonts w:asciiTheme="minorHAnsi" w:hAnsiTheme="minorHAnsi" w:cstheme="minorHAnsi"/>
          <w:b/>
          <w:bCs/>
          <w:sz w:val="22"/>
          <w:szCs w:val="22"/>
          <w:lang w:val="en-US"/>
        </w:rPr>
        <w:t>233287.7 USD</w:t>
      </w:r>
      <w:r w:rsidR="009F4027">
        <w:rPr>
          <w:rFonts w:asciiTheme="minorHAnsi" w:hAnsiTheme="minorHAnsi" w:cstheme="minorHAnsi"/>
          <w:b/>
          <w:bCs/>
          <w:sz w:val="22"/>
          <w:szCs w:val="22"/>
          <w:lang w:val="en-US"/>
        </w:rPr>
        <w:t xml:space="preserve"> (199000€)</w:t>
      </w:r>
      <w:r w:rsidR="0035233B">
        <w:rPr>
          <w:rFonts w:asciiTheme="minorHAnsi" w:hAnsiTheme="minorHAnsi" w:cstheme="minorHAnsi"/>
          <w:sz w:val="22"/>
          <w:szCs w:val="22"/>
          <w:lang w:val="en"/>
        </w:rPr>
        <w:t>.</w:t>
      </w:r>
      <w:bookmarkStart w:id="29" w:name="_GoBack"/>
      <w:bookmarkEnd w:id="29"/>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00ADF651"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w:t>
      </w:r>
      <w:r w:rsidR="004134C2">
        <w:rPr>
          <w:rFonts w:asciiTheme="minorHAnsi" w:hAnsiTheme="minorHAnsi" w:cstheme="minorHAnsi"/>
          <w:sz w:val="22"/>
          <w:szCs w:val="22"/>
          <w:lang w:val="en"/>
        </w:rPr>
        <w:t>l term of the contract is</w:t>
      </w:r>
      <w:r>
        <w:rPr>
          <w:rFonts w:asciiTheme="minorHAnsi" w:hAnsiTheme="minorHAnsi" w:cstheme="minorHAnsi"/>
          <w:sz w:val="22"/>
          <w:szCs w:val="22"/>
          <w:lang w:val="en"/>
        </w:rPr>
        <w:t xml:space="preserve"> </w:t>
      </w:r>
      <w:r w:rsidR="004134C2">
        <w:rPr>
          <w:rFonts w:asciiTheme="minorHAnsi" w:hAnsiTheme="minorHAnsi" w:cstheme="minorHAnsi"/>
          <w:sz w:val="22"/>
          <w:szCs w:val="22"/>
          <w:lang w:val="en"/>
        </w:rPr>
        <w:t xml:space="preserve">48 </w:t>
      </w:r>
      <w:r>
        <w:rPr>
          <w:rFonts w:asciiTheme="minorHAnsi" w:hAnsiTheme="minorHAnsi" w:cstheme="minorHAnsi"/>
          <w:sz w:val="22"/>
          <w:szCs w:val="22"/>
          <w:lang w:val="en"/>
        </w:rPr>
        <w:t xml:space="preserve">months from its award date. For illustrative purposes only, the </w:t>
      </w:r>
      <w:r w:rsidRPr="001623C3">
        <w:rPr>
          <w:rFonts w:asciiTheme="minorHAnsi" w:hAnsiTheme="minorHAnsi" w:cstheme="minorHAnsi"/>
          <w:sz w:val="22"/>
          <w:szCs w:val="22"/>
          <w:lang w:val="en"/>
        </w:rPr>
        <w:t xml:space="preserve">anticipated award date is </w:t>
      </w:r>
      <w:r w:rsidR="004134C2" w:rsidRPr="001623C3">
        <w:rPr>
          <w:rFonts w:asciiTheme="minorHAnsi" w:hAnsiTheme="minorHAnsi" w:cstheme="minorHAnsi"/>
          <w:sz w:val="22"/>
          <w:szCs w:val="22"/>
          <w:lang w:val="en"/>
        </w:rPr>
        <w:t>15/11/2025.</w:t>
      </w:r>
    </w:p>
    <w:p w14:paraId="276EEB6A" w14:textId="77777777" w:rsidR="003740CB" w:rsidRPr="004022E9" w:rsidRDefault="003740CB" w:rsidP="004022E9">
      <w:pPr>
        <w:pStyle w:val="Titre2"/>
        <w:spacing w:before="120" w:after="120" w:line="240" w:lineRule="auto"/>
        <w:jc w:val="both"/>
        <w:rPr>
          <w:rFonts w:asciiTheme="minorHAnsi" w:hAnsiTheme="minorHAnsi" w:cstheme="minorHAnsi"/>
          <w:sz w:val="22"/>
          <w:szCs w:val="22"/>
          <w:u w:val="single"/>
          <w:lang w:val="en"/>
        </w:rPr>
      </w:pPr>
      <w:r w:rsidRPr="004022E9">
        <w:rPr>
          <w:rFonts w:asciiTheme="minorHAnsi" w:hAnsiTheme="minorHAnsi" w:cstheme="minorHAnsi"/>
          <w:sz w:val="22"/>
          <w:szCs w:val="22"/>
          <w:u w:val="single"/>
          <w:lang w:val="en"/>
        </w:rPr>
        <w:t>Renewal</w:t>
      </w:r>
    </w:p>
    <w:p w14:paraId="654A05C4" w14:textId="127516DE" w:rsidR="003740CB" w:rsidRPr="00342E4D" w:rsidRDefault="003740CB" w:rsidP="003740CB">
      <w:pPr>
        <w:spacing w:line="240" w:lineRule="auto"/>
        <w:jc w:val="both"/>
        <w:rPr>
          <w:rFonts w:asciiTheme="minorHAnsi" w:hAnsiTheme="minorHAnsi" w:cstheme="minorHAnsi"/>
          <w:sz w:val="22"/>
          <w:szCs w:val="22"/>
          <w:lang w:val="en-GB"/>
        </w:rPr>
      </w:pPr>
      <w:r w:rsidRPr="001623C3">
        <w:rPr>
          <w:rFonts w:asciiTheme="minorHAnsi" w:hAnsiTheme="minorHAnsi" w:cstheme="minorHAnsi"/>
          <w:sz w:val="22"/>
          <w:szCs w:val="22"/>
          <w:lang w:val="en"/>
        </w:rPr>
        <w:t xml:space="preserve">The contract is entered into for an initial term of </w:t>
      </w:r>
      <w:r w:rsidR="007D4032" w:rsidRPr="001623C3">
        <w:rPr>
          <w:rFonts w:asciiTheme="minorHAnsi" w:hAnsiTheme="minorHAnsi" w:cstheme="minorHAnsi"/>
          <w:sz w:val="22"/>
          <w:szCs w:val="22"/>
          <w:lang w:val="en"/>
        </w:rPr>
        <w:t>24</w:t>
      </w:r>
      <w:r w:rsidRPr="001623C3">
        <w:rPr>
          <w:rFonts w:asciiTheme="minorHAnsi" w:hAnsiTheme="minorHAnsi" w:cstheme="minorHAnsi"/>
          <w:sz w:val="22"/>
          <w:szCs w:val="22"/>
          <w:lang w:val="en"/>
        </w:rPr>
        <w:t xml:space="preserve"> months from its aw</w:t>
      </w:r>
      <w:r w:rsidR="001623C3" w:rsidRPr="001623C3">
        <w:rPr>
          <w:rFonts w:asciiTheme="minorHAnsi" w:hAnsiTheme="minorHAnsi" w:cstheme="minorHAnsi"/>
          <w:sz w:val="22"/>
          <w:szCs w:val="22"/>
          <w:lang w:val="en"/>
        </w:rPr>
        <w:t xml:space="preserve">ard date. It may be renewed on </w:t>
      </w:r>
      <w:r w:rsidR="007D4032" w:rsidRPr="001623C3">
        <w:rPr>
          <w:rFonts w:asciiTheme="minorHAnsi" w:hAnsiTheme="minorHAnsi" w:cstheme="minorHAnsi"/>
          <w:sz w:val="22"/>
          <w:szCs w:val="22"/>
          <w:lang w:val="en"/>
        </w:rPr>
        <w:t>1</w:t>
      </w:r>
      <w:r w:rsidRPr="001623C3">
        <w:rPr>
          <w:rFonts w:asciiTheme="minorHAnsi" w:hAnsiTheme="minorHAnsi" w:cstheme="minorHAnsi"/>
          <w:sz w:val="22"/>
          <w:szCs w:val="22"/>
          <w:lang w:val="en"/>
        </w:rPr>
        <w:t xml:space="preserve"> occasions via tacit renewal at the discretion of the contracting authority without</w:t>
      </w:r>
      <w:r w:rsidR="001623C3" w:rsidRPr="001623C3">
        <w:rPr>
          <w:rFonts w:asciiTheme="minorHAnsi" w:hAnsiTheme="minorHAnsi" w:cstheme="minorHAnsi"/>
          <w:sz w:val="22"/>
          <w:szCs w:val="22"/>
          <w:lang w:val="en"/>
        </w:rPr>
        <w:t xml:space="preserve"> exceeding a total duration of </w:t>
      </w:r>
      <w:r w:rsidR="007D4032" w:rsidRPr="001623C3">
        <w:rPr>
          <w:rFonts w:asciiTheme="minorHAnsi" w:hAnsiTheme="minorHAnsi" w:cstheme="minorHAnsi"/>
          <w:sz w:val="22"/>
          <w:szCs w:val="22"/>
          <w:lang w:val="en"/>
        </w:rPr>
        <w:t>48</w:t>
      </w:r>
      <w:r w:rsidR="001623C3" w:rsidRPr="001623C3">
        <w:rPr>
          <w:rFonts w:asciiTheme="minorHAnsi" w:hAnsiTheme="minorHAnsi" w:cstheme="minorHAnsi"/>
          <w:sz w:val="22"/>
          <w:szCs w:val="22"/>
          <w:lang w:val="en"/>
        </w:rPr>
        <w:t xml:space="preserve"> months.</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83119997"/>
      <w:r>
        <w:rPr>
          <w:rFonts w:asciiTheme="minorHAnsi" w:hAnsiTheme="minorHAnsi" w:cstheme="minorHAnsi"/>
          <w:sz w:val="22"/>
          <w:szCs w:val="22"/>
          <w:u w:val="single"/>
          <w:lang w:val="en"/>
        </w:rPr>
        <w:t>Allotment</w:t>
      </w:r>
      <w:bookmarkEnd w:id="31"/>
    </w:p>
    <w:p w14:paraId="700E2B90" w14:textId="77E9A078"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w:t>
      </w:r>
      <w:r w:rsidR="004134C2">
        <w:rPr>
          <w:rFonts w:asciiTheme="minorHAnsi" w:hAnsiTheme="minorHAnsi" w:cstheme="minorHAnsi"/>
          <w:sz w:val="22"/>
          <w:szCs w:val="22"/>
          <w:lang w:val="en"/>
        </w:rPr>
        <w:t>tender is not divided into lots</w:t>
      </w:r>
      <w:r w:rsidR="006224F3">
        <w:rPr>
          <w:rFonts w:asciiTheme="minorHAnsi" w:hAnsiTheme="minorHAnsi" w:cstheme="minorHAnsi"/>
          <w:sz w:val="22"/>
          <w:szCs w:val="22"/>
          <w:lang w:val="en"/>
        </w:rPr>
        <w:t>.</w:t>
      </w:r>
    </w:p>
    <w:p w14:paraId="3E3AFBAC" w14:textId="651C5C36" w:rsidR="003D2522" w:rsidRPr="00342E4D" w:rsidRDefault="003D2522" w:rsidP="00510257">
      <w:pPr>
        <w:spacing w:line="240" w:lineRule="auto"/>
        <w:jc w:val="both"/>
        <w:rPr>
          <w:rFonts w:asciiTheme="minorHAnsi" w:hAnsiTheme="minorHAnsi" w:cstheme="minorHAnsi"/>
          <w:sz w:val="22"/>
          <w:szCs w:val="22"/>
          <w:lang w:val="en-GB"/>
        </w:rPr>
      </w:pPr>
      <w:bookmarkStart w:id="32" w:name="_Toc417653425"/>
      <w:bookmarkStart w:id="33" w:name="_Toc419212441"/>
      <w:bookmarkStart w:id="34" w:name="_Toc443657775"/>
      <w:bookmarkStart w:id="35" w:name="_Toc446628694"/>
      <w:bookmarkEnd w:id="23"/>
      <w:bookmarkEnd w:id="24"/>
      <w:bookmarkEnd w:id="25"/>
      <w:bookmarkEnd w:id="26"/>
      <w:bookmarkEnd w:id="27"/>
    </w:p>
    <w:p w14:paraId="78157605" w14:textId="46AB5BFC" w:rsidR="00F07EDC" w:rsidRPr="004022E9" w:rsidRDefault="00F07EDC" w:rsidP="004022E9">
      <w:pPr>
        <w:pStyle w:val="Titre2"/>
        <w:spacing w:before="120" w:after="120" w:line="240" w:lineRule="auto"/>
        <w:jc w:val="both"/>
        <w:rPr>
          <w:rFonts w:asciiTheme="minorHAnsi" w:hAnsiTheme="minorHAnsi" w:cstheme="minorHAnsi"/>
          <w:sz w:val="22"/>
          <w:szCs w:val="22"/>
          <w:u w:val="single"/>
          <w:lang w:val="en"/>
        </w:rPr>
      </w:pPr>
      <w:bookmarkStart w:id="36" w:name="_Toc83119999"/>
      <w:r w:rsidRPr="004022E9">
        <w:rPr>
          <w:rFonts w:asciiTheme="minorHAnsi" w:hAnsiTheme="minorHAnsi" w:cstheme="minorHAnsi"/>
          <w:sz w:val="22"/>
          <w:szCs w:val="22"/>
          <w:u w:val="single"/>
          <w:lang w:val="en"/>
        </w:rPr>
        <w:t>Similar services</w:t>
      </w:r>
      <w:bookmarkEnd w:id="36"/>
    </w:p>
    <w:p w14:paraId="391AF406" w14:textId="7DDE7874" w:rsidR="00F61E7E" w:rsidRPr="00342E4D" w:rsidRDefault="00F07EDC" w:rsidP="0006068D">
      <w:pPr>
        <w:rPr>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83120003"/>
      <w:r>
        <w:rPr>
          <w:rFonts w:asciiTheme="minorHAnsi" w:hAnsiTheme="minorHAnsi" w:cstheme="minorHAnsi"/>
          <w:sz w:val="22"/>
          <w:szCs w:val="22"/>
          <w:u w:val="single"/>
          <w:lang w:val="en"/>
        </w:rPr>
        <w:t>Candidate presentation conditions</w:t>
      </w:r>
      <w:bookmarkEnd w:id="39"/>
    </w:p>
    <w:p w14:paraId="73F7C4C4" w14:textId="22DBECCE"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w:t>
      </w:r>
      <w:r w:rsidR="001623C3">
        <w:rPr>
          <w:rFonts w:asciiTheme="minorHAnsi" w:hAnsiTheme="minorHAnsi" w:cstheme="minorHAnsi"/>
          <w:sz w:val="22"/>
          <w:szCs w:val="22"/>
          <w:lang w:val="en"/>
        </w:rPr>
        <w:t xml:space="preserve">authorises </w:t>
      </w:r>
      <w:r>
        <w:rPr>
          <w:rFonts w:asciiTheme="minorHAnsi" w:hAnsiTheme="minorHAnsi" w:cstheme="minorHAnsi"/>
          <w:sz w:val="22"/>
          <w:szCs w:val="22"/>
          <w:lang w:val="en"/>
        </w:rPr>
        <w:t>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0" w:name="_Toc83120004"/>
      <w:r>
        <w:rPr>
          <w:rFonts w:asciiTheme="minorHAnsi" w:hAnsiTheme="minorHAnsi" w:cstheme="minorHAnsi"/>
          <w:sz w:val="22"/>
          <w:szCs w:val="22"/>
          <w:u w:val="single"/>
          <w:lang w:val="en"/>
        </w:rPr>
        <w:t>Grounds and conditions of exclusion</w:t>
      </w:r>
      <w:bookmarkEnd w:id="40"/>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w:t>
      </w:r>
      <w:r>
        <w:rPr>
          <w:rFonts w:asciiTheme="minorHAnsi" w:eastAsia="Times" w:hAnsiTheme="minorHAnsi" w:cstheme="minorHAnsi"/>
          <w:kern w:val="0"/>
          <w:sz w:val="22"/>
          <w:szCs w:val="22"/>
          <w:lang w:val="en"/>
        </w:rPr>
        <w:lastRenderedPageBreak/>
        <w:t>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1"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1"/>
      <w:r>
        <w:rPr>
          <w:rFonts w:asciiTheme="minorHAnsi" w:hAnsiTheme="minorHAnsi"/>
          <w:sz w:val="22"/>
          <w:szCs w:val="22"/>
          <w:u w:val="single"/>
          <w:lang w:val="en"/>
        </w:rPr>
        <w:t xml:space="preserve"> </w:t>
      </w:r>
    </w:p>
    <w:p w14:paraId="1E87415D" w14:textId="6439DA3B" w:rsidR="00630EE6" w:rsidRPr="00342E4D" w:rsidRDefault="0082681B" w:rsidP="00630EE6">
      <w:pPr>
        <w:pStyle w:val="Default"/>
        <w:jc w:val="both"/>
        <w:rPr>
          <w:rFonts w:asciiTheme="minorHAnsi" w:hAnsiTheme="minorHAnsi" w:cstheme="minorHAnsi"/>
          <w:sz w:val="22"/>
          <w:szCs w:val="22"/>
          <w:lang w:val="en-GB"/>
        </w:rPr>
      </w:pPr>
      <w:r w:rsidDel="0082681B">
        <w:rPr>
          <w:rFonts w:asciiTheme="minorHAnsi" w:hAnsiTheme="minorHAnsi" w:cstheme="minorHAnsi"/>
          <w:sz w:val="22"/>
          <w:szCs w:val="22"/>
          <w:lang w:val="en"/>
        </w:rPr>
        <w:t xml:space="preserve"> </w:t>
      </w:r>
      <w:r w:rsidR="00630EE6">
        <w:rPr>
          <w:rFonts w:asciiTheme="minorHAnsi" w:hAnsiTheme="minorHAnsi" w:cstheme="minorHAnsi"/>
          <w:sz w:val="22"/>
          <w:szCs w:val="22"/>
          <w:lang w:val="en"/>
        </w:rPr>
        <w:t>The contracting authority imposes the following minimum capacity levels on candidates:</w:t>
      </w:r>
    </w:p>
    <w:p w14:paraId="45E3491A" w14:textId="1F7DA851" w:rsidR="00630EE6" w:rsidRPr="00342E4D" w:rsidRDefault="00630EE6" w:rsidP="00630EE6">
      <w:pPr>
        <w:pStyle w:val="Default"/>
        <w:jc w:val="both"/>
        <w:rPr>
          <w:rFonts w:asciiTheme="minorHAnsi" w:hAnsiTheme="minorHAnsi" w:cstheme="minorHAnsi"/>
          <w:sz w:val="22"/>
          <w:szCs w:val="22"/>
          <w:lang w:val="en-GB"/>
        </w:rPr>
      </w:pPr>
    </w:p>
    <w:p w14:paraId="3B784CC0" w14:textId="7B8CFFDC"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83120006"/>
      <w:r>
        <w:rPr>
          <w:rFonts w:asciiTheme="minorHAnsi" w:hAnsiTheme="minorHAnsi" w:cstheme="minorHAnsi"/>
          <w:i/>
          <w:iCs/>
          <w:sz w:val="22"/>
          <w:szCs w:val="22"/>
          <w:lang w:val="en"/>
        </w:rPr>
        <w:t>ECONOMIC AND FINANCIAL CAPACITY</w:t>
      </w:r>
      <w:bookmarkEnd w:id="42"/>
    </w:p>
    <w:p w14:paraId="11254795" w14:textId="5161936E" w:rsidR="00630EE6" w:rsidRPr="00FF073D" w:rsidRDefault="0082681B" w:rsidP="00FF073D">
      <w:pPr>
        <w:pStyle w:val="Default"/>
        <w:numPr>
          <w:ilvl w:val="0"/>
          <w:numId w:val="34"/>
        </w:numPr>
        <w:jc w:val="both"/>
        <w:rPr>
          <w:rFonts w:asciiTheme="minorHAnsi" w:hAnsiTheme="minorHAnsi" w:cstheme="minorHAnsi"/>
          <w:sz w:val="22"/>
          <w:szCs w:val="22"/>
          <w:lang w:val="en"/>
        </w:rPr>
      </w:pPr>
      <w:r>
        <w:rPr>
          <w:rFonts w:asciiTheme="minorHAnsi" w:hAnsiTheme="minorHAnsi" w:cstheme="minorHAnsi"/>
          <w:sz w:val="22"/>
          <w:szCs w:val="22"/>
          <w:lang w:val="en"/>
        </w:rPr>
        <w:t>Revenue for the past three years.</w:t>
      </w:r>
      <w:r w:rsidR="00FF073D">
        <w:rPr>
          <w:rFonts w:asciiTheme="minorHAnsi" w:hAnsiTheme="minorHAnsi" w:cstheme="minorHAnsi"/>
          <w:sz w:val="22"/>
          <w:szCs w:val="22"/>
          <w:lang w:val="en"/>
        </w:rPr>
        <w:t xml:space="preserve"> </w:t>
      </w:r>
      <w:r w:rsidR="00FF073D" w:rsidRPr="00FF073D">
        <w:rPr>
          <w:rFonts w:asciiTheme="minorHAnsi" w:hAnsiTheme="minorHAnsi" w:cstheme="minorHAnsi"/>
          <w:sz w:val="22"/>
          <w:szCs w:val="22"/>
          <w:lang w:val="en"/>
        </w:rPr>
        <w:t>Applicants must be able to prove an annual revenue of more than €350,000.</w:t>
      </w:r>
    </w:p>
    <w:p w14:paraId="5E37CCD5" w14:textId="4D3650D9" w:rsidR="00630EE6" w:rsidRPr="009F4027" w:rsidRDefault="00630EE6" w:rsidP="00630EE6">
      <w:pPr>
        <w:pStyle w:val="Default"/>
        <w:jc w:val="both"/>
        <w:rPr>
          <w:rFonts w:asciiTheme="minorHAnsi" w:hAnsiTheme="minorHAnsi" w:cstheme="minorHAnsi"/>
          <w:sz w:val="22"/>
          <w:szCs w:val="22"/>
          <w:lang w:val="en-US"/>
        </w:rPr>
      </w:pPr>
    </w:p>
    <w:p w14:paraId="1DB9FFF1" w14:textId="1D64C404"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83120007"/>
      <w:r>
        <w:rPr>
          <w:rFonts w:asciiTheme="minorHAnsi" w:hAnsiTheme="minorHAnsi" w:cstheme="minorHAnsi"/>
          <w:i/>
          <w:iCs/>
          <w:sz w:val="22"/>
          <w:szCs w:val="22"/>
          <w:lang w:val="en"/>
        </w:rPr>
        <w:t>TECHNICAL AND PROFESSIONAL CAPACITY</w:t>
      </w:r>
      <w:bookmarkEnd w:id="43"/>
    </w:p>
    <w:p w14:paraId="21543FA8" w14:textId="4600E37C" w:rsidR="00E100C9" w:rsidRPr="009F4027" w:rsidRDefault="00E100C9" w:rsidP="00E100C9">
      <w:pPr>
        <w:pStyle w:val="Default"/>
        <w:numPr>
          <w:ilvl w:val="0"/>
          <w:numId w:val="34"/>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The service provider's workforce and the workforce of personnel dedicated to the services covered by the contract</w:t>
      </w:r>
    </w:p>
    <w:p w14:paraId="259A5104" w14:textId="384B0D7D" w:rsidR="00630EE6" w:rsidRPr="00342E4D" w:rsidRDefault="00E100C9" w:rsidP="00630EE6">
      <w:pPr>
        <w:pStyle w:val="Default"/>
        <w:autoSpaceDE/>
        <w:autoSpaceDN/>
        <w:adjustRightInd/>
        <w:spacing w:before="120"/>
        <w:jc w:val="both"/>
        <w:rPr>
          <w:rFonts w:asciiTheme="minorHAnsi" w:hAnsiTheme="minorHAnsi" w:cstheme="minorHAnsi"/>
          <w:sz w:val="22"/>
          <w:szCs w:val="22"/>
          <w:lang w:val="en-GB"/>
        </w:rPr>
      </w:pPr>
      <w:r w:rsidRPr="00E100C9" w:rsidDel="00E100C9">
        <w:rPr>
          <w:rFonts w:asciiTheme="minorHAnsi" w:hAnsiTheme="minorHAnsi" w:cstheme="minorHAnsi"/>
          <w:sz w:val="22"/>
          <w:szCs w:val="22"/>
          <w:lang w:val="en"/>
        </w:rPr>
        <w:t xml:space="preserve"> </w:t>
      </w:r>
      <w:r w:rsidR="00630EE6">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4" w:name="_Toc55543797"/>
      <w:bookmarkStart w:id="45" w:name="_Toc55543747"/>
      <w:bookmarkStart w:id="46" w:name="__RefHeading__47578_1391709442"/>
      <w:bookmarkStart w:id="47" w:name="_Toc83120008"/>
      <w:r>
        <w:rPr>
          <w:rFonts w:asciiTheme="minorHAnsi" w:hAnsiTheme="minorHAnsi" w:cstheme="minorHAnsi"/>
          <w:sz w:val="22"/>
          <w:szCs w:val="22"/>
          <w:u w:val="single"/>
          <w:lang w:val="en"/>
        </w:rPr>
        <w:t>Specific requirements for consortia of economic operators</w:t>
      </w:r>
      <w:bookmarkEnd w:id="44"/>
      <w:bookmarkEnd w:id="45"/>
      <w:bookmarkEnd w:id="46"/>
      <w:bookmarkEnd w:id="47"/>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8" w:name="_Toc55543798"/>
      <w:bookmarkStart w:id="49" w:name="_Toc83120009"/>
      <w:r>
        <w:rPr>
          <w:rFonts w:asciiTheme="minorHAnsi" w:hAnsiTheme="minorHAnsi" w:cstheme="minorHAnsi"/>
          <w:i/>
          <w:iCs/>
          <w:sz w:val="22"/>
          <w:szCs w:val="22"/>
          <w:lang w:val="en"/>
        </w:rPr>
        <w:t>Grounds for the exclusion of consortia</w:t>
      </w:r>
      <w:bookmarkEnd w:id="48"/>
      <w:bookmarkEnd w:id="49"/>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0" w:name="_Toc55543800"/>
      <w:bookmarkStart w:id="51" w:name="_Toc83120010"/>
      <w:r>
        <w:rPr>
          <w:rFonts w:asciiTheme="minorHAnsi" w:hAnsiTheme="minorHAnsi" w:cstheme="minorHAnsi"/>
          <w:i/>
          <w:iCs/>
          <w:sz w:val="22"/>
          <w:szCs w:val="22"/>
          <w:lang w:val="en"/>
        </w:rPr>
        <w:t>Form of the consortium</w:t>
      </w:r>
      <w:bookmarkEnd w:id="50"/>
      <w:bookmarkEnd w:id="51"/>
    </w:p>
    <w:p w14:paraId="3BC3F89E" w14:textId="6807D4A2" w:rsidR="00027BDB"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w:t>
      </w:r>
      <w:r w:rsidR="001C19BD">
        <w:rPr>
          <w:rFonts w:asciiTheme="minorHAnsi" w:hAnsiTheme="minorHAnsi" w:cstheme="minorHAnsi"/>
          <w:sz w:val="22"/>
          <w:szCs w:val="22"/>
          <w:lang w:val="en"/>
        </w:rPr>
        <w:t>be jointly and severally liable</w:t>
      </w:r>
      <w:r>
        <w:rPr>
          <w:rFonts w:asciiTheme="minorHAnsi" w:hAnsiTheme="minorHAnsi" w:cstheme="minorHAnsi"/>
          <w:sz w:val="22"/>
          <w:szCs w:val="22"/>
          <w:lang w:val="en"/>
        </w:rPr>
        <w:t>.</w:t>
      </w:r>
    </w:p>
    <w:p w14:paraId="03878682" w14:textId="77777777" w:rsidR="001C19BD" w:rsidRPr="00342E4D" w:rsidRDefault="001C19BD"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2" w:name="_Toc55543801"/>
      <w:bookmarkStart w:id="53" w:name="_Toc55543748"/>
      <w:bookmarkStart w:id="54" w:name="__RefHeading__47580_1391709442"/>
      <w:bookmarkStart w:id="55" w:name="_Toc83120011"/>
      <w:r>
        <w:rPr>
          <w:rFonts w:asciiTheme="minorHAnsi" w:hAnsiTheme="minorHAnsi" w:cstheme="minorHAnsi"/>
          <w:sz w:val="22"/>
          <w:szCs w:val="22"/>
          <w:u w:val="single"/>
          <w:lang w:val="en"/>
        </w:rPr>
        <w:lastRenderedPageBreak/>
        <w:t>Subcontracting</w:t>
      </w:r>
      <w:bookmarkEnd w:id="52"/>
      <w:bookmarkEnd w:id="53"/>
      <w:bookmarkEnd w:id="54"/>
      <w:bookmarkEnd w:id="55"/>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6" w:name="_Toc55543802"/>
      <w:bookmarkStart w:id="57" w:name="_Toc83120012"/>
      <w:r>
        <w:rPr>
          <w:rFonts w:asciiTheme="minorHAnsi" w:hAnsiTheme="minorHAnsi" w:cstheme="minorHAnsi"/>
          <w:i/>
          <w:iCs/>
          <w:sz w:val="22"/>
          <w:szCs w:val="22"/>
          <w:lang w:val="en"/>
        </w:rPr>
        <w:t>Grounds for exclusion in the case of subcontracting</w:t>
      </w:r>
      <w:bookmarkEnd w:id="56"/>
      <w:bookmarkEnd w:id="57"/>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8" w:name="_Toc55543803"/>
      <w:bookmarkStart w:id="59" w:name="_Toc83120013"/>
      <w:r>
        <w:rPr>
          <w:rFonts w:asciiTheme="minorHAnsi" w:hAnsiTheme="minorHAnsi" w:cstheme="minorHAnsi"/>
          <w:i/>
          <w:iCs/>
          <w:sz w:val="22"/>
          <w:szCs w:val="22"/>
          <w:lang w:val="en"/>
        </w:rPr>
        <w:t>Presentation of a subcontractor</w:t>
      </w:r>
      <w:bookmarkEnd w:id="58"/>
      <w:bookmarkEnd w:id="59"/>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0" w:name="_Toc63419888"/>
      <w:bookmarkStart w:id="61" w:name="_Toc56790441"/>
      <w:bookmarkStart w:id="62" w:name="_Toc56789984"/>
      <w:bookmarkStart w:id="63" w:name="_Toc56722965"/>
      <w:bookmarkStart w:id="64" w:name="_Toc83120014"/>
      <w:bookmarkEnd w:id="60"/>
      <w:bookmarkEnd w:id="61"/>
      <w:bookmarkEnd w:id="62"/>
      <w:bookmarkEnd w:id="63"/>
      <w:r>
        <w:rPr>
          <w:rFonts w:asciiTheme="minorHAnsi" w:hAnsiTheme="minorHAnsi" w:cstheme="minorHAnsi"/>
          <w:b/>
          <w:bCs/>
          <w:caps/>
          <w:sz w:val="28"/>
          <w:szCs w:val="22"/>
          <w:u w:val="single"/>
          <w:lang w:val="en"/>
        </w:rPr>
        <w:t>Presentation of bids and submission process</w:t>
      </w:r>
      <w:bookmarkEnd w:id="64"/>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5" w:name="_Toc417653428"/>
      <w:bookmarkStart w:id="66" w:name="_Toc419212444"/>
      <w:bookmarkStart w:id="67" w:name="_Toc443657778"/>
      <w:bookmarkStart w:id="68"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9" w:name="_Toc455768072"/>
      <w:bookmarkStart w:id="70" w:name="_Toc455679215"/>
      <w:bookmarkStart w:id="71" w:name="_Toc455587889"/>
      <w:bookmarkStart w:id="72" w:name="_Toc452049149"/>
      <w:bookmarkStart w:id="73" w:name="_Toc83120015"/>
      <w:bookmarkEnd w:id="65"/>
      <w:bookmarkEnd w:id="66"/>
      <w:bookmarkEnd w:id="67"/>
      <w:bookmarkEnd w:id="68"/>
      <w:r>
        <w:rPr>
          <w:rFonts w:asciiTheme="minorHAnsi" w:hAnsiTheme="minorHAnsi" w:cstheme="minorHAnsi"/>
          <w:sz w:val="22"/>
          <w:szCs w:val="22"/>
          <w:u w:val="single"/>
          <w:lang w:val="en"/>
        </w:rPr>
        <w:t>Application documents</w:t>
      </w:r>
      <w:bookmarkEnd w:id="69"/>
      <w:bookmarkEnd w:id="70"/>
      <w:bookmarkEnd w:id="71"/>
      <w:bookmarkEnd w:id="72"/>
      <w:bookmarkEnd w:id="73"/>
    </w:p>
    <w:p w14:paraId="7C87FAC5" w14:textId="23D13A6A" w:rsidR="001C19BD" w:rsidRPr="001C19BD" w:rsidRDefault="00701018" w:rsidP="001C19BD">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Candidates must submit the following application documents:</w:t>
      </w:r>
    </w:p>
    <w:p w14:paraId="07AC426B" w14:textId="77777777" w:rsidR="001C19BD" w:rsidRPr="009F4027" w:rsidRDefault="001C19BD" w:rsidP="001C19BD">
      <w:pPr>
        <w:pStyle w:val="Paragraphedeliste"/>
        <w:numPr>
          <w:ilvl w:val="0"/>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The attached “</w:t>
      </w:r>
      <w:r w:rsidRPr="009F4027">
        <w:rPr>
          <w:rFonts w:asciiTheme="minorHAnsi" w:hAnsiTheme="minorHAnsi" w:cstheme="minorHAnsi"/>
          <w:b/>
          <w:bCs/>
          <w:sz w:val="22"/>
          <w:szCs w:val="22"/>
          <w:lang w:val="en-US"/>
        </w:rPr>
        <w:t>A. Application form</w:t>
      </w:r>
      <w:r w:rsidRPr="009F4027">
        <w:rPr>
          <w:rFonts w:asciiTheme="minorHAnsi" w:hAnsiTheme="minorHAnsi" w:cstheme="minorHAnsi"/>
          <w:sz w:val="22"/>
          <w:szCs w:val="22"/>
          <w:lang w:val="en-US"/>
        </w:rPr>
        <w:t xml:space="preserve">”, which should include: </w:t>
      </w:r>
    </w:p>
    <w:p w14:paraId="767CB73E" w14:textId="21D087BB" w:rsidR="001C19BD" w:rsidRPr="001C19BD" w:rsidRDefault="001C19BD" w:rsidP="001C19BD">
      <w:pPr>
        <w:pStyle w:val="Paragraphedeliste"/>
        <w:numPr>
          <w:ilvl w:val="1"/>
          <w:numId w:val="18"/>
        </w:numPr>
        <w:jc w:val="both"/>
        <w:rPr>
          <w:rFonts w:asciiTheme="minorHAnsi" w:hAnsiTheme="minorHAnsi" w:cstheme="minorHAnsi"/>
          <w:sz w:val="22"/>
          <w:szCs w:val="22"/>
        </w:rPr>
      </w:pPr>
      <w:r w:rsidRPr="001C19BD">
        <w:rPr>
          <w:rFonts w:asciiTheme="minorHAnsi" w:hAnsiTheme="minorHAnsi" w:cstheme="minorHAnsi"/>
          <w:sz w:val="22"/>
          <w:szCs w:val="22"/>
        </w:rPr>
        <w:t xml:space="preserve">Information of the tenderer </w:t>
      </w:r>
    </w:p>
    <w:p w14:paraId="298EC474" w14:textId="1BAB31AC" w:rsidR="001C19BD" w:rsidRPr="009F4027" w:rsidRDefault="001C19BD" w:rsidP="001C19BD">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Information on registration with a professional register </w:t>
      </w:r>
    </w:p>
    <w:p w14:paraId="65136497" w14:textId="26D79583"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b/>
          <w:bCs/>
          <w:sz w:val="22"/>
          <w:szCs w:val="22"/>
          <w:lang w:val="en-US"/>
        </w:rPr>
        <w:t xml:space="preserve">Proof of registration with a profession registry </w:t>
      </w:r>
      <w:r w:rsidRPr="009F4027">
        <w:rPr>
          <w:rFonts w:asciiTheme="minorHAnsi" w:hAnsiTheme="minorHAnsi" w:cstheme="minorHAnsi"/>
          <w:sz w:val="22"/>
          <w:szCs w:val="22"/>
          <w:lang w:val="en-US"/>
        </w:rPr>
        <w:t xml:space="preserve">(“k-bis” or equivalent registration with a trade and companies’ registry); </w:t>
      </w:r>
    </w:p>
    <w:p w14:paraId="3406D584" w14:textId="76A95D28" w:rsidR="001C19BD" w:rsidRPr="009F4027" w:rsidRDefault="001C19BD" w:rsidP="001C19BD">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A description of the economic and financial resources that meet the participation conditions set out below: </w:t>
      </w:r>
    </w:p>
    <w:p w14:paraId="0539E892" w14:textId="6CB29AC5"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Revenue declarations for the last three available financial years; </w:t>
      </w:r>
    </w:p>
    <w:p w14:paraId="199BE4AF" w14:textId="2BF6F00F"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b/>
          <w:bCs/>
          <w:sz w:val="22"/>
          <w:szCs w:val="22"/>
          <w:lang w:val="en-US"/>
        </w:rPr>
        <w:t>Currently valid insurance certificates for civil and/or professional liability</w:t>
      </w:r>
      <w:r w:rsidRPr="009F4027">
        <w:rPr>
          <w:rFonts w:asciiTheme="minorHAnsi" w:hAnsiTheme="minorHAnsi" w:cstheme="minorHAnsi"/>
          <w:sz w:val="22"/>
          <w:szCs w:val="22"/>
          <w:lang w:val="en-US"/>
        </w:rPr>
        <w:t xml:space="preserve">; </w:t>
      </w:r>
    </w:p>
    <w:p w14:paraId="0CA0D788" w14:textId="4E2DABE4" w:rsidR="001C19BD" w:rsidRPr="009F4027" w:rsidRDefault="001C19BD" w:rsidP="001C19BD">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A description of the technical resources that meet the participation conditions set out below: </w:t>
      </w:r>
    </w:p>
    <w:p w14:paraId="11793A9A" w14:textId="2F7B665F"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List of references relevant to the object of the contract; </w:t>
      </w:r>
    </w:p>
    <w:p w14:paraId="72C9D047" w14:textId="6C31FD68"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Declaration stating the technical tools and equipment available to the candidate for delivery of the services specified in the contract; </w:t>
      </w:r>
    </w:p>
    <w:p w14:paraId="434825AF" w14:textId="45C2D382"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41DA8803" w14:textId="72E9BB90" w:rsidR="001C19BD" w:rsidRPr="009F4027" w:rsidRDefault="001C19BD" w:rsidP="001C19BD">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A description of the human resources that meet the participation conditions set out below: </w:t>
      </w:r>
    </w:p>
    <w:p w14:paraId="77A0A1F8" w14:textId="424777B0" w:rsidR="001C19BD" w:rsidRPr="009F4027" w:rsidRDefault="001C19BD" w:rsidP="001C19BD">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A declaration stating the company’s current headcount and the number of supervisory </w:t>
      </w:r>
      <w:r w:rsidR="0082681B" w:rsidRPr="009F4027">
        <w:rPr>
          <w:rFonts w:asciiTheme="minorHAnsi" w:hAnsiTheme="minorHAnsi" w:cstheme="minorHAnsi"/>
          <w:sz w:val="22"/>
          <w:szCs w:val="22"/>
          <w:lang w:val="en-US"/>
        </w:rPr>
        <w:t>personnel ;</w:t>
      </w:r>
      <w:r w:rsidRPr="009F4027">
        <w:rPr>
          <w:rFonts w:asciiTheme="minorHAnsi" w:hAnsiTheme="minorHAnsi" w:cstheme="minorHAnsi"/>
          <w:sz w:val="22"/>
          <w:szCs w:val="22"/>
          <w:lang w:val="en-US"/>
        </w:rPr>
        <w:t xml:space="preserve"> </w:t>
      </w:r>
    </w:p>
    <w:p w14:paraId="6872A0DA" w14:textId="1BAC5792" w:rsidR="001C19BD" w:rsidRPr="009F4027" w:rsidRDefault="001C19BD" w:rsidP="001C19BD">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Proof of fulfilment of tax and social security obligations </w:t>
      </w:r>
    </w:p>
    <w:p w14:paraId="5D16FC76" w14:textId="06A05CB4" w:rsidR="004022E9" w:rsidRPr="009F4027" w:rsidRDefault="001C19BD" w:rsidP="004022E9">
      <w:pPr>
        <w:pStyle w:val="Paragraphedeliste"/>
        <w:numPr>
          <w:ilvl w:val="2"/>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 xml:space="preserve">Any </w:t>
      </w:r>
      <w:r w:rsidRPr="009F4027">
        <w:rPr>
          <w:rFonts w:asciiTheme="minorHAnsi" w:hAnsiTheme="minorHAnsi" w:cstheme="minorHAnsi"/>
          <w:b/>
          <w:bCs/>
          <w:sz w:val="22"/>
          <w:szCs w:val="22"/>
          <w:lang w:val="en-US"/>
        </w:rPr>
        <w:t>means of proof that the tenderer has fulfilled its tax and social security obligations</w:t>
      </w:r>
      <w:r w:rsidRPr="009F4027">
        <w:rPr>
          <w:rFonts w:asciiTheme="minorHAnsi" w:hAnsiTheme="minorHAnsi" w:cstheme="minorHAnsi"/>
          <w:sz w:val="22"/>
          <w:szCs w:val="22"/>
          <w:lang w:val="en-US"/>
        </w:rPr>
        <w:t xml:space="preserve">. </w:t>
      </w:r>
    </w:p>
    <w:p w14:paraId="3F6C50D2" w14:textId="2C633EAF" w:rsidR="001C19BD" w:rsidRPr="009F4027" w:rsidRDefault="001C19BD" w:rsidP="004022E9">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lastRenderedPageBreak/>
        <w:t>The attached “</w:t>
      </w:r>
      <w:r w:rsidRPr="009F4027">
        <w:rPr>
          <w:rFonts w:asciiTheme="minorHAnsi" w:hAnsiTheme="minorHAnsi" w:cstheme="minorHAnsi"/>
          <w:b/>
          <w:bCs/>
          <w:sz w:val="22"/>
          <w:szCs w:val="22"/>
          <w:lang w:val="en-US"/>
        </w:rPr>
        <w:t>Sworn statement on exclusion criteria, the absence of conflict of interest</w:t>
      </w:r>
      <w:r w:rsidRPr="009F4027">
        <w:rPr>
          <w:rFonts w:asciiTheme="minorHAnsi" w:hAnsiTheme="minorHAnsi" w:cstheme="minorHAnsi"/>
          <w:sz w:val="22"/>
          <w:szCs w:val="22"/>
          <w:lang w:val="en-US"/>
        </w:rPr>
        <w:t xml:space="preserve">"; </w:t>
      </w:r>
    </w:p>
    <w:p w14:paraId="3965588A" w14:textId="73AA2438" w:rsidR="001C19BD" w:rsidRPr="009F4027" w:rsidRDefault="001C19BD" w:rsidP="004022E9">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The attached "</w:t>
      </w:r>
      <w:r w:rsidRPr="009F4027">
        <w:rPr>
          <w:rFonts w:asciiTheme="minorHAnsi" w:hAnsiTheme="minorHAnsi" w:cstheme="minorHAnsi"/>
          <w:b/>
          <w:bCs/>
          <w:sz w:val="22"/>
          <w:szCs w:val="22"/>
          <w:lang w:val="en-US"/>
        </w:rPr>
        <w:t>Third-party identification sheet</w:t>
      </w:r>
      <w:r w:rsidRPr="009F4027">
        <w:rPr>
          <w:rFonts w:asciiTheme="minorHAnsi" w:hAnsiTheme="minorHAnsi" w:cstheme="minorHAnsi"/>
          <w:sz w:val="22"/>
          <w:szCs w:val="22"/>
          <w:lang w:val="en-US"/>
        </w:rPr>
        <w:t xml:space="preserve">", including: </w:t>
      </w:r>
    </w:p>
    <w:p w14:paraId="00026E38" w14:textId="6EA1C792" w:rsidR="001C19BD" w:rsidRPr="009F4027" w:rsidRDefault="001C19BD" w:rsidP="001C19BD">
      <w:pPr>
        <w:pStyle w:val="Paragraphedeliste"/>
        <w:numPr>
          <w:ilvl w:val="1"/>
          <w:numId w:val="18"/>
        </w:numPr>
        <w:jc w:val="both"/>
        <w:rPr>
          <w:rFonts w:asciiTheme="minorHAnsi" w:hAnsiTheme="minorHAnsi" w:cstheme="minorHAnsi"/>
          <w:sz w:val="22"/>
          <w:szCs w:val="22"/>
          <w:lang w:val="en-US"/>
        </w:rPr>
      </w:pPr>
      <w:r w:rsidRPr="009F4027">
        <w:rPr>
          <w:rFonts w:asciiTheme="minorHAnsi" w:hAnsiTheme="minorHAnsi" w:cstheme="minorHAnsi"/>
          <w:b/>
          <w:bCs/>
          <w:sz w:val="22"/>
          <w:szCs w:val="22"/>
          <w:lang w:val="en-US"/>
        </w:rPr>
        <w:t xml:space="preserve">Bank account details </w:t>
      </w:r>
      <w:r w:rsidRPr="009F4027">
        <w:rPr>
          <w:rFonts w:asciiTheme="minorHAnsi" w:hAnsiTheme="minorHAnsi" w:cstheme="minorHAnsi"/>
          <w:sz w:val="22"/>
          <w:szCs w:val="22"/>
          <w:lang w:val="en-US"/>
        </w:rPr>
        <w:t xml:space="preserve">(issued by the bank2); </w:t>
      </w:r>
    </w:p>
    <w:p w14:paraId="784B03C7" w14:textId="4547B4FF" w:rsidR="001C19BD" w:rsidRPr="009F4027" w:rsidRDefault="001C19BD" w:rsidP="001C19BD">
      <w:pPr>
        <w:pStyle w:val="Paragraphedeliste"/>
        <w:numPr>
          <w:ilvl w:val="0"/>
          <w:numId w:val="18"/>
        </w:numPr>
        <w:jc w:val="both"/>
        <w:rPr>
          <w:rFonts w:asciiTheme="minorHAnsi" w:hAnsiTheme="minorHAnsi" w:cstheme="minorHAnsi"/>
          <w:sz w:val="22"/>
          <w:szCs w:val="22"/>
          <w:lang w:val="en-US"/>
        </w:rPr>
      </w:pPr>
      <w:r w:rsidRPr="009F4027">
        <w:rPr>
          <w:rFonts w:asciiTheme="minorHAnsi" w:hAnsiTheme="minorHAnsi" w:cstheme="minorHAnsi"/>
          <w:sz w:val="22"/>
          <w:szCs w:val="22"/>
          <w:lang w:val="en-US"/>
        </w:rPr>
        <w:t>The attached “</w:t>
      </w:r>
      <w:r w:rsidRPr="009F4027">
        <w:rPr>
          <w:rFonts w:asciiTheme="minorHAnsi" w:hAnsiTheme="minorHAnsi" w:cstheme="minorHAnsi"/>
          <w:b/>
          <w:bCs/>
          <w:sz w:val="22"/>
          <w:szCs w:val="22"/>
          <w:lang w:val="en-US"/>
        </w:rPr>
        <w:t>D. GDPR compliance verification form</w:t>
      </w:r>
      <w:r w:rsidRPr="009F4027">
        <w:rPr>
          <w:rFonts w:asciiTheme="minorHAnsi" w:hAnsiTheme="minorHAnsi" w:cstheme="minorHAnsi"/>
          <w:sz w:val="22"/>
          <w:szCs w:val="22"/>
          <w:lang w:val="en-US"/>
        </w:rPr>
        <w:t xml:space="preserve">”, used to verify that the bidder has implemented appropriate technical and organisational measures such that data processing complies with relevant data protection laws and regulations (GDPR and French data protection legislation), thereby guaranteeing the rights of data subjects; </w:t>
      </w:r>
    </w:p>
    <w:p w14:paraId="34742FC0" w14:textId="70F5BD62" w:rsidR="004B5EF6" w:rsidRPr="009F4027" w:rsidRDefault="001C19BD" w:rsidP="001C19BD">
      <w:pPr>
        <w:pStyle w:val="Paragraphedeliste"/>
        <w:numPr>
          <w:ilvl w:val="0"/>
          <w:numId w:val="18"/>
        </w:numPr>
        <w:autoSpaceDE w:val="0"/>
        <w:autoSpaceDN w:val="0"/>
        <w:adjustRightInd w:val="0"/>
        <w:spacing w:line="240" w:lineRule="auto"/>
        <w:rPr>
          <w:rFonts w:ascii="Calibri" w:hAnsi="Calibri" w:cs="Calibri"/>
          <w:color w:val="000000"/>
          <w:sz w:val="24"/>
          <w:szCs w:val="24"/>
          <w:lang w:val="en-US"/>
        </w:rPr>
      </w:pPr>
      <w:r w:rsidRPr="009F4027">
        <w:rPr>
          <w:rFonts w:ascii="Calibri" w:hAnsi="Calibri" w:cs="Calibri"/>
          <w:color w:val="000000"/>
          <w:sz w:val="22"/>
          <w:szCs w:val="22"/>
          <w:lang w:val="en-US"/>
        </w:rPr>
        <w:t>As applicable, the court ruling on receivership (</w:t>
      </w:r>
      <w:r w:rsidRPr="009F4027">
        <w:rPr>
          <w:rFonts w:ascii="Calibri" w:hAnsi="Calibri" w:cs="Calibri"/>
          <w:i/>
          <w:iCs/>
          <w:color w:val="000000"/>
          <w:sz w:val="22"/>
          <w:szCs w:val="22"/>
          <w:lang w:val="en-US"/>
        </w:rPr>
        <w:t>redressement judiciaire</w:t>
      </w:r>
      <w:r w:rsidRPr="009F4027">
        <w:rPr>
          <w:rFonts w:ascii="Calibri" w:hAnsi="Calibri" w:cs="Calibri"/>
          <w:color w:val="000000"/>
          <w:sz w:val="22"/>
          <w:szCs w:val="22"/>
          <w:lang w:val="en-US"/>
        </w:rPr>
        <w:t xml:space="preserve">); </w:t>
      </w: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4" w:name="_Toc83120016"/>
      <w:r>
        <w:rPr>
          <w:rFonts w:asciiTheme="minorHAnsi" w:hAnsiTheme="minorHAnsi" w:cstheme="minorHAnsi"/>
          <w:sz w:val="22"/>
          <w:szCs w:val="22"/>
          <w:u w:val="single"/>
          <w:lang w:val="en"/>
        </w:rPr>
        <w:t>Bid documents</w:t>
      </w:r>
      <w:bookmarkEnd w:id="74"/>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4849C94E" w14:textId="7E1F940E" w:rsidR="00CE0F8C" w:rsidRPr="009F4027" w:rsidRDefault="00CE0F8C" w:rsidP="00CE0F8C">
      <w:pPr>
        <w:pStyle w:val="Paragraphedeliste"/>
        <w:numPr>
          <w:ilvl w:val="0"/>
          <w:numId w:val="18"/>
        </w:numPr>
        <w:autoSpaceDE w:val="0"/>
        <w:autoSpaceDN w:val="0"/>
        <w:adjustRightInd w:val="0"/>
        <w:spacing w:line="240" w:lineRule="auto"/>
        <w:rPr>
          <w:rFonts w:ascii="Calibri" w:hAnsi="Calibri" w:cs="Calibri"/>
          <w:color w:val="000000"/>
          <w:sz w:val="22"/>
          <w:szCs w:val="22"/>
          <w:lang w:val="en-US"/>
        </w:rPr>
      </w:pPr>
      <w:bookmarkStart w:id="75" w:name="_Toc83120017"/>
      <w:r w:rsidRPr="009F4027">
        <w:rPr>
          <w:rFonts w:ascii="Calibri" w:hAnsi="Calibri" w:cs="Calibri"/>
          <w:b/>
          <w:bCs/>
          <w:color w:val="000000"/>
          <w:sz w:val="22"/>
          <w:szCs w:val="22"/>
          <w:lang w:val="en-US"/>
        </w:rPr>
        <w:t>A technical offer</w:t>
      </w:r>
      <w:r w:rsidRPr="009F4027">
        <w:rPr>
          <w:rFonts w:ascii="Calibri" w:hAnsi="Calibri" w:cs="Calibri"/>
          <w:color w:val="000000"/>
          <w:sz w:val="22"/>
          <w:szCs w:val="22"/>
          <w:lang w:val="en-US"/>
        </w:rPr>
        <w:t xml:space="preserve">: the methodology to be drawn up by the tenderer, including: </w:t>
      </w:r>
    </w:p>
    <w:p w14:paraId="51BC8D3A" w14:textId="658A4A9E" w:rsidR="00CE0F8C" w:rsidRPr="009F4027" w:rsidRDefault="00CE0F8C" w:rsidP="00CE0F8C">
      <w:pPr>
        <w:pStyle w:val="Paragraphedeliste"/>
        <w:numPr>
          <w:ilvl w:val="1"/>
          <w:numId w:val="18"/>
        </w:numPr>
        <w:autoSpaceDE w:val="0"/>
        <w:autoSpaceDN w:val="0"/>
        <w:adjustRightInd w:val="0"/>
        <w:spacing w:after="18" w:line="240" w:lineRule="auto"/>
        <w:rPr>
          <w:rFonts w:ascii="Calibri" w:hAnsi="Calibri" w:cs="Calibri"/>
          <w:color w:val="000000"/>
          <w:sz w:val="22"/>
          <w:szCs w:val="22"/>
          <w:lang w:val="en-US"/>
        </w:rPr>
      </w:pPr>
      <w:r w:rsidRPr="009F4027">
        <w:rPr>
          <w:rFonts w:ascii="Calibri" w:hAnsi="Calibri" w:cs="Calibri"/>
          <w:color w:val="000000"/>
          <w:sz w:val="22"/>
          <w:szCs w:val="22"/>
          <w:lang w:val="en-US"/>
        </w:rPr>
        <w:t xml:space="preserve">Understanding of the mission including the capacity and the ability to perform the services </w:t>
      </w:r>
    </w:p>
    <w:p w14:paraId="4982C662" w14:textId="6C405863" w:rsidR="00CE0F8C" w:rsidRPr="00CE0F8C" w:rsidRDefault="00CE0F8C" w:rsidP="00CE0F8C">
      <w:pPr>
        <w:pStyle w:val="Paragraphedeliste"/>
        <w:numPr>
          <w:ilvl w:val="1"/>
          <w:numId w:val="18"/>
        </w:numPr>
        <w:autoSpaceDE w:val="0"/>
        <w:autoSpaceDN w:val="0"/>
        <w:adjustRightInd w:val="0"/>
        <w:spacing w:after="18" w:line="240" w:lineRule="auto"/>
        <w:rPr>
          <w:rFonts w:ascii="Calibri" w:hAnsi="Calibri" w:cs="Calibri"/>
          <w:color w:val="000000"/>
          <w:sz w:val="22"/>
          <w:szCs w:val="22"/>
        </w:rPr>
      </w:pPr>
      <w:r w:rsidRPr="00CE0F8C">
        <w:rPr>
          <w:rFonts w:ascii="Calibri" w:hAnsi="Calibri" w:cs="Calibri"/>
          <w:color w:val="000000"/>
          <w:sz w:val="22"/>
          <w:szCs w:val="22"/>
        </w:rPr>
        <w:t xml:space="preserve">Organization, staffing and practical arrangements </w:t>
      </w:r>
    </w:p>
    <w:p w14:paraId="39016F0D" w14:textId="1312758E" w:rsidR="00CE0F8C" w:rsidRPr="009F4027" w:rsidRDefault="00CE0F8C" w:rsidP="00CE0F8C">
      <w:pPr>
        <w:pStyle w:val="Paragraphedeliste"/>
        <w:numPr>
          <w:ilvl w:val="1"/>
          <w:numId w:val="18"/>
        </w:numPr>
        <w:autoSpaceDE w:val="0"/>
        <w:autoSpaceDN w:val="0"/>
        <w:adjustRightInd w:val="0"/>
        <w:spacing w:line="240" w:lineRule="auto"/>
        <w:rPr>
          <w:rFonts w:ascii="Calibri" w:hAnsi="Calibri" w:cs="Calibri"/>
          <w:color w:val="000000"/>
          <w:sz w:val="22"/>
          <w:szCs w:val="22"/>
          <w:lang w:val="en-US"/>
        </w:rPr>
      </w:pPr>
      <w:r w:rsidRPr="009F4027">
        <w:rPr>
          <w:rFonts w:ascii="Calibri" w:hAnsi="Calibri" w:cs="Calibri"/>
          <w:color w:val="000000"/>
          <w:sz w:val="22"/>
          <w:szCs w:val="22"/>
          <w:lang w:val="en-US"/>
        </w:rPr>
        <w:t xml:space="preserve">A framing note is attached to the consultation to help candidates in the formulation of their offers (ch “Framing note for technical offer”) </w:t>
      </w:r>
    </w:p>
    <w:p w14:paraId="070E0A36" w14:textId="1A1B686B" w:rsidR="00CE0F8C" w:rsidRPr="00CE0F8C" w:rsidRDefault="00CE0F8C" w:rsidP="00CE0F8C">
      <w:pPr>
        <w:pStyle w:val="Paragraphedeliste"/>
        <w:numPr>
          <w:ilvl w:val="0"/>
          <w:numId w:val="18"/>
        </w:numPr>
        <w:autoSpaceDE w:val="0"/>
        <w:autoSpaceDN w:val="0"/>
        <w:adjustRightInd w:val="0"/>
        <w:spacing w:line="240" w:lineRule="auto"/>
        <w:rPr>
          <w:rFonts w:ascii="Calibri" w:hAnsi="Calibri" w:cs="Calibri"/>
          <w:color w:val="000000"/>
          <w:sz w:val="22"/>
          <w:szCs w:val="22"/>
        </w:rPr>
      </w:pPr>
      <w:r w:rsidRPr="00CE0F8C">
        <w:rPr>
          <w:rFonts w:ascii="Calibri" w:hAnsi="Calibri" w:cs="Calibri"/>
          <w:b/>
          <w:bCs/>
          <w:color w:val="000000"/>
          <w:sz w:val="22"/>
          <w:szCs w:val="22"/>
        </w:rPr>
        <w:t>A financial offer</w:t>
      </w:r>
      <w:r w:rsidRPr="00CE0F8C">
        <w:rPr>
          <w:rFonts w:ascii="Calibri" w:hAnsi="Calibri" w:cs="Calibri"/>
          <w:color w:val="000000"/>
          <w:sz w:val="22"/>
          <w:szCs w:val="22"/>
        </w:rPr>
        <w:t xml:space="preserve">: </w:t>
      </w:r>
    </w:p>
    <w:p w14:paraId="40AA6DD8" w14:textId="31D9BA27" w:rsidR="00CE0F8C" w:rsidRPr="009F4027" w:rsidRDefault="00CE0F8C" w:rsidP="00CE0F8C">
      <w:pPr>
        <w:pStyle w:val="Paragraphedeliste"/>
        <w:numPr>
          <w:ilvl w:val="1"/>
          <w:numId w:val="18"/>
        </w:numPr>
        <w:autoSpaceDE w:val="0"/>
        <w:autoSpaceDN w:val="0"/>
        <w:adjustRightInd w:val="0"/>
        <w:spacing w:after="18" w:line="240" w:lineRule="auto"/>
        <w:rPr>
          <w:rFonts w:ascii="Calibri" w:hAnsi="Calibri" w:cs="Calibri"/>
          <w:color w:val="000000"/>
          <w:sz w:val="22"/>
          <w:szCs w:val="22"/>
          <w:lang w:val="en-US"/>
        </w:rPr>
      </w:pPr>
      <w:r w:rsidRPr="009F4027">
        <w:rPr>
          <w:rFonts w:ascii="Calibri" w:hAnsi="Calibri" w:cs="Calibri"/>
          <w:color w:val="000000"/>
          <w:sz w:val="22"/>
          <w:szCs w:val="22"/>
          <w:lang w:val="en-US"/>
        </w:rPr>
        <w:t xml:space="preserve">The financial offer must be presented as a </w:t>
      </w:r>
      <w:r w:rsidRPr="009F4027">
        <w:rPr>
          <w:rFonts w:ascii="Calibri" w:hAnsi="Calibri" w:cs="Calibri"/>
          <w:b/>
          <w:bCs/>
          <w:color w:val="000000"/>
          <w:sz w:val="22"/>
          <w:szCs w:val="22"/>
          <w:lang w:val="en-US"/>
        </w:rPr>
        <w:t>contractual documen</w:t>
      </w:r>
      <w:r w:rsidRPr="009F4027">
        <w:rPr>
          <w:rFonts w:ascii="Calibri" w:hAnsi="Calibri" w:cs="Calibri"/>
          <w:color w:val="000000"/>
          <w:sz w:val="22"/>
          <w:szCs w:val="22"/>
          <w:lang w:val="en-US"/>
        </w:rPr>
        <w:t xml:space="preserve">t and must include the management fees of the contractor, and its details and calculation basis. </w:t>
      </w:r>
    </w:p>
    <w:p w14:paraId="6544C218" w14:textId="0F0BC222" w:rsidR="00CE0F8C" w:rsidRPr="009F4027" w:rsidRDefault="00CE0F8C" w:rsidP="00CE0F8C">
      <w:pPr>
        <w:pStyle w:val="Paragraphedeliste"/>
        <w:numPr>
          <w:ilvl w:val="1"/>
          <w:numId w:val="18"/>
        </w:numPr>
        <w:autoSpaceDE w:val="0"/>
        <w:autoSpaceDN w:val="0"/>
        <w:adjustRightInd w:val="0"/>
        <w:spacing w:after="18" w:line="240" w:lineRule="auto"/>
        <w:rPr>
          <w:rFonts w:ascii="Calibri" w:hAnsi="Calibri" w:cs="Calibri"/>
          <w:color w:val="000000"/>
          <w:sz w:val="22"/>
          <w:szCs w:val="22"/>
          <w:lang w:val="en-US"/>
        </w:rPr>
      </w:pPr>
      <w:r w:rsidRPr="009F4027">
        <w:rPr>
          <w:rFonts w:ascii="Calibri" w:hAnsi="Calibri" w:cs="Calibri"/>
          <w:color w:val="000000"/>
          <w:sz w:val="22"/>
          <w:szCs w:val="22"/>
          <w:lang w:val="en-US"/>
        </w:rPr>
        <w:t xml:space="preserve">A proposition of </w:t>
      </w:r>
      <w:r w:rsidRPr="009F4027">
        <w:rPr>
          <w:rFonts w:ascii="Calibri" w:hAnsi="Calibri" w:cs="Calibri"/>
          <w:b/>
          <w:bCs/>
          <w:color w:val="000000"/>
          <w:sz w:val="22"/>
          <w:szCs w:val="22"/>
          <w:lang w:val="en-US"/>
        </w:rPr>
        <w:t xml:space="preserve">at least 3 health insurances </w:t>
      </w:r>
      <w:r w:rsidRPr="009F4027">
        <w:rPr>
          <w:rFonts w:ascii="Calibri" w:hAnsi="Calibri" w:cs="Calibri"/>
          <w:color w:val="000000"/>
          <w:sz w:val="22"/>
          <w:szCs w:val="22"/>
          <w:lang w:val="en-US"/>
        </w:rPr>
        <w:t xml:space="preserve">with coverage details and pricing for each of them </w:t>
      </w:r>
    </w:p>
    <w:p w14:paraId="19D70FA0" w14:textId="3D1A25C6" w:rsidR="00CE0F8C" w:rsidRPr="009F4027" w:rsidRDefault="00CE0F8C" w:rsidP="00CE0F8C">
      <w:pPr>
        <w:pStyle w:val="Paragraphedeliste"/>
        <w:numPr>
          <w:ilvl w:val="1"/>
          <w:numId w:val="18"/>
        </w:numPr>
        <w:autoSpaceDE w:val="0"/>
        <w:autoSpaceDN w:val="0"/>
        <w:adjustRightInd w:val="0"/>
        <w:spacing w:line="240" w:lineRule="auto"/>
        <w:rPr>
          <w:rFonts w:ascii="Calibri" w:hAnsi="Calibri" w:cs="Calibri"/>
          <w:color w:val="000000"/>
          <w:sz w:val="22"/>
          <w:szCs w:val="22"/>
          <w:lang w:val="en-US"/>
        </w:rPr>
      </w:pPr>
      <w:r w:rsidRPr="009F4027">
        <w:rPr>
          <w:rFonts w:ascii="Calibri" w:hAnsi="Calibri" w:cs="Calibri"/>
          <w:color w:val="000000"/>
          <w:sz w:val="22"/>
          <w:szCs w:val="22"/>
          <w:lang w:val="en-US"/>
        </w:rPr>
        <w:t xml:space="preserve">A template of financial offer is attached to the consultation and must be used by candidates </w:t>
      </w:r>
    </w:p>
    <w:p w14:paraId="3C6E01EE" w14:textId="24BE3196" w:rsidR="009009F8" w:rsidRPr="009F4027" w:rsidRDefault="009009F8" w:rsidP="0006068D">
      <w:pPr>
        <w:pStyle w:val="Titre2"/>
        <w:spacing w:before="240" w:after="120" w:line="240" w:lineRule="auto"/>
        <w:jc w:val="both"/>
        <w:rPr>
          <w:rFonts w:asciiTheme="minorHAnsi" w:hAnsiTheme="minorHAnsi" w:cstheme="minorHAnsi"/>
          <w:sz w:val="22"/>
          <w:szCs w:val="22"/>
          <w:u w:val="single"/>
          <w:lang w:val="en-US"/>
        </w:rPr>
      </w:pPr>
      <w:r>
        <w:rPr>
          <w:rFonts w:asciiTheme="minorHAnsi" w:hAnsiTheme="minorHAnsi" w:cstheme="minorHAnsi"/>
          <w:sz w:val="22"/>
          <w:szCs w:val="22"/>
          <w:u w:val="single"/>
          <w:lang w:val="en"/>
        </w:rPr>
        <w:t>Bid validity period</w:t>
      </w:r>
      <w:bookmarkEnd w:id="75"/>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9" w:name="_Toc83120019"/>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0" w:name="_Toc83120020"/>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FA400A"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lastRenderedPageBreak/>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83120021"/>
      <w:r>
        <w:rPr>
          <w:rFonts w:asciiTheme="minorHAnsi" w:hAnsiTheme="minorHAnsi" w:cstheme="minorHAnsi"/>
          <w:b/>
          <w:bCs/>
          <w:caps/>
          <w:sz w:val="28"/>
          <w:szCs w:val="22"/>
          <w:u w:val="single"/>
          <w:lang w:val="en"/>
        </w:rPr>
        <w:t>Analysis of applications</w:t>
      </w:r>
      <w:bookmarkEnd w:id="83"/>
    </w:p>
    <w:p w14:paraId="520940B5" w14:textId="7AE51114" w:rsidR="00870B9F" w:rsidRPr="00342E4D" w:rsidRDefault="00ED1945"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r w:rsidR="00CE0F8C">
        <w:rPr>
          <w:rFonts w:asciiTheme="minorHAnsi" w:hAnsiTheme="minorHAnsi" w:cstheme="minorHAnsi"/>
          <w:color w:val="000000"/>
          <w:sz w:val="22"/>
          <w:szCs w:val="22"/>
          <w:lang w:val="en-GB"/>
        </w:rPr>
        <w:t xml:space="preserve"> </w:t>
      </w:r>
      <w:r w:rsidR="001302BD">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1C486A08"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w:t>
      </w:r>
      <w:r w:rsidR="00CE0F8C">
        <w:rPr>
          <w:rFonts w:asciiTheme="minorHAnsi" w:hAnsiTheme="minorHAnsi" w:cstheme="minorHAnsi"/>
          <w:color w:val="000000"/>
          <w:sz w:val="22"/>
          <w:szCs w:val="22"/>
          <w:lang w:val="en"/>
        </w:rPr>
        <w:t>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4" w:name="_Toc83120022"/>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6C9ED4B2" w:rsidR="00ED1945" w:rsidRDefault="00870B9F" w:rsidP="00870B9F">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2452B271" w14:textId="77777777" w:rsidR="00CE0F8C" w:rsidRPr="00342E4D" w:rsidRDefault="00CE0F8C" w:rsidP="00870B9F">
      <w:pPr>
        <w:jc w:val="both"/>
        <w:rPr>
          <w:rFonts w:asciiTheme="minorHAnsi" w:hAnsiTheme="minorHAnsi" w:cstheme="minorHAnsi"/>
          <w:color w:val="000000"/>
          <w:sz w:val="22"/>
          <w:szCs w:val="22"/>
          <w:lang w:val="en-GB"/>
        </w:rPr>
      </w:pP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83120023"/>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6" w:name="_Toc83120024"/>
      <w:r>
        <w:rPr>
          <w:rFonts w:asciiTheme="minorHAnsi" w:hAnsiTheme="minorHAnsi" w:cstheme="minorHAnsi"/>
          <w:sz w:val="22"/>
          <w:szCs w:val="22"/>
          <w:u w:val="single"/>
          <w:lang w:val="en"/>
        </w:rPr>
        <w:lastRenderedPageBreak/>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54A18FFF" w14:textId="68110BD5" w:rsidR="00B36650" w:rsidRPr="00CE0F8C" w:rsidRDefault="009866DE" w:rsidP="00CA32C7">
      <w:pPr>
        <w:pStyle w:val="Paragraphedeliste"/>
        <w:numPr>
          <w:ilvl w:val="0"/>
          <w:numId w:val="32"/>
        </w:numPr>
        <w:jc w:val="both"/>
        <w:rPr>
          <w:lang w:val="en-GB"/>
        </w:rPr>
      </w:pPr>
      <w:r w:rsidRPr="00CE0F8C">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8" w:name="_Toc83120027"/>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9" w:name="_Toc83120028"/>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0" w:name="_Toc83120029"/>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1" w:name="_Toc83120030"/>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2" w:name="_Toc83120031"/>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427BB65A" w14:textId="7890635C" w:rsidR="000603AA" w:rsidRDefault="000603A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Pr="00FF073D">
        <w:rPr>
          <w:rFonts w:asciiTheme="minorHAnsi" w:hAnsiTheme="minorHAnsi" w:cstheme="minorHAnsi"/>
          <w:b/>
          <w:bCs/>
          <w:sz w:val="22"/>
          <w:szCs w:val="22"/>
          <w:lang w:val="en"/>
        </w:rPr>
        <w:t>40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66DBF1E6" w14:textId="77777777" w:rsidR="00C231FE" w:rsidRPr="00C231FE" w:rsidRDefault="00C231FE" w:rsidP="00C231FE">
      <w:pPr>
        <w:spacing w:before="120"/>
        <w:jc w:val="both"/>
        <w:rPr>
          <w:rFonts w:asciiTheme="minorHAnsi" w:hAnsiTheme="minorHAnsi" w:cstheme="minorHAnsi"/>
          <w:b/>
          <w:color w:val="000000"/>
          <w:sz w:val="22"/>
          <w:szCs w:val="22"/>
          <w:lang w:val="en-GB"/>
        </w:rPr>
      </w:pPr>
      <w:r w:rsidRPr="00C231FE">
        <w:rPr>
          <w:rFonts w:asciiTheme="minorHAnsi" w:hAnsiTheme="minorHAnsi" w:cstheme="minorHAnsi"/>
          <w:b/>
          <w:color w:val="000000"/>
          <w:sz w:val="22"/>
          <w:szCs w:val="22"/>
          <w:lang w:val="en-GB"/>
        </w:rPr>
        <w:t>Details for scoring the price criterion (criterion 1)</w:t>
      </w:r>
    </w:p>
    <w:p w14:paraId="0C407FBD" w14:textId="77777777" w:rsidR="00C231FE" w:rsidRPr="00C231FE" w:rsidRDefault="00C231FE" w:rsidP="00C231FE">
      <w:pPr>
        <w:spacing w:before="120"/>
        <w:jc w:val="both"/>
        <w:rPr>
          <w:rFonts w:asciiTheme="minorHAnsi" w:hAnsiTheme="minorHAnsi" w:cstheme="minorHAnsi"/>
          <w:color w:val="000000"/>
          <w:sz w:val="22"/>
          <w:szCs w:val="22"/>
          <w:lang w:val="en-GB"/>
        </w:rPr>
      </w:pPr>
      <w:r w:rsidRPr="00C231FE">
        <w:rPr>
          <w:rFonts w:asciiTheme="minorHAnsi" w:hAnsiTheme="minorHAnsi" w:cstheme="minorHAnsi"/>
          <w:color w:val="000000"/>
          <w:sz w:val="22"/>
          <w:szCs w:val="22"/>
          <w:lang w:val="en-GB"/>
        </w:rPr>
        <w:t>The price criterion will be marked out of 40 points and will represent 40% of the overall mark.</w:t>
      </w:r>
    </w:p>
    <w:p w14:paraId="2171386C" w14:textId="77777777" w:rsidR="00C231FE" w:rsidRPr="00C231FE" w:rsidRDefault="00C231FE" w:rsidP="00C231FE">
      <w:pPr>
        <w:spacing w:before="120"/>
        <w:jc w:val="both"/>
        <w:rPr>
          <w:rFonts w:asciiTheme="minorHAnsi" w:hAnsiTheme="minorHAnsi" w:cstheme="minorHAnsi"/>
          <w:color w:val="000000"/>
          <w:sz w:val="22"/>
          <w:szCs w:val="22"/>
          <w:lang w:val="en-GB"/>
        </w:rPr>
      </w:pPr>
      <w:r w:rsidRPr="00C231FE">
        <w:rPr>
          <w:rFonts w:asciiTheme="minorHAnsi" w:hAnsiTheme="minorHAnsi" w:cstheme="minorHAnsi"/>
          <w:color w:val="000000"/>
          <w:sz w:val="22"/>
          <w:szCs w:val="22"/>
          <w:lang w:val="en-GB"/>
        </w:rPr>
        <w:lastRenderedPageBreak/>
        <w:t>All points will automatically be awarded to the bid with the lowest price.</w:t>
      </w:r>
    </w:p>
    <w:p w14:paraId="5640AA4B" w14:textId="0D860C3D" w:rsidR="00CA32C7" w:rsidRDefault="00C231FE" w:rsidP="00C231FE">
      <w:pPr>
        <w:spacing w:before="120"/>
        <w:jc w:val="both"/>
        <w:rPr>
          <w:rFonts w:asciiTheme="minorHAnsi" w:hAnsiTheme="minorHAnsi" w:cstheme="minorHAnsi"/>
          <w:color w:val="000000"/>
          <w:sz w:val="22"/>
          <w:szCs w:val="22"/>
          <w:lang w:val="en-GB"/>
        </w:rPr>
      </w:pPr>
      <w:r w:rsidRPr="00C231FE">
        <w:rPr>
          <w:rFonts w:asciiTheme="minorHAnsi" w:hAnsiTheme="minorHAnsi" w:cstheme="minorHAnsi"/>
          <w:color w:val="000000"/>
          <w:sz w:val="22"/>
          <w:szCs w:val="22"/>
          <w:lang w:val="en-GB"/>
        </w:rPr>
        <w:t>The scores of the other candidates will then be awarded on a pro rata basis, according to the following calculation method:</w:t>
      </w:r>
    </w:p>
    <w:p w14:paraId="2798F34B" w14:textId="77777777" w:rsidR="00C231FE" w:rsidRPr="009F4027" w:rsidRDefault="00C231FE" w:rsidP="00C231FE">
      <w:pPr>
        <w:spacing w:before="120"/>
        <w:jc w:val="both"/>
        <w:rPr>
          <w:rFonts w:asciiTheme="minorHAnsi" w:hAnsiTheme="minorHAnsi" w:cstheme="minorHAnsi"/>
          <w:color w:val="000000"/>
          <w:sz w:val="22"/>
          <w:szCs w:val="22"/>
          <w:lang w:val="en-US"/>
        </w:rPr>
      </w:pPr>
      <w:r w:rsidRPr="009F4027">
        <w:rPr>
          <w:rFonts w:asciiTheme="minorHAnsi" w:hAnsiTheme="minorHAnsi" w:cstheme="minorHAnsi"/>
          <w:color w:val="000000"/>
          <w:sz w:val="22"/>
          <w:szCs w:val="22"/>
          <w:lang w:val="en-US"/>
        </w:rPr>
        <w:t xml:space="preserve">Price score of the candidate analysed = (lowest price / price of the candidate analysed) x number of points for the criterion. </w:t>
      </w:r>
    </w:p>
    <w:p w14:paraId="31BA5B9D" w14:textId="77777777" w:rsidR="00C231FE" w:rsidRPr="009F4027" w:rsidRDefault="00C231FE" w:rsidP="00C231FE">
      <w:pPr>
        <w:spacing w:before="120"/>
        <w:jc w:val="both"/>
        <w:rPr>
          <w:rFonts w:asciiTheme="minorHAnsi" w:hAnsiTheme="minorHAnsi" w:cstheme="minorHAnsi"/>
          <w:color w:val="000000"/>
          <w:sz w:val="22"/>
          <w:szCs w:val="22"/>
          <w:lang w:val="en-US"/>
        </w:rPr>
      </w:pPr>
      <w:r w:rsidRPr="009F4027">
        <w:rPr>
          <w:rFonts w:asciiTheme="minorHAnsi" w:hAnsiTheme="minorHAnsi" w:cstheme="minorHAnsi"/>
          <w:color w:val="000000"/>
          <w:sz w:val="22"/>
          <w:szCs w:val="22"/>
          <w:lang w:val="en-US"/>
        </w:rPr>
        <w:t xml:space="preserve">In the event of purely material errors (of multiplication, addition or transfer) being noted between the information given on the unit price schedule and the estimated quantitative breakdown, the price schedule will prevail and the amount of the estimated quantitative breakdown will be rectified accordingly. The service provider will be asked to confirm the corrected offer; if he refuses, his offer will be eliminated as not being coherent. </w:t>
      </w:r>
    </w:p>
    <w:p w14:paraId="6A90488A" w14:textId="555967EE" w:rsidR="00C231FE" w:rsidRPr="00C231FE" w:rsidRDefault="00C231FE" w:rsidP="00C231FE">
      <w:pPr>
        <w:spacing w:before="120"/>
        <w:jc w:val="both"/>
        <w:rPr>
          <w:rFonts w:asciiTheme="minorHAnsi" w:hAnsiTheme="minorHAnsi" w:cstheme="minorHAnsi"/>
          <w:color w:val="000000"/>
          <w:sz w:val="22"/>
          <w:szCs w:val="22"/>
          <w:lang w:val="en-GB"/>
        </w:rPr>
      </w:pPr>
      <w:r w:rsidRPr="009F4027">
        <w:rPr>
          <w:rFonts w:asciiTheme="minorHAnsi" w:hAnsiTheme="minorHAnsi" w:cstheme="minorHAnsi"/>
          <w:color w:val="000000"/>
          <w:sz w:val="22"/>
          <w:szCs w:val="22"/>
          <w:lang w:val="en-US"/>
        </w:rPr>
        <w:t>For the order-based element, the contracting authority will compare unit prices on the basis of an Estimated Quantities Breakdown.</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83120032"/>
      <w:r>
        <w:rPr>
          <w:rFonts w:asciiTheme="minorHAnsi" w:hAnsiTheme="minorHAnsi" w:cstheme="minorHAnsi"/>
          <w:i/>
          <w:iCs/>
          <w:sz w:val="22"/>
          <w:szCs w:val="22"/>
          <w:lang w:val="en"/>
        </w:rPr>
        <w:t>Criterion 2: Technical offer</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0EAB595E" w:rsidR="00D93D99" w:rsidRPr="00C231FE" w:rsidRDefault="00DA0CCE" w:rsidP="00C231FE">
            <w:pPr>
              <w:jc w:val="both"/>
              <w:rPr>
                <w:rFonts w:asciiTheme="minorHAnsi" w:hAnsiTheme="minorHAnsi" w:cstheme="minorHAnsi"/>
                <w:b/>
                <w:sz w:val="22"/>
                <w:szCs w:val="22"/>
                <w:lang w:val="en-GB"/>
              </w:rPr>
            </w:pPr>
            <w:r w:rsidRPr="00C231FE">
              <w:rPr>
                <w:rFonts w:asciiTheme="minorHAnsi" w:hAnsiTheme="minorHAnsi" w:cstheme="minorHAnsi"/>
                <w:b/>
                <w:bCs/>
                <w:sz w:val="22"/>
                <w:szCs w:val="22"/>
                <w:lang w:val="en"/>
              </w:rPr>
              <w:t xml:space="preserve">Sub-criterion 1: </w:t>
            </w:r>
            <w:r w:rsidR="00C231FE" w:rsidRPr="00C231FE">
              <w:rPr>
                <w:rFonts w:asciiTheme="minorHAnsi" w:hAnsiTheme="minorHAnsi" w:cstheme="minorHAnsi"/>
                <w:bCs/>
                <w:sz w:val="22"/>
                <w:szCs w:val="22"/>
                <w:lang w:val="en"/>
              </w:rPr>
              <w:t>Global understanding of the mission</w:t>
            </w:r>
          </w:p>
        </w:tc>
        <w:tc>
          <w:tcPr>
            <w:tcW w:w="2692" w:type="dxa"/>
          </w:tcPr>
          <w:p w14:paraId="0FBB3AD7" w14:textId="02F14C9D" w:rsidR="00D93D99" w:rsidRPr="00C231FE" w:rsidRDefault="00FF073D"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D93D99" w:rsidRPr="0006068D" w14:paraId="6D0AFDAA" w14:textId="77777777" w:rsidTr="009009F8">
        <w:tc>
          <w:tcPr>
            <w:tcW w:w="6654" w:type="dxa"/>
          </w:tcPr>
          <w:p w14:paraId="4A9B39AA" w14:textId="77777777" w:rsidR="00C231FE" w:rsidRPr="00C231FE" w:rsidRDefault="00DA0CCE" w:rsidP="00DA0CCE">
            <w:pPr>
              <w:jc w:val="both"/>
              <w:rPr>
                <w:rFonts w:asciiTheme="minorHAnsi" w:hAnsiTheme="minorHAnsi" w:cstheme="minorHAnsi"/>
                <w:b/>
                <w:bCs/>
                <w:sz w:val="22"/>
                <w:szCs w:val="22"/>
                <w:lang w:val="en"/>
              </w:rPr>
            </w:pPr>
            <w:r w:rsidRPr="00C231FE">
              <w:rPr>
                <w:rFonts w:asciiTheme="minorHAnsi" w:hAnsiTheme="minorHAnsi" w:cstheme="minorHAnsi"/>
                <w:b/>
                <w:bCs/>
                <w:sz w:val="22"/>
                <w:szCs w:val="22"/>
                <w:lang w:val="en"/>
              </w:rPr>
              <w:t xml:space="preserve">Sub-criterion 2: </w:t>
            </w:r>
          </w:p>
          <w:tbl>
            <w:tblPr>
              <w:tblW w:w="0" w:type="auto"/>
              <w:tblBorders>
                <w:top w:val="nil"/>
                <w:left w:val="nil"/>
                <w:bottom w:val="nil"/>
                <w:right w:val="nil"/>
              </w:tblBorders>
              <w:tblLook w:val="0000" w:firstRow="0" w:lastRow="0" w:firstColumn="0" w:lastColumn="0" w:noHBand="0" w:noVBand="0"/>
            </w:tblPr>
            <w:tblGrid>
              <w:gridCol w:w="6438"/>
            </w:tblGrid>
            <w:tr w:rsidR="00C231FE" w:rsidRPr="009F4027" w14:paraId="2A5DFC23" w14:textId="77777777">
              <w:trPr>
                <w:trHeight w:val="260"/>
              </w:trPr>
              <w:tc>
                <w:tcPr>
                  <w:tcW w:w="0" w:type="auto"/>
                </w:tcPr>
                <w:p w14:paraId="5E958D63" w14:textId="77777777" w:rsidR="00C231FE" w:rsidRPr="00C231FE" w:rsidRDefault="00C231FE" w:rsidP="00C231FE">
                  <w:pPr>
                    <w:jc w:val="both"/>
                    <w:rPr>
                      <w:rFonts w:asciiTheme="minorHAnsi" w:hAnsiTheme="minorHAnsi" w:cstheme="minorHAnsi"/>
                      <w:bCs/>
                      <w:sz w:val="22"/>
                      <w:szCs w:val="22"/>
                      <w:lang w:val="en"/>
                    </w:rPr>
                  </w:pPr>
                  <w:r w:rsidRPr="00C231FE">
                    <w:rPr>
                      <w:rFonts w:asciiTheme="minorHAnsi" w:hAnsiTheme="minorHAnsi" w:cstheme="minorHAnsi"/>
                      <w:bCs/>
                      <w:sz w:val="22"/>
                      <w:szCs w:val="22"/>
                      <w:lang w:val="en"/>
                    </w:rPr>
                    <w:t xml:space="preserve">Relevance of the proposed approach and methodology (including deadlines, organizational methods, appropriate tools proposed) </w:t>
                  </w:r>
                </w:p>
              </w:tc>
            </w:tr>
          </w:tbl>
          <w:p w14:paraId="7F7F4AEB" w14:textId="2816E83E" w:rsidR="00D93D99" w:rsidRPr="007D4032" w:rsidRDefault="00D93D99" w:rsidP="00DA0CCE">
            <w:pPr>
              <w:jc w:val="both"/>
              <w:rPr>
                <w:rFonts w:asciiTheme="minorHAnsi" w:hAnsiTheme="minorHAnsi" w:cstheme="minorHAnsi"/>
                <w:b/>
                <w:sz w:val="22"/>
                <w:szCs w:val="22"/>
                <w:lang w:val="en-GB"/>
              </w:rPr>
            </w:pPr>
          </w:p>
        </w:tc>
        <w:tc>
          <w:tcPr>
            <w:tcW w:w="2692" w:type="dxa"/>
          </w:tcPr>
          <w:p w14:paraId="516A1095" w14:textId="4299F20B" w:rsidR="00D93D99" w:rsidRPr="00C231FE" w:rsidRDefault="00FF073D"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25</w:t>
            </w:r>
          </w:p>
        </w:tc>
      </w:tr>
      <w:tr w:rsidR="00D93D99" w:rsidRPr="0006068D" w14:paraId="740A705F" w14:textId="77777777" w:rsidTr="009009F8">
        <w:tc>
          <w:tcPr>
            <w:tcW w:w="6654" w:type="dxa"/>
          </w:tcPr>
          <w:p w14:paraId="59B26548" w14:textId="1428A713" w:rsidR="00D93D99" w:rsidRPr="00C231FE" w:rsidRDefault="00DA0CCE" w:rsidP="00DA0CCE">
            <w:pPr>
              <w:jc w:val="both"/>
              <w:rPr>
                <w:rFonts w:asciiTheme="minorHAnsi" w:hAnsiTheme="minorHAnsi" w:cstheme="minorHAnsi"/>
                <w:b/>
                <w:sz w:val="22"/>
                <w:szCs w:val="22"/>
                <w:lang w:val="en-GB"/>
              </w:rPr>
            </w:pPr>
            <w:r w:rsidRPr="00C231FE">
              <w:rPr>
                <w:rFonts w:asciiTheme="minorHAnsi" w:hAnsiTheme="minorHAnsi" w:cstheme="minorHAnsi"/>
                <w:b/>
                <w:bCs/>
                <w:sz w:val="22"/>
                <w:szCs w:val="22"/>
                <w:lang w:val="en"/>
              </w:rPr>
              <w:t xml:space="preserve">Sub-criterion 3: </w:t>
            </w:r>
            <w:r w:rsidR="00C231FE" w:rsidRPr="00C231FE">
              <w:rPr>
                <w:rFonts w:asciiTheme="minorHAnsi" w:hAnsiTheme="minorHAnsi" w:cstheme="minorHAnsi"/>
                <w:bCs/>
                <w:sz w:val="22"/>
                <w:szCs w:val="22"/>
                <w:lang w:val="en"/>
              </w:rPr>
              <w:t>Ability of the candidate to respond to all required services</w:t>
            </w:r>
            <w:r w:rsidR="00FF073D">
              <w:rPr>
                <w:rFonts w:asciiTheme="minorHAnsi" w:hAnsiTheme="minorHAnsi" w:cstheme="minorHAnsi"/>
                <w:bCs/>
                <w:sz w:val="22"/>
                <w:szCs w:val="22"/>
                <w:lang w:val="en"/>
              </w:rPr>
              <w:t xml:space="preserve">: </w:t>
            </w:r>
            <w:r w:rsidR="00FF073D" w:rsidRPr="00FF073D">
              <w:rPr>
                <w:rFonts w:asciiTheme="minorHAnsi" w:hAnsiTheme="minorHAnsi" w:cstheme="minorHAnsi"/>
                <w:bCs/>
                <w:sz w:val="22"/>
                <w:szCs w:val="22"/>
                <w:lang w:val="en"/>
              </w:rPr>
              <w:t>Analysis of the quality, size, suitability, and performance of the team proposed to perform the services</w:t>
            </w:r>
          </w:p>
        </w:tc>
        <w:tc>
          <w:tcPr>
            <w:tcW w:w="2692" w:type="dxa"/>
          </w:tcPr>
          <w:p w14:paraId="2BE4652E" w14:textId="525CA29C" w:rsidR="00D93D99" w:rsidRPr="00C231FE" w:rsidRDefault="00FF073D"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25</w:t>
            </w:r>
          </w:p>
        </w:tc>
      </w:tr>
      <w:tr w:rsidR="00116C24" w:rsidRPr="0006068D" w14:paraId="399D4C70" w14:textId="77777777" w:rsidTr="009009F8">
        <w:tc>
          <w:tcPr>
            <w:tcW w:w="6654" w:type="dxa"/>
          </w:tcPr>
          <w:p w14:paraId="3C0DA4EC" w14:textId="628A2473" w:rsidR="00116C24" w:rsidRPr="00C231FE" w:rsidRDefault="00116C24" w:rsidP="00F10B36">
            <w:pPr>
              <w:jc w:val="right"/>
              <w:rPr>
                <w:rFonts w:asciiTheme="minorHAnsi" w:hAnsiTheme="minorHAnsi" w:cstheme="minorHAnsi"/>
                <w:b/>
                <w:sz w:val="22"/>
                <w:szCs w:val="22"/>
              </w:rPr>
            </w:pPr>
            <w:r w:rsidRPr="00C231FE">
              <w:rPr>
                <w:rFonts w:asciiTheme="minorHAnsi" w:hAnsiTheme="minorHAnsi" w:cstheme="minorHAnsi"/>
                <w:b/>
                <w:bCs/>
                <w:sz w:val="22"/>
                <w:szCs w:val="22"/>
                <w:lang w:val="en"/>
              </w:rPr>
              <w:t>TOTAL</w:t>
            </w:r>
          </w:p>
        </w:tc>
        <w:tc>
          <w:tcPr>
            <w:tcW w:w="2692" w:type="dxa"/>
          </w:tcPr>
          <w:p w14:paraId="727CD250" w14:textId="4C1B1149" w:rsidR="00116C24" w:rsidRPr="00C231FE" w:rsidRDefault="00D53223" w:rsidP="00D93D99">
            <w:pPr>
              <w:jc w:val="center"/>
              <w:rPr>
                <w:rFonts w:asciiTheme="minorHAnsi" w:hAnsiTheme="minorHAnsi" w:cstheme="minorHAnsi"/>
                <w:b/>
                <w:sz w:val="22"/>
                <w:szCs w:val="22"/>
              </w:rPr>
            </w:pPr>
            <w:r w:rsidRPr="00C231FE">
              <w:rPr>
                <w:rFonts w:asciiTheme="minorHAnsi" w:hAnsiTheme="minorHAnsi" w:cstheme="minorHAnsi"/>
                <w:b/>
                <w:bCs/>
                <w:sz w:val="22"/>
                <w:szCs w:val="22"/>
                <w:lang w:val="en"/>
              </w:rPr>
              <w:t>60</w:t>
            </w:r>
          </w:p>
        </w:tc>
      </w:tr>
    </w:tbl>
    <w:p w14:paraId="4067D76C" w14:textId="114F08B3"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Pr="00C231FE">
        <w:rPr>
          <w:rFonts w:asciiTheme="minorHAnsi" w:hAnsiTheme="minorHAnsi" w:cstheme="minorHAnsi"/>
          <w:b/>
          <w:bCs/>
          <w:sz w:val="22"/>
          <w:szCs w:val="22"/>
          <w:lang w:val="en"/>
        </w:rPr>
        <w:t>60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6BB57C00"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C231FE" w:rsidRPr="00C231FE">
        <w:rPr>
          <w:rFonts w:asciiTheme="minorHAnsi" w:hAnsiTheme="minorHAnsi" w:cstheme="minorHAnsi"/>
          <w:sz w:val="22"/>
          <w:szCs w:val="22"/>
          <w:lang w:val="en"/>
        </w:rPr>
        <w:t>30</w:t>
      </w:r>
      <w:r w:rsidRPr="00C231FE">
        <w:rPr>
          <w:rFonts w:asciiTheme="minorHAnsi" w:hAnsiTheme="minorHAnsi" w:cstheme="minorHAnsi"/>
          <w:sz w:val="22"/>
          <w:szCs w:val="22"/>
          <w:lang w:val="en"/>
        </w:rPr>
        <w:t>/</w:t>
      </w:r>
      <w:r w:rsidR="00C231FE" w:rsidRPr="00C231FE">
        <w:rPr>
          <w:rFonts w:asciiTheme="minorHAnsi" w:hAnsiTheme="minorHAnsi" w:cstheme="minorHAnsi"/>
          <w:sz w:val="22"/>
          <w:szCs w:val="22"/>
          <w:lang w:val="en"/>
        </w:rPr>
        <w:t>60</w:t>
      </w:r>
      <w:r>
        <w:rPr>
          <w:rFonts w:asciiTheme="minorHAnsi" w:hAnsiTheme="minorHAnsi" w:cstheme="minorHAnsi"/>
          <w:sz w:val="22"/>
          <w:szCs w:val="22"/>
          <w:lang w:val="en"/>
        </w:rPr>
        <w:t xml:space="preserve"> will</w:t>
      </w:r>
      <w:r w:rsidR="00FF073D">
        <w:rPr>
          <w:rFonts w:asciiTheme="minorHAnsi" w:hAnsiTheme="minorHAnsi" w:cstheme="minorHAnsi"/>
          <w:sz w:val="22"/>
          <w:szCs w:val="22"/>
          <w:lang w:val="en"/>
        </w:rPr>
        <w:t xml:space="preserve">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4" w:name="_Toc83120033"/>
      <w:r>
        <w:rPr>
          <w:rFonts w:asciiTheme="minorHAnsi" w:hAnsiTheme="minorHAnsi" w:cstheme="minorHAnsi"/>
          <w:sz w:val="22"/>
          <w:szCs w:val="22"/>
          <w:u w:val="single"/>
          <w:lang w:val="en"/>
        </w:rPr>
        <w:t>Negotiations</w:t>
      </w:r>
      <w:bookmarkEnd w:id="94"/>
    </w:p>
    <w:p w14:paraId="3B8CB715" w14:textId="0A1121E0" w:rsidR="000A457A" w:rsidRPr="00342E4D" w:rsidRDefault="004022E9"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 </w:t>
      </w:r>
      <w:r w:rsidR="009A7AC5">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43035F21" w14:textId="108F6B95" w:rsidR="000A457A" w:rsidRPr="00342E4D" w:rsidRDefault="000A457A" w:rsidP="0006068D">
      <w:pPr>
        <w:pStyle w:val="Titre2"/>
        <w:spacing w:before="120" w:after="120" w:line="240" w:lineRule="auto"/>
        <w:ind w:left="708"/>
        <w:jc w:val="both"/>
        <w:rPr>
          <w:rFonts w:asciiTheme="minorHAnsi" w:hAnsiTheme="minorHAnsi" w:cstheme="minorHAnsi"/>
          <w:i/>
          <w:sz w:val="22"/>
          <w:szCs w:val="22"/>
          <w:lang w:val="en-GB"/>
        </w:rPr>
      </w:pPr>
      <w:bookmarkStart w:id="95" w:name="_Toc83120034"/>
      <w:r>
        <w:rPr>
          <w:rFonts w:asciiTheme="minorHAnsi" w:hAnsiTheme="minorHAnsi" w:cstheme="minorHAnsi"/>
          <w:i/>
          <w:iCs/>
          <w:sz w:val="22"/>
          <w:szCs w:val="22"/>
          <w:lang w:val="en"/>
        </w:rPr>
        <w:t>Bidder interviews – bid negotiations</w:t>
      </w:r>
      <w:bookmarkEnd w:id="95"/>
    </w:p>
    <w:p w14:paraId="167A696F" w14:textId="51E16E9A" w:rsidR="00915372" w:rsidRPr="00342E4D" w:rsidRDefault="000A457A" w:rsidP="004022E9">
      <w:p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w:t>
      </w:r>
      <w:r w:rsidR="004022E9">
        <w:rPr>
          <w:rFonts w:asciiTheme="minorHAnsi" w:hAnsiTheme="minorHAnsi" w:cstheme="minorHAnsi"/>
          <w:sz w:val="22"/>
          <w:szCs w:val="22"/>
          <w:lang w:val="en"/>
        </w:rPr>
        <w:t>could be invited</w:t>
      </w:r>
      <w:r>
        <w:rPr>
          <w:rFonts w:asciiTheme="minorHAnsi" w:hAnsiTheme="minorHAnsi" w:cstheme="minorHAnsi"/>
          <w:sz w:val="22"/>
          <w:szCs w:val="22"/>
          <w:lang w:val="en"/>
        </w:rPr>
        <w:t xml:space="preserve"> </w:t>
      </w:r>
      <w:r w:rsidR="004022E9">
        <w:rPr>
          <w:rFonts w:asciiTheme="minorHAnsi" w:hAnsiTheme="minorHAnsi" w:cstheme="minorHAnsi"/>
          <w:sz w:val="22"/>
          <w:szCs w:val="22"/>
          <w:lang w:val="en"/>
        </w:rPr>
        <w:t xml:space="preserve">to present their bid and </w:t>
      </w:r>
      <w:r w:rsidR="004022E9" w:rsidRPr="004022E9">
        <w:rPr>
          <w:rFonts w:asciiTheme="minorHAnsi" w:hAnsiTheme="minorHAnsi" w:cstheme="minorHAnsi"/>
          <w:sz w:val="22"/>
          <w:szCs w:val="22"/>
          <w:lang w:val="en"/>
        </w:rPr>
        <w:t xml:space="preserve">must therefore ensure that they are available </w:t>
      </w:r>
      <w:r w:rsidR="004022E9" w:rsidRPr="00FF073D">
        <w:rPr>
          <w:rFonts w:asciiTheme="minorHAnsi" w:hAnsiTheme="minorHAnsi" w:cstheme="minorHAnsi"/>
          <w:sz w:val="22"/>
          <w:szCs w:val="22"/>
          <w:lang w:val="en"/>
        </w:rPr>
        <w:t>from November 19, 2025,</w:t>
      </w:r>
      <w:r w:rsidR="004022E9" w:rsidRPr="004022E9">
        <w:rPr>
          <w:rFonts w:asciiTheme="minorHAnsi" w:hAnsiTheme="minorHAnsi" w:cstheme="minorHAnsi"/>
          <w:sz w:val="22"/>
          <w:szCs w:val="22"/>
          <w:lang w:val="en"/>
        </w:rPr>
        <w:t xml:space="preserve"> to conduct remote negotiation meetings if deemed necessary. </w:t>
      </w:r>
      <w:r w:rsidR="004022E9">
        <w:rPr>
          <w:rFonts w:asciiTheme="minorHAnsi" w:hAnsiTheme="minorHAnsi" w:cstheme="minorHAnsi"/>
          <w:sz w:val="22"/>
          <w:szCs w:val="22"/>
          <w:lang w:val="en-GB"/>
        </w:rPr>
        <w:t xml:space="preserve"> </w:t>
      </w:r>
      <w:r>
        <w:rPr>
          <w:rFonts w:asciiTheme="minorHAnsi" w:hAnsiTheme="minorHAnsi" w:cstheme="minorHAnsi"/>
          <w:sz w:val="22"/>
          <w:szCs w:val="22"/>
          <w:lang w:val="en"/>
        </w:rPr>
        <w:t>Following the presentation, the meeting may include a negotiation phase covering all or parts of the bid.</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6" w:name="_Toc83120035"/>
      <w:r>
        <w:rPr>
          <w:rFonts w:asciiTheme="minorHAnsi" w:hAnsiTheme="minorHAnsi" w:cstheme="minorHAnsi"/>
          <w:sz w:val="22"/>
          <w:szCs w:val="22"/>
          <w:u w:val="single"/>
          <w:lang w:val="en"/>
        </w:rPr>
        <w:t>Award process</w:t>
      </w:r>
      <w:bookmarkEnd w:id="96"/>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7" w:name="_Toc491193970"/>
      <w:bookmarkStart w:id="98" w:name="_Toc491193515"/>
      <w:bookmarkStart w:id="99" w:name="_Toc83120036"/>
      <w:bookmarkEnd w:id="97"/>
      <w:bookmarkEnd w:id="98"/>
      <w:r>
        <w:rPr>
          <w:rFonts w:asciiTheme="minorHAnsi" w:hAnsiTheme="minorHAnsi" w:cstheme="minorHAnsi"/>
          <w:b/>
          <w:bCs/>
          <w:caps/>
          <w:sz w:val="28"/>
          <w:szCs w:val="22"/>
          <w:u w:val="single"/>
          <w:lang w:val="en"/>
        </w:rPr>
        <w:lastRenderedPageBreak/>
        <w:t>Processing of personal data in the context of this tender and for the purposes of contract monitoring</w:t>
      </w:r>
      <w:bookmarkEnd w:id="99"/>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100" w:name="_Toc83120037"/>
      <w:r>
        <w:rPr>
          <w:rFonts w:asciiTheme="minorHAnsi" w:hAnsiTheme="minorHAnsi" w:cstheme="minorHAnsi"/>
          <w:sz w:val="22"/>
          <w:szCs w:val="22"/>
          <w:u w:val="single"/>
          <w:lang w:val="en"/>
        </w:rPr>
        <w:t>Identity and contact details of the data controller and its representative</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83120038"/>
      <w:r w:rsidRPr="00342E4D">
        <w:rPr>
          <w:rFonts w:asciiTheme="minorHAnsi" w:hAnsiTheme="minorHAnsi" w:cstheme="minorHAnsi"/>
          <w:sz w:val="22"/>
          <w:szCs w:val="22"/>
          <w:u w:val="single"/>
        </w:rPr>
        <w:t>For the PLACE platform:</w:t>
      </w:r>
      <w:bookmarkEnd w:id="101"/>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83120039"/>
      <w:r>
        <w:rPr>
          <w:rFonts w:asciiTheme="minorHAnsi" w:hAnsiTheme="minorHAnsi" w:cstheme="minorHAnsi"/>
          <w:sz w:val="22"/>
          <w:szCs w:val="22"/>
          <w:u w:val="single"/>
          <w:lang w:val="en"/>
        </w:rPr>
        <w:t>Contact details of the Data Protection Officer:</w:t>
      </w:r>
      <w:bookmarkEnd w:id="102"/>
    </w:p>
    <w:p w14:paraId="4A91DEFE" w14:textId="5924A205" w:rsidR="00FB79BF" w:rsidRPr="00342E4D" w:rsidRDefault="00FA400A"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3" w:name="_Toc83120040"/>
      <w:r>
        <w:rPr>
          <w:rFonts w:asciiTheme="minorHAnsi" w:hAnsiTheme="minorHAnsi" w:cstheme="minorHAnsi"/>
          <w:sz w:val="22"/>
          <w:szCs w:val="22"/>
          <w:u w:val="single"/>
          <w:lang w:val="en"/>
        </w:rPr>
        <w:t>For the contracting authority:</w:t>
      </w:r>
      <w:bookmarkEnd w:id="103"/>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4" w:name="_Toc83120041"/>
      <w:r>
        <w:rPr>
          <w:rFonts w:asciiTheme="minorHAnsi" w:hAnsiTheme="minorHAnsi" w:cstheme="minorHAnsi"/>
          <w:sz w:val="22"/>
          <w:szCs w:val="22"/>
          <w:u w:val="single"/>
          <w:lang w:val="en"/>
        </w:rPr>
        <w:t>Contact details of the Data Protection Officer:</w:t>
      </w:r>
      <w:bookmarkEnd w:id="104"/>
    </w:p>
    <w:p w14:paraId="48F60AE8" w14:textId="77777777" w:rsidR="00FB79BF" w:rsidRPr="00342E4D" w:rsidRDefault="00FA400A"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83120042"/>
      <w:r>
        <w:rPr>
          <w:rFonts w:asciiTheme="minorHAnsi" w:hAnsiTheme="minorHAnsi" w:cstheme="minorHAnsi"/>
          <w:b/>
          <w:bCs/>
          <w:caps/>
          <w:sz w:val="28"/>
          <w:szCs w:val="22"/>
          <w:u w:val="single"/>
          <w:lang w:val="en"/>
        </w:rPr>
        <w:t>ADDITIONAL INFORMATION</w:t>
      </w:r>
      <w:bookmarkEnd w:id="105"/>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83120043"/>
      <w:r>
        <w:rPr>
          <w:rFonts w:asciiTheme="minorHAnsi" w:hAnsiTheme="minorHAnsi" w:cstheme="minorHAnsi"/>
          <w:b/>
          <w:bCs/>
          <w:caps/>
          <w:sz w:val="28"/>
          <w:szCs w:val="22"/>
          <w:u w:val="single"/>
          <w:lang w:val="en"/>
        </w:rPr>
        <w:t>Appeal channels and deadlines</w:t>
      </w:r>
      <w:bookmarkEnd w:id="106"/>
      <w:bookmarkEnd w:id="107"/>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2F0EE" w14:textId="77777777" w:rsidR="00FA400A" w:rsidRDefault="00FA400A">
      <w:r>
        <w:separator/>
      </w:r>
    </w:p>
  </w:endnote>
  <w:endnote w:type="continuationSeparator" w:id="0">
    <w:p w14:paraId="66E9FECF" w14:textId="77777777" w:rsidR="00FA400A" w:rsidRDefault="00F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5BAD" w14:textId="77777777" w:rsidR="001623C3" w:rsidRDefault="001623C3">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1623C3" w:rsidRDefault="001623C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1623C3" w:rsidRPr="00342E4D" w:rsidRDefault="001623C3"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71DE1485" w:rsidR="001623C3" w:rsidRDefault="001623C3"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51301">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51301">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1623C3" w:rsidRPr="00342E4D" w:rsidRDefault="001623C3"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1623C3" w:rsidRDefault="001623C3"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1623C3" w:rsidRDefault="00FA400A"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1623C3">
                          <w:rPr>
                            <w:rFonts w:asciiTheme="minorHAnsi" w:hAnsiTheme="minorHAnsi" w:cstheme="minorHAnsi"/>
                            <w:sz w:val="22"/>
                            <w:szCs w:val="22"/>
                          </w:rPr>
                          <w:t>DAJ_M009ENG_v07</w:t>
                        </w:r>
                        <w:r w:rsidR="001623C3">
                          <w:rPr>
                            <w:rFonts w:asciiTheme="minorHAnsi" w:hAnsiTheme="minorHAnsi" w:cstheme="minorHAnsi"/>
                            <w:sz w:val="22"/>
                            <w:szCs w:val="22"/>
                          </w:rPr>
                          <w:tab/>
                        </w:r>
                      </w:sdtContent>
                    </w:sdt>
                  </w:p>
                  <w:p w14:paraId="2109CE70" w14:textId="62554DB2" w:rsidR="001623C3" w:rsidRDefault="001623C3"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1623C3" w:rsidRDefault="001623C3" w:rsidP="00030B8F">
                    <w:pPr>
                      <w:pStyle w:val="Pieddepage"/>
                      <w:spacing w:line="240" w:lineRule="exact"/>
                      <w:rPr>
                        <w:rFonts w:asciiTheme="minorHAnsi" w:hAnsiTheme="minorHAnsi" w:cstheme="minorHAnsi"/>
                        <w:b/>
                        <w:sz w:val="22"/>
                        <w:szCs w:val="22"/>
                      </w:rPr>
                    </w:pPr>
                  </w:p>
                  <w:p w14:paraId="7660B93D" w14:textId="150B62C8" w:rsidR="001623C3" w:rsidRPr="00825775" w:rsidRDefault="001623C3"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AE50" w14:textId="77777777" w:rsidR="001623C3" w:rsidRDefault="001623C3">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1623C3" w:rsidRDefault="001623C3"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05B4C617" w:rsidR="001623C3" w:rsidRDefault="001623C3"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51301">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51301">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1623C3" w:rsidRDefault="001623C3"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6852C925" w:rsidR="001623C3" w:rsidRDefault="001623C3"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5130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51301">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1623C3" w:rsidRPr="00825775" w:rsidRDefault="00FA400A"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637C6" w14:textId="77777777" w:rsidR="00FA400A" w:rsidRDefault="00FA400A">
      <w:r>
        <w:separator/>
      </w:r>
    </w:p>
  </w:footnote>
  <w:footnote w:type="continuationSeparator" w:id="0">
    <w:p w14:paraId="7BA0CB07" w14:textId="77777777" w:rsidR="00FA400A" w:rsidRDefault="00FA400A">
      <w:r>
        <w:continuationSeparator/>
      </w:r>
    </w:p>
  </w:footnote>
  <w:footnote w:id="1">
    <w:p w14:paraId="047663AC" w14:textId="7BDA2A25" w:rsidR="001623C3" w:rsidRPr="00342E4D" w:rsidRDefault="001623C3">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91BAC" w14:textId="70860A16" w:rsidR="001623C3" w:rsidRDefault="001623C3" w:rsidP="00FB089A">
    <w:pPr>
      <w:pStyle w:val="En-tte"/>
      <w:tabs>
        <w:tab w:val="clear" w:pos="9072"/>
        <w:tab w:val="right" w:pos="9339"/>
      </w:tabs>
      <w:rPr>
        <w:rFonts w:ascii="Calibri" w:hAnsi="Calibri"/>
        <w:bCs/>
        <w:sz w:val="22"/>
        <w:szCs w:val="28"/>
        <w:u w:val="single"/>
      </w:rPr>
    </w:pPr>
  </w:p>
  <w:p w14:paraId="20B764FC" w14:textId="77777777" w:rsidR="001623C3" w:rsidRPr="009E270B" w:rsidRDefault="001623C3"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1623C3" w:rsidRDefault="001623C3"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A3FB" w14:textId="45427653" w:rsidR="001623C3" w:rsidRDefault="001623C3"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1623C3" w:rsidRDefault="001623C3" w:rsidP="004537E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DD6A3" w14:textId="5B9F0FF1" w:rsidR="001623C3" w:rsidRDefault="001623C3" w:rsidP="00C92420">
    <w:pPr>
      <w:pStyle w:val="En-tte"/>
      <w:tabs>
        <w:tab w:val="right" w:pos="9214"/>
      </w:tabs>
      <w:rPr>
        <w:rFonts w:ascii="Calibri" w:hAnsi="Calibri"/>
        <w:bCs/>
        <w:sz w:val="22"/>
        <w:szCs w:val="28"/>
        <w:u w:val="single"/>
      </w:rPr>
    </w:pPr>
  </w:p>
  <w:p w14:paraId="17F39EBA" w14:textId="77777777" w:rsidR="001623C3" w:rsidRDefault="001623C3"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1623C3" w:rsidRPr="00342E4D" w:rsidRDefault="001623C3"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6CCE" w14:textId="191F7E1F" w:rsidR="001623C3" w:rsidRDefault="001623C3" w:rsidP="004537EA">
    <w:pPr>
      <w:pStyle w:val="En-tte"/>
    </w:pPr>
  </w:p>
  <w:p w14:paraId="3FF9C650" w14:textId="77777777" w:rsidR="001623C3" w:rsidRDefault="001623C3"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1623C3" w:rsidRDefault="001623C3" w:rsidP="004537E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A3C6DE2"/>
    <w:multiLevelType w:val="hybridMultilevel"/>
    <w:tmpl w:val="A13CF15C"/>
    <w:lvl w:ilvl="0" w:tplc="6F360060">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C2E2EBA4"/>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5"/>
  </w:num>
  <w:num w:numId="5">
    <w:abstractNumId w:val="22"/>
  </w:num>
  <w:num w:numId="6">
    <w:abstractNumId w:val="10"/>
  </w:num>
  <w:num w:numId="7">
    <w:abstractNumId w:val="20"/>
  </w:num>
  <w:num w:numId="8">
    <w:abstractNumId w:val="29"/>
  </w:num>
  <w:num w:numId="9">
    <w:abstractNumId w:val="13"/>
  </w:num>
  <w:num w:numId="10">
    <w:abstractNumId w:val="31"/>
  </w:num>
  <w:num w:numId="11">
    <w:abstractNumId w:val="3"/>
  </w:num>
  <w:num w:numId="12">
    <w:abstractNumId w:val="12"/>
  </w:num>
  <w:num w:numId="13">
    <w:abstractNumId w:val="30"/>
  </w:num>
  <w:num w:numId="14">
    <w:abstractNumId w:val="24"/>
  </w:num>
  <w:num w:numId="15">
    <w:abstractNumId w:val="34"/>
  </w:num>
  <w:num w:numId="16">
    <w:abstractNumId w:val="4"/>
  </w:num>
  <w:num w:numId="17">
    <w:abstractNumId w:val="23"/>
  </w:num>
  <w:num w:numId="18">
    <w:abstractNumId w:val="21"/>
  </w:num>
  <w:num w:numId="19">
    <w:abstractNumId w:val="15"/>
  </w:num>
  <w:num w:numId="20">
    <w:abstractNumId w:val="7"/>
  </w:num>
  <w:num w:numId="21">
    <w:abstractNumId w:val="6"/>
  </w:num>
  <w:num w:numId="22">
    <w:abstractNumId w:val="39"/>
  </w:num>
  <w:num w:numId="23">
    <w:abstractNumId w:val="1"/>
  </w:num>
  <w:num w:numId="24">
    <w:abstractNumId w:val="17"/>
  </w:num>
  <w:num w:numId="25">
    <w:abstractNumId w:val="35"/>
  </w:num>
  <w:num w:numId="26">
    <w:abstractNumId w:val="18"/>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1"/>
  </w:num>
  <w:num w:numId="34">
    <w:abstractNumId w:val="19"/>
  </w:num>
  <w:num w:numId="35">
    <w:abstractNumId w:val="9"/>
  </w:num>
  <w:num w:numId="36">
    <w:abstractNumId w:val="26"/>
  </w:num>
  <w:num w:numId="37">
    <w:abstractNumId w:val="25"/>
  </w:num>
  <w:num w:numId="38">
    <w:abstractNumId w:val="38"/>
  </w:num>
  <w:num w:numId="39">
    <w:abstractNumId w:val="41"/>
  </w:num>
  <w:num w:numId="40">
    <w:abstractNumId w:val="14"/>
  </w:num>
  <w:num w:numId="4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3B7"/>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2DDE"/>
    <w:rsid w:val="00143F6C"/>
    <w:rsid w:val="001447A2"/>
    <w:rsid w:val="001452A7"/>
    <w:rsid w:val="00150BDA"/>
    <w:rsid w:val="00152DDA"/>
    <w:rsid w:val="00155319"/>
    <w:rsid w:val="001557FD"/>
    <w:rsid w:val="00155830"/>
    <w:rsid w:val="00156735"/>
    <w:rsid w:val="001570D6"/>
    <w:rsid w:val="00160AC2"/>
    <w:rsid w:val="001623C3"/>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688A"/>
    <w:rsid w:val="001779C9"/>
    <w:rsid w:val="001833D1"/>
    <w:rsid w:val="00187455"/>
    <w:rsid w:val="00187DA0"/>
    <w:rsid w:val="00190653"/>
    <w:rsid w:val="0019651A"/>
    <w:rsid w:val="00197CF8"/>
    <w:rsid w:val="001A08C2"/>
    <w:rsid w:val="001A2878"/>
    <w:rsid w:val="001A5577"/>
    <w:rsid w:val="001A5ABC"/>
    <w:rsid w:val="001A6683"/>
    <w:rsid w:val="001A6976"/>
    <w:rsid w:val="001B4492"/>
    <w:rsid w:val="001B4AA3"/>
    <w:rsid w:val="001B4B43"/>
    <w:rsid w:val="001C152B"/>
    <w:rsid w:val="001C19BD"/>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2CCA"/>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33B"/>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40CB"/>
    <w:rsid w:val="003779B9"/>
    <w:rsid w:val="00377F4E"/>
    <w:rsid w:val="00384160"/>
    <w:rsid w:val="00384921"/>
    <w:rsid w:val="00384E6F"/>
    <w:rsid w:val="003853F4"/>
    <w:rsid w:val="00390537"/>
    <w:rsid w:val="00390629"/>
    <w:rsid w:val="0039067A"/>
    <w:rsid w:val="00390885"/>
    <w:rsid w:val="00390B8F"/>
    <w:rsid w:val="00390C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2E9"/>
    <w:rsid w:val="00402F51"/>
    <w:rsid w:val="00403232"/>
    <w:rsid w:val="00403262"/>
    <w:rsid w:val="00403B80"/>
    <w:rsid w:val="00404A2C"/>
    <w:rsid w:val="004056BE"/>
    <w:rsid w:val="00406D16"/>
    <w:rsid w:val="004073C5"/>
    <w:rsid w:val="0040763A"/>
    <w:rsid w:val="00411DA4"/>
    <w:rsid w:val="00412DC6"/>
    <w:rsid w:val="00413218"/>
    <w:rsid w:val="004134C2"/>
    <w:rsid w:val="0041530F"/>
    <w:rsid w:val="0041564D"/>
    <w:rsid w:val="00420927"/>
    <w:rsid w:val="00422943"/>
    <w:rsid w:val="00422F59"/>
    <w:rsid w:val="00424335"/>
    <w:rsid w:val="00425091"/>
    <w:rsid w:val="00425606"/>
    <w:rsid w:val="004257E1"/>
    <w:rsid w:val="004259B8"/>
    <w:rsid w:val="00427421"/>
    <w:rsid w:val="00431E45"/>
    <w:rsid w:val="0043293D"/>
    <w:rsid w:val="00432D40"/>
    <w:rsid w:val="0043352D"/>
    <w:rsid w:val="00440980"/>
    <w:rsid w:val="0044275E"/>
    <w:rsid w:val="0044329D"/>
    <w:rsid w:val="0044442F"/>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0F2E"/>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24F3"/>
    <w:rsid w:val="006252DB"/>
    <w:rsid w:val="00625902"/>
    <w:rsid w:val="00626CE8"/>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1301"/>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2C3"/>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A6E31"/>
    <w:rsid w:val="007B112F"/>
    <w:rsid w:val="007B19F5"/>
    <w:rsid w:val="007B473C"/>
    <w:rsid w:val="007B53D7"/>
    <w:rsid w:val="007B6D75"/>
    <w:rsid w:val="007C1006"/>
    <w:rsid w:val="007C1B3A"/>
    <w:rsid w:val="007C26EE"/>
    <w:rsid w:val="007C2B15"/>
    <w:rsid w:val="007C76DE"/>
    <w:rsid w:val="007D176B"/>
    <w:rsid w:val="007D3FA2"/>
    <w:rsid w:val="007D4032"/>
    <w:rsid w:val="007D6D60"/>
    <w:rsid w:val="007D74CD"/>
    <w:rsid w:val="007D7CC8"/>
    <w:rsid w:val="007E0F10"/>
    <w:rsid w:val="007E2198"/>
    <w:rsid w:val="007E4780"/>
    <w:rsid w:val="007E4C81"/>
    <w:rsid w:val="007E6476"/>
    <w:rsid w:val="007E6AD7"/>
    <w:rsid w:val="007F38EB"/>
    <w:rsid w:val="007F3AD1"/>
    <w:rsid w:val="007F3B89"/>
    <w:rsid w:val="007F48DE"/>
    <w:rsid w:val="007F57C4"/>
    <w:rsid w:val="007F622D"/>
    <w:rsid w:val="007F6A4D"/>
    <w:rsid w:val="007F70DF"/>
    <w:rsid w:val="00800C6C"/>
    <w:rsid w:val="00801D0A"/>
    <w:rsid w:val="008053E8"/>
    <w:rsid w:val="00805C9C"/>
    <w:rsid w:val="00806153"/>
    <w:rsid w:val="00806AB1"/>
    <w:rsid w:val="00807664"/>
    <w:rsid w:val="0081137A"/>
    <w:rsid w:val="008125D3"/>
    <w:rsid w:val="008139A8"/>
    <w:rsid w:val="008175D9"/>
    <w:rsid w:val="00817AC7"/>
    <w:rsid w:val="00820004"/>
    <w:rsid w:val="00822056"/>
    <w:rsid w:val="008234E7"/>
    <w:rsid w:val="00824552"/>
    <w:rsid w:val="00824B19"/>
    <w:rsid w:val="00824B7E"/>
    <w:rsid w:val="00825775"/>
    <w:rsid w:val="0082681B"/>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7E0"/>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4DA5"/>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C7F78"/>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17C"/>
    <w:rsid w:val="009F1519"/>
    <w:rsid w:val="009F39C3"/>
    <w:rsid w:val="009F39FB"/>
    <w:rsid w:val="009F3B5B"/>
    <w:rsid w:val="009F4027"/>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53D3"/>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31FE"/>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32C7"/>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0F8C"/>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2283"/>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0C9"/>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5630"/>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14C9"/>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6784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00A"/>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0217"/>
    <w:rsid w:val="00FD15DF"/>
    <w:rsid w:val="00FD1786"/>
    <w:rsid w:val="00FD2B45"/>
    <w:rsid w:val="00FD6649"/>
    <w:rsid w:val="00FD708B"/>
    <w:rsid w:val="00FD74CF"/>
    <w:rsid w:val="00FE0E52"/>
    <w:rsid w:val="00FE21DB"/>
    <w:rsid w:val="00FE5181"/>
    <w:rsid w:val="00FE5E7B"/>
    <w:rsid w:val="00FE6B40"/>
    <w:rsid w:val="00FE7EBE"/>
    <w:rsid w:val="00FF0263"/>
    <w:rsid w:val="00FF073D"/>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094740819">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56494630">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4BD0-1442-4E44-BB24-6B25050B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62</TotalTime>
  <Pages>13</Pages>
  <Words>4988</Words>
  <Characters>27436</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32360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Hala DAYOUB</cp:lastModifiedBy>
  <cp:revision>9</cp:revision>
  <cp:lastPrinted>2016-03-24T23:23:00Z</cp:lastPrinted>
  <dcterms:created xsi:type="dcterms:W3CDTF">2025-09-24T12:09:00Z</dcterms:created>
  <dcterms:modified xsi:type="dcterms:W3CDTF">2025-10-08T13:45:00Z</dcterms:modified>
</cp:coreProperties>
</file>