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25301CCF" w:rsidR="0083082B" w:rsidRPr="0006068D" w:rsidRDefault="00167201" w:rsidP="0083082B">
            <w:pPr>
              <w:jc w:val="both"/>
              <w:rPr>
                <w:rFonts w:asciiTheme="minorHAnsi" w:hAnsiTheme="minorHAnsi" w:cstheme="minorHAnsi"/>
                <w:b/>
                <w:sz w:val="22"/>
                <w:szCs w:val="22"/>
              </w:rPr>
            </w:pPr>
            <w:r w:rsidRPr="00167201">
              <w:rPr>
                <w:rFonts w:asciiTheme="minorHAnsi" w:hAnsiTheme="minorHAnsi" w:cstheme="minorHAnsi"/>
                <w:b/>
                <w:bCs/>
                <w:caps/>
                <w:sz w:val="22"/>
                <w:szCs w:val="22"/>
                <w:lang w:val="en"/>
              </w:rPr>
              <w:t>Capacity-Building Program for Local Business Angel Investors – Promoting Investment Culture</w:t>
            </w:r>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15D57005" w:rsidR="0083082B" w:rsidRPr="00342E4D" w:rsidRDefault="00167201" w:rsidP="0083082B">
            <w:pPr>
              <w:rPr>
                <w:rFonts w:asciiTheme="minorHAnsi" w:hAnsiTheme="minorHAnsi" w:cstheme="minorHAnsi"/>
                <w:sz w:val="22"/>
                <w:szCs w:val="22"/>
                <w:lang w:val="en-GB"/>
              </w:rPr>
            </w:pPr>
            <w:r w:rsidRPr="00167201">
              <w:rPr>
                <w:rFonts w:asciiTheme="minorHAnsi" w:hAnsiTheme="minorHAnsi" w:cstheme="minorHAnsi"/>
                <w:b/>
                <w:bCs/>
                <w:sz w:val="22"/>
                <w:szCs w:val="22"/>
                <w:lang w:val="en"/>
              </w:rPr>
              <w:t>0</w:t>
            </w:r>
            <w:r>
              <w:rPr>
                <w:rFonts w:asciiTheme="minorHAnsi" w:hAnsiTheme="minorHAnsi" w:cstheme="minorHAnsi"/>
                <w:b/>
                <w:bCs/>
                <w:sz w:val="22"/>
                <w:szCs w:val="22"/>
                <w:lang w:val="en"/>
              </w:rPr>
              <w:t>3</w:t>
            </w:r>
            <w:r w:rsidRPr="00167201">
              <w:rPr>
                <w:rFonts w:asciiTheme="minorHAnsi" w:hAnsiTheme="minorHAnsi" w:cstheme="minorHAnsi"/>
                <w:b/>
                <w:bCs/>
                <w:sz w:val="22"/>
                <w:szCs w:val="22"/>
                <w:lang w:val="en"/>
              </w:rPr>
              <w:t>/11/2025</w:t>
            </w:r>
            <w:r w:rsidR="0083082B" w:rsidRPr="00167201">
              <w:rPr>
                <w:rFonts w:asciiTheme="minorHAnsi" w:hAnsiTheme="minorHAnsi" w:cstheme="minorHAnsi"/>
                <w:b/>
                <w:bCs/>
                <w:sz w:val="22"/>
                <w:szCs w:val="22"/>
                <w:lang w:val="en"/>
              </w:rPr>
              <w:t xml:space="preserve"> at </w:t>
            </w:r>
            <w:r>
              <w:rPr>
                <w:rFonts w:asciiTheme="minorHAnsi" w:hAnsiTheme="minorHAnsi" w:cstheme="minorHAnsi"/>
                <w:b/>
                <w:bCs/>
                <w:sz w:val="22"/>
                <w:szCs w:val="22"/>
                <w:lang w:val="en"/>
              </w:rPr>
              <w:t>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F8F279E"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167201">
        <w:rPr>
          <w:rFonts w:asciiTheme="minorHAnsi" w:hAnsiTheme="minorHAnsi" w:cstheme="minorHAnsi"/>
          <w:szCs w:val="22"/>
          <w:lang w:val="en"/>
        </w:rPr>
        <w:t xml:space="preserve">service </w:t>
      </w:r>
      <w:r>
        <w:rPr>
          <w:rFonts w:asciiTheme="minorHAnsi" w:hAnsiTheme="minorHAnsi" w:cstheme="minorHAnsi"/>
          <w:szCs w:val="22"/>
          <w:lang w:val="en"/>
        </w:rPr>
        <w:t>contract covering “</w:t>
      </w:r>
      <w:r w:rsidR="00167201" w:rsidRPr="00167201">
        <w:rPr>
          <w:rFonts w:asciiTheme="minorHAnsi" w:hAnsiTheme="minorHAnsi" w:cstheme="minorHAnsi"/>
          <w:i/>
          <w:iCs/>
          <w:szCs w:val="22"/>
          <w:lang w:val="en"/>
        </w:rPr>
        <w:t>Capacity-Building Program for Local Business Angel Investors – Promoting Investment Culture</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CE3EE25" w14:textId="5315D53A" w:rsidR="009009F8" w:rsidRPr="00342E4D" w:rsidRDefault="009009F8" w:rsidP="00167201">
      <w:pPr>
        <w:pStyle w:val="u"/>
        <w:spacing w:before="120"/>
        <w:ind w:left="0"/>
        <w:rPr>
          <w:rFonts w:asciiTheme="minorHAnsi" w:hAnsiTheme="minorHAnsi" w:cstheme="minorHAnsi"/>
          <w:szCs w:val="22"/>
          <w:lang w:val="en-GB"/>
        </w:rPr>
      </w:pPr>
      <w:r w:rsidRPr="00167201">
        <w:rPr>
          <w:rFonts w:asciiTheme="minorHAnsi" w:hAnsiTheme="minorHAnsi" w:cstheme="minorHAnsi"/>
          <w:szCs w:val="22"/>
          <w:lang w:val="en"/>
        </w:rPr>
        <w:t>adapted procedure in application of Articles L. 2123-1 and R. 2123-1 to R. 2123-7 of CCP</w:t>
      </w:r>
    </w:p>
    <w:p w14:paraId="597715FC" w14:textId="77777777"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34555" w:rsidRDefault="009009F8" w:rsidP="00A025D7">
            <w:pPr>
              <w:spacing w:line="240" w:lineRule="auto"/>
              <w:jc w:val="center"/>
              <w:rPr>
                <w:rFonts w:asciiTheme="minorHAnsi" w:hAnsiTheme="minorHAnsi" w:cstheme="minorHAnsi"/>
                <w:b/>
                <w:sz w:val="22"/>
                <w:szCs w:val="22"/>
              </w:rPr>
            </w:pPr>
            <w:r w:rsidRPr="0023455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34555" w:rsidRDefault="009009F8" w:rsidP="00A025D7">
            <w:pPr>
              <w:spacing w:line="240" w:lineRule="auto"/>
              <w:jc w:val="both"/>
              <w:rPr>
                <w:rFonts w:asciiTheme="minorHAnsi" w:hAnsiTheme="minorHAnsi" w:cstheme="minorHAnsi"/>
                <w:b/>
                <w:sz w:val="22"/>
                <w:szCs w:val="22"/>
              </w:rPr>
            </w:pPr>
            <w:r w:rsidRPr="0023455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3F946129"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03/11/2025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Bid submission deadline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650493EC"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Week of 10/11/2025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234555" w:rsidRDefault="009009F8" w:rsidP="00A025D7">
            <w:pPr>
              <w:spacing w:line="240" w:lineRule="auto"/>
              <w:jc w:val="both"/>
              <w:rPr>
                <w:rFonts w:asciiTheme="minorHAnsi" w:hAnsiTheme="minorHAnsi" w:cstheme="minorHAnsi"/>
                <w:sz w:val="22"/>
                <w:szCs w:val="22"/>
                <w:lang w:val="en-GB"/>
              </w:rPr>
            </w:pPr>
            <w:r w:rsidRPr="00234555">
              <w:rPr>
                <w:rFonts w:asciiTheme="minorHAnsi" w:hAnsiTheme="minorHAnsi" w:cstheme="minorHAnsi"/>
                <w:sz w:val="22"/>
                <w:szCs w:val="22"/>
                <w:lang w:val="en"/>
              </w:rPr>
              <w:t xml:space="preserve">Interviews/Negotiations and requests for </w:t>
            </w:r>
            <w:proofErr w:type="spellStart"/>
            <w:r w:rsidRPr="00234555">
              <w:rPr>
                <w:rFonts w:asciiTheme="minorHAnsi" w:hAnsiTheme="minorHAnsi" w:cstheme="minorHAnsi"/>
                <w:sz w:val="22"/>
                <w:szCs w:val="22"/>
                <w:lang w:val="en"/>
              </w:rPr>
              <w:t>optimised</w:t>
            </w:r>
            <w:proofErr w:type="spellEnd"/>
            <w:r w:rsidRPr="00234555">
              <w:rPr>
                <w:rFonts w:asciiTheme="minorHAnsi" w:hAnsiTheme="minorHAnsi" w:cstheme="minorHAnsi"/>
                <w:sz w:val="22"/>
                <w:szCs w:val="22"/>
                <w:lang w:val="en"/>
              </w:rPr>
              <w:t xml:space="preserve"> 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6359DC25" w:rsidR="009009F8" w:rsidRPr="00234555" w:rsidRDefault="0067795A"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15</w:t>
            </w:r>
            <w:r w:rsidR="00234555" w:rsidRPr="00234555">
              <w:rPr>
                <w:rFonts w:asciiTheme="minorHAnsi" w:hAnsiTheme="minorHAnsi" w:cstheme="minorHAnsi"/>
                <w:sz w:val="22"/>
                <w:szCs w:val="22"/>
                <w:lang w:val="en"/>
              </w:rPr>
              <w:t>/</w:t>
            </w:r>
            <w:r>
              <w:rPr>
                <w:rFonts w:asciiTheme="minorHAnsi" w:hAnsiTheme="minorHAnsi" w:cstheme="minorHAnsi"/>
                <w:sz w:val="22"/>
                <w:szCs w:val="22"/>
                <w:lang w:val="en"/>
              </w:rPr>
              <w:t>11</w:t>
            </w:r>
            <w:r w:rsidR="00234555" w:rsidRPr="00234555">
              <w:rPr>
                <w:rFonts w:asciiTheme="minorHAnsi" w:hAnsiTheme="minorHAnsi" w:cstheme="minorHAnsi"/>
                <w:sz w:val="22"/>
                <w:szCs w:val="22"/>
                <w:lang w:val="en"/>
              </w:rPr>
              <w:t>/2025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77777777"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French.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DD2D60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914A3">
        <w:rPr>
          <w:rFonts w:asciiTheme="minorHAnsi" w:hAnsiTheme="minorHAnsi" w:cstheme="minorHAnsi"/>
          <w:sz w:val="22"/>
          <w:szCs w:val="22"/>
          <w:lang w:val="en"/>
        </w:rPr>
        <w:t>3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466F951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67CCE475" w14:textId="77777777" w:rsidR="00C914A3" w:rsidRPr="00342E4D" w:rsidRDefault="00C914A3" w:rsidP="00C914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2CEC07B3"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C914A3">
        <w:rPr>
          <w:rFonts w:asciiTheme="minorHAnsi" w:hAnsiTheme="minorHAnsi" w:cstheme="minorHAnsi"/>
          <w:sz w:val="22"/>
          <w:szCs w:val="22"/>
          <w:lang w:val="en"/>
        </w:rPr>
        <w:t xml:space="preserve">24 </w:t>
      </w:r>
      <w:r>
        <w:rPr>
          <w:rFonts w:asciiTheme="minorHAnsi" w:hAnsiTheme="minorHAnsi" w:cstheme="minorHAnsi"/>
          <w:sz w:val="22"/>
          <w:szCs w:val="22"/>
          <w:lang w:val="en"/>
        </w:rPr>
        <w:t xml:space="preserve">months from its award date. For illustrative purposes only, the anticipated award date is </w:t>
      </w:r>
      <w:r w:rsidR="0067795A">
        <w:rPr>
          <w:rFonts w:asciiTheme="minorHAnsi" w:hAnsiTheme="minorHAnsi" w:cstheme="minorHAnsi"/>
          <w:sz w:val="22"/>
          <w:szCs w:val="22"/>
          <w:lang w:val="en"/>
        </w:rPr>
        <w:t>15/11</w:t>
      </w:r>
      <w:r w:rsidR="00C914A3">
        <w:rPr>
          <w:rFonts w:asciiTheme="minorHAnsi" w:hAnsiTheme="minorHAnsi" w:cstheme="minorHAnsi"/>
          <w:sz w:val="22"/>
          <w:szCs w:val="22"/>
          <w:lang w:val="en"/>
        </w:rPr>
        <w:t>/2025</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3269F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C1DED">
        <w:rPr>
          <w:rFonts w:asciiTheme="minorHAnsi" w:hAnsiTheme="minorHAnsi" w:cstheme="minorHAnsi"/>
          <w:sz w:val="22"/>
          <w:szCs w:val="22"/>
          <w:lang w:val="en"/>
        </w:rPr>
        <w:t>.</w:t>
      </w:r>
    </w:p>
    <w:p w14:paraId="652D73BD" w14:textId="598151BA" w:rsidR="009B6B50" w:rsidRPr="00342E4D" w:rsidRDefault="009B6B50" w:rsidP="009B6B50">
      <w:pPr>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1" w:name="_Toc8311999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sz w:val="22"/>
          <w:szCs w:val="22"/>
          <w:u w:val="single"/>
          <w:lang w:val="en"/>
        </w:rPr>
        <w:t>Options</w:t>
      </w:r>
      <w:bookmarkEnd w:id="31"/>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6C0859" w:rsidRDefault="00F07EDC" w:rsidP="00F07EDC">
      <w:pPr>
        <w:pStyle w:val="v"/>
        <w:widowControl w:val="0"/>
        <w:ind w:left="0" w:firstLine="0"/>
        <w:rPr>
          <w:rFonts w:asciiTheme="minorHAnsi" w:hAnsiTheme="minorHAnsi" w:cstheme="minorHAnsi"/>
          <w:szCs w:val="22"/>
          <w:lang w:val="ka-GE"/>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2C2A93B8"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C9365B">
        <w:rPr>
          <w:rFonts w:asciiTheme="minorHAnsi" w:hAnsiTheme="minorHAnsi" w:cstheme="minorHAnsi"/>
          <w:sz w:val="22"/>
          <w:szCs w:val="22"/>
          <w:lang w:val="en"/>
        </w:rPr>
        <w:t>24</w:t>
      </w:r>
      <w:r w:rsidR="006C08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0612425B" w14:textId="77777777" w:rsidR="0067795A" w:rsidRPr="0067795A" w:rsidRDefault="0067795A" w:rsidP="0067795A">
      <w:pPr>
        <w:pStyle w:val="Standard"/>
        <w:rPr>
          <w:rFonts w:asciiTheme="minorHAnsi" w:hAnsiTheme="minorHAnsi" w:cstheme="minorHAnsi"/>
          <w:kern w:val="0"/>
          <w:sz w:val="22"/>
          <w:szCs w:val="22"/>
          <w:lang w:val="en"/>
        </w:rPr>
      </w:pPr>
      <w:r w:rsidRPr="0067795A">
        <w:rPr>
          <w:rFonts w:asciiTheme="minorHAnsi" w:hAnsiTheme="minorHAnsi" w:cstheme="minorHAnsi"/>
          <w:kern w:val="0"/>
          <w:sz w:val="22"/>
          <w:szCs w:val="22"/>
          <w:lang w:val="en"/>
        </w:rPr>
        <w:t xml:space="preserve">A single entity may not represent more than one candidate for any given tender (Article R. 2142-4 of the French Public Procurement Code). A candidate cannot be present in offers at once, such as presenting an individual application as well as an application as a member of a consortium, or applications as a member of several consortia. </w:t>
      </w:r>
    </w:p>
    <w:p w14:paraId="78E99918" w14:textId="05885BDA" w:rsidR="00C810F9" w:rsidRPr="00342E4D" w:rsidRDefault="0067795A" w:rsidP="0067795A">
      <w:pPr>
        <w:pStyle w:val="Standard"/>
        <w:rPr>
          <w:rFonts w:asciiTheme="minorHAnsi" w:eastAsia="Times" w:hAnsiTheme="minorHAnsi" w:cstheme="minorHAnsi"/>
          <w:bCs/>
          <w:iCs/>
          <w:kern w:val="0"/>
          <w:sz w:val="22"/>
          <w:szCs w:val="22"/>
          <w:lang w:val="en-GB"/>
        </w:rPr>
      </w:pPr>
      <w:r w:rsidRPr="0067795A">
        <w:rPr>
          <w:rFonts w:asciiTheme="minorHAnsi" w:hAnsiTheme="minorHAnsi" w:cstheme="minorHAnsi"/>
          <w:kern w:val="0"/>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8988731" w14:textId="548915E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364B8863" w14:textId="459E0E8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3FEA148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proof of legal registration (certificate of registration). </w:t>
      </w:r>
    </w:p>
    <w:p w14:paraId="1221CF64"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attached application form</w:t>
      </w:r>
    </w:p>
    <w:p w14:paraId="361DF516" w14:textId="77777777" w:rsidR="0067795A" w:rsidRPr="0067795A" w:rsidRDefault="0067795A" w:rsidP="0067795A">
      <w:pPr>
        <w:pStyle w:val="ListParagraph"/>
        <w:numPr>
          <w:ilvl w:val="0"/>
          <w:numId w:val="41"/>
        </w:numPr>
        <w:spacing w:after="200" w:line="240" w:lineRule="auto"/>
        <w:jc w:val="both"/>
        <w:rPr>
          <w:rFonts w:asciiTheme="minorHAnsi" w:hAnsiTheme="minorHAnsi" w:cstheme="minorHAnsi"/>
          <w:lang w:val="en-GB"/>
        </w:rPr>
      </w:pPr>
      <w:r w:rsidRPr="0067795A">
        <w:rPr>
          <w:rFonts w:asciiTheme="minorHAnsi" w:hAnsiTheme="minorHAnsi" w:cstheme="minorHAnsi"/>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36502AF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US"/>
        </w:rPr>
      </w:pPr>
      <w:r w:rsidRPr="0067795A">
        <w:rPr>
          <w:rFonts w:asciiTheme="minorHAnsi" w:hAnsiTheme="minorHAnsi" w:cstheme="minorHAnsi"/>
        </w:rPr>
        <w:t xml:space="preserve">The draft </w:t>
      </w:r>
      <w:proofErr w:type="spellStart"/>
      <w:r w:rsidRPr="0067795A">
        <w:rPr>
          <w:rFonts w:asciiTheme="minorHAnsi" w:hAnsiTheme="minorHAnsi" w:cstheme="minorHAnsi"/>
        </w:rPr>
        <w:t>contract</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including</w:t>
      </w:r>
      <w:proofErr w:type="spellEnd"/>
      <w:r w:rsidRPr="0067795A">
        <w:rPr>
          <w:rFonts w:asciiTheme="minorHAnsi" w:hAnsiTheme="minorHAnsi" w:cstheme="minorHAnsi"/>
        </w:rPr>
        <w:t xml:space="preserve"> the </w:t>
      </w:r>
      <w:proofErr w:type="spellStart"/>
      <w:r w:rsidRPr="0067795A">
        <w:rPr>
          <w:rFonts w:asciiTheme="minorHAnsi" w:hAnsiTheme="minorHAnsi" w:cstheme="minorHAnsi"/>
        </w:rPr>
        <w:t>candidate's</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duly</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completed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dated</w:t>
      </w:r>
      <w:proofErr w:type="spellEnd"/>
      <w:r w:rsidRPr="0067795A">
        <w:rPr>
          <w:rFonts w:asciiTheme="minorHAnsi" w:hAnsiTheme="minorHAnsi" w:cstheme="minorHAnsi"/>
        </w:rPr>
        <w:t xml:space="preserve"> and </w:t>
      </w:r>
      <w:proofErr w:type="spellStart"/>
      <w:proofErr w:type="gramStart"/>
      <w:r w:rsidRPr="0067795A">
        <w:rPr>
          <w:rFonts w:asciiTheme="minorHAnsi" w:hAnsiTheme="minorHAnsi" w:cstheme="minorHAnsi"/>
        </w:rPr>
        <w:t>signed</w:t>
      </w:r>
      <w:proofErr w:type="spellEnd"/>
      <w:r w:rsidRPr="0067795A">
        <w:rPr>
          <w:rFonts w:asciiTheme="minorHAnsi" w:hAnsiTheme="minorHAnsi" w:cstheme="minorHAnsi"/>
        </w:rPr>
        <w:t>;</w:t>
      </w:r>
      <w:proofErr w:type="gramEnd"/>
    </w:p>
    <w:p w14:paraId="3C8CA3F0"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technical offer comprising: </w:t>
      </w:r>
    </w:p>
    <w:p w14:paraId="7A7A0B18" w14:textId="77777777" w:rsidR="0067795A" w:rsidRPr="0067795A" w:rsidRDefault="0067795A" w:rsidP="0067795A">
      <w:pPr>
        <w:pStyle w:val="ListParagraph"/>
        <w:numPr>
          <w:ilvl w:val="0"/>
          <w:numId w:val="43"/>
        </w:numPr>
        <w:spacing w:after="120" w:line="240" w:lineRule="auto"/>
        <w:jc w:val="both"/>
        <w:rPr>
          <w:rFonts w:asciiTheme="minorHAnsi" w:hAnsiTheme="minorHAnsi" w:cstheme="minorHAnsi"/>
          <w:lang w:val="en-GB"/>
        </w:rPr>
      </w:pPr>
      <w:r w:rsidRPr="0067795A">
        <w:rPr>
          <w:rFonts w:asciiTheme="minorHAnsi" w:hAnsiTheme="minorHAnsi" w:cstheme="minorHAnsi"/>
          <w:lang w:val="en-GB"/>
        </w:rPr>
        <w:t>A description of the applicant organization, including its relevant credentials, track record, and previous experience that demonstrate its suitability for the assignment.</w:t>
      </w:r>
    </w:p>
    <w:p w14:paraId="3708A0EA" w14:textId="77777777" w:rsidR="0067795A" w:rsidRPr="0067795A" w:rsidRDefault="0067795A" w:rsidP="0067795A">
      <w:pPr>
        <w:pStyle w:val="ListParagraph"/>
        <w:numPr>
          <w:ilvl w:val="0"/>
          <w:numId w:val="43"/>
        </w:numPr>
        <w:spacing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Curriculum vitae (CVs) of the expert(s) proposed for the implementation of the activities, highlighting their qualifications, thematic expertise, experience in angel investment and prior relevant engagements.</w:t>
      </w:r>
    </w:p>
    <w:p w14:paraId="6111FAF6"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rPr>
        <w:t xml:space="preserve">A </w:t>
      </w:r>
      <w:proofErr w:type="spellStart"/>
      <w:r w:rsidRPr="0067795A">
        <w:rPr>
          <w:rFonts w:asciiTheme="minorHAnsi" w:hAnsiTheme="minorHAnsi" w:cstheme="minorHAnsi"/>
        </w:rPr>
        <w:t>detailed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proofErr w:type="gramStart"/>
      <w:r w:rsidRPr="0067795A">
        <w:rPr>
          <w:rFonts w:asciiTheme="minorHAnsi" w:hAnsiTheme="minorHAnsi" w:cstheme="minorHAnsi"/>
        </w:rPr>
        <w:t>including</w:t>
      </w:r>
      <w:proofErr w:type="spellEnd"/>
      <w:r w:rsidRPr="0067795A">
        <w:rPr>
          <w:rFonts w:asciiTheme="minorHAnsi" w:hAnsiTheme="minorHAnsi" w:cstheme="minorHAnsi"/>
        </w:rPr>
        <w:t>:</w:t>
      </w:r>
      <w:proofErr w:type="gramEnd"/>
    </w:p>
    <w:p w14:paraId="09D593ED" w14:textId="7D021523"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Pr>
          <w:rFonts w:asciiTheme="minorHAnsi" w:hAnsiTheme="minorHAnsi" w:cstheme="minorHAnsi"/>
          <w:lang w:val="en-GB"/>
        </w:rPr>
        <w:t>A</w:t>
      </w:r>
      <w:r w:rsidRPr="0067795A">
        <w:rPr>
          <w:rFonts w:asciiTheme="minorHAnsi" w:hAnsiTheme="minorHAnsi" w:cstheme="minorHAnsi"/>
          <w:lang w:val="en-GB"/>
        </w:rPr>
        <w:t xml:space="preserve"> breakdown of costs presented as a unit price schedule. </w:t>
      </w:r>
    </w:p>
    <w:p w14:paraId="6198956E"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The schedule should indicate the price per man-day, provide an estimate of the total number of days required to complete the assignment, and cover all services to be delivered under the contract. </w:t>
      </w:r>
    </w:p>
    <w:p w14:paraId="35A98EDA"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financial offer must also include all associated costs, such as travel, accommodation, venue rental, catering, materials, and any other expenses necessary for the successful implementation of the assignment.</w:t>
      </w:r>
    </w:p>
    <w:p w14:paraId="44DA1EA2"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declaration of honour confirming compliance with exclusion criteria and absence of conflict of interest; and the Third Party Identification Sheet. </w:t>
      </w:r>
    </w:p>
    <w:p w14:paraId="06106F28" w14:textId="77777777" w:rsidR="0067795A" w:rsidRPr="0067795A" w:rsidRDefault="0067795A" w:rsidP="0067795A">
      <w:pPr>
        <w:pStyle w:val="ListParagraph"/>
        <w:rPr>
          <w:lang w:val="en-GB"/>
        </w:rPr>
      </w:pPr>
      <w:r w:rsidRPr="0067795A">
        <w:rPr>
          <w:lang w:val="en-GB"/>
        </w:rPr>
        <w:t>The documents requested above are mandatory. If missing, the tender submitted will not be compliant and will therefore be rejected.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3" w:name="_Toc83120016"/>
      <w:r>
        <w:rPr>
          <w:rFonts w:asciiTheme="minorHAnsi" w:hAnsiTheme="minorHAnsi" w:cstheme="minorHAnsi"/>
          <w:sz w:val="22"/>
          <w:szCs w:val="22"/>
          <w:u w:val="single"/>
          <w:lang w:val="en"/>
        </w:rPr>
        <w:t>Bid documents</w:t>
      </w:r>
      <w:bookmarkEnd w:id="73"/>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lastRenderedPageBreak/>
        <w:t>Description of the proposed equipment or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4" w:name="_Toc83120017"/>
      <w:r>
        <w:rPr>
          <w:rFonts w:asciiTheme="minorHAnsi" w:hAnsiTheme="minorHAnsi" w:cstheme="minorHAnsi"/>
          <w:sz w:val="22"/>
          <w:szCs w:val="22"/>
          <w:u w:val="single"/>
          <w:lang w:val="en"/>
        </w:rPr>
        <w:t>Bid validity period</w:t>
      </w:r>
      <w:bookmarkEnd w:id="74"/>
    </w:p>
    <w:p w14:paraId="634CE425" w14:textId="1DA44416"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7795A">
        <w:rPr>
          <w:rFonts w:asciiTheme="minorHAnsi" w:hAnsiTheme="minorHAnsi" w:cstheme="minorHAnsi"/>
          <w:color w:val="000000"/>
          <w:sz w:val="22"/>
          <w:szCs w:val="22"/>
          <w:lang w:val="en"/>
        </w:rPr>
        <w:t>90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5" w:name="_Toc491193966"/>
      <w:bookmarkStart w:id="76" w:name="_Toc491193511"/>
      <w:bookmarkStart w:id="77" w:name="_Toc83120018"/>
      <w:bookmarkEnd w:id="75"/>
      <w:bookmarkEnd w:id="76"/>
      <w:r>
        <w:rPr>
          <w:rFonts w:asciiTheme="minorHAnsi" w:hAnsiTheme="minorHAnsi" w:cstheme="minorHAnsi"/>
          <w:sz w:val="22"/>
          <w:szCs w:val="22"/>
          <w:u w:val="single"/>
          <w:lang w:val="en"/>
        </w:rPr>
        <w:t>Bid submission process</w:t>
      </w:r>
      <w:bookmarkEnd w:id="77"/>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8" w:name="_Toc83120019"/>
      <w:r>
        <w:rPr>
          <w:rFonts w:asciiTheme="minorHAnsi" w:hAnsiTheme="minorHAnsi" w:cstheme="minorHAnsi"/>
          <w:i/>
          <w:iCs/>
          <w:sz w:val="22"/>
          <w:szCs w:val="22"/>
          <w:lang w:val="en"/>
        </w:rPr>
        <w:t>Bids submitted in paper format</w:t>
      </w:r>
      <w:bookmarkEnd w:id="78"/>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20"/>
      <w:r>
        <w:rPr>
          <w:rFonts w:asciiTheme="minorHAnsi" w:hAnsiTheme="minorHAnsi" w:cstheme="minorHAnsi"/>
          <w:i/>
          <w:iCs/>
          <w:sz w:val="22"/>
          <w:szCs w:val="22"/>
          <w:lang w:val="en"/>
        </w:rPr>
        <w:t>Electronic submission</w:t>
      </w:r>
      <w:bookmarkEnd w:id="79"/>
      <w:r>
        <w:rPr>
          <w:rFonts w:asciiTheme="minorHAnsi" w:hAnsiTheme="minorHAnsi" w:cstheme="minorHAnsi"/>
          <w:i/>
          <w:iCs/>
          <w:sz w:val="22"/>
          <w:szCs w:val="22"/>
          <w:lang w:val="en"/>
        </w:rPr>
        <w:t xml:space="preserve"> </w:t>
      </w:r>
    </w:p>
    <w:p w14:paraId="0942AD34" w14:textId="77777777" w:rsidR="0067795A" w:rsidRPr="00342E4D" w:rsidRDefault="0067795A" w:rsidP="0067795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FB5E09" w14:textId="77777777" w:rsidR="0067795A" w:rsidRPr="00342E4D" w:rsidRDefault="0067795A" w:rsidP="0067795A">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0F535750" w14:textId="77777777" w:rsidR="0067795A" w:rsidRPr="00342E4D" w:rsidRDefault="0067795A" w:rsidP="0067795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0B495BF3" w14:textId="77777777" w:rsidR="0067795A" w:rsidRPr="00342E4D" w:rsidRDefault="0067795A" w:rsidP="0067795A">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1859427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33585448" w14:textId="77777777" w:rsidR="0067795A" w:rsidRPr="00342E4D" w:rsidRDefault="0067795A" w:rsidP="0067795A">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EA621B3"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2667BE2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4F77845" w14:textId="77777777" w:rsidR="0067795A" w:rsidRPr="00342E4D" w:rsidRDefault="0067795A" w:rsidP="0067795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4CDEA8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7AABE3E2"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5"/>
      <w:bookmarkStart w:id="81" w:name="_Toc63419901"/>
      <w:bookmarkEnd w:id="80"/>
      <w:bookmarkEnd w:id="81"/>
      <w:r>
        <w:rPr>
          <w:rFonts w:asciiTheme="minorHAnsi" w:hAnsiTheme="minorHAnsi" w:cstheme="minorHAnsi"/>
          <w:b/>
          <w:bCs/>
          <w:caps/>
          <w:sz w:val="28"/>
          <w:szCs w:val="22"/>
          <w:u w:val="single"/>
          <w:lang w:val="en"/>
        </w:rPr>
        <w:t> </w:t>
      </w:r>
      <w:bookmarkStart w:id="82" w:name="_Toc83120021"/>
      <w:r>
        <w:rPr>
          <w:rFonts w:asciiTheme="minorHAnsi" w:hAnsiTheme="minorHAnsi" w:cstheme="minorHAnsi"/>
          <w:b/>
          <w:bCs/>
          <w:caps/>
          <w:sz w:val="28"/>
          <w:szCs w:val="22"/>
          <w:u w:val="single"/>
          <w:lang w:val="en"/>
        </w:rPr>
        <w:t>Analysis of applications</w:t>
      </w:r>
      <w:bookmarkEnd w:id="82"/>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3" w:name="_Toc83120022"/>
      <w:r>
        <w:rPr>
          <w:rFonts w:asciiTheme="minorHAnsi" w:hAnsiTheme="minorHAnsi" w:cstheme="minorHAnsi"/>
          <w:sz w:val="22"/>
          <w:szCs w:val="22"/>
          <w:u w:val="single"/>
          <w:lang w:val="en"/>
        </w:rPr>
        <w:t>Application supplementary information requests</w:t>
      </w:r>
      <w:bookmarkEnd w:id="83"/>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4" w:name="_Toc83120023"/>
      <w:r>
        <w:rPr>
          <w:rFonts w:asciiTheme="minorHAnsi" w:hAnsiTheme="minorHAnsi" w:cstheme="minorHAnsi"/>
          <w:sz w:val="22"/>
          <w:szCs w:val="22"/>
          <w:u w:val="single"/>
          <w:lang w:val="en"/>
        </w:rPr>
        <w:t>Rejection of late applications - Opening bids</w:t>
      </w:r>
      <w:bookmarkEnd w:id="84"/>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5" w:name="_Toc83120024"/>
      <w:r>
        <w:rPr>
          <w:rFonts w:asciiTheme="minorHAnsi" w:hAnsiTheme="minorHAnsi" w:cstheme="minorHAnsi"/>
          <w:sz w:val="22"/>
          <w:szCs w:val="22"/>
          <w:u w:val="single"/>
          <w:lang w:val="en"/>
        </w:rPr>
        <w:t>Admissibility of applications</w:t>
      </w:r>
      <w:bookmarkEnd w:id="85"/>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1B0D02E6"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67795A"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83120026"/>
      <w:r>
        <w:rPr>
          <w:rFonts w:asciiTheme="minorHAnsi" w:hAnsiTheme="minorHAnsi" w:cstheme="minorHAnsi"/>
          <w:b/>
          <w:bCs/>
          <w:caps/>
          <w:sz w:val="28"/>
          <w:szCs w:val="22"/>
          <w:u w:val="single"/>
          <w:lang w:val="en"/>
        </w:rPr>
        <w:t>Bid evaluation, negotiations and award</w:t>
      </w:r>
      <w:bookmarkEnd w:id="86"/>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7" w:name="_Toc83120027"/>
      <w:r>
        <w:rPr>
          <w:rFonts w:asciiTheme="minorHAnsi" w:hAnsiTheme="minorHAnsi" w:cstheme="minorHAnsi"/>
          <w:sz w:val="22"/>
          <w:szCs w:val="22"/>
          <w:u w:val="single"/>
          <w:lang w:val="en"/>
        </w:rPr>
        <w:t>Rejection of late bids - Opening bids</w:t>
      </w:r>
      <w:bookmarkEnd w:id="87"/>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8" w:name="_Toc83120028"/>
      <w:r>
        <w:rPr>
          <w:rFonts w:asciiTheme="minorHAnsi" w:hAnsiTheme="minorHAnsi" w:cstheme="minorHAnsi"/>
          <w:sz w:val="22"/>
          <w:szCs w:val="22"/>
          <w:u w:val="single"/>
          <w:lang w:val="en"/>
        </w:rPr>
        <w:t>Bid analysis</w:t>
      </w:r>
      <w:bookmarkEnd w:id="88"/>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89" w:name="_Toc83120029"/>
      <w:r>
        <w:rPr>
          <w:rFonts w:asciiTheme="minorHAnsi" w:hAnsiTheme="minorHAnsi" w:cstheme="minorHAnsi"/>
          <w:sz w:val="22"/>
          <w:szCs w:val="22"/>
          <w:u w:val="single"/>
          <w:lang w:val="en"/>
        </w:rPr>
        <w:t>Rejection of non-conforming, inadmissible or inappropriate bids</w:t>
      </w:r>
      <w:bookmarkEnd w:id="89"/>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30"/>
      <w:r>
        <w:rPr>
          <w:rFonts w:asciiTheme="minorHAnsi" w:hAnsiTheme="minorHAnsi" w:cstheme="minorHAnsi"/>
          <w:sz w:val="22"/>
          <w:szCs w:val="22"/>
          <w:u w:val="single"/>
          <w:lang w:val="en"/>
        </w:rPr>
        <w:t>Comparison of bids for selection of the most economically beneficial bid</w:t>
      </w:r>
      <w:bookmarkEnd w:id="90"/>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1" w:name="_Toc83120031"/>
      <w:r>
        <w:rPr>
          <w:rFonts w:asciiTheme="minorHAnsi" w:hAnsiTheme="minorHAnsi" w:cstheme="minorHAnsi"/>
          <w:i/>
          <w:iCs/>
          <w:sz w:val="22"/>
          <w:szCs w:val="22"/>
          <w:lang w:val="en"/>
        </w:rPr>
        <w:t>Criterion 1: price of the services</w:t>
      </w:r>
      <w:bookmarkEnd w:id="91"/>
      <w:r>
        <w:rPr>
          <w:rFonts w:asciiTheme="minorHAnsi" w:hAnsiTheme="minorHAnsi" w:cstheme="minorHAnsi"/>
          <w:i/>
          <w:iCs/>
          <w:sz w:val="22"/>
          <w:szCs w:val="22"/>
          <w:lang w:val="en"/>
        </w:rPr>
        <w:t xml:space="preserve"> </w:t>
      </w:r>
    </w:p>
    <w:p w14:paraId="427BB65A" w14:textId="09D25E1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67795A">
        <w:rPr>
          <w:rFonts w:asciiTheme="minorHAnsi" w:hAnsiTheme="minorHAnsi" w:cstheme="minorHAnsi"/>
          <w:b/>
          <w:bCs/>
          <w:sz w:val="22"/>
          <w:szCs w:val="22"/>
          <w:lang w:val="en"/>
        </w:rPr>
        <w:t xml:space="preserve">30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2" w:name="_Toc83120032"/>
      <w:r>
        <w:rPr>
          <w:rFonts w:asciiTheme="minorHAnsi" w:hAnsiTheme="minorHAnsi" w:cstheme="minorHAnsi"/>
          <w:i/>
          <w:iCs/>
          <w:sz w:val="22"/>
          <w:szCs w:val="22"/>
          <w:lang w:val="en"/>
        </w:rPr>
        <w:t>Criterion 2: Technical offer</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A60220C"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r w:rsidR="00541F2C">
              <w:rPr>
                <w:rFonts w:asciiTheme="minorHAnsi" w:hAnsiTheme="minorHAnsi" w:cstheme="minorHAnsi"/>
                <w:b/>
                <w:bCs/>
                <w:sz w:val="22"/>
                <w:szCs w:val="22"/>
                <w:lang w:val="en"/>
              </w:rPr>
              <w:t xml:space="preserve"> (detailed in Terms of Reference)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18346D09" w:rsidR="00D93D99" w:rsidRPr="00BD1A1F" w:rsidRDefault="007671D9" w:rsidP="00693CDE">
            <w:pPr>
              <w:jc w:val="both"/>
              <w:rPr>
                <w:rFonts w:asciiTheme="minorHAnsi" w:hAnsiTheme="minorHAnsi" w:cstheme="minorHAnsi"/>
                <w:b/>
                <w:sz w:val="22"/>
                <w:szCs w:val="22"/>
                <w:lang w:val="en-GB"/>
              </w:rPr>
            </w:pPr>
            <w:r w:rsidRPr="00BD1A1F">
              <w:rPr>
                <w:rFonts w:asciiTheme="minorHAnsi" w:hAnsiTheme="minorHAnsi" w:cstheme="minorHAnsi"/>
                <w:b/>
                <w:sz w:val="22"/>
                <w:szCs w:val="22"/>
                <w:lang w:val="en-GB"/>
              </w:rPr>
              <w:t>Global understanding of the mission</w:t>
            </w:r>
          </w:p>
        </w:tc>
        <w:tc>
          <w:tcPr>
            <w:tcW w:w="2692" w:type="dxa"/>
          </w:tcPr>
          <w:p w14:paraId="0FBB3AD7" w14:textId="25ADBA01" w:rsidR="00D93D99" w:rsidRPr="0006068D" w:rsidRDefault="007671D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1</w:t>
            </w:r>
            <w:r w:rsidR="0067795A">
              <w:rPr>
                <w:rFonts w:asciiTheme="minorHAnsi" w:hAnsiTheme="minorHAnsi" w:cstheme="minorHAnsi"/>
                <w:b/>
                <w:bCs/>
                <w:sz w:val="22"/>
                <w:szCs w:val="22"/>
                <w:lang w:val="en"/>
              </w:rPr>
              <w:t>0</w:t>
            </w:r>
          </w:p>
        </w:tc>
      </w:tr>
      <w:tr w:rsidR="00D93D99" w:rsidRPr="0006068D" w14:paraId="740A705F" w14:textId="77777777" w:rsidTr="009009F8">
        <w:tc>
          <w:tcPr>
            <w:tcW w:w="6654" w:type="dxa"/>
          </w:tcPr>
          <w:p w14:paraId="59B26548" w14:textId="3C04881C" w:rsidR="00D93D99" w:rsidRPr="00BD1A1F" w:rsidRDefault="0067795A" w:rsidP="00DA0CCE">
            <w:pPr>
              <w:jc w:val="both"/>
              <w:rPr>
                <w:rFonts w:asciiTheme="minorHAnsi" w:hAnsiTheme="minorHAnsi" w:cstheme="minorHAnsi"/>
                <w:b/>
                <w:sz w:val="22"/>
                <w:szCs w:val="22"/>
                <w:lang w:val="en-GB"/>
              </w:rPr>
            </w:pPr>
            <w:proofErr w:type="spellStart"/>
            <w:r w:rsidRPr="00BD1A1F">
              <w:rPr>
                <w:rFonts w:asciiTheme="minorHAnsi" w:hAnsiTheme="minorHAnsi" w:cstheme="minorHAnsi"/>
                <w:b/>
                <w:bCs/>
                <w:sz w:val="22"/>
                <w:szCs w:val="22"/>
              </w:rPr>
              <w:t>Thematic</w:t>
            </w:r>
            <w:proofErr w:type="spellEnd"/>
            <w:r w:rsidRPr="00BD1A1F">
              <w:rPr>
                <w:rFonts w:asciiTheme="minorHAnsi" w:hAnsiTheme="minorHAnsi" w:cstheme="minorHAnsi"/>
                <w:b/>
                <w:bCs/>
                <w:sz w:val="22"/>
                <w:szCs w:val="22"/>
              </w:rPr>
              <w:t xml:space="preserve"> and </w:t>
            </w:r>
            <w:proofErr w:type="spellStart"/>
            <w:r w:rsidRPr="00BD1A1F">
              <w:rPr>
                <w:rFonts w:asciiTheme="minorHAnsi" w:hAnsiTheme="minorHAnsi" w:cstheme="minorHAnsi"/>
                <w:b/>
                <w:bCs/>
                <w:sz w:val="22"/>
                <w:szCs w:val="22"/>
              </w:rPr>
              <w:t>Regional</w:t>
            </w:r>
            <w:proofErr w:type="spellEnd"/>
            <w:r w:rsidRPr="00BD1A1F">
              <w:rPr>
                <w:rFonts w:asciiTheme="minorHAnsi" w:hAnsiTheme="minorHAnsi" w:cstheme="minorHAnsi"/>
                <w:b/>
                <w:bCs/>
                <w:sz w:val="22"/>
                <w:szCs w:val="22"/>
              </w:rPr>
              <w:t xml:space="preserve"> Expertise of </w:t>
            </w:r>
            <w:proofErr w:type="spellStart"/>
            <w:r w:rsidRPr="00BD1A1F">
              <w:rPr>
                <w:rFonts w:asciiTheme="minorHAnsi" w:hAnsiTheme="minorHAnsi" w:cstheme="minorHAnsi"/>
                <w:b/>
                <w:bCs/>
                <w:sz w:val="22"/>
                <w:szCs w:val="22"/>
              </w:rPr>
              <w:t>Proposed</w:t>
            </w:r>
            <w:proofErr w:type="spellEnd"/>
            <w:r w:rsidRPr="00BD1A1F">
              <w:rPr>
                <w:rFonts w:asciiTheme="minorHAnsi" w:hAnsiTheme="minorHAnsi" w:cstheme="minorHAnsi"/>
                <w:b/>
                <w:bCs/>
                <w:sz w:val="22"/>
                <w:szCs w:val="22"/>
              </w:rPr>
              <w:t xml:space="preserve"> Experts</w:t>
            </w:r>
          </w:p>
        </w:tc>
        <w:tc>
          <w:tcPr>
            <w:tcW w:w="2692" w:type="dxa"/>
          </w:tcPr>
          <w:p w14:paraId="2BE4652E" w14:textId="3E360987" w:rsidR="00D93D99" w:rsidRPr="0006068D" w:rsidRDefault="007671D9" w:rsidP="007671D9">
            <w:pPr>
              <w:jc w:val="center"/>
              <w:rPr>
                <w:rFonts w:asciiTheme="minorHAnsi" w:hAnsiTheme="minorHAnsi" w:cstheme="minorHAnsi"/>
                <w:b/>
                <w:sz w:val="22"/>
                <w:szCs w:val="22"/>
              </w:rPr>
            </w:pPr>
            <w:r>
              <w:rPr>
                <w:rFonts w:asciiTheme="minorHAnsi" w:hAnsiTheme="minorHAnsi" w:cstheme="minorHAnsi"/>
                <w:b/>
                <w:bCs/>
                <w:sz w:val="22"/>
                <w:szCs w:val="22"/>
                <w:lang w:val="en"/>
              </w:rPr>
              <w:t>30</w:t>
            </w:r>
          </w:p>
        </w:tc>
      </w:tr>
      <w:tr w:rsidR="009009F8" w:rsidRPr="00921E55" w14:paraId="326CB03B" w14:textId="77777777" w:rsidTr="009009F8">
        <w:tc>
          <w:tcPr>
            <w:tcW w:w="6654" w:type="dxa"/>
          </w:tcPr>
          <w:p w14:paraId="2C864B7D" w14:textId="0C84B728" w:rsidR="009009F8" w:rsidRPr="00BD1A1F" w:rsidRDefault="007671D9" w:rsidP="007671D9">
            <w:pPr>
              <w:jc w:val="both"/>
              <w:rPr>
                <w:rFonts w:asciiTheme="minorHAnsi" w:hAnsiTheme="minorHAnsi" w:cstheme="minorHAnsi"/>
                <w:b/>
                <w:sz w:val="22"/>
                <w:szCs w:val="22"/>
                <w:lang w:val="en-GB"/>
              </w:rPr>
            </w:pPr>
            <w:r w:rsidRPr="00BD1A1F">
              <w:rPr>
                <w:rFonts w:asciiTheme="minorHAnsi" w:hAnsiTheme="minorHAnsi" w:cstheme="minorHAnsi"/>
                <w:b/>
                <w:bCs/>
                <w:sz w:val="22"/>
                <w:szCs w:val="22"/>
                <w:lang w:val="en"/>
              </w:rPr>
              <w:t>Evaluation of the r</w:t>
            </w:r>
            <w:r w:rsidR="0067795A" w:rsidRPr="00BD1A1F">
              <w:rPr>
                <w:rFonts w:asciiTheme="minorHAnsi" w:hAnsiTheme="minorHAnsi" w:cstheme="minorHAnsi"/>
                <w:b/>
                <w:bCs/>
                <w:sz w:val="22"/>
                <w:szCs w:val="22"/>
                <w:lang w:val="en"/>
              </w:rPr>
              <w:t xml:space="preserve">elevance </w:t>
            </w:r>
            <w:r w:rsidRPr="00BD1A1F">
              <w:rPr>
                <w:rFonts w:asciiTheme="minorHAnsi" w:hAnsiTheme="minorHAnsi" w:cstheme="minorHAnsi"/>
                <w:b/>
                <w:bCs/>
                <w:sz w:val="22"/>
                <w:szCs w:val="22"/>
                <w:lang w:val="en"/>
              </w:rPr>
              <w:t>of the proposal through the mobilization of regional network</w:t>
            </w:r>
          </w:p>
        </w:tc>
        <w:tc>
          <w:tcPr>
            <w:tcW w:w="2692" w:type="dxa"/>
          </w:tcPr>
          <w:p w14:paraId="370ABFCB" w14:textId="23310E9E" w:rsidR="009009F8" w:rsidRPr="00921E55" w:rsidRDefault="007671D9" w:rsidP="00A025D7">
            <w:pPr>
              <w:jc w:val="center"/>
              <w:rPr>
                <w:rFonts w:asciiTheme="minorHAnsi" w:hAnsiTheme="minorHAnsi" w:cstheme="minorHAnsi"/>
                <w:b/>
                <w:sz w:val="22"/>
                <w:szCs w:val="22"/>
              </w:rPr>
            </w:pPr>
            <w:r>
              <w:rPr>
                <w:rFonts w:asciiTheme="minorHAnsi" w:hAnsiTheme="minorHAnsi" w:cstheme="minorHAnsi"/>
                <w:b/>
                <w:sz w:val="22"/>
                <w:szCs w:val="22"/>
              </w:rPr>
              <w:t>3</w:t>
            </w:r>
            <w:r w:rsidR="0067795A">
              <w:rPr>
                <w:rFonts w:asciiTheme="minorHAnsi" w:hAnsiTheme="minorHAnsi" w:cstheme="minorHAnsi"/>
                <w:b/>
                <w:sz w:val="22"/>
                <w:szCs w:val="22"/>
              </w:rPr>
              <w:t>0</w:t>
            </w:r>
          </w:p>
        </w:tc>
      </w:tr>
      <w:tr w:rsidR="00116C24" w:rsidRPr="0006068D" w14:paraId="399D4C70" w14:textId="77777777" w:rsidTr="009009F8">
        <w:tc>
          <w:tcPr>
            <w:tcW w:w="6654" w:type="dxa"/>
          </w:tcPr>
          <w:p w14:paraId="3C0DA4EC" w14:textId="628A2473" w:rsidR="00116C24" w:rsidRPr="0067795A" w:rsidRDefault="00116C24" w:rsidP="00F10B36">
            <w:pPr>
              <w:jc w:val="right"/>
              <w:rPr>
                <w:rFonts w:asciiTheme="minorHAnsi" w:hAnsiTheme="minorHAnsi" w:cstheme="minorHAnsi"/>
                <w:b/>
                <w:sz w:val="22"/>
                <w:szCs w:val="22"/>
              </w:rPr>
            </w:pPr>
            <w:r w:rsidRPr="0067795A">
              <w:rPr>
                <w:rFonts w:asciiTheme="minorHAnsi" w:hAnsiTheme="minorHAnsi" w:cstheme="minorHAnsi"/>
                <w:b/>
                <w:bCs/>
                <w:sz w:val="22"/>
                <w:szCs w:val="22"/>
                <w:lang w:val="en"/>
              </w:rPr>
              <w:t>TOTAL</w:t>
            </w:r>
          </w:p>
        </w:tc>
        <w:tc>
          <w:tcPr>
            <w:tcW w:w="2692" w:type="dxa"/>
          </w:tcPr>
          <w:p w14:paraId="727CD250" w14:textId="1B70EB17" w:rsidR="00116C24" w:rsidRPr="0067795A" w:rsidRDefault="0067795A" w:rsidP="00D93D99">
            <w:pPr>
              <w:jc w:val="center"/>
              <w:rPr>
                <w:rFonts w:asciiTheme="minorHAnsi" w:hAnsiTheme="minorHAnsi" w:cstheme="minorHAnsi"/>
                <w:b/>
                <w:sz w:val="22"/>
                <w:szCs w:val="22"/>
              </w:rPr>
            </w:pPr>
            <w:r w:rsidRPr="0067795A">
              <w:rPr>
                <w:rFonts w:asciiTheme="minorHAnsi" w:hAnsiTheme="minorHAnsi" w:cstheme="minorHAnsi"/>
                <w:b/>
                <w:bCs/>
                <w:sz w:val="22"/>
                <w:szCs w:val="22"/>
                <w:lang w:val="en"/>
              </w:rPr>
              <w:t>7</w:t>
            </w:r>
            <w:r w:rsidR="00D53223" w:rsidRPr="0067795A">
              <w:rPr>
                <w:rFonts w:asciiTheme="minorHAnsi" w:hAnsiTheme="minorHAnsi" w:cstheme="minorHAnsi"/>
                <w:b/>
                <w:bCs/>
                <w:sz w:val="22"/>
                <w:szCs w:val="22"/>
                <w:lang w:val="en"/>
              </w:rPr>
              <w:t>0</w:t>
            </w:r>
          </w:p>
        </w:tc>
      </w:tr>
    </w:tbl>
    <w:p w14:paraId="4067D76C" w14:textId="42CCB83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7795A">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187773F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7795A">
        <w:rPr>
          <w:rFonts w:asciiTheme="minorHAnsi" w:hAnsiTheme="minorHAnsi" w:cstheme="minorHAnsi"/>
          <w:sz w:val="22"/>
          <w:szCs w:val="22"/>
          <w:lang w:val="en"/>
        </w:rPr>
        <w:t>50/70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3" w:name="_Toc83120033"/>
      <w:r>
        <w:rPr>
          <w:rFonts w:asciiTheme="minorHAnsi" w:hAnsiTheme="minorHAnsi" w:cstheme="minorHAnsi"/>
          <w:sz w:val="22"/>
          <w:szCs w:val="22"/>
          <w:u w:val="single"/>
          <w:lang w:val="en"/>
        </w:rPr>
        <w:t>Negotiations</w:t>
      </w:r>
      <w:bookmarkEnd w:id="93"/>
    </w:p>
    <w:p w14:paraId="3B8CB715" w14:textId="39A7A27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4" w:name="_Toc83120035"/>
      <w:r>
        <w:rPr>
          <w:rFonts w:asciiTheme="minorHAnsi" w:hAnsiTheme="minorHAnsi" w:cstheme="minorHAnsi"/>
          <w:sz w:val="22"/>
          <w:szCs w:val="22"/>
          <w:u w:val="single"/>
          <w:lang w:val="en"/>
        </w:rPr>
        <w:lastRenderedPageBreak/>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83120036"/>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8" w:name="_Toc83120037"/>
      <w:r>
        <w:rPr>
          <w:rFonts w:asciiTheme="minorHAnsi" w:hAnsiTheme="minorHAnsi" w:cstheme="minorHAnsi"/>
          <w:sz w:val="22"/>
          <w:szCs w:val="22"/>
          <w:u w:val="single"/>
          <w:lang w:val="en"/>
        </w:rPr>
        <w:t>Identity and contact details of the data controller and its representative</w:t>
      </w:r>
      <w:bookmarkEnd w:id="98"/>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99" w:name="_Toc83120038"/>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99"/>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0" w:name="_Toc83120039"/>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6"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40"/>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1"/>
      <w:r>
        <w:rPr>
          <w:rFonts w:asciiTheme="minorHAnsi" w:hAnsiTheme="minorHAnsi" w:cstheme="minorHAnsi"/>
          <w:sz w:val="22"/>
          <w:szCs w:val="22"/>
          <w:u w:val="single"/>
          <w:lang w:val="en"/>
        </w:rPr>
        <w:t>Contact details of the Data Protection Officer:</w:t>
      </w:r>
      <w:bookmarkEnd w:id="102"/>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83120042"/>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83120043"/>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CA62" w14:textId="77777777" w:rsidR="006535A5" w:rsidRDefault="006535A5">
      <w:r>
        <w:separator/>
      </w:r>
    </w:p>
  </w:endnote>
  <w:endnote w:type="continuationSeparator" w:id="0">
    <w:p w14:paraId="75C47AE1" w14:textId="77777777" w:rsidR="006535A5" w:rsidRDefault="0065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14125FC5"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0646586E"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0723C2F"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D492" w14:textId="77777777" w:rsidR="006535A5" w:rsidRDefault="006535A5">
      <w:r>
        <w:separator/>
      </w:r>
    </w:p>
  </w:footnote>
  <w:footnote w:type="continuationSeparator" w:id="0">
    <w:p w14:paraId="2068860B" w14:textId="77777777" w:rsidR="006535A5" w:rsidRDefault="006535A5">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20E6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722241">
    <w:abstractNumId w:val="0"/>
  </w:num>
  <w:num w:numId="2" w16cid:durableId="168301787">
    <w:abstractNumId w:val="8"/>
  </w:num>
  <w:num w:numId="3" w16cid:durableId="1285693798">
    <w:abstractNumId w:val="28"/>
  </w:num>
  <w:num w:numId="4" w16cid:durableId="180362175">
    <w:abstractNumId w:val="5"/>
  </w:num>
  <w:num w:numId="5" w16cid:durableId="828709474">
    <w:abstractNumId w:val="21"/>
  </w:num>
  <w:num w:numId="6" w16cid:durableId="983388559">
    <w:abstractNumId w:val="10"/>
  </w:num>
  <w:num w:numId="7" w16cid:durableId="979921731">
    <w:abstractNumId w:val="19"/>
  </w:num>
  <w:num w:numId="8" w16cid:durableId="816072629">
    <w:abstractNumId w:val="29"/>
  </w:num>
  <w:num w:numId="9" w16cid:durableId="1671718862">
    <w:abstractNumId w:val="13"/>
  </w:num>
  <w:num w:numId="10" w16cid:durableId="1678383438">
    <w:abstractNumId w:val="32"/>
  </w:num>
  <w:num w:numId="11" w16cid:durableId="374282520">
    <w:abstractNumId w:val="3"/>
  </w:num>
  <w:num w:numId="12" w16cid:durableId="1936665658">
    <w:abstractNumId w:val="12"/>
  </w:num>
  <w:num w:numId="13" w16cid:durableId="1037200658">
    <w:abstractNumId w:val="31"/>
  </w:num>
  <w:num w:numId="14" w16cid:durableId="228809309">
    <w:abstractNumId w:val="24"/>
  </w:num>
  <w:num w:numId="15" w16cid:durableId="220485787">
    <w:abstractNumId w:val="36"/>
  </w:num>
  <w:num w:numId="16" w16cid:durableId="458961889">
    <w:abstractNumId w:val="4"/>
  </w:num>
  <w:num w:numId="17" w16cid:durableId="1142384933">
    <w:abstractNumId w:val="23"/>
  </w:num>
  <w:num w:numId="18" w16cid:durableId="1860466402">
    <w:abstractNumId w:val="20"/>
  </w:num>
  <w:num w:numId="19" w16cid:durableId="937057233">
    <w:abstractNumId w:val="15"/>
  </w:num>
  <w:num w:numId="20" w16cid:durableId="1390306917">
    <w:abstractNumId w:val="7"/>
  </w:num>
  <w:num w:numId="21" w16cid:durableId="534080296">
    <w:abstractNumId w:val="6"/>
  </w:num>
  <w:num w:numId="22" w16cid:durableId="1862626708">
    <w:abstractNumId w:val="41"/>
  </w:num>
  <w:num w:numId="23" w16cid:durableId="1264144905">
    <w:abstractNumId w:val="1"/>
  </w:num>
  <w:num w:numId="24" w16cid:durableId="209850063">
    <w:abstractNumId w:val="16"/>
  </w:num>
  <w:num w:numId="25" w16cid:durableId="10038082">
    <w:abstractNumId w:val="37"/>
  </w:num>
  <w:num w:numId="26" w16cid:durableId="374621172">
    <w:abstractNumId w:val="17"/>
  </w:num>
  <w:num w:numId="27" w16cid:durableId="271593103">
    <w:abstractNumId w:val="42"/>
  </w:num>
  <w:num w:numId="28" w16cid:durableId="1803498718">
    <w:abstractNumId w:val="33"/>
  </w:num>
  <w:num w:numId="29" w16cid:durableId="2059476208">
    <w:abstractNumId w:val="38"/>
  </w:num>
  <w:num w:numId="30" w16cid:durableId="1360742910">
    <w:abstractNumId w:val="27"/>
  </w:num>
  <w:num w:numId="31" w16cid:durableId="1647275006">
    <w:abstractNumId w:val="35"/>
  </w:num>
  <w:num w:numId="32" w16cid:durableId="842739144">
    <w:abstractNumId w:val="39"/>
  </w:num>
  <w:num w:numId="33" w16cid:durableId="1018115627">
    <w:abstractNumId w:val="11"/>
  </w:num>
  <w:num w:numId="34" w16cid:durableId="853306925">
    <w:abstractNumId w:val="18"/>
  </w:num>
  <w:num w:numId="35" w16cid:durableId="201134412">
    <w:abstractNumId w:val="9"/>
  </w:num>
  <w:num w:numId="36" w16cid:durableId="1521042458">
    <w:abstractNumId w:val="26"/>
  </w:num>
  <w:num w:numId="37" w16cid:durableId="428308286">
    <w:abstractNumId w:val="25"/>
  </w:num>
  <w:num w:numId="38" w16cid:durableId="787971410">
    <w:abstractNumId w:val="40"/>
  </w:num>
  <w:num w:numId="39" w16cid:durableId="2039159632">
    <w:abstractNumId w:val="43"/>
  </w:num>
  <w:num w:numId="40" w16cid:durableId="1612591729">
    <w:abstractNumId w:val="14"/>
  </w:num>
  <w:num w:numId="41" w16cid:durableId="37821400">
    <w:abstractNumId w:val="30"/>
  </w:num>
  <w:num w:numId="42" w16cid:durableId="1096631010">
    <w:abstractNumId w:val="22"/>
  </w:num>
  <w:num w:numId="43" w16cid:durableId="147019973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662"/>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C50"/>
    <w:rsid w:val="00163FDE"/>
    <w:rsid w:val="001646A7"/>
    <w:rsid w:val="00164BDC"/>
    <w:rsid w:val="00164FA2"/>
    <w:rsid w:val="00166710"/>
    <w:rsid w:val="00167201"/>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555"/>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27AB"/>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59CE"/>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1F2C"/>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B46"/>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0AC5"/>
    <w:rsid w:val="00641B9F"/>
    <w:rsid w:val="0064472B"/>
    <w:rsid w:val="00644E41"/>
    <w:rsid w:val="00644EB5"/>
    <w:rsid w:val="006455C4"/>
    <w:rsid w:val="00645689"/>
    <w:rsid w:val="006460A8"/>
    <w:rsid w:val="00647D2E"/>
    <w:rsid w:val="00650AC2"/>
    <w:rsid w:val="00652D64"/>
    <w:rsid w:val="006535A5"/>
    <w:rsid w:val="00653D62"/>
    <w:rsid w:val="00653E49"/>
    <w:rsid w:val="00656639"/>
    <w:rsid w:val="006601D8"/>
    <w:rsid w:val="006619E6"/>
    <w:rsid w:val="00665A55"/>
    <w:rsid w:val="0067657D"/>
    <w:rsid w:val="006779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859"/>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27FFA"/>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1D9"/>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1DED"/>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0AB"/>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1A1F"/>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14A3"/>
    <w:rsid w:val="00C92420"/>
    <w:rsid w:val="00C92F9E"/>
    <w:rsid w:val="00C935EA"/>
    <w:rsid w:val="00C9365B"/>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490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6D4F"/>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FollowedHyperlink">
    <w:name w:val="FollowedHyperlink"/>
    <w:basedOn w:val="DefaultParagraphFont"/>
    <w:uiPriority w:val="99"/>
    <w:semiHidden/>
    <w:unhideWhenUsed/>
    <w:rsid w:val="00234555"/>
    <w:rPr>
      <w:color w:val="800080" w:themeColor="followedHyperlink"/>
      <w:u w:val="single"/>
    </w:rPr>
  </w:style>
  <w:style w:type="character" w:customStyle="1" w:styleId="ListParagraphChar">
    <w:name w:val="List Paragraph Char"/>
    <w:basedOn w:val="DefaultParagraphFont"/>
    <w:link w:val="ListParagraph"/>
    <w:uiPriority w:val="34"/>
    <w:rsid w:val="006779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9060-E63E-4D49-80C4-C116524D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7</TotalTime>
  <Pages>12</Pages>
  <Words>4458</Words>
  <Characters>25412</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29811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Teo Mzhavia</cp:lastModifiedBy>
  <cp:revision>4</cp:revision>
  <cp:lastPrinted>2016-03-24T23:23:00Z</cp:lastPrinted>
  <dcterms:created xsi:type="dcterms:W3CDTF">2025-10-03T13:37:00Z</dcterms:created>
  <dcterms:modified xsi:type="dcterms:W3CDTF">2025-10-06T14:34:00Z</dcterms:modified>
</cp:coreProperties>
</file>