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FDE78E" w14:textId="77777777" w:rsidR="00D16C5B" w:rsidRDefault="00D16C5B">
      <w:pPr>
        <w:ind w:hanging="851"/>
        <w:rPr>
          <w:rFonts w:ascii="Arial" w:hAnsi="Arial" w:cs="Arial"/>
          <w:sz w:val="20"/>
          <w:szCs w:val="20"/>
        </w:rPr>
      </w:pPr>
    </w:p>
    <w:p w14:paraId="21A8FA12" w14:textId="77777777" w:rsidR="00D16C5B" w:rsidRDefault="00942DA9">
      <w:pPr>
        <w:pBdr>
          <w:top w:val="single" w:sz="4" w:space="1" w:color="auto"/>
          <w:left w:val="single" w:sz="4" w:space="4" w:color="auto"/>
          <w:bottom w:val="single" w:sz="4" w:space="1" w:color="auto"/>
          <w:right w:val="single" w:sz="4" w:space="4" w:color="auto"/>
        </w:pBdr>
        <w:shd w:val="clear" w:color="auto" w:fill="0000CC"/>
        <w:jc w:val="center"/>
        <w:rPr>
          <w:rFonts w:ascii="Arial" w:hAnsi="Arial" w:cs="Arial"/>
          <w:b/>
          <w:bCs/>
          <w:caps/>
          <w:sz w:val="28"/>
          <w:szCs w:val="28"/>
        </w:rPr>
      </w:pPr>
      <w:r>
        <w:rPr>
          <w:rFonts w:ascii="Arial" w:hAnsi="Arial" w:cs="Arial"/>
          <w:b/>
          <w:bCs/>
          <w:caps/>
          <w:sz w:val="28"/>
          <w:szCs w:val="28"/>
        </w:rPr>
        <w:t>NOTICE EXPLICATIVE A L’ATTENTION DES MAITREs D’OUVR</w:t>
      </w:r>
      <w:r w:rsidR="00A23699">
        <w:rPr>
          <w:rFonts w:ascii="Arial" w:hAnsi="Arial" w:cs="Arial"/>
          <w:b/>
          <w:bCs/>
          <w:caps/>
          <w:sz w:val="28"/>
          <w:szCs w:val="28"/>
        </w:rPr>
        <w:t>AGES CONCERNANT LES annexe 1 à 2</w:t>
      </w:r>
      <w:r>
        <w:rPr>
          <w:rFonts w:ascii="Arial" w:hAnsi="Arial" w:cs="Arial"/>
          <w:b/>
          <w:bCs/>
          <w:caps/>
          <w:sz w:val="28"/>
          <w:szCs w:val="28"/>
        </w:rPr>
        <w:t xml:space="preserve"> du C.C.A.P. </w:t>
      </w:r>
    </w:p>
    <w:p w14:paraId="6A8E42F4" w14:textId="77777777" w:rsidR="00D16C5B" w:rsidRDefault="00942DA9">
      <w:pPr>
        <w:pBdr>
          <w:top w:val="single" w:sz="4" w:space="1" w:color="auto"/>
          <w:left w:val="single" w:sz="4" w:space="4" w:color="auto"/>
          <w:bottom w:val="single" w:sz="4" w:space="1" w:color="auto"/>
          <w:right w:val="single" w:sz="4" w:space="4" w:color="auto"/>
        </w:pBdr>
        <w:shd w:val="clear" w:color="auto" w:fill="0000CC"/>
        <w:jc w:val="center"/>
        <w:rPr>
          <w:rFonts w:ascii="Arial" w:hAnsi="Arial" w:cs="Arial"/>
          <w:b/>
          <w:bCs/>
          <w:caps/>
          <w:sz w:val="28"/>
          <w:szCs w:val="28"/>
        </w:rPr>
      </w:pPr>
      <w:r>
        <w:rPr>
          <w:rFonts w:ascii="Arial" w:hAnsi="Arial" w:cs="Arial"/>
          <w:b/>
          <w:bCs/>
          <w:caps/>
          <w:sz w:val="28"/>
          <w:szCs w:val="28"/>
        </w:rPr>
        <w:t>DES MARCHES DE MAITRISE D’œuvre</w:t>
      </w:r>
    </w:p>
    <w:p w14:paraId="6EAB703E" w14:textId="77777777" w:rsidR="00D16C5B" w:rsidRDefault="00D16C5B">
      <w:pPr>
        <w:rPr>
          <w:rFonts w:ascii="Arial" w:hAnsi="Arial" w:cs="Arial"/>
          <w:sz w:val="20"/>
          <w:szCs w:val="20"/>
        </w:rPr>
      </w:pPr>
    </w:p>
    <w:p w14:paraId="41FDE00D" w14:textId="77777777" w:rsidR="00D16C5B" w:rsidRDefault="00D16C5B">
      <w:pPr>
        <w:rPr>
          <w:rFonts w:ascii="Arial" w:hAnsi="Arial" w:cs="Arial"/>
          <w:sz w:val="20"/>
          <w:szCs w:val="20"/>
        </w:rPr>
      </w:pPr>
    </w:p>
    <w:p w14:paraId="4389315B" w14:textId="77777777" w:rsidR="00D16C5B" w:rsidRDefault="00942DA9">
      <w:pPr>
        <w:pBdr>
          <w:top w:val="single" w:sz="4" w:space="0" w:color="auto"/>
          <w:left w:val="single" w:sz="4" w:space="4" w:color="auto"/>
          <w:bottom w:val="single" w:sz="4" w:space="1" w:color="auto"/>
          <w:right w:val="single" w:sz="4" w:space="4" w:color="auto"/>
        </w:pBdr>
        <w:shd w:val="clear" w:color="auto" w:fill="0000CC"/>
        <w:overflowPunct w:val="0"/>
        <w:autoSpaceDE w:val="0"/>
        <w:autoSpaceDN w:val="0"/>
        <w:adjustRightInd w:val="0"/>
        <w:jc w:val="both"/>
        <w:textAlignment w:val="baseline"/>
        <w:outlineLvl w:val="2"/>
        <w:rPr>
          <w:rFonts w:ascii="Arial" w:hAnsi="Arial" w:cs="Arial"/>
          <w:b/>
          <w:u w:color="FFFFFF" w:themeColor="background1"/>
        </w:rPr>
      </w:pPr>
      <w:r>
        <w:rPr>
          <w:rFonts w:ascii="Arial" w:hAnsi="Arial" w:cs="Arial"/>
          <w:b/>
          <w:u w:color="FFFFFF" w:themeColor="background1"/>
        </w:rPr>
        <w:t>ANNEXE 1 – Documents à fournir à toutes les phases</w:t>
      </w:r>
    </w:p>
    <w:p w14:paraId="013759B6" w14:textId="77777777" w:rsidR="00D16C5B" w:rsidRDefault="00D16C5B">
      <w:pPr>
        <w:rPr>
          <w:rFonts w:ascii="Arial" w:eastAsiaTheme="minorHAnsi" w:hAnsi="Arial" w:cstheme="minorBidi"/>
          <w:i/>
          <w:sz w:val="20"/>
          <w:szCs w:val="20"/>
          <w:u w:color="FFFFFF" w:themeColor="background1"/>
          <w:lang w:eastAsia="en-US"/>
        </w:rPr>
      </w:pPr>
    </w:p>
    <w:p w14:paraId="437952F0" w14:textId="2011187A" w:rsidR="00D16C5B" w:rsidRDefault="00942DA9" w:rsidP="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Les documents seront remis en format papier en 3 exemplaires : 1 pour la Caisse nationale, 1 pour l’organisme local, et 1 pour l’UCANSS</w:t>
      </w:r>
      <w:r w:rsidR="00061721">
        <w:rPr>
          <w:rFonts w:ascii="Arial" w:eastAsiaTheme="minorHAnsi" w:hAnsi="Arial" w:cstheme="minorBidi"/>
          <w:i/>
          <w:u w:color="FFFFFF" w:themeColor="background1"/>
          <w:lang w:eastAsia="en-US"/>
        </w:rPr>
        <w:t>.</w:t>
      </w:r>
    </w:p>
    <w:p w14:paraId="206FA765" w14:textId="77777777" w:rsidR="00D16C5B" w:rsidRDefault="00D16C5B">
      <w:pPr>
        <w:rPr>
          <w:rFonts w:ascii="Arial" w:hAnsi="Arial" w:cs="Arial"/>
        </w:rPr>
      </w:pPr>
    </w:p>
    <w:p w14:paraId="76758356" w14:textId="3F3B357C" w:rsidR="00D16C5B" w:rsidRDefault="00942DA9">
      <w:pPr>
        <w:pBdr>
          <w:top w:val="single" w:sz="4" w:space="0" w:color="auto"/>
          <w:left w:val="single" w:sz="4" w:space="4" w:color="auto"/>
          <w:bottom w:val="single" w:sz="4" w:space="1" w:color="auto"/>
          <w:right w:val="single" w:sz="4" w:space="4" w:color="auto"/>
        </w:pBdr>
        <w:shd w:val="clear" w:color="auto" w:fill="0000CC"/>
        <w:overflowPunct w:val="0"/>
        <w:autoSpaceDE w:val="0"/>
        <w:autoSpaceDN w:val="0"/>
        <w:adjustRightInd w:val="0"/>
        <w:jc w:val="both"/>
        <w:textAlignment w:val="baseline"/>
        <w:outlineLvl w:val="2"/>
        <w:rPr>
          <w:rFonts w:ascii="Arial" w:hAnsi="Arial" w:cs="Arial"/>
          <w:b/>
          <w:u w:color="FFFFFF" w:themeColor="background1"/>
        </w:rPr>
      </w:pPr>
      <w:r>
        <w:rPr>
          <w:rFonts w:ascii="Arial" w:hAnsi="Arial" w:cs="Arial"/>
          <w:b/>
          <w:u w:color="FFFFFF" w:themeColor="background1"/>
        </w:rPr>
        <w:t>ANNEXE 2 - Contenu des éléments de mission de la Maitrise d’</w:t>
      </w:r>
      <w:r w:rsidR="00A50718">
        <w:rPr>
          <w:rFonts w:ascii="Arial" w:hAnsi="Arial" w:cs="Arial"/>
          <w:b/>
          <w:u w:color="FFFFFF" w:themeColor="background1"/>
        </w:rPr>
        <w:t>Œuvre</w:t>
      </w:r>
    </w:p>
    <w:p w14:paraId="153C7C8C" w14:textId="77777777" w:rsidR="00D16C5B" w:rsidRDefault="00D16C5B">
      <w:pPr>
        <w:rPr>
          <w:rFonts w:ascii="Arial" w:hAnsi="Arial" w:cs="Arial"/>
          <w:sz w:val="20"/>
          <w:szCs w:val="20"/>
          <w:u w:color="FFFFFF" w:themeColor="background1"/>
        </w:rPr>
      </w:pPr>
    </w:p>
    <w:p w14:paraId="4C82B58A" w14:textId="0A3F0775"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 xml:space="preserve">Vérifier que les missions sont harmonisées dans tous les documents et adapter les missions au projet, éventuellement avec l’aide des chargés d’affaires immobilières (pour les dossiers suivis par le département </w:t>
      </w:r>
      <w:r w:rsidR="00A50718">
        <w:rPr>
          <w:rFonts w:ascii="Arial" w:eastAsiaTheme="minorHAnsi" w:hAnsi="Arial" w:cstheme="minorBidi"/>
          <w:i/>
          <w:u w:color="FFFFFF" w:themeColor="background1"/>
          <w:lang w:eastAsia="en-US"/>
        </w:rPr>
        <w:t xml:space="preserve">immobilier </w:t>
      </w:r>
      <w:r>
        <w:rPr>
          <w:rFonts w:ascii="Arial" w:eastAsiaTheme="minorHAnsi" w:hAnsi="Arial" w:cstheme="minorBidi"/>
          <w:i/>
          <w:u w:color="FFFFFF" w:themeColor="background1"/>
          <w:lang w:eastAsia="en-US"/>
        </w:rPr>
        <w:t>de l’UCANSS), en supprimant du descriptif les missions « complémentaires » non choisies.</w:t>
      </w:r>
    </w:p>
    <w:p w14:paraId="4D7B4F31" w14:textId="77777777" w:rsidR="00D16C5B" w:rsidRDefault="00D16C5B">
      <w:pPr>
        <w:jc w:val="both"/>
        <w:rPr>
          <w:rFonts w:ascii="Arial" w:eastAsiaTheme="minorHAnsi" w:hAnsi="Arial" w:cstheme="minorBidi"/>
          <w:i/>
          <w:u w:color="FFFFFF" w:themeColor="background1"/>
          <w:lang w:eastAsia="en-US"/>
        </w:rPr>
      </w:pPr>
    </w:p>
    <w:p w14:paraId="0E99DF66"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Non contextuelle et non exhaustive, il appartiendra au maître d’ouvrage de modifier/compléter cette liste pour l’adapter au projet.</w:t>
      </w:r>
    </w:p>
    <w:p w14:paraId="401C024E" w14:textId="77777777" w:rsidR="00D16C5B" w:rsidRDefault="00D16C5B">
      <w:pPr>
        <w:rPr>
          <w:rFonts w:ascii="Arial" w:hAnsi="Arial" w:cs="Arial"/>
          <w:u w:color="FFFFFF" w:themeColor="background1"/>
        </w:rPr>
      </w:pPr>
    </w:p>
    <w:p w14:paraId="0D91314C" w14:textId="77777777" w:rsidR="00D16C5B" w:rsidRDefault="00942DA9">
      <w:pPr>
        <w:pBdr>
          <w:top w:val="single" w:sz="4" w:space="0" w:color="auto"/>
          <w:left w:val="single" w:sz="4" w:space="4" w:color="auto"/>
          <w:bottom w:val="single" w:sz="4" w:space="1" w:color="auto"/>
          <w:right w:val="single" w:sz="4" w:space="4" w:color="auto"/>
        </w:pBdr>
        <w:shd w:val="clear" w:color="auto" w:fill="0000CC"/>
        <w:overflowPunct w:val="0"/>
        <w:autoSpaceDE w:val="0"/>
        <w:autoSpaceDN w:val="0"/>
        <w:adjustRightInd w:val="0"/>
        <w:jc w:val="both"/>
        <w:textAlignment w:val="baseline"/>
        <w:outlineLvl w:val="2"/>
        <w:rPr>
          <w:rFonts w:ascii="Arial" w:hAnsi="Arial" w:cs="Arial"/>
          <w:b/>
          <w:u w:color="FFFFFF" w:themeColor="background1"/>
        </w:rPr>
      </w:pPr>
      <w:r>
        <w:rPr>
          <w:rFonts w:ascii="Arial" w:hAnsi="Arial" w:cs="Arial"/>
          <w:b/>
          <w:u w:color="FFFFFF" w:themeColor="background1"/>
        </w:rPr>
        <w:t xml:space="preserve">Mission Esquisse (ESQ)  </w:t>
      </w:r>
      <w:r>
        <w:rPr>
          <w:rFonts w:ascii="Arial" w:hAnsi="Arial" w:cs="Arial"/>
          <w:b/>
          <w:u w:color="FFFFFF" w:themeColor="background1"/>
        </w:rPr>
        <w:tab/>
        <w:t xml:space="preserve"> </w:t>
      </w:r>
    </w:p>
    <w:p w14:paraId="161CE49D" w14:textId="77777777" w:rsidR="00D16C5B" w:rsidRDefault="00D16C5B">
      <w:pPr>
        <w:rPr>
          <w:rFonts w:ascii="Arial" w:hAnsi="Arial" w:cs="Arial"/>
          <w:sz w:val="20"/>
          <w:szCs w:val="20"/>
          <w:u w:color="FFFFFF" w:themeColor="background1"/>
        </w:rPr>
      </w:pPr>
    </w:p>
    <w:p w14:paraId="6D7B10C2"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Liste des pièces à transmettre par la Maitrise d’œuvre à  préciser selon le projet notamment en cas de concours (Esquisse, Esquisse +, …)</w:t>
      </w:r>
    </w:p>
    <w:p w14:paraId="253EC562" w14:textId="77777777" w:rsidR="00D16C5B" w:rsidRDefault="00D16C5B">
      <w:pPr>
        <w:rPr>
          <w:rFonts w:ascii="Arial" w:hAnsi="Arial" w:cs="Arial"/>
          <w:u w:color="FFFFFF" w:themeColor="background1"/>
        </w:rPr>
      </w:pPr>
    </w:p>
    <w:p w14:paraId="74271172" w14:textId="77777777" w:rsidR="00D16C5B" w:rsidRDefault="00942DA9">
      <w:pPr>
        <w:pBdr>
          <w:top w:val="single" w:sz="4" w:space="0" w:color="auto"/>
          <w:left w:val="single" w:sz="4" w:space="4" w:color="auto"/>
          <w:bottom w:val="single" w:sz="4" w:space="1" w:color="auto"/>
          <w:right w:val="single" w:sz="4" w:space="4" w:color="auto"/>
        </w:pBdr>
        <w:shd w:val="clear" w:color="auto" w:fill="0000CC"/>
        <w:overflowPunct w:val="0"/>
        <w:autoSpaceDE w:val="0"/>
        <w:autoSpaceDN w:val="0"/>
        <w:adjustRightInd w:val="0"/>
        <w:jc w:val="both"/>
        <w:textAlignment w:val="baseline"/>
        <w:outlineLvl w:val="2"/>
        <w:rPr>
          <w:rFonts w:ascii="Arial" w:hAnsi="Arial" w:cs="Arial"/>
          <w:b/>
          <w:u w:color="FFFFFF" w:themeColor="background1"/>
        </w:rPr>
      </w:pPr>
      <w:r>
        <w:rPr>
          <w:rFonts w:ascii="Arial" w:hAnsi="Arial" w:cs="Arial"/>
          <w:b/>
          <w:u w:color="FFFFFF" w:themeColor="background1"/>
        </w:rPr>
        <w:t xml:space="preserve">Mission Diagnostic (DIA)  </w:t>
      </w:r>
      <w:r>
        <w:rPr>
          <w:rFonts w:ascii="Arial" w:hAnsi="Arial" w:cs="Arial"/>
          <w:b/>
          <w:u w:color="FFFFFF" w:themeColor="background1"/>
        </w:rPr>
        <w:tab/>
        <w:t xml:space="preserve"> </w:t>
      </w:r>
    </w:p>
    <w:p w14:paraId="19D5423F" w14:textId="77777777" w:rsidR="00D16C5B" w:rsidRDefault="00D16C5B">
      <w:pPr>
        <w:ind w:left="-142"/>
        <w:jc w:val="both"/>
        <w:rPr>
          <w:rFonts w:ascii="Arial" w:hAnsi="Arial" w:cs="Arial"/>
          <w:sz w:val="20"/>
          <w:szCs w:val="20"/>
          <w:u w:color="FFFFFF" w:themeColor="background1"/>
        </w:rPr>
      </w:pPr>
    </w:p>
    <w:p w14:paraId="255B19DE"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 xml:space="preserve">Élément de mission à supprimer dans le cas des projets neufs </w:t>
      </w:r>
    </w:p>
    <w:p w14:paraId="32FC2F38"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Cet élément de mission n’est pas obligatoire et ne sera pas retenu si l’objet de la mission défini ci-après a déjà été réalisé. Il peut être traité séparément du marché de Maîtrise d’Œuvre.</w:t>
      </w:r>
    </w:p>
    <w:p w14:paraId="0FAC3B75" w14:textId="77777777" w:rsidR="00D16C5B" w:rsidRDefault="00D16C5B">
      <w:pPr>
        <w:jc w:val="both"/>
        <w:rPr>
          <w:rFonts w:ascii="Arial" w:eastAsiaTheme="minorHAnsi" w:hAnsi="Arial" w:cstheme="minorBidi"/>
          <w:i/>
          <w:u w:color="FFFFFF" w:themeColor="background1"/>
          <w:lang w:eastAsia="en-US"/>
        </w:rPr>
      </w:pPr>
    </w:p>
    <w:p w14:paraId="5D71AF40"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 xml:space="preserve">Liste de pièces à transmettre par la Maîtrise d’Œuvre à préciser selon l’objet du projet. </w:t>
      </w:r>
    </w:p>
    <w:p w14:paraId="6D5D097B" w14:textId="77777777" w:rsidR="00D16C5B" w:rsidRDefault="00D16C5B">
      <w:pPr>
        <w:jc w:val="both"/>
        <w:rPr>
          <w:rFonts w:ascii="Arial" w:eastAsiaTheme="minorHAnsi" w:hAnsi="Arial" w:cstheme="minorBidi"/>
          <w:i/>
          <w:u w:color="FFFFFF" w:themeColor="background1"/>
          <w:lang w:eastAsia="en-US"/>
        </w:rPr>
      </w:pPr>
    </w:p>
    <w:p w14:paraId="2541AEB8"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 xml:space="preserve">Joindre, renseigner et compléter suivant besoins le document en annexe 3 « Documents nécessaires à l’établissement de l’état des lieux » </w:t>
      </w:r>
    </w:p>
    <w:p w14:paraId="63D88635" w14:textId="77777777" w:rsidR="00D16C5B" w:rsidRDefault="00D16C5B">
      <w:pPr>
        <w:rPr>
          <w:rFonts w:ascii="Arial" w:hAnsi="Arial" w:cs="Arial"/>
          <w:u w:color="FFFFFF" w:themeColor="background1"/>
        </w:rPr>
      </w:pPr>
    </w:p>
    <w:p w14:paraId="04A19665" w14:textId="77777777" w:rsidR="00D16C5B" w:rsidRDefault="00942DA9">
      <w:pPr>
        <w:pBdr>
          <w:top w:val="single" w:sz="4" w:space="0" w:color="auto"/>
          <w:left w:val="single" w:sz="4" w:space="4" w:color="auto"/>
          <w:bottom w:val="single" w:sz="4" w:space="1" w:color="auto"/>
          <w:right w:val="single" w:sz="4" w:space="4" w:color="auto"/>
        </w:pBdr>
        <w:shd w:val="clear" w:color="auto" w:fill="0000CC"/>
        <w:overflowPunct w:val="0"/>
        <w:autoSpaceDE w:val="0"/>
        <w:autoSpaceDN w:val="0"/>
        <w:adjustRightInd w:val="0"/>
        <w:jc w:val="both"/>
        <w:textAlignment w:val="baseline"/>
        <w:outlineLvl w:val="2"/>
        <w:rPr>
          <w:rFonts w:ascii="Arial" w:hAnsi="Arial" w:cs="Arial"/>
          <w:b/>
          <w:u w:color="FFFFFF" w:themeColor="background1"/>
        </w:rPr>
      </w:pPr>
      <w:r>
        <w:rPr>
          <w:rFonts w:ascii="Arial" w:hAnsi="Arial" w:cs="Arial"/>
          <w:b/>
          <w:u w:color="FFFFFF" w:themeColor="background1"/>
        </w:rPr>
        <w:t>Mission Avant-projet Sommaire (APS)</w:t>
      </w:r>
    </w:p>
    <w:p w14:paraId="46134CD3" w14:textId="77777777" w:rsidR="00D16C5B" w:rsidRDefault="00D16C5B">
      <w:pPr>
        <w:rPr>
          <w:rFonts w:ascii="Arial" w:hAnsi="Arial" w:cs="Arial"/>
          <w:sz w:val="20"/>
          <w:szCs w:val="20"/>
          <w:u w:color="FFFFFF" w:themeColor="background1"/>
        </w:rPr>
      </w:pPr>
    </w:p>
    <w:p w14:paraId="6D7713F7"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En complément des programmes technique et fonctionnel de l’opération le maître d’ouvrage transmet au prestataire les documents suivants :</w:t>
      </w:r>
    </w:p>
    <w:p w14:paraId="0C45D85B"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 xml:space="preserve">- Le rapport initial du bureau de contrôle (R.I.C.T.), </w:t>
      </w:r>
    </w:p>
    <w:p w14:paraId="6E89C4A4"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 xml:space="preserve">- Le plan de Coordination du système de Sécurité Incendie (P.C.S.S.I.), si la mission complémentaire SSI n’est pas confiée à la MOE. </w:t>
      </w:r>
    </w:p>
    <w:p w14:paraId="3649C083"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 La notice d’ordonnancement, de pilotage et ce coordination (O.P.C.), si la mission complémentaire OPC n’est pas confiée à la MOE.</w:t>
      </w:r>
    </w:p>
    <w:p w14:paraId="466B4206"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 xml:space="preserve">- Le plan général de coordination de sécurité et de protection de la santé (P.G.C.S.P.S.). </w:t>
      </w:r>
    </w:p>
    <w:p w14:paraId="1BD0B141"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N.B. Les remarques formulées dans ces documents devront être prise en compte par le prestataire dans le cadre de la réalisation de l’élément de mission suivant, à savoir, l’APD.</w:t>
      </w:r>
    </w:p>
    <w:p w14:paraId="302CD29F" w14:textId="77777777" w:rsidR="00D16C5B" w:rsidRDefault="00D16C5B">
      <w:pPr>
        <w:rPr>
          <w:rFonts w:ascii="Arial" w:hAnsi="Arial" w:cs="Arial"/>
          <w:u w:color="FFFFFF" w:themeColor="background1"/>
        </w:rPr>
      </w:pPr>
    </w:p>
    <w:p w14:paraId="4298E698" w14:textId="77777777" w:rsidR="00D16C5B" w:rsidRDefault="00942DA9">
      <w:pPr>
        <w:pBdr>
          <w:top w:val="single" w:sz="4" w:space="0" w:color="auto"/>
          <w:left w:val="single" w:sz="4" w:space="4" w:color="auto"/>
          <w:bottom w:val="single" w:sz="4" w:space="1" w:color="auto"/>
          <w:right w:val="single" w:sz="4" w:space="4" w:color="auto"/>
        </w:pBdr>
        <w:shd w:val="clear" w:color="auto" w:fill="0000CC"/>
        <w:overflowPunct w:val="0"/>
        <w:autoSpaceDE w:val="0"/>
        <w:autoSpaceDN w:val="0"/>
        <w:adjustRightInd w:val="0"/>
        <w:jc w:val="both"/>
        <w:textAlignment w:val="baseline"/>
        <w:outlineLvl w:val="2"/>
        <w:rPr>
          <w:rFonts w:ascii="Arial" w:hAnsi="Arial" w:cs="Arial"/>
          <w:b/>
          <w:u w:color="FFFFFF" w:themeColor="background1"/>
        </w:rPr>
      </w:pPr>
      <w:r>
        <w:rPr>
          <w:rFonts w:ascii="Arial" w:hAnsi="Arial" w:cs="Arial"/>
          <w:b/>
          <w:u w:color="FFFFFF" w:themeColor="background1"/>
        </w:rPr>
        <w:t>Mission Avant-projet Définitif (APD)</w:t>
      </w:r>
    </w:p>
    <w:p w14:paraId="7ED31DF8" w14:textId="77777777" w:rsidR="00D16C5B" w:rsidRDefault="00D16C5B">
      <w:pPr>
        <w:rPr>
          <w:rFonts w:ascii="Arial" w:hAnsi="Arial" w:cs="Arial"/>
          <w:sz w:val="20"/>
          <w:szCs w:val="20"/>
          <w:u w:color="FFFFFF" w:themeColor="background1"/>
        </w:rPr>
      </w:pPr>
    </w:p>
    <w:p w14:paraId="0431C19D"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En complément des programmes technique et fonctionnel de l’opération le maître d’ouvrage transmet au prestataire les documents suivants :</w:t>
      </w:r>
    </w:p>
    <w:p w14:paraId="03DD43BC"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lastRenderedPageBreak/>
        <w:t xml:space="preserve">- Le rapport initial du bureau de contrôle (R.I.C.T.), </w:t>
      </w:r>
    </w:p>
    <w:p w14:paraId="5A7C3067"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 xml:space="preserve">- Le plan de Coordination du système de Sécurité Incendie (P.C.S.S.I.), si la mission complémentaire SSI n’est pas confiée à la MOE. </w:t>
      </w:r>
    </w:p>
    <w:p w14:paraId="6959C698"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 La notice d’ordonnancement, de pilotage et ce coordination (O.P.C.), si la mission complémentaire OPC n’est pas confiée à la MOE.</w:t>
      </w:r>
    </w:p>
    <w:p w14:paraId="342493A1"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 xml:space="preserve">- Le plan général de coordination de sécurité et de protection de la santé (P.G.C.S.P.S.). </w:t>
      </w:r>
    </w:p>
    <w:p w14:paraId="7A405C3B"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N.B. Les remarques formulées dans ces documents devront être prise en compte par le prestataire dans le cadre de la réalisation de l’élément de mission suivant, à savoir, le PRO</w:t>
      </w:r>
    </w:p>
    <w:p w14:paraId="121F2DFC" w14:textId="77777777" w:rsidR="00D16C5B" w:rsidRDefault="00D16C5B">
      <w:pPr>
        <w:jc w:val="both"/>
        <w:rPr>
          <w:rFonts w:ascii="Arial" w:eastAsiaTheme="minorHAnsi" w:hAnsi="Arial" w:cstheme="minorBidi"/>
          <w:u w:color="FFFFFF" w:themeColor="background1"/>
          <w:lang w:eastAsia="en-US"/>
        </w:rPr>
      </w:pPr>
    </w:p>
    <w:p w14:paraId="5133DB69" w14:textId="77777777" w:rsidR="00D16C5B" w:rsidRDefault="00942DA9">
      <w:pPr>
        <w:pBdr>
          <w:top w:val="single" w:sz="4" w:space="0" w:color="auto"/>
          <w:left w:val="single" w:sz="4" w:space="4" w:color="auto"/>
          <w:bottom w:val="single" w:sz="4" w:space="1" w:color="auto"/>
          <w:right w:val="single" w:sz="4" w:space="4" w:color="auto"/>
        </w:pBdr>
        <w:shd w:val="clear" w:color="auto" w:fill="0000CC"/>
        <w:overflowPunct w:val="0"/>
        <w:autoSpaceDE w:val="0"/>
        <w:autoSpaceDN w:val="0"/>
        <w:adjustRightInd w:val="0"/>
        <w:jc w:val="both"/>
        <w:textAlignment w:val="baseline"/>
        <w:outlineLvl w:val="2"/>
        <w:rPr>
          <w:rFonts w:ascii="Arial" w:hAnsi="Arial" w:cs="Arial"/>
          <w:b/>
          <w:u w:color="FFFFFF" w:themeColor="background1"/>
        </w:rPr>
      </w:pPr>
      <w:r>
        <w:rPr>
          <w:rFonts w:ascii="Arial" w:hAnsi="Arial" w:cs="Arial"/>
          <w:b/>
          <w:u w:color="FFFFFF" w:themeColor="background1"/>
        </w:rPr>
        <w:t>Mission études de projet (PRO)</w:t>
      </w:r>
    </w:p>
    <w:p w14:paraId="4D753432" w14:textId="77777777" w:rsidR="00D16C5B" w:rsidRDefault="00D16C5B">
      <w:pPr>
        <w:jc w:val="both"/>
        <w:rPr>
          <w:rFonts w:ascii="Arial" w:eastAsiaTheme="minorHAnsi" w:hAnsi="Arial" w:cstheme="minorBidi"/>
          <w:i/>
          <w:sz w:val="20"/>
          <w:szCs w:val="20"/>
          <w:u w:color="FFFFFF" w:themeColor="background1"/>
          <w:lang w:eastAsia="en-US"/>
        </w:rPr>
      </w:pPr>
    </w:p>
    <w:p w14:paraId="24602EF8" w14:textId="77777777" w:rsidR="00D16C5B" w:rsidRDefault="00942DA9">
      <w:pPr>
        <w:tabs>
          <w:tab w:val="left" w:pos="851"/>
        </w:tabs>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Les documents graphiques doivent permettre aux entreprises de localiser et quantifier sans ambiguïté les ouvrages décrits au CCTP.</w:t>
      </w:r>
    </w:p>
    <w:p w14:paraId="18F69A8A" w14:textId="77777777" w:rsidR="00D16C5B" w:rsidRDefault="00D16C5B">
      <w:pPr>
        <w:tabs>
          <w:tab w:val="left" w:pos="851"/>
        </w:tabs>
        <w:jc w:val="both"/>
        <w:rPr>
          <w:rFonts w:ascii="Arial" w:eastAsiaTheme="minorHAnsi" w:hAnsi="Arial" w:cstheme="minorBidi"/>
          <w:i/>
          <w:u w:color="FFFFFF" w:themeColor="background1"/>
          <w:lang w:eastAsia="en-US"/>
        </w:rPr>
      </w:pPr>
    </w:p>
    <w:p w14:paraId="47936DAF"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En complément des programmes technique et fonctionnel de l’opération le maître d’ouvrage transmet au prestataire les documents suivants :</w:t>
      </w:r>
    </w:p>
    <w:p w14:paraId="7DE3AC56"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 xml:space="preserve">- Le rapport initial du bureau de contrôle (R.I.C.T.), </w:t>
      </w:r>
    </w:p>
    <w:p w14:paraId="22575050"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 xml:space="preserve">- Le plan de coordination du système de Sécurité Incendie (P.C.S.S.I.) si la mission complémentaire SSI n’est pas confiée à la MOE. </w:t>
      </w:r>
    </w:p>
    <w:p w14:paraId="0AB0C44A"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 La notice d’ordonnancement, de pilotage et de coordination (O.P.C.), si la mission complémentaire OPC n’est pas confiée à la MOE.</w:t>
      </w:r>
    </w:p>
    <w:p w14:paraId="3A66F957"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 xml:space="preserve">- Le plan général de coordination de sécurité et de protection de la santé (P.G.C.S.P.S.). </w:t>
      </w:r>
    </w:p>
    <w:p w14:paraId="1B7849C3"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N.B. Les remarques formulées dans ces documents devront être prise en compte par le prestataire dans le cadre de la réalisation de l’élément de mission suivant, à savoir, l’élaboration du DCE.</w:t>
      </w:r>
    </w:p>
    <w:p w14:paraId="70B2786E" w14:textId="77777777" w:rsidR="00D16C5B" w:rsidRDefault="00D16C5B">
      <w:pPr>
        <w:jc w:val="both"/>
        <w:rPr>
          <w:rFonts w:ascii="Arial" w:eastAsiaTheme="minorHAnsi" w:hAnsi="Arial" w:cstheme="minorBidi"/>
          <w:u w:color="FFFFFF" w:themeColor="background1"/>
          <w:lang w:eastAsia="en-US"/>
        </w:rPr>
      </w:pPr>
    </w:p>
    <w:p w14:paraId="09C315D1" w14:textId="77777777" w:rsidR="00D16C5B" w:rsidRDefault="00942DA9">
      <w:pPr>
        <w:pBdr>
          <w:top w:val="single" w:sz="4" w:space="0" w:color="auto"/>
          <w:left w:val="single" w:sz="4" w:space="4" w:color="auto"/>
          <w:bottom w:val="single" w:sz="4" w:space="1" w:color="auto"/>
          <w:right w:val="single" w:sz="4" w:space="4" w:color="auto"/>
        </w:pBdr>
        <w:shd w:val="clear" w:color="auto" w:fill="0000CC"/>
        <w:overflowPunct w:val="0"/>
        <w:autoSpaceDE w:val="0"/>
        <w:autoSpaceDN w:val="0"/>
        <w:adjustRightInd w:val="0"/>
        <w:jc w:val="both"/>
        <w:textAlignment w:val="baseline"/>
        <w:outlineLvl w:val="2"/>
        <w:rPr>
          <w:rFonts w:ascii="Arial" w:hAnsi="Arial" w:cs="Arial"/>
          <w:b/>
          <w:u w:color="FFFFFF" w:themeColor="background1"/>
        </w:rPr>
      </w:pPr>
      <w:r>
        <w:rPr>
          <w:rFonts w:ascii="Arial" w:hAnsi="Arial" w:cs="Arial"/>
          <w:b/>
          <w:u w:color="FFFFFF" w:themeColor="background1"/>
        </w:rPr>
        <w:t>Assistance Contrats de Travaux (ACT)</w:t>
      </w:r>
    </w:p>
    <w:p w14:paraId="1C289E29" w14:textId="77777777" w:rsidR="00D16C5B" w:rsidRDefault="00D16C5B">
      <w:pPr>
        <w:jc w:val="both"/>
        <w:rPr>
          <w:rFonts w:ascii="Arial" w:eastAsiaTheme="minorHAnsi" w:hAnsi="Arial" w:cstheme="minorBidi"/>
          <w:sz w:val="20"/>
          <w:szCs w:val="20"/>
          <w:u w:color="FFFFFF" w:themeColor="background1"/>
          <w:lang w:eastAsia="en-US"/>
        </w:rPr>
      </w:pPr>
    </w:p>
    <w:p w14:paraId="5D485D50" w14:textId="77777777" w:rsidR="00D16C5B" w:rsidRDefault="00942DA9">
      <w:pPr>
        <w:jc w:val="both"/>
        <w:rPr>
          <w:rFonts w:ascii="Arial" w:hAnsi="Arial"/>
          <w:sz w:val="20"/>
          <w:szCs w:val="20"/>
          <w:u w:color="FFFFFF" w:themeColor="background1"/>
        </w:rPr>
      </w:pPr>
      <w:r>
        <w:rPr>
          <w:rFonts w:ascii="Arial" w:eastAsiaTheme="minorHAnsi" w:hAnsi="Arial" w:cstheme="minorBidi"/>
          <w:u w:color="FFFFFF" w:themeColor="background1"/>
          <w:lang w:eastAsia="en-US"/>
        </w:rPr>
        <w:t>01 Elaboration du dossier de consultation des entreprises (D.C.E.)</w:t>
      </w:r>
    </w:p>
    <w:p w14:paraId="3C30BEC6" w14:textId="77777777" w:rsidR="00D16C5B" w:rsidRDefault="00D16C5B">
      <w:pPr>
        <w:tabs>
          <w:tab w:val="num" w:pos="0"/>
        </w:tabs>
        <w:jc w:val="both"/>
        <w:rPr>
          <w:rFonts w:ascii="Arial" w:eastAsiaTheme="minorHAnsi" w:hAnsi="Arial" w:cstheme="minorBidi"/>
          <w:i/>
          <w:u w:color="FFFFFF" w:themeColor="background1"/>
          <w:lang w:eastAsia="en-US"/>
        </w:rPr>
      </w:pPr>
    </w:p>
    <w:p w14:paraId="35137D4F" w14:textId="77777777" w:rsidR="00D16C5B" w:rsidRDefault="00942DA9">
      <w:pPr>
        <w:tabs>
          <w:tab w:val="num" w:pos="0"/>
        </w:tabs>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Documents à réunir et/ou à établir par le maître d’ouvrage pour intégration au D.C.E. (à préciser/</w:t>
      </w:r>
      <w:r>
        <w:rPr>
          <w:rFonts w:ascii="Arial" w:hAnsi="Arial" w:cs="Arial"/>
          <w:i/>
          <w:u w:color="FFFFFF" w:themeColor="background1"/>
          <w:shd w:val="clear" w:color="auto" w:fill="C2D69B"/>
        </w:rPr>
        <w:t xml:space="preserve"> </w:t>
      </w:r>
      <w:r>
        <w:rPr>
          <w:rFonts w:ascii="Arial" w:eastAsiaTheme="minorHAnsi" w:hAnsi="Arial" w:cstheme="minorBidi"/>
          <w:i/>
          <w:u w:color="FFFFFF" w:themeColor="background1"/>
          <w:lang w:eastAsia="en-US"/>
        </w:rPr>
        <w:t>compléter selon l’objet du projet)</w:t>
      </w:r>
    </w:p>
    <w:p w14:paraId="47BB0F33" w14:textId="77777777" w:rsidR="00D16C5B" w:rsidRDefault="00D16C5B">
      <w:pPr>
        <w:tabs>
          <w:tab w:val="num" w:pos="0"/>
        </w:tabs>
        <w:jc w:val="both"/>
        <w:rPr>
          <w:rFonts w:ascii="Arial" w:eastAsiaTheme="minorHAnsi" w:hAnsi="Arial" w:cstheme="minorBidi"/>
          <w:i/>
          <w:u w:color="FFFFFF" w:themeColor="background1"/>
          <w:lang w:eastAsia="en-US"/>
        </w:rPr>
      </w:pPr>
    </w:p>
    <w:p w14:paraId="6E42E6A6" w14:textId="77777777" w:rsidR="00D16C5B" w:rsidRDefault="00942DA9">
      <w:pPr>
        <w:pStyle w:val="Paragraphedeliste"/>
        <w:numPr>
          <w:ilvl w:val="0"/>
          <w:numId w:val="3"/>
        </w:numPr>
        <w:spacing w:after="60"/>
        <w:ind w:left="142" w:hanging="142"/>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 xml:space="preserve">Attendus du dossier de permis de construire </w:t>
      </w:r>
    </w:p>
    <w:p w14:paraId="17976751" w14:textId="77777777" w:rsidR="00D16C5B" w:rsidRDefault="00942DA9">
      <w:pPr>
        <w:pStyle w:val="Paragraphedeliste"/>
        <w:numPr>
          <w:ilvl w:val="0"/>
          <w:numId w:val="3"/>
        </w:numPr>
        <w:spacing w:after="60"/>
        <w:ind w:left="142" w:hanging="142"/>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 xml:space="preserve">Rapport initial du bureau de contrôle (R.I.C.T.) </w:t>
      </w:r>
    </w:p>
    <w:p w14:paraId="26634F64" w14:textId="77777777" w:rsidR="00D16C5B" w:rsidRDefault="00942DA9">
      <w:pPr>
        <w:pStyle w:val="Paragraphedeliste"/>
        <w:numPr>
          <w:ilvl w:val="0"/>
          <w:numId w:val="3"/>
        </w:numPr>
        <w:spacing w:after="60"/>
        <w:ind w:left="142" w:hanging="142"/>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 xml:space="preserve">Plan général de coordination en matière de sécurité et de protection de la santé (P.G.C.S.P.S.) </w:t>
      </w:r>
    </w:p>
    <w:p w14:paraId="4AE97550" w14:textId="77777777" w:rsidR="00D16C5B" w:rsidRDefault="00942DA9">
      <w:pPr>
        <w:pStyle w:val="Paragraphedeliste"/>
        <w:numPr>
          <w:ilvl w:val="0"/>
          <w:numId w:val="3"/>
        </w:numPr>
        <w:spacing w:after="60"/>
        <w:ind w:left="142" w:hanging="142"/>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Plan de coordination du système de Sécurité Incendie (P.C.S.S.I.)</w:t>
      </w:r>
    </w:p>
    <w:p w14:paraId="79464A90" w14:textId="77777777" w:rsidR="00D16C5B" w:rsidRDefault="00942DA9">
      <w:pPr>
        <w:pStyle w:val="Paragraphedeliste"/>
        <w:numPr>
          <w:ilvl w:val="0"/>
          <w:numId w:val="3"/>
        </w:numPr>
        <w:spacing w:after="60"/>
        <w:ind w:left="142" w:hanging="142"/>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Notice d’ordonnancement, de pilotage et de coordination (O.P.C.)</w:t>
      </w:r>
    </w:p>
    <w:p w14:paraId="18A7619D" w14:textId="05C51210" w:rsidR="00D16C5B" w:rsidRDefault="00942DA9">
      <w:pPr>
        <w:pStyle w:val="Paragraphedeliste"/>
        <w:numPr>
          <w:ilvl w:val="0"/>
          <w:numId w:val="3"/>
        </w:numPr>
        <w:spacing w:after="60"/>
        <w:ind w:left="142" w:hanging="142"/>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 xml:space="preserve">Mise à jour du dossier PRO permettant de lever l’ensemble des remarques MO, BC, CSPS, CSSI, </w:t>
      </w:r>
      <w:r w:rsidR="00A50718">
        <w:rPr>
          <w:rFonts w:ascii="Arial" w:eastAsiaTheme="minorHAnsi" w:hAnsi="Arial" w:cstheme="minorBidi"/>
          <w:i/>
          <w:u w:color="FFFFFF" w:themeColor="background1"/>
          <w:lang w:eastAsia="en-US"/>
        </w:rPr>
        <w:t>OPC.</w:t>
      </w:r>
      <w:r>
        <w:rPr>
          <w:rFonts w:ascii="Arial" w:eastAsiaTheme="minorHAnsi" w:hAnsi="Arial" w:cstheme="minorBidi"/>
          <w:i/>
          <w:u w:color="FFFFFF" w:themeColor="background1"/>
          <w:lang w:eastAsia="en-US"/>
        </w:rPr>
        <w:t xml:space="preserve"> avant le lancement des marchés de travaux. </w:t>
      </w:r>
    </w:p>
    <w:p w14:paraId="68587BB4" w14:textId="77777777" w:rsidR="00D16C5B" w:rsidRDefault="00942DA9">
      <w:pPr>
        <w:pStyle w:val="Paragraphedeliste"/>
        <w:numPr>
          <w:ilvl w:val="0"/>
          <w:numId w:val="3"/>
        </w:numPr>
        <w:spacing w:after="60"/>
        <w:ind w:left="142" w:hanging="142"/>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 xml:space="preserve">Diagnostic amiante avant travaux, les rapports de repérages d’amiante avant travaux, et le dossier technique amiante (D.T.A.) </w:t>
      </w:r>
    </w:p>
    <w:p w14:paraId="258EA705" w14:textId="239C650B" w:rsidR="00D16C5B" w:rsidRDefault="00942DA9">
      <w:pPr>
        <w:pStyle w:val="Paragraphedeliste"/>
        <w:numPr>
          <w:ilvl w:val="0"/>
          <w:numId w:val="3"/>
        </w:numPr>
        <w:spacing w:after="60"/>
        <w:ind w:left="142" w:hanging="142"/>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 xml:space="preserve">Diagnostics complémentaires (structure, pollution des sols, concentration en plomb, thermites, état de fonctionnement des réseaux d’assainissement </w:t>
      </w:r>
      <w:r w:rsidR="00A50718">
        <w:rPr>
          <w:rFonts w:ascii="Arial" w:eastAsiaTheme="minorHAnsi" w:hAnsi="Arial" w:cstheme="minorBidi"/>
          <w:i/>
          <w:u w:color="FFFFFF" w:themeColor="background1"/>
          <w:lang w:eastAsia="en-US"/>
        </w:rPr>
        <w:t>existants…</w:t>
      </w:r>
      <w:r>
        <w:rPr>
          <w:rFonts w:ascii="Arial" w:eastAsiaTheme="minorHAnsi" w:hAnsi="Arial" w:cstheme="minorBidi"/>
          <w:i/>
          <w:u w:color="FFFFFF" w:themeColor="background1"/>
          <w:lang w:eastAsia="en-US"/>
        </w:rPr>
        <w:t>)</w:t>
      </w:r>
    </w:p>
    <w:p w14:paraId="6CAA439B" w14:textId="77777777" w:rsidR="00D16C5B" w:rsidRDefault="00942DA9">
      <w:pPr>
        <w:pStyle w:val="Paragraphedeliste"/>
        <w:numPr>
          <w:ilvl w:val="0"/>
          <w:numId w:val="3"/>
        </w:numPr>
        <w:spacing w:after="60"/>
        <w:ind w:left="142" w:hanging="142"/>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Rapports de vérification des installations techniques électricité/ thermique …</w:t>
      </w:r>
    </w:p>
    <w:p w14:paraId="5AF07483" w14:textId="77777777" w:rsidR="00D16C5B" w:rsidRDefault="00942DA9">
      <w:pPr>
        <w:pStyle w:val="Paragraphedeliste"/>
        <w:numPr>
          <w:ilvl w:val="0"/>
          <w:numId w:val="3"/>
        </w:numPr>
        <w:spacing w:after="60"/>
        <w:ind w:left="142" w:hanging="142"/>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 xml:space="preserve">Rapport d’étude géotechnique, rapport de reconnaissance de sol, étude hydrogéologique, essais à la plaque (mesures de déflexion, du poinçonnement sur voiries), </w:t>
      </w:r>
    </w:p>
    <w:p w14:paraId="55B2B24F" w14:textId="77777777" w:rsidR="00D16C5B" w:rsidRDefault="00942DA9">
      <w:pPr>
        <w:pStyle w:val="Paragraphedeliste"/>
        <w:numPr>
          <w:ilvl w:val="0"/>
          <w:numId w:val="3"/>
        </w:numPr>
        <w:spacing w:after="60"/>
        <w:ind w:left="142" w:hanging="142"/>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 xml:space="preserve">Plans de géomètre, relevés des héberges, pans de recollement VRD, espaces verts  </w:t>
      </w:r>
    </w:p>
    <w:p w14:paraId="436F700B" w14:textId="6F76EC3F" w:rsidR="00D16C5B" w:rsidRDefault="00942DA9">
      <w:pPr>
        <w:pStyle w:val="Paragraphedeliste"/>
        <w:numPr>
          <w:ilvl w:val="0"/>
          <w:numId w:val="3"/>
        </w:numPr>
        <w:spacing w:after="60"/>
        <w:ind w:left="142" w:hanging="142"/>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Cahiers des charges spécifiques au projet : pour certification par exemple (</w:t>
      </w:r>
      <w:r w:rsidR="00A50718">
        <w:rPr>
          <w:rFonts w:ascii="Arial" w:eastAsiaTheme="minorHAnsi" w:hAnsi="Arial" w:cstheme="minorBidi"/>
          <w:i/>
          <w:u w:color="FFFFFF" w:themeColor="background1"/>
          <w:lang w:eastAsia="en-US"/>
        </w:rPr>
        <w:t>HQE…</w:t>
      </w:r>
      <w:r>
        <w:rPr>
          <w:rFonts w:ascii="Arial" w:eastAsiaTheme="minorHAnsi" w:hAnsi="Arial" w:cstheme="minorBidi"/>
          <w:i/>
          <w:u w:color="FFFFFF" w:themeColor="background1"/>
          <w:lang w:eastAsia="en-US"/>
        </w:rPr>
        <w:t xml:space="preserve">), charte chantier </w:t>
      </w:r>
      <w:r w:rsidR="00C25BD0">
        <w:rPr>
          <w:rFonts w:ascii="Arial" w:eastAsiaTheme="minorHAnsi" w:hAnsi="Arial" w:cstheme="minorBidi"/>
          <w:i/>
          <w:u w:color="FFFFFF" w:themeColor="background1"/>
          <w:lang w:eastAsia="en-US"/>
        </w:rPr>
        <w:t>verts, …</w:t>
      </w:r>
    </w:p>
    <w:p w14:paraId="252A2CB1" w14:textId="77777777" w:rsidR="00D16C5B" w:rsidRDefault="00942DA9">
      <w:pPr>
        <w:pStyle w:val="Paragraphedeliste"/>
        <w:numPr>
          <w:ilvl w:val="0"/>
          <w:numId w:val="3"/>
        </w:numPr>
        <w:spacing w:after="60"/>
        <w:ind w:left="142" w:hanging="142"/>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 xml:space="preserve">Le règlement de ZAC Cahier des prescriptions architecturales, urbaines, paysagères et environnementales (CPAUPE), Cahier des limites de prestation aménageur/ constructeur, </w:t>
      </w:r>
    </w:p>
    <w:p w14:paraId="5E013BD8" w14:textId="77777777" w:rsidR="00D16C5B" w:rsidRDefault="00942DA9">
      <w:pPr>
        <w:pStyle w:val="Paragraphedeliste"/>
        <w:numPr>
          <w:ilvl w:val="0"/>
          <w:numId w:val="3"/>
        </w:numPr>
        <w:spacing w:after="60"/>
        <w:ind w:left="142" w:hanging="142"/>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 xml:space="preserve">Pré Dossier d’Intervention ultérieure sur l’ouvrage (DIUO) </w:t>
      </w:r>
    </w:p>
    <w:p w14:paraId="7061BA7D" w14:textId="77777777" w:rsidR="00D16C5B" w:rsidRDefault="00942DA9">
      <w:pPr>
        <w:pStyle w:val="Paragraphedeliste"/>
        <w:numPr>
          <w:ilvl w:val="0"/>
          <w:numId w:val="3"/>
        </w:numPr>
        <w:spacing w:after="60"/>
        <w:ind w:left="142" w:hanging="142"/>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Les pièces administratives des marchés de travaux établis par le Maître de l'Ouvrage :</w:t>
      </w:r>
    </w:p>
    <w:p w14:paraId="703C3243" w14:textId="77777777" w:rsidR="00D16C5B" w:rsidRDefault="00940BF3">
      <w:pPr>
        <w:tabs>
          <w:tab w:val="left" w:pos="142"/>
          <w:tab w:val="left" w:pos="284"/>
        </w:tabs>
        <w:ind w:firstLine="142"/>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lastRenderedPageBreak/>
        <w:t>-</w:t>
      </w:r>
      <w:r>
        <w:rPr>
          <w:rFonts w:ascii="Arial" w:eastAsiaTheme="minorHAnsi" w:hAnsi="Arial" w:cstheme="minorBidi"/>
          <w:i/>
          <w:u w:color="FFFFFF" w:themeColor="background1"/>
          <w:lang w:eastAsia="en-US"/>
        </w:rPr>
        <w:tab/>
        <w:t xml:space="preserve">Avis de </w:t>
      </w:r>
      <w:r w:rsidR="00942DA9">
        <w:rPr>
          <w:rFonts w:ascii="Arial" w:eastAsiaTheme="minorHAnsi" w:hAnsi="Arial" w:cstheme="minorBidi"/>
          <w:i/>
          <w:u w:color="FFFFFF" w:themeColor="background1"/>
          <w:lang w:eastAsia="en-US"/>
        </w:rPr>
        <w:t xml:space="preserve">marché </w:t>
      </w:r>
    </w:p>
    <w:p w14:paraId="5061210F" w14:textId="77777777" w:rsidR="00D16C5B" w:rsidRDefault="00942DA9">
      <w:pPr>
        <w:tabs>
          <w:tab w:val="left" w:pos="142"/>
          <w:tab w:val="left" w:pos="284"/>
        </w:tabs>
        <w:ind w:firstLine="142"/>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w:t>
      </w:r>
      <w:r>
        <w:rPr>
          <w:rFonts w:ascii="Arial" w:eastAsiaTheme="minorHAnsi" w:hAnsi="Arial" w:cstheme="minorBidi"/>
          <w:i/>
          <w:u w:color="FFFFFF" w:themeColor="background1"/>
          <w:lang w:eastAsia="en-US"/>
        </w:rPr>
        <w:tab/>
        <w:t>Cahier des Clauses Administratives Particulières et ses annexes (CCAP),</w:t>
      </w:r>
    </w:p>
    <w:p w14:paraId="393E2BDE" w14:textId="77777777" w:rsidR="00D16C5B" w:rsidRDefault="00942DA9">
      <w:pPr>
        <w:tabs>
          <w:tab w:val="left" w:pos="142"/>
          <w:tab w:val="left" w:pos="284"/>
        </w:tabs>
        <w:ind w:firstLine="142"/>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w:t>
      </w:r>
      <w:r>
        <w:rPr>
          <w:rFonts w:ascii="Arial" w:eastAsiaTheme="minorHAnsi" w:hAnsi="Arial" w:cstheme="minorBidi"/>
          <w:i/>
          <w:u w:color="FFFFFF" w:themeColor="background1"/>
          <w:lang w:eastAsia="en-US"/>
        </w:rPr>
        <w:tab/>
        <w:t>Règlement de la consultation et ses annexes (RC),</w:t>
      </w:r>
    </w:p>
    <w:p w14:paraId="2125C150" w14:textId="77777777" w:rsidR="00D16C5B" w:rsidRDefault="00942DA9">
      <w:pPr>
        <w:tabs>
          <w:tab w:val="left" w:pos="142"/>
          <w:tab w:val="left" w:pos="284"/>
        </w:tabs>
        <w:ind w:firstLine="142"/>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w:t>
      </w:r>
      <w:r>
        <w:rPr>
          <w:rFonts w:ascii="Arial" w:eastAsiaTheme="minorHAnsi" w:hAnsi="Arial" w:cstheme="minorBidi"/>
          <w:i/>
          <w:u w:color="FFFFFF" w:themeColor="background1"/>
          <w:lang w:eastAsia="en-US"/>
        </w:rPr>
        <w:tab/>
        <w:t>Modèle d'Acte d'Engagement (AE).</w:t>
      </w:r>
    </w:p>
    <w:p w14:paraId="4075CF7D" w14:textId="77777777" w:rsidR="00D16C5B" w:rsidRDefault="00D16C5B">
      <w:pPr>
        <w:jc w:val="both"/>
        <w:rPr>
          <w:rFonts w:ascii="Arial" w:eastAsiaTheme="minorHAnsi" w:hAnsi="Arial" w:cstheme="minorBidi"/>
          <w:u w:color="FFFFFF" w:themeColor="background1"/>
          <w:lang w:eastAsia="en-US"/>
        </w:rPr>
      </w:pPr>
    </w:p>
    <w:p w14:paraId="02A5B572" w14:textId="77777777" w:rsidR="00D16C5B" w:rsidRDefault="00942DA9">
      <w:pPr>
        <w:pBdr>
          <w:top w:val="single" w:sz="4" w:space="0" w:color="auto"/>
          <w:left w:val="single" w:sz="4" w:space="4" w:color="auto"/>
          <w:bottom w:val="single" w:sz="4" w:space="1" w:color="auto"/>
          <w:right w:val="single" w:sz="4" w:space="4" w:color="auto"/>
        </w:pBdr>
        <w:shd w:val="clear" w:color="auto" w:fill="0000CC"/>
        <w:overflowPunct w:val="0"/>
        <w:autoSpaceDE w:val="0"/>
        <w:autoSpaceDN w:val="0"/>
        <w:adjustRightInd w:val="0"/>
        <w:jc w:val="both"/>
        <w:textAlignment w:val="baseline"/>
        <w:outlineLvl w:val="2"/>
        <w:rPr>
          <w:rFonts w:ascii="Arial" w:hAnsi="Arial" w:cs="Arial"/>
          <w:b/>
          <w:u w:color="FFFFFF" w:themeColor="background1"/>
        </w:rPr>
      </w:pPr>
      <w:r>
        <w:rPr>
          <w:rFonts w:ascii="Arial" w:hAnsi="Arial" w:cs="Arial"/>
          <w:b/>
          <w:u w:color="FFFFFF" w:themeColor="background1"/>
        </w:rPr>
        <w:t xml:space="preserve">Etudes d’Exécution (EXE) </w:t>
      </w:r>
    </w:p>
    <w:p w14:paraId="2A2E9162" w14:textId="77777777" w:rsidR="00D16C5B" w:rsidRDefault="00D16C5B">
      <w:pPr>
        <w:jc w:val="both"/>
        <w:rPr>
          <w:rFonts w:ascii="Arial" w:eastAsiaTheme="minorHAnsi" w:hAnsi="Arial" w:cstheme="minorBidi"/>
          <w:sz w:val="20"/>
          <w:szCs w:val="20"/>
          <w:u w:color="FFFFFF" w:themeColor="background1"/>
          <w:lang w:eastAsia="en-US"/>
        </w:rPr>
      </w:pPr>
    </w:p>
    <w:p w14:paraId="578C3492"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Il appartient au maître d’ouvrage de définir la nature de la mission EXE qu’il souhaite confier à la maîtrise d’œuvre, à savoir :</w:t>
      </w:r>
    </w:p>
    <w:p w14:paraId="38C998F6" w14:textId="77777777" w:rsidR="00D16C5B" w:rsidRDefault="00D16C5B">
      <w:pPr>
        <w:jc w:val="both"/>
        <w:rPr>
          <w:rFonts w:ascii="Arial" w:eastAsiaTheme="minorHAnsi" w:hAnsi="Arial" w:cstheme="minorBidi"/>
          <w:i/>
          <w:u w:color="FFFFFF" w:themeColor="background1"/>
          <w:lang w:eastAsia="en-US"/>
        </w:rPr>
      </w:pPr>
    </w:p>
    <w:p w14:paraId="28FDD9A1" w14:textId="77777777" w:rsidR="00D16C5B" w:rsidRDefault="00942DA9">
      <w:pPr>
        <w:pStyle w:val="Paragraphedeliste"/>
        <w:numPr>
          <w:ilvl w:val="0"/>
          <w:numId w:val="4"/>
        </w:numPr>
        <w:ind w:left="284" w:hanging="284"/>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Etablissement de tous les plans d’exécutions et des études de synthèse</w:t>
      </w:r>
    </w:p>
    <w:p w14:paraId="2D92BB2C" w14:textId="77777777" w:rsidR="00D16C5B" w:rsidRDefault="00942DA9">
      <w:pPr>
        <w:pStyle w:val="Paragraphedeliste"/>
        <w:numPr>
          <w:ilvl w:val="0"/>
          <w:numId w:val="4"/>
        </w:numPr>
        <w:ind w:left="284" w:hanging="284"/>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Etablissement en partie des plans d’exécutions et des études de synthèse (non recommandé par l’UCANSS)</w:t>
      </w:r>
    </w:p>
    <w:p w14:paraId="71235DF9" w14:textId="77777777" w:rsidR="00D16C5B" w:rsidRDefault="00942DA9">
      <w:pPr>
        <w:pStyle w:val="Paragraphedeliste"/>
        <w:numPr>
          <w:ilvl w:val="0"/>
          <w:numId w:val="4"/>
        </w:numPr>
        <w:ind w:left="284" w:hanging="284"/>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Analyse de la conformité des plans d’exécutions réalisés par les entreprises et participation à la cellule de synthèse.</w:t>
      </w:r>
    </w:p>
    <w:p w14:paraId="74D9153C" w14:textId="77777777" w:rsidR="00D16C5B" w:rsidRDefault="00D16C5B">
      <w:pPr>
        <w:jc w:val="both"/>
        <w:rPr>
          <w:rFonts w:ascii="Arial" w:eastAsiaTheme="minorHAnsi" w:hAnsi="Arial" w:cstheme="minorBidi"/>
          <w:i/>
          <w:u w:color="FFFFFF" w:themeColor="background1"/>
          <w:lang w:eastAsia="en-US"/>
        </w:rPr>
      </w:pPr>
    </w:p>
    <w:p w14:paraId="4710A1B2"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Les plans d’exécution sont complétés, par les entreprises, des plans d’atelier et de chantier qui tiennent compte des dispositions particulières qu’utilisent les entreprises pour la réalisation des chantiers. Ces plans servent également à la coordination des ouvrages.</w:t>
      </w:r>
    </w:p>
    <w:p w14:paraId="64181017" w14:textId="77777777" w:rsidR="00D16C5B" w:rsidRDefault="00D16C5B">
      <w:pPr>
        <w:jc w:val="both"/>
        <w:rPr>
          <w:rFonts w:ascii="Arial" w:hAnsi="Arial" w:cs="Arial"/>
          <w:u w:color="FFFFFF" w:themeColor="background1"/>
        </w:rPr>
      </w:pPr>
    </w:p>
    <w:p w14:paraId="0A2E27D0" w14:textId="77777777" w:rsidR="00D16C5B" w:rsidRDefault="00942DA9">
      <w:pPr>
        <w:pBdr>
          <w:top w:val="single" w:sz="4" w:space="0" w:color="auto"/>
          <w:left w:val="single" w:sz="4" w:space="4" w:color="auto"/>
          <w:bottom w:val="single" w:sz="4" w:space="1" w:color="auto"/>
          <w:right w:val="single" w:sz="4" w:space="4" w:color="auto"/>
        </w:pBdr>
        <w:shd w:val="clear" w:color="auto" w:fill="0000CC"/>
        <w:overflowPunct w:val="0"/>
        <w:autoSpaceDE w:val="0"/>
        <w:autoSpaceDN w:val="0"/>
        <w:adjustRightInd w:val="0"/>
        <w:jc w:val="both"/>
        <w:textAlignment w:val="baseline"/>
        <w:outlineLvl w:val="2"/>
        <w:rPr>
          <w:rFonts w:ascii="Arial" w:hAnsi="Arial" w:cs="Arial"/>
          <w:b/>
          <w:u w:color="FFFFFF" w:themeColor="background1"/>
        </w:rPr>
      </w:pPr>
      <w:r>
        <w:rPr>
          <w:rFonts w:ascii="Arial" w:hAnsi="Arial" w:cs="Arial"/>
          <w:b/>
          <w:u w:color="FFFFFF" w:themeColor="background1"/>
        </w:rPr>
        <w:t>Ordonnancement, Coordination et Pilotage du Chantier (OPC) - Mission complémentaire</w:t>
      </w:r>
    </w:p>
    <w:p w14:paraId="27BA07CB" w14:textId="77777777" w:rsidR="00D16C5B" w:rsidRDefault="00D16C5B">
      <w:pPr>
        <w:jc w:val="both"/>
        <w:rPr>
          <w:rFonts w:ascii="Arial" w:hAnsi="Arial" w:cs="Arial"/>
          <w:i/>
          <w:sz w:val="20"/>
          <w:szCs w:val="20"/>
          <w:u w:color="FFFFFF" w:themeColor="background1"/>
          <w:shd w:val="clear" w:color="auto" w:fill="C2D69B"/>
        </w:rPr>
      </w:pPr>
    </w:p>
    <w:p w14:paraId="26C9B730"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Il appartient au Maître d’ouvrage de définir s’il souhaite ou non confier cet élément de mission  à la maîtrise d’œuvre ou s’il souhaite l’attribuer à un prestataire distinct.</w:t>
      </w:r>
    </w:p>
    <w:p w14:paraId="23856802" w14:textId="77777777" w:rsidR="00D16C5B" w:rsidRDefault="00D16C5B">
      <w:pPr>
        <w:rPr>
          <w:rFonts w:ascii="Arial" w:hAnsi="Arial" w:cs="Arial"/>
          <w:u w:color="FFFFFF" w:themeColor="background1"/>
        </w:rPr>
      </w:pPr>
    </w:p>
    <w:p w14:paraId="4FF3D7B6" w14:textId="77777777" w:rsidR="00D16C5B" w:rsidRDefault="00942DA9">
      <w:pPr>
        <w:pBdr>
          <w:top w:val="single" w:sz="4" w:space="0" w:color="auto"/>
          <w:left w:val="single" w:sz="4" w:space="4" w:color="auto"/>
          <w:bottom w:val="single" w:sz="4" w:space="1" w:color="auto"/>
          <w:right w:val="single" w:sz="4" w:space="4" w:color="auto"/>
        </w:pBdr>
        <w:shd w:val="clear" w:color="auto" w:fill="0000CC"/>
        <w:overflowPunct w:val="0"/>
        <w:autoSpaceDE w:val="0"/>
        <w:autoSpaceDN w:val="0"/>
        <w:adjustRightInd w:val="0"/>
        <w:jc w:val="both"/>
        <w:textAlignment w:val="baseline"/>
        <w:outlineLvl w:val="2"/>
        <w:rPr>
          <w:rFonts w:ascii="Arial" w:hAnsi="Arial" w:cs="Arial"/>
          <w:b/>
          <w:u w:color="FFFFFF" w:themeColor="background1"/>
        </w:rPr>
      </w:pPr>
      <w:r>
        <w:rPr>
          <w:rFonts w:ascii="Arial" w:hAnsi="Arial" w:cs="Arial"/>
          <w:b/>
          <w:u w:color="FFFFFF" w:themeColor="background1"/>
        </w:rPr>
        <w:t>Mission Système Sécurité Incendie (SSI) - Mission complémentaire</w:t>
      </w:r>
    </w:p>
    <w:p w14:paraId="58A749CA" w14:textId="77777777" w:rsidR="00D16C5B" w:rsidRDefault="00D16C5B">
      <w:pPr>
        <w:jc w:val="both"/>
        <w:rPr>
          <w:rFonts w:ascii="Arial" w:eastAsiaTheme="minorHAnsi" w:hAnsi="Arial" w:cstheme="minorBidi"/>
          <w:sz w:val="20"/>
          <w:szCs w:val="20"/>
          <w:u w:color="FFFFFF" w:themeColor="background1"/>
          <w:lang w:eastAsia="en-US"/>
        </w:rPr>
      </w:pPr>
    </w:p>
    <w:p w14:paraId="24C6C112"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Il appartient au Maître d’ouvrage de définir s’il souhaite ou non confier cet élément de mission  à la maîtrise d’œuvre ou s’il souhaite l’attribuer à un prestataire distinct.</w:t>
      </w:r>
    </w:p>
    <w:p w14:paraId="77E99E96" w14:textId="77777777" w:rsidR="00D16C5B" w:rsidRDefault="00D16C5B">
      <w:pPr>
        <w:rPr>
          <w:rFonts w:ascii="Arial" w:hAnsi="Arial" w:cs="Arial"/>
          <w:u w:color="FFFFFF" w:themeColor="background1"/>
        </w:rPr>
      </w:pPr>
    </w:p>
    <w:p w14:paraId="5875D288" w14:textId="77777777" w:rsidR="00D16C5B" w:rsidRDefault="00942DA9">
      <w:pPr>
        <w:pBdr>
          <w:top w:val="single" w:sz="4" w:space="0" w:color="auto"/>
          <w:left w:val="single" w:sz="4" w:space="4" w:color="auto"/>
          <w:bottom w:val="single" w:sz="4" w:space="1" w:color="auto"/>
          <w:right w:val="single" w:sz="4" w:space="4" w:color="auto"/>
        </w:pBdr>
        <w:shd w:val="clear" w:color="auto" w:fill="0000CC"/>
        <w:overflowPunct w:val="0"/>
        <w:autoSpaceDE w:val="0"/>
        <w:autoSpaceDN w:val="0"/>
        <w:adjustRightInd w:val="0"/>
        <w:jc w:val="both"/>
        <w:textAlignment w:val="baseline"/>
        <w:outlineLvl w:val="2"/>
        <w:rPr>
          <w:rFonts w:ascii="Arial" w:hAnsi="Arial" w:cs="Arial"/>
          <w:b/>
          <w:color w:val="FFFFFF" w:themeColor="background1"/>
          <w:u w:color="FFFFFF" w:themeColor="background1"/>
        </w:rPr>
      </w:pPr>
      <w:r>
        <w:rPr>
          <w:rFonts w:ascii="Arial" w:hAnsi="Arial" w:cs="Arial"/>
          <w:b/>
          <w:color w:val="FFFFFF" w:themeColor="background1"/>
          <w:u w:color="FFFFFF" w:themeColor="background1"/>
        </w:rPr>
        <w:t>Devis Quantitatif Détaillé (DQD) - Mission complémentaire</w:t>
      </w:r>
    </w:p>
    <w:p w14:paraId="3B1A96EE" w14:textId="77777777" w:rsidR="00D16C5B" w:rsidRDefault="00D16C5B">
      <w:pPr>
        <w:jc w:val="both"/>
        <w:rPr>
          <w:rFonts w:ascii="Arial" w:eastAsiaTheme="minorHAnsi" w:hAnsi="Arial" w:cstheme="minorBidi"/>
          <w:color w:val="FF0000"/>
          <w:sz w:val="20"/>
          <w:szCs w:val="20"/>
          <w:u w:color="FFFFFF" w:themeColor="background1"/>
          <w:lang w:eastAsia="en-US"/>
        </w:rPr>
      </w:pPr>
    </w:p>
    <w:p w14:paraId="061CF50B"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Mission complémentaire lorsque la réalisation des études d’exécution et de synthèse n’est pas confiée à la maitrise d’œuvre.</w:t>
      </w:r>
    </w:p>
    <w:p w14:paraId="1FF14C8A" w14:textId="77777777" w:rsidR="00D16C5B" w:rsidRDefault="00942DA9">
      <w:pPr>
        <w:jc w:val="both"/>
        <w:rPr>
          <w:rFonts w:ascii="Arial" w:eastAsiaTheme="minorHAnsi" w:hAnsi="Arial" w:cstheme="minorBidi"/>
          <w:i/>
          <w:u w:color="FFFFFF" w:themeColor="background1"/>
          <w:lang w:eastAsia="en-US"/>
        </w:rPr>
      </w:pPr>
      <w:r>
        <w:rPr>
          <w:rFonts w:ascii="Arial" w:eastAsiaTheme="minorHAnsi" w:hAnsi="Arial" w:cstheme="minorBidi"/>
          <w:i/>
          <w:u w:color="FFFFFF" w:themeColor="background1"/>
          <w:lang w:eastAsia="en-US"/>
        </w:rPr>
        <w:t>Le devis quantitatif détaillé est un document distinct du cadre de décomposition du prix global et forfaitaire (CDPGF) inclus dans le dossier de consultation des entreprises. Il est établi à seule et unique attention du maître d’ouvrage.</w:t>
      </w:r>
    </w:p>
    <w:sectPr w:rsidR="00D16C5B">
      <w:headerReference w:type="default" r:id="rId7"/>
      <w:pgSz w:w="11906" w:h="16838"/>
      <w:pgMar w:top="603" w:right="566" w:bottom="709" w:left="85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2EF66D" w14:textId="77777777" w:rsidR="00D16C5B" w:rsidRDefault="00942DA9">
      <w:r>
        <w:separator/>
      </w:r>
    </w:p>
  </w:endnote>
  <w:endnote w:type="continuationSeparator" w:id="0">
    <w:p w14:paraId="07C44CA3" w14:textId="77777777" w:rsidR="00D16C5B" w:rsidRDefault="00942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11FDB0" w14:textId="77777777" w:rsidR="00D16C5B" w:rsidRDefault="00942DA9">
      <w:r>
        <w:separator/>
      </w:r>
    </w:p>
  </w:footnote>
  <w:footnote w:type="continuationSeparator" w:id="0">
    <w:p w14:paraId="5CDB423F" w14:textId="77777777" w:rsidR="00D16C5B" w:rsidRDefault="00942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FC955" w14:textId="77777777" w:rsidR="00D16C5B" w:rsidRDefault="00942DA9">
    <w:pPr>
      <w:tabs>
        <w:tab w:val="center" w:pos="4819"/>
        <w:tab w:val="right" w:pos="9071"/>
      </w:tabs>
      <w:overflowPunct w:val="0"/>
      <w:autoSpaceDE w:val="0"/>
      <w:autoSpaceDN w:val="0"/>
      <w:adjustRightInd w:val="0"/>
      <w:jc w:val="center"/>
      <w:textAlignment w:val="baseline"/>
      <w:rPr>
        <w:rFonts w:ascii="Arial" w:hAnsi="Arial" w:cs="Arial"/>
        <w:sz w:val="20"/>
        <w:szCs w:val="20"/>
      </w:rPr>
    </w:pPr>
    <w:r>
      <w:rPr>
        <w:rFonts w:ascii="Arial" w:hAnsi="Arial" w:cs="Arial"/>
        <w:sz w:val="20"/>
        <w:szCs w:val="20"/>
      </w:rPr>
      <w:t xml:space="preserve">Page </w:t>
    </w:r>
    <w:r>
      <w:rPr>
        <w:rFonts w:ascii="Arial" w:hAnsi="Arial" w:cs="Arial"/>
        <w:sz w:val="20"/>
        <w:szCs w:val="20"/>
      </w:rPr>
      <w:fldChar w:fldCharType="begin"/>
    </w:r>
    <w:r>
      <w:rPr>
        <w:rFonts w:ascii="Arial" w:hAnsi="Arial" w:cs="Arial"/>
        <w:sz w:val="20"/>
        <w:szCs w:val="20"/>
      </w:rPr>
      <w:instrText xml:space="preserve"> PAGE </w:instrText>
    </w:r>
    <w:r>
      <w:rPr>
        <w:rFonts w:ascii="Arial" w:hAnsi="Arial" w:cs="Arial"/>
        <w:sz w:val="20"/>
        <w:szCs w:val="20"/>
      </w:rPr>
      <w:fldChar w:fldCharType="separate"/>
    </w:r>
    <w:r w:rsidR="00A23699">
      <w:rPr>
        <w:rFonts w:ascii="Arial" w:hAnsi="Arial" w:cs="Arial"/>
        <w:noProof/>
        <w:sz w:val="20"/>
        <w:szCs w:val="20"/>
      </w:rPr>
      <w:t>1</w:t>
    </w:r>
    <w:r>
      <w:rPr>
        <w:rFonts w:ascii="Arial" w:hAnsi="Arial" w:cs="Arial"/>
        <w:sz w:val="20"/>
        <w:szCs w:val="20"/>
      </w:rPr>
      <w:fldChar w:fldCharType="end"/>
    </w:r>
    <w:r>
      <w:rPr>
        <w:rFonts w:ascii="Arial" w:hAnsi="Arial" w:cs="Arial"/>
        <w:sz w:val="20"/>
        <w:szCs w:val="20"/>
      </w:rPr>
      <w:t xml:space="preserve"> sur </w:t>
    </w:r>
    <w:r>
      <w:rPr>
        <w:rFonts w:ascii="Arial" w:hAnsi="Arial" w:cs="Arial"/>
        <w:sz w:val="20"/>
        <w:szCs w:val="20"/>
      </w:rPr>
      <w:fldChar w:fldCharType="begin"/>
    </w:r>
    <w:r>
      <w:rPr>
        <w:rFonts w:ascii="Arial" w:hAnsi="Arial" w:cs="Arial"/>
        <w:sz w:val="20"/>
        <w:szCs w:val="20"/>
      </w:rPr>
      <w:instrText xml:space="preserve"> NUMPAGES </w:instrText>
    </w:r>
    <w:r>
      <w:rPr>
        <w:rFonts w:ascii="Arial" w:hAnsi="Arial" w:cs="Arial"/>
        <w:sz w:val="20"/>
        <w:szCs w:val="20"/>
      </w:rPr>
      <w:fldChar w:fldCharType="separate"/>
    </w:r>
    <w:r w:rsidR="00A23699">
      <w:rPr>
        <w:rFonts w:ascii="Arial" w:hAnsi="Arial" w:cs="Arial"/>
        <w:noProof/>
        <w:sz w:val="20"/>
        <w:szCs w:val="20"/>
      </w:rPr>
      <w:t>3</w:t>
    </w:r>
    <w:r>
      <w:rPr>
        <w:rFonts w:ascii="Arial" w:hAnsi="Arial" w:cs="Arial"/>
        <w:sz w:val="20"/>
        <w:szCs w:val="20"/>
      </w:rPr>
      <w:fldChar w:fldCharType="end"/>
    </w:r>
  </w:p>
  <w:p w14:paraId="4B0B9653" w14:textId="77777777" w:rsidR="00D16C5B" w:rsidRDefault="00D16C5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192DA8"/>
    <w:multiLevelType w:val="hybridMultilevel"/>
    <w:tmpl w:val="89029388"/>
    <w:lvl w:ilvl="0" w:tplc="9EE664C6">
      <w:start w:val="1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BA52643"/>
    <w:multiLevelType w:val="hybridMultilevel"/>
    <w:tmpl w:val="2C24CE5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7D42AC0"/>
    <w:multiLevelType w:val="hybridMultilevel"/>
    <w:tmpl w:val="977AA9AC"/>
    <w:lvl w:ilvl="0" w:tplc="040C0001">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FF2387D"/>
    <w:multiLevelType w:val="hybridMultilevel"/>
    <w:tmpl w:val="8DA68514"/>
    <w:lvl w:ilvl="0" w:tplc="040C0001">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6C5B"/>
    <w:rsid w:val="00061721"/>
    <w:rsid w:val="00940BF3"/>
    <w:rsid w:val="00942DA9"/>
    <w:rsid w:val="00A23699"/>
    <w:rsid w:val="00A50718"/>
    <w:rsid w:val="00C25BD0"/>
    <w:rsid w:val="00D16C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CB218"/>
  <w15:docId w15:val="{BE2065D1-653A-4128-B74D-6159220B6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Arial" w:hAnsi="Arial" w:cs="Arial"/>
      <w:sz w:val="16"/>
      <w:szCs w:val="16"/>
    </w:rPr>
  </w:style>
  <w:style w:type="character" w:customStyle="1" w:styleId="TextedebullesCar">
    <w:name w:val="Texte de bulles Car"/>
    <w:basedOn w:val="Policepardfaut"/>
    <w:link w:val="Textedebulles"/>
    <w:uiPriority w:val="99"/>
    <w:semiHidden/>
    <w:rPr>
      <w:rFonts w:ascii="Arial" w:eastAsia="Times New Roman" w:hAnsi="Arial" w:cs="Arial"/>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3</Pages>
  <Words>1158</Words>
  <Characters>6373</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Francoise GONZALES</dc:creator>
  <cp:lastModifiedBy>François BLARD</cp:lastModifiedBy>
  <cp:revision>33</cp:revision>
  <cp:lastPrinted>2017-03-06T16:36:00Z</cp:lastPrinted>
  <dcterms:created xsi:type="dcterms:W3CDTF">2017-01-09T17:44:00Z</dcterms:created>
  <dcterms:modified xsi:type="dcterms:W3CDTF">2021-10-14T12:41:00Z</dcterms:modified>
</cp:coreProperties>
</file>