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purl.oclc.org/ooxml/officeDocument/relationships/metadata/thumbnail" Target="docProps/thumbnail.emf"/><Relationship Id="rId1" Type="http://purl.oclc.org/ooxml/officeDocument/relationships/officeDocument" Target="word/document.xml"/><Relationship Id="rId5" Type="http://purl.oclc.org/ooxml/officeDocument/relationships/customProperties" Target="docProps/custom.xml"/><Relationship Id="rId4" Type="http://purl.oclc.org/ooxml/officeDocument/relationships/extendedProperties" Target="docProps/app.xml"/></Relationships>
</file>

<file path=word/document.xml><?xml version="1.0" encoding="utf-8"?>
<w:document xmlns:a="http://schemas.openxmlformats.org/drawingml/2006/main" xmlns:pic="http://schemas.openxmlformats.org/drawingml/2006/pictur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body>
    <w:p w:rsidR="00C75B93" w:rsidRDefault="00C75B93" w14:paraId="3FC6F153" w14:textId="77777777">
      <w:bookmarkStart w:name="_Toc526153388" w:id="0"/>
      <w:bookmarkStart w:name="_Toc526153317" w:id="1"/>
      <w:bookmarkStart w:name="_Toc526153361" w:id="2"/>
      <w:bookmarkStart w:name="_Toc526153318" w:id="3"/>
      <w:bookmarkStart w:name="_Toc526153324" w:id="4"/>
      <w:bookmarkStart w:name="_Toc526153323" w:id="5"/>
      <w:bookmarkStart w:name="_Toc526153320" w:id="6"/>
      <w:bookmarkStart w:name="_Toc526153326" w:id="7"/>
      <w:bookmarkStart w:name="_Toc526153340" w:id="8"/>
      <w:bookmarkEnd w:id="0"/>
      <w:bookmarkEnd w:id="1"/>
      <w:bookmarkEnd w:id="2"/>
    </w:p>
    <w:p w:rsidR="00C75B93" w:rsidRDefault="00000000" w14:paraId="4E24E2AE" w14:textId="77777777">
      <w:pPr>
        <w:pStyle w:val="RedaliaNormal"/>
        <w:jc w:val="center"/>
      </w:pPr>
      <w:r>
        <w:rPr>
          <w:noProof/>
        </w:rPr>
        <w:drawing>
          <wp:inline distT="0" distB="0" distL="0" distR="0" wp14:anchorId="1FC211E9" wp14:editId="7335E6B1">
            <wp:extent cx="2428920" cy="1009771"/>
            <wp:effectExtent l="0" t="0" r="9480" b="0"/>
            <wp:docPr id="1"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2428920" cy="1009771"/>
                    </a:xfrm>
                    <a:prstGeom prst="rect">
                      <a:avLst/>
                    </a:prstGeom>
                    <a:noFill/>
                    <a:ln>
                      <a:noFill/>
                      <a:prstDash/>
                    </a:ln>
                  </pic:spPr>
                </pic:pic>
              </a:graphicData>
            </a:graphic>
          </wp:inline>
        </w:drawing>
      </w:r>
    </w:p>
    <w:p w:rsidR="00C75B93" w:rsidRDefault="00C75B93" w14:paraId="78190BC4" w14:textId="77777777">
      <w:pPr>
        <w:pStyle w:val="RedaliaNormal"/>
        <w:rPr>
          <w:sz w:val="40"/>
          <w:szCs w:val="40"/>
        </w:rPr>
      </w:pPr>
    </w:p>
    <w:p w:rsidR="00C75B93" w:rsidRDefault="00000000" w14:paraId="73E5673E" w14:textId="77777777">
      <w:pPr>
        <w:pStyle w:val="RedaliaTitredocument"/>
        <w:pBdr>
          <w:top w:val="single" w:color="000000" w:sz="4" w:space="1"/>
          <w:left w:val="single" w:color="000000" w:sz="4" w:space="4"/>
          <w:bottom w:val="single" w:color="000000" w:sz="4" w:space="1"/>
          <w:right w:val="single" w:color="000000" w:sz="4" w:space="4"/>
        </w:pBdr>
      </w:pPr>
      <w:r>
        <w:t xml:space="preserve">MERCADO PÚBLICO DE SERVIÇOS INTELECTUAIS</w:t>
      </w:r>
    </w:p>
    <w:p w:rsidR="00C75B93" w:rsidRDefault="00C75B93" w14:paraId="42B6BE45" w14:textId="77777777">
      <w:pPr>
        <w:pStyle w:val="RedaliaNormal"/>
      </w:pPr>
    </w:p>
    <w:p w:rsidR="00C75B93" w:rsidRDefault="00C75B93" w14:paraId="77AE2392" w14:textId="77777777">
      <w:pPr>
        <w:pStyle w:val="RedaliaNormal"/>
        <w:jc w:val="center"/>
      </w:pPr>
    </w:p>
    <w:p w:rsidR="00C75B93" w:rsidRDefault="00C75B93" w14:paraId="6E979551" w14:textId="77777777">
      <w:pPr>
        <w:pStyle w:val="RedaliaNormal"/>
        <w:jc w:val="center"/>
      </w:pPr>
    </w:p>
    <w:p w:rsidR="00C75B93" w:rsidRDefault="00000000" w14:paraId="4848393D" w14:textId="77777777">
      <w:pPr>
        <w:pStyle w:val="RedaliaNormal"/>
        <w:pBdr>
          <w:top w:val="single" w:color="000000" w:sz="4" w:space="1"/>
          <w:left w:val="single" w:color="000000" w:sz="4" w:space="4"/>
          <w:bottom w:val="single" w:color="000000" w:sz="4" w:space="1"/>
          <w:right w:val="single" w:color="000000" w:sz="4" w:space="4"/>
        </w:pBdr>
        <w:shd w:val="clear" w:color="auto" w:fill="B4C6E7"/>
        <w:jc w:val="center"/>
        <w:rPr>
          <w:b/>
          <w:bCs/>
          <w:sz w:val="24"/>
          <w:szCs w:val="24"/>
        </w:rPr>
      </w:pPr>
      <w:r>
        <w:rPr>
          <w:b/>
          <w:bCs/>
          <w:sz w:val="24"/>
          <w:szCs w:val="24"/>
        </w:rPr>
        <w:t xml:space="preserve">Agência Francesa de Desenvolvimento</w:t>
      </w:r>
    </w:p>
    <w:p w:rsidR="00C75B93" w:rsidRDefault="00000000" w14:paraId="15C8B9E5" w14:textId="77777777">
      <w:pPr>
        <w:pStyle w:val="RedaliaNormal"/>
        <w:pBdr>
          <w:top w:val="single" w:color="000000" w:sz="4" w:space="1"/>
          <w:left w:val="single" w:color="000000" w:sz="4" w:space="4"/>
          <w:bottom w:val="single" w:color="000000" w:sz="4" w:space="1"/>
          <w:right w:val="single" w:color="000000" w:sz="4" w:space="4"/>
        </w:pBdr>
        <w:shd w:val="clear" w:color="auto" w:fill="B4C6E7"/>
        <w:jc w:val="center"/>
      </w:pPr>
      <w:r>
        <w:t xml:space="preserve">5 Rue Roland BARTHES</w:t>
      </w:r>
    </w:p>
    <w:p w:rsidR="00C75B93" w:rsidRDefault="00000000" w14:paraId="50904CC6" w14:textId="77777777">
      <w:pPr>
        <w:pStyle w:val="RedaliaNormal"/>
        <w:pBdr>
          <w:top w:val="single" w:color="000000" w:sz="4" w:space="1"/>
          <w:left w:val="single" w:color="000000" w:sz="4" w:space="4"/>
          <w:bottom w:val="single" w:color="000000" w:sz="4" w:space="1"/>
          <w:right w:val="single" w:color="000000" w:sz="4" w:space="4"/>
        </w:pBdr>
        <w:shd w:val="clear" w:color="auto" w:fill="B4C6E7"/>
        <w:jc w:val="center"/>
      </w:pPr>
      <w:r>
        <w:t xml:space="preserve">75012 PARIS</w:t>
      </w:r>
    </w:p>
    <w:p w:rsidR="00C75B93" w:rsidRDefault="00C75B93" w14:paraId="4ADE25D1" w14:textId="77777777">
      <w:pPr>
        <w:pStyle w:val="RedaliaNormal"/>
        <w:jc w:val="center"/>
      </w:pPr>
    </w:p>
    <w:p w:rsidR="00C75B93" w:rsidRDefault="00000000" w14:paraId="475D8D41" w14:textId="77777777">
      <w:pPr>
        <w:pStyle w:val="RedaliaNormal"/>
        <w:pBdr>
          <w:top w:val="single" w:color="000000" w:sz="4" w:space="1"/>
          <w:left w:val="single" w:color="000000" w:sz="4" w:space="4"/>
          <w:bottom w:val="single" w:color="000000" w:sz="4" w:space="1"/>
          <w:right w:val="single" w:color="000000" w:sz="4" w:space="4"/>
        </w:pBdr>
        <w:shd w:val="clear" w:color="auto" w:fill="B4C6E7"/>
        <w:jc w:val="center"/>
        <w:rPr>
          <w:b/>
          <w:bCs/>
        </w:rPr>
      </w:pPr>
      <w:r>
        <w:rPr>
          <w:b/>
          <w:bCs/>
        </w:rPr>
        <w:t xml:space="preserve">Assunto: Projeto de Desenvolvimento da Orla Marítima de Atalaia em Luís Correia, Piauí, Brasil: Diagnóstico territorial (incluindo estudo dos habitats críticos e da biodiversidade), concepção e programação de intervenção</w:t>
      </w:r>
    </w:p>
    <w:p w:rsidR="00C75B93" w:rsidRDefault="00000000" w14:paraId="6B00D7A5" w14:textId="77777777">
      <w:pPr>
        <w:pStyle w:val="RedaliaNormal"/>
        <w:pBdr>
          <w:top w:val="single" w:color="000000" w:sz="4" w:space="1"/>
          <w:left w:val="single" w:color="000000" w:sz="4" w:space="4"/>
          <w:bottom w:val="single" w:color="000000" w:sz="4" w:space="1"/>
          <w:right w:val="single" w:color="000000" w:sz="4" w:space="4"/>
        </w:pBdr>
        <w:shd w:val="clear" w:color="auto" w:fill="B4C6E7"/>
        <w:jc w:val="center"/>
        <w:rPr>
          <w:b/>
          <w:bCs/>
        </w:rPr>
      </w:pPr>
      <w:r>
        <w:rPr>
          <w:b/>
          <w:bCs/>
        </w:rPr>
        <w:t xml:space="preserve">VIL-2025-0366</w:t>
      </w:r>
    </w:p>
    <w:p w:rsidR="00C75B93" w:rsidRDefault="00C75B93" w14:paraId="1A5DB766" w14:textId="77777777">
      <w:pPr>
        <w:pStyle w:val="RedaliaNormal"/>
      </w:pPr>
    </w:p>
    <w:p w:rsidR="00C75B93" w:rsidRDefault="00000000" w14:paraId="1851919C" w14:textId="77777777">
      <w:pPr>
        <w:pStyle w:val="RdaliaTitreparagraphe"/>
      </w:pPr>
      <w:r>
        <w:t xml:space="preserve">Prazo para apresentação de propostas</w:t>
      </w:r>
    </w:p>
    <w:p w:rsidR="00C75B93" w:rsidRDefault="00000000" w14:paraId="0C4BC113" w14:textId="77777777">
      <w:pPr>
        <w:pStyle w:val="RedaliaNormal"/>
      </w:pPr>
      <w:r>
        <w:t xml:space="preserve">Data: 24/10/2025</w:t>
      </w:r>
    </w:p>
    <w:p w:rsidR="00C75B93" w:rsidRDefault="00000000" w14:paraId="513AC09B" w14:textId="77777777">
      <w:pPr>
        <w:pStyle w:val="RedaliaNormal"/>
      </w:pPr>
      <w:r>
        <w:t xml:space="preserve">Hora: 14:00 (horário de Paris)</w:t>
      </w:r>
    </w:p>
    <w:p w:rsidR="00C75B93" w:rsidRDefault="00C75B93" w14:paraId="55FBD7D1" w14:textId="77777777">
      <w:pPr>
        <w:pStyle w:val="RedaliaNormal"/>
      </w:pPr>
    </w:p>
    <w:p w:rsidR="00C75B93" w:rsidRDefault="00C75B93" w14:paraId="39936124" w14:textId="77777777">
      <w:pPr>
        <w:pStyle w:val="RedaliaNormal"/>
      </w:pPr>
    </w:p>
    <w:p w:rsidR="00C75B93" w:rsidRDefault="00C75B93" w14:paraId="6602715A" w14:textId="77777777">
      <w:pPr>
        <w:pStyle w:val="RedaliaSoustitredocument"/>
      </w:pPr>
    </w:p>
    <w:p w:rsidR="00C75B93" w:rsidRDefault="00C75B93" w14:paraId="06C36A48" w14:textId="77777777">
      <w:pPr>
        <w:pStyle w:val="RedaliaSoustitredocument"/>
      </w:pPr>
    </w:p>
    <w:p w:rsidR="00C75B93" w:rsidRDefault="00000000" w14:paraId="11D104CE" w14:textId="77777777">
      <w:pPr>
        <w:pStyle w:val="RedaliaSoustitredocument"/>
        <w:pBdr>
          <w:top w:val="single" w:color="000000" w:sz="4" w:space="1"/>
          <w:left w:val="single" w:color="000000" w:sz="4" w:space="4"/>
          <w:bottom w:val="single" w:color="000000" w:sz="4" w:space="1"/>
          <w:right w:val="single" w:color="000000" w:sz="4" w:space="4"/>
        </w:pBdr>
        <w:shd w:val="clear" w:color="auto" w:fill="B4C6E7"/>
        <w:rPr>
          <w:b/>
          <w:sz w:val="24"/>
          <w:szCs w:val="24"/>
        </w:rPr>
      </w:pPr>
      <w:r>
        <w:rPr>
          <w:b/>
          <w:sz w:val="24"/>
          <w:szCs w:val="24"/>
        </w:rPr>
        <w:t xml:space="preserve">Regras de consulta</w:t>
      </w:r>
    </w:p>
    <w:p w:rsidR="00C75B93" w:rsidRDefault="00C75B93" w14:paraId="1AB2129A" w14:textId="77777777">
      <w:pPr>
        <w:pStyle w:val="RedaliaNormal"/>
      </w:pPr>
    </w:p>
    <w:p w:rsidR="00C75B93" w:rsidRDefault="00C75B93" w14:paraId="3C806787" w14:textId="77777777"/>
    <w:p w:rsidR="00C75B93" w:rsidRDefault="00000000" w14:paraId="251067C2" w14:textId="77777777">
      <w:pPr>
        <w:pStyle w:val="RdaliaTitredossier"/>
        <w:pageBreakBefore/>
      </w:pPr>
      <w:r>
        <w:lastRenderedPageBreak/>
        <w:t xml:space="preserve">Sumário</w:t>
      </w:r>
    </w:p>
    <w:p w:rsidR="00C75B93" w:rsidRDefault="00C75B93" w14:paraId="01693C6C" w14:textId="77777777"/>
    <w:p w:rsidR="00C75B93" w:rsidRDefault="00000000" w14:paraId="3D3F9E87" w14:textId="77777777">
      <w:pPr>
        <w:pStyle w:val="TM1"/>
        <w:tabs>
          <w:tab w:val="right" w:leader="dot" w:pos="30.05pt"/>
        </w:tabs>
      </w:pPr>
      <w:r>
        <w:rPr>
          <w:b w:val="0"/>
          <w:kern w:val="0"/>
          <w:sz w:val="22"/>
        </w:rPr>
        <w:fldChar w:fldCharType="begin"/>
      </w:r>
      <w:r>
        <w:instrText xml:space="preserve"> TOC \o "1-2" \u \h </w:instrText>
      </w:r>
      <w:r>
        <w:rPr>
          <w:b w:val="0"/>
          <w:kern w:val="0"/>
          <w:sz w:val="22"/>
        </w:rPr>
        <w:fldChar w:fldCharType="separate"/>
      </w:r>
      <w:hyperlink w:history="1" r:id="rId8">
        <w:r>
          <w:rPr>
            <w:rStyle w:val="Lienhypertexte"/>
          </w:rPr>
          <w:t xml:space="preserve">1.</w:t>
        </w:r>
        <w:r>
          <w:rPr>
            <w:rFonts w:ascii="Aptos" w:hAnsi="Aptos" w:eastAsia="Times New Roman" w:cs="Times New Roman"/>
            <w:b w:val="0"/>
            <w:szCs w:val="24"/>
          </w:rPr>
          <w:tab/>
        </w:r>
        <w:r>
          <w:rPr>
            <w:rStyle w:val="Lienhypertexte"/>
          </w:rPr>
          <w:t xml:space="preserve">Objeto do contrato</w:t>
        </w:r>
        <w:r>
          <w:tab/>
          <w:t xml:space="preserve">3</w:t>
        </w:r>
      </w:hyperlink>
    </w:p>
    <w:p w:rsidR="00C75B93" w:rsidRDefault="00000000" w14:paraId="4CB169B9" w14:textId="77777777">
      <w:pPr>
        <w:pStyle w:val="TM2"/>
        <w:tabs>
          <w:tab w:val="right" w:leader="dot" w:pos="39.95pt"/>
        </w:tabs>
      </w:pPr>
      <w:hyperlink w:history="1" r:id="rId9">
        <w:r>
          <w:rPr>
            <w:rStyle w:val="Lienhypertexte"/>
          </w:rPr>
          <w:t xml:space="preserve">1.1</w:t>
        </w:r>
        <w:r>
          <w:rPr>
            <w:rFonts w:ascii="Aptos" w:hAnsi="Aptos" w:eastAsia="Times New Roman" w:cs="Times New Roman"/>
            <w:kern w:val="3"/>
            <w:sz w:val="24"/>
            <w:szCs w:val="24"/>
          </w:rPr>
          <w:tab/>
        </w:r>
        <w:r>
          <w:rPr>
            <w:rStyle w:val="Lienhypertexte"/>
          </w:rPr>
          <w:t xml:space="preserve">Forma do mercado</w:t>
        </w:r>
        <w:r>
          <w:tab/>
          <w:t xml:space="preserve">3</w:t>
        </w:r>
      </w:hyperlink>
    </w:p>
    <w:p w:rsidR="00C75B93" w:rsidRDefault="00000000" w14:paraId="4D31CADA" w14:textId="77777777">
      <w:pPr>
        <w:pStyle w:val="TM2"/>
        <w:tabs>
          <w:tab w:val="right" w:leader="dot" w:pos="39.95pt"/>
        </w:tabs>
      </w:pPr>
      <w:hyperlink w:history="1" r:id="rId10">
        <w:r>
          <w:rPr>
            <w:rStyle w:val="Lienhypertexte"/>
          </w:rPr>
          <w:t xml:space="preserve">1.2</w:t>
        </w:r>
        <w:r>
          <w:rPr>
            <w:rFonts w:ascii="Aptos" w:hAnsi="Aptos" w:eastAsia="Times New Roman" w:cs="Times New Roman"/>
            <w:kern w:val="3"/>
            <w:sz w:val="24"/>
            <w:szCs w:val="24"/>
          </w:rPr>
          <w:tab/>
        </w:r>
        <w:r>
          <w:rPr>
            <w:rStyle w:val="Lienhypertexte"/>
          </w:rPr>
          <w:t xml:space="preserve">Duração do contrato - Renovação - Prazos de execução</w:t>
        </w:r>
        <w:r>
          <w:tab/>
          <w:t xml:space="preserve">3</w:t>
        </w:r>
      </w:hyperlink>
    </w:p>
    <w:p w:rsidR="00C75B93" w:rsidRDefault="00000000" w14:paraId="0A3FF593" w14:textId="77777777">
      <w:pPr>
        <w:pStyle w:val="TM2"/>
        <w:tabs>
          <w:tab w:val="right" w:leader="dot" w:pos="39.95pt"/>
        </w:tabs>
      </w:pPr>
      <w:hyperlink w:history="1" r:id="rId11">
        <w:r>
          <w:rPr>
            <w:rStyle w:val="Lienhypertexte"/>
          </w:rPr>
          <w:t xml:space="preserve">1.3</w:t>
        </w:r>
        <w:r>
          <w:rPr>
            <w:rFonts w:ascii="Aptos" w:hAnsi="Aptos" w:eastAsia="Times New Roman" w:cs="Times New Roman"/>
            <w:kern w:val="3"/>
            <w:sz w:val="24"/>
            <w:szCs w:val="24"/>
          </w:rPr>
          <w:tab/>
        </w:r>
        <w:r>
          <w:rPr>
            <w:rStyle w:val="Lienhypertexte"/>
          </w:rPr>
          <w:t xml:space="preserve">Contratos de prestação de serviços similares</w:t>
        </w:r>
        <w:r>
          <w:tab/>
          <w:t xml:space="preserve">3</w:t>
        </w:r>
      </w:hyperlink>
    </w:p>
    <w:p w:rsidR="00C75B93" w:rsidRDefault="00000000" w14:paraId="52BCBCDA" w14:textId="77777777">
      <w:pPr>
        <w:pStyle w:val="TM1"/>
        <w:tabs>
          <w:tab w:val="right" w:leader="dot" w:pos="30.05pt"/>
        </w:tabs>
      </w:pPr>
      <w:hyperlink w:history="1" r:id="rId12">
        <w:r>
          <w:rPr>
            <w:rStyle w:val="Lienhypertexte"/>
          </w:rPr>
          <w:t xml:space="preserve">2.</w:t>
        </w:r>
        <w:r>
          <w:rPr>
            <w:rFonts w:ascii="Aptos" w:hAnsi="Aptos" w:eastAsia="Times New Roman" w:cs="Times New Roman"/>
            <w:b w:val="0"/>
            <w:szCs w:val="24"/>
          </w:rPr>
          <w:tab/>
        </w:r>
        <w:r>
          <w:rPr>
            <w:rStyle w:val="Lienhypertexte"/>
          </w:rPr>
          <w:t xml:space="preserve">Organização da consulta</w:t>
        </w:r>
        <w:r>
          <w:tab/>
          <w:t xml:space="preserve">3</w:t>
        </w:r>
      </w:hyperlink>
    </w:p>
    <w:p w:rsidR="00C75B93" w:rsidRDefault="00000000" w14:paraId="2DA5D6BB" w14:textId="77777777">
      <w:pPr>
        <w:pStyle w:val="TM2"/>
        <w:tabs>
          <w:tab w:val="right" w:leader="dot" w:pos="39.95pt"/>
        </w:tabs>
      </w:pPr>
      <w:hyperlink w:history="1" r:id="rId13">
        <w:r>
          <w:rPr>
            <w:rStyle w:val="Lienhypertexte"/>
          </w:rPr>
          <w:t xml:space="preserve">2.1</w:t>
        </w:r>
        <w:r>
          <w:rPr>
            <w:rFonts w:ascii="Aptos" w:hAnsi="Aptos" w:eastAsia="Times New Roman" w:cs="Times New Roman"/>
            <w:kern w:val="3"/>
            <w:sz w:val="24"/>
            <w:szCs w:val="24"/>
          </w:rPr>
          <w:tab/>
        </w:r>
        <w:r>
          <w:rPr>
            <w:rStyle w:val="Lienhypertexte"/>
          </w:rPr>
          <w:t xml:space="preserve">Procedimento de contratação</w:t>
        </w:r>
        <w:r>
          <w:tab/>
          <w:t xml:space="preserve">3</w:t>
        </w:r>
      </w:hyperlink>
    </w:p>
    <w:p w:rsidR="00C75B93" w:rsidRDefault="00000000" w14:paraId="4E2B8E1D" w14:textId="77777777">
      <w:pPr>
        <w:pStyle w:val="TM2"/>
        <w:tabs>
          <w:tab w:val="right" w:leader="dot" w:pos="39.95pt"/>
        </w:tabs>
      </w:pPr>
      <w:hyperlink w:history="1" r:id="rId14">
        <w:r>
          <w:rPr>
            <w:rStyle w:val="Lienhypertexte"/>
          </w:rPr>
          <w:t xml:space="preserve">2.2</w:t>
        </w:r>
        <w:r>
          <w:rPr>
            <w:rFonts w:ascii="Aptos" w:hAnsi="Aptos" w:eastAsia="Times New Roman" w:cs="Times New Roman"/>
            <w:kern w:val="3"/>
            <w:sz w:val="24"/>
            <w:szCs w:val="24"/>
          </w:rPr>
          <w:tab/>
        </w:r>
        <w:r>
          <w:rPr>
            <w:rStyle w:val="Lienhypertexte"/>
          </w:rPr>
          <w:t xml:space="preserve">Justificação em caso de não lotação</w:t>
        </w:r>
        <w:r>
          <w:tab/>
          <w:t xml:space="preserve">3</w:t>
        </w:r>
      </w:hyperlink>
    </w:p>
    <w:p w:rsidR="00C75B93" w:rsidRDefault="00000000" w14:paraId="77F7C1A1" w14:textId="77777777">
      <w:pPr>
        <w:pStyle w:val="TM2"/>
        <w:tabs>
          <w:tab w:val="right" w:leader="dot" w:pos="39.95pt"/>
        </w:tabs>
      </w:pPr>
      <w:hyperlink w:history="1" r:id="rId15">
        <w:r>
          <w:rPr>
            <w:rStyle w:val="Lienhypertexte"/>
          </w:rPr>
          <w:t xml:space="preserve">2.3</w:t>
        </w:r>
        <w:r>
          <w:rPr>
            <w:rFonts w:ascii="Aptos" w:hAnsi="Aptos" w:eastAsia="Times New Roman" w:cs="Times New Roman"/>
            <w:kern w:val="3"/>
            <w:sz w:val="24"/>
            <w:szCs w:val="24"/>
          </w:rPr>
          <w:tab/>
        </w:r>
        <w:r>
          <w:rPr>
            <w:rStyle w:val="Lienhypertexte"/>
          </w:rPr>
          <w:t xml:space="preserve">Disposições relativas aos agrupamentos</w:t>
        </w:r>
        <w:r>
          <w:tab/>
          <w:t xml:space="preserve">3</w:t>
        </w:r>
      </w:hyperlink>
    </w:p>
    <w:p w:rsidR="00C75B93" w:rsidRDefault="00000000" w14:paraId="76CC282F" w14:textId="77777777">
      <w:pPr>
        <w:pStyle w:val="TM2"/>
        <w:tabs>
          <w:tab w:val="right" w:leader="dot" w:pos="39.95pt"/>
        </w:tabs>
      </w:pPr>
      <w:hyperlink w:history="1" r:id="rId16">
        <w:r>
          <w:rPr>
            <w:rStyle w:val="Lienhypertexte"/>
          </w:rPr>
          <w:t xml:space="preserve">2.4</w:t>
        </w:r>
        <w:r>
          <w:rPr>
            <w:rFonts w:ascii="Aptos" w:hAnsi="Aptos" w:eastAsia="Times New Roman" w:cs="Times New Roman"/>
            <w:kern w:val="3"/>
            <w:sz w:val="24"/>
            <w:szCs w:val="24"/>
          </w:rPr>
          <w:tab/>
        </w:r>
        <w:r>
          <w:rPr>
            <w:rStyle w:val="Lienhypertexte"/>
          </w:rPr>
          <w:t xml:space="preserve">Variantes livres</w:t>
        </w:r>
        <w:r>
          <w:tab/>
          <w:t xml:space="preserve">4</w:t>
        </w:r>
      </w:hyperlink>
    </w:p>
    <w:p w:rsidR="00C75B93" w:rsidRDefault="00000000" w14:paraId="112E8618" w14:textId="77777777">
      <w:pPr>
        <w:pStyle w:val="TM2"/>
        <w:tabs>
          <w:tab w:val="right" w:leader="dot" w:pos="39.95pt"/>
        </w:tabs>
      </w:pPr>
      <w:hyperlink w:history="1" r:id="rId17">
        <w:r>
          <w:rPr>
            <w:rStyle w:val="Lienhypertexte"/>
          </w:rPr>
          <w:t xml:space="preserve">2,5</w:t>
        </w:r>
        <w:r>
          <w:rPr>
            <w:rFonts w:ascii="Aptos" w:hAnsi="Aptos" w:eastAsia="Times New Roman" w:cs="Times New Roman"/>
            <w:kern w:val="3"/>
            <w:sz w:val="24"/>
            <w:szCs w:val="24"/>
          </w:rPr>
          <w:tab/>
        </w:r>
        <w:r>
          <w:rPr>
            <w:rStyle w:val="Lienhypertexte"/>
          </w:rPr>
          <w:t xml:space="preserve">Variantes impostas</w:t>
        </w:r>
        <w:r>
          <w:tab/>
          <w:t xml:space="preserve">4</w:t>
        </w:r>
      </w:hyperlink>
    </w:p>
    <w:p w:rsidR="00C75B93" w:rsidRDefault="00000000" w14:paraId="40DAF34D" w14:textId="77777777">
      <w:pPr>
        <w:pStyle w:val="TM2"/>
        <w:tabs>
          <w:tab w:val="right" w:leader="dot" w:pos="39.95pt"/>
        </w:tabs>
      </w:pPr>
      <w:hyperlink w:history="1" r:id="rId18">
        <w:r>
          <w:rPr>
            <w:rStyle w:val="Lienhypertexte"/>
          </w:rPr>
          <w:t xml:space="preserve">2.6</w:t>
        </w:r>
        <w:r>
          <w:rPr>
            <w:rFonts w:ascii="Aptos" w:hAnsi="Aptos" w:eastAsia="Times New Roman" w:cs="Times New Roman"/>
            <w:kern w:val="3"/>
            <w:sz w:val="24"/>
            <w:szCs w:val="24"/>
          </w:rPr>
          <w:tab/>
        </w:r>
        <w:r>
          <w:rPr>
            <w:rStyle w:val="Lienhypertexte"/>
          </w:rPr>
          <w:t xml:space="preserve">Alteração do DCE</w:t>
        </w:r>
        <w:r>
          <w:tab/>
          <w:t xml:space="preserve">4</w:t>
        </w:r>
      </w:hyperlink>
    </w:p>
    <w:p w:rsidR="00C75B93" w:rsidRDefault="00000000" w14:paraId="2AB4ADBC" w14:textId="77777777">
      <w:pPr>
        <w:pStyle w:val="TM2"/>
        <w:tabs>
          <w:tab w:val="right" w:leader="dot" w:pos="39.95pt"/>
        </w:tabs>
      </w:pPr>
      <w:hyperlink w:history="1" r:id="rId19">
        <w:r>
          <w:rPr>
            <w:rStyle w:val="Lienhypertexte"/>
          </w:rPr>
          <w:t xml:space="preserve">2.7</w:t>
        </w:r>
        <w:r>
          <w:rPr>
            <w:rFonts w:ascii="Aptos" w:hAnsi="Aptos" w:eastAsia="Times New Roman" w:cs="Times New Roman"/>
            <w:kern w:val="3"/>
            <w:sz w:val="24"/>
            <w:szCs w:val="24"/>
          </w:rPr>
          <w:tab/>
        </w:r>
        <w:r>
          <w:rPr>
            <w:rStyle w:val="Lienhypertexte"/>
          </w:rPr>
          <w:t xml:space="preserve">Prazo de validade das ofertas</w:t>
        </w:r>
        <w:r>
          <w:tab/>
          <w:t xml:space="preserve">4</w:t>
        </w:r>
      </w:hyperlink>
    </w:p>
    <w:p w:rsidR="00C75B93" w:rsidRDefault="00000000" w14:paraId="7079DA30" w14:textId="77777777">
      <w:pPr>
        <w:pStyle w:val="TM1"/>
        <w:tabs>
          <w:tab w:val="right" w:leader="dot" w:pos="30.05pt"/>
        </w:tabs>
      </w:pPr>
      <w:hyperlink w:history="1" r:id="rId20">
        <w:r>
          <w:rPr>
            <w:rStyle w:val="Lienhypertexte"/>
          </w:rPr>
          <w:t xml:space="preserve">3.</w:t>
        </w:r>
        <w:r>
          <w:rPr>
            <w:rFonts w:ascii="Aptos" w:hAnsi="Aptos" w:eastAsia="Times New Roman" w:cs="Times New Roman"/>
            <w:b w:val="0"/>
            <w:szCs w:val="24"/>
          </w:rPr>
          <w:tab/>
        </w:r>
        <w:r>
          <w:rPr>
            <w:rStyle w:val="Lienhypertexte"/>
          </w:rPr>
          <w:t xml:space="preserve">Conteúdo do dossiê de consulta</w:t>
        </w:r>
        <w:r>
          <w:tab/>
          <w:t xml:space="preserve">4</w:t>
        </w:r>
      </w:hyperlink>
    </w:p>
    <w:p w:rsidR="00C75B93" w:rsidRDefault="00000000" w14:paraId="0DB45BED" w14:textId="77777777">
      <w:pPr>
        <w:pStyle w:val="TM1"/>
        <w:tabs>
          <w:tab w:val="right" w:leader="dot" w:pos="30.05pt"/>
        </w:tabs>
      </w:pPr>
      <w:hyperlink w:history="1" r:id="rId21">
        <w:r>
          <w:rPr>
            <w:rStyle w:val="Lienhypertexte"/>
          </w:rPr>
          <w:t xml:space="preserve">4.</w:t>
        </w:r>
        <w:r>
          <w:rPr>
            <w:rFonts w:ascii="Aptos" w:hAnsi="Aptos" w:eastAsia="Times New Roman" w:cs="Times New Roman"/>
            <w:b w:val="0"/>
            <w:szCs w:val="24"/>
          </w:rPr>
          <w:tab/>
        </w:r>
        <w:r>
          <w:rPr>
            <w:rStyle w:val="Lienhypertexte"/>
          </w:rPr>
          <w:t xml:space="preserve">Retirada do dossiê de consulta</w:t>
        </w:r>
        <w:r>
          <w:tab/>
          <w:t xml:space="preserve">4</w:t>
        </w:r>
      </w:hyperlink>
    </w:p>
    <w:p w:rsidR="00C75B93" w:rsidRDefault="00000000" w14:paraId="5B374992" w14:textId="77777777">
      <w:pPr>
        <w:pStyle w:val="TM1"/>
        <w:tabs>
          <w:tab w:val="right" w:leader="dot" w:pos="30.05pt"/>
        </w:tabs>
      </w:pPr>
      <w:hyperlink w:history="1" r:id="rId22">
        <w:r>
          <w:rPr>
            <w:rStyle w:val="Lienhypertexte"/>
          </w:rPr>
          <w:t xml:space="preserve">5.</w:t>
        </w:r>
        <w:r>
          <w:rPr>
            <w:rFonts w:ascii="Aptos" w:hAnsi="Aptos" w:eastAsia="Times New Roman" w:cs="Times New Roman"/>
            <w:b w:val="0"/>
            <w:szCs w:val="24"/>
          </w:rPr>
          <w:tab/>
        </w:r>
        <w:r>
          <w:rPr>
            <w:rStyle w:val="Lienhypertexte"/>
          </w:rPr>
          <w:t xml:space="preserve">Apresentação de candidaturas e ofertas</w:t>
        </w:r>
        <w:r>
          <w:tab/>
          <w:t xml:space="preserve">5</w:t>
        </w:r>
      </w:hyperlink>
    </w:p>
    <w:p w:rsidR="00C75B93" w:rsidRDefault="00000000" w14:paraId="730E41E6" w14:textId="77777777">
      <w:pPr>
        <w:pStyle w:val="TM2"/>
        <w:tabs>
          <w:tab w:val="right" w:leader="dot" w:pos="39.95pt"/>
        </w:tabs>
      </w:pPr>
      <w:hyperlink w:history="1" r:id="rId23">
        <w:r>
          <w:rPr>
            <w:rStyle w:val="Lienhypertexte"/>
          </w:rPr>
          <w:t xml:space="preserve">5.1</w:t>
        </w:r>
        <w:r>
          <w:rPr>
            <w:rFonts w:ascii="Aptos" w:hAnsi="Aptos" w:eastAsia="Times New Roman" w:cs="Times New Roman"/>
            <w:kern w:val="3"/>
            <w:sz w:val="24"/>
            <w:szCs w:val="24"/>
          </w:rPr>
          <w:tab/>
        </w:r>
        <w:r>
          <w:rPr>
            <w:rStyle w:val="Lienhypertexte"/>
          </w:rPr>
          <w:t xml:space="preserve">Elementos necessários para a seleção das candidaturas:</w:t>
        </w:r>
        <w:r>
          <w:tab/>
          <w:t xml:space="preserve">5</w:t>
        </w:r>
      </w:hyperlink>
    </w:p>
    <w:p w:rsidR="00C75B93" w:rsidRDefault="00000000" w14:paraId="050308EC" w14:textId="77777777">
      <w:pPr>
        <w:pStyle w:val="TM2"/>
        <w:tabs>
          <w:tab w:val="right" w:leader="dot" w:pos="39.95pt"/>
        </w:tabs>
      </w:pPr>
      <w:hyperlink w:history="1" r:id="rId24">
        <w:r>
          <w:rPr>
            <w:rStyle w:val="Lienhypertexte"/>
          </w:rPr>
          <w:t xml:space="preserve">5.2</w:t>
        </w:r>
        <w:r>
          <w:rPr>
            <w:rFonts w:ascii="Aptos" w:hAnsi="Aptos" w:eastAsia="Times New Roman" w:cs="Times New Roman"/>
            <w:kern w:val="3"/>
            <w:sz w:val="24"/>
            <w:szCs w:val="24"/>
          </w:rPr>
          <w:tab/>
        </w:r>
        <w:r>
          <w:rPr>
            <w:rStyle w:val="Lienhypertexte"/>
          </w:rPr>
          <w:t xml:space="preserve">Elementos necessários para a escolha da oferta</w:t>
        </w:r>
        <w:r>
          <w:tab/>
          <w:t xml:space="preserve">6</w:t>
        </w:r>
      </w:hyperlink>
    </w:p>
    <w:p w:rsidR="00C75B93" w:rsidRDefault="00000000" w14:paraId="6079FCA8" w14:textId="77777777">
      <w:pPr>
        <w:pStyle w:val="TM1"/>
        <w:tabs>
          <w:tab w:val="right" w:leader="dot" w:pos="30.05pt"/>
        </w:tabs>
      </w:pPr>
      <w:hyperlink w:history="1" r:id="rId25">
        <w:r>
          <w:rPr>
            <w:rStyle w:val="Lienhypertexte"/>
          </w:rPr>
          <w:t xml:space="preserve">6.</w:t>
        </w:r>
        <w:r>
          <w:rPr>
            <w:rFonts w:ascii="Aptos" w:hAnsi="Aptos" w:eastAsia="Times New Roman" w:cs="Times New Roman"/>
            <w:b w:val="0"/>
            <w:szCs w:val="24"/>
          </w:rPr>
          <w:tab/>
        </w:r>
        <w:r>
          <w:rPr>
            <w:rStyle w:val="Lienhypertexte"/>
          </w:rPr>
          <w:t xml:space="preserve">Julgamento das candidaturas, das propostas e adjudicação do contrato</w:t>
        </w:r>
        <w:r>
          <w:tab/>
          <w:t xml:space="preserve">7</w:t>
        </w:r>
      </w:hyperlink>
    </w:p>
    <w:p w:rsidR="00C75B93" w:rsidRDefault="00000000" w14:paraId="42DE9857" w14:textId="77777777">
      <w:pPr>
        <w:pStyle w:val="TM2"/>
        <w:tabs>
          <w:tab w:val="right" w:leader="dot" w:pos="39.95pt"/>
        </w:tabs>
      </w:pPr>
      <w:hyperlink w:history="1" r:id="rId26">
        <w:r>
          <w:rPr>
            <w:rStyle w:val="Lienhypertexte"/>
          </w:rPr>
          <w:t xml:space="preserve">6.1</w:t>
        </w:r>
        <w:r>
          <w:rPr>
            <w:rFonts w:ascii="Aptos" w:hAnsi="Aptos" w:eastAsia="Times New Roman" w:cs="Times New Roman"/>
            <w:kern w:val="3"/>
            <w:sz w:val="24"/>
            <w:szCs w:val="24"/>
          </w:rPr>
          <w:tab/>
        </w:r>
        <w:r>
          <w:rPr>
            <w:rStyle w:val="Lienhypertexte"/>
          </w:rPr>
          <w:t xml:space="preserve">Seleção das candidaturas</w:t>
        </w:r>
        <w:r>
          <w:tab/>
          <w:t xml:space="preserve">7</w:t>
        </w:r>
      </w:hyperlink>
    </w:p>
    <w:p w:rsidR="00C75B93" w:rsidRDefault="00000000" w14:paraId="70871D3D" w14:textId="77777777">
      <w:pPr>
        <w:pStyle w:val="TM2"/>
        <w:tabs>
          <w:tab w:val="right" w:leader="dot" w:pos="39.95pt"/>
        </w:tabs>
      </w:pPr>
      <w:hyperlink w:history="1" r:id="rId27">
        <w:r>
          <w:rPr>
            <w:rStyle w:val="Lienhypertexte"/>
          </w:rPr>
          <w:t xml:space="preserve">6.2</w:t>
        </w:r>
        <w:r>
          <w:rPr>
            <w:rFonts w:ascii="Aptos" w:hAnsi="Aptos" w:eastAsia="Times New Roman" w:cs="Times New Roman"/>
            <w:kern w:val="3"/>
            <w:sz w:val="24"/>
            <w:szCs w:val="24"/>
          </w:rPr>
          <w:tab/>
        </w:r>
        <w:r>
          <w:rPr>
            <w:rStyle w:val="Lienhypertexte"/>
          </w:rPr>
          <w:t xml:space="preserve">Julgamento das candidaturas</w:t>
        </w:r>
        <w:r>
          <w:tab/>
          <w:t xml:space="preserve">7</w:t>
        </w:r>
      </w:hyperlink>
    </w:p>
    <w:p w:rsidR="00C75B93" w:rsidRDefault="00000000" w14:paraId="0A79B2FC" w14:textId="77777777">
      <w:pPr>
        <w:pStyle w:val="TM2"/>
        <w:tabs>
          <w:tab w:val="right" w:leader="dot" w:pos="39.95pt"/>
        </w:tabs>
      </w:pPr>
      <w:hyperlink w:history="1" r:id="rId28">
        <w:r>
          <w:rPr>
            <w:rStyle w:val="Lienhypertexte"/>
          </w:rPr>
          <w:t xml:space="preserve">6.3</w:t>
        </w:r>
        <w:r>
          <w:rPr>
            <w:rFonts w:ascii="Aptos" w:hAnsi="Aptos" w:eastAsia="Times New Roman" w:cs="Times New Roman"/>
            <w:kern w:val="3"/>
            <w:sz w:val="24"/>
            <w:szCs w:val="24"/>
          </w:rPr>
          <w:tab/>
        </w:r>
        <w:r>
          <w:rPr>
            <w:rStyle w:val="Lienhypertexte"/>
          </w:rPr>
          <w:t xml:space="preserve">Julgamento das ofertas</w:t>
        </w:r>
        <w:r>
          <w:tab/>
          <w:t xml:space="preserve">7</w:t>
        </w:r>
      </w:hyperlink>
    </w:p>
    <w:p w:rsidR="00C75B93" w:rsidRDefault="00000000" w14:paraId="79D430E7" w14:textId="77777777">
      <w:pPr>
        <w:pStyle w:val="TM2"/>
        <w:tabs>
          <w:tab w:val="right" w:leader="dot" w:pos="39.95pt"/>
        </w:tabs>
      </w:pPr>
      <w:hyperlink w:history="1" r:id="rId29">
        <w:r>
          <w:rPr>
            <w:rStyle w:val="Lienhypertexte"/>
          </w:rPr>
          <w:t xml:space="preserve">6.4</w:t>
        </w:r>
        <w:r>
          <w:rPr>
            <w:rFonts w:ascii="Aptos" w:hAnsi="Aptos" w:eastAsia="Times New Roman" w:cs="Times New Roman"/>
            <w:kern w:val="3"/>
            <w:sz w:val="24"/>
            <w:szCs w:val="24"/>
          </w:rPr>
          <w:tab/>
        </w:r>
        <w:r>
          <w:rPr>
            <w:rStyle w:val="Lienhypertexte"/>
          </w:rPr>
          <w:t xml:space="preserve">Adjudicação do contrato</w:t>
        </w:r>
        <w:r>
          <w:tab/>
          <w:t xml:space="preserve">8</w:t>
        </w:r>
      </w:hyperlink>
    </w:p>
    <w:p w:rsidR="00C75B93" w:rsidRDefault="00000000" w14:paraId="5C65196F" w14:textId="77777777">
      <w:pPr>
        <w:pStyle w:val="TM1"/>
        <w:tabs>
          <w:tab w:val="right" w:leader="dot" w:pos="30.05pt"/>
        </w:tabs>
      </w:pPr>
      <w:hyperlink w:history="1" r:id="rId30">
        <w:r>
          <w:rPr>
            <w:rStyle w:val="Lienhypertexte"/>
          </w:rPr>
          <w:t xml:space="preserve">7.</w:t>
        </w:r>
        <w:r>
          <w:rPr>
            <w:rFonts w:ascii="Aptos" w:hAnsi="Aptos" w:eastAsia="Times New Roman" w:cs="Times New Roman"/>
            <w:b w:val="0"/>
            <w:szCs w:val="24"/>
          </w:rPr>
          <w:tab/>
        </w:r>
        <w:r>
          <w:rPr>
            <w:rStyle w:val="Lienhypertexte"/>
          </w:rPr>
          <w:t xml:space="preserve">Condições de envio e entrega das candidaturas e ofertas</w:t>
        </w:r>
        <w:r>
          <w:tab/>
          <w:t xml:space="preserve">9</w:t>
        </w:r>
      </w:hyperlink>
    </w:p>
    <w:p w:rsidR="00C75B93" w:rsidRDefault="00000000" w14:paraId="2D8D998F" w14:textId="77777777">
      <w:pPr>
        <w:pStyle w:val="TM1"/>
        <w:tabs>
          <w:tab w:val="right" w:leader="dot" w:pos="30.05pt"/>
        </w:tabs>
      </w:pPr>
      <w:hyperlink w:history="1" r:id="rId31">
        <w:r>
          <w:rPr>
            <w:rStyle w:val="Lienhypertexte"/>
          </w:rPr>
          <w:t xml:space="preserve">8.</w:t>
        </w:r>
        <w:r>
          <w:rPr>
            <w:rFonts w:ascii="Aptos" w:hAnsi="Aptos" w:eastAsia="Times New Roman" w:cs="Times New Roman"/>
            <w:b w:val="0"/>
            <w:szCs w:val="24"/>
          </w:rPr>
          <w:tab/>
        </w:r>
        <w:r>
          <w:rPr>
            <w:rStyle w:val="Lienhypertexte"/>
          </w:rPr>
          <w:t xml:space="preserve">Informações adicionais</w:t>
        </w:r>
        <w:r>
          <w:tab/>
          <w:t xml:space="preserve">11</w:t>
        </w:r>
      </w:hyperlink>
    </w:p>
    <w:p w:rsidR="00C75B93" w:rsidRDefault="00000000" w14:paraId="2C48BB72" w14:textId="77777777">
      <w:pPr>
        <w:pStyle w:val="TM1"/>
        <w:tabs>
          <w:tab w:val="right" w:leader="dot" w:pos="30.05pt"/>
        </w:tabs>
      </w:pPr>
      <w:hyperlink w:history="1" r:id="rId32">
        <w:r>
          <w:rPr>
            <w:rStyle w:val="Lienhypertexte"/>
          </w:rPr>
          <w:t xml:space="preserve">9.</w:t>
        </w:r>
        <w:r>
          <w:rPr>
            <w:rFonts w:ascii="Aptos" w:hAnsi="Aptos" w:eastAsia="Times New Roman" w:cs="Times New Roman"/>
            <w:b w:val="0"/>
            <w:szCs w:val="24"/>
          </w:rPr>
          <w:tab/>
        </w:r>
        <w:r>
          <w:rPr>
            <w:rStyle w:val="Lienhypertexte"/>
          </w:rPr>
          <w:t xml:space="preserve">Procedimentos de recurso</w:t>
        </w:r>
        <w:r>
          <w:tab/>
          <w:t xml:space="preserve">11</w:t>
        </w:r>
      </w:hyperlink>
    </w:p>
    <w:p w:rsidR="00C75B93" w:rsidRDefault="00000000" w14:paraId="7D4BDC9A" w14:textId="77777777">
      <w:pPr>
        <w:pStyle w:val="TM1"/>
        <w:tabs>
          <w:tab w:val="right" w:leader="dot" w:pos="30.05pt"/>
        </w:tabs>
      </w:pPr>
      <w:hyperlink w:history="1" r:id="rId33">
        <w:r>
          <w:rPr>
            <w:rStyle w:val="Lienhypertexte"/>
          </w:rPr>
          <w:t xml:space="preserve">10.</w:t>
        </w:r>
        <w:r>
          <w:rPr>
            <w:rFonts w:ascii="Aptos" w:hAnsi="Aptos" w:eastAsia="Times New Roman" w:cs="Times New Roman"/>
            <w:b w:val="0"/>
            <w:szCs w:val="24"/>
          </w:rPr>
          <w:tab/>
        </w:r>
        <w:r>
          <w:rPr>
            <w:rStyle w:val="Lienhypertexte"/>
          </w:rPr>
          <w:t xml:space="preserve">ANEXO: DECLARAÇÃO DE HONRA</w:t>
        </w:r>
        <w:r>
          <w:tab/>
          <w:t xml:space="preserve">12</w:t>
        </w:r>
      </w:hyperlink>
    </w:p>
    <w:p w:rsidR="00C75B93" w:rsidRDefault="00000000" w14:paraId="625AF821" w14:textId="77777777">
      <w:pPr>
        <w:pStyle w:val="TM1"/>
        <w:tabs>
          <w:tab w:val="right" w:leader="dot" w:pos="30.05pt"/>
        </w:tabs>
      </w:pPr>
      <w:hyperlink w:history="1" r:id="rId34">
        <w:r>
          <w:rPr>
            <w:rStyle w:val="Lienhypertexte"/>
          </w:rPr>
          <w:t xml:space="preserve">11.</w:t>
        </w:r>
        <w:r>
          <w:rPr>
            <w:rFonts w:ascii="Aptos" w:hAnsi="Aptos" w:eastAsia="Times New Roman" w:cs="Times New Roman"/>
            <w:b w:val="0"/>
            <w:szCs w:val="24"/>
          </w:rPr>
          <w:tab/>
        </w:r>
        <w:r>
          <w:rPr>
            <w:rStyle w:val="Lienhypertexte"/>
          </w:rPr>
          <w:t xml:space="preserve">Anexo: Quadro de resposta imposto</w:t>
        </w:r>
        <w:r>
          <w:tab/>
          <w:t xml:space="preserve">13</w:t>
        </w:r>
      </w:hyperlink>
    </w:p>
    <w:p w:rsidR="00C75B93" w:rsidRDefault="00000000" w14:paraId="56EDF150" w14:textId="77777777">
      <w:pPr>
        <w:pStyle w:val="TM1"/>
        <w:tabs>
          <w:tab w:val="right" w:leader="dot" w:pos="30.05pt"/>
        </w:tabs>
      </w:pPr>
      <w:hyperlink w:history="1" r:id="rId35">
        <w:r>
          <w:rPr>
            <w:rStyle w:val="Lienhypertexte"/>
          </w:rPr>
          <w:t xml:space="preserve">12.</w:t>
        </w:r>
        <w:r>
          <w:rPr>
            <w:rFonts w:ascii="Aptos" w:hAnsi="Aptos" w:eastAsia="Times New Roman" w:cs="Times New Roman"/>
            <w:b w:val="0"/>
            <w:szCs w:val="24"/>
          </w:rPr>
          <w:tab/>
        </w:r>
        <w:r>
          <w:rPr>
            <w:rStyle w:val="Lienhypertexte"/>
          </w:rPr>
          <w:t xml:space="preserve">Anexo: Requisitos para o certificado de assinatura</w:t>
        </w:r>
        <w:r>
          <w:tab/>
          <w:t xml:space="preserve">13</w:t>
        </w:r>
      </w:hyperlink>
    </w:p>
    <w:p w:rsidR="00C75B93" w:rsidRDefault="00000000" w14:paraId="014F766A" w14:textId="77777777">
      <w:r>
        <w:rPr>
          <w:b/>
          <w:kern w:val="3"/>
          <w:sz w:val="24"/>
        </w:rPr>
        <w:fldChar w:fldCharType="end"/>
      </w:r>
    </w:p>
    <w:p w:rsidR="00C75B93" w:rsidRDefault="00C75B93" w14:paraId="607E66A5" w14:textId="77777777"/>
    <w:p w:rsidR="00C75B93" w:rsidRDefault="00C75B93" w14:paraId="6C34B33D" w14:textId="77777777">
      <w:pPr>
        <w:pStyle w:val="RedaliaNormal"/>
      </w:pPr>
    </w:p>
    <w:p w:rsidR="00C75B93" w:rsidRDefault="00C75B93" w14:paraId="3CCD14A9" w14:textId="77777777">
      <w:pPr>
        <w:widowControl/>
        <w:suppressAutoHyphens w:val="0"/>
      </w:pPr>
      <w:bookmarkStart w:name="_Toc79067688" w:id="9"/>
      <w:bookmarkStart w:name="__RefHeading___Toc2556_629809420" w:id="10"/>
      <w:bookmarkEnd w:id="9"/>
    </w:p>
    <w:p w:rsidR="00C75B93" w:rsidRDefault="00000000" w14:paraId="229E67A5" w14:textId="77777777">
      <w:pPr>
        <w:pStyle w:val="RedaliaTitre1"/>
      </w:pPr>
      <w:bookmarkStart w:name="_Toc197507411" w:id="11"/>
      <w:bookmarkStart w:name="_Toc197527752" w:id="12"/>
      <w:bookmarkStart w:name="_Toc210310188" w:id="13"/>
      <w:r>
        <w:t xml:space="preserve">Objeto do contrato</w:t>
      </w:r>
      <w:bookmarkEnd w:id="10"/>
      <w:bookmarkEnd w:id="11"/>
      <w:bookmarkEnd w:id="12"/>
      <w:bookmarkEnd w:id="13"/>
    </w:p>
    <w:p w:rsidR="00C75B93" w:rsidRDefault="00000000" w14:paraId="31FAED06" w14:textId="77777777">
      <w:pPr>
        <w:pStyle w:val="RedaliaNormal"/>
      </w:pPr>
      <w:r>
        <w:t xml:space="preserve">A consulta tem por objeto: Projeto de ordenamento da orla marítima de Atalaia em Luís Correia, Piauí, Brasil: Diagnóstico territorial (incluindo estudo dos habitats críticos e da biodiversidade), concepção e programação de intervenção Locais de execução das prestações: França/Brasil.</w:t>
      </w:r>
    </w:p>
    <w:p w:rsidR="00C75B93" w:rsidRDefault="00000000" w14:paraId="0263CEFB" w14:textId="77777777">
      <w:pPr>
        <w:pStyle w:val="RedaliaTitre2"/>
      </w:pPr>
      <w:bookmarkStart w:name="__RefHeading___Toc2558_629809420" w:id="14"/>
      <w:bookmarkStart w:name="_Toc197507412" w:id="15"/>
      <w:bookmarkStart w:name="_Toc197527753" w:id="16"/>
      <w:bookmarkStart w:name="_Toc210310189" w:id="17"/>
      <w:r>
        <w:t xml:space="preserve">Forma do mercado</w:t>
      </w:r>
      <w:bookmarkEnd w:id="14"/>
      <w:bookmarkEnd w:id="15"/>
      <w:bookmarkEnd w:id="16"/>
      <w:bookmarkEnd w:id="17"/>
    </w:p>
    <w:p w:rsidR="00C75B93" w:rsidRDefault="00000000" w14:paraId="4A0837D1" w14:textId="77777777">
      <w:pPr>
        <w:pStyle w:val="RedaliaNormal"/>
      </w:pPr>
      <w:r>
        <w:t xml:space="preserve">A consulta não é decomposta em lotes. Os serviços resultarão num mercado único.</w:t>
      </w:r>
    </w:p>
    <w:p w:rsidR="00C75B93" w:rsidRDefault="00000000" w14:paraId="38523574" w14:textId="77777777">
      <w:pPr>
        <w:pStyle w:val="RedaliaNormal"/>
      </w:pPr>
      <w:r>
        <w:t xml:space="preserve">Este contrato também não é objeto de fracionamento em parcelas ou ordens de compra.</w:t>
      </w:r>
    </w:p>
    <w:p w:rsidR="00C75B93" w:rsidRDefault="00000000" w14:paraId="44D97C88" w14:textId="77777777">
      <w:pPr>
        <w:pStyle w:val="RedaliaTitre2"/>
      </w:pPr>
      <w:bookmarkStart w:name="_Toc79067692" w:id="18"/>
      <w:bookmarkStart w:name="__RefHeading___Toc2560_629809420" w:id="19"/>
      <w:bookmarkStart w:name="_Toc197507413" w:id="20"/>
      <w:bookmarkStart w:name="_Toc197527754" w:id="21"/>
      <w:bookmarkStart w:name="_Toc210310190" w:id="22"/>
      <w:r>
        <w:t xml:space="preserve">Duração do contrato - Renovação - Prazos de execução</w:t>
      </w:r>
      <w:bookmarkEnd w:id="18"/>
      <w:bookmarkEnd w:id="19"/>
      <w:bookmarkEnd w:id="20"/>
      <w:bookmarkEnd w:id="21"/>
      <w:bookmarkEnd w:id="22"/>
    </w:p>
    <w:p w:rsidR="00C75B93" w:rsidRDefault="00000000" w14:paraId="668B3BA1" w14:textId="77777777">
      <w:pPr>
        <w:pStyle w:val="RedaliaNormal"/>
      </w:pPr>
      <w:r>
        <w:t xml:space="preserve">A duração do contrato, as modalidades de recondução e os prazos de execução constam do contrato único.</w:t>
      </w:r>
    </w:p>
    <w:p w:rsidR="00C75B93" w:rsidRDefault="00000000" w14:paraId="067B819C" w14:textId="77777777">
      <w:pPr>
        <w:pStyle w:val="RedaliaTitre2"/>
      </w:pPr>
      <w:bookmarkStart w:name="_Toc24443071" w:id="23"/>
      <w:bookmarkStart w:name="__RefHeading___Toc2562_629809420" w:id="24"/>
      <w:bookmarkStart w:name="_Toc197507414" w:id="25"/>
      <w:bookmarkStart w:name="_Toc197527755" w:id="26"/>
      <w:bookmarkStart w:name="_Toc210310191" w:id="27"/>
      <w:r>
        <w:t xml:space="preserve">Contratos de prestação de serviços similares</w:t>
      </w:r>
      <w:bookmarkEnd w:id="23"/>
      <w:bookmarkEnd w:id="24"/>
      <w:bookmarkEnd w:id="25"/>
      <w:bookmarkEnd w:id="26"/>
      <w:bookmarkEnd w:id="27"/>
    </w:p>
    <w:p w:rsidR="00C75B93" w:rsidRDefault="00000000" w14:paraId="4B27E349" w14:textId="77777777">
      <w:pPr>
        <w:pStyle w:val="RedaliaNormal"/>
      </w:pPr>
      <w:r>
        <w:t xml:space="preserve">As prestações, objecto da presente consulta, poderão dar lugar a um novo contrato para a realização de prestações semelhantes, Que tenham sido adjudicadas por procedimento por negociação sem anúncio prévio e sem concurso e que serão executadas pelo adjudicatário deste contrato.</w:t>
      </w:r>
    </w:p>
    <w:p w:rsidR="00C75B93" w:rsidRDefault="00000000" w14:paraId="54474867" w14:textId="77777777">
      <w:pPr>
        <w:pStyle w:val="RedaliaTitre1"/>
      </w:pPr>
      <w:bookmarkStart w:name="_Toc79067693" w:id="28"/>
      <w:bookmarkStart w:name="__RefHeading___Toc2564_629809420" w:id="29"/>
      <w:bookmarkStart w:name="_Toc197507415" w:id="30"/>
      <w:bookmarkStart w:name="_Toc197527756" w:id="31"/>
      <w:bookmarkStart w:name="_Toc210310192" w:id="32"/>
      <w:r>
        <w:t xml:space="preserve">Organização da consulta</w:t>
      </w:r>
      <w:bookmarkEnd w:id="3"/>
      <w:bookmarkEnd w:id="28"/>
      <w:bookmarkEnd w:id="29"/>
      <w:bookmarkEnd w:id="30"/>
      <w:bookmarkEnd w:id="31"/>
      <w:bookmarkEnd w:id="32"/>
    </w:p>
    <w:p w:rsidR="00C75B93" w:rsidRDefault="00000000" w14:paraId="4DB16BF0" w14:textId="77777777">
      <w:pPr>
        <w:pStyle w:val="RedaliaTitre2"/>
      </w:pPr>
      <w:bookmarkStart w:name="_Toc526153319" w:id="33"/>
      <w:bookmarkStart w:name="_Toc79067694" w:id="34"/>
      <w:bookmarkStart w:name="__RefHeading___Toc2566_629809420" w:id="35"/>
      <w:bookmarkStart w:name="_Toc197507416" w:id="36"/>
      <w:bookmarkStart w:name="_Toc197527757" w:id="37"/>
      <w:bookmarkStart w:name="_Toc210310193" w:id="38"/>
      <w:r>
        <w:t xml:space="preserve">Procedimento de contratação</w:t>
      </w:r>
      <w:bookmarkEnd w:id="33"/>
      <w:r>
        <w:t/>
      </w:r>
      <w:bookmarkEnd w:id="34"/>
      <w:bookmarkEnd w:id="35"/>
      <w:bookmarkEnd w:id="36"/>
      <w:bookmarkEnd w:id="37"/>
      <w:bookmarkEnd w:id="38"/>
    </w:p>
    <w:p w:rsidR="00C75B93" w:rsidRDefault="00000000" w14:paraId="2A86ABD5" w14:textId="77777777">
      <w:pPr>
        <w:pStyle w:val="RedaliaNormal"/>
      </w:pPr>
      <w:r>
        <w:t xml:space="preserve">A presente consulta é realizada no respeito das disposições dos artigos R. 2123-1 e R. 2123-5 do Código da Contratação Pública, segundo um procedimento adaptado aberto com negociação eventual, livremente definido pela entidade adjudicante.</w:t>
      </w:r>
    </w:p>
    <w:p w:rsidR="00C75B93" w:rsidRDefault="00000000" w14:paraId="0B7AD576" w14:textId="77777777">
      <w:pPr>
        <w:pStyle w:val="RedaliaNormal"/>
      </w:pPr>
      <w:r>
        <w:t xml:space="preserve">A entidade adjudicante analisará as propostas dos candidatos com base nos critérios de selecção das propostas e poderá eventualmente selecionar 3 candidatos com os quais poderá negociar.</w:t>
      </w:r>
    </w:p>
    <w:p w:rsidR="00C75B93" w:rsidRDefault="00000000" w14:paraId="025BC37F" w14:textId="77777777">
      <w:pPr>
        <w:pStyle w:val="RedaliaNormal"/>
      </w:pPr>
      <w:r>
        <w:t xml:space="preserve">Nos termos do artigo R. 2144-3 do Código dos Contratos Públicos, a verificação da aptidão para exercer a actividade profissional, da capacidade económica e financeira, técnica e profissional dos candidatos pode ser realizada em qualquer momento do processo e o mais tardar antes da adjudicação do contrato.</w:t>
      </w:r>
    </w:p>
    <w:p w:rsidR="00C75B93" w:rsidRDefault="00000000" w14:paraId="15679863" w14:textId="77777777">
      <w:pPr>
        <w:pStyle w:val="RedaliaNormal"/>
      </w:pPr>
      <w:r>
        <w:t xml:space="preserve">No final destas negociações, o BCE escolherá a proposta economicamente mais vantajosa com base nos critérios de seleção das propostas definidos no aviso e/ou no presente regulamento da consulta.</w:t>
      </w:r>
    </w:p>
    <w:p w:rsidR="00C75B93" w:rsidRDefault="00000000" w14:paraId="424DB8C0" w14:textId="77777777">
      <w:pPr>
        <w:pStyle w:val="RedaliaNormal"/>
      </w:pPr>
      <w:r>
        <w:t xml:space="preserve">O contrato pode ser adjudicado sem negociações. </w:t>
      </w:r>
    </w:p>
    <w:p w:rsidR="00C75B93" w:rsidRDefault="00000000" w14:paraId="3AB583BA" w14:textId="77777777">
      <w:pPr>
        <w:pStyle w:val="RedaliaTitre2"/>
      </w:pPr>
      <w:bookmarkStart w:name="__RefHeading___Toc2568_629809420" w:id="39"/>
      <w:bookmarkStart w:name="_Toc197507417" w:id="40"/>
      <w:bookmarkStart w:name="_Toc197527758" w:id="41"/>
      <w:bookmarkStart w:name="_Toc210310194" w:id="42"/>
      <w:r>
        <w:t xml:space="preserve">Justificação em caso de não lotação</w:t>
      </w:r>
      <w:bookmarkEnd w:id="39"/>
      <w:bookmarkEnd w:id="40"/>
      <w:bookmarkEnd w:id="41"/>
      <w:bookmarkEnd w:id="42"/>
    </w:p>
    <w:p w:rsidR="00C75B93" w:rsidRDefault="00000000" w14:paraId="608B5893" w14:textId="77777777">
      <w:pPr>
        <w:pStyle w:val="RedaliaNormal"/>
      </w:pPr>
      <w:r>
        <w:t xml:space="preserve">A devolução em lotes separados é de natureza a restringir a concorrência ou corre o risco de tornar tecnicamente difícil ou financeiramente mais onerosa a execução das prestações.</w:t>
      </w:r>
    </w:p>
    <w:p w:rsidR="00C75B93" w:rsidRDefault="00C75B93" w14:paraId="5CD1EFB8" w14:textId="77777777">
      <w:pPr>
        <w:pStyle w:val="RedaliaNormal"/>
      </w:pPr>
    </w:p>
    <w:p w:rsidR="00C75B93" w:rsidRDefault="00000000" w14:paraId="7CE64A65" w14:textId="77777777">
      <w:pPr>
        <w:pStyle w:val="RedaliaTitre2"/>
      </w:pPr>
      <w:bookmarkStart w:name="__RefHeading___Toc2570_629809420" w:id="43"/>
      <w:bookmarkStart w:name="_Toc197507418" w:id="44"/>
      <w:bookmarkStart w:name="_Toc197527759" w:id="45"/>
      <w:bookmarkStart w:name="_Toc210310195" w:id="46"/>
      <w:r>
        <w:t xml:space="preserve">Disposições relativas aos agrupamentos</w:t>
      </w:r>
      <w:bookmarkEnd w:id="43"/>
      <w:bookmarkEnd w:id="44"/>
      <w:bookmarkEnd w:id="45"/>
      <w:bookmarkEnd w:id="46"/>
    </w:p>
    <w:p w:rsidR="00C75B93" w:rsidRDefault="00000000" w14:paraId="29C0FBC1" w14:textId="77777777">
      <w:pPr>
        <w:pStyle w:val="RedaliaNormal"/>
      </w:pPr>
      <w:r>
        <w:t xml:space="preserve">O contrato pode ser adjudicado a uma única empresa ou a um agrupamento de empresas.</w:t>
      </w:r>
    </w:p>
    <w:p w:rsidR="00C75B93" w:rsidRDefault="00000000" w14:paraId="6B86E6B7" w14:textId="77777777">
      <w:pPr>
        <w:pStyle w:val="RedaliaNormal"/>
      </w:pPr>
      <w:r>
        <w:t xml:space="preserve">Se o contrato for adjudicado a um agrupamento conjunto, o mandatário conjunto será solidariamente responsável perante cada um dos membros do agrupamento.</w:t>
      </w:r>
    </w:p>
    <w:p w:rsidR="00C75B93" w:rsidRDefault="00C75B93" w14:paraId="314DDEE3" w14:textId="77777777">
      <w:pPr>
        <w:pStyle w:val="RedaliaNormal"/>
      </w:pPr>
    </w:p>
    <w:p w:rsidR="00C75B93" w:rsidRDefault="00000000" w14:paraId="136C6D3B" w14:textId="77777777">
      <w:pPr>
        <w:pStyle w:val="RedaliaNormal"/>
      </w:pPr>
      <w:r>
        <w:t xml:space="preserve">Possibilidade de apresentar várias propostas para o contrato, agindo simultaneamente como candidatos individuais e membros de um ou mais agrupamentos:</w:t>
      </w:r>
    </w:p>
    <w:p w:rsidR="00C75B93" w:rsidRDefault="00000000" w14:paraId="41A71DD7" w14:textId="77777777">
      <w:pPr>
        <w:pStyle w:val="RedaliaRetrait2avecpuce"/>
      </w:pPr>
      <w:r>
        <w:rPr>
          <w:rFonts w:ascii="Wingdings" w:hAnsi="Wingdings" w:eastAsia="Wingdings" w:cs="Wingdings"/>
          <w:szCs w:val="22"/>
        </w:rPr>
        <w:t></w:t>
      </w:r>
      <w:r>
        <w:t xml:space="preserve"> Sim</w:t>
      </w:r>
    </w:p>
    <w:p w:rsidR="00C75B93" w:rsidRDefault="00000000" w14:paraId="43309DCB" w14:textId="77777777">
      <w:pPr>
        <w:pStyle w:val="RedaliaRetrait2avecpuce"/>
      </w:pPr>
      <w:r>
        <w:rPr>
          <w:rFonts w:ascii="Wingdings" w:hAnsi="Wingdings" w:eastAsia="Wingdings" w:cs="Wingdings"/>
          <w:szCs w:val="22"/>
        </w:rPr>
        <w:t></w:t>
      </w:r>
      <w:r>
        <w:t xml:space="preserve"> Não</w:t>
      </w:r>
    </w:p>
    <w:p w:rsidR="00C75B93" w:rsidRDefault="00000000" w14:paraId="3B2242AC" w14:textId="77777777">
      <w:pPr>
        <w:pStyle w:val="RedaliaNormal"/>
      </w:pPr>
      <w:r>
        <w:t xml:space="preserve">Ou como membros de vários agrupamentos:</w:t>
      </w:r>
    </w:p>
    <w:p w:rsidR="00C75B93" w:rsidRDefault="00000000" w14:paraId="2C6496BA" w14:textId="77777777">
      <w:pPr>
        <w:pStyle w:val="RedaliaRetrait2avecpuce"/>
      </w:pPr>
      <w:r>
        <w:rPr>
          <w:rFonts w:ascii="Wingdings" w:hAnsi="Wingdings" w:eastAsia="Wingdings" w:cs="Wingdings"/>
          <w:szCs w:val="22"/>
        </w:rPr>
        <w:t></w:t>
      </w:r>
      <w:r>
        <w:t xml:space="preserve"> Sim</w:t>
      </w:r>
    </w:p>
    <w:p w:rsidR="00C75B93" w:rsidRDefault="00000000" w14:paraId="29F73A09" w14:textId="77777777">
      <w:pPr>
        <w:pStyle w:val="RedaliaRetrait2avecpuce"/>
      </w:pPr>
      <w:r>
        <w:rPr>
          <w:rFonts w:ascii="Wingdings" w:hAnsi="Wingdings" w:eastAsia="Wingdings" w:cs="Wingdings"/>
          <w:szCs w:val="22"/>
        </w:rPr>
        <w:t></w:t>
      </w:r>
      <w:r>
        <w:t xml:space="preserve"> Não</w:t>
      </w:r>
    </w:p>
    <w:p w:rsidR="00C75B93" w:rsidRDefault="00000000" w14:paraId="0C7A244B" w14:textId="77777777">
      <w:pPr>
        <w:pStyle w:val="RedaliaTitre2"/>
      </w:pPr>
      <w:bookmarkStart w:name="__RefHeading___Toc2572_629809420" w:id="47"/>
      <w:bookmarkStart w:name="_Toc79067695" w:id="48"/>
      <w:bookmarkStart w:name="_Toc197507419" w:id="49"/>
      <w:bookmarkStart w:name="_Toc197527760" w:id="50"/>
      <w:bookmarkStart w:name="_Toc210310196" w:id="51"/>
      <w:bookmarkEnd w:id="4"/>
      <w:bookmarkEnd w:id="5"/>
      <w:bookmarkEnd w:id="6"/>
      <w:r>
        <w:t xml:space="preserve">Variantes livres</w:t>
      </w:r>
      <w:bookmarkEnd w:id="7"/>
      <w:r>
        <w:t xml:space="preserve"/>
      </w:r>
      <w:bookmarkEnd w:id="47"/>
      <w:bookmarkEnd w:id="48"/>
      <w:bookmarkEnd w:id="49"/>
      <w:bookmarkEnd w:id="50"/>
      <w:bookmarkEnd w:id="51"/>
    </w:p>
    <w:p w:rsidR="00C75B93" w:rsidRDefault="00000000" w14:paraId="44CF0D7D" w14:textId="77777777">
      <w:pPr>
        <w:pStyle w:val="RedaliaNormal"/>
      </w:pPr>
      <w:r>
        <w:t xml:space="preserve">Não são permitidas variantes livres.</w:t>
      </w:r>
    </w:p>
    <w:p w:rsidR="00C75B93" w:rsidRDefault="00000000" w14:paraId="56454FBF" w14:textId="77777777">
      <w:pPr>
        <w:pStyle w:val="RedaliaTitre2"/>
      </w:pPr>
      <w:bookmarkStart w:name="_Toc79067696" w:id="52"/>
      <w:bookmarkStart w:name="__RefHeading___Toc2574_629809420" w:id="53"/>
      <w:bookmarkStart w:name="_Toc197507420" w:id="54"/>
      <w:bookmarkStart w:name="_Toc197527761" w:id="55"/>
      <w:bookmarkStart w:name="_Toc210310197" w:id="56"/>
      <w:r>
        <w:t xml:space="preserve">Variantes impostas</w:t>
      </w:r>
      <w:bookmarkEnd w:id="52"/>
      <w:bookmarkEnd w:id="53"/>
      <w:bookmarkEnd w:id="54"/>
      <w:bookmarkEnd w:id="55"/>
      <w:bookmarkEnd w:id="56"/>
    </w:p>
    <w:p w:rsidR="00C75B93" w:rsidRDefault="00000000" w14:paraId="3C113C56" w14:textId="77777777">
      <w:pPr>
        <w:pStyle w:val="RedaliaNormal"/>
      </w:pPr>
      <w:r>
        <w:t xml:space="preserve">Não há planos para EPS.</w:t>
      </w:r>
    </w:p>
    <w:p w:rsidR="00C75B93" w:rsidRDefault="00000000" w14:paraId="7C4482EF" w14:textId="77777777">
      <w:pPr>
        <w:pStyle w:val="RedaliaTitre2"/>
      </w:pPr>
      <w:bookmarkStart w:name="__RefHeading___Toc2576_629809420" w:id="57"/>
      <w:bookmarkStart w:name="_Toc197507421" w:id="58"/>
      <w:bookmarkStart w:name="_Toc197527762" w:id="59"/>
      <w:bookmarkStart w:name="_Toc210310198" w:id="60"/>
      <w:r>
        <w:t xml:space="preserve">Alteração do DCE</w:t>
      </w:r>
      <w:bookmarkEnd w:id="57"/>
      <w:bookmarkEnd w:id="58"/>
      <w:bookmarkEnd w:id="59"/>
      <w:bookmarkEnd w:id="60"/>
    </w:p>
    <w:p w:rsidR="00C75B93" w:rsidRDefault="00000000" w14:paraId="6B6006E7" w14:textId="77777777">
      <w:pPr>
        <w:pStyle w:val="RedaliaNormal"/>
      </w:pPr>
      <w:r>
        <w:t xml:space="preserve">A AFD reserva-se o direito de fazer alterações de detalhe no DCE, até 8 dias antes do </w:t>
      </w:r>
      <w:r>
        <w:rPr>
          <w:b/>
          <w:bCs/>
        </w:rPr>
        <w:t xml:space="preserve">prazo</w:t>
      </w:r>
      <w:r>
        <w:t xml:space="preserve"> final para a entrega das propostas.</w:t>
      </w:r>
    </w:p>
    <w:p w:rsidR="00C75B93" w:rsidRDefault="00000000" w14:paraId="5DF5C454" w14:textId="77777777">
      <w:pPr>
        <w:pStyle w:val="RedaliaNormal"/>
      </w:pPr>
      <w:r>
        <w:t xml:space="preserve">Os proponentes terão então de responder com base no dossiê alterado sem poder apresentar qualquer reclamação sobre o assunto.</w:t>
      </w:r>
    </w:p>
    <w:p w:rsidR="00C75B93" w:rsidRDefault="00000000" w14:paraId="3879A076" w14:textId="77777777">
      <w:pPr>
        <w:pStyle w:val="RedaliaNormal"/>
      </w:pPr>
      <w:r>
        <w:t xml:space="preserve">Se, durante o exame do dossiê pelos candidatos, a data limite acima mencionada for adiada, a disposição anterior é aplicável em função desta nova data.</w:t>
      </w:r>
    </w:p>
    <w:p w:rsidR="00C75B93" w:rsidRDefault="00000000" w14:paraId="2D0D8F75" w14:textId="77777777">
      <w:pPr>
        <w:pStyle w:val="RedaliaTitre2"/>
      </w:pPr>
      <w:bookmarkStart w:name="_Toc79067697" w:id="61"/>
      <w:bookmarkStart w:name="__RefHeading___Toc2578_629809420" w:id="62"/>
      <w:bookmarkStart w:name="_Toc197507422" w:id="63"/>
      <w:bookmarkStart w:name="_Toc197527763" w:id="64"/>
      <w:bookmarkStart w:name="_Toc210310199" w:id="65"/>
      <w:r>
        <w:t xml:space="preserve">Prazo de validade das ofertas</w:t>
      </w:r>
      <w:bookmarkEnd w:id="8"/>
      <w:bookmarkEnd w:id="61"/>
      <w:bookmarkEnd w:id="62"/>
      <w:bookmarkEnd w:id="63"/>
      <w:bookmarkEnd w:id="64"/>
      <w:bookmarkEnd w:id="65"/>
    </w:p>
    <w:p w:rsidR="00C75B93" w:rsidRDefault="00000000" w14:paraId="7C454501" w14:textId="77777777">
      <w:pPr>
        <w:pStyle w:val="RedaliaNormal"/>
      </w:pPr>
      <w:r>
        <w:t xml:space="preserve">O prazo de validade das propostas é de 120 dias a contar da data-limite para apresentação da proposta final.</w:t>
      </w:r>
    </w:p>
    <w:p w:rsidR="00C75B93" w:rsidRDefault="00000000" w14:paraId="08753ED6" w14:textId="77777777">
      <w:pPr>
        <w:pStyle w:val="RedaliaTitre1"/>
      </w:pPr>
      <w:bookmarkStart w:name="_Toc79067699" w:id="66"/>
      <w:bookmarkStart w:name="__RefHeading___Toc2580_629809420" w:id="67"/>
      <w:bookmarkStart w:name="_Toc197507423" w:id="68"/>
      <w:bookmarkStart w:name="_Toc197527764" w:id="69"/>
      <w:bookmarkStart w:name="_Toc210310200" w:id="70"/>
      <w:r>
        <w:t xml:space="preserve">Conteúdo do dossiê de consulta</w:t>
      </w:r>
      <w:bookmarkEnd w:id="66"/>
      <w:bookmarkEnd w:id="67"/>
      <w:bookmarkEnd w:id="68"/>
      <w:bookmarkEnd w:id="69"/>
      <w:bookmarkEnd w:id="70"/>
    </w:p>
    <w:p w:rsidR="00C75B93" w:rsidRDefault="00000000" w14:paraId="14F85ACE" w14:textId="77777777">
      <w:pPr>
        <w:pStyle w:val="RedaliaNormal"/>
      </w:pPr>
      <w:r>
        <w:t xml:space="preserve">O dossiê de consulta inclui as seguintes peças:</w:t>
      </w:r>
    </w:p>
    <w:p w:rsidR="00C75B93" w:rsidRDefault="00000000" w14:paraId="16C05A1E" w14:textId="77777777">
      <w:pPr>
        <w:pStyle w:val="RedaliaRetraitavecpuce"/>
        <w:numPr>
          <w:ilvl w:val="0"/>
          <w:numId w:val="21"/>
        </w:numPr>
      </w:pPr>
      <w:r>
        <w:t xml:space="preserve">Este regulamento </w:t>
      </w:r>
      <w:r>
        <w:rPr>
          <w:b/>
        </w:rPr>
        <w:t xml:space="preserve">de consulta (RC)</w:t>
      </w:r>
      <w:r>
        <w:t xml:space="preserve"/>
      </w:r>
    </w:p>
    <w:p w:rsidR="00C75B93" w:rsidRDefault="00000000" w14:paraId="6C4DFD19" w14:textId="77777777">
      <w:pPr>
        <w:pStyle w:val="RedaliaRetraitavecpuce"/>
        <w:numPr>
          <w:ilvl w:val="0"/>
          <w:numId w:val="21"/>
        </w:numPr>
      </w:pPr>
      <w:r>
        <w:t xml:space="preserve">A </w:t>
      </w:r>
      <w:r>
        <w:rPr>
          <w:b/>
        </w:rPr>
        <w:t xml:space="preserve">ficha de candidatura</w:t>
      </w:r>
      <w:r>
        <w:t xml:space="preserve"> (FC)</w:t>
      </w:r>
    </w:p>
    <w:p w:rsidR="00C75B93" w:rsidRDefault="00000000" w14:paraId="06F39DE0" w14:textId="77777777">
      <w:pPr>
        <w:pStyle w:val="RedaliaRetraitavecpuce"/>
        <w:numPr>
          <w:ilvl w:val="0"/>
          <w:numId w:val="21"/>
        </w:numPr>
      </w:pPr>
      <w:r>
        <w:t xml:space="preserve">O </w:t>
      </w:r>
      <w:r>
        <w:rPr>
          <w:b/>
        </w:rPr>
        <w:t xml:space="preserve">Contrato Único</w:t>
      </w:r>
      <w:r>
        <w:t xml:space="preserve"> (CU) e seus </w:t>
      </w:r>
      <w:r>
        <w:rPr>
          <w:b/>
        </w:rPr>
        <w:t xml:space="preserve">eventuais anexos</w:t>
      </w:r>
    </w:p>
    <w:p w:rsidR="00C75B93" w:rsidRDefault="00000000" w14:paraId="4AFC3C2B" w14:textId="77777777">
      <w:pPr>
        <w:pStyle w:val="RedaliaRetraitavecpuce"/>
        <w:numPr>
          <w:ilvl w:val="0"/>
          <w:numId w:val="21"/>
        </w:numPr>
      </w:pPr>
      <w:r>
        <w:t xml:space="preserve">O </w:t>
      </w:r>
      <w:r>
        <w:rPr>
          <w:b/>
        </w:rPr>
        <w:t xml:space="preserve">caderno de cláusulas técnicas especiais (C.C.T.</w:t>
      </w:r>
      <w:r>
        <w:t xml:space="preserve">P/TDR) e os seus </w:t>
      </w:r>
      <w:r>
        <w:rPr>
          <w:b/>
        </w:rPr>
        <w:t xml:space="preserve">eventuais anexos</w:t>
      </w:r>
    </w:p>
    <w:p w:rsidR="00C75B93" w:rsidRDefault="00000000" w14:paraId="499D1463" w14:textId="77777777">
      <w:pPr>
        <w:pStyle w:val="RedaliaRetraitavecpuce"/>
        <w:numPr>
          <w:ilvl w:val="0"/>
          <w:numId w:val="21"/>
        </w:numPr>
      </w:pPr>
      <w:r>
        <w:t xml:space="preserve">A </w:t>
      </w:r>
      <w:r>
        <w:rPr>
          <w:b/>
        </w:rPr>
        <w:t xml:space="preserve">decomposição do preço global e fixo.</w:t>
      </w:r>
      <w:r>
        <w:t xml:space="preserve"/>
      </w:r>
    </w:p>
    <w:p w:rsidR="00C75B93" w:rsidRDefault="00000000" w14:paraId="2A2400D8" w14:textId="77777777">
      <w:pPr>
        <w:pStyle w:val="RedaliaRetraitavecpuce"/>
        <w:numPr>
          <w:ilvl w:val="0"/>
          <w:numId w:val="21"/>
        </w:numPr>
      </w:pPr>
      <w:r>
        <w:t xml:space="preserve">Os documentos traduzidos para português (CU/RC/TDR), estes documentos não são contratuais. </w:t>
      </w:r>
    </w:p>
    <w:p w:rsidR="00C75B93" w:rsidRDefault="00000000" w14:paraId="42412101" w14:textId="77777777">
      <w:pPr>
        <w:pStyle w:val="RedaliaTitre1"/>
      </w:pPr>
      <w:bookmarkStart w:name="_Toc79067700" w:id="71"/>
      <w:bookmarkStart w:name="__RefHeading___Toc2582_629809420" w:id="72"/>
      <w:bookmarkStart w:name="_Toc197507424" w:id="73"/>
      <w:bookmarkStart w:name="_Toc197527765" w:id="74"/>
      <w:bookmarkStart w:name="_Toc210310201" w:id="75"/>
      <w:r>
        <w:t xml:space="preserve">Retirada do dossiê de consulta</w:t>
      </w:r>
      <w:bookmarkEnd w:id="71"/>
      <w:bookmarkEnd w:id="72"/>
      <w:bookmarkEnd w:id="73"/>
      <w:bookmarkEnd w:id="74"/>
      <w:bookmarkEnd w:id="75"/>
    </w:p>
    <w:p w:rsidR="00C75B93" w:rsidRDefault="00000000" w14:paraId="579C0897" w14:textId="77777777">
      <w:pPr>
        <w:pStyle w:val="RedaliaNormal"/>
      </w:pPr>
      <w:r>
        <w:t xml:space="preserve">A entidade adjudicante informa os candidatos de que o dossiê de consulta está desmaterializado.</w:t>
      </w:r>
    </w:p>
    <w:p w:rsidR="00C75B93" w:rsidRDefault="00000000" w14:paraId="180271E8" w14:textId="77777777">
      <w:pPr>
        <w:pStyle w:val="RedaliaNormal"/>
      </w:pPr>
      <w:r>
        <w:t xml:space="preserve">O Dossier de Consulta das Empresas (DCE) pode ser consultado e descarregado gratuitamente no seguinte endereço:</w:t>
      </w:r>
    </w:p>
    <w:p w:rsidR="00C75B93" w:rsidRDefault="00000000" w14:paraId="30D89E16" w14:textId="77777777">
      <w:pPr>
        <w:pStyle w:val="RedaliaNormal"/>
        <w:jc w:val="center"/>
      </w:pPr>
      <w:r>
        <w:t xml:space="preserve">https://www.marches-publics.gouv.fr/.</w:t>
      </w:r>
    </w:p>
    <w:p w:rsidR="00C75B93" w:rsidRDefault="00C75B93" w14:paraId="01356C71" w14:textId="77777777">
      <w:pPr>
        <w:pStyle w:val="RedaliaNormal"/>
      </w:pPr>
    </w:p>
    <w:p w:rsidR="00C75B93" w:rsidRDefault="00000000" w14:paraId="798DD23C" w14:textId="77777777">
      <w:pPr>
        <w:pStyle w:val="RedaliaNormal"/>
      </w:pPr>
      <w:r>
        <w:t xml:space="preserve">Para poderem descomprimir e ler os documentos disponibilizados pela entidade adjudicante, os operadores económicos deverão dispor de programas informáticos que permitam ler os seguintes formatos:</w:t>
      </w:r>
    </w:p>
    <w:p w:rsidR="00C75B93" w:rsidRDefault="00000000" w14:paraId="50C747ED" w14:textId="77777777">
      <w:pPr>
        <w:pStyle w:val="RedaliaRetraitavecpuce"/>
        <w:numPr>
          <w:ilvl w:val="0"/>
          <w:numId w:val="21"/>
        </w:numPr>
      </w:pPr>
      <w:r>
        <w:t xml:space="preserve">Ficheiros comprimidos com o padrão *.zip (legíveis por Winzip, Quickzip);</w:t>
      </w:r>
    </w:p>
    <w:p w:rsidR="00C75B93" w:rsidRDefault="00000000" w14:paraId="081F2558" w14:textId="77777777">
      <w:pPr>
        <w:pStyle w:val="RedaliaRetraitavecpuce"/>
        <w:numPr>
          <w:ilvl w:val="0"/>
          <w:numId w:val="21"/>
        </w:numPr>
      </w:pPr>
      <w:r>
        <w:t xml:space="preserve">Adobe® Acrobat® *.pdf (legíveis pelo software Adobe Reader);</w:t>
      </w:r>
    </w:p>
    <w:p w:rsidR="00C75B93" w:rsidRDefault="00000000" w14:paraId="2DE85712" w14:textId="77777777">
      <w:pPr>
        <w:pStyle w:val="RedaliaRetraitavecpuce"/>
        <w:numPr>
          <w:ilvl w:val="0"/>
          <w:numId w:val="21"/>
        </w:numPr>
      </w:pPr>
      <w:r>
        <w:t xml:space="preserve">*. doc ou *.xls versão 2000-2003 (legível pelo Microsoft Office ou OpenOffice);</w:t>
      </w:r>
    </w:p>
    <w:p w:rsidR="00C75B93" w:rsidRDefault="00000000" w14:paraId="4561068F" w14:textId="77777777">
      <w:pPr>
        <w:pStyle w:val="RedaliaRetraitavecpuce"/>
        <w:numPr>
          <w:ilvl w:val="0"/>
          <w:numId w:val="21"/>
        </w:numPr>
      </w:pPr>
      <w:r>
        <w:t xml:space="preserve">Rich Text Format *.rtf;</w:t>
      </w:r>
    </w:p>
    <w:p w:rsidR="00C75B93" w:rsidRDefault="00000000" w14:paraId="36457E8E" w14:textId="77777777">
      <w:pPr>
        <w:pStyle w:val="RedaliaRetraitavecpuce"/>
        <w:numPr>
          <w:ilvl w:val="0"/>
          <w:numId w:val="21"/>
        </w:numPr>
      </w:pPr>
      <w:r>
        <w:t xml:space="preserve">Se aplicável, o formato DWF (legível por software Autocad, ou visores como Autodesk DWF viewer...).</w:t>
      </w:r>
    </w:p>
    <w:p w:rsidR="00C75B93" w:rsidRDefault="00C75B93" w14:paraId="2314E8ED" w14:textId="77777777">
      <w:pPr>
        <w:pStyle w:val="RedaliaNormal"/>
      </w:pPr>
    </w:p>
    <w:p w:rsidR="00C75B93" w:rsidRDefault="00000000" w14:paraId="74388FAE" w14:textId="77777777">
      <w:pPr>
        <w:pStyle w:val="RedaliaNormal"/>
      </w:pPr>
      <w:r>
        <w:t xml:space="preserve">Ao fazer o download do dossiê de consulta, recomenda-se à empresa que crie uma conta na plataforma de desmaterialização onde introduza nomeadamente o nome da organização proponente, e um endereço de correio eletrónico para a manter informada das eventuais alterações ocorridas no decurso de um processo (adição de um documento ao DCE, envio de uma lista de respostas às perguntas recebidas...).</w:t>
      </w:r>
    </w:p>
    <w:p w:rsidR="00C75B93" w:rsidRDefault="00000000" w14:paraId="38ED0045" w14:textId="77777777">
      <w:pPr>
        <w:pStyle w:val="RedaliaNormal"/>
      </w:pPr>
      <w:r>
        <w:t xml:space="preserve">O candidato é informado de que apenas a cópia do dossiê de consulta na posse da entidade adjudicante é autêntica.</w:t>
      </w:r>
    </w:p>
    <w:p w:rsidR="00C75B93" w:rsidRDefault="00000000" w14:paraId="77302CDB" w14:textId="77777777">
      <w:pPr>
        <w:pStyle w:val="RedaliaTitre1"/>
      </w:pPr>
      <w:bookmarkStart w:name="_Toc79067701" w:id="76"/>
      <w:bookmarkStart w:name="__RefHeading___Toc2584_629809420" w:id="77"/>
      <w:bookmarkStart w:name="_Toc197507425" w:id="78"/>
      <w:bookmarkStart w:name="_Toc197527766" w:id="79"/>
      <w:bookmarkStart w:name="_Toc210310202" w:id="80"/>
      <w:r>
        <w:t xml:space="preserve">Apresentação de candidaturas e ofertas</w:t>
      </w:r>
      <w:bookmarkEnd w:id="76"/>
      <w:bookmarkEnd w:id="77"/>
      <w:bookmarkEnd w:id="78"/>
      <w:bookmarkEnd w:id="79"/>
      <w:bookmarkEnd w:id="80"/>
    </w:p>
    <w:p w:rsidR="00C75B93" w:rsidRDefault="00000000" w14:paraId="0E35CCF1" w14:textId="77777777">
      <w:pPr>
        <w:pStyle w:val="RedaliaNormal"/>
      </w:pPr>
      <w:r>
        <w:rPr>
          <w:b/>
          <w:bCs/>
          <w:u w:val="single"/>
        </w:rPr>
        <w:t xml:space="preserve">Os candidatos terão de apresentar as</w:t>
      </w:r>
      <w:r>
        <w:rPr>
          <w:b/>
          <w:bCs/>
        </w:rPr>
        <w:t xml:space="preserve"> peças abaixo definidas, redigidas em língua francesa.</w:t>
      </w:r>
      <w:r>
        <w:t xml:space="preserve"/>
      </w:r>
    </w:p>
    <w:p w:rsidR="00C75B93" w:rsidRDefault="00000000" w14:paraId="4103E4EF" w14:textId="77777777">
      <w:pPr>
        <w:pStyle w:val="RedaliaTitre2"/>
      </w:pPr>
      <w:bookmarkStart w:name="__RefHeading___Toc2586_629809420" w:id="81"/>
      <w:bookmarkStart w:name="_Toc197507426" w:id="82"/>
      <w:bookmarkStart w:name="_Toc197527767" w:id="83"/>
      <w:bookmarkStart w:name="_Toc210310203" w:id="84"/>
      <w:r>
        <w:t xml:space="preserve">Elementos necessários para a seleção das candidaturas:</w:t>
      </w:r>
      <w:bookmarkEnd w:id="81"/>
      <w:bookmarkEnd w:id="82"/>
      <w:bookmarkEnd w:id="83"/>
      <w:bookmarkEnd w:id="84"/>
    </w:p>
    <w:p w:rsidR="00C75B93" w:rsidRDefault="00000000" w14:paraId="4D72852E" w14:textId="77777777">
      <w:pPr>
        <w:pStyle w:val="RedaliaNormal"/>
      </w:pPr>
      <w:r>
        <w:t xml:space="preserve">Cada candidato deverá apresentar o formulário de candidatura anexo ao presente documento, ao qual serão anexados os seguintes documentos:</w:t>
      </w:r>
    </w:p>
    <w:p w:rsidR="00C75B93" w:rsidRDefault="00000000" w14:paraId="3D6C262E" w14:textId="77777777">
      <w:pPr>
        <w:pStyle w:val="RedaliaNormal"/>
      </w:pPr>
      <w:r>
        <w:t xml:space="preserve">- Declaração juramentada que comprova que o candidato não entra em nenhum dos casos mencionados nos artigos L. 2141-1 a L. 2141-5 ou nos artigos L. 2141-7 a L. 2141-10 do Código de Contratação Pública (documento anexo)</w:t>
      </w:r>
    </w:p>
    <w:p w:rsidR="00C75B93" w:rsidRDefault="00000000" w14:paraId="79017ED6" w14:textId="77777777">
      <w:pPr>
        <w:pStyle w:val="RedaliaNormal"/>
      </w:pPr>
      <w:r>
        <w:t xml:space="preserve">- Se for o caso, o(s) documento(s) relativo(s) aos poderes da pessoa habilitada a comprometer a empresa</w:t>
      </w:r>
    </w:p>
    <w:p w:rsidR="00C75B93" w:rsidRDefault="00000000" w14:paraId="496BC690" w14:textId="77777777">
      <w:pPr>
        <w:pStyle w:val="RedaliaNormal"/>
      </w:pPr>
      <w:r>
        <w:t xml:space="preserve">- Em caso de agrupamento, o documento de habilitação do mandatário assinado pelos membros do agrupamento</w:t>
      </w:r>
    </w:p>
    <w:p w:rsidR="00C75B93" w:rsidRDefault="00000000" w14:paraId="46AD4EAA" w14:textId="77777777">
      <w:pPr>
        <w:pStyle w:val="RedaliaNormal"/>
      </w:pPr>
      <w:r>
        <w:t xml:space="preserve">- Em caso de subcontratação, a declaração de subcontratação (modelo anexado ao Contrato Único)</w:t>
      </w:r>
    </w:p>
    <w:p w:rsidR="00C75B93" w:rsidRDefault="00C75B93" w14:paraId="01AFAD1F" w14:textId="77777777">
      <w:pPr>
        <w:pStyle w:val="RedaliaNormal"/>
      </w:pPr>
    </w:p>
    <w:p w:rsidR="00C75B93" w:rsidRDefault="00000000" w14:paraId="4B913E2D" w14:textId="77777777">
      <w:pPr>
        <w:pStyle w:val="RedaliaNormal"/>
      </w:pPr>
      <w:r>
        <w:t xml:space="preserve">O candidato poderá provar a sua capacidade através de qualquer outro documento considerado equivalente pela entidade adjudicante se não puder objectivamente apresentar uma das informações solicitadas relativas à sua capacidade financeira.</w:t>
      </w:r>
    </w:p>
    <w:p w:rsidR="00C75B93" w:rsidRDefault="00000000" w14:paraId="1E0B1BDE" w14:textId="77777777">
      <w:pPr>
        <w:pStyle w:val="RedaliaNormal"/>
      </w:pPr>
      <w:r>
        <w:t xml:space="preserve">Se, para justificar as suas capacidades, o candidato deseja fazer prevalecer as capacidades profissionais, técnicas e financeiras de outro interveniente qualquer (subcontratante, nomeadamente), deverá apresentar os documentos relativos a esse interveniente referidos no presente artigo. Deverá igualmente justificar que disporá das capacidades desse interveniente para a execução do contrato mediante um compromisso escrito do interveniente.</w:t>
      </w:r>
    </w:p>
    <w:p w:rsidR="00C75B93" w:rsidRDefault="00C75B93" w14:paraId="2B38E41F" w14:textId="77777777">
      <w:pPr>
        <w:pStyle w:val="RedaliaNormal"/>
      </w:pPr>
    </w:p>
    <w:p w:rsidR="00C75B93" w:rsidRDefault="00000000" w14:paraId="4094563F" w14:textId="77777777">
      <w:pPr>
        <w:pStyle w:val="RedaliaNormal"/>
      </w:pPr>
      <w:r>
        <w:t xml:space="preserve">Nos termos do artigo R. 2143-16 do Código dos Contratos Públicos, no âmbito da sua candidatura, os candidatos devem juntar uma tradução em francês aos elementos redigidos numa outra língua.</w:t>
      </w:r>
    </w:p>
    <w:p w:rsidR="00C75B93" w:rsidRDefault="00C75B93" w14:paraId="15BD98B0" w14:textId="77777777">
      <w:pPr>
        <w:pStyle w:val="RedaliaNormal"/>
      </w:pPr>
    </w:p>
    <w:p w:rsidR="00C75B93" w:rsidRDefault="00000000" w14:paraId="25975DB3" w14:textId="77777777">
      <w:pPr>
        <w:pStyle w:val="RedaliaNormal"/>
      </w:pPr>
      <w:r>
        <w:t xml:space="preserve">Os candidatos são informados de que, em conformidade com as disposições do artigo R. 2143-13 do Código de Contratação Pública, não são obrigados a fornecer documentos comprovativos e meios de prova que o comprador pode obter diretamente através de:</w:t>
      </w:r>
    </w:p>
    <w:p w:rsidR="00C75B93" w:rsidRDefault="00000000" w14:paraId="3AF253A0" w14:textId="77777777">
      <w:pPr>
        <w:pStyle w:val="RedaliaNormal"/>
      </w:pPr>
      <w:r>
        <w:t xml:space="preserve">- Um sistema electrónico de disponibilização de informações gerido por um organismo oficial, desde que o acesso ao mesmo seja gratuito e, se for caso disso, que conste no dossiê de candidatura toda a informação necessária para a sua consulta;</w:t>
      </w:r>
    </w:p>
    <w:p w:rsidR="00C75B93" w:rsidRDefault="00000000" w14:paraId="7D7EF26B" w14:textId="77777777">
      <w:pPr>
        <w:pStyle w:val="RedaliaNormal"/>
      </w:pPr>
      <w:r>
        <w:t xml:space="preserve">- Um espaço de armazenamento digital, desde que no dossiê de candidatura conste toda a informação necessária para a sua consulta e o acesso aos mesmos seja gratuito.</w:t>
      </w:r>
    </w:p>
    <w:p w:rsidR="00C75B93" w:rsidRDefault="00C75B93" w14:paraId="0A26F626" w14:textId="77777777">
      <w:pPr>
        <w:pStyle w:val="RedaliaNormal"/>
      </w:pPr>
    </w:p>
    <w:p w:rsidR="00C75B93" w:rsidRDefault="00000000" w14:paraId="13BDCC46" w14:textId="77777777">
      <w:pPr>
        <w:pStyle w:val="RedaliaNormal"/>
      </w:pPr>
      <w:r>
        <w:t xml:space="preserve">Além disso, em conformidade com as disposições do artigo R. 2143-14 do Código dos Contratos Públicos, os candidatos não são obrigados a fornecer à entidade adjudicadora os documentos comprovativos e meios de prova que já tenham sido transmitidos numa consulta anterior e que permaneçam válidos.</w:t>
      </w:r>
    </w:p>
    <w:p w:rsidR="00C75B93" w:rsidRDefault="00C75B93" w14:paraId="7352634E" w14:textId="77777777">
      <w:pPr>
        <w:pStyle w:val="RedaliaNormal"/>
      </w:pPr>
    </w:p>
    <w:p w:rsidR="00C75B93" w:rsidRDefault="00000000" w14:paraId="3AB8AB49" w14:textId="77777777">
      <w:pPr>
        <w:pStyle w:val="RedaliaNormal"/>
      </w:pPr>
      <w:r>
        <w:t xml:space="preserve">Por último, nos termos do artigo R. 2143-4 do Código dos Contratos Públicos, a entidade adjudicante aceita que os candidatos apresentem a sua candidatura sob a forma de um documento único de contrato europeu (DGUE) Elaborado de acordo com o modelo estabelecido pelo regulamento da Comissão Europeia que estabelece o formulário-tipo para o documento único de mercado europeu, em substituição da declaração sob compromisso de honra e das informações mencionadas no artigo R. 2143-3.</w:t>
      </w:r>
    </w:p>
    <w:p w:rsidR="00C75B93" w:rsidRDefault="00000000" w14:paraId="598FE469" w14:textId="77777777">
      <w:pPr>
        <w:pStyle w:val="RedaliaNormal"/>
      </w:pPr>
      <w:r>
        <w:t xml:space="preserve">Os candidatos podem criar ou reutilizar uma versão electrónica do DGUE através de um dos seguintes URLs: https://ec.europa.eu</w:t>
      </w:r>
      <w:hyperlink w:history="1" r:id="rId36">
        <w:r>
          <w:rPr>
            <w:rStyle w:val="Lienhypertexte"/>
          </w:rPr>
          <w:t xml:space="preserve">/tools/espd/ OU</w:t>
        </w:r>
      </w:hyperlink>
      <w:r>
        <w:t xml:space="preserve"> </w:t>
      </w:r>
      <w:hyperlink w:history="1" r:id="rId37">
        <w:r>
          <w:rPr>
            <w:rStyle w:val="Lienhypertexte"/>
          </w:rPr>
          <w:t xml:space="preserve">https://dume.chorus-pro.gouv.fr/</w:t>
        </w:r>
      </w:hyperlink>
    </w:p>
    <w:p w:rsidR="00C75B93" w:rsidRDefault="00000000" w14:paraId="003A88A2" w14:textId="77777777">
      <w:pPr>
        <w:pStyle w:val="RedaliaNormal"/>
      </w:pPr>
      <w:r>
        <w:t xml:space="preserve">Deve ser precisado que a entidade adjudicante não autoriza os candidatos a limitarem-se a indicar no documento único de contrato europeu que dispõem da aptidão e das capacidades exigidas sem fornecer informações específicas sobre estas.</w:t>
      </w:r>
    </w:p>
    <w:p w:rsidR="00C75B93" w:rsidRDefault="00000000" w14:paraId="60986553" w14:textId="77777777">
      <w:pPr>
        <w:pStyle w:val="RedaliaTitre2"/>
      </w:pPr>
      <w:bookmarkStart w:name="__RefHeading___Toc2588_629809420" w:id="85"/>
      <w:bookmarkStart w:name="_Toc197507427" w:id="86"/>
      <w:bookmarkStart w:name="_Toc197527768" w:id="87"/>
      <w:bookmarkStart w:name="_Toc210310204" w:id="88"/>
      <w:r>
        <w:t xml:space="preserve">Elementos necessários para a escolha da oferta</w:t>
      </w:r>
      <w:bookmarkEnd w:id="85"/>
      <w:bookmarkEnd w:id="86"/>
      <w:bookmarkEnd w:id="87"/>
      <w:bookmarkEnd w:id="88"/>
    </w:p>
    <w:p w:rsidR="00C75B93" w:rsidRDefault="00000000" w14:paraId="5173FD04" w14:textId="77777777">
      <w:pPr>
        <w:pStyle w:val="RedaliaNormal"/>
      </w:pPr>
      <w:r>
        <w:t xml:space="preserve">Para a escolha da oferta, os candidatos devem apresentar os seguintes documentos:</w:t>
      </w:r>
    </w:p>
    <w:p w:rsidR="00C75B93" w:rsidRDefault="00000000" w14:paraId="69BE5ED6" w14:textId="77777777">
      <w:pPr>
        <w:pStyle w:val="Redaliapuces"/>
        <w:numPr>
          <w:ilvl w:val="0"/>
          <w:numId w:val="20"/>
        </w:numPr>
      </w:pPr>
      <w:r>
        <w:t xml:space="preserve">Um </w:t>
      </w:r>
      <w:r>
        <w:rPr>
          <w:b/>
        </w:rPr>
        <w:t xml:space="preserve">Contrato Único</w:t>
      </w:r>
      <w:r>
        <w:t xml:space="preserve"> (CU) (anexo a ser preenchido, datado e assinado eletronicamente)</w:t>
      </w:r>
    </w:p>
    <w:p w:rsidR="00C75B93" w:rsidRDefault="00000000" w14:paraId="47493685" w14:textId="77777777">
      <w:pPr>
        <w:pStyle w:val="RedaliaNormal"/>
        <w:rPr>
          <w:u w:val="single"/>
        </w:rPr>
      </w:pPr>
      <w:r>
        <w:rPr>
          <w:u w:val="single"/>
        </w:rPr>
        <w:t xml:space="preserve">Informação sobre a utilização da assinatura electrónica:</w:t>
      </w:r>
    </w:p>
    <w:p w:rsidR="00C75B93" w:rsidRDefault="00000000" w14:paraId="5EBD730B" w14:textId="77777777">
      <w:pPr>
        <w:pStyle w:val="RedaliaNormal"/>
      </w:pPr>
      <w:r>
        <w:t xml:space="preserve">Os proponentes são convidados a não utilizar uma assinatura electrónica que bloqueie a adição de outra assinatura electrónica.</w:t>
      </w:r>
    </w:p>
    <w:p w:rsidR="00C75B93" w:rsidRDefault="00C75B93" w14:paraId="24F347F6" w14:textId="77777777">
      <w:pPr>
        <w:pStyle w:val="RedaliaNormal"/>
      </w:pPr>
    </w:p>
    <w:p w:rsidR="00C75B93" w:rsidRDefault="00000000" w14:paraId="241C6F7A" w14:textId="77777777">
      <w:pPr>
        <w:pStyle w:val="RedaliaNormal"/>
      </w:pPr>
      <w:r>
        <w:t xml:space="preserve">O candidato deve também especificar a natureza e o montante dos serviços que pretende subcontratar, bem como a lista de subcontratantes que se propõe apresentar à aprovação e aceitação da entidade adjudicante.</w:t>
      </w:r>
    </w:p>
    <w:p w:rsidR="00C75B93" w:rsidRDefault="00000000" w14:paraId="71ED5D41" w14:textId="77777777">
      <w:pPr>
        <w:pStyle w:val="Redaliapuces"/>
        <w:numPr>
          <w:ilvl w:val="0"/>
          <w:numId w:val="20"/>
        </w:numPr>
      </w:pPr>
      <w:r>
        <w:t xml:space="preserve">A </w:t>
      </w:r>
      <w:r>
        <w:rPr>
          <w:b/>
        </w:rPr>
        <w:t xml:space="preserve">decomposição do preço global fixo</w:t>
      </w:r>
    </w:p>
    <w:p w:rsidR="00C75B93" w:rsidRDefault="00000000" w14:paraId="3A1F80D2" w14:textId="77777777">
      <w:pPr>
        <w:pStyle w:val="Redaliapuces"/>
        <w:numPr>
          <w:ilvl w:val="0"/>
          <w:numId w:val="20"/>
        </w:numPr>
      </w:pPr>
      <w:r>
        <w:t xml:space="preserve">Uma </w:t>
      </w:r>
      <w:r>
        <w:rPr>
          <w:b/>
        </w:rPr>
        <w:t xml:space="preserve">nota metodológica ou um</w:t>
      </w:r>
      <w:r>
        <w:t xml:space="preserve"> documento </w:t>
      </w:r>
      <w:r>
        <w:rPr>
          <w:b/>
        </w:rPr>
        <w:t xml:space="preserve">técnico elaborado com</w:t>
      </w:r>
      <w:r>
        <w:t xml:space="preserve"> base no modelo apresentado no anexo «Quadro de resposta imposta» ao presente Regulamento da Consulta.</w:t>
      </w:r>
    </w:p>
    <w:p w:rsidR="00C75B93" w:rsidRDefault="00000000" w14:paraId="659DDC04" w14:textId="77777777">
      <w:pPr>
        <w:pStyle w:val="RedaliaNormal"/>
      </w:pPr>
      <w:r>
        <w:t xml:space="preserve">Os documentos entregues pela entidade adjudicadora, com excepção de:</w:t>
      </w:r>
    </w:p>
    <w:p w:rsidR="00C75B93" w:rsidRDefault="00000000" w14:paraId="740E7C96" w14:textId="77777777">
      <w:pPr>
        <w:pStyle w:val="RedaliaNormal"/>
      </w:pPr>
      <w:r>
        <w:t xml:space="preserve">- Os listados acima e seus anexos</w:t>
      </w:r>
    </w:p>
    <w:p w:rsidR="00C75B93" w:rsidRDefault="00000000" w14:paraId="6ACE7F59" w14:textId="77777777">
      <w:pPr>
        <w:pStyle w:val="RedaliaNormal"/>
      </w:pPr>
      <w:r>
        <w:t xml:space="preserve">- O Contrato devidamente preenchido pelo proponente</w:t>
      </w:r>
    </w:p>
    <w:p w:rsidR="00C75B93" w:rsidRDefault="00000000" w14:paraId="0EF87917" w14:textId="77777777">
      <w:pPr>
        <w:pStyle w:val="RedaliaNormal"/>
      </w:pPr>
      <w:r>
        <w:t xml:space="preserve">Não são para ser reinseridos na oferta.</w:t>
      </w:r>
    </w:p>
    <w:p w:rsidR="00C75B93" w:rsidRDefault="00000000" w14:paraId="6D4A0F4A" w14:textId="77777777">
      <w:pPr>
        <w:pStyle w:val="RedaliaNormal"/>
      </w:pPr>
      <w:r>
        <w:t xml:space="preserve">Apenas os documentos na posse da Entidade Adjudicadora são válidos. Incluindo o Contrato se quaisquer alterações - além das necessárias para o seu preenchimento - foram feitas pelo Proponente.</w:t>
      </w:r>
    </w:p>
    <w:p w:rsidR="00C75B93" w:rsidRDefault="00C75B93" w14:paraId="4D3982F7" w14:textId="77777777">
      <w:pPr>
        <w:pStyle w:val="RedaliaNormal"/>
      </w:pPr>
    </w:p>
    <w:p w:rsidR="00C75B93" w:rsidRDefault="00000000" w14:paraId="32622BF3" w14:textId="77777777">
      <w:pPr>
        <w:pStyle w:val="RedaliaNormal"/>
      </w:pPr>
      <w:r>
        <w:t xml:space="preserve">Os candidatos devem lembrar que a assinatura do contrato significa aceitação de todos os documentos contratuais.</w:t>
      </w:r>
    </w:p>
    <w:p w:rsidR="00C75B93" w:rsidRDefault="00C75B93" w14:paraId="7B3CEA88" w14:textId="77777777">
      <w:pPr>
        <w:pStyle w:val="RedaliaNormal"/>
      </w:pPr>
    </w:p>
    <w:p w:rsidR="00C75B93" w:rsidRDefault="00000000" w14:paraId="6AFE5AC4" w14:textId="77777777">
      <w:pPr>
        <w:pStyle w:val="RedaliaTitre1"/>
      </w:pPr>
      <w:bookmarkStart w:name="_Toc79067702" w:id="89"/>
      <w:bookmarkStart w:name="__RefHeading___Toc2590_629809420" w:id="90"/>
      <w:bookmarkStart w:name="_Toc197507428" w:id="91"/>
      <w:bookmarkStart w:name="_Toc197527769" w:id="92"/>
      <w:bookmarkStart w:name="_Toc210310205" w:id="93"/>
      <w:bookmarkEnd w:id="89"/>
      <w:r>
        <w:t xml:space="preserve">Julgamento das candidaturas, das propostas e adjudicação do contrato</w:t>
      </w:r>
      <w:bookmarkEnd w:id="90"/>
      <w:bookmarkEnd w:id="91"/>
      <w:bookmarkEnd w:id="92"/>
      <w:bookmarkEnd w:id="93"/>
    </w:p>
    <w:p w:rsidR="00C75B93" w:rsidRDefault="00000000" w14:paraId="3AECF8AE" w14:textId="77777777">
      <w:pPr>
        <w:pStyle w:val="RedaliaTitre2"/>
      </w:pPr>
      <w:bookmarkStart w:name="_Toc170898457" w:id="94"/>
      <w:bookmarkStart w:name="__RefHeading___Toc2592_629809420" w:id="95"/>
      <w:bookmarkStart w:name="_Toc197507429" w:id="96"/>
      <w:bookmarkStart w:name="_Toc197527770" w:id="97"/>
      <w:bookmarkStart w:name="_Toc210310206" w:id="98"/>
      <w:r>
        <w:t xml:space="preserve">Seleção das candidaturas</w:t>
      </w:r>
      <w:bookmarkEnd w:id="94"/>
      <w:bookmarkEnd w:id="95"/>
      <w:bookmarkEnd w:id="96"/>
      <w:bookmarkEnd w:id="97"/>
      <w:bookmarkEnd w:id="98"/>
    </w:p>
    <w:p w:rsidR="00C75B93" w:rsidRDefault="00000000" w14:paraId="300CFF35" w14:textId="77777777">
      <w:r>
        <w:t xml:space="preserve">Os critérios de candidatura e de intervenção para a seleção são as capacidades técnicas</w:t>
      </w:r>
      <w:r>
        <w:rPr>
          <w:b/>
        </w:rPr>
        <w:t xml:space="preserve">, financeiras e profissionais.</w:t>
      </w:r>
    </w:p>
    <w:p w:rsidR="00C75B93" w:rsidRDefault="00000000" w14:paraId="7DA75F7A" w14:textId="77777777">
      <w:pPr>
        <w:pStyle w:val="RedaliaTitre2"/>
      </w:pPr>
      <w:bookmarkStart w:name="__RefHeading___Toc2594_629809420" w:id="99"/>
      <w:bookmarkStart w:name="_Toc197507430" w:id="100"/>
      <w:bookmarkStart w:name="_Toc197527771" w:id="101"/>
      <w:bookmarkStart w:name="_Toc210310207" w:id="102"/>
      <w:bookmarkStart w:name="_Toc1708984571" w:id="103"/>
      <w:r>
        <w:t xml:space="preserve">Julgamento das candidaturas</w:t>
      </w:r>
      <w:bookmarkEnd w:id="99"/>
      <w:bookmarkEnd w:id="100"/>
      <w:bookmarkEnd w:id="101"/>
      <w:bookmarkEnd w:id="102"/>
    </w:p>
    <w:p w:rsidR="00C75B93" w:rsidRDefault="00000000" w14:paraId="1906D99D" w14:textId="77777777">
      <w:pPr>
        <w:pStyle w:val="RedaliaNormal"/>
      </w:pPr>
      <w:r>
        <w:t xml:space="preserve">A AFD reserva-se a possibilidade de analisar as ofertas antes das candidaturas. Neste caso, pode limitar a análise dos documentos de candidatura ao único candidato a quem pretende adjudicar o contrato.</w:t>
      </w:r>
    </w:p>
    <w:p w:rsidR="00C75B93" w:rsidRDefault="00C75B93" w14:paraId="36D70D1D" w14:textId="77777777">
      <w:pPr>
        <w:pStyle w:val="RedaliaNormal"/>
      </w:pPr>
    </w:p>
    <w:p w:rsidR="00C75B93" w:rsidRDefault="00000000" w14:paraId="731EEA66" w14:textId="77777777">
      <w:pPr>
        <w:pStyle w:val="RedaliaNormal"/>
      </w:pPr>
      <w:r>
        <w:t xml:space="preserve">Os critérios de elegibilidade são:</w:t>
      </w:r>
    </w:p>
    <w:p w:rsidR="00C75B93" w:rsidRDefault="00000000" w14:paraId="0413353B" w14:textId="77777777">
      <w:pPr>
        <w:pStyle w:val="Redaliapuces"/>
        <w:numPr>
          <w:ilvl w:val="0"/>
          <w:numId w:val="20"/>
        </w:numPr>
      </w:pPr>
      <w:r>
        <w:t xml:space="preserve">Garantias e capacidades técnicas e financeiras</w:t>
      </w:r>
    </w:p>
    <w:p w:rsidR="00C75B93" w:rsidRDefault="00000000" w14:paraId="6FEDDABE" w14:textId="77777777">
      <w:pPr>
        <w:pStyle w:val="Redaliapuces"/>
        <w:numPr>
          <w:ilvl w:val="0"/>
          <w:numId w:val="20"/>
        </w:numPr>
      </w:pPr>
      <w:r>
        <w:t xml:space="preserve">Capacidades profissionais </w:t>
      </w:r>
    </w:p>
    <w:p w:rsidR="00C75B93" w:rsidRDefault="00C75B93" w14:paraId="12EDA1B7" w14:textId="77777777">
      <w:pPr>
        <w:pStyle w:val="RedaliaNormal"/>
      </w:pPr>
    </w:p>
    <w:p w:rsidR="00C75B93" w:rsidRDefault="00000000" w14:paraId="4161922B" w14:textId="77777777">
      <w:pPr>
        <w:pStyle w:val="RedaliaNormal"/>
      </w:pPr>
      <w:r>
        <w:t xml:space="preserve">São declaradas inadmissíveis as candidaturas que não apresentem garantias financeiras, técnicas e profissionais suficientes face ao objeto da prestação.</w:t>
      </w:r>
    </w:p>
    <w:p w:rsidR="00C75B93" w:rsidRDefault="00000000" w14:paraId="5731474C" w14:textId="77777777">
      <w:pPr>
        <w:pStyle w:val="RedaliaTitre2"/>
      </w:pPr>
      <w:bookmarkStart w:name="__RefHeading___Toc2596_629809420" w:id="104"/>
      <w:bookmarkStart w:name="_Toc197507431" w:id="105"/>
      <w:bookmarkStart w:name="_Toc197527772" w:id="106"/>
      <w:bookmarkStart w:name="_Toc210310208" w:id="107"/>
      <w:r>
        <w:t xml:space="preserve">Julgamento das ofertas</w:t>
      </w:r>
      <w:bookmarkEnd w:id="103"/>
      <w:bookmarkEnd w:id="104"/>
      <w:bookmarkEnd w:id="105"/>
      <w:bookmarkEnd w:id="106"/>
      <w:bookmarkEnd w:id="107"/>
    </w:p>
    <w:p w:rsidR="00C75B93" w:rsidRDefault="00000000" w14:paraId="188919FC" w14:textId="77777777">
      <w:pPr>
        <w:pStyle w:val="RedaliaNormal"/>
        <w:tabs>
          <w:tab w:val="left" w:pos="99pt"/>
        </w:tabs>
      </w:pPr>
      <w:r>
        <w:t xml:space="preserve">Os critérios de avaliação das propostas são ponderados da seguinte forma:  </w:t>
      </w:r>
    </w:p>
    <w:tbl>
      <w:tblPr>
        <w:tblW w:w="460.45pt" w:type="dxa"/>
        <w:tblLayout w:type="fixed"/>
        <w:tblCellMar>
          <w:start w:w="0.50pt" w:type="dxa"/>
          <w:end w:w="0.50pt" w:type="dxa"/>
        </w:tblCellMar>
        <w:tblLook w:val="04a0"/>
      </w:tblPr>
      <w:tblGrid>
        <w:gridCol w:w="7933"/>
        <w:gridCol w:w="1276"/>
      </w:tblGrid>
      <w:tr w:rsidR="00C75B93" w14:paraId="70C8EF9E" w14:textId="77777777">
        <w:tblPrEx>
          <w:tblCellMar>
            <w:top w:w="0pt" w:type="dxa"/>
            <w:bottom w:w="0pt" w:type="dxa"/>
          </w:tblCellMar>
        </w:tblPrEx>
        <w:tc>
          <w:tcPr>
            <w:tcW w:w="396.65pt" w:type="dxa"/>
            <w:tcBorders>
              <w:top w:val="single" w:color="000000" w:sz="4" w:space="0"/>
              <w:start w:val="single" w:color="000000" w:sz="4" w:space="0"/>
              <w:bottom w:val="single" w:color="000000" w:sz="4" w:space="0"/>
              <w:end w:val="single" w:color="000000" w:sz="4" w:space="0"/>
            </w:tcBorders>
            <w:shd w:val="clear" w:color="auto" w:fill="auto"/>
            <w:tcMar>
              <w:top w:w="0pt" w:type="dxa"/>
              <w:start w:w="5.40pt" w:type="dxa"/>
              <w:bottom w:w="0pt" w:type="dxa"/>
              <w:end w:w="5.40pt" w:type="dxa"/>
            </w:tcMar>
          </w:tcPr>
          <w:p w:rsidR="00C75B93" w:rsidRDefault="00000000" w14:paraId="5EB6972F" w14:textId="77777777">
            <w:pPr>
              <w:pStyle w:val="RedaliaNormal"/>
              <w:numPr>
                <w:ilvl w:val="0"/>
                <w:numId w:val="31"/>
              </w:numPr>
              <w:rPr>
                <w:b/>
              </w:rPr>
            </w:pPr>
            <w:r>
              <w:rPr>
                <w:b/>
              </w:rPr>
              <w:t xml:space="preserve">Preço das prestações</w:t>
            </w:r>
          </w:p>
          <w:p w:rsidR="00C75B93" w:rsidRDefault="00000000" w14:paraId="1DD2E096" w14:textId="77777777">
            <w:pPr>
              <w:pStyle w:val="RedaliaNormal"/>
              <w:rPr>
                <w:i/>
              </w:rPr>
            </w:pPr>
            <w:r>
              <w:rPr>
                <w:i/>
              </w:rPr>
              <w:t xml:space="preserve">A nota máxima (NM) será atribuída ao candidato que tiver apresentado a oferta financeira mais baixa. Os outros candidatos terão uma nota calculada com base na seguinte fórmula:</w:t>
            </w:r>
          </w:p>
          <w:p w:rsidR="00C75B93" w:rsidRDefault="00000000" w14:paraId="3DFE8D4B" w14:textId="77777777">
            <w:pPr>
              <w:pStyle w:val="RedaliaNormal"/>
              <w:rPr>
                <w:i/>
                <w:lang w:val="pt-BR"/>
              </w:rPr>
            </w:pPr>
            <w:r>
              <w:rPr>
                <w:i/>
                <w:lang w:val="pt-BR"/>
              </w:rPr>
              <w:t xml:space="preserve">N = NM x (ODM/OAN)</w:t>
            </w:r>
          </w:p>
          <w:p w:rsidR="00C75B93" w:rsidRDefault="00000000" w14:paraId="697F55ED" w14:textId="77777777">
            <w:pPr>
              <w:pStyle w:val="RedaliaNormal"/>
            </w:pPr>
            <w:r>
              <w:rPr>
                <w:i/>
              </w:rPr>
              <w:t xml:space="preserve">onde N é a nota do candidato, OMD o montante da oferta mais baixa, OAN o montante da oferta a ser anotado.</w:t>
            </w:r>
          </w:p>
        </w:tc>
        <w:tc>
          <w:tcPr>
            <w:tcW w:w="63.80pt" w:type="dxa"/>
            <w:tcBorders>
              <w:top w:val="single" w:color="000000" w:sz="4" w:space="0"/>
              <w:start w:val="single" w:color="000000" w:sz="4" w:space="0"/>
              <w:bottom w:val="single" w:color="000000" w:sz="4" w:space="0"/>
              <w:end w:val="single" w:color="000000" w:sz="4" w:space="0"/>
            </w:tcBorders>
            <w:shd w:val="clear" w:color="auto" w:fill="auto"/>
            <w:tcMar>
              <w:top w:w="0pt" w:type="dxa"/>
              <w:start w:w="5.40pt" w:type="dxa"/>
              <w:bottom w:w="0pt" w:type="dxa"/>
              <w:end w:w="5.40pt" w:type="dxa"/>
            </w:tcMar>
          </w:tcPr>
          <w:p w:rsidR="00C75B93" w:rsidRDefault="00000000" w14:paraId="55106393" w14:textId="77777777">
            <w:pPr>
              <w:pStyle w:val="RedaliaNormal"/>
              <w:rPr>
                <w:b/>
              </w:rPr>
            </w:pPr>
            <w:r>
              <w:rPr>
                <w:b/>
              </w:rPr>
              <w:t xml:space="preserve">25%</w:t>
            </w:r>
          </w:p>
        </w:tc>
      </w:tr>
      <w:tr w:rsidR="00C75B93" w14:paraId="1B2B63D1" w14:textId="77777777">
        <w:tblPrEx>
          <w:tblCellMar>
            <w:top w:w="0pt" w:type="dxa"/>
            <w:bottom w:w="0pt" w:type="dxa"/>
          </w:tblCellMar>
        </w:tblPrEx>
        <w:tc>
          <w:tcPr>
            <w:tcW w:w="396.65pt" w:type="dxa"/>
            <w:tcBorders>
              <w:top w:val="single" w:color="000000" w:sz="4" w:space="0"/>
              <w:start w:val="single" w:color="000000" w:sz="4" w:space="0"/>
              <w:bottom w:val="single" w:color="000000" w:sz="4" w:space="0"/>
              <w:end w:val="single" w:color="000000" w:sz="4" w:space="0"/>
            </w:tcBorders>
            <w:shd w:val="clear" w:color="auto" w:fill="auto"/>
            <w:tcMar>
              <w:top w:w="0pt" w:type="dxa"/>
              <w:start w:w="5.40pt" w:type="dxa"/>
              <w:bottom w:w="0pt" w:type="dxa"/>
              <w:end w:w="5.40pt" w:type="dxa"/>
            </w:tcMar>
          </w:tcPr>
          <w:p w:rsidR="00C75B93" w:rsidRDefault="00000000" w14:paraId="679D6BD8" w14:textId="77777777">
            <w:pPr>
              <w:pStyle w:val="RedaliaNormal"/>
              <w:numPr>
                <w:ilvl w:val="0"/>
                <w:numId w:val="31"/>
              </w:numPr>
              <w:rPr>
                <w:b/>
              </w:rPr>
            </w:pPr>
            <w:r>
              <w:rPr>
                <w:b/>
              </w:rPr>
              <w:t xml:space="preserve">Valor Técnico </w:t>
            </w:r>
          </w:p>
        </w:tc>
        <w:tc>
          <w:tcPr>
            <w:tcW w:w="63.80pt" w:type="dxa"/>
            <w:tcBorders>
              <w:top w:val="single" w:color="000000" w:sz="4" w:space="0"/>
              <w:start w:val="single" w:color="000000" w:sz="4" w:space="0"/>
              <w:bottom w:val="single" w:color="000000" w:sz="4" w:space="0"/>
              <w:end w:val="single" w:color="000000" w:sz="4" w:space="0"/>
            </w:tcBorders>
            <w:shd w:val="clear" w:color="auto" w:fill="auto"/>
            <w:tcMar>
              <w:top w:w="0pt" w:type="dxa"/>
              <w:start w:w="5.40pt" w:type="dxa"/>
              <w:bottom w:w="0pt" w:type="dxa"/>
              <w:end w:w="5.40pt" w:type="dxa"/>
            </w:tcMar>
          </w:tcPr>
          <w:p w:rsidR="00C75B93" w:rsidRDefault="00000000" w14:paraId="1D3F2998" w14:textId="77777777">
            <w:pPr>
              <w:pStyle w:val="RedaliaNormal"/>
              <w:rPr>
                <w:b/>
              </w:rPr>
            </w:pPr>
            <w:r>
              <w:rPr>
                <w:b/>
              </w:rPr>
              <w:t xml:space="preserve">75%</w:t>
            </w:r>
          </w:p>
        </w:tc>
      </w:tr>
      <w:tr w:rsidR="00C75B93" w14:paraId="2E0C5250" w14:textId="77777777">
        <w:tblPrEx>
          <w:tblCellMar>
            <w:top w:w="0pt" w:type="dxa"/>
            <w:bottom w:w="0pt" w:type="dxa"/>
          </w:tblCellMar>
        </w:tblPrEx>
        <w:tc>
          <w:tcPr>
            <w:tcW w:w="396.65pt" w:type="dxa"/>
            <w:tcBorders>
              <w:top w:val="single" w:color="000000" w:sz="4" w:space="0"/>
              <w:start w:val="single" w:color="000000" w:sz="4" w:space="0"/>
              <w:bottom w:val="single" w:color="000000" w:sz="4" w:space="0"/>
              <w:end w:val="single" w:color="000000" w:sz="4" w:space="0"/>
            </w:tcBorders>
            <w:shd w:val="clear" w:color="auto" w:fill="auto"/>
            <w:tcMar>
              <w:top w:w="0pt" w:type="dxa"/>
              <w:start w:w="5.40pt" w:type="dxa"/>
              <w:bottom w:w="0pt" w:type="dxa"/>
              <w:end w:w="5.40pt" w:type="dxa"/>
            </w:tcMar>
          </w:tcPr>
          <w:p w:rsidR="00C75B93" w:rsidRDefault="00000000" w14:paraId="6AA11A38" w14:textId="77777777">
            <w:pPr>
              <w:pStyle w:val="RedaliaNormal"/>
              <w:numPr>
                <w:ilvl w:val="1"/>
                <w:numId w:val="32"/>
              </w:numPr>
              <w:rPr>
                <w:u w:val="single"/>
              </w:rPr>
            </w:pPr>
            <w:r>
              <w:rPr>
                <w:u w:val="single"/>
              </w:rPr>
              <w:t xml:space="preserve">Qualidade dos perfis </w:t>
            </w:r>
          </w:p>
          <w:p w:rsidR="00C75B93" w:rsidRDefault="00000000" w14:paraId="4177D99E" w14:textId="77777777">
            <w:pPr>
              <w:pStyle w:val="RedaliaNormal"/>
            </w:pPr>
            <w:r>
              <w:t xml:space="preserve">Qualidade dos perfis dedicados à execução das prestações.</w:t>
            </w:r>
          </w:p>
        </w:tc>
        <w:tc>
          <w:tcPr>
            <w:tcW w:w="63.80pt" w:type="dxa"/>
            <w:tcBorders>
              <w:top w:val="single" w:color="000000" w:sz="4" w:space="0"/>
              <w:start w:val="single" w:color="000000" w:sz="4" w:space="0"/>
              <w:bottom w:val="single" w:color="000000" w:sz="4" w:space="0"/>
              <w:end w:val="single" w:color="000000" w:sz="4" w:space="0"/>
            </w:tcBorders>
            <w:shd w:val="clear" w:color="auto" w:fill="auto"/>
            <w:tcMar>
              <w:top w:w="0pt" w:type="dxa"/>
              <w:start w:w="5.40pt" w:type="dxa"/>
              <w:bottom w:w="0pt" w:type="dxa"/>
              <w:end w:w="5.40pt" w:type="dxa"/>
            </w:tcMar>
          </w:tcPr>
          <w:p w:rsidR="00C75B93" w:rsidRDefault="00000000" w14:paraId="2DE4653B" w14:textId="77777777">
            <w:pPr>
              <w:pStyle w:val="RedaliaNormal"/>
            </w:pPr>
            <w:r>
              <w:t xml:space="preserve">50% </w:t>
            </w:r>
          </w:p>
        </w:tc>
      </w:tr>
      <w:tr w:rsidR="00C75B93" w14:paraId="2BE78240" w14:textId="77777777">
        <w:tblPrEx>
          <w:tblCellMar>
            <w:top w:w="0pt" w:type="dxa"/>
            <w:bottom w:w="0pt" w:type="dxa"/>
          </w:tblCellMar>
        </w:tblPrEx>
        <w:tc>
          <w:tcPr>
            <w:tcW w:w="396.65pt" w:type="dxa"/>
            <w:tcBorders>
              <w:top w:val="single" w:color="000000" w:sz="4" w:space="0"/>
              <w:start w:val="single" w:color="000000" w:sz="4" w:space="0"/>
              <w:bottom w:val="single" w:color="000000" w:sz="4" w:space="0"/>
              <w:end w:val="single" w:color="000000" w:sz="4" w:space="0"/>
            </w:tcBorders>
            <w:shd w:val="clear" w:color="auto" w:fill="auto"/>
            <w:tcMar>
              <w:top w:w="0pt" w:type="dxa"/>
              <w:start w:w="5.40pt" w:type="dxa"/>
              <w:bottom w:w="0pt" w:type="dxa"/>
              <w:end w:w="5.40pt" w:type="dxa"/>
            </w:tcMar>
          </w:tcPr>
          <w:p w:rsidR="00C75B93" w:rsidRDefault="00000000" w14:paraId="29BEA4A6" w14:textId="77777777">
            <w:pPr>
              <w:pStyle w:val="RedaliaNormal"/>
              <w:numPr>
                <w:ilvl w:val="1"/>
                <w:numId w:val="32"/>
              </w:numPr>
              <w:rPr>
                <w:u w:val="single"/>
              </w:rPr>
            </w:pPr>
            <w:r>
              <w:rPr>
                <w:u w:val="single"/>
              </w:rPr>
              <w:t xml:space="preserve">Qualidade da metodologia </w:t>
            </w:r>
          </w:p>
          <w:p w:rsidR="00C75B93" w:rsidRDefault="00000000" w14:paraId="11BF4920" w14:textId="77777777">
            <w:pPr>
              <w:pStyle w:val="RedaliaNormal"/>
            </w:pPr>
            <w:r>
              <w:t xml:space="preserve">Qualidade e pertinência da metodologia proposta para a implementação dos serviços.</w:t>
            </w:r>
          </w:p>
        </w:tc>
        <w:tc>
          <w:tcPr>
            <w:tcW w:w="63.80pt" w:type="dxa"/>
            <w:tcBorders>
              <w:top w:val="single" w:color="000000" w:sz="4" w:space="0"/>
              <w:start w:val="single" w:color="000000" w:sz="4" w:space="0"/>
              <w:bottom w:val="single" w:color="000000" w:sz="4" w:space="0"/>
              <w:end w:val="single" w:color="000000" w:sz="4" w:space="0"/>
            </w:tcBorders>
            <w:shd w:val="clear" w:color="auto" w:fill="auto"/>
            <w:tcMar>
              <w:top w:w="0pt" w:type="dxa"/>
              <w:start w:w="5.40pt" w:type="dxa"/>
              <w:bottom w:w="0pt" w:type="dxa"/>
              <w:end w:w="5.40pt" w:type="dxa"/>
            </w:tcMar>
          </w:tcPr>
          <w:p w:rsidR="00C75B93" w:rsidRDefault="00000000" w14:paraId="72651BC6" w14:textId="77777777">
            <w:pPr>
              <w:pStyle w:val="RedaliaNormal"/>
            </w:pPr>
            <w:r>
              <w:t xml:space="preserve">20%</w:t>
            </w:r>
          </w:p>
        </w:tc>
      </w:tr>
      <w:tr w:rsidR="00C75B93" w14:paraId="34C9CA76" w14:textId="77777777">
        <w:tblPrEx>
          <w:tblCellMar>
            <w:top w:w="0pt" w:type="dxa"/>
            <w:bottom w:w="0pt" w:type="dxa"/>
          </w:tblCellMar>
        </w:tblPrEx>
        <w:tc>
          <w:tcPr>
            <w:tcW w:w="396.65pt" w:type="dxa"/>
            <w:tcBorders>
              <w:top w:val="single" w:color="000000" w:sz="4" w:space="0"/>
              <w:start w:val="single" w:color="000000" w:sz="4" w:space="0"/>
              <w:bottom w:val="single" w:color="000000" w:sz="4" w:space="0"/>
              <w:end w:val="single" w:color="000000" w:sz="4" w:space="0"/>
            </w:tcBorders>
            <w:shd w:val="clear" w:color="auto" w:fill="auto"/>
            <w:tcMar>
              <w:top w:w="0pt" w:type="dxa"/>
              <w:start w:w="5.40pt" w:type="dxa"/>
              <w:bottom w:w="0pt" w:type="dxa"/>
              <w:end w:w="5.40pt" w:type="dxa"/>
            </w:tcMar>
          </w:tcPr>
          <w:p w:rsidR="00C75B93" w:rsidRDefault="00000000" w14:paraId="6B7CACE3" w14:textId="77777777">
            <w:pPr>
              <w:pStyle w:val="RedaliaNormal"/>
              <w:numPr>
                <w:ilvl w:val="1"/>
                <w:numId w:val="32"/>
              </w:numPr>
              <w:rPr>
                <w:u w:val="single"/>
              </w:rPr>
            </w:pPr>
            <w:r>
              <w:rPr>
                <w:u w:val="single"/>
              </w:rPr>
              <w:t xml:space="preserve">Medidas propostas para a redução da pegada ecológica das prestações (redução/organização inteligente do número de voos, guias de utilização, boas práticas, etc.</w:t>
            </w:r>
          </w:p>
        </w:tc>
        <w:tc>
          <w:tcPr>
            <w:tcW w:w="63.80pt" w:type="dxa"/>
            <w:tcBorders>
              <w:top w:val="single" w:color="000000" w:sz="4" w:space="0"/>
              <w:start w:val="single" w:color="000000" w:sz="4" w:space="0"/>
              <w:bottom w:val="single" w:color="000000" w:sz="4" w:space="0"/>
              <w:end w:val="single" w:color="000000" w:sz="4" w:space="0"/>
            </w:tcBorders>
            <w:shd w:val="clear" w:color="auto" w:fill="auto"/>
            <w:tcMar>
              <w:top w:w="0pt" w:type="dxa"/>
              <w:start w:w="5.40pt" w:type="dxa"/>
              <w:bottom w:w="0pt" w:type="dxa"/>
              <w:end w:w="5.40pt" w:type="dxa"/>
            </w:tcMar>
          </w:tcPr>
          <w:p w:rsidR="00C75B93" w:rsidRDefault="00000000" w14:paraId="29015FED" w14:textId="77777777">
            <w:pPr>
              <w:pStyle w:val="RedaliaNormal"/>
            </w:pPr>
            <w:r>
              <w:t xml:space="preserve">5 %</w:t>
            </w:r>
          </w:p>
        </w:tc>
      </w:tr>
    </w:tbl>
    <w:p w:rsidR="00C75B93" w:rsidRDefault="00C75B93" w14:paraId="3C68CFA8" w14:textId="77777777">
      <w:pPr>
        <w:pStyle w:val="Titre4"/>
      </w:pPr>
    </w:p>
    <w:p w:rsidR="00C75B93" w:rsidRDefault="00C75B93" w14:paraId="1BF3421D" w14:textId="77777777">
      <w:pPr>
        <w:pStyle w:val="RedaliaNormal"/>
        <w:rPr>
          <w:b/>
          <w:u w:val="single"/>
        </w:rPr>
      </w:pPr>
    </w:p>
    <w:p w:rsidR="00C75B93" w:rsidRDefault="00000000" w14:paraId="5E3C2375" w14:textId="77777777">
      <w:pPr>
        <w:pStyle w:val="Titre4"/>
      </w:pPr>
      <w:r>
        <w:t xml:space="preserve">Rectificação de propostas:</w:t>
      </w:r>
    </w:p>
    <w:p w:rsidR="00C75B93" w:rsidRDefault="00000000" w14:paraId="44291FF0" w14:textId="77777777">
      <w:pPr>
        <w:pStyle w:val="Default"/>
        <w:jc w:val="both"/>
        <w:rPr>
          <w:sz w:val="22"/>
          <w:szCs w:val="22"/>
        </w:rPr>
      </w:pPr>
      <w:r>
        <w:rPr>
          <w:sz w:val="22"/>
          <w:szCs w:val="22"/>
        </w:rPr>
        <w:t xml:space="preserve">Em caso de discordância constatada na oferta, as indicações escritas sobre o estado dos preços fixos no contrato único prevalecerão sobre todas as outras indicações. </w:t>
      </w:r>
    </w:p>
    <w:p w:rsidR="00C75B93" w:rsidRDefault="00C75B93" w14:paraId="78BB0B42" w14:textId="77777777">
      <w:pPr>
        <w:pStyle w:val="Default"/>
        <w:rPr>
          <w:sz w:val="22"/>
          <w:szCs w:val="22"/>
        </w:rPr>
      </w:pPr>
    </w:p>
    <w:p w:rsidR="00C75B93" w:rsidRDefault="00000000" w14:paraId="3AABD159" w14:textId="77777777">
      <w:pPr>
        <w:pStyle w:val="Default"/>
        <w:jc w:val="both"/>
        <w:rPr>
          <w:sz w:val="22"/>
          <w:szCs w:val="22"/>
        </w:rPr>
      </w:pPr>
      <w:r>
        <w:rPr>
          <w:sz w:val="22"/>
          <w:szCs w:val="22"/>
        </w:rPr>
        <w:t xml:space="preserve">Se erros de multiplicação, adição ou reporte forem constatados na decomposição do preço global fixo, em uma oferta, o montante desse preço não será corrigido para a avaliação da consulta. </w:t>
      </w:r>
    </w:p>
    <w:p w:rsidR="00C75B93" w:rsidRDefault="00C75B93" w14:paraId="6C8B0C3C" w14:textId="77777777">
      <w:pPr>
        <w:pStyle w:val="Default"/>
        <w:jc w:val="both"/>
        <w:rPr>
          <w:sz w:val="22"/>
          <w:szCs w:val="22"/>
        </w:rPr>
      </w:pPr>
    </w:p>
    <w:p w:rsidR="00C75B93" w:rsidRDefault="00000000" w14:paraId="2D614FE3" w14:textId="77777777">
      <w:pPr>
        <w:jc w:val="both"/>
      </w:pPr>
      <w:r>
        <w:rPr>
          <w:szCs w:val="22"/>
        </w:rPr>
        <w:t xml:space="preserve">No entanto, se o prestador em causa estiver prestes a ser seleccionado, será convidado a corrigir esta repartição para a harmonizar com o preço fixo.</w:t>
      </w:r>
    </w:p>
    <w:p w:rsidR="00C75B93" w:rsidRDefault="00000000" w14:paraId="09427522" w14:textId="77777777">
      <w:pPr>
        <w:pStyle w:val="Titre4"/>
      </w:pPr>
      <w:r>
        <w:t xml:space="preserve">Negociações:</w:t>
      </w:r>
    </w:p>
    <w:p w:rsidR="00C75B93" w:rsidRDefault="00C75B93" w14:paraId="55945FA2" w14:textId="77777777">
      <w:pPr>
        <w:pStyle w:val="RedaliaNormal"/>
      </w:pPr>
    </w:p>
    <w:p w:rsidR="00C75B93" w:rsidRDefault="00000000" w14:paraId="3825B23A" w14:textId="77777777">
      <w:pPr>
        <w:pStyle w:val="RedaliaNormal"/>
      </w:pPr>
      <w:r>
        <w:t xml:space="preserve">As modalidades da negociação são definidas no artigo Procedimento de adjudicação.</w:t>
      </w:r>
      <w:r>
        <w:rPr>
          <w:i/>
        </w:rPr>
        <w:t xml:space="preserve"/>
      </w:r>
      <w:r>
        <w:t xml:space="preserve"/>
      </w:r>
    </w:p>
    <w:p w:rsidR="00C75B93" w:rsidRDefault="00C75B93" w14:paraId="193335E3" w14:textId="77777777">
      <w:pPr>
        <w:pStyle w:val="RedaliaNormal"/>
      </w:pPr>
    </w:p>
    <w:p w:rsidR="00C75B93" w:rsidRDefault="00000000" w14:paraId="5CA6FEA2" w14:textId="77777777">
      <w:pPr>
        <w:pStyle w:val="RedaliaNormal"/>
      </w:pPr>
      <w:r>
        <w:t xml:space="preserve">A entidade adjudicante rejeitará as propostas inadequadas e procederá à selecção, após uma primeira classificação efectuada com base nos critérios definidos acima. Os 3 primeiros candidatos da classificação serão eventualmente admitidos a negociar. Após eventual negociação com esses candidatos (salvo insuficiência de candidatos), a entidade adjudicante escolherá a proposta economicamente mais vantajosa.</w:t>
      </w:r>
    </w:p>
    <w:p w:rsidR="00C75B93" w:rsidRDefault="00C75B93" w14:paraId="0D837D66" w14:textId="77777777">
      <w:pPr>
        <w:pStyle w:val="RedaliaNormal"/>
      </w:pPr>
    </w:p>
    <w:p w:rsidR="00C75B93" w:rsidRDefault="00000000" w14:paraId="086E5ECA" w14:textId="77777777">
      <w:pPr>
        <w:pStyle w:val="RedaliaNormal"/>
      </w:pPr>
      <w:r>
        <w:t xml:space="preserve">No âmbito destas negociações, os candidatos seleccionados podem ser convidados pela entidade adjudicante quantas vezes forem necessárias e em estritas condições de igualdade, Especificar, completar ou alterar a sua oferta sem que sejam introduzidas alterações substanciais no caderno de especificações.</w:t>
      </w:r>
    </w:p>
    <w:p w:rsidR="00C75B93" w:rsidRDefault="00C75B93" w14:paraId="0D372FB9" w14:textId="77777777">
      <w:pPr>
        <w:pStyle w:val="RedaliaNormal"/>
      </w:pPr>
    </w:p>
    <w:p w:rsidR="00C75B93" w:rsidRDefault="00000000" w14:paraId="192E7280" w14:textId="77777777">
      <w:pPr>
        <w:pStyle w:val="RedaliaNormal"/>
      </w:pPr>
      <w:r>
        <w:t xml:space="preserve">A AFD reserva-se o direito de organizar várias rondas de negociação com os candidatos selecionados.</w:t>
      </w:r>
    </w:p>
    <w:p w:rsidR="00C75B93" w:rsidRDefault="00C75B93" w14:paraId="25EB4502" w14:textId="77777777">
      <w:pPr>
        <w:pStyle w:val="RedaliaNormal"/>
      </w:pPr>
    </w:p>
    <w:p w:rsidR="00C75B93" w:rsidRDefault="00000000" w14:paraId="4DC33385" w14:textId="77777777">
      <w:pPr>
        <w:pStyle w:val="RedaliaNormal"/>
      </w:pPr>
      <w:r>
        <w:t xml:space="preserve">A AFD reserva-se igualmente o direito de adjudicar o contrato com base na oferta inicial, sem negociação.</w:t>
      </w:r>
    </w:p>
    <w:p w:rsidR="00C75B93" w:rsidRDefault="00000000" w14:paraId="549C4E55" w14:textId="77777777">
      <w:pPr>
        <w:pStyle w:val="RedaliaTitre2"/>
      </w:pPr>
      <w:bookmarkStart w:name="_Toc170898458" w:id="108"/>
      <w:bookmarkStart w:name="__RefHeading___Toc2598_629809420" w:id="109"/>
      <w:bookmarkStart w:name="_Toc197507432" w:id="110"/>
      <w:bookmarkStart w:name="_Toc197527773" w:id="111"/>
      <w:bookmarkStart w:name="_Toc210310209" w:id="112"/>
      <w:bookmarkEnd w:id="108"/>
      <w:r>
        <w:t xml:space="preserve">Adjudicação do contrato</w:t>
      </w:r>
      <w:bookmarkEnd w:id="109"/>
      <w:bookmarkEnd w:id="110"/>
      <w:bookmarkEnd w:id="111"/>
      <w:bookmarkEnd w:id="112"/>
    </w:p>
    <w:p w:rsidR="00C75B93" w:rsidRDefault="00000000" w14:paraId="0B75E4A1" w14:textId="77777777">
      <w:pPr>
        <w:pStyle w:val="RedaliaNormal"/>
      </w:pPr>
      <w:r>
        <w:t xml:space="preserve">Antes da assinatura do contrato pela Autoridade Contratante, e em conformidade com o artigo R2144-7 do Código de Contratação Pública, o adjudicatário (ou todos os membros do grupo adjudicatário, incluindo eventuais subcontratantes) deverá transmitir na ferramenta de recolha dos certificados de fornecedores que a Autoridade Contratante utilizou (ferramenta Provigis) os documentos abaixo solicitados:</w:t>
      </w:r>
    </w:p>
    <w:p w:rsidR="00C75B93" w:rsidRDefault="00000000" w14:paraId="44D0AE7C" w14:textId="77777777">
      <w:pPr>
        <w:pStyle w:val="RedaliaNormal"/>
      </w:pPr>
      <w:r>
        <w:t xml:space="preserve">• Um documento válido que ateste a matrícula efectiva da estrutura (extracto K-bis ou equivalente);</w:t>
      </w:r>
    </w:p>
    <w:p w:rsidR="00C75B93" w:rsidRDefault="00000000" w14:paraId="14C29527" w14:textId="77777777">
      <w:pPr>
        <w:pStyle w:val="RedaliaNormal"/>
      </w:pPr>
      <w:r>
        <w:t xml:space="preserve">• Um certificado válido emitido pelas autoridades competentes que ateste que o candidato está em dia com as suas obrigações sociais (URSSAF, RSI, AGESSA, MDA...);</w:t>
      </w:r>
    </w:p>
    <w:p w:rsidR="00C75B93" w:rsidRDefault="00000000" w14:paraId="07E0C54D" w14:textId="77777777">
      <w:pPr>
        <w:pStyle w:val="RedaliaNormal"/>
      </w:pPr>
      <w:r>
        <w:t xml:space="preserve">• A lista nominativa dos trabalhadores estrangeiros fora da CE ou destacados, empregados pela estrutura ou, na falta disso, um atestado de não emprego de trabalhadores estrangeiros fora da CE (com data inferior a 6 meses);</w:t>
      </w:r>
    </w:p>
    <w:p w:rsidR="00C75B93" w:rsidRDefault="00000000" w14:paraId="54FDBD10" w14:textId="77777777">
      <w:pPr>
        <w:pStyle w:val="RedaliaNormal"/>
      </w:pPr>
      <w:r>
        <w:t xml:space="preserve">• Um certificado fiscal válido emitido pelas autoridades competentes, certificando que o candidato está em dia com suas obrigações fiscais;</w:t>
      </w:r>
    </w:p>
    <w:p w:rsidR="00C75B93" w:rsidRDefault="00000000" w14:paraId="254B0174" w14:textId="77777777">
      <w:pPr>
        <w:pStyle w:val="RedaliaNormal"/>
      </w:pPr>
      <w:r>
        <w:t xml:space="preserve">• Um certificado de seguro de responsabilidade civil e/ou profissional válido.</w:t>
      </w:r>
    </w:p>
    <w:p w:rsidR="00C75B93" w:rsidRDefault="00C75B93" w14:paraId="49839588" w14:textId="77777777">
      <w:pPr>
        <w:pStyle w:val="RedaliaNormal"/>
      </w:pPr>
    </w:p>
    <w:p w:rsidR="00C75B93" w:rsidRDefault="00000000" w14:paraId="580C6CCE" w14:textId="77777777">
      <w:pPr>
        <w:pStyle w:val="RedaliaNormal"/>
      </w:pPr>
      <w:r>
        <w:t xml:space="preserve">Para cumprir esta última obrigação, o candidato estabelecido em outro estado que a França deve apresentar um certificado emitido pelas administrações e organismos do país de origem. Quando tal certificado não for emitido pelo país em questão, pode ser substituído por uma declaração sob juramento ou, nos Estados onde esse juramento não existe, por uma declaração solene feita pelo interessado perante a autoridade judicial ou administrativa competente, um notário ou uma organização profissional qualificada do país.</w:t>
      </w:r>
    </w:p>
    <w:p w:rsidR="00C75B93" w:rsidRDefault="00C75B93" w14:paraId="6FB6F1FA" w14:textId="77777777">
      <w:pPr>
        <w:pStyle w:val="RedaliaNormal"/>
      </w:pPr>
    </w:p>
    <w:p w:rsidR="00C75B93" w:rsidRDefault="00000000" w14:paraId="586DE72D" w14:textId="77777777">
      <w:pPr>
        <w:pStyle w:val="RedaliaNormal"/>
      </w:pPr>
      <w:r>
        <w:t xml:space="preserve">Se não apresentar esses documentos dentro do prazo estipulado, a proposta do candidato vencedor será rejeitada e ele será eliminado.</w:t>
      </w:r>
    </w:p>
    <w:p w:rsidR="00C75B93" w:rsidRDefault="00000000" w14:paraId="0B4A7DCC" w14:textId="77777777">
      <w:pPr>
        <w:pStyle w:val="RedaliaNormal"/>
      </w:pPr>
      <w:r>
        <w:t xml:space="preserve">O candidato a seguir será solicitado para apresentar os certificados e atestados necessários antes da adjudicação do contrato.</w:t>
      </w:r>
    </w:p>
    <w:p w:rsidR="00C75B93" w:rsidRDefault="00000000" w14:paraId="43C8A36C" w14:textId="77777777">
      <w:pPr>
        <w:pStyle w:val="RedaliaTitre1"/>
      </w:pPr>
      <w:bookmarkStart w:name="_Toc79067703" w:id="113"/>
      <w:bookmarkStart w:name="__RefHeading___Toc2600_629809420" w:id="114"/>
      <w:bookmarkStart w:name="_Toc197507433" w:id="115"/>
      <w:bookmarkStart w:name="_Toc197527774" w:id="116"/>
      <w:bookmarkStart w:name="_Toc210310210" w:id="117"/>
      <w:r>
        <w:t xml:space="preserve">Condições de envio e entrega das candidaturas e ofertas</w:t>
      </w:r>
      <w:bookmarkEnd w:id="113"/>
      <w:bookmarkEnd w:id="114"/>
      <w:bookmarkEnd w:id="115"/>
      <w:bookmarkEnd w:id="116"/>
      <w:bookmarkEnd w:id="117"/>
    </w:p>
    <w:p w:rsidR="00C75B93" w:rsidRDefault="00000000" w14:paraId="03323570" w14:textId="77777777">
      <w:pPr>
        <w:pStyle w:val="RedaliaNormal"/>
      </w:pPr>
      <w:r>
        <w:t xml:space="preserve">A transmissão de documentos por via eletrónica só pode ser realizada no seguinte endereço: https://www.marches-publics.gouv.fr/.</w:t>
      </w:r>
    </w:p>
    <w:p w:rsidR="00C75B93" w:rsidRDefault="00C75B93" w14:paraId="3838BCF0" w14:textId="77777777">
      <w:pPr>
        <w:pStyle w:val="RedaliaNormal"/>
      </w:pPr>
    </w:p>
    <w:p w:rsidR="00C75B93" w:rsidRDefault="00000000" w14:paraId="73B52651" w14:textId="77777777">
      <w:pPr>
        <w:pStyle w:val="RedaliaNormal"/>
      </w:pPr>
      <w:r>
        <w:t xml:space="preserve">O fuso horário de referência será (GMT+01:00) Paris, Bruxelas, Copenhague, Madrid.</w:t>
      </w:r>
    </w:p>
    <w:p w:rsidR="00C75B93" w:rsidRDefault="00000000" w14:paraId="078BEE2F" w14:textId="77777777">
      <w:pPr>
        <w:pStyle w:val="RedaliaNormal"/>
      </w:pPr>
      <w:r>
        <w:t xml:space="preserve">Cada transmissão será objeto de uma data certa de recepção e de um aviso de recepção electrónico.</w:t>
      </w:r>
    </w:p>
    <w:p w:rsidR="00C75B93" w:rsidRDefault="00000000" w14:paraId="1E3D4530" w14:textId="77777777">
      <w:pPr>
        <w:pStyle w:val="RedaliaNormal"/>
      </w:pPr>
      <w:r>
        <w:t xml:space="preserve">É altamente recomendável iniciar a apresentação de propostas pelo menos 2 horas </w:t>
      </w:r>
      <w:r>
        <w:rPr>
          <w:b/>
          <w:sz w:val="24"/>
        </w:rPr>
        <w:t xml:space="preserve">antes da DLRO.</w:t>
      </w:r>
      <w:r>
        <w:t xml:space="preserve"/>
      </w:r>
    </w:p>
    <w:p w:rsidR="00C75B93" w:rsidRDefault="00000000" w14:paraId="2F93FA2F" w14:textId="77777777">
      <w:pPr>
        <w:pStyle w:val="RedaliaNormal"/>
      </w:pPr>
      <w:r>
        <w:t xml:space="preserve">Em caso de problemas, entre em contato com o suporte da plataforma PLACE (</w:t>
      </w:r>
      <w:hyperlink w:history="1" r:id="rId38">
        <w:r>
          <w:rPr>
            <w:rStyle w:val="Lienhypertexte"/>
          </w:rPr>
          <w:t xml:space="preserve">https://www.marches-publics.gouv.fr/</w:t>
        </w:r>
      </w:hyperlink>
      <w:r>
        <w:t xml:space="preserve">)</w:t>
      </w:r>
    </w:p>
    <w:p w:rsidR="00C75B93" w:rsidRDefault="00000000" w14:paraId="5AF1BC4F" w14:textId="77777777">
      <w:pPr>
        <w:pStyle w:val="RedaliaNormal"/>
        <w:pBdr>
          <w:top w:val="single" w:color="000000" w:sz="4" w:space="1"/>
          <w:left w:val="single" w:color="000000" w:sz="4" w:space="4"/>
          <w:bottom w:val="single" w:color="000000" w:sz="4" w:space="1"/>
          <w:right w:val="single" w:color="000000" w:sz="4" w:space="4"/>
        </w:pBdr>
      </w:pPr>
      <w:r>
        <w:rPr>
          <w:u w:val="single"/>
        </w:rPr>
        <w:t xml:space="preserve">Prepare-se com antecedência:</w:t>
      </w:r>
      <w:r>
        <w:t xml:space="preserve"/>
      </w:r>
    </w:p>
    <w:p w:rsidR="00C75B93" w:rsidRDefault="00C75B93" w14:paraId="06D1F75F" w14:textId="77777777">
      <w:pPr>
        <w:pStyle w:val="RedaliaNormal"/>
        <w:pBdr>
          <w:top w:val="single" w:color="000000" w:sz="4" w:space="1"/>
          <w:left w:val="single" w:color="000000" w:sz="4" w:space="4"/>
          <w:bottom w:val="single" w:color="000000" w:sz="4" w:space="1"/>
          <w:right w:val="single" w:color="000000" w:sz="4" w:space="4"/>
        </w:pBdr>
      </w:pPr>
    </w:p>
    <w:p w:rsidR="00C75B93" w:rsidRDefault="00000000" w14:paraId="400BB4BA" w14:textId="77777777">
      <w:pPr>
        <w:pStyle w:val="RedaliaNormal"/>
        <w:pBdr>
          <w:top w:val="single" w:color="000000" w:sz="4" w:space="1"/>
          <w:left w:val="single" w:color="000000" w:sz="4" w:space="4"/>
          <w:bottom w:val="single" w:color="000000" w:sz="4" w:space="1"/>
          <w:right w:val="single" w:color="000000" w:sz="4" w:space="4"/>
        </w:pBdr>
      </w:pPr>
      <w:r>
        <w:t xml:space="preserve">Necessidade de certificado digital - Configuração antecipada da estação de trabalho - recomendação para se preparar com a consulta de teste.</w:t>
      </w:r>
    </w:p>
    <w:p w:rsidR="00C75B93" w:rsidRDefault="00C75B93" w14:paraId="1C212CC6" w14:textId="77777777">
      <w:pPr>
        <w:pStyle w:val="RedaliaNormal"/>
        <w:pBdr>
          <w:top w:val="single" w:color="000000" w:sz="4" w:space="1"/>
          <w:left w:val="single" w:color="000000" w:sz="4" w:space="4"/>
          <w:bottom w:val="single" w:color="000000" w:sz="4" w:space="1"/>
          <w:right w:val="single" w:color="000000" w:sz="4" w:space="4"/>
        </w:pBdr>
      </w:pPr>
    </w:p>
    <w:p w:rsidR="00C75B93" w:rsidRDefault="00000000" w14:paraId="3FBF5C4E" w14:textId="77777777">
      <w:pPr>
        <w:pStyle w:val="RedaliaNormal"/>
        <w:pBdr>
          <w:top w:val="single" w:color="000000" w:sz="4" w:space="1"/>
          <w:left w:val="single" w:color="000000" w:sz="4" w:space="4"/>
          <w:bottom w:val="single" w:color="000000" w:sz="4" w:space="1"/>
          <w:right w:val="single" w:color="000000" w:sz="4" w:space="4"/>
        </w:pBdr>
      </w:pPr>
      <w:r>
        <w:t xml:space="preserve">Em caso de resposta electrónica, é necessária a assinatura electrónica de alguns documentos.</w:t>
      </w:r>
    </w:p>
    <w:p w:rsidR="00C75B93" w:rsidRDefault="00C75B93" w14:paraId="2B44F4E7" w14:textId="77777777">
      <w:pPr>
        <w:pStyle w:val="RedaliaNormal"/>
        <w:pBdr>
          <w:top w:val="single" w:color="000000" w:sz="4" w:space="1"/>
          <w:left w:val="single" w:color="000000" w:sz="4" w:space="4"/>
          <w:bottom w:val="single" w:color="000000" w:sz="4" w:space="1"/>
          <w:right w:val="single" w:color="000000" w:sz="4" w:space="4"/>
        </w:pBdr>
      </w:pPr>
    </w:p>
    <w:p w:rsidR="00C75B93" w:rsidRDefault="00000000" w14:paraId="0F741039" w14:textId="77777777">
      <w:pPr>
        <w:pStyle w:val="RedaliaNormal"/>
        <w:pBdr>
          <w:top w:val="single" w:color="000000" w:sz="4" w:space="1"/>
          <w:left w:val="single" w:color="000000" w:sz="4" w:space="4"/>
          <w:bottom w:val="single" w:color="000000" w:sz="4" w:space="1"/>
          <w:right w:val="single" w:color="000000" w:sz="4" w:space="4"/>
        </w:pBdr>
      </w:pPr>
      <w:r>
        <w:t xml:space="preserve">O proponente deve ter adquirido um certificado eletrônico. Obter um certificado eletrônico leva vários dias ou até mesmo semanas. Se o proponente não possuir um certificado eletrónico válido no âmbito da resposta a um contrato desmaterializado, é imperativo que ele faça o pedido com antecedência.</w:t>
      </w:r>
    </w:p>
    <w:p w:rsidR="00C75B93" w:rsidRDefault="00C75B93" w14:paraId="729F0710" w14:textId="77777777">
      <w:pPr>
        <w:pStyle w:val="RedaliaNormal"/>
        <w:pBdr>
          <w:top w:val="single" w:color="000000" w:sz="4" w:space="1"/>
          <w:left w:val="single" w:color="000000" w:sz="4" w:space="4"/>
          <w:bottom w:val="single" w:color="000000" w:sz="4" w:space="1"/>
          <w:right w:val="single" w:color="000000" w:sz="4" w:space="4"/>
        </w:pBdr>
      </w:pPr>
    </w:p>
    <w:p w:rsidR="00C75B93" w:rsidRDefault="00000000" w14:paraId="59DEDF08" w14:textId="77777777">
      <w:pPr>
        <w:pStyle w:val="RedaliaNormal"/>
        <w:pBdr>
          <w:top w:val="single" w:color="000000" w:sz="4" w:space="1"/>
          <w:left w:val="single" w:color="000000" w:sz="4" w:space="4"/>
          <w:bottom w:val="single" w:color="000000" w:sz="4" w:space="1"/>
          <w:right w:val="single" w:color="000000" w:sz="4" w:space="4"/>
        </w:pBdr>
      </w:pPr>
      <w:r>
        <w:t xml:space="preserve">O Proponente é também fortemente aconselhado a providenciar para que sua resposta eletrônica seja arquivada dentro do prazo. Um teste de configuração do posto de trabalho e consultas de teste estão disponíveis na plataforma.</w:t>
      </w:r>
    </w:p>
    <w:p w:rsidR="00C75B93" w:rsidRDefault="00C75B93" w14:paraId="561F173D" w14:textId="77777777">
      <w:pPr>
        <w:pageBreakBefore/>
        <w:widowControl/>
        <w:suppressAutoHyphens w:val="0"/>
        <w:rPr>
          <w:u w:val="single"/>
        </w:rPr>
      </w:pPr>
    </w:p>
    <w:p w:rsidR="00C75B93" w:rsidRDefault="00000000" w14:paraId="01CB5721" w14:textId="77777777">
      <w:pPr>
        <w:pStyle w:val="RedaliaNormal"/>
      </w:pPr>
      <w:r>
        <w:rPr>
          <w:u w:val="single"/>
        </w:rPr>
        <w:t xml:space="preserve">Formatos de arquivo aceitos:</w:t>
      </w:r>
      <w:r>
        <w:t xml:space="preserve"/>
      </w:r>
    </w:p>
    <w:p w:rsidR="00C75B93" w:rsidRDefault="00C75B93" w14:paraId="70DA49E7" w14:textId="77777777">
      <w:pPr>
        <w:pStyle w:val="RedaliaNormal"/>
      </w:pPr>
    </w:p>
    <w:p w:rsidR="00C75B93" w:rsidRDefault="00000000" w14:paraId="0152169D" w14:textId="77777777">
      <w:pPr>
        <w:pStyle w:val="RedaliaNormal"/>
      </w:pPr>
      <w:r>
        <w:t xml:space="preserve">Em caso de transmissão de resposta por via electrónica, os documentos fornecidos devem estar em um dos seguintes formatos, sob pena de inadmissibilidade da oferta:</w:t>
      </w:r>
    </w:p>
    <w:p w:rsidR="00C75B93" w:rsidRDefault="00000000" w14:paraId="453A3A9C" w14:textId="77777777">
      <w:pPr>
        <w:pStyle w:val="RdaliaRetraitniveau1"/>
        <w:numPr>
          <w:ilvl w:val="0"/>
          <w:numId w:val="33"/>
        </w:numPr>
      </w:pPr>
      <w:r>
        <w:t xml:space="preserve">Formato de escritório proprietário compatível com a versão 2003 da Microsoft (.doc, .xls e .ppt),</w:t>
      </w:r>
    </w:p>
    <w:p w:rsidR="00C75B93" w:rsidRDefault="00000000" w14:paraId="65E747A4" w14:textId="77777777">
      <w:pPr>
        <w:pStyle w:val="RdaliaRetraitniveau1"/>
        <w:numPr>
          <w:ilvl w:val="0"/>
          <w:numId w:val="17"/>
        </w:numPr>
      </w:pPr>
      <w:r>
        <w:t xml:space="preserve">Formato de texto universal (.rtf),</w:t>
      </w:r>
    </w:p>
    <w:p w:rsidR="00C75B93" w:rsidRDefault="00000000" w14:paraId="74B44321" w14:textId="77777777">
      <w:pPr>
        <w:pStyle w:val="RdaliaRetraitniveau1"/>
        <w:numPr>
          <w:ilvl w:val="0"/>
          <w:numId w:val="17"/>
        </w:numPr>
      </w:pPr>
      <w:r>
        <w:t xml:space="preserve">Formato PDF (.pdf),</w:t>
      </w:r>
    </w:p>
    <w:p w:rsidR="00C75B93" w:rsidRDefault="00000000" w14:paraId="4280400D" w14:textId="77777777">
      <w:pPr>
        <w:pStyle w:val="RdaliaRetraitniveau1"/>
        <w:numPr>
          <w:ilvl w:val="0"/>
          <w:numId w:val="17"/>
        </w:numPr>
      </w:pPr>
      <w:r>
        <w:t xml:space="preserve">Formatos de imagem (.gif, .jpg e .png),</w:t>
      </w:r>
    </w:p>
    <w:p w:rsidR="00C75B93" w:rsidRDefault="00000000" w14:paraId="4D25FE53" w14:textId="77777777">
      <w:pPr>
        <w:pStyle w:val="RdaliaRetraitniveau1"/>
        <w:numPr>
          <w:ilvl w:val="0"/>
          <w:numId w:val="17"/>
        </w:numPr>
      </w:pPr>
      <w:r>
        <w:t xml:space="preserve">Formato para planos (.dxf e .dwg).</w:t>
      </w:r>
    </w:p>
    <w:p w:rsidR="00C75B93" w:rsidRDefault="00C75B93" w14:paraId="459A9A8E" w14:textId="77777777">
      <w:pPr>
        <w:pStyle w:val="RdaliaRetraitniveau1"/>
      </w:pPr>
    </w:p>
    <w:p w:rsidR="00C75B93" w:rsidRDefault="00000000" w14:paraId="572822B6" w14:textId="77777777">
      <w:pPr>
        <w:pStyle w:val="RdaliaRetraitniveau1"/>
        <w:rPr>
          <w:b/>
          <w:sz w:val="26"/>
        </w:rPr>
      </w:pPr>
      <w:r>
        <w:rPr>
          <w:b/>
          <w:sz w:val="26"/>
        </w:rPr>
        <w:t xml:space="preserve">Por favor, faça uma designação curta dos arquivos. </w:t>
      </w:r>
    </w:p>
    <w:p w:rsidR="00C75B93" w:rsidRDefault="00C75B93" w14:paraId="39C873E3" w14:textId="77777777">
      <w:pPr>
        <w:pStyle w:val="RedaliaNormal"/>
      </w:pPr>
    </w:p>
    <w:p w:rsidR="00C75B93" w:rsidRDefault="00000000" w14:paraId="5A12A826" w14:textId="77777777">
      <w:pPr>
        <w:pStyle w:val="RedaliaNormal"/>
      </w:pPr>
      <w:r>
        <w:t xml:space="preserve">Qualquer documento que contenha um vírus de computador será arquivado com segurança e considerado como nunca recebido. O candidato em questão será informado. Nestas condições, os candidatos são aconselhados a submeter seus documentos a um antivírus antes do envio.</w:t>
      </w:r>
    </w:p>
    <w:p w:rsidR="00C75B93" w:rsidRDefault="00C75B93" w14:paraId="18C9AE19" w14:textId="77777777">
      <w:pPr>
        <w:pStyle w:val="RedaliaNormal"/>
      </w:pPr>
    </w:p>
    <w:p w:rsidR="00C75B93" w:rsidRDefault="00000000" w14:paraId="0C28A4F7" w14:textId="77777777">
      <w:pPr>
        <w:pStyle w:val="RedaliaNormal"/>
      </w:pPr>
      <w:r>
        <w:rPr>
          <w:u w:val="single"/>
        </w:rPr>
        <w:t xml:space="preserve">Assinatura eletrônica dos arquivos de resposta:</w:t>
      </w:r>
      <w:r>
        <w:t xml:space="preserve"/>
      </w:r>
    </w:p>
    <w:p w:rsidR="00C75B93" w:rsidRDefault="00C75B93" w14:paraId="0E4D4DD5" w14:textId="77777777">
      <w:pPr>
        <w:pStyle w:val="RedaliaNormal"/>
      </w:pPr>
    </w:p>
    <w:p w:rsidR="00C75B93" w:rsidRDefault="00000000" w14:paraId="46AF9D66" w14:textId="77777777">
      <w:pPr>
        <w:pStyle w:val="RedaliaNormal"/>
      </w:pPr>
      <w:r>
        <w:t xml:space="preserve">Os documentos do proponente devem ser assinados eletronicamente, de acordo com as modalidades detalhadas abaixo.</w:t>
      </w:r>
    </w:p>
    <w:p w:rsidR="00C75B93" w:rsidRDefault="00C75B93" w14:paraId="5A3634A9" w14:textId="77777777">
      <w:pPr>
        <w:pStyle w:val="RedaliaNormal"/>
      </w:pPr>
    </w:p>
    <w:p w:rsidR="00C75B93" w:rsidRDefault="00000000" w14:paraId="6C8F12BB" w14:textId="77777777">
      <w:pPr>
        <w:pStyle w:val="RedaliaNormal"/>
      </w:pPr>
      <w:r>
        <w:t xml:space="preserve">Em aplicação do decreto de 22 de março de 2019 relativo à assinatura eletrônica dos contratos da encomenda pública, o candidato deve respeitar as condições relativas:</w:t>
      </w:r>
    </w:p>
    <w:p w:rsidR="00C75B93" w:rsidRDefault="00000000" w14:paraId="47CE79E2" w14:textId="77777777">
      <w:pPr>
        <w:pStyle w:val="RdaliaRetraitniveau1"/>
        <w:numPr>
          <w:ilvl w:val="0"/>
          <w:numId w:val="17"/>
        </w:numPr>
      </w:pPr>
      <w:r>
        <w:t xml:space="preserve">ao certificado de assinatura do signatário,</w:t>
      </w:r>
    </w:p>
    <w:p w:rsidR="00C75B93" w:rsidRDefault="00000000" w14:paraId="5726A6F2" w14:textId="77777777">
      <w:pPr>
        <w:pStyle w:val="RdaliaRetraitniveau1"/>
        <w:numPr>
          <w:ilvl w:val="0"/>
          <w:numId w:val="17"/>
        </w:numPr>
      </w:pPr>
      <w:r>
        <w:t xml:space="preserve">à ferramenta de assinatura utilizada (software, serviço em linha, parapheur se for o caso), que deve produzir assinaturas eletrônicas conformes aos formatos regulamentares. (cf. anexo)</w:t>
      </w:r>
    </w:p>
    <w:p w:rsidR="00C75B93" w:rsidRDefault="00C75B93" w14:paraId="00DF7593" w14:textId="77777777">
      <w:pPr>
        <w:pStyle w:val="RedaliaNormal"/>
      </w:pPr>
    </w:p>
    <w:p w:rsidR="00C75B93" w:rsidRDefault="00000000" w14:paraId="17AE2BD9" w14:textId="77777777">
      <w:pPr>
        <w:pStyle w:val="RedaliaNormal"/>
      </w:pPr>
      <w:r>
        <w:rPr>
          <w:u w:val="single"/>
        </w:rPr>
        <w:t xml:space="preserve">Lembretes gerais: ZIP e assinatura digitalizada:</w:t>
      </w:r>
      <w:r>
        <w:t xml:space="preserve"/>
      </w:r>
    </w:p>
    <w:p w:rsidR="00C75B93" w:rsidRDefault="00C75B93" w14:paraId="0FD4D417" w14:textId="77777777">
      <w:pPr>
        <w:pStyle w:val="RedaliaNormal"/>
      </w:pPr>
    </w:p>
    <w:p w:rsidR="00C75B93" w:rsidRDefault="00000000" w14:paraId="72D9346E" w14:textId="77777777">
      <w:pPr>
        <w:pStyle w:val="RedaliaNormal"/>
      </w:pPr>
      <w:r>
        <w:t xml:space="preserve">Os documentos enviados por via electrónica serão reimpressos após a abertura das ofertas. Os candidatos são informados de que a adjudicação do contrato poderá dar lugar à assinatura manuscrita do contrato em papel.</w:t>
      </w:r>
    </w:p>
    <w:p w:rsidR="00C75B93" w:rsidRDefault="00C75B93" w14:paraId="11BD5FC1" w14:textId="77777777">
      <w:pPr>
        <w:pStyle w:val="RedaliaNormal"/>
      </w:pPr>
    </w:p>
    <w:p w:rsidR="00C75B93" w:rsidRDefault="00000000" w14:paraId="290F2DAE" w14:textId="77777777">
      <w:pPr>
        <w:pStyle w:val="RdaliaRetraitniveau1"/>
        <w:numPr>
          <w:ilvl w:val="0"/>
          <w:numId w:val="17"/>
        </w:numPr>
      </w:pPr>
      <w:r>
        <w:t xml:space="preserve">Cada arquivo a ser assinado deve ser assinado individualmente, de modo que cada assinatura possa ser verificada independentemente das outras,</w:t>
      </w:r>
    </w:p>
    <w:p w:rsidR="00C75B93" w:rsidRDefault="00000000" w14:paraId="46583963" w14:textId="77777777">
      <w:pPr>
        <w:pStyle w:val="RdaliaRetraitniveau1"/>
        <w:numPr>
          <w:ilvl w:val="0"/>
          <w:numId w:val="17"/>
        </w:numPr>
      </w:pPr>
      <w:r>
        <w:t xml:space="preserve">Um arquivo zip assinado não é aceito como equivalente à assinatura de cada documento que constitui o arquivo zip,</w:t>
      </w:r>
    </w:p>
    <w:p w:rsidR="00C75B93" w:rsidRDefault="00000000" w14:paraId="419E6840" w14:textId="77777777">
      <w:pPr>
        <w:pStyle w:val="RdaliaRetraitniveau1"/>
        <w:numPr>
          <w:ilvl w:val="0"/>
          <w:numId w:val="17"/>
        </w:numPr>
      </w:pPr>
      <w:r>
        <w:t xml:space="preserve">Uma assinatura digitalizada não tem valor de outra coisa que não seja uma cópia e não pode substituir a assinatura eletrônica.</w:t>
      </w:r>
    </w:p>
    <w:p w:rsidR="00C75B93" w:rsidRDefault="00C75B93" w14:paraId="75123E8E" w14:textId="77777777">
      <w:pPr>
        <w:pStyle w:val="RedaliaNormal"/>
      </w:pPr>
    </w:p>
    <w:p w:rsidR="00C75B93" w:rsidRDefault="00000000" w14:paraId="57F6CF96" w14:textId="77777777">
      <w:pPr>
        <w:pStyle w:val="RedaliaNormal"/>
      </w:pPr>
      <w:r>
        <w:rPr>
          <w:u w:val="single"/>
        </w:rPr>
        <w:t xml:space="preserve">Cópia de segurança</w:t>
      </w:r>
      <w:r>
        <w:t xml:space="preserve">:</w:t>
      </w:r>
    </w:p>
    <w:p w:rsidR="00C75B93" w:rsidRDefault="00C75B93" w14:paraId="32868D07" w14:textId="77777777">
      <w:pPr>
        <w:pStyle w:val="RedaliaNormal"/>
      </w:pPr>
    </w:p>
    <w:p w:rsidR="00C75B93" w:rsidRDefault="00000000" w14:paraId="6EDD0FB8" w14:textId="77777777">
      <w:pPr>
        <w:pStyle w:val="RedaliaNormal"/>
      </w:pPr>
      <w:r>
        <w:t xml:space="preserve">Os candidatos podem também enviar, dentro do prazo estipulado para a entrega dos documentos, uma cópia de backup em um meio físico eletrônico (USB) ou em papel. Esta cópia é enviada para o endereço abaixo, em envelope selado e comporta obrigatoriamente a menção: «cópia de segurança», a identificação do procedimento em causa e os dados da empresa:</w:t>
      </w:r>
    </w:p>
    <w:p w:rsidR="00C75B93" w:rsidRDefault="00C75B93" w14:paraId="31B0FF4E" w14:textId="77777777">
      <w:pPr>
        <w:pStyle w:val="RedaliaNormal"/>
        <w:jc w:val="center"/>
      </w:pPr>
    </w:p>
    <w:p w:rsidR="00C75B93" w:rsidRDefault="00000000" w14:paraId="6E3F17BE" w14:textId="77777777">
      <w:pPr>
        <w:pStyle w:val="RedaliaNormal"/>
        <w:jc w:val="center"/>
      </w:pPr>
      <w:r>
        <w:t xml:space="preserve">Departamento de Compras do Grupo (DAG)</w:t>
      </w:r>
    </w:p>
    <w:p w:rsidR="00C75B93" w:rsidRDefault="00000000" w14:paraId="057ECE03" w14:textId="77777777">
      <w:pPr>
        <w:pStyle w:val="RedaliaNormal"/>
        <w:jc w:val="center"/>
        <w:rPr>
          <w:lang w:val="en-US"/>
        </w:rPr>
      </w:pPr>
      <w:r>
        <w:rPr>
          <w:lang w:val="en-US"/>
        </w:rPr>
        <w:t xml:space="preserve">Procedimento n°EVA-2025-0189</w:t>
      </w:r>
    </w:p>
    <w:p w:rsidR="00C75B93" w:rsidRDefault="00000000" w14:paraId="6CB1F179" w14:textId="77777777">
      <w:pPr>
        <w:pStyle w:val="RedaliaNormal"/>
        <w:jc w:val="center"/>
        <w:rPr>
          <w:lang w:val="en-US"/>
        </w:rPr>
      </w:pPr>
      <w:r>
        <w:rPr>
          <w:lang w:val="en-US"/>
        </w:rPr>
        <w:t xml:space="preserve">5 Rue Roland Barthes</w:t>
      </w:r>
    </w:p>
    <w:p w:rsidR="00C75B93" w:rsidRDefault="00000000" w14:paraId="0189AB7E" w14:textId="77777777">
      <w:pPr>
        <w:pStyle w:val="RedaliaNormal"/>
        <w:jc w:val="center"/>
      </w:pPr>
      <w:r>
        <w:t xml:space="preserve">75012 Paris</w:t>
      </w:r>
    </w:p>
    <w:p w:rsidR="00C75B93" w:rsidRDefault="00000000" w14:paraId="1984B00E" w14:textId="77777777">
      <w:pPr>
        <w:pStyle w:val="RedaliaNormal"/>
        <w:jc w:val="center"/>
      </w:pPr>
      <w:r>
        <w:t xml:space="preserve">FRANÇA</w:t>
      </w:r>
    </w:p>
    <w:p w:rsidR="00C75B93" w:rsidRDefault="00C75B93" w14:paraId="1262D42B" w14:textId="77777777">
      <w:pPr>
        <w:pStyle w:val="RedaliaNormal"/>
        <w:jc w:val="center"/>
      </w:pPr>
    </w:p>
    <w:p w:rsidR="00C75B93" w:rsidRDefault="00C75B93" w14:paraId="747234BF" w14:textId="77777777">
      <w:pPr>
        <w:pStyle w:val="RedaliaNormal"/>
      </w:pPr>
    </w:p>
    <w:p w:rsidR="00C75B93" w:rsidRDefault="00000000" w14:paraId="5C5E71A4" w14:textId="77777777">
      <w:pPr>
        <w:pStyle w:val="RedaliaNormal"/>
      </w:pPr>
      <w:r>
        <w:t xml:space="preserve">Os documentos da cópia de segurança devem ser assinados (para os documentos cuja assinatura é obrigatória). Se o suporte físico escolhido for papel, a assinatura é manuscrita. Se o suporte físico escolhido for eletrônico, a assinatura será eletrônica.</w:t>
      </w:r>
    </w:p>
    <w:p w:rsidR="00C75B93" w:rsidRDefault="00C75B93" w14:paraId="2E3A988A" w14:textId="77777777">
      <w:pPr>
        <w:pStyle w:val="RedaliaNormal"/>
      </w:pPr>
    </w:p>
    <w:p w:rsidR="00C75B93" w:rsidRDefault="00000000" w14:paraId="18FAB88F" w14:textId="77777777">
      <w:pPr>
        <w:pStyle w:val="RedaliaNormal"/>
      </w:pPr>
      <w:r>
        <w:t xml:space="preserve">Esta cópia de segurança poderá ser aberta nos casos descritos no artigo 2 II da portaria de 22 de março de 2019 que estabelece as modalidades de disponibilização dos documentos da consulta e da cópia de segurança.</w:t>
      </w:r>
    </w:p>
    <w:p w:rsidR="00C75B93" w:rsidRDefault="00C75B93" w14:paraId="6586F1EE" w14:textId="77777777">
      <w:pPr>
        <w:pStyle w:val="RedaliaNormal"/>
      </w:pPr>
    </w:p>
    <w:p w:rsidR="00C75B93" w:rsidRDefault="00000000" w14:paraId="04FC2935" w14:textId="77777777">
      <w:pPr>
        <w:pStyle w:val="RedaliaNormal"/>
      </w:pPr>
      <w:r>
        <w:t xml:space="preserve">Os pacotes que contenham a cópia de segurança, não abertos, serão destruídos no final do procedimento pela entidade adjudicante.</w:t>
      </w:r>
    </w:p>
    <w:p w:rsidR="00C75B93" w:rsidRDefault="00000000" w14:paraId="58C57F63" w14:textId="77777777">
      <w:pPr>
        <w:pStyle w:val="RedaliaTitre1"/>
      </w:pPr>
      <w:bookmarkStart w:name="_Toc79067704" w:id="118"/>
      <w:bookmarkStart w:name="__RefHeading___Toc2602_629809420" w:id="119"/>
      <w:bookmarkStart w:name="_Toc197507434" w:id="120"/>
      <w:bookmarkStart w:name="_Toc197527775" w:id="121"/>
      <w:bookmarkStart w:name="_Toc210310211" w:id="122"/>
      <w:r>
        <w:t xml:space="preserve">Informações adicionais</w:t>
      </w:r>
      <w:bookmarkEnd w:id="118"/>
      <w:bookmarkEnd w:id="119"/>
      <w:bookmarkEnd w:id="120"/>
      <w:bookmarkEnd w:id="121"/>
      <w:bookmarkEnd w:id="122"/>
    </w:p>
    <w:p w:rsidR="00C75B93" w:rsidRDefault="00000000" w14:paraId="2BB4EE74" w14:textId="77777777">
      <w:pPr>
        <w:pStyle w:val="RedaliaNormal"/>
      </w:pPr>
      <w:r>
        <w:t xml:space="preserve">Para obter todas as informações adicionais relativas a esta consulta, os candidatos deverão enviar em tempo útil o seu pedido:</w:t>
      </w:r>
    </w:p>
    <w:p w:rsidR="00C75B93" w:rsidRDefault="00000000" w14:paraId="572CAAC9" w14:textId="77777777">
      <w:pPr>
        <w:pStyle w:val="RdaliaRetraitniveau2"/>
        <w:numPr>
          <w:ilvl w:val="0"/>
          <w:numId w:val="34"/>
        </w:numPr>
      </w:pPr>
      <w:r>
        <w:t xml:space="preserve">De forma eletrônica, exclusivamente na plataforma de desmaterialização, no seguinte URL: https://www.marches-publics.gouv.fr/</w:t>
      </w:r>
    </w:p>
    <w:p w:rsidR="00C75B93" w:rsidRDefault="00C75B93" w14:paraId="67A0C845" w14:textId="77777777">
      <w:pPr>
        <w:pStyle w:val="RedaliaNormal"/>
      </w:pPr>
    </w:p>
    <w:p w:rsidR="00C75B93" w:rsidRDefault="00000000" w14:paraId="1E2FE472" w14:textId="77777777">
      <w:pPr>
        <w:pStyle w:val="RedaliaNormal"/>
      </w:pPr>
      <w:r>
        <w:t xml:space="preserve">Apenas os pedidos apresentados pelo menos 10 dias antes da data limite de receção das propostas serão objecto de uma resposta por parte da entidade adjudicante.</w:t>
      </w:r>
    </w:p>
    <w:p w:rsidR="00C75B93" w:rsidRDefault="00000000" w14:paraId="2E5BBA0A" w14:textId="77777777">
      <w:pPr>
        <w:pStyle w:val="RedaliaNormal"/>
      </w:pPr>
      <w:r>
        <w:t xml:space="preserve">Uma resposta será enviada até 08 dias antes da data de recebimento das ofertas aos candidatos que tenham feito o upload do dossiê de consulta na plataforma de desmaterialização após se terem identificado previamente</w:t>
      </w:r>
    </w:p>
    <w:p w:rsidR="00C75B93" w:rsidRDefault="00000000" w14:paraId="0FFCD632" w14:textId="77777777">
      <w:pPr>
        <w:pStyle w:val="RedaliaNormal"/>
      </w:pPr>
      <w:r>
        <w:t xml:space="preserve">Para informações sobre a entrega de propostas desmaterializadas, consulte o artigo Condições de envio e </w:t>
      </w:r>
      <w:r>
        <w:rPr>
          <w:i/>
          <w:iCs/>
        </w:rPr>
        <w:t xml:space="preserve">entrega das candidaturas e/ou ofertas do presente documento.</w:t>
      </w:r>
      <w:r>
        <w:t xml:space="preserve"/>
      </w:r>
    </w:p>
    <w:p w:rsidR="00C75B93" w:rsidRDefault="00000000" w14:paraId="71B1F75B" w14:textId="77777777">
      <w:pPr>
        <w:pStyle w:val="RedaliaTitre1"/>
      </w:pPr>
      <w:bookmarkStart w:name="_Toc197507435" w:id="123"/>
      <w:bookmarkStart w:name="_Toc197527776" w:id="124"/>
      <w:bookmarkStart w:name="_Toc210310212" w:id="125"/>
      <w:r>
        <w:t xml:space="preserve">Procedimentos de recurso</w:t>
      </w:r>
      <w:bookmarkEnd w:id="123"/>
      <w:bookmarkEnd w:id="124"/>
      <w:bookmarkEnd w:id="125"/>
    </w:p>
    <w:p w:rsidR="00C75B93" w:rsidRDefault="00000000" w14:paraId="536B4AEE" w14:textId="77777777">
      <w:pPr>
        <w:pStyle w:val="RedaliaNormal"/>
      </w:pPr>
      <w:r>
        <w:t xml:space="preserve">Esta decisão pode ser objeto de recurso perante o Tribunal Administrativo de Paris.</w:t>
      </w:r>
    </w:p>
    <w:p w:rsidR="00C75B93" w:rsidRDefault="00000000" w14:paraId="56266374" w14:textId="77777777">
      <w:pPr>
        <w:pStyle w:val="RedaliaNormal"/>
      </w:pPr>
      <w:r>
        <w:t xml:space="preserve">As vias e prazos dos recursos de que o candidato dispõe são:</w:t>
      </w:r>
    </w:p>
    <w:p w:rsidR="00C75B93" w:rsidRDefault="00000000" w14:paraId="19C22E90" w14:textId="77777777">
      <w:pPr>
        <w:pStyle w:val="RedaliaNormal"/>
      </w:pPr>
      <w:r>
        <w:t xml:space="preserve">- Recurso pré-contratual previsto nos artigos L. 551-1 a L. 551-12 e R. 551-1 a R. 551-6 do Código de Justiça Administrativa (CJA), podendo ser exercido antes da assinatura do contrato.</w:t>
      </w:r>
    </w:p>
    <w:p w:rsidR="00C75B93" w:rsidRDefault="00000000" w14:paraId="4981007C" w14:textId="77777777">
      <w:pPr>
        <w:pStyle w:val="RedaliaNormal"/>
      </w:pPr>
      <w:r>
        <w:t xml:space="preserve">- Recurso contratual previsto nos artigos L. 551-13 a L. 551-23 e R. 551-7 a R. 551-10 do CJA, podendo ser exercido dentro dos prazos previstos no artigo R. 551-7 do CJA, após a assinatura do contrato.</w:t>
      </w:r>
    </w:p>
    <w:p w:rsidR="00C75B93" w:rsidRDefault="00000000" w14:paraId="74FC7B65" w14:textId="77777777">
      <w:pPr>
        <w:pStyle w:val="RedaliaNormal"/>
      </w:pPr>
      <w:r>
        <w:t xml:space="preserve">- Recurso de plena jurisdição em contestação da validade do contrato, aberto a terceiros no prazo de 2 meses a contar da realização das medidas de publicidade adequadas.</w:t>
      </w:r>
    </w:p>
    <w:p w:rsidR="00C75B93" w:rsidRDefault="00C75B93" w14:paraId="1516D68B" w14:textId="77777777">
      <w:pPr>
        <w:widowControl/>
        <w:suppressAutoHyphens w:val="0"/>
        <w:rPr>
          <w:b/>
          <w:sz w:val="32"/>
        </w:rPr>
      </w:pPr>
      <w:bookmarkStart w:name="_Toc170898465" w:id="126"/>
      <w:bookmarkStart w:name="_Toc197507436" w:id="127"/>
    </w:p>
    <w:p w:rsidR="00C75B93" w:rsidRDefault="00000000" w14:paraId="283147EC" w14:textId="77777777">
      <w:pPr>
        <w:pStyle w:val="RedaliaTitre1"/>
      </w:pPr>
      <w:bookmarkStart w:name="_Toc197527777" w:id="128"/>
      <w:bookmarkStart w:name="_Toc210310213" w:id="129"/>
      <w:r>
        <w:t xml:space="preserve">ANEXO: DECLARAÇÃO DE HONRA</w:t>
      </w:r>
      <w:bookmarkEnd w:id="126"/>
      <w:bookmarkEnd w:id="127"/>
      <w:bookmarkEnd w:id="128"/>
      <w:bookmarkEnd w:id="129"/>
    </w:p>
    <w:p w:rsidR="00C75B93" w:rsidRDefault="00C75B93" w14:paraId="05A0EFC5" w14:textId="77777777">
      <w:pPr>
        <w:pStyle w:val="RedaliaNormal"/>
      </w:pPr>
    </w:p>
    <w:p w:rsidR="00C75B93" w:rsidRDefault="00C75B93" w14:paraId="0A1B138A" w14:textId="77777777">
      <w:pPr>
        <w:pStyle w:val="RedaliaNormal"/>
      </w:pPr>
    </w:p>
    <w:p w:rsidR="00C75B93" w:rsidRDefault="00000000" w14:paraId="4BC946BC" w14:textId="77777777">
      <w:pPr>
        <w:pStyle w:val="RedaliaNormal"/>
      </w:pPr>
      <w:r>
        <w:t xml:space="preserve">Eu, abaixo assinado(a)</w:t>
      </w:r>
      <w:r>
        <w:tab/>
      </w:r>
    </w:p>
    <w:p w:rsidR="00C75B93" w:rsidRDefault="00000000" w14:paraId="03AB7D95" w14:textId="77777777">
      <w:pPr>
        <w:pStyle w:val="RedaliaNormal"/>
      </w:pPr>
      <w:r>
        <w:t xml:space="preserve">Agindo na qualidade de</w:t>
      </w:r>
      <w:r>
        <w:tab/>
      </w:r>
    </w:p>
    <w:p w:rsidR="00C75B93" w:rsidRDefault="00000000" w14:paraId="64FD6417" w14:textId="77777777">
      <w:pPr>
        <w:pStyle w:val="RedaliaNormal"/>
      </w:pPr>
      <w:r>
        <w:t xml:space="preserve">Nome e endereço da empresa:</w:t>
      </w:r>
      <w:r>
        <w:tab/>
      </w:r>
    </w:p>
    <w:p w:rsidR="00C75B93" w:rsidRDefault="00000000" w14:paraId="67F5B193" w14:textId="77777777">
      <w:pPr>
        <w:pStyle w:val="RedaliaNormal"/>
      </w:pPr>
      <w:r>
        <w:tab/>
      </w:r>
    </w:p>
    <w:p w:rsidR="00C75B93" w:rsidRDefault="00000000" w14:paraId="57AA51D5" w14:textId="77777777">
      <w:pPr>
        <w:pStyle w:val="RedaliaNormal"/>
      </w:pPr>
      <w:r>
        <w:tab/>
      </w:r>
    </w:p>
    <w:p w:rsidR="00C75B93" w:rsidRDefault="00000000" w14:paraId="3C1234C4" w14:textId="77777777">
      <w:pPr>
        <w:pStyle w:val="RedaliaNormal"/>
        <w:rPr>
          <w:b/>
          <w:bCs/>
        </w:rPr>
      </w:pPr>
      <w:r>
        <w:rPr>
          <w:b/>
          <w:bCs/>
        </w:rPr>
        <w:t xml:space="preserve">a) Declara sob a sua honra:</w:t>
      </w:r>
    </w:p>
    <w:p w:rsidR="00C75B93" w:rsidRDefault="00000000" w14:paraId="217F1B9F" w14:textId="77777777">
      <w:pPr>
        <w:pStyle w:val="RedaliaNormal"/>
      </w:pPr>
      <w:r>
        <w:t xml:space="preserve">☐ ou ser o representante legal da empresa identificado nos documentos legais</w:t>
      </w:r>
    </w:p>
    <w:p w:rsidR="00C75B93" w:rsidRDefault="00000000" w14:paraId="24536321" w14:textId="77777777">
      <w:pPr>
        <w:pStyle w:val="RedaliaNormal"/>
      </w:pPr>
      <w:r>
        <w:t xml:space="preserve">☐ ou possuir uma autorização que o autorize a comprometer a empresa no âmbito da presente consulta (delegação de assinatura comunicada)</w:t>
      </w:r>
    </w:p>
    <w:p w:rsidR="00C75B93" w:rsidRDefault="00C75B93" w14:paraId="2E0E9D97" w14:textId="77777777">
      <w:pPr>
        <w:pStyle w:val="RedaliaNormal"/>
        <w:rPr>
          <w:b/>
          <w:bCs/>
        </w:rPr>
      </w:pPr>
    </w:p>
    <w:p w:rsidR="00C75B93" w:rsidRDefault="00000000" w14:paraId="01C070F7" w14:textId="77777777">
      <w:pPr>
        <w:pStyle w:val="RedaliaNormal"/>
        <w:rPr>
          <w:b/>
          <w:bCs/>
        </w:rPr>
      </w:pPr>
      <w:r>
        <w:rPr>
          <w:b/>
          <w:bCs/>
        </w:rPr>
        <w:t xml:space="preserve">b) declara sob a sua honra não estar sujeito a qualquer das exclusões previstas nos artigos L. 2141-1 a L. 2141-5 ou nos artigos L. 2141-7 a L. 2141-10 do Código de Contratação Pública.</w:t>
      </w:r>
    </w:p>
    <w:p w:rsidR="00C75B93" w:rsidRDefault="00C75B93" w14:paraId="4EBA75AB" w14:textId="77777777">
      <w:pPr>
        <w:pStyle w:val="RedaliaNormal"/>
      </w:pPr>
    </w:p>
    <w:p w:rsidR="00C75B93" w:rsidRDefault="00000000" w14:paraId="6240F4F7" w14:textId="77777777">
      <w:pPr>
        <w:pStyle w:val="RdaliaLgende"/>
        <w:ind w:start="0pt" w:firstLine="0pt"/>
      </w:pPr>
      <w:r>
        <w:t xml:space="preserve">N.B. : Quando um operador económico é colocado, durante o processo de adjudicação de um contrato, em uma das situações de exclusão mencionadas nos artigos L. 2141-1 a L. 2141-5, nos artigos L. 2141-7 a L. 2141-10 ou nos artigos L. 2341-1 a L. 2341-3 do Código dos Contratos Públicos, Informa sem demora o comprador dessa mudança de situação.</w:t>
      </w:r>
    </w:p>
    <w:p w:rsidR="00C75B93" w:rsidRDefault="00C75B93" w14:paraId="7102A263" w14:textId="77777777">
      <w:pPr>
        <w:pStyle w:val="RedaliaNormal"/>
      </w:pPr>
    </w:p>
    <w:p w:rsidR="00C75B93" w:rsidRDefault="00000000" w14:paraId="0D1C9712" w14:textId="77777777">
      <w:pPr>
        <w:pStyle w:val="RedaliaNormal"/>
        <w:tabs>
          <w:tab w:val="clear" w:pos="425.25pt"/>
          <w:tab w:val="left" w:leader="dot" w:pos="481.90pt"/>
        </w:tabs>
      </w:pPr>
      <w:r>
        <w:rPr>
          <w:b/>
        </w:rPr>
        <w:t xml:space="preserve">Documentos de prova disponíveis on-line</w:t>
      </w:r>
      <w:r>
        <w:t xml:space="preserve">:</w:t>
      </w:r>
    </w:p>
    <w:p w:rsidR="00C75B93" w:rsidRDefault="00C75B93" w14:paraId="1CDC3E9F" w14:textId="77777777">
      <w:pPr>
        <w:pStyle w:val="RedaliaNormal"/>
      </w:pPr>
    </w:p>
    <w:p w:rsidR="00C75B93" w:rsidRDefault="00000000" w14:paraId="485B0C43" w14:textId="77777777">
      <w:pPr>
        <w:pStyle w:val="RedaliaNormal"/>
      </w:pPr>
      <w:r>
        <w:t xml:space="preserve">Endereço da Internet onde os documentos comprovativos e os meios de prova são acessíveis diretamente e gratuitamente, bem como todas as informações necessárias para o acesso:</w:t>
      </w:r>
    </w:p>
    <w:p w:rsidR="00C75B93" w:rsidRDefault="00000000" w14:paraId="67F25083" w14:textId="77777777">
      <w:pPr>
        <w:pStyle w:val="RedaliaNormal"/>
      </w:pPr>
      <w:r>
        <w:t xml:space="preserve">- Endereço de internet: </w:t>
      </w:r>
      <w:r>
        <w:tab/>
      </w:r>
    </w:p>
    <w:p w:rsidR="00C75B93" w:rsidRDefault="00000000" w14:paraId="56079A30" w14:textId="77777777">
      <w:pPr>
        <w:pStyle w:val="RedaliaNormal"/>
      </w:pPr>
      <w:r>
        <w:t xml:space="preserve"> </w:t>
      </w:r>
    </w:p>
    <w:p w:rsidR="00C75B93" w:rsidRDefault="00000000" w14:paraId="7CB31327" w14:textId="77777777">
      <w:pPr>
        <w:pStyle w:val="RedaliaNormal"/>
      </w:pPr>
      <w:r>
        <w:t xml:space="preserve">- Informações necessárias para acessá-lo: </w:t>
      </w:r>
      <w:r>
        <w:tab/>
      </w:r>
    </w:p>
    <w:p w:rsidR="00C75B93" w:rsidRDefault="00000000" w14:paraId="7CF2B8B3" w14:textId="77777777">
      <w:pPr>
        <w:pStyle w:val="RedaliaNormal"/>
      </w:pPr>
      <w:r>
        <w:tab/>
      </w:r>
    </w:p>
    <w:p w:rsidR="00C75B93" w:rsidRDefault="00000000" w14:paraId="06A49CD9" w14:textId="77777777">
      <w:pPr>
        <w:pStyle w:val="RedaliaNormal"/>
      </w:pPr>
      <w:r>
        <w:tab/>
      </w:r>
    </w:p>
    <w:p w:rsidR="00C75B93" w:rsidRDefault="00C75B93" w14:paraId="7421E102" w14:textId="77777777">
      <w:pPr>
        <w:pStyle w:val="RedaliaNormal"/>
      </w:pPr>
    </w:p>
    <w:p w:rsidR="00C75B93" w:rsidRDefault="00000000" w14:paraId="52C20210" w14:textId="77777777">
      <w:pPr>
        <w:pStyle w:val="RedaliaNormal"/>
        <w:rPr>
          <w:b/>
          <w:bCs/>
        </w:rPr>
      </w:pPr>
      <w:r>
        <w:rPr>
          <w:b/>
          <w:bCs/>
        </w:rPr>
        <w:t xml:space="preserve">c) declara que não sou, e que nenhum dos membros do meu grupo, nem dos meus fornecedores, empreiteiros, consultores e subcontratados estão incluídos nas listas de sanções financeiras adotadas pelas Nações Unidas, a União Europeia e/ ou a França, nomeadamente no âmbito da luta contra o financiamento do terrorismo e contra os atentados à paz e à segurança internacionais, e me comprometo a informar sem demora a Agência de qualquer alteração da situação</w:t>
      </w:r>
    </w:p>
    <w:p w:rsidR="00C75B93" w:rsidRDefault="00C75B93" w14:paraId="77D5EEDC" w14:textId="77777777">
      <w:pPr>
        <w:pStyle w:val="RedaliaNormal"/>
      </w:pPr>
    </w:p>
    <w:p w:rsidR="00C75B93" w:rsidRDefault="00000000" w14:paraId="65395FF6" w14:textId="77777777">
      <w:pPr>
        <w:pStyle w:val="RedaliaNormal"/>
        <w:tabs>
          <w:tab w:val="left" w:leader="dot" w:pos="207pt"/>
        </w:tabs>
      </w:pPr>
      <w:r>
        <w:t xml:space="preserve">Feito em</w:t>
      </w:r>
      <w:r>
        <w:tab/>
      </w:r>
    </w:p>
    <w:p w:rsidR="00C75B93" w:rsidRDefault="00000000" w14:paraId="65234BE3" w14:textId="77777777">
      <w:pPr>
        <w:pStyle w:val="RedaliaNormal"/>
        <w:tabs>
          <w:tab w:val="left" w:leader="dot" w:pos="207pt"/>
        </w:tabs>
      </w:pPr>
      <w:r>
        <w:t xml:space="preserve">O</w:t>
      </w:r>
      <w:r>
        <w:tab/>
      </w:r>
    </w:p>
    <w:p w:rsidR="00C75B93" w:rsidRDefault="00000000" w14:paraId="16233668" w14:textId="77777777">
      <w:pPr>
        <w:pStyle w:val="RedaliaNormal"/>
      </w:pPr>
      <w:r>
        <w:t xml:space="preserve">Assinatura</w:t>
      </w:r>
      <w:r>
        <w:tab/>
      </w:r>
    </w:p>
    <w:p w:rsidR="00C75B93" w:rsidRDefault="00000000" w14:paraId="5FEAFFAF" w14:textId="77777777">
      <w:pPr>
        <w:pStyle w:val="RedaliaNormal"/>
      </w:pPr>
      <w:r>
        <w:tab/>
      </w:r>
    </w:p>
    <w:p w:rsidR="00C75B93" w:rsidRDefault="00C75B93" w14:paraId="555FB67D" w14:textId="77777777">
      <w:pPr>
        <w:pStyle w:val="RedaliaNormal"/>
      </w:pPr>
    </w:p>
    <w:p w:rsidR="00C75B93" w:rsidRDefault="00C75B93" w14:paraId="53E8B20D" w14:textId="77777777">
      <w:pPr>
        <w:widowControl/>
        <w:suppressAutoHyphens w:val="0"/>
      </w:pPr>
      <w:bookmarkStart w:name="__RefHeading___Toc2606_629809420" w:id="130"/>
    </w:p>
    <w:p w:rsidR="00C75B93" w:rsidRDefault="00C75B93" w14:paraId="210371FE" w14:textId="77777777">
      <w:pPr>
        <w:pageBreakBefore/>
        <w:widowControl/>
        <w:suppressAutoHyphens w:val="0"/>
      </w:pPr>
    </w:p>
    <w:p w:rsidR="00C75B93" w:rsidRDefault="00000000" w14:paraId="1C38EBE0" w14:textId="77777777">
      <w:pPr>
        <w:pStyle w:val="RedaliaTitre1"/>
      </w:pPr>
      <w:bookmarkStart w:name="_Toc197507437" w:id="131"/>
      <w:bookmarkStart w:name="_Toc197527778" w:id="132"/>
      <w:bookmarkStart w:name="_Toc210310214" w:id="133"/>
      <w:r>
        <w:t xml:space="preserve">Anexo: Quadro de resposta imposto</w:t>
      </w:r>
      <w:bookmarkEnd w:id="130"/>
      <w:bookmarkEnd w:id="131"/>
      <w:bookmarkEnd w:id="132"/>
      <w:bookmarkEnd w:id="133"/>
    </w:p>
    <w:p w:rsidR="00C75B93" w:rsidRDefault="00C75B93" w14:paraId="4EBDB89B" w14:textId="77777777">
      <w:pPr>
        <w:pStyle w:val="RedaliaNormal"/>
      </w:pPr>
    </w:p>
    <w:p w:rsidR="00C75B93" w:rsidRDefault="00000000" w14:paraId="5F5FF00B" w14:textId="77777777">
      <w:pPr>
        <w:pStyle w:val="RedaliaNormal"/>
      </w:pPr>
      <w:r>
        <w:t xml:space="preserve">As respostas do Prestador não devem exceder 25 páginas, excluindo CV e anexo.</w:t>
      </w:r>
    </w:p>
    <w:p w:rsidR="00C75B93" w:rsidRDefault="00C75B93" w14:paraId="7E88B8C0" w14:textId="77777777">
      <w:pPr>
        <w:pStyle w:val="RedaliaNormal"/>
      </w:pPr>
    </w:p>
    <w:p w:rsidR="00C75B93" w:rsidRDefault="00000000" w14:paraId="5E248706" w14:textId="77777777">
      <w:pPr>
        <w:pStyle w:val="RedaliaNormal"/>
      </w:pPr>
      <w:r>
        <w:t xml:space="preserve">As respostas devem respeitar o seguinte esquema: </w:t>
      </w:r>
    </w:p>
    <w:p w:rsidR="00C75B93" w:rsidRDefault="00C75B93" w14:paraId="3A5CD2F6" w14:textId="77777777">
      <w:pPr>
        <w:pStyle w:val="RedaliaNormal"/>
      </w:pPr>
    </w:p>
    <w:p w:rsidR="00C75B93" w:rsidRDefault="00000000" w14:paraId="161602C8" w14:textId="77777777">
      <w:pPr>
        <w:pStyle w:val="RedaliaNormal"/>
        <w:shd w:val="clear" w:color="auto" w:fill="C5E0B3"/>
        <w:rPr>
          <w:b/>
          <w:bCs/>
          <w:sz w:val="24"/>
          <w:szCs w:val="24"/>
        </w:rPr>
      </w:pPr>
      <w:r>
        <w:rPr>
          <w:b/>
          <w:bCs/>
          <w:sz w:val="24"/>
          <w:szCs w:val="24"/>
        </w:rPr>
        <w:t xml:space="preserve">A - Resumo da sua oferta</w:t>
      </w:r>
    </w:p>
    <w:p w:rsidR="00C75B93" w:rsidRDefault="00C75B93" w14:paraId="65757D35" w14:textId="77777777">
      <w:pPr>
        <w:pStyle w:val="RedaliaNormal"/>
      </w:pPr>
    </w:p>
    <w:p w:rsidR="00C75B93" w:rsidRDefault="00000000" w14:paraId="67515030" w14:textId="77777777">
      <w:pPr>
        <w:pStyle w:val="RedaliaNormal"/>
      </w:pPr>
      <w:r>
        <w:rPr>
          <w:b/>
          <w:bCs/>
        </w:rPr>
        <w:t xml:space="preserve">.A.1</w:t>
      </w:r>
      <w:r>
        <w:t xml:space="preserve"> - Compreensão das expectativas da AFD</w:t>
      </w:r>
    </w:p>
    <w:p w:rsidR="00C75B93" w:rsidRDefault="00000000" w14:paraId="357E3DE5" w14:textId="77777777">
      <w:pPr>
        <w:pStyle w:val="RedaliaNormal"/>
      </w:pPr>
      <w:r>
        <w:rPr>
          <w:b/>
          <w:bCs/>
        </w:rPr>
        <w:t xml:space="preserve">.A.2</w:t>
      </w:r>
      <w:r>
        <w:t xml:space="preserve"> - Resumo das etapas da sua intervenção</w:t>
      </w:r>
    </w:p>
    <w:p w:rsidR="00C75B93" w:rsidRDefault="00000000" w14:paraId="471948B7" w14:textId="77777777">
      <w:pPr>
        <w:pStyle w:val="RedaliaNormal"/>
      </w:pPr>
      <w:r>
        <w:rPr>
          <w:b/>
          <w:bCs/>
        </w:rPr>
        <w:t xml:space="preserve">A.3</w:t>
      </w:r>
      <w:r>
        <w:t xml:space="preserve"> - Calendário geral da missão</w:t>
      </w:r>
    </w:p>
    <w:p w:rsidR="00C75B93" w:rsidRDefault="00C75B93" w14:paraId="30077C1C" w14:textId="77777777">
      <w:pPr>
        <w:pStyle w:val="RedaliaNormal"/>
      </w:pPr>
    </w:p>
    <w:p w:rsidR="00C75B93" w:rsidRDefault="00C75B93" w14:paraId="2A30F9AB" w14:textId="77777777">
      <w:pPr>
        <w:pStyle w:val="RedaliaNormal"/>
      </w:pPr>
    </w:p>
    <w:p w:rsidR="00C75B93" w:rsidRDefault="00000000" w14:paraId="33E6D124" w14:textId="77777777">
      <w:pPr>
        <w:pStyle w:val="RedaliaNormal"/>
        <w:shd w:val="clear" w:color="auto" w:fill="C5E0B3"/>
        <w:rPr>
          <w:b/>
          <w:bCs/>
          <w:sz w:val="24"/>
          <w:szCs w:val="24"/>
        </w:rPr>
      </w:pPr>
      <w:r>
        <w:rPr>
          <w:b/>
          <w:bCs/>
          <w:sz w:val="24"/>
          <w:szCs w:val="24"/>
        </w:rPr>
        <w:t xml:space="preserve">B - Pontos fortes e valor acrescentado da sua oferta para realizar esta missão</w:t>
      </w:r>
    </w:p>
    <w:p w:rsidR="00C75B93" w:rsidRDefault="00C75B93" w14:paraId="38F21883" w14:textId="77777777">
      <w:pPr>
        <w:pStyle w:val="RedaliaNormal"/>
      </w:pPr>
    </w:p>
    <w:p w:rsidR="00C75B93" w:rsidRDefault="00000000" w14:paraId="3AA3298A" w14:textId="77777777">
      <w:pPr>
        <w:pStyle w:val="RedaliaNormal"/>
        <w:shd w:val="clear" w:color="auto" w:fill="C5E0B3"/>
        <w:rPr>
          <w:b/>
          <w:bCs/>
          <w:sz w:val="24"/>
          <w:szCs w:val="24"/>
        </w:rPr>
      </w:pPr>
      <w:r>
        <w:rPr>
          <w:b/>
          <w:bCs/>
          <w:sz w:val="24"/>
          <w:szCs w:val="24"/>
        </w:rPr>
        <w:t xml:space="preserve">C - Descrição detalhada da sua oferta</w:t>
      </w:r>
    </w:p>
    <w:p w:rsidR="00C75B93" w:rsidRDefault="00C75B93" w14:paraId="207D65B5" w14:textId="77777777">
      <w:pPr>
        <w:pStyle w:val="RedaliaNormal"/>
      </w:pPr>
    </w:p>
    <w:p w:rsidR="00C75B93" w:rsidRDefault="00000000" w14:paraId="05B38AAD" w14:textId="77777777">
      <w:pPr>
        <w:pStyle w:val="RedaliaNormal"/>
      </w:pPr>
      <w:r>
        <w:rPr>
          <w:b/>
          <w:bCs/>
        </w:rPr>
        <w:t xml:space="preserve">.C.1</w:t>
      </w:r>
      <w:r>
        <w:t xml:space="preserve"> - Descrição detalhada do conteúdo das etapas propostas (diagnóstico, análises, cenários, plano de ação, relatórios...)</w:t>
      </w:r>
    </w:p>
    <w:p w:rsidR="00C75B93" w:rsidRDefault="00000000" w14:paraId="53DBD1FC" w14:textId="77777777">
      <w:pPr>
        <w:pStyle w:val="RedaliaNormal"/>
      </w:pPr>
      <w:r>
        <w:rPr>
          <w:b/>
          <w:color w:val="000000"/>
        </w:rPr>
        <w:t xml:space="preserve">C.3</w:t>
      </w:r>
      <w:r>
        <w:rPr>
          <w:color w:val="000000"/>
        </w:rPr>
        <w:t xml:space="preserve"> - Metodologia para estudos de caso</w:t>
      </w:r>
    </w:p>
    <w:p w:rsidR="00C75B93" w:rsidRDefault="00000000" w14:paraId="331380CC" w14:textId="77777777">
      <w:pPr>
        <w:pStyle w:val="RedaliaNormal"/>
      </w:pPr>
      <w:r>
        <w:rPr>
          <w:b/>
          <w:color w:val="000000"/>
        </w:rPr>
        <w:t xml:space="preserve">C.4</w:t>
      </w:r>
      <w:r>
        <w:rPr>
          <w:color w:val="000000"/>
        </w:rPr>
        <w:t xml:space="preserve"> - Metodologia de animação</w:t>
      </w:r>
    </w:p>
    <w:p w:rsidR="00C75B93" w:rsidRDefault="00000000" w14:paraId="0E40DA32" w14:textId="77777777">
      <w:pPr>
        <w:pStyle w:val="RedaliaNormal"/>
      </w:pPr>
      <w:r>
        <w:rPr>
          <w:b/>
          <w:bCs/>
        </w:rPr>
        <w:t xml:space="preserve">C.5</w:t>
      </w:r>
      <w:r>
        <w:t xml:space="preserve"> - Meios implementados</w:t>
      </w:r>
    </w:p>
    <w:p w:rsidR="00C75B93" w:rsidRDefault="00000000" w14:paraId="68FF5999" w14:textId="77777777">
      <w:pPr>
        <w:pStyle w:val="RedaliaNormal"/>
      </w:pPr>
      <w:r>
        <w:rPr>
          <w:b/>
          <w:bCs/>
        </w:rPr>
        <w:t xml:space="preserve">C.6</w:t>
      </w:r>
      <w:r>
        <w:t xml:space="preserve"> - Instâncias e modalidades práticas de pilotagem da missão</w:t>
      </w:r>
    </w:p>
    <w:p w:rsidR="00C75B93" w:rsidRDefault="00000000" w14:paraId="271D2D95" w14:textId="77777777">
      <w:pPr>
        <w:pStyle w:val="RedaliaNormal"/>
      </w:pPr>
      <w:r>
        <w:rPr>
          <w:b/>
          <w:bCs/>
        </w:rPr>
        <w:t xml:space="preserve">C.7</w:t>
      </w:r>
      <w:r>
        <w:t xml:space="preserve"> - Tabela detalhada de entregáveis</w:t>
      </w:r>
    </w:p>
    <w:p w:rsidR="00C75B93" w:rsidRDefault="00000000" w14:paraId="256A6F4B" w14:textId="77777777">
      <w:pPr>
        <w:pStyle w:val="RedaliaNormal"/>
      </w:pPr>
      <w:r>
        <w:rPr>
          <w:b/>
          <w:bCs/>
        </w:rPr>
        <w:t xml:space="preserve">C.8</w:t>
      </w:r>
      <w:r>
        <w:t xml:space="preserve"> - Planejamento detalhado</w:t>
      </w:r>
    </w:p>
    <w:p w:rsidR="00C75B93" w:rsidRDefault="00C75B93" w14:paraId="7F3C52A1" w14:textId="77777777">
      <w:pPr>
        <w:pStyle w:val="RedaliaNormal"/>
      </w:pPr>
    </w:p>
    <w:p w:rsidR="00C75B93" w:rsidRDefault="00000000" w14:paraId="483AE825" w14:textId="77777777">
      <w:pPr>
        <w:pStyle w:val="RedaliaNormal"/>
        <w:shd w:val="clear" w:color="auto" w:fill="C5E0B3"/>
        <w:rPr>
          <w:b/>
          <w:bCs/>
          <w:sz w:val="24"/>
          <w:szCs w:val="24"/>
        </w:rPr>
      </w:pPr>
      <w:r>
        <w:rPr>
          <w:b/>
          <w:bCs/>
          <w:sz w:val="24"/>
          <w:szCs w:val="24"/>
        </w:rPr>
        <w:t xml:space="preserve">D - Recomendações do prestador para a boa realização da missão</w:t>
      </w:r>
    </w:p>
    <w:p w:rsidR="00C75B93" w:rsidRDefault="00C75B93" w14:paraId="16E89E73" w14:textId="77777777">
      <w:pPr>
        <w:pStyle w:val="RedaliaNormal"/>
      </w:pPr>
    </w:p>
    <w:p w:rsidR="00C75B93" w:rsidRDefault="00000000" w14:paraId="75134E6F" w14:textId="77777777">
      <w:pPr>
        <w:pStyle w:val="RedaliaNormal"/>
        <w:rPr>
          <w:color w:val="000000"/>
        </w:rPr>
      </w:pPr>
      <w:r>
        <w:rPr>
          <w:color w:val="000000"/>
        </w:rPr>
        <w:t xml:space="preserve">Esta parte deverá incluir, além das recomendações para a boa realização da missão, as medidas para tratar os conflitos de interesse quando necessário </w:t>
      </w:r>
    </w:p>
    <w:p w:rsidR="00C75B93" w:rsidRDefault="00C75B93" w14:paraId="00B4DC0F" w14:textId="77777777">
      <w:pPr>
        <w:pStyle w:val="RedaliaNormal"/>
      </w:pPr>
    </w:p>
    <w:p w:rsidR="00C75B93" w:rsidRDefault="00000000" w14:paraId="356AD5EF" w14:textId="77777777">
      <w:pPr>
        <w:pStyle w:val="RedaliaNormal"/>
        <w:shd w:val="clear" w:color="auto" w:fill="C5E0B3"/>
        <w:rPr>
          <w:b/>
          <w:bCs/>
          <w:sz w:val="24"/>
          <w:szCs w:val="24"/>
        </w:rPr>
      </w:pPr>
      <w:r>
        <w:rPr>
          <w:b/>
          <w:bCs/>
          <w:sz w:val="24"/>
          <w:szCs w:val="24"/>
        </w:rPr>
        <w:t xml:space="preserve">E - Apresentação da equipe que intervirá sobre esta missão</w:t>
      </w:r>
    </w:p>
    <w:p w:rsidR="00C75B93" w:rsidRDefault="00C75B93" w14:paraId="5E9E0B4A" w14:textId="77777777">
      <w:pPr>
        <w:pStyle w:val="RedaliaNormal"/>
      </w:pPr>
    </w:p>
    <w:p w:rsidR="00C75B93" w:rsidRDefault="00000000" w14:paraId="7023F68A" w14:textId="77777777">
      <w:pPr>
        <w:pStyle w:val="RedaliaNormal"/>
      </w:pPr>
      <w:r>
        <w:rPr>
          <w:b/>
          <w:bCs/>
        </w:rPr>
        <w:t xml:space="preserve">.E.1</w:t>
      </w:r>
      <w:r>
        <w:t xml:space="preserve"> - Constituição da equipe e distribuição das responsabilidades entre seus membros</w:t>
      </w:r>
    </w:p>
    <w:p w:rsidR="00C75B93" w:rsidRDefault="00000000" w14:paraId="2EB5F21D" w14:textId="77777777">
      <w:pPr>
        <w:pStyle w:val="RedaliaNormal"/>
      </w:pPr>
      <w:r>
        <w:rPr>
          <w:b/>
          <w:bCs/>
        </w:rPr>
        <w:t xml:space="preserve">E.2</w:t>
      </w:r>
      <w:r>
        <w:t xml:space="preserve"> - Currículos dos palestrantes (máximo de 3 páginas por palestrante)</w:t>
      </w:r>
    </w:p>
    <w:p w:rsidR="00C75B93" w:rsidRDefault="00C75B93" w14:paraId="1515FE42" w14:textId="77777777">
      <w:pPr>
        <w:widowControl/>
        <w:suppressAutoHyphens w:val="0"/>
      </w:pPr>
      <w:bookmarkStart w:name="_Toc1708984651" w:id="134"/>
      <w:bookmarkStart w:name="__RefHeading___Toc2608_629809420" w:id="135"/>
    </w:p>
    <w:p w:rsidR="00C75B93" w:rsidRDefault="00C75B93" w14:paraId="07C7D48A" w14:textId="77777777">
      <w:pPr>
        <w:widowControl/>
        <w:suppressAutoHyphens w:val="0"/>
      </w:pPr>
      <w:bookmarkStart w:name="_Toc197507438" w:id="136"/>
      <w:bookmarkStart w:name="_Toc197527779" w:id="137"/>
    </w:p>
    <w:p w:rsidR="00C75B93" w:rsidRDefault="00000000" w14:paraId="18316C34" w14:textId="77777777">
      <w:pPr>
        <w:pStyle w:val="RedaliaTitre1"/>
      </w:pPr>
      <w:bookmarkStart w:name="_Toc210310215" w:id="138"/>
      <w:r>
        <w:t xml:space="preserve">Anexo: Requisitos para o certificado de assinatura</w:t>
      </w:r>
      <w:bookmarkEnd w:id="134"/>
      <w:bookmarkEnd w:id="135"/>
      <w:bookmarkEnd w:id="136"/>
      <w:bookmarkEnd w:id="137"/>
      <w:bookmarkEnd w:id="138"/>
    </w:p>
    <w:p w:rsidR="00C75B93" w:rsidRDefault="00C75B93" w14:paraId="3B10D7F7" w14:textId="77777777">
      <w:pPr>
        <w:pStyle w:val="RedaliaNormal"/>
      </w:pPr>
    </w:p>
    <w:p w:rsidR="00C75B93" w:rsidRDefault="00C75B93" w14:paraId="1039E6BD" w14:textId="77777777">
      <w:pPr>
        <w:pStyle w:val="RedaliaNormal"/>
      </w:pPr>
    </w:p>
    <w:p w:rsidR="00C75B93" w:rsidRDefault="00000000" w14:paraId="1855A97E" w14:textId="77777777">
      <w:pPr>
        <w:pStyle w:val="RedaliaNormal"/>
      </w:pPr>
      <w:r>
        <w:rPr>
          <w:u w:val="single"/>
        </w:rPr>
        <w:t xml:space="preserve">Certificado de assinatura</w:t>
      </w:r>
      <w:r>
        <w:t xml:space="preserve">:</w:t>
      </w:r>
    </w:p>
    <w:p w:rsidR="00C75B93" w:rsidRDefault="00C75B93" w14:paraId="29540F88" w14:textId="77777777">
      <w:pPr>
        <w:pStyle w:val="RedaliaNormal"/>
      </w:pPr>
    </w:p>
    <w:p w:rsidR="00C75B93" w:rsidRDefault="00000000" w14:paraId="18E49632" w14:textId="77777777">
      <w:pPr>
        <w:pStyle w:val="RedaliaNormal"/>
      </w:pPr>
      <w:r>
        <w:t xml:space="preserve">O certificado de assinatura do signatário deve estar em conformidade com o regulamento «eIDAS» ou equivalente e respeitar o nível de segurança exigido. O RGS (referencial geral de segurança) é substituído pelo regulamento «eIDAS» desde 1 de outubro de 2018.</w:t>
      </w:r>
    </w:p>
    <w:p w:rsidR="00C75B93" w:rsidRDefault="00000000" w14:paraId="1462C213" w14:textId="77777777">
      <w:pPr>
        <w:pStyle w:val="RedaliaNormal"/>
      </w:pPr>
      <w:r>
        <w:t xml:space="preserve">No entanto, os candidatos que já possuam um certificado «RGS», este permanece utilizável até ao final do seu período de validade.</w:t>
      </w:r>
    </w:p>
    <w:p w:rsidR="00C75B93" w:rsidRDefault="00C75B93" w14:paraId="2BBC1870" w14:textId="77777777">
      <w:pPr>
        <w:pStyle w:val="RedaliaNormal"/>
      </w:pPr>
    </w:p>
    <w:p w:rsidR="00C75B93" w:rsidRDefault="00000000" w14:paraId="6A0249BE" w14:textId="77777777">
      <w:pPr>
        <w:pStyle w:val="RedaliaNormal"/>
      </w:pPr>
      <w:r>
        <w:rPr>
          <w:b/>
        </w:rPr>
        <w:t xml:space="preserve">- Caso 1: Certificado emitido por uma Autoridade de certificação «reconhecida» - Nenhuma prova a fornecer</w:t>
      </w:r>
    </w:p>
    <w:p w:rsidR="00C75B93" w:rsidRDefault="00C75B93" w14:paraId="74D3DBAE" w14:textId="77777777">
      <w:pPr>
        <w:pStyle w:val="RedaliaNormal"/>
      </w:pPr>
    </w:p>
    <w:p w:rsidR="00C75B93" w:rsidRDefault="00000000" w14:paraId="7E9FA45C" w14:textId="77777777">
      <w:pPr>
        <w:pStyle w:val="RedaliaNormal"/>
      </w:pPr>
      <w:r>
        <w:t xml:space="preserve">O certificado de assinatura é emitido por uma Autoridade de certificação mencionada na seguinte lista de confiança:</w:t>
      </w:r>
    </w:p>
    <w:p w:rsidR="00C75B93" w:rsidRDefault="00000000" w14:paraId="4D714AE4" w14:textId="77777777">
      <w:pPr>
        <w:pStyle w:val="RedaliaNormal"/>
        <w:jc w:val="center"/>
      </w:pPr>
      <w:r>
        <w:t xml:space="preserve">https://www.ssi.gouv.fr/administration/visa-de-securite/</w:t>
      </w:r>
    </w:p>
    <w:p w:rsidR="00C75B93" w:rsidRDefault="00C75B93" w14:paraId="0E52F535" w14:textId="77777777">
      <w:pPr>
        <w:pStyle w:val="RedaliaNormal"/>
      </w:pPr>
    </w:p>
    <w:p w:rsidR="00C75B93" w:rsidRDefault="00000000" w14:paraId="1F95A6B5" w14:textId="77777777">
      <w:pPr>
        <w:pStyle w:val="RedaliaNormal"/>
      </w:pPr>
      <w:r>
        <w:t xml:space="preserve">Os candidatos europeus também encontrarão a lista completa dos prestadores na lista de confiança mantida pela Comissão Europeia:</w:t>
      </w:r>
    </w:p>
    <w:p w:rsidR="00C75B93" w:rsidRDefault="00000000" w14:paraId="4B2926ED" w14:textId="77777777">
      <w:pPr>
        <w:pStyle w:val="RedaliaNormal"/>
        <w:jc w:val="center"/>
      </w:pPr>
      <w:hyperlink w:history="1" r:id="rId39">
        <w:r>
          <w:rPr>
            <w:rStyle w:val="Lienhypertexte"/>
          </w:rPr>
          <w:t xml:space="preserve">https://webgate.ec.europa.eu/tl-browser/#/tl/FR</w:t>
        </w:r>
      </w:hyperlink>
    </w:p>
    <w:p w:rsidR="00C75B93" w:rsidRDefault="00C75B93" w14:paraId="04C71C48" w14:textId="77777777">
      <w:pPr>
        <w:pStyle w:val="RedaliaNormal"/>
      </w:pPr>
    </w:p>
    <w:p w:rsidR="00C75B93" w:rsidRDefault="00000000" w14:paraId="6594A2E3" w14:textId="77777777">
      <w:pPr>
        <w:pStyle w:val="RedaliaNormal"/>
      </w:pPr>
      <w:r>
        <w:t xml:space="preserve">Neste caso, o proponente não tem que fornecer qualquer prova no certificado de assinatura usado para assinar sua resposta.</w:t>
      </w:r>
    </w:p>
    <w:p w:rsidR="00C75B93" w:rsidRDefault="00C75B93" w14:paraId="1239C92A" w14:textId="77777777">
      <w:pPr>
        <w:pStyle w:val="RedaliaNormal"/>
      </w:pPr>
    </w:p>
    <w:p w:rsidR="00C75B93" w:rsidRDefault="00000000" w14:paraId="4DE71CE9" w14:textId="77777777">
      <w:pPr>
        <w:pStyle w:val="RedaliaNormal"/>
      </w:pPr>
      <w:r>
        <w:rPr>
          <w:b/>
        </w:rPr>
        <w:t xml:space="preserve">- Caso 2: O certificado de assinatura eletrônica não está referenciado em uma lista confiável - Diferentes comprovativos a fornecer</w:t>
      </w:r>
    </w:p>
    <w:p w:rsidR="00C75B93" w:rsidRDefault="00C75B93" w14:paraId="364CE984" w14:textId="77777777">
      <w:pPr>
        <w:pStyle w:val="RedaliaNormal"/>
      </w:pPr>
    </w:p>
    <w:p w:rsidR="00C75B93" w:rsidRDefault="00000000" w14:paraId="3FA742BF" w14:textId="77777777">
      <w:pPr>
        <w:pStyle w:val="RedaliaNormal"/>
      </w:pPr>
      <w:r>
        <w:t xml:space="preserve">A plataforma de desmaterialização aceita todos os certificados de assinatura eletrónica que apresentam condições de segurança equivalentes às do Référentiel Geral de Segurança (RGS) e «eIDAS».</w:t>
      </w:r>
    </w:p>
    <w:p w:rsidR="00C75B93" w:rsidRDefault="00000000" w14:paraId="0EB87268" w14:textId="77777777">
      <w:pPr>
        <w:pStyle w:val="RedaliaNormal"/>
      </w:pPr>
      <w:r>
        <w:t xml:space="preserve">O candidato assegura-se por si mesmo que o certificado que utiliza é pelo menos conforme ao nível de segurança definido pelo Référentiel Geral de Segurança (RGS) ou «eIDAS», e fornece os justificativos na sua resposta electrónica.</w:t>
      </w:r>
    </w:p>
    <w:p w:rsidR="00C75B93" w:rsidRDefault="00000000" w14:paraId="5509AB2A" w14:textId="77777777">
      <w:pPr>
        <w:pStyle w:val="RedaliaNormal"/>
      </w:pPr>
      <w:r>
        <w:t xml:space="preserve">O candidato deve igualmente fornecer todos os elementos técnicos que permitam à entidade adjudicante assegurar a boa validade técnica do certificado utilizado.</w:t>
      </w:r>
    </w:p>
    <w:p w:rsidR="00C75B93" w:rsidRDefault="00C75B93" w14:paraId="6EF84A9D" w14:textId="77777777">
      <w:pPr>
        <w:pStyle w:val="RedaliaNormal"/>
      </w:pPr>
    </w:p>
    <w:p w:rsidR="00C75B93" w:rsidRDefault="00000000" w14:paraId="46535981" w14:textId="77777777">
      <w:pPr>
        <w:pStyle w:val="RedaliaNormal"/>
      </w:pPr>
      <w:r>
        <w:t xml:space="preserve">Assim, o signatário deve transmitir com a sua resposta electrónica os seguintes elementos:</w:t>
      </w:r>
    </w:p>
    <w:p w:rsidR="00C75B93" w:rsidRDefault="00C75B93" w14:paraId="069D7612" w14:textId="77777777">
      <w:pPr>
        <w:pStyle w:val="RedaliaNormal"/>
      </w:pPr>
    </w:p>
    <w:p w:rsidR="00C75B93" w:rsidRDefault="00000000" w14:paraId="61C73999" w14:textId="77777777">
      <w:pPr>
        <w:pStyle w:val="RedaliaNormal"/>
      </w:pPr>
      <w:r>
        <w:t xml:space="preserve">     a) qualquer elemento que permita verificar a qualidade e o nível de segurança do certificado de assinatura (prova da qualificação da Autoridade de certificação, política de certificação, endereço do site da referência da Autoridade de certificação),</w:t>
      </w:r>
    </w:p>
    <w:p w:rsidR="00C75B93" w:rsidRDefault="00000000" w14:paraId="32F9911A" w14:textId="77777777">
      <w:pPr>
        <w:pStyle w:val="RedaliaNormal"/>
      </w:pPr>
      <w:r>
        <w:t xml:space="preserve">     b) as ferramentas técnicas de verificação do certificado (cadeia de certificação completa até a Autoridade de Certificação raiz, endereço de download da última atualização da lista de revogação de certificados).</w:t>
      </w:r>
    </w:p>
    <w:p w:rsidR="00C75B93" w:rsidRDefault="00C75B93" w14:paraId="2B406937" w14:textId="77777777">
      <w:pPr>
        <w:pStyle w:val="RedaliaNormal"/>
      </w:pPr>
    </w:p>
    <w:p w:rsidR="00C75B93" w:rsidRDefault="00000000" w14:paraId="6111237E" w14:textId="77777777">
      <w:pPr>
        <w:pStyle w:val="RedaliaNormal"/>
      </w:pPr>
      <w:r>
        <w:t xml:space="preserve">Todos estes elementos devem ser de acesso e utilização gratuitos para o comprador, acompanhados, se for caso disso, de manuais claros.</w:t>
      </w:r>
    </w:p>
    <w:p w:rsidR="00C75B93" w:rsidRDefault="00C75B93" w14:paraId="698B81AC" w14:textId="77777777">
      <w:pPr>
        <w:pStyle w:val="RedaliaNormal"/>
      </w:pPr>
    </w:p>
    <w:p w:rsidR="00C75B93" w:rsidRDefault="00000000" w14:paraId="27FA88B7" w14:textId="77777777">
      <w:pPr>
        <w:pStyle w:val="RedaliaNormal"/>
      </w:pPr>
      <w:r>
        <w:rPr>
          <w:u w:val="single"/>
        </w:rPr>
        <w:t xml:space="preserve">Ferramenta de assinatura usada para assinar arquivos:</w:t>
      </w:r>
      <w:r>
        <w:t xml:space="preserve"/>
      </w:r>
    </w:p>
    <w:p w:rsidR="00C75B93" w:rsidRDefault="00C75B93" w14:paraId="515B972A" w14:textId="77777777">
      <w:pPr>
        <w:pStyle w:val="RedaliaNormal"/>
      </w:pPr>
    </w:p>
    <w:p w:rsidR="00C75B93" w:rsidRDefault="00000000" w14:paraId="41C3196C" w14:textId="77777777">
      <w:pPr>
        <w:pStyle w:val="RedaliaNormal"/>
      </w:pPr>
      <w:r>
        <w:t xml:space="preserve">O regulamento permite que o proponente use a ferramenta de assinatura de sua escolha.</w:t>
      </w:r>
    </w:p>
    <w:p w:rsidR="00C75B93" w:rsidRDefault="00C75B93" w14:paraId="74B3250A" w14:textId="77777777">
      <w:pPr>
        <w:pStyle w:val="RedaliaNormal"/>
      </w:pPr>
    </w:p>
    <w:p w:rsidR="00C75B93" w:rsidRDefault="00000000" w14:paraId="17A0E48D" w14:textId="77777777">
      <w:pPr>
        <w:pStyle w:val="RedaliaNormal"/>
      </w:pPr>
      <w:r>
        <w:rPr>
          <w:b/>
        </w:rPr>
        <w:t xml:space="preserve">- Caso 1: O licitante usa a ferramenta de assinatura da plataforma - Nenhuma evidência a ser fornecida</w:t>
      </w:r>
    </w:p>
    <w:p w:rsidR="00C75B93" w:rsidRDefault="00C75B93" w14:paraId="126CA8B4" w14:textId="77777777">
      <w:pPr>
        <w:pStyle w:val="RedaliaNormal"/>
      </w:pPr>
    </w:p>
    <w:p w:rsidR="00C75B93" w:rsidRDefault="00000000" w14:paraId="6D90ACB2" w14:textId="77777777">
      <w:pPr>
        <w:pStyle w:val="RedaliaNormal"/>
      </w:pPr>
      <w:r>
        <w:t xml:space="preserve">A plataforma integra uma ferramenta de assinatura eletrônica, que produz Tokens de assinatura no formato regulamentar XAdES.</w:t>
      </w:r>
    </w:p>
    <w:p w:rsidR="00C75B93" w:rsidRDefault="00C75B93" w14:paraId="623E286A" w14:textId="77777777">
      <w:pPr>
        <w:pStyle w:val="RedaliaNormal"/>
      </w:pPr>
    </w:p>
    <w:p w:rsidR="00C75B93" w:rsidRDefault="00000000" w14:paraId="05A15F2D" w14:textId="77777777">
      <w:pPr>
        <w:pStyle w:val="RedaliaNormal"/>
      </w:pPr>
      <w:r>
        <w:t xml:space="preserve">Neste caso, o proponente não tem que fornecer qualquer prova sobre as assinaturas eletrônicas transmitidas e a ferramenta de assinatura utilizada.</w:t>
      </w:r>
    </w:p>
    <w:p w:rsidR="00C75B93" w:rsidRDefault="00C75B93" w14:paraId="1ACCEDB5" w14:textId="77777777">
      <w:pPr>
        <w:pStyle w:val="RedaliaNormal"/>
      </w:pPr>
    </w:p>
    <w:p w:rsidR="00C75B93" w:rsidRDefault="00000000" w14:paraId="42C8009C" w14:textId="77777777">
      <w:pPr>
        <w:pStyle w:val="RedaliaNormal"/>
      </w:pPr>
      <w:r>
        <w:rPr>
          <w:b/>
        </w:rPr>
        <w:t xml:space="preserve">- Caso 2: O proponente utiliza uma ferramenta de assinatura diferente da integrada à plataforma - Diferentes justificativos a fornecer</w:t>
      </w:r>
    </w:p>
    <w:p w:rsidR="00C75B93" w:rsidRDefault="00C75B93" w14:paraId="0DCC41EF" w14:textId="77777777">
      <w:pPr>
        <w:pStyle w:val="RedaliaNormal"/>
      </w:pPr>
    </w:p>
    <w:p w:rsidR="00C75B93" w:rsidRDefault="00000000" w14:paraId="700A1875" w14:textId="77777777">
      <w:pPr>
        <w:pStyle w:val="RedaliaNormal"/>
      </w:pPr>
      <w:r>
        <w:t xml:space="preserve">Quando o candidato utiliza uma ferramenta de assinatura diferente da plataforma, ele deve cumprir as duas obrigações seguintes:</w:t>
      </w:r>
    </w:p>
    <w:p w:rsidR="00C75B93" w:rsidRDefault="00C75B93" w14:paraId="4E5927E8" w14:textId="77777777">
      <w:pPr>
        <w:pStyle w:val="RedaliaNormal"/>
      </w:pPr>
    </w:p>
    <w:p w:rsidR="00C75B93" w:rsidRDefault="00000000" w14:paraId="4D5CBC3B" w14:textId="77777777">
      <w:pPr>
        <w:pStyle w:val="RedaliaNormal"/>
      </w:pPr>
      <w:r>
        <w:t xml:space="preserve">     a) Produzir formatos de assinatura XAdES, CAdES ou PAdES.</w:t>
      </w:r>
    </w:p>
    <w:p w:rsidR="00C75B93" w:rsidRDefault="00000000" w14:paraId="79AE122D" w14:textId="77777777">
      <w:pPr>
        <w:pStyle w:val="RedaliaNormal"/>
      </w:pPr>
      <w:r>
        <w:t xml:space="preserve">     b) Permitir a verificação, transmitindo em paralelo os elementos necessários para proceder à verificação da validade da assinatura e da integridade do documento, gratuitamente.</w:t>
      </w:r>
    </w:p>
    <w:p w:rsidR="00C75B93" w:rsidRDefault="00000000" w14:paraId="25FC3406" w14:textId="77777777">
      <w:pPr>
        <w:pStyle w:val="RedaliaNormal"/>
      </w:pPr>
      <w:r>
        <w:rPr>
          <w:b/>
          <w:u w:val="single"/>
        </w:rPr>
        <w:t xml:space="preserve">ATENÇÃO:</w:t>
      </w:r>
      <w:r>
        <w:t xml:space="preserve"> Os candidatos devem ter em conta que a utilização de uma assinatura electrónica não deve entrar em contradição com o artigo «Condições de envio e entrega das candidaturas e ofertas», parágrafos «Formatos de ficheiros aceites». Como tal, recomenda-se utilizar uma assinatura «separada» quando a ferramenta de assinatura o permite; para entregar um documento num formato aceite.</w:t>
      </w:r>
    </w:p>
    <w:p w:rsidR="00C75B93" w:rsidRDefault="00C75B93" w14:paraId="57647E67" w14:textId="77777777">
      <w:pPr>
        <w:pStyle w:val="RedaliaNormal"/>
      </w:pPr>
    </w:p>
    <w:p w:rsidR="00C75B93" w:rsidRDefault="00000000" w14:paraId="45522669" w14:textId="77777777">
      <w:pPr>
        <w:pStyle w:val="RedaliaNormal"/>
      </w:pPr>
      <w:r>
        <w:t xml:space="preserve">Todos estes elementos devem ser de acesso e utilização gratuitos para o comprador, acompanhados, se for caso disso, de manuais claros.</w:t>
      </w:r>
    </w:p>
    <w:p w:rsidR="00C75B93" w:rsidRDefault="00C75B93" w14:paraId="7B9860AF" w14:textId="77777777">
      <w:pPr>
        <w:pStyle w:val="RedaliaNormal"/>
      </w:pPr>
    </w:p>
    <w:sectPr w:rsidR="00C75B93">
      <w:headerReference w:type="default" r:id="rId40"/>
      <w:footerReference w:type="default" r:id="rId41"/>
      <w:pgSz w:w="595.30pt" w:h="841.90pt"/>
      <w:pgMar w:top="92.15pt" w:right="56.70pt" w:bottom="92.15pt" w:left="56.70pt" w:header="56.70pt" w:footer="56.70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rsidR="00A32AD3" w:rsidRDefault="00A32AD3" w14:paraId="27EA70E6" w14:textId="77777777">
      <w:r>
        <w:separator/>
      </w:r>
    </w:p>
  </w:endnote>
  <w:endnote w:type="continuationSeparator" w:id="0">
    <w:p w:rsidR="00A32AD3" w:rsidRDefault="00A32AD3" w14:paraId="78DB81FD" w14:textId="77777777">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OpenSymbol">
    <w:family w:val="auto"/>
    <w:pitch w:val="default"/>
  </w:font>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ITC Avant Garde Std Bk">
    <w:altName w:val="Cambria"/>
    <w:charset w:characterSet="iso-8859-1"/>
    <w:family w:val="roman"/>
    <w:pitch w:val="variable"/>
  </w:font>
  <w:font w:name="Arial">
    <w:panose1 w:val="020B0604020202020204"/>
    <w:charset w:characterSet="iso-8859-1"/>
    <w:family w:val="swiss"/>
    <w:pitch w:val="variable"/>
    <w:sig w:usb0="E0002EFF" w:usb1="C000785B" w:usb2="00000009" w:usb3="00000000" w:csb0="000001FF" w:csb1="00000000"/>
  </w:font>
  <w:font w:name="Verdana">
    <w:panose1 w:val="020B0604030504040204"/>
    <w:charset w:characterSet="iso-8859-1"/>
    <w:family w:val="swiss"/>
    <w:pitch w:val="variable"/>
    <w:sig w:usb0="A00006FF" w:usb1="4000205B" w:usb2="00000010" w:usb3="00000000" w:csb0="0000019F" w:csb1="00000000"/>
  </w:font>
  <w:font w:name="Arial Narrow">
    <w:panose1 w:val="020B0606020202030204"/>
    <w:charset w:characterSet="iso-8859-1"/>
    <w:family w:val="swiss"/>
    <w:pitch w:val="variable"/>
    <w:sig w:usb0="00000287" w:usb1="00000800" w:usb2="00000000" w:usb3="00000000" w:csb0="0000009F" w:csb1="00000000"/>
  </w:font>
  <w:font w:name="Tahoma">
    <w:panose1 w:val="020B0604030504040204"/>
    <w:charset w:characterSet="iso-8859-1"/>
    <w:family w:val="swiss"/>
    <w:pitch w:val="variable"/>
    <w:sig w:usb0="E1002EFF" w:usb1="C000605B" w:usb2="00000029" w:usb3="00000000" w:csb0="000101FF" w:csb1="00000000"/>
  </w:font>
  <w:font w:name="Webdings">
    <w:panose1 w:val="05030102010509060703"/>
    <w:family w:val="roman"/>
    <w:pitch w:val="variable"/>
    <w:sig w:usb0="00000000" w:usb1="10000000" w:usb2="00000000" w:usb3="00000000" w:csb0="80000000" w:csb1="00000000"/>
  </w:font>
  <w:font w:name="Calibri">
    <w:panose1 w:val="020F0502020204030204"/>
    <w:charset w:characterSet="iso-8859-1"/>
    <w:family w:val="swiss"/>
    <w:pitch w:val="variable"/>
    <w:sig w:usb0="E4002EFF" w:usb1="C200247B" w:usb2="00000009" w:usb3="00000000" w:csb0="000001FF" w:csb1="00000000"/>
  </w:font>
  <w:font w:name="Liberation Sans">
    <w:charset w:characterSet="iso-8859-1"/>
    <w:family w:val="swiss"/>
    <w:pitch w:val="variable"/>
  </w:font>
  <w:font w:name="MS Gothic">
    <w:altName w:val="ＭＳ ゴシック"/>
    <w:panose1 w:val="020B0609070205080204"/>
    <w:charset w:characterSet="shift_jis"/>
    <w:family w:val="modern"/>
    <w:pitch w:val="fixed"/>
    <w:sig w:usb0="E00002FF" w:usb1="6AC7FDFB" w:usb2="08000012" w:usb3="00000000" w:csb0="0002009F" w:csb1="00000000"/>
  </w:font>
  <w:font w:name="Calibri Light">
    <w:panose1 w:val="020F0302020204030204"/>
    <w:charset w:characterSet="iso-8859-1"/>
    <w:family w:val="swiss"/>
    <w:pitch w:val="variable"/>
    <w:sig w:usb0="E4002EFF" w:usb1="C200247B" w:usb2="00000009" w:usb3="00000000" w:csb0="000001FF" w:csb1="00000000"/>
  </w:font>
  <w:font w:name="Cambria">
    <w:panose1 w:val="02040503050406030204"/>
    <w:charset w:characterSet="iso-8859-1"/>
    <w:family w:val="roman"/>
    <w:pitch w:val="variable"/>
    <w:sig w:usb0="E00006FF" w:usb1="420024FF" w:usb2="02000000" w:usb3="00000000" w:csb0="0000019F" w:csb1="00000000"/>
  </w:font>
  <w:font w:name="Century Gothic">
    <w:panose1 w:val="020B0502020202020204"/>
    <w:charset w:characterSet="iso-8859-1"/>
    <w:family w:val="swiss"/>
    <w:pitch w:val="variable"/>
    <w:sig w:usb0="00000287" w:usb1="00000000" w:usb2="00000000" w:usb3="00000000" w:csb0="0000009F" w:csb1="00000000"/>
  </w:font>
  <w:font w:name="Aptos">
    <w:charset w:characterSet="iso-8859-1"/>
    <w:family w:val="swiss"/>
    <w:pitch w:val="variable"/>
    <w:sig w:usb0="20000287" w:usb1="00000003" w:usb2="00000000" w:usb3="00000000" w:csb0="0000019F" w:csb1="00000000"/>
  </w:font>
  <w:font w:name="Aptos Display">
    <w:charset w:characterSet="iso-8859-1"/>
    <w:family w:val="swiss"/>
    <w:pitch w:val="variable"/>
    <w:sig w:usb0="20000287" w:usb1="00000003" w:usb2="00000000" w:usb3="00000000" w:csb0="000001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rsidR="00000000" w:rsidRDefault="00000000" w14:paraId="037F7660" w14:textId="77777777">
    <w:pPr>
      <w:pStyle w:val="RedaliaNormal"/>
      <w:jc w:val="right"/>
    </w:pPr>
    <w:r>
      <w:rPr>
        <w:sz w:val="18"/>
        <w:szCs w:val="18"/>
      </w:rPr>
      <w:t xml:space="preserve">Página</w:t>
    </w:r>
    <w:r>
      <w:rPr>
        <w:b/>
        <w:bCs/>
        <w:sz w:val="18"/>
        <w:szCs w:val="18"/>
      </w:rPr>
      <w:fldChar w:fldCharType="begin"/>
    </w:r>
    <w:r>
      <w:rPr>
        <w:b/>
        <w:bCs/>
        <w:sz w:val="18"/>
        <w:szCs w:val="18"/>
      </w:rPr>
      <w:instrText xml:space="preserve"> PAGE \* ARABIC </w:instrText>
    </w:r>
    <w:r>
      <w:rPr>
        <w:b/>
        <w:bCs/>
        <w:sz w:val="18"/>
        <w:szCs w:val="18"/>
      </w:rPr>
      <w:fldChar w:fldCharType="separate"/>
    </w:r>
    <w:r>
      <w:rPr>
        <w:b/>
        <w:bCs/>
        <w:sz w:val="18"/>
        <w:szCs w:val="18"/>
      </w:rPr>
      <w:t xml:space="preserve"> 15 de</w:t>
    </w:r>
    <w:r>
      <w:rPr>
        <w:b/>
        <w:bCs/>
        <w:sz w:val="18"/>
        <w:szCs w:val="18"/>
      </w:rPr>
      <w:fldChar w:fldCharType="end"/>
    </w:r>
    <w:r>
      <w:rPr>
        <w:sz w:val="18"/>
        <w:szCs w:val="18"/>
      </w:rPr>
      <w:t xml:space="preserve"> 15</w:t>
    </w:r>
    <w:r>
      <w:rPr>
        <w:b/>
        <w:bCs/>
        <w:sz w:val="18"/>
        <w:szCs w:val="18"/>
      </w:rPr>
      <w:fldChar w:fldCharType="begin"/>
    </w:r>
    <w:r>
      <w:rPr>
        <w:b/>
        <w:bCs/>
        <w:sz w:val="18"/>
        <w:szCs w:val="18"/>
      </w:rPr>
      <w:instrText xml:space="preserve"> NUMPAGES \* ARABIC </w:instrText>
    </w:r>
    <w:r>
      <w:rPr>
        <w:b/>
        <w:bCs/>
        <w:sz w:val="18"/>
        <w:szCs w:val="18"/>
      </w:rPr>
      <w:fldChar w:fldCharType="separate"/>
    </w:r>
    <w:r>
      <w:rPr>
        <w:b/>
        <w:bCs/>
        <w:sz w:val="18"/>
        <w:szCs w:val="18"/>
      </w:rPr>
      <w:t xml:space="preserve"/>
    </w:r>
    <w:r>
      <w:rPr>
        <w:b/>
        <w:bCs/>
        <w:sz w:val="18"/>
        <w:szCs w:val="18"/>
      </w:rPr>
      <w:fldChar w:fldCharType="end"/>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rsidR="00A32AD3" w:rsidRDefault="00A32AD3" w14:paraId="1A46F1FA" w14:textId="77777777">
      <w:r>
        <w:rPr>
          <w:color w:val="000000"/>
        </w:rPr>
        <w:separator/>
      </w:r>
    </w:p>
  </w:footnote>
  <w:footnote w:type="continuationSeparator" w:id="0">
    <w:p w:rsidR="00A32AD3" w:rsidRDefault="00A32AD3" w14:paraId="3F392FC4" w14:textId="77777777">
      <w:r>
        <w:continuationSeparator/>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tbl>
    <w:tblPr>
      <w:tblW w:w="460.60pt" w:type="dxa"/>
      <w:tblLayout w:type="fixed"/>
      <w:tblCellMar>
        <w:start w:w="0.50pt" w:type="dxa"/>
        <w:end w:w="0.50pt" w:type="dxa"/>
      </w:tblCellMar>
      <w:tblLook w:val="04a0"/>
    </w:tblPr>
    <w:tblGrid>
      <w:gridCol w:w="1384"/>
      <w:gridCol w:w="7828"/>
    </w:tblGrid>
    <w:tr w:rsidR="00365A34" w14:paraId="3A19E2AB" w14:textId="77777777">
      <w:tblPrEx>
        <w:tblCellMar>
          <w:top w:w="0pt" w:type="dxa"/>
          <w:bottom w:w="0pt" w:type="dxa"/>
        </w:tblCellMar>
      </w:tblPrEx>
      <w:tc>
        <w:tcPr>
          <w:tcW w:w="69.20pt" w:type="dxa"/>
          <w:shd w:val="clear" w:color="auto" w:fill="auto"/>
          <w:tcMar>
            <w:top w:w="0pt" w:type="dxa"/>
            <w:start w:w="5.40pt" w:type="dxa"/>
            <w:bottom w:w="0pt" w:type="dxa"/>
            <w:end w:w="5.40pt" w:type="dxa"/>
          </w:tcMar>
        </w:tcPr>
        <w:p w:rsidR="00000000" w:rsidRDefault="00000000" w14:paraId="46893212" w14:textId="77777777">
          <w:pPr>
            <w:pStyle w:val="RedaliaNormal"/>
          </w:pPr>
        </w:p>
      </w:tc>
      <w:tc>
        <w:tcPr>
          <w:tcW w:w="391.40pt" w:type="dxa"/>
          <w:tcBorders>
            <w:bottom w:val="single" w:color="000000" w:sz="4" w:space="0"/>
          </w:tcBorders>
          <w:shd w:val="clear" w:color="auto" w:fill="auto"/>
          <w:tcMar>
            <w:top w:w="0pt" w:type="dxa"/>
            <w:start w:w="5.40pt" w:type="dxa"/>
            <w:bottom w:w="0pt" w:type="dxa"/>
            <w:end w:w="5.40pt" w:type="dxa"/>
          </w:tcMar>
        </w:tcPr>
        <w:p w:rsidR="00000000" w:rsidRDefault="00000000" w14:paraId="1852C345" w14:textId="77777777">
          <w:pPr>
            <w:pStyle w:val="RdaliaLgende"/>
            <w:jc w:val="right"/>
          </w:pPr>
          <w:r>
            <w:t xml:space="preserve"> </w:t>
          </w:r>
        </w:p>
      </w:tc>
    </w:tr>
  </w:tbl>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4FE2759"/>
    <w:multiLevelType w:val="multilevel"/>
    <w:tmpl w:val="740416E4"/>
    <w:styleLink w:val="WWOutlineListStyle10"/>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1" w15:restartNumberingAfterBreak="0">
    <w:nsid w:val="05757A2C"/>
    <w:multiLevelType w:val="multilevel"/>
    <w:tmpl w:val="9B8CCB72"/>
    <w:styleLink w:val="List1"/>
    <w:lvl w:ilvl="0">
      <w:numFmt w:val="bullet"/>
      <w:pStyle w:val="Redaliapuces"/>
      <w:lvlText w:val="•"/>
      <w:lvlJc w:val="start"/>
      <w:pPr>
        <w:ind w:start="11.35pt" w:hanging="11.35pt"/>
      </w:pPr>
      <w:rPr>
        <w:rFonts w:ascii="OpenSymbol" w:hAnsi="OpenSymbol"/>
      </w:rPr>
    </w:lvl>
    <w:lvl w:ilvl="1">
      <w:numFmt w:val="bullet"/>
      <w:lvlText w:val="•"/>
      <w:lvlJc w:val="start"/>
      <w:pPr>
        <w:ind w:start="22.70pt" w:hanging="11.35pt"/>
      </w:pPr>
      <w:rPr>
        <w:rFonts w:ascii="OpenSymbol" w:hAnsi="OpenSymbol"/>
      </w:rPr>
    </w:lvl>
    <w:lvl w:ilvl="2">
      <w:numFmt w:val="bullet"/>
      <w:lvlText w:val="•"/>
      <w:lvlJc w:val="start"/>
      <w:pPr>
        <w:ind w:start="34pt" w:hanging="11.35pt"/>
      </w:pPr>
      <w:rPr>
        <w:rFonts w:ascii="OpenSymbol" w:hAnsi="OpenSymbol"/>
      </w:rPr>
    </w:lvl>
    <w:lvl w:ilvl="3">
      <w:numFmt w:val="bullet"/>
      <w:lvlText w:val="•"/>
      <w:lvlJc w:val="start"/>
      <w:pPr>
        <w:ind w:start="45.35pt" w:hanging="11.35pt"/>
      </w:pPr>
      <w:rPr>
        <w:rFonts w:ascii="OpenSymbol" w:hAnsi="OpenSymbol"/>
      </w:rPr>
    </w:lvl>
    <w:lvl w:ilvl="4">
      <w:numFmt w:val="bullet"/>
      <w:lvlText w:val="•"/>
      <w:lvlJc w:val="start"/>
      <w:pPr>
        <w:ind w:start="56.70pt" w:hanging="11.35pt"/>
      </w:pPr>
      <w:rPr>
        <w:rFonts w:ascii="OpenSymbol" w:hAnsi="OpenSymbol"/>
      </w:rPr>
    </w:lvl>
    <w:lvl w:ilvl="5">
      <w:numFmt w:val="bullet"/>
      <w:lvlText w:val="•"/>
      <w:lvlJc w:val="start"/>
      <w:pPr>
        <w:ind w:start="68.05pt" w:hanging="11.35pt"/>
      </w:pPr>
      <w:rPr>
        <w:rFonts w:ascii="OpenSymbol" w:hAnsi="OpenSymbol"/>
      </w:rPr>
    </w:lvl>
    <w:lvl w:ilvl="6">
      <w:numFmt w:val="bullet"/>
      <w:lvlText w:val="•"/>
      <w:lvlJc w:val="start"/>
      <w:pPr>
        <w:ind w:start="79.35pt" w:hanging="11.35pt"/>
      </w:pPr>
      <w:rPr>
        <w:rFonts w:ascii="OpenSymbol" w:hAnsi="OpenSymbol"/>
      </w:rPr>
    </w:lvl>
    <w:lvl w:ilvl="7">
      <w:numFmt w:val="bullet"/>
      <w:lvlText w:val="•"/>
      <w:lvlJc w:val="start"/>
      <w:pPr>
        <w:ind w:start="90.70pt" w:hanging="11.35pt"/>
      </w:pPr>
      <w:rPr>
        <w:rFonts w:ascii="OpenSymbol" w:hAnsi="OpenSymbol"/>
      </w:rPr>
    </w:lvl>
    <w:lvl w:ilvl="8">
      <w:numFmt w:val="bullet"/>
      <w:lvlText w:val="•"/>
      <w:lvlJc w:val="start"/>
      <w:pPr>
        <w:ind w:start="102.05pt" w:hanging="11.35pt"/>
      </w:pPr>
      <w:rPr>
        <w:rFonts w:ascii="OpenSymbol" w:hAnsi="OpenSymbol"/>
      </w:rPr>
    </w:lvl>
  </w:abstractNum>
  <w:abstractNum w:abstractNumId="2" w15:restartNumberingAfterBreak="0">
    <w:nsid w:val="06E7098A"/>
    <w:multiLevelType w:val="multilevel"/>
    <w:tmpl w:val="4A9220A4"/>
    <w:styleLink w:val="LFO21"/>
    <w:lvl w:ilvl="0">
      <w:numFmt w:val="bullet"/>
      <w:lvlText w:val=""/>
      <w:lvlJc w:val="start"/>
      <w:pPr>
        <w:ind w:start="36pt" w:hanging="18pt"/>
      </w:pPr>
      <w:rPr>
        <w:rFonts w:ascii="Symbol" w:hAnsi="Symbol"/>
      </w:rPr>
    </w:lvl>
    <w:lvl w:ilvl="1">
      <w:numFmt w:val="bullet"/>
      <w:lvlText w:val="o"/>
      <w:lvlJc w:val="start"/>
      <w:pPr>
        <w:ind w:start="72pt" w:hanging="18pt"/>
      </w:pPr>
      <w:rPr>
        <w:rFonts w:ascii="Courier New" w:hAnsi="Courier New"/>
      </w:rPr>
    </w:lvl>
    <w:lvl w:ilvl="2">
      <w:numFmt w:val="bullet"/>
      <w:lvlText w:val=""/>
      <w:lvlJc w:val="start"/>
      <w:pPr>
        <w:ind w:start="108pt" w:hanging="18pt"/>
      </w:pPr>
      <w:rPr>
        <w:rFonts w:ascii="Wingdings" w:hAnsi="Wingdings"/>
      </w:rPr>
    </w:lvl>
    <w:lvl w:ilvl="3">
      <w:numFmt w:val="bullet"/>
      <w:lvlText w:val=""/>
      <w:lvlJc w:val="start"/>
      <w:pPr>
        <w:ind w:start="144pt" w:hanging="18pt"/>
      </w:pPr>
      <w:rPr>
        <w:rFonts w:ascii="Symbol" w:hAnsi="Symbol"/>
      </w:rPr>
    </w:lvl>
    <w:lvl w:ilvl="4">
      <w:numFmt w:val="bullet"/>
      <w:lvlText w:val="o"/>
      <w:lvlJc w:val="start"/>
      <w:pPr>
        <w:ind w:start="180pt" w:hanging="18pt"/>
      </w:pPr>
      <w:rPr>
        <w:rFonts w:ascii="Courier New" w:hAnsi="Courier New"/>
      </w:rPr>
    </w:lvl>
    <w:lvl w:ilvl="5">
      <w:numFmt w:val="bullet"/>
      <w:lvlText w:val=""/>
      <w:lvlJc w:val="start"/>
      <w:pPr>
        <w:ind w:start="216pt" w:hanging="18pt"/>
      </w:pPr>
      <w:rPr>
        <w:rFonts w:ascii="Wingdings" w:hAnsi="Wingdings"/>
      </w:rPr>
    </w:lvl>
    <w:lvl w:ilvl="6">
      <w:numFmt w:val="bullet"/>
      <w:lvlText w:val=""/>
      <w:lvlJc w:val="start"/>
      <w:pPr>
        <w:ind w:start="252pt" w:hanging="18pt"/>
      </w:pPr>
      <w:rPr>
        <w:rFonts w:ascii="Symbol" w:hAnsi="Symbol"/>
      </w:rPr>
    </w:lvl>
    <w:lvl w:ilvl="7">
      <w:numFmt w:val="bullet"/>
      <w:lvlText w:val="o"/>
      <w:lvlJc w:val="start"/>
      <w:pPr>
        <w:ind w:start="288pt" w:hanging="18pt"/>
      </w:pPr>
      <w:rPr>
        <w:rFonts w:ascii="Courier New" w:hAnsi="Courier New"/>
      </w:rPr>
    </w:lvl>
    <w:lvl w:ilvl="8">
      <w:numFmt w:val="bullet"/>
      <w:lvlText w:val=""/>
      <w:lvlJc w:val="start"/>
      <w:pPr>
        <w:ind w:start="324pt" w:hanging="18pt"/>
      </w:pPr>
      <w:rPr>
        <w:rFonts w:ascii="Wingdings" w:hAnsi="Wingdings"/>
      </w:rPr>
    </w:lvl>
  </w:abstractNum>
  <w:abstractNum w:abstractNumId="3" w15:restartNumberingAfterBreak="0">
    <w:nsid w:val="0BEF0D2A"/>
    <w:multiLevelType w:val="multilevel"/>
    <w:tmpl w:val="49BAB3AE"/>
    <w:styleLink w:val="LFO4"/>
    <w:lvl w:ilvl="0">
      <w:numFmt w:val="bullet"/>
      <w:lvlText w:val="-"/>
      <w:lvlJc w:val="start"/>
      <w:pPr>
        <w:ind w:start="36pt" w:hanging="18pt"/>
      </w:pPr>
      <w:rPr>
        <w:rFonts w:ascii="Times New Roman" w:hAnsi="Times New Roman"/>
      </w:rPr>
    </w:lvl>
    <w:lvl w:ilvl="1">
      <w:numFmt w:val="bullet"/>
      <w:lvlText w:val="o"/>
      <w:lvlJc w:val="start"/>
      <w:pPr>
        <w:ind w:start="72pt" w:hanging="18pt"/>
      </w:pPr>
      <w:rPr>
        <w:rFonts w:ascii="Courier New" w:hAnsi="Courier New"/>
      </w:rPr>
    </w:lvl>
    <w:lvl w:ilvl="2">
      <w:numFmt w:val="bullet"/>
      <w:lvlText w:val=""/>
      <w:lvlJc w:val="start"/>
      <w:pPr>
        <w:ind w:start="108pt" w:hanging="18pt"/>
      </w:pPr>
      <w:rPr>
        <w:rFonts w:ascii="Wingdings" w:hAnsi="Wingdings"/>
      </w:rPr>
    </w:lvl>
    <w:lvl w:ilvl="3">
      <w:numFmt w:val="bullet"/>
      <w:lvlText w:val=""/>
      <w:lvlJc w:val="start"/>
      <w:pPr>
        <w:ind w:start="144pt" w:hanging="18pt"/>
      </w:pPr>
      <w:rPr>
        <w:rFonts w:ascii="Symbol" w:hAnsi="Symbol"/>
      </w:rPr>
    </w:lvl>
    <w:lvl w:ilvl="4">
      <w:numFmt w:val="bullet"/>
      <w:lvlText w:val="o"/>
      <w:lvlJc w:val="start"/>
      <w:pPr>
        <w:ind w:start="180pt" w:hanging="18pt"/>
      </w:pPr>
      <w:rPr>
        <w:rFonts w:ascii="Courier New" w:hAnsi="Courier New"/>
      </w:rPr>
    </w:lvl>
    <w:lvl w:ilvl="5">
      <w:numFmt w:val="bullet"/>
      <w:lvlText w:val=""/>
      <w:lvlJc w:val="start"/>
      <w:pPr>
        <w:ind w:start="216pt" w:hanging="18pt"/>
      </w:pPr>
      <w:rPr>
        <w:rFonts w:ascii="Wingdings" w:hAnsi="Wingdings"/>
      </w:rPr>
    </w:lvl>
    <w:lvl w:ilvl="6">
      <w:numFmt w:val="bullet"/>
      <w:lvlText w:val=""/>
      <w:lvlJc w:val="start"/>
      <w:pPr>
        <w:ind w:start="252pt" w:hanging="18pt"/>
      </w:pPr>
      <w:rPr>
        <w:rFonts w:ascii="Symbol" w:hAnsi="Symbol"/>
      </w:rPr>
    </w:lvl>
    <w:lvl w:ilvl="7">
      <w:numFmt w:val="bullet"/>
      <w:lvlText w:val="o"/>
      <w:lvlJc w:val="start"/>
      <w:pPr>
        <w:ind w:start="288pt" w:hanging="18pt"/>
      </w:pPr>
      <w:rPr>
        <w:rFonts w:ascii="Courier New" w:hAnsi="Courier New"/>
      </w:rPr>
    </w:lvl>
    <w:lvl w:ilvl="8">
      <w:numFmt w:val="bullet"/>
      <w:lvlText w:val=""/>
      <w:lvlJc w:val="start"/>
      <w:pPr>
        <w:ind w:start="324pt" w:hanging="18pt"/>
      </w:pPr>
      <w:rPr>
        <w:rFonts w:ascii="Wingdings" w:hAnsi="Wingdings"/>
      </w:rPr>
    </w:lvl>
  </w:abstractNum>
  <w:abstractNum w:abstractNumId="4" w15:restartNumberingAfterBreak="0">
    <w:nsid w:val="13D22085"/>
    <w:multiLevelType w:val="multilevel"/>
    <w:tmpl w:val="7CE02300"/>
    <w:lvl w:ilvl="0">
      <w:start w:val="1"/>
      <w:numFmt w:val="decimal"/>
      <w:lvlText w:val="%1."/>
      <w:lvlJc w:val="start"/>
      <w:pPr>
        <w:ind w:start="36pt" w:hanging="18pt"/>
      </w:pPr>
    </w:lvl>
    <w:lvl w:ilvl="1">
      <w:start w:val="2"/>
      <w:numFmt w:val="decimal"/>
      <w:lvlText w:val="%1.%2."/>
      <w:lvlJc w:val="start"/>
      <w:pPr>
        <w:ind w:start="54pt" w:hanging="36pt"/>
      </w:pPr>
    </w:lvl>
    <w:lvl w:ilvl="2">
      <w:start w:val="1"/>
      <w:numFmt w:val="decimal"/>
      <w:lvlText w:val="%1.%2.%3."/>
      <w:lvlJc w:val="start"/>
      <w:pPr>
        <w:ind w:start="54pt" w:hanging="36pt"/>
      </w:pPr>
    </w:lvl>
    <w:lvl w:ilvl="3">
      <w:start w:val="1"/>
      <w:numFmt w:val="decimal"/>
      <w:lvlText w:val="%1.%2.%3.%4."/>
      <w:lvlJc w:val="start"/>
      <w:pPr>
        <w:ind w:start="72pt" w:hanging="54pt"/>
      </w:pPr>
    </w:lvl>
    <w:lvl w:ilvl="4">
      <w:start w:val="1"/>
      <w:numFmt w:val="decimal"/>
      <w:lvlText w:val="%1.%2.%3.%4.%5."/>
      <w:lvlJc w:val="start"/>
      <w:pPr>
        <w:ind w:start="72pt" w:hanging="54pt"/>
      </w:pPr>
    </w:lvl>
    <w:lvl w:ilvl="5">
      <w:start w:val="1"/>
      <w:numFmt w:val="decimal"/>
      <w:lvlText w:val="%1.%2.%3.%4.%5.%6."/>
      <w:lvlJc w:val="start"/>
      <w:pPr>
        <w:ind w:start="90pt" w:hanging="72pt"/>
      </w:pPr>
    </w:lvl>
    <w:lvl w:ilvl="6">
      <w:start w:val="1"/>
      <w:numFmt w:val="decimal"/>
      <w:lvlText w:val="%1.%2.%3.%4.%5.%6.%7."/>
      <w:lvlJc w:val="start"/>
      <w:pPr>
        <w:ind w:start="90pt" w:hanging="72pt"/>
      </w:pPr>
    </w:lvl>
    <w:lvl w:ilvl="7">
      <w:start w:val="1"/>
      <w:numFmt w:val="decimal"/>
      <w:lvlText w:val="%1.%2.%3.%4.%5.%6.%7.%8."/>
      <w:lvlJc w:val="start"/>
      <w:pPr>
        <w:ind w:start="108pt" w:hanging="90pt"/>
      </w:pPr>
    </w:lvl>
    <w:lvl w:ilvl="8">
      <w:start w:val="1"/>
      <w:numFmt w:val="decimal"/>
      <w:lvlText w:val="%1.%2.%3.%4.%5.%6.%7.%8.%9."/>
      <w:lvlJc w:val="start"/>
      <w:pPr>
        <w:ind w:start="108pt" w:hanging="90pt"/>
      </w:pPr>
    </w:lvl>
  </w:abstractNum>
  <w:abstractNum w:abstractNumId="5" w15:restartNumberingAfterBreak="0">
    <w:nsid w:val="15657A76"/>
    <w:multiLevelType w:val="multilevel"/>
    <w:tmpl w:val="C2B09290"/>
    <w:styleLink w:val="LFO33"/>
    <w:lvl w:ilvl="0">
      <w:start w:val="1"/>
      <w:numFmt w:val="decimal"/>
      <w:pStyle w:val="LIAParagraphe1"/>
      <w:lvlText w:val="%1."/>
      <w:lvlJc w:val="start"/>
      <w:pPr>
        <w:ind w:start="18pt" w:hanging="18pt"/>
      </w:pPr>
    </w:lvl>
    <w:lvl w:ilvl="1">
      <w:start w:val="1"/>
      <w:numFmt w:val="lowerLetter"/>
      <w:lvlText w:val="."/>
      <w:lvlJc w:val="start"/>
      <w:pPr>
        <w:ind w:start="72pt" w:hanging="18pt"/>
      </w:pPr>
      <w:rPr>
        <w:rFonts w:cs="Times New Roman"/>
      </w:rPr>
    </w:lvl>
    <w:lvl w:ilvl="2">
      <w:start w:val="1"/>
      <w:numFmt w:val="lowerRoman"/>
      <w:lvlText w:val="."/>
      <w:lvlJc w:val="end"/>
      <w:pPr>
        <w:ind w:start="108pt" w:hanging="9pt"/>
      </w:pPr>
      <w:rPr>
        <w:rFonts w:cs="Times New Roman"/>
      </w:rPr>
    </w:lvl>
    <w:lvl w:ilvl="3">
      <w:start w:val="1"/>
      <w:numFmt w:val="decimal"/>
      <w:lvlText w:val="."/>
      <w:lvlJc w:val="start"/>
      <w:pPr>
        <w:ind w:start="144pt" w:hanging="18pt"/>
      </w:pPr>
      <w:rPr>
        <w:rFonts w:cs="Times New Roman"/>
      </w:rPr>
    </w:lvl>
    <w:lvl w:ilvl="4">
      <w:start w:val="1"/>
      <w:numFmt w:val="lowerLetter"/>
      <w:lvlText w:val="."/>
      <w:lvlJc w:val="start"/>
      <w:pPr>
        <w:ind w:start="180pt" w:hanging="18pt"/>
      </w:pPr>
      <w:rPr>
        <w:rFonts w:cs="Times New Roman"/>
      </w:rPr>
    </w:lvl>
    <w:lvl w:ilvl="5">
      <w:start w:val="1"/>
      <w:numFmt w:val="lowerRoman"/>
      <w:lvlText w:val="."/>
      <w:lvlJc w:val="end"/>
      <w:pPr>
        <w:ind w:start="216pt" w:hanging="9pt"/>
      </w:pPr>
      <w:rPr>
        <w:rFonts w:cs="Times New Roman"/>
      </w:rPr>
    </w:lvl>
    <w:lvl w:ilvl="6">
      <w:start w:val="1"/>
      <w:numFmt w:val="decimal"/>
      <w:lvlText w:val="."/>
      <w:lvlJc w:val="start"/>
      <w:pPr>
        <w:ind w:start="252pt" w:hanging="18pt"/>
      </w:pPr>
      <w:rPr>
        <w:rFonts w:cs="Times New Roman"/>
      </w:rPr>
    </w:lvl>
    <w:lvl w:ilvl="7">
      <w:start w:val="1"/>
      <w:numFmt w:val="lowerLetter"/>
      <w:lvlText w:val="."/>
      <w:lvlJc w:val="start"/>
      <w:pPr>
        <w:ind w:start="288pt" w:hanging="18pt"/>
      </w:pPr>
      <w:rPr>
        <w:rFonts w:cs="Times New Roman"/>
      </w:rPr>
    </w:lvl>
    <w:lvl w:ilvl="8">
      <w:start w:val="1"/>
      <w:numFmt w:val="lowerRoman"/>
      <w:lvlText w:val="."/>
      <w:lvlJc w:val="end"/>
      <w:pPr>
        <w:ind w:start="324pt" w:hanging="9pt"/>
      </w:pPr>
      <w:rPr>
        <w:rFonts w:cs="Times New Roman"/>
      </w:rPr>
    </w:lvl>
  </w:abstractNum>
  <w:abstractNum w:abstractNumId="6" w15:restartNumberingAfterBreak="0">
    <w:nsid w:val="163D5C19"/>
    <w:multiLevelType w:val="multilevel"/>
    <w:tmpl w:val="EDBCE2FA"/>
    <w:styleLink w:val="LFO29"/>
    <w:lvl w:ilvl="0">
      <w:start w:val="1"/>
      <w:numFmt w:val="upperLetter"/>
      <w:lvlText w:val="%1."/>
      <w:lvlJc w:val="start"/>
      <w:pPr>
        <w:ind w:start="36pt" w:hanging="18pt"/>
      </w:pPr>
      <w:rPr>
        <w:rFonts w:cs="Times New Roman"/>
      </w:rPr>
    </w:lvl>
    <w:lvl w:ilvl="1">
      <w:start w:val="1"/>
      <w:numFmt w:val="lowerLetter"/>
      <w:lvlText w:val="."/>
      <w:lvlJc w:val="start"/>
      <w:pPr>
        <w:ind w:start="72pt" w:hanging="18pt"/>
      </w:pPr>
      <w:rPr>
        <w:rFonts w:cs="Times New Roman"/>
      </w:rPr>
    </w:lvl>
    <w:lvl w:ilvl="2">
      <w:start w:val="1"/>
      <w:numFmt w:val="lowerRoman"/>
      <w:lvlText w:val="."/>
      <w:lvlJc w:val="end"/>
      <w:pPr>
        <w:ind w:start="108pt" w:hanging="9pt"/>
      </w:pPr>
      <w:rPr>
        <w:rFonts w:cs="Times New Roman"/>
      </w:rPr>
    </w:lvl>
    <w:lvl w:ilvl="3">
      <w:start w:val="1"/>
      <w:numFmt w:val="decimal"/>
      <w:lvlText w:val="."/>
      <w:lvlJc w:val="start"/>
      <w:pPr>
        <w:ind w:start="144pt" w:hanging="18pt"/>
      </w:pPr>
      <w:rPr>
        <w:rFonts w:cs="Times New Roman"/>
      </w:rPr>
    </w:lvl>
    <w:lvl w:ilvl="4">
      <w:start w:val="1"/>
      <w:numFmt w:val="lowerLetter"/>
      <w:lvlText w:val="."/>
      <w:lvlJc w:val="start"/>
      <w:pPr>
        <w:ind w:start="180pt" w:hanging="18pt"/>
      </w:pPr>
      <w:rPr>
        <w:rFonts w:cs="Times New Roman"/>
      </w:rPr>
    </w:lvl>
    <w:lvl w:ilvl="5">
      <w:start w:val="1"/>
      <w:numFmt w:val="lowerRoman"/>
      <w:lvlText w:val="."/>
      <w:lvlJc w:val="end"/>
      <w:pPr>
        <w:ind w:start="216pt" w:hanging="9pt"/>
      </w:pPr>
      <w:rPr>
        <w:rFonts w:cs="Times New Roman"/>
      </w:rPr>
    </w:lvl>
    <w:lvl w:ilvl="6">
      <w:start w:val="1"/>
      <w:numFmt w:val="decimal"/>
      <w:lvlText w:val="."/>
      <w:lvlJc w:val="start"/>
      <w:pPr>
        <w:ind w:start="252pt" w:hanging="18pt"/>
      </w:pPr>
      <w:rPr>
        <w:rFonts w:cs="Times New Roman"/>
      </w:rPr>
    </w:lvl>
    <w:lvl w:ilvl="7">
      <w:start w:val="1"/>
      <w:numFmt w:val="lowerLetter"/>
      <w:lvlText w:val="."/>
      <w:lvlJc w:val="start"/>
      <w:pPr>
        <w:ind w:start="288pt" w:hanging="18pt"/>
      </w:pPr>
      <w:rPr>
        <w:rFonts w:cs="Times New Roman"/>
      </w:rPr>
    </w:lvl>
    <w:lvl w:ilvl="8">
      <w:start w:val="1"/>
      <w:numFmt w:val="lowerRoman"/>
      <w:lvlText w:val="."/>
      <w:lvlJc w:val="end"/>
      <w:pPr>
        <w:ind w:start="324pt" w:hanging="9pt"/>
      </w:pPr>
      <w:rPr>
        <w:rFonts w:cs="Times New Roman"/>
      </w:rPr>
    </w:lvl>
  </w:abstractNum>
  <w:abstractNum w:abstractNumId="7" w15:restartNumberingAfterBreak="0">
    <w:nsid w:val="16CC5253"/>
    <w:multiLevelType w:val="multilevel"/>
    <w:tmpl w:val="06B00D86"/>
    <w:styleLink w:val="WWOutlineListStyle6"/>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8" w15:restartNumberingAfterBreak="0">
    <w:nsid w:val="1AAA1D84"/>
    <w:multiLevelType w:val="multilevel"/>
    <w:tmpl w:val="127A3F06"/>
    <w:styleLink w:val="WWOutlineListStyle2"/>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9" w15:restartNumberingAfterBreak="0">
    <w:nsid w:val="1D464022"/>
    <w:multiLevelType w:val="multilevel"/>
    <w:tmpl w:val="18ACD976"/>
    <w:styleLink w:val="LFO20"/>
    <w:lvl w:ilvl="0">
      <w:numFmt w:val="bullet"/>
      <w:lvlText w:val=""/>
      <w:lvlJc w:val="start"/>
      <w:pPr>
        <w:ind w:start="14.20pt" w:hanging="5.70pt"/>
      </w:pPr>
      <w:rPr>
        <w:rFonts w:ascii="Symbol" w:hAnsi="Symbol"/>
      </w:rPr>
    </w:lvl>
    <w:lvl w:ilvl="1">
      <w:numFmt w:val="bullet"/>
      <w:lvlText w:val="o"/>
      <w:lvlJc w:val="start"/>
      <w:pPr>
        <w:ind w:start="72pt" w:hanging="18pt"/>
      </w:pPr>
      <w:rPr>
        <w:rFonts w:ascii="Courier New" w:hAnsi="Courier New"/>
      </w:rPr>
    </w:lvl>
    <w:lvl w:ilvl="2">
      <w:numFmt w:val="bullet"/>
      <w:lvlText w:val=""/>
      <w:lvlJc w:val="start"/>
      <w:pPr>
        <w:ind w:start="108pt" w:hanging="18pt"/>
      </w:pPr>
      <w:rPr>
        <w:rFonts w:ascii="Wingdings" w:hAnsi="Wingdings"/>
      </w:rPr>
    </w:lvl>
    <w:lvl w:ilvl="3">
      <w:numFmt w:val="bullet"/>
      <w:lvlText w:val=""/>
      <w:lvlJc w:val="start"/>
      <w:pPr>
        <w:ind w:start="144pt" w:hanging="18pt"/>
      </w:pPr>
      <w:rPr>
        <w:rFonts w:ascii="Symbol" w:hAnsi="Symbol"/>
      </w:rPr>
    </w:lvl>
    <w:lvl w:ilvl="4">
      <w:numFmt w:val="bullet"/>
      <w:lvlText w:val="o"/>
      <w:lvlJc w:val="start"/>
      <w:pPr>
        <w:ind w:start="180pt" w:hanging="18pt"/>
      </w:pPr>
      <w:rPr>
        <w:rFonts w:ascii="Courier New" w:hAnsi="Courier New"/>
      </w:rPr>
    </w:lvl>
    <w:lvl w:ilvl="5">
      <w:numFmt w:val="bullet"/>
      <w:lvlText w:val=""/>
      <w:lvlJc w:val="start"/>
      <w:pPr>
        <w:ind w:start="216pt" w:hanging="18pt"/>
      </w:pPr>
      <w:rPr>
        <w:rFonts w:ascii="Wingdings" w:hAnsi="Wingdings"/>
      </w:rPr>
    </w:lvl>
    <w:lvl w:ilvl="6">
      <w:numFmt w:val="bullet"/>
      <w:lvlText w:val=""/>
      <w:lvlJc w:val="start"/>
      <w:pPr>
        <w:ind w:start="252pt" w:hanging="18pt"/>
      </w:pPr>
      <w:rPr>
        <w:rFonts w:ascii="Symbol" w:hAnsi="Symbol"/>
      </w:rPr>
    </w:lvl>
    <w:lvl w:ilvl="7">
      <w:numFmt w:val="bullet"/>
      <w:lvlText w:val="o"/>
      <w:lvlJc w:val="start"/>
      <w:pPr>
        <w:ind w:start="288pt" w:hanging="18pt"/>
      </w:pPr>
      <w:rPr>
        <w:rFonts w:ascii="Courier New" w:hAnsi="Courier New"/>
      </w:rPr>
    </w:lvl>
    <w:lvl w:ilvl="8">
      <w:numFmt w:val="bullet"/>
      <w:lvlText w:val=""/>
      <w:lvlJc w:val="start"/>
      <w:pPr>
        <w:ind w:start="324pt" w:hanging="18pt"/>
      </w:pPr>
      <w:rPr>
        <w:rFonts w:ascii="Wingdings" w:hAnsi="Wingdings"/>
      </w:rPr>
    </w:lvl>
  </w:abstractNum>
  <w:abstractNum w:abstractNumId="10" w15:restartNumberingAfterBreak="0">
    <w:nsid w:val="1F1B7AD5"/>
    <w:multiLevelType w:val="multilevel"/>
    <w:tmpl w:val="2C5E9F4E"/>
    <w:styleLink w:val="WWOutlineListStyle11"/>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11" w15:restartNumberingAfterBreak="0">
    <w:nsid w:val="2D5A1E33"/>
    <w:multiLevelType w:val="multilevel"/>
    <w:tmpl w:val="819CA9F6"/>
    <w:styleLink w:val="WWOutlineListStyle7"/>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12" w15:restartNumberingAfterBreak="0">
    <w:nsid w:val="3669100B"/>
    <w:multiLevelType w:val="multilevel"/>
    <w:tmpl w:val="381CDB40"/>
    <w:styleLink w:val="WWOutlineListStyle3"/>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13" w15:restartNumberingAfterBreak="0">
    <w:nsid w:val="3BC12C8D"/>
    <w:multiLevelType w:val="multilevel"/>
    <w:tmpl w:val="AA8C3806"/>
    <w:styleLink w:val="WWOutlineListStyle9"/>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14" w15:restartNumberingAfterBreak="0">
    <w:nsid w:val="401F3847"/>
    <w:multiLevelType w:val="multilevel"/>
    <w:tmpl w:val="77F08D50"/>
    <w:styleLink w:val="WWOutlineListStyle8"/>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15" w15:restartNumberingAfterBreak="0">
    <w:nsid w:val="40594E86"/>
    <w:multiLevelType w:val="multilevel"/>
    <w:tmpl w:val="5ACCB5E6"/>
    <w:styleLink w:val="WWOutlineListStyle1"/>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16" w15:restartNumberingAfterBreak="0">
    <w:nsid w:val="42562B99"/>
    <w:multiLevelType w:val="multilevel"/>
    <w:tmpl w:val="ACC8170E"/>
    <w:styleLink w:val="WWOutlineListStyle"/>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17" w15:restartNumberingAfterBreak="0">
    <w:nsid w:val="442E6ABD"/>
    <w:multiLevelType w:val="multilevel"/>
    <w:tmpl w:val="55C019AE"/>
    <w:styleLink w:val="WWOutlineListStyle12"/>
    <w:lvl w:ilvl="0">
      <w:start w:val="1"/>
      <w:numFmt w:val="decimal"/>
      <w:pStyle w:val="RedaliaTitre1"/>
      <w:lvlText w:val="%1."/>
      <w:lvlJc w:val="start"/>
      <w:pPr>
        <w:ind w:start="18pt" w:hanging="18pt"/>
      </w:pPr>
    </w:lvl>
    <w:lvl w:ilvl="1">
      <w:start w:val="1"/>
      <w:numFmt w:val="decimal"/>
      <w:pStyle w:val="RedaliaTitre2"/>
      <w:lvlText w:val="%1.%2"/>
      <w:lvlJc w:val="start"/>
      <w:pPr>
        <w:ind w:start="36pt" w:hanging="18pt"/>
      </w:pPr>
    </w:lvl>
    <w:lvl w:ilvl="2">
      <w:start w:val="1"/>
      <w:numFmt w:val="decimal"/>
      <w:pStyle w:val="RedaliaTitre3"/>
      <w:lvlText w:val="%1.%2.%3"/>
      <w:lvlJc w:val="start"/>
      <w:pPr>
        <w:ind w:start="54pt" w:hanging="18pt"/>
      </w:pPr>
    </w:lvl>
    <w:lvl w:ilvl="3">
      <w:start w:val="1"/>
      <w:numFmt w:val="none"/>
      <w:lvlText w:val="%4"/>
      <w:lvlJc w:val="start"/>
    </w:lvl>
    <w:lvl w:ilvl="4">
      <w:start w:val="1"/>
      <w:numFmt w:val="none"/>
      <w:lvlText w:val="%5"/>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18" w15:restartNumberingAfterBreak="0">
    <w:nsid w:val="478D2F68"/>
    <w:multiLevelType w:val="multilevel"/>
    <w:tmpl w:val="DDF82958"/>
    <w:styleLink w:val="LFO26"/>
    <w:lvl w:ilvl="0">
      <w:numFmt w:val="bullet"/>
      <w:pStyle w:val="RdaliaTableau"/>
      <w:lvlText w:val=""/>
      <w:lvlJc w:val="start"/>
      <w:pPr>
        <w:ind w:start="18pt" w:hanging="18pt"/>
      </w:pPr>
      <w:rPr>
        <w:rFonts w:ascii="Symbol" w:hAnsi="Symbol"/>
      </w:rPr>
    </w:lvl>
    <w:lvl w:ilvl="1">
      <w:start w:val="1"/>
      <w:numFmt w:val="decimal"/>
      <w:lvlText w:val="."/>
      <w:lvlJc w:val="start"/>
      <w:pPr>
        <w:ind w:start="54pt" w:hanging="18pt"/>
      </w:pPr>
    </w:lvl>
    <w:lvl w:ilvl="2">
      <w:start w:val="1"/>
      <w:numFmt w:val="decimal"/>
      <w:lvlText w:val="."/>
      <w:lvlJc w:val="start"/>
      <w:pPr>
        <w:ind w:start="72pt" w:hanging="18pt"/>
      </w:pPr>
    </w:lvl>
    <w:lvl w:ilvl="3">
      <w:start w:val="1"/>
      <w:numFmt w:val="decimal"/>
      <w:lvlText w:val="."/>
      <w:lvlJc w:val="start"/>
      <w:pPr>
        <w:ind w:start="90pt" w:hanging="18pt"/>
      </w:pPr>
    </w:lvl>
    <w:lvl w:ilvl="4">
      <w:start w:val="1"/>
      <w:numFmt w:val="decimal"/>
      <w:lvlText w:val="."/>
      <w:lvlJc w:val="start"/>
      <w:pPr>
        <w:ind w:start="108pt" w:hanging="18pt"/>
      </w:pPr>
    </w:lvl>
    <w:lvl w:ilvl="5">
      <w:start w:val="1"/>
      <w:numFmt w:val="decimal"/>
      <w:lvlText w:val="."/>
      <w:lvlJc w:val="start"/>
      <w:pPr>
        <w:ind w:start="126pt" w:hanging="18pt"/>
      </w:pPr>
    </w:lvl>
    <w:lvl w:ilvl="6">
      <w:start w:val="1"/>
      <w:numFmt w:val="decimal"/>
      <w:lvlText w:val="."/>
      <w:lvlJc w:val="start"/>
      <w:pPr>
        <w:ind w:start="144pt" w:hanging="18pt"/>
      </w:pPr>
    </w:lvl>
    <w:lvl w:ilvl="7">
      <w:start w:val="1"/>
      <w:numFmt w:val="decimal"/>
      <w:lvlText w:val="."/>
      <w:lvlJc w:val="start"/>
      <w:pPr>
        <w:ind w:start="162pt" w:hanging="18pt"/>
      </w:pPr>
    </w:lvl>
    <w:lvl w:ilvl="8">
      <w:start w:val="1"/>
      <w:numFmt w:val="decimal"/>
      <w:lvlText w:val="."/>
      <w:lvlJc w:val="start"/>
      <w:pPr>
        <w:ind w:start="180pt" w:hanging="18pt"/>
      </w:pPr>
    </w:lvl>
  </w:abstractNum>
  <w:abstractNum w:abstractNumId="19" w15:restartNumberingAfterBreak="0">
    <w:nsid w:val="4E717C14"/>
    <w:multiLevelType w:val="multilevel"/>
    <w:tmpl w:val="E1503842"/>
    <w:styleLink w:val="LFO23"/>
    <w:lvl w:ilvl="0">
      <w:numFmt w:val="bullet"/>
      <w:pStyle w:val="Chapitre2"/>
      <w:lvlText w:val=""/>
      <w:lvlJc w:val="start"/>
      <w:pPr>
        <w:ind w:start="36pt" w:hanging="18pt"/>
      </w:pPr>
      <w:rPr>
        <w:rFonts w:ascii="Symbol" w:hAnsi="Symbol" w:cs="Times New Roman"/>
      </w:rPr>
    </w:lvl>
    <w:lvl w:ilvl="1">
      <w:numFmt w:val="bullet"/>
      <w:lvlText w:val="o"/>
      <w:lvlJc w:val="start"/>
      <w:pPr>
        <w:ind w:start="72pt" w:hanging="18pt"/>
      </w:pPr>
      <w:rPr>
        <w:rFonts w:ascii="Courier New" w:hAnsi="Courier New" w:cs="Courier New"/>
      </w:rPr>
    </w:lvl>
    <w:lvl w:ilvl="2">
      <w:numFmt w:val="bullet"/>
      <w:lvlText w:val=""/>
      <w:lvlJc w:val="start"/>
      <w:pPr>
        <w:ind w:start="108pt" w:hanging="18pt"/>
      </w:pPr>
      <w:rPr>
        <w:rFonts w:ascii="Wingdings" w:hAnsi="Wingdings" w:cs="Times New Roman"/>
      </w:rPr>
    </w:lvl>
    <w:lvl w:ilvl="3">
      <w:numFmt w:val="bullet"/>
      <w:lvlText w:val=""/>
      <w:lvlJc w:val="start"/>
      <w:pPr>
        <w:ind w:start="144pt" w:hanging="18pt"/>
      </w:pPr>
      <w:rPr>
        <w:rFonts w:ascii="Symbol" w:hAnsi="Symbol" w:cs="Times New Roman"/>
      </w:rPr>
    </w:lvl>
    <w:lvl w:ilvl="4">
      <w:numFmt w:val="bullet"/>
      <w:lvlText w:val="o"/>
      <w:lvlJc w:val="start"/>
      <w:pPr>
        <w:ind w:start="180pt" w:hanging="18pt"/>
      </w:pPr>
      <w:rPr>
        <w:rFonts w:ascii="Courier New" w:hAnsi="Courier New" w:cs="Courier New"/>
      </w:rPr>
    </w:lvl>
    <w:lvl w:ilvl="5">
      <w:numFmt w:val="bullet"/>
      <w:lvlText w:val=""/>
      <w:lvlJc w:val="start"/>
      <w:pPr>
        <w:ind w:start="216pt" w:hanging="18pt"/>
      </w:pPr>
      <w:rPr>
        <w:rFonts w:ascii="Wingdings" w:hAnsi="Wingdings" w:cs="Times New Roman"/>
      </w:rPr>
    </w:lvl>
    <w:lvl w:ilvl="6">
      <w:numFmt w:val="bullet"/>
      <w:lvlText w:val=""/>
      <w:lvlJc w:val="start"/>
      <w:pPr>
        <w:ind w:start="252pt" w:hanging="18pt"/>
      </w:pPr>
      <w:rPr>
        <w:rFonts w:ascii="Symbol" w:hAnsi="Symbol" w:cs="Times New Roman"/>
      </w:rPr>
    </w:lvl>
    <w:lvl w:ilvl="7">
      <w:numFmt w:val="bullet"/>
      <w:lvlText w:val="o"/>
      <w:lvlJc w:val="start"/>
      <w:pPr>
        <w:ind w:start="288pt" w:hanging="18pt"/>
      </w:pPr>
      <w:rPr>
        <w:rFonts w:ascii="Courier New" w:hAnsi="Courier New" w:cs="Courier New"/>
      </w:rPr>
    </w:lvl>
    <w:lvl w:ilvl="8">
      <w:numFmt w:val="bullet"/>
      <w:lvlText w:val=""/>
      <w:lvlJc w:val="start"/>
      <w:pPr>
        <w:ind w:start="324pt" w:hanging="18pt"/>
      </w:pPr>
      <w:rPr>
        <w:rFonts w:ascii="Wingdings" w:hAnsi="Wingdings" w:cs="Times New Roman"/>
      </w:rPr>
    </w:lvl>
  </w:abstractNum>
  <w:abstractNum w:abstractNumId="20" w15:restartNumberingAfterBreak="0">
    <w:nsid w:val="528F7696"/>
    <w:multiLevelType w:val="multilevel"/>
    <w:tmpl w:val="7AA8ECCE"/>
    <w:styleLink w:val="LFO22"/>
    <w:lvl w:ilvl="0">
      <w:numFmt w:val="bullet"/>
      <w:pStyle w:val="StyleAvecPuceGras"/>
      <w:lvlText w:val="•"/>
      <w:lvlJc w:val="start"/>
      <w:pPr>
        <w:ind w:start="14.20pt" w:hanging="5.70pt"/>
      </w:pPr>
      <w:rPr>
        <w:rFonts w:ascii="OpenSymbol" w:eastAsia="OpenSymbol" w:hAnsi="OpenSymbol" w:cs="OpenSymbol"/>
      </w:rPr>
    </w:lvl>
    <w:lvl w:ilvl="1">
      <w:numFmt w:val="bullet"/>
      <w:lvlText w:val="•"/>
      <w:lvlJc w:val="start"/>
      <w:pPr>
        <w:ind w:start="72pt" w:hanging="18pt"/>
      </w:pPr>
      <w:rPr>
        <w:rFonts w:ascii="OpenSymbol" w:eastAsia="OpenSymbol" w:hAnsi="OpenSymbol" w:cs="OpenSymbol"/>
      </w:rPr>
    </w:lvl>
    <w:lvl w:ilvl="2">
      <w:numFmt w:val="bullet"/>
      <w:lvlText w:val="•"/>
      <w:lvlJc w:val="start"/>
      <w:pPr>
        <w:ind w:start="108pt" w:hanging="18pt"/>
      </w:pPr>
      <w:rPr>
        <w:rFonts w:ascii="OpenSymbol" w:eastAsia="OpenSymbol" w:hAnsi="OpenSymbol" w:cs="OpenSymbol"/>
      </w:rPr>
    </w:lvl>
    <w:lvl w:ilvl="3">
      <w:numFmt w:val="bullet"/>
      <w:lvlText w:val="•"/>
      <w:lvlJc w:val="start"/>
      <w:pPr>
        <w:ind w:start="144pt" w:hanging="18pt"/>
      </w:pPr>
      <w:rPr>
        <w:rFonts w:ascii="OpenSymbol" w:eastAsia="OpenSymbol" w:hAnsi="OpenSymbol" w:cs="OpenSymbol"/>
      </w:rPr>
    </w:lvl>
    <w:lvl w:ilvl="4">
      <w:numFmt w:val="bullet"/>
      <w:lvlText w:val="•"/>
      <w:lvlJc w:val="start"/>
      <w:pPr>
        <w:ind w:start="180pt" w:hanging="18pt"/>
      </w:pPr>
      <w:rPr>
        <w:rFonts w:ascii="OpenSymbol" w:eastAsia="OpenSymbol" w:hAnsi="OpenSymbol" w:cs="OpenSymbol"/>
      </w:rPr>
    </w:lvl>
    <w:lvl w:ilvl="5">
      <w:numFmt w:val="bullet"/>
      <w:lvlText w:val="•"/>
      <w:lvlJc w:val="start"/>
      <w:pPr>
        <w:ind w:start="216pt" w:hanging="18pt"/>
      </w:pPr>
      <w:rPr>
        <w:rFonts w:ascii="OpenSymbol" w:eastAsia="OpenSymbol" w:hAnsi="OpenSymbol" w:cs="OpenSymbol"/>
      </w:rPr>
    </w:lvl>
    <w:lvl w:ilvl="6">
      <w:numFmt w:val="bullet"/>
      <w:lvlText w:val="•"/>
      <w:lvlJc w:val="start"/>
      <w:pPr>
        <w:ind w:start="252pt" w:hanging="18pt"/>
      </w:pPr>
      <w:rPr>
        <w:rFonts w:ascii="OpenSymbol" w:eastAsia="OpenSymbol" w:hAnsi="OpenSymbol" w:cs="OpenSymbol"/>
      </w:rPr>
    </w:lvl>
    <w:lvl w:ilvl="7">
      <w:numFmt w:val="bullet"/>
      <w:lvlText w:val="•"/>
      <w:lvlJc w:val="start"/>
      <w:pPr>
        <w:ind w:start="288pt" w:hanging="18pt"/>
      </w:pPr>
      <w:rPr>
        <w:rFonts w:ascii="OpenSymbol" w:eastAsia="OpenSymbol" w:hAnsi="OpenSymbol" w:cs="OpenSymbol"/>
      </w:rPr>
    </w:lvl>
    <w:lvl w:ilvl="8">
      <w:numFmt w:val="bullet"/>
      <w:lvlText w:val="•"/>
      <w:lvlJc w:val="start"/>
      <w:pPr>
        <w:ind w:start="324pt" w:hanging="18pt"/>
      </w:pPr>
      <w:rPr>
        <w:rFonts w:ascii="OpenSymbol" w:eastAsia="OpenSymbol" w:hAnsi="OpenSymbol" w:cs="OpenSymbol"/>
      </w:rPr>
    </w:lvl>
  </w:abstractNum>
  <w:abstractNum w:abstractNumId="21" w15:restartNumberingAfterBreak="0">
    <w:nsid w:val="54592896"/>
    <w:multiLevelType w:val="multilevel"/>
    <w:tmpl w:val="7D942E54"/>
    <w:styleLink w:val="WWOutlineListStyle5"/>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22" w15:restartNumberingAfterBreak="0">
    <w:nsid w:val="566E0CB2"/>
    <w:multiLevelType w:val="multilevel"/>
    <w:tmpl w:val="8CF6616C"/>
    <w:styleLink w:val="WWOutlineListStyle4"/>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23" w15:restartNumberingAfterBreak="0">
    <w:nsid w:val="571A382F"/>
    <w:multiLevelType w:val="multilevel"/>
    <w:tmpl w:val="3D58A726"/>
    <w:styleLink w:val="LFO24"/>
    <w:lvl w:ilvl="0">
      <w:numFmt w:val="bullet"/>
      <w:pStyle w:val="Elmentrecens"/>
      <w:lvlText w:val="-"/>
      <w:lvlJc w:val="start"/>
      <w:pPr>
        <w:ind w:start="36pt" w:hanging="18pt"/>
      </w:pPr>
      <w:rPr>
        <w:rFonts w:ascii="Times New Roman" w:hAnsi="Times New Roman"/>
      </w:rPr>
    </w:lvl>
    <w:lvl w:ilvl="1">
      <w:numFmt w:val="bullet"/>
      <w:lvlText w:val="o"/>
      <w:lvlJc w:val="start"/>
      <w:pPr>
        <w:ind w:start="72pt" w:hanging="18pt"/>
      </w:pPr>
      <w:rPr>
        <w:rFonts w:ascii="Courier New" w:hAnsi="Courier New"/>
      </w:rPr>
    </w:lvl>
    <w:lvl w:ilvl="2">
      <w:numFmt w:val="bullet"/>
      <w:lvlText w:val=""/>
      <w:lvlJc w:val="start"/>
      <w:pPr>
        <w:ind w:start="108pt" w:hanging="18pt"/>
      </w:pPr>
      <w:rPr>
        <w:rFonts w:ascii="Wingdings" w:hAnsi="Wingdings"/>
      </w:rPr>
    </w:lvl>
    <w:lvl w:ilvl="3">
      <w:numFmt w:val="bullet"/>
      <w:lvlText w:val=""/>
      <w:lvlJc w:val="start"/>
      <w:pPr>
        <w:ind w:start="144pt" w:hanging="18pt"/>
      </w:pPr>
      <w:rPr>
        <w:rFonts w:ascii="Symbol" w:hAnsi="Symbol"/>
      </w:rPr>
    </w:lvl>
    <w:lvl w:ilvl="4">
      <w:numFmt w:val="bullet"/>
      <w:lvlText w:val="o"/>
      <w:lvlJc w:val="start"/>
      <w:pPr>
        <w:ind w:start="180pt" w:hanging="18pt"/>
      </w:pPr>
      <w:rPr>
        <w:rFonts w:ascii="Courier New" w:hAnsi="Courier New"/>
      </w:rPr>
    </w:lvl>
    <w:lvl w:ilvl="5">
      <w:numFmt w:val="bullet"/>
      <w:lvlText w:val=""/>
      <w:lvlJc w:val="start"/>
      <w:pPr>
        <w:ind w:start="216pt" w:hanging="18pt"/>
      </w:pPr>
      <w:rPr>
        <w:rFonts w:ascii="Wingdings" w:hAnsi="Wingdings"/>
      </w:rPr>
    </w:lvl>
    <w:lvl w:ilvl="6">
      <w:numFmt w:val="bullet"/>
      <w:lvlText w:val=""/>
      <w:lvlJc w:val="start"/>
      <w:pPr>
        <w:ind w:start="252pt" w:hanging="18pt"/>
      </w:pPr>
      <w:rPr>
        <w:rFonts w:ascii="Symbol" w:hAnsi="Symbol"/>
      </w:rPr>
    </w:lvl>
    <w:lvl w:ilvl="7">
      <w:numFmt w:val="bullet"/>
      <w:lvlText w:val="o"/>
      <w:lvlJc w:val="start"/>
      <w:pPr>
        <w:ind w:start="288pt" w:hanging="18pt"/>
      </w:pPr>
      <w:rPr>
        <w:rFonts w:ascii="Courier New" w:hAnsi="Courier New"/>
      </w:rPr>
    </w:lvl>
    <w:lvl w:ilvl="8">
      <w:numFmt w:val="bullet"/>
      <w:lvlText w:val=""/>
      <w:lvlJc w:val="start"/>
      <w:pPr>
        <w:ind w:start="324pt" w:hanging="18pt"/>
      </w:pPr>
      <w:rPr>
        <w:rFonts w:ascii="Wingdings" w:hAnsi="Wingdings"/>
      </w:rPr>
    </w:lvl>
  </w:abstractNum>
  <w:abstractNum w:abstractNumId="24" w15:restartNumberingAfterBreak="0">
    <w:nsid w:val="573713ED"/>
    <w:multiLevelType w:val="multilevel"/>
    <w:tmpl w:val="5D9A6238"/>
    <w:styleLink w:val="LFO5"/>
    <w:lvl w:ilvl="0">
      <w:numFmt w:val="bullet"/>
      <w:lvlText w:val=""/>
      <w:lvlJc w:val="start"/>
      <w:pPr>
        <w:ind w:start="53pt" w:hanging="18pt"/>
      </w:pPr>
      <w:rPr>
        <w:rFonts w:ascii="Symbol" w:hAnsi="Symbol"/>
        <w:color w:val="auto"/>
      </w:rPr>
    </w:lvl>
    <w:lvl w:ilvl="1">
      <w:numFmt w:val="bullet"/>
      <w:lvlText w:val="o"/>
      <w:lvlJc w:val="start"/>
      <w:pPr>
        <w:ind w:start="72pt" w:hanging="18pt"/>
      </w:pPr>
      <w:rPr>
        <w:rFonts w:ascii="Courier New" w:hAnsi="Courier New"/>
      </w:rPr>
    </w:lvl>
    <w:lvl w:ilvl="2">
      <w:numFmt w:val="bullet"/>
      <w:lvlText w:val=""/>
      <w:lvlJc w:val="start"/>
      <w:pPr>
        <w:ind w:start="108pt" w:hanging="18pt"/>
      </w:pPr>
      <w:rPr>
        <w:rFonts w:ascii="Wingdings" w:hAnsi="Wingdings"/>
      </w:rPr>
    </w:lvl>
    <w:lvl w:ilvl="3">
      <w:numFmt w:val="bullet"/>
      <w:lvlText w:val=""/>
      <w:lvlJc w:val="start"/>
      <w:pPr>
        <w:ind w:start="144pt" w:hanging="18pt"/>
      </w:pPr>
      <w:rPr>
        <w:rFonts w:ascii="Symbol" w:hAnsi="Symbol"/>
      </w:rPr>
    </w:lvl>
    <w:lvl w:ilvl="4">
      <w:numFmt w:val="bullet"/>
      <w:lvlText w:val="o"/>
      <w:lvlJc w:val="start"/>
      <w:pPr>
        <w:ind w:start="180pt" w:hanging="18pt"/>
      </w:pPr>
      <w:rPr>
        <w:rFonts w:ascii="Courier New" w:hAnsi="Courier New"/>
      </w:rPr>
    </w:lvl>
    <w:lvl w:ilvl="5">
      <w:numFmt w:val="bullet"/>
      <w:lvlText w:val=""/>
      <w:lvlJc w:val="start"/>
      <w:pPr>
        <w:ind w:start="216pt" w:hanging="18pt"/>
      </w:pPr>
      <w:rPr>
        <w:rFonts w:ascii="Wingdings" w:hAnsi="Wingdings"/>
      </w:rPr>
    </w:lvl>
    <w:lvl w:ilvl="6">
      <w:numFmt w:val="bullet"/>
      <w:lvlText w:val=""/>
      <w:lvlJc w:val="start"/>
      <w:pPr>
        <w:ind w:start="252pt" w:hanging="18pt"/>
      </w:pPr>
      <w:rPr>
        <w:rFonts w:ascii="Symbol" w:hAnsi="Symbol"/>
      </w:rPr>
    </w:lvl>
    <w:lvl w:ilvl="7">
      <w:numFmt w:val="bullet"/>
      <w:lvlText w:val="o"/>
      <w:lvlJc w:val="start"/>
      <w:pPr>
        <w:ind w:start="288pt" w:hanging="18pt"/>
      </w:pPr>
      <w:rPr>
        <w:rFonts w:ascii="Courier New" w:hAnsi="Courier New"/>
      </w:rPr>
    </w:lvl>
    <w:lvl w:ilvl="8">
      <w:numFmt w:val="bullet"/>
      <w:lvlText w:val=""/>
      <w:lvlJc w:val="start"/>
      <w:pPr>
        <w:ind w:start="324pt" w:hanging="18pt"/>
      </w:pPr>
      <w:rPr>
        <w:rFonts w:ascii="Wingdings" w:hAnsi="Wingdings"/>
      </w:rPr>
    </w:lvl>
  </w:abstractNum>
  <w:abstractNum w:abstractNumId="25" w15:restartNumberingAfterBreak="0">
    <w:nsid w:val="62094470"/>
    <w:multiLevelType w:val="multilevel"/>
    <w:tmpl w:val="5CF48B04"/>
    <w:styleLink w:val="LFO1"/>
    <w:lvl w:ilvl="0">
      <w:numFmt w:val="bullet"/>
      <w:lvlText w:val=""/>
      <w:lvlJc w:val="start"/>
      <w:pPr>
        <w:ind w:start="18pt" w:hanging="18pt"/>
      </w:pPr>
      <w:rPr>
        <w:rFonts w:ascii="Symbol" w:hAnsi="Symbol"/>
        <w:color w:val="auto"/>
      </w:rPr>
    </w:lvl>
    <w:lvl w:ilvl="1">
      <w:start w:val="1"/>
      <w:numFmt w:val="decimal"/>
      <w:lvlText w:val="."/>
      <w:lvlJc w:val="start"/>
      <w:pPr>
        <w:ind w:start="54pt" w:hanging="18pt"/>
      </w:pPr>
    </w:lvl>
    <w:lvl w:ilvl="2">
      <w:start w:val="1"/>
      <w:numFmt w:val="decimal"/>
      <w:lvlText w:val="."/>
      <w:lvlJc w:val="start"/>
      <w:pPr>
        <w:ind w:start="72pt" w:hanging="18pt"/>
      </w:pPr>
    </w:lvl>
    <w:lvl w:ilvl="3">
      <w:start w:val="1"/>
      <w:numFmt w:val="decimal"/>
      <w:lvlText w:val="."/>
      <w:lvlJc w:val="start"/>
      <w:pPr>
        <w:ind w:start="90pt" w:hanging="18pt"/>
      </w:pPr>
    </w:lvl>
    <w:lvl w:ilvl="4">
      <w:start w:val="1"/>
      <w:numFmt w:val="decimal"/>
      <w:lvlText w:val="."/>
      <w:lvlJc w:val="start"/>
      <w:pPr>
        <w:ind w:start="108pt" w:hanging="18pt"/>
      </w:pPr>
    </w:lvl>
    <w:lvl w:ilvl="5">
      <w:start w:val="1"/>
      <w:numFmt w:val="decimal"/>
      <w:lvlText w:val="."/>
      <w:lvlJc w:val="start"/>
      <w:pPr>
        <w:ind w:start="126pt" w:hanging="18pt"/>
      </w:pPr>
    </w:lvl>
    <w:lvl w:ilvl="6">
      <w:start w:val="1"/>
      <w:numFmt w:val="decimal"/>
      <w:lvlText w:val="."/>
      <w:lvlJc w:val="start"/>
      <w:pPr>
        <w:ind w:start="144pt" w:hanging="18pt"/>
      </w:pPr>
    </w:lvl>
    <w:lvl w:ilvl="7">
      <w:start w:val="1"/>
      <w:numFmt w:val="decimal"/>
      <w:lvlText w:val="."/>
      <w:lvlJc w:val="start"/>
      <w:pPr>
        <w:ind w:start="162pt" w:hanging="18pt"/>
      </w:pPr>
    </w:lvl>
    <w:lvl w:ilvl="8">
      <w:start w:val="1"/>
      <w:numFmt w:val="decimal"/>
      <w:lvlText w:val="."/>
      <w:lvlJc w:val="start"/>
      <w:pPr>
        <w:ind w:start="180pt" w:hanging="18pt"/>
      </w:pPr>
    </w:lvl>
  </w:abstractNum>
  <w:abstractNum w:abstractNumId="26" w15:restartNumberingAfterBreak="0">
    <w:nsid w:val="622C0807"/>
    <w:multiLevelType w:val="multilevel"/>
    <w:tmpl w:val="55F61CB2"/>
    <w:styleLink w:val="LFO28"/>
    <w:lvl w:ilvl="0">
      <w:start w:val="1"/>
      <w:numFmt w:val="decimal"/>
      <w:lvlText w:val="%1."/>
      <w:lvlJc w:val="start"/>
      <w:pPr>
        <w:ind w:start="18pt" w:hanging="18pt"/>
      </w:pPr>
      <w:rPr>
        <w:rFonts w:cs="Times New Roman"/>
      </w:rPr>
    </w:lvl>
    <w:lvl w:ilvl="1">
      <w:start w:val="1"/>
      <w:numFmt w:val="lowerLetter"/>
      <w:lvlText w:val="."/>
      <w:lvlJc w:val="start"/>
      <w:pPr>
        <w:ind w:start="72pt" w:hanging="18pt"/>
      </w:pPr>
      <w:rPr>
        <w:rFonts w:cs="Times New Roman"/>
      </w:rPr>
    </w:lvl>
    <w:lvl w:ilvl="2">
      <w:start w:val="1"/>
      <w:numFmt w:val="lowerRoman"/>
      <w:lvlText w:val="."/>
      <w:lvlJc w:val="end"/>
      <w:pPr>
        <w:ind w:start="108pt" w:hanging="9pt"/>
      </w:pPr>
      <w:rPr>
        <w:rFonts w:cs="Times New Roman"/>
      </w:rPr>
    </w:lvl>
    <w:lvl w:ilvl="3">
      <w:start w:val="1"/>
      <w:numFmt w:val="decimal"/>
      <w:lvlText w:val="."/>
      <w:lvlJc w:val="start"/>
      <w:pPr>
        <w:ind w:start="144pt" w:hanging="18pt"/>
      </w:pPr>
      <w:rPr>
        <w:rFonts w:cs="Times New Roman"/>
      </w:rPr>
    </w:lvl>
    <w:lvl w:ilvl="4">
      <w:start w:val="1"/>
      <w:numFmt w:val="lowerLetter"/>
      <w:lvlText w:val="."/>
      <w:lvlJc w:val="start"/>
      <w:pPr>
        <w:ind w:start="180pt" w:hanging="18pt"/>
      </w:pPr>
      <w:rPr>
        <w:rFonts w:cs="Times New Roman"/>
      </w:rPr>
    </w:lvl>
    <w:lvl w:ilvl="5">
      <w:start w:val="1"/>
      <w:numFmt w:val="lowerRoman"/>
      <w:lvlText w:val="."/>
      <w:lvlJc w:val="end"/>
      <w:pPr>
        <w:ind w:start="216pt" w:hanging="9pt"/>
      </w:pPr>
      <w:rPr>
        <w:rFonts w:cs="Times New Roman"/>
      </w:rPr>
    </w:lvl>
    <w:lvl w:ilvl="6">
      <w:start w:val="1"/>
      <w:numFmt w:val="decimal"/>
      <w:lvlText w:val="."/>
      <w:lvlJc w:val="start"/>
      <w:pPr>
        <w:ind w:start="252pt" w:hanging="18pt"/>
      </w:pPr>
      <w:rPr>
        <w:rFonts w:cs="Times New Roman"/>
      </w:rPr>
    </w:lvl>
    <w:lvl w:ilvl="7">
      <w:start w:val="1"/>
      <w:numFmt w:val="lowerLetter"/>
      <w:lvlText w:val="."/>
      <w:lvlJc w:val="start"/>
      <w:pPr>
        <w:ind w:start="288pt" w:hanging="18pt"/>
      </w:pPr>
      <w:rPr>
        <w:rFonts w:cs="Times New Roman"/>
      </w:rPr>
    </w:lvl>
    <w:lvl w:ilvl="8">
      <w:start w:val="1"/>
      <w:numFmt w:val="lowerRoman"/>
      <w:lvlText w:val="."/>
      <w:lvlJc w:val="end"/>
      <w:pPr>
        <w:ind w:start="324pt" w:hanging="9pt"/>
      </w:pPr>
      <w:rPr>
        <w:rFonts w:cs="Times New Roman"/>
      </w:rPr>
    </w:lvl>
  </w:abstractNum>
  <w:abstractNum w:abstractNumId="27" w15:restartNumberingAfterBreak="0">
    <w:nsid w:val="671D1112"/>
    <w:multiLevelType w:val="multilevel"/>
    <w:tmpl w:val="0CFA2104"/>
    <w:styleLink w:val="LFO35"/>
    <w:lvl w:ilvl="0">
      <w:start w:val="1"/>
      <w:numFmt w:val="upperLetter"/>
      <w:pStyle w:val="LIAParagrapheA"/>
      <w:lvlText w:val="%1."/>
      <w:lvlJc w:val="start"/>
      <w:pPr>
        <w:ind w:start="36pt" w:hanging="18pt"/>
      </w:pPr>
    </w:lvl>
    <w:lvl w:ilvl="1">
      <w:start w:val="1"/>
      <w:numFmt w:val="lowerLetter"/>
      <w:lvlText w:val="."/>
      <w:lvlJc w:val="start"/>
      <w:pPr>
        <w:ind w:start="72pt" w:hanging="18pt"/>
      </w:pPr>
    </w:lvl>
    <w:lvl w:ilvl="2">
      <w:start w:val="1"/>
      <w:numFmt w:val="lowerRoman"/>
      <w:lvlText w:val="."/>
      <w:lvlJc w:val="end"/>
      <w:pPr>
        <w:ind w:start="108pt" w:hanging="9pt"/>
      </w:pPr>
    </w:lvl>
    <w:lvl w:ilvl="3">
      <w:start w:val="1"/>
      <w:numFmt w:val="decimal"/>
      <w:lvlText w:val="."/>
      <w:lvlJc w:val="start"/>
      <w:pPr>
        <w:ind w:start="144pt" w:hanging="18pt"/>
      </w:pPr>
    </w:lvl>
    <w:lvl w:ilvl="4">
      <w:start w:val="1"/>
      <w:numFmt w:val="lowerLetter"/>
      <w:lvlText w:val="."/>
      <w:lvlJc w:val="start"/>
      <w:pPr>
        <w:ind w:start="180pt" w:hanging="18pt"/>
      </w:pPr>
    </w:lvl>
    <w:lvl w:ilvl="5">
      <w:start w:val="1"/>
      <w:numFmt w:val="lowerRoman"/>
      <w:lvlText w:val="."/>
      <w:lvlJc w:val="end"/>
      <w:pPr>
        <w:ind w:start="216pt" w:hanging="9pt"/>
      </w:pPr>
    </w:lvl>
    <w:lvl w:ilvl="6">
      <w:start w:val="1"/>
      <w:numFmt w:val="decimal"/>
      <w:lvlText w:val="."/>
      <w:lvlJc w:val="start"/>
      <w:pPr>
        <w:ind w:start="252pt" w:hanging="18pt"/>
      </w:pPr>
    </w:lvl>
    <w:lvl w:ilvl="7">
      <w:start w:val="1"/>
      <w:numFmt w:val="lowerLetter"/>
      <w:lvlText w:val="."/>
      <w:lvlJc w:val="start"/>
      <w:pPr>
        <w:ind w:start="288pt" w:hanging="18pt"/>
      </w:pPr>
    </w:lvl>
    <w:lvl w:ilvl="8">
      <w:start w:val="1"/>
      <w:numFmt w:val="lowerRoman"/>
      <w:lvlText w:val="."/>
      <w:lvlJc w:val="end"/>
      <w:pPr>
        <w:ind w:start="324pt" w:hanging="9pt"/>
      </w:pPr>
    </w:lvl>
  </w:abstractNum>
  <w:abstractNum w:abstractNumId="28" w15:restartNumberingAfterBreak="0">
    <w:nsid w:val="71CD0D9C"/>
    <w:multiLevelType w:val="multilevel"/>
    <w:tmpl w:val="78282094"/>
    <w:styleLink w:val="LFO25"/>
    <w:lvl w:ilvl="0">
      <w:numFmt w:val="bullet"/>
      <w:pStyle w:val="RdaliaRetraitniveau2"/>
      <w:lvlText w:val=""/>
      <w:lvlJc w:val="start"/>
      <w:pPr>
        <w:ind w:start="53pt" w:hanging="18pt"/>
      </w:pPr>
      <w:rPr>
        <w:rFonts w:ascii="Symbol" w:hAnsi="Symbol"/>
        <w:color w:val="auto"/>
      </w:rPr>
    </w:lvl>
    <w:lvl w:ilvl="1">
      <w:numFmt w:val="bullet"/>
      <w:lvlText w:val="o"/>
      <w:lvlJc w:val="start"/>
      <w:pPr>
        <w:ind w:start="72pt" w:hanging="18pt"/>
      </w:pPr>
      <w:rPr>
        <w:rFonts w:ascii="Courier New" w:hAnsi="Courier New"/>
      </w:rPr>
    </w:lvl>
    <w:lvl w:ilvl="2">
      <w:numFmt w:val="bullet"/>
      <w:lvlText w:val=""/>
      <w:lvlJc w:val="start"/>
      <w:pPr>
        <w:ind w:start="108pt" w:hanging="18pt"/>
      </w:pPr>
      <w:rPr>
        <w:rFonts w:ascii="Wingdings" w:hAnsi="Wingdings"/>
      </w:rPr>
    </w:lvl>
    <w:lvl w:ilvl="3">
      <w:numFmt w:val="bullet"/>
      <w:lvlText w:val=""/>
      <w:lvlJc w:val="start"/>
      <w:pPr>
        <w:ind w:start="144pt" w:hanging="18pt"/>
      </w:pPr>
      <w:rPr>
        <w:rFonts w:ascii="Symbol" w:hAnsi="Symbol"/>
      </w:rPr>
    </w:lvl>
    <w:lvl w:ilvl="4">
      <w:numFmt w:val="bullet"/>
      <w:lvlText w:val="o"/>
      <w:lvlJc w:val="start"/>
      <w:pPr>
        <w:ind w:start="180pt" w:hanging="18pt"/>
      </w:pPr>
      <w:rPr>
        <w:rFonts w:ascii="Courier New" w:hAnsi="Courier New"/>
      </w:rPr>
    </w:lvl>
    <w:lvl w:ilvl="5">
      <w:numFmt w:val="bullet"/>
      <w:lvlText w:val=""/>
      <w:lvlJc w:val="start"/>
      <w:pPr>
        <w:ind w:start="216pt" w:hanging="18pt"/>
      </w:pPr>
      <w:rPr>
        <w:rFonts w:ascii="Wingdings" w:hAnsi="Wingdings"/>
      </w:rPr>
    </w:lvl>
    <w:lvl w:ilvl="6">
      <w:numFmt w:val="bullet"/>
      <w:lvlText w:val=""/>
      <w:lvlJc w:val="start"/>
      <w:pPr>
        <w:ind w:start="252pt" w:hanging="18pt"/>
      </w:pPr>
      <w:rPr>
        <w:rFonts w:ascii="Symbol" w:hAnsi="Symbol"/>
      </w:rPr>
    </w:lvl>
    <w:lvl w:ilvl="7">
      <w:numFmt w:val="bullet"/>
      <w:lvlText w:val="o"/>
      <w:lvlJc w:val="start"/>
      <w:pPr>
        <w:ind w:start="288pt" w:hanging="18pt"/>
      </w:pPr>
      <w:rPr>
        <w:rFonts w:ascii="Courier New" w:hAnsi="Courier New"/>
      </w:rPr>
    </w:lvl>
    <w:lvl w:ilvl="8">
      <w:numFmt w:val="bullet"/>
      <w:lvlText w:val=""/>
      <w:lvlJc w:val="start"/>
      <w:pPr>
        <w:ind w:start="324pt" w:hanging="18pt"/>
      </w:pPr>
      <w:rPr>
        <w:rFonts w:ascii="Wingdings" w:hAnsi="Wingdings"/>
      </w:rPr>
    </w:lvl>
  </w:abstractNum>
  <w:abstractNum w:abstractNumId="29" w15:restartNumberingAfterBreak="0">
    <w:nsid w:val="770B2257"/>
    <w:multiLevelType w:val="multilevel"/>
    <w:tmpl w:val="4DA62C16"/>
    <w:lvl w:ilvl="0">
      <w:start w:val="2"/>
      <w:numFmt w:val="decimal"/>
      <w:lvlText w:val="%1."/>
      <w:lvlJc w:val="start"/>
      <w:pPr>
        <w:ind w:start="18pt" w:hanging="18pt"/>
      </w:pPr>
    </w:lvl>
    <w:lvl w:ilvl="1">
      <w:start w:val="1"/>
      <w:numFmt w:val="decimal"/>
      <w:lvlText w:val="%1.%2."/>
      <w:lvlJc w:val="start"/>
      <w:pPr>
        <w:ind w:start="36pt" w:hanging="36pt"/>
      </w:pPr>
    </w:lvl>
    <w:lvl w:ilvl="2">
      <w:start w:val="1"/>
      <w:numFmt w:val="decimal"/>
      <w:lvlText w:val="%1.%2.%3."/>
      <w:lvlJc w:val="start"/>
      <w:pPr>
        <w:ind w:start="36pt" w:hanging="36pt"/>
      </w:pPr>
    </w:lvl>
    <w:lvl w:ilvl="3">
      <w:start w:val="1"/>
      <w:numFmt w:val="decimal"/>
      <w:lvlText w:val="%1.%2.%3.%4."/>
      <w:lvlJc w:val="start"/>
      <w:pPr>
        <w:ind w:start="54pt" w:hanging="54pt"/>
      </w:pPr>
    </w:lvl>
    <w:lvl w:ilvl="4">
      <w:start w:val="1"/>
      <w:numFmt w:val="decimal"/>
      <w:lvlText w:val="%1.%2.%3.%4.%5."/>
      <w:lvlJc w:val="start"/>
      <w:pPr>
        <w:ind w:start="54pt" w:hanging="54pt"/>
      </w:pPr>
    </w:lvl>
    <w:lvl w:ilvl="5">
      <w:start w:val="1"/>
      <w:numFmt w:val="decimal"/>
      <w:lvlText w:val="%1.%2.%3.%4.%5.%6."/>
      <w:lvlJc w:val="start"/>
      <w:pPr>
        <w:ind w:start="72pt" w:hanging="72pt"/>
      </w:pPr>
    </w:lvl>
    <w:lvl w:ilvl="6">
      <w:start w:val="1"/>
      <w:numFmt w:val="decimal"/>
      <w:lvlText w:val="%1.%2.%3.%4.%5.%6.%7."/>
      <w:lvlJc w:val="start"/>
      <w:pPr>
        <w:ind w:start="72pt" w:hanging="72pt"/>
      </w:pPr>
    </w:lvl>
    <w:lvl w:ilvl="7">
      <w:start w:val="1"/>
      <w:numFmt w:val="decimal"/>
      <w:lvlText w:val="%1.%2.%3.%4.%5.%6.%7.%8."/>
      <w:lvlJc w:val="start"/>
      <w:pPr>
        <w:ind w:start="90pt" w:hanging="90pt"/>
      </w:pPr>
    </w:lvl>
    <w:lvl w:ilvl="8">
      <w:start w:val="1"/>
      <w:numFmt w:val="decimal"/>
      <w:lvlText w:val="%1.%2.%3.%4.%5.%6.%7.%8.%9."/>
      <w:lvlJc w:val="start"/>
      <w:pPr>
        <w:ind w:start="90pt" w:hanging="90pt"/>
      </w:pPr>
    </w:lvl>
  </w:abstractNum>
  <w:abstractNum w:abstractNumId="30" w15:restartNumberingAfterBreak="0">
    <w:nsid w:val="7960286C"/>
    <w:multiLevelType w:val="multilevel"/>
    <w:tmpl w:val="C9405174"/>
    <w:styleLink w:val="Outline"/>
    <w:lvl w:ilvl="0">
      <w:start w:val="1"/>
      <w:numFmt w:val="decimal"/>
      <w:lvlText w:val="%1."/>
      <w:lvlJc w:val="start"/>
      <w:pPr>
        <w:ind w:start="18pt" w:hanging="18pt"/>
      </w:pPr>
    </w:lvl>
    <w:lvl w:ilvl="1">
      <w:start w:val="1"/>
      <w:numFmt w:val="decimal"/>
      <w:lvlText w:val="%1.%2"/>
      <w:lvlJc w:val="start"/>
      <w:pPr>
        <w:ind w:start="36pt" w:hanging="18pt"/>
      </w:pPr>
    </w:lvl>
    <w:lvl w:ilvl="2">
      <w:start w:val="1"/>
      <w:numFmt w:val="decimal"/>
      <w:lvlText w:val="%1.%2.%3"/>
      <w:lvlJc w:val="start"/>
      <w:pPr>
        <w:ind w:start="54pt" w:hanging="18pt"/>
      </w:pPr>
    </w:lvl>
    <w:lvl w:ilvl="3">
      <w:start w:val="1"/>
      <w:numFmt w:val="none"/>
      <w:lvlText w:val=""/>
      <w:lvlJc w:val="start"/>
    </w:lvl>
    <w:lvl w:ilvl="4">
      <w:start w:val="1"/>
      <w:numFmt w:val="none"/>
      <w:lvlText w:val=""/>
      <w:lvlJc w:val="start"/>
    </w:lvl>
    <w:lvl w:ilvl="5">
      <w:start w:val="1"/>
      <w:numFmt w:val="none"/>
      <w:lvlText w:val=""/>
      <w:lvlJc w:val="start"/>
    </w:lvl>
    <w:lvl w:ilvl="6">
      <w:start w:val="1"/>
      <w:numFmt w:val="none"/>
      <w:lvlText w:val=""/>
      <w:lvlJc w:val="start"/>
    </w:lvl>
    <w:lvl w:ilvl="7">
      <w:start w:val="1"/>
      <w:numFmt w:val="none"/>
      <w:lvlText w:val=""/>
      <w:lvlJc w:val="start"/>
    </w:lvl>
    <w:lvl w:ilvl="8">
      <w:start w:val="1"/>
      <w:numFmt w:val="none"/>
      <w:lvlText w:val=""/>
      <w:lvlJc w:val="start"/>
    </w:lvl>
  </w:abstractNum>
  <w:abstractNum w:abstractNumId="31" w15:restartNumberingAfterBreak="0">
    <w:nsid w:val="79D70C4A"/>
    <w:multiLevelType w:val="multilevel"/>
    <w:tmpl w:val="59E04EF2"/>
    <w:styleLink w:val="LFO18"/>
    <w:lvl w:ilvl="0">
      <w:start w:val="1"/>
      <w:numFmt w:val="decimal"/>
      <w:suff w:val="space"/>
      <w:lvlText w:val="%1."/>
      <w:lvlJc w:val="start"/>
      <w:pPr>
        <w:ind w:start="18pt" w:hanging="18pt"/>
      </w:pPr>
      <w:rPr>
        <w:rFonts w:cs="Times New Roman"/>
      </w:rPr>
    </w:lvl>
    <w:lvl w:ilvl="1">
      <w:start w:val="1"/>
      <w:numFmt w:val="decimal"/>
      <w:suff w:val="space"/>
      <w:lvlText w:val="%1.%2"/>
      <w:lvlJc w:val="start"/>
      <w:pPr>
        <w:ind w:start="39.25pt" w:hanging="18pt"/>
      </w:pPr>
      <w:rPr>
        <w:rFonts w:cs="Times New Roman"/>
      </w:rPr>
    </w:lvl>
    <w:lvl w:ilvl="2">
      <w:start w:val="1"/>
      <w:numFmt w:val="decimal"/>
      <w:suff w:val="space"/>
      <w:lvlText w:val="%1.%2.%3"/>
      <w:lvlJc w:val="start"/>
      <w:pPr>
        <w:ind w:start="54pt" w:hanging="18pt"/>
      </w:pPr>
      <w:rPr>
        <w:rFonts w:cs="Times New Roman"/>
      </w:rPr>
    </w:lvl>
    <w:lvl w:ilvl="3">
      <w:start w:val="1"/>
      <w:numFmt w:val="decimal"/>
      <w:lvlText w:val="()"/>
      <w:lvlJc w:val="start"/>
      <w:pPr>
        <w:ind w:start="72pt" w:hanging="18pt"/>
      </w:pPr>
      <w:rPr>
        <w:rFonts w:cs="Times New Roman"/>
      </w:rPr>
    </w:lvl>
    <w:lvl w:ilvl="4">
      <w:start w:val="1"/>
      <w:numFmt w:val="lowerLetter"/>
      <w:lvlText w:val="()"/>
      <w:lvlJc w:val="start"/>
      <w:pPr>
        <w:ind w:start="90pt" w:hanging="18pt"/>
      </w:pPr>
      <w:rPr>
        <w:rFonts w:cs="Times New Roman"/>
      </w:rPr>
    </w:lvl>
    <w:lvl w:ilvl="5">
      <w:start w:val="1"/>
      <w:numFmt w:val="lowerRoman"/>
      <w:lvlText w:val="()"/>
      <w:lvlJc w:val="start"/>
      <w:pPr>
        <w:ind w:start="108pt" w:hanging="18pt"/>
      </w:pPr>
      <w:rPr>
        <w:rFonts w:cs="Times New Roman"/>
      </w:rPr>
    </w:lvl>
    <w:lvl w:ilvl="6">
      <w:start w:val="1"/>
      <w:numFmt w:val="decimal"/>
      <w:lvlText w:val="."/>
      <w:lvlJc w:val="start"/>
      <w:pPr>
        <w:ind w:start="126pt" w:hanging="18pt"/>
      </w:pPr>
      <w:rPr>
        <w:rFonts w:cs="Times New Roman"/>
      </w:rPr>
    </w:lvl>
    <w:lvl w:ilvl="7">
      <w:start w:val="1"/>
      <w:numFmt w:val="lowerLetter"/>
      <w:lvlText w:val="."/>
      <w:lvlJc w:val="start"/>
      <w:pPr>
        <w:ind w:start="144pt" w:hanging="18pt"/>
      </w:pPr>
      <w:rPr>
        <w:rFonts w:cs="Times New Roman"/>
      </w:rPr>
    </w:lvl>
    <w:lvl w:ilvl="8">
      <w:start w:val="1"/>
      <w:numFmt w:val="lowerRoman"/>
      <w:lvlText w:val="."/>
      <w:lvlJc w:val="start"/>
      <w:pPr>
        <w:ind w:start="162pt" w:hanging="18pt"/>
      </w:pPr>
      <w:rPr>
        <w:rFonts w:cs="Times New Roman"/>
      </w:rPr>
    </w:lvl>
  </w:abstractNum>
  <w:num w:numId="1" w16cid:durableId="1077098746">
    <w:abstractNumId w:val="17"/>
  </w:num>
  <w:num w:numId="2" w16cid:durableId="1916545520">
    <w:abstractNumId w:val="10"/>
  </w:num>
  <w:num w:numId="3" w16cid:durableId="1034043777">
    <w:abstractNumId w:val="0"/>
  </w:num>
  <w:num w:numId="4" w16cid:durableId="1631787317">
    <w:abstractNumId w:val="13"/>
  </w:num>
  <w:num w:numId="5" w16cid:durableId="1499689578">
    <w:abstractNumId w:val="14"/>
  </w:num>
  <w:num w:numId="6" w16cid:durableId="1545603409">
    <w:abstractNumId w:val="11"/>
  </w:num>
  <w:num w:numId="7" w16cid:durableId="275060549">
    <w:abstractNumId w:val="7"/>
  </w:num>
  <w:num w:numId="8" w16cid:durableId="1481340948">
    <w:abstractNumId w:val="21"/>
  </w:num>
  <w:num w:numId="9" w16cid:durableId="1886941269">
    <w:abstractNumId w:val="22"/>
  </w:num>
  <w:num w:numId="10" w16cid:durableId="1917666842">
    <w:abstractNumId w:val="12"/>
  </w:num>
  <w:num w:numId="11" w16cid:durableId="499542257">
    <w:abstractNumId w:val="8"/>
  </w:num>
  <w:num w:numId="12" w16cid:durableId="1435130640">
    <w:abstractNumId w:val="15"/>
  </w:num>
  <w:num w:numId="13" w16cid:durableId="1596670222">
    <w:abstractNumId w:val="16"/>
  </w:num>
  <w:num w:numId="14" w16cid:durableId="498077589">
    <w:abstractNumId w:val="30"/>
  </w:num>
  <w:num w:numId="15" w16cid:durableId="671448818">
    <w:abstractNumId w:val="1"/>
  </w:num>
  <w:num w:numId="16" w16cid:durableId="1130896879">
    <w:abstractNumId w:val="25"/>
  </w:num>
  <w:num w:numId="17" w16cid:durableId="1355769064">
    <w:abstractNumId w:val="3"/>
  </w:num>
  <w:num w:numId="18" w16cid:durableId="1098603238">
    <w:abstractNumId w:val="24"/>
  </w:num>
  <w:num w:numId="19" w16cid:durableId="242759990">
    <w:abstractNumId w:val="31"/>
  </w:num>
  <w:num w:numId="20" w16cid:durableId="542057817">
    <w:abstractNumId w:val="9"/>
  </w:num>
  <w:num w:numId="21" w16cid:durableId="1409618379">
    <w:abstractNumId w:val="2"/>
  </w:num>
  <w:num w:numId="22" w16cid:durableId="834300199">
    <w:abstractNumId w:val="20"/>
  </w:num>
  <w:num w:numId="23" w16cid:durableId="1245995433">
    <w:abstractNumId w:val="19"/>
  </w:num>
  <w:num w:numId="24" w16cid:durableId="1926114105">
    <w:abstractNumId w:val="23"/>
  </w:num>
  <w:num w:numId="25" w16cid:durableId="770468084">
    <w:abstractNumId w:val="26"/>
  </w:num>
  <w:num w:numId="26" w16cid:durableId="335420974">
    <w:abstractNumId w:val="6"/>
  </w:num>
  <w:num w:numId="27" w16cid:durableId="306128536">
    <w:abstractNumId w:val="28"/>
  </w:num>
  <w:num w:numId="28" w16cid:durableId="1054348923">
    <w:abstractNumId w:val="18"/>
  </w:num>
  <w:num w:numId="29" w16cid:durableId="639656758">
    <w:abstractNumId w:val="5"/>
  </w:num>
  <w:num w:numId="30" w16cid:durableId="1917982171">
    <w:abstractNumId w:val="27"/>
  </w:num>
  <w:num w:numId="31" w16cid:durableId="279188240">
    <w:abstractNumId w:val="4"/>
  </w:num>
  <w:num w:numId="32" w16cid:durableId="1416706579">
    <w:abstractNumId w:val="29"/>
  </w:num>
  <w:num w:numId="33" w16cid:durableId="697968943">
    <w:abstractNumId w:val="3"/>
    <w:lvlOverride w:ilvl="0"/>
  </w:num>
  <w:num w:numId="34" w16cid:durableId="488444382">
    <w:abstractNumId w:val="24"/>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updateFields w:val="true"/>
  <w:zoom w:percent="100%"/>
  <w:attachedTemplate r:id="rId1"/>
  <w:defaultTabStop w:val="35.40pt"/>
  <w:autoHyphenation/>
  <w:hyphenationZone w:val="21.25pt"/>
  <w:characterSpacingControl w:val="doNotCompress"/>
  <w:savePreviewPicture/>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75B93"/>
    <w:rsid w:val="0009560E"/>
    <w:rsid w:val="00A32AD3"/>
    <w:rsid w:val="00C75B93"/>
    <w:rsid w:val="00DF3558"/>
  </w:rsids>
  <m:mathPr>
    <m:mathFont m:val="Cambria Math"/>
    <m:brkBin m:val="before"/>
    <m:brkBinSub m:val="--"/>
    <m:smallFrac m:val="0"/>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decimalSymbol w:val=","/>
  <w:listSeparator w:val=";"/>
  <w14:docId w14:val="07094124"/>
  <w15:docId w15:val="{7F85875F-EE20-4C4F-9FEB-DBEF49BF5981}"/>
  <w:themeFontLang w:val="pt" w:eastAsia="pt" w:bidi="pt"/>
  <w:activeWritingStyle w:lang="p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pt" w:eastAsia="pt" w:bidi="pt"/>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0"/>
      <w:suppressAutoHyphens/>
    </w:pPr>
    <w:rPr>
      <w:rFonts w:ascii="ITC Avant Garde Std Bk" w:hAnsi="ITC Avant Garde Std Bk" w:eastAsia="ITC Avant Garde Std Bk" w:cs="ITC Avant Garde Std Bk"/>
      <w:sz w:val="22"/>
    </w:rPr>
  </w:style>
  <w:style w:type="paragraph" w:styleId="Titre1">
    <w:name w:val="heading 1"/>
    <w:basedOn w:val="Normal"/>
    <w:next w:val="Normal"/>
    <w:uiPriority w:val="9"/>
    <w:qFormat/>
    <w:pPr>
      <w:keepNext/>
      <w:spacing w:before="12pt" w:after="8pt"/>
      <w:outlineLvl w:val="0"/>
    </w:pPr>
    <w:rPr>
      <w:b/>
      <w:kern w:val="3"/>
      <w:sz w:val="32"/>
    </w:rPr>
  </w:style>
  <w:style w:type="paragraph" w:styleId="Titre2">
    <w:name w:val="heading 2"/>
    <w:basedOn w:val="Normal"/>
    <w:next w:val="Normal"/>
    <w:uiPriority w:val="9"/>
    <w:unhideWhenUsed/>
    <w:qFormat/>
    <w:pPr>
      <w:keepNext/>
      <w:spacing w:before="12pt" w:after="8pt"/>
      <w:outlineLvl w:val="1"/>
    </w:pPr>
    <w:rPr>
      <w:sz w:val="28"/>
      <w:u w:val="single"/>
    </w:rPr>
  </w:style>
  <w:style w:type="paragraph" w:styleId="Titre3">
    <w:name w:val="heading 3"/>
    <w:basedOn w:val="Normal"/>
    <w:next w:val="Normal"/>
    <w:uiPriority w:val="9"/>
    <w:unhideWhenUsed/>
    <w:qFormat/>
    <w:pPr>
      <w:keepNext/>
      <w:spacing w:before="12pt" w:after="8pt"/>
      <w:outlineLvl w:val="2"/>
    </w:pPr>
    <w:rPr>
      <w:sz w:val="24"/>
      <w:u w:val="single"/>
    </w:rPr>
  </w:style>
  <w:style w:type="paragraph" w:styleId="Titre4">
    <w:name w:val="heading 4"/>
    <w:basedOn w:val="Normal"/>
    <w:next w:val="Normal"/>
    <w:uiPriority w:val="9"/>
    <w:unhideWhenUsed/>
    <w:qFormat/>
    <w:pPr>
      <w:keepNext/>
      <w:spacing w:before="12pt" w:after="3pt"/>
      <w:ind w:start="28.35pt"/>
      <w:outlineLvl w:val="3"/>
    </w:pPr>
    <w:rPr>
      <w:i/>
      <w:sz w:val="24"/>
    </w:rPr>
  </w:style>
  <w:style w:type="paragraph" w:styleId="Titre5">
    <w:name w:val="heading 5"/>
    <w:basedOn w:val="Normal"/>
    <w:next w:val="Normal"/>
    <w:uiPriority w:val="9"/>
    <w:semiHidden/>
    <w:unhideWhenUsed/>
    <w:qFormat/>
    <w:pPr>
      <w:spacing w:before="12pt" w:after="3pt"/>
      <w:ind w:start="56.70pt"/>
      <w:outlineLvl w:val="4"/>
    </w:pPr>
    <w:rPr>
      <w:i/>
    </w:rPr>
  </w:style>
  <w:style w:type="paragraph" w:styleId="Titre6">
    <w:name w:val="heading 6"/>
    <w:basedOn w:val="Normal"/>
    <w:next w:val="Normal"/>
    <w:uiPriority w:val="9"/>
    <w:semiHidden/>
    <w:unhideWhenUsed/>
    <w:qFormat/>
    <w:pPr>
      <w:keepNext/>
      <w:spacing w:before="6pt" w:after="6pt"/>
      <w:jc w:val="center"/>
      <w:outlineLvl w:val="5"/>
    </w:pPr>
    <w:rPr>
      <w:b/>
      <w:bCs/>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pt" w:type="dxa"/>
      <w:tblCellMar>
        <w:top w:w="0pt" w:type="dxa"/>
        <w:start w:w="5.40pt" w:type="dxa"/>
        <w:bottom w:w="0pt" w:type="dxa"/>
        <w:end w:w="5.40pt" w:type="dxa"/>
      </w:tblCellMar>
    </w:tblPr>
  </w:style>
  <w:style w:type="numbering" w:styleId="Aucuneliste" w:default="1">
    <w:name w:val="No List"/>
    <w:uiPriority w:val="99"/>
    <w:semiHidden/>
    <w:unhideWhenUsed/>
  </w:style>
  <w:style w:type="numbering" w:styleId="WWOutlineListStyle12" w:customStyle="1">
    <w:name w:val="WW_OutlineListStyle_12"/>
    <w:basedOn w:val="Aucuneliste"/>
    <w:pPr>
      <w:numPr>
        <w:numId w:val="1"/>
      </w:numPr>
    </w:pPr>
  </w:style>
  <w:style w:type="paragraph" w:styleId="RedaliaTitre1" w:customStyle="1">
    <w:name w:val="Redalia Titre 1"/>
    <w:basedOn w:val="Normal"/>
    <w:pPr>
      <w:numPr>
        <w:numId w:val="1"/>
      </w:numPr>
      <w:spacing w:before="12pt" w:after="8pt"/>
      <w:outlineLvl w:val="0"/>
    </w:pPr>
    <w:rPr>
      <w:b/>
      <w:sz w:val="32"/>
    </w:rPr>
  </w:style>
  <w:style w:type="paragraph" w:styleId="RedaliaTitre2" w:customStyle="1">
    <w:name w:val="Redalia Titre 2"/>
    <w:basedOn w:val="Normal"/>
    <w:next w:val="Normal"/>
    <w:pPr>
      <w:numPr>
        <w:ilvl w:val="1"/>
        <w:numId w:val="1"/>
      </w:numPr>
      <w:spacing w:before="12pt" w:after="8pt"/>
      <w:outlineLvl w:val="1"/>
    </w:pPr>
    <w:rPr>
      <w:sz w:val="28"/>
      <w:u w:val="single"/>
    </w:rPr>
  </w:style>
  <w:style w:type="paragraph" w:styleId="RedaliaTitre3" w:customStyle="1">
    <w:name w:val="Redalia Titre 3"/>
    <w:basedOn w:val="Normal"/>
    <w:pPr>
      <w:numPr>
        <w:ilvl w:val="2"/>
        <w:numId w:val="1"/>
      </w:numPr>
      <w:overflowPunct w:val="0"/>
      <w:autoSpaceDE w:val="0"/>
      <w:spacing w:before="12pt" w:after="8pt"/>
      <w:jc w:val="both"/>
      <w:outlineLvl w:val="2"/>
    </w:pPr>
    <w:rPr>
      <w:sz w:val="24"/>
      <w:u w:val="single"/>
    </w:rPr>
  </w:style>
  <w:style w:type="paragraph" w:styleId="TitreN4" w:customStyle="1">
    <w:name w:val="Titre N4"/>
    <w:basedOn w:val="Titre4"/>
    <w:pPr>
      <w:ind w:start="42.50pt" w:hanging="14.15pt"/>
    </w:pPr>
  </w:style>
  <w:style w:type="paragraph" w:styleId="TitreN5" w:customStyle="1">
    <w:name w:val="Titre N5"/>
    <w:basedOn w:val="Titre5"/>
    <w:pPr>
      <w:ind w:start="70.85pt" w:hanging="14.15pt"/>
    </w:pPr>
  </w:style>
  <w:style w:type="paragraph" w:styleId="Standard" w:customStyle="1">
    <w:name w:val="Standard"/>
  </w:style>
  <w:style w:type="paragraph" w:styleId="RedaliaTitredocument" w:customStyle="1">
    <w:name w:val="Redalia : Titre document"/>
    <w:basedOn w:val="RedaliaNormal"/>
    <w:pPr>
      <w:jc w:val="center"/>
    </w:pPr>
    <w:rPr>
      <w:b/>
      <w:sz w:val="40"/>
    </w:rPr>
  </w:style>
  <w:style w:type="paragraph" w:styleId="Courriercivilit" w:customStyle="1">
    <w:name w:val="Courrier civilité"/>
    <w:basedOn w:val="Normal"/>
    <w:pPr>
      <w:tabs>
        <w:tab w:val="left" w:pos="56.70pt"/>
      </w:tabs>
    </w:pPr>
  </w:style>
  <w:style w:type="paragraph" w:styleId="Courrierdate" w:customStyle="1">
    <w:name w:val="Courrier date"/>
    <w:basedOn w:val="Normal"/>
    <w:pPr>
      <w:jc w:val="right"/>
    </w:pPr>
  </w:style>
  <w:style w:type="paragraph" w:styleId="Courrierdest" w:customStyle="1">
    <w:name w:val="Courrier dest"/>
    <w:basedOn w:val="Normal"/>
  </w:style>
  <w:style w:type="paragraph" w:styleId="Courriersign" w:customStyle="1">
    <w:name w:val="Courrier sign"/>
    <w:basedOn w:val="Courrierdest"/>
    <w:rPr>
      <w:caps/>
    </w:rPr>
  </w:style>
  <w:style w:type="paragraph" w:styleId="Courriertext" w:customStyle="1">
    <w:name w:val="Courrier text"/>
    <w:basedOn w:val="Normal"/>
    <w:pPr>
      <w:jc w:val="both"/>
    </w:pPr>
  </w:style>
  <w:style w:type="paragraph" w:styleId="Dossierune" w:customStyle="1">
    <w:name w:val="Dossier une"/>
    <w:basedOn w:val="Normal"/>
    <w:pPr>
      <w:jc w:val="center"/>
    </w:pPr>
    <w:rPr>
      <w:sz w:val="72"/>
    </w:rPr>
  </w:style>
  <w:style w:type="paragraph" w:styleId="Dossierobjet" w:customStyle="1">
    <w:name w:val="Dossier objet"/>
    <w:basedOn w:val="Dossierune"/>
    <w:rPr>
      <w:sz w:val="48"/>
    </w:rPr>
  </w:style>
  <w:style w:type="paragraph" w:styleId="DossierobjetRdalia" w:customStyle="1">
    <w:name w:val="Dossier objet Rédalia"/>
    <w:basedOn w:val="Dossierobjet"/>
    <w:next w:val="Normal"/>
    <w:rPr>
      <w:sz w:val="36"/>
    </w:rPr>
  </w:style>
  <w:style w:type="paragraph" w:styleId="Dossiertitre" w:customStyle="1">
    <w:name w:val="Dossier titre"/>
    <w:basedOn w:val="Dossierobjet"/>
    <w:pPr>
      <w:pBdr>
        <w:bottom w:val="single" w:color="000000" w:sz="6" w:space="1"/>
      </w:pBdr>
    </w:pPr>
    <w:rPr>
      <w:sz w:val="40"/>
    </w:rPr>
  </w:style>
  <w:style w:type="paragraph" w:styleId="DossiertitreRedalia" w:customStyle="1">
    <w:name w:val="Dossier titre Redalia"/>
    <w:basedOn w:val="Dossiertitre"/>
    <w:pPr>
      <w:jc w:val="left"/>
    </w:pPr>
    <w:rPr>
      <w:sz w:val="32"/>
    </w:rPr>
  </w:style>
  <w:style w:type="paragraph" w:styleId="Enttecentre" w:customStyle="1">
    <w:name w:val="Entête centre"/>
    <w:basedOn w:val="Normal"/>
    <w:pPr>
      <w:jc w:val="center"/>
    </w:pPr>
  </w:style>
  <w:style w:type="paragraph" w:styleId="Enttedrte" w:customStyle="1">
    <w:name w:val="Entête drte"/>
    <w:basedOn w:val="Normal"/>
    <w:pPr>
      <w:jc w:val="right"/>
    </w:pPr>
  </w:style>
  <w:style w:type="paragraph" w:styleId="Enttegche" w:customStyle="1">
    <w:name w:val="Entête gche"/>
    <w:basedOn w:val="Normal"/>
  </w:style>
  <w:style w:type="paragraph" w:styleId="Enttemilieu" w:customStyle="1">
    <w:name w:val="Entête milieu"/>
    <w:basedOn w:val="Normal"/>
    <w:pPr>
      <w:jc w:val="center"/>
    </w:pPr>
    <w:rPr>
      <w:sz w:val="28"/>
    </w:rPr>
  </w:style>
  <w:style w:type="paragraph" w:styleId="PagedegardeRdalia" w:customStyle="1">
    <w:name w:val="Page de garde Rédalia"/>
    <w:basedOn w:val="Normal"/>
    <w:next w:val="Normal"/>
    <w:rPr>
      <w:b/>
      <w:sz w:val="28"/>
    </w:rPr>
  </w:style>
  <w:style w:type="paragraph" w:styleId="Piedpagecentre" w:customStyle="1">
    <w:name w:val="Piedpage centre"/>
    <w:basedOn w:val="Normal"/>
    <w:pPr>
      <w:jc w:val="center"/>
    </w:pPr>
  </w:style>
  <w:style w:type="paragraph" w:styleId="Piedpagedrte" w:customStyle="1">
    <w:name w:val="Piedpage drte"/>
    <w:basedOn w:val="Normal"/>
    <w:pPr>
      <w:jc w:val="right"/>
    </w:pPr>
  </w:style>
  <w:style w:type="paragraph" w:styleId="Piedpagegche" w:customStyle="1">
    <w:name w:val="Piedpage gche"/>
    <w:basedOn w:val="Normal"/>
  </w:style>
  <w:style w:type="paragraph" w:styleId="Tableau10centre" w:customStyle="1">
    <w:name w:val="Tableau 10 centre"/>
    <w:basedOn w:val="Normal"/>
    <w:pPr>
      <w:jc w:val="center"/>
    </w:pPr>
  </w:style>
  <w:style w:type="paragraph" w:styleId="Tableau10drte" w:customStyle="1">
    <w:name w:val="Tableau 10 drte"/>
    <w:basedOn w:val="Normal"/>
    <w:pPr>
      <w:jc w:val="right"/>
    </w:pPr>
  </w:style>
  <w:style w:type="paragraph" w:styleId="Tableau10gche" w:customStyle="1">
    <w:name w:val="Tableau 10 gche"/>
    <w:basedOn w:val="Normal"/>
  </w:style>
  <w:style w:type="paragraph" w:styleId="Tableau11centre" w:customStyle="1">
    <w:name w:val="Tableau 11 centre"/>
    <w:basedOn w:val="Normal"/>
    <w:pPr>
      <w:jc w:val="center"/>
    </w:pPr>
  </w:style>
  <w:style w:type="paragraph" w:styleId="Tableau11drte" w:customStyle="1">
    <w:name w:val="Tableau 11 drte"/>
    <w:basedOn w:val="Normal"/>
    <w:pPr>
      <w:jc w:val="right"/>
    </w:pPr>
  </w:style>
  <w:style w:type="paragraph" w:styleId="Tableau11gche" w:customStyle="1">
    <w:name w:val="Tableau 11 gche"/>
    <w:basedOn w:val="Normal"/>
  </w:style>
  <w:style w:type="paragraph" w:styleId="Tableau8centre" w:customStyle="1">
    <w:name w:val="Tableau 8 centre"/>
    <w:basedOn w:val="Normal"/>
    <w:pPr>
      <w:jc w:val="center"/>
    </w:pPr>
    <w:rPr>
      <w:sz w:val="16"/>
    </w:rPr>
  </w:style>
  <w:style w:type="paragraph" w:styleId="Tableau8drte" w:customStyle="1">
    <w:name w:val="Tableau 8 drte"/>
    <w:basedOn w:val="Normal"/>
    <w:pPr>
      <w:jc w:val="right"/>
    </w:pPr>
    <w:rPr>
      <w:sz w:val="16"/>
    </w:rPr>
  </w:style>
  <w:style w:type="paragraph" w:styleId="Tableau8gche" w:customStyle="1">
    <w:name w:val="Tableau 8 gche"/>
    <w:basedOn w:val="Normal"/>
    <w:rPr>
      <w:sz w:val="16"/>
    </w:rPr>
  </w:style>
  <w:style w:type="paragraph" w:styleId="Titredetableau" w:customStyle="1">
    <w:name w:val="Titre de tableau"/>
    <w:basedOn w:val="Tableau11centre"/>
    <w:rPr>
      <w:b/>
    </w:rPr>
  </w:style>
  <w:style w:type="paragraph" w:styleId="TitreN1" w:customStyle="1">
    <w:name w:val="Titre N1"/>
    <w:basedOn w:val="Titre1"/>
    <w:pPr>
      <w:ind w:start="14.15pt" w:hanging="14.15pt"/>
    </w:pPr>
  </w:style>
  <w:style w:type="paragraph" w:styleId="TitreN2" w:customStyle="1">
    <w:name w:val="Titre N2"/>
    <w:basedOn w:val="Titre2"/>
    <w:pPr>
      <w:ind w:start="14.15pt" w:hanging="14.15pt"/>
    </w:pPr>
  </w:style>
  <w:style w:type="paragraph" w:styleId="TitreN3" w:customStyle="1">
    <w:name w:val="Titre N3"/>
    <w:basedOn w:val="Titre3"/>
    <w:pPr>
      <w:ind w:start="14.15pt" w:hanging="14.15pt"/>
    </w:pPr>
  </w:style>
  <w:style w:type="paragraph" w:styleId="TM1">
    <w:name w:val="toc 1"/>
    <w:basedOn w:val="Titre1"/>
    <w:next w:val="Normal"/>
    <w:pPr>
      <w:keepNext w:val="0"/>
      <w:tabs>
        <w:tab w:val="right" w:leader="dot" w:pos="453.60pt"/>
      </w:tabs>
      <w:spacing w:before="6pt" w:after="0pt"/>
    </w:pPr>
    <w:rPr>
      <w:sz w:val="24"/>
    </w:rPr>
  </w:style>
  <w:style w:type="paragraph" w:styleId="TM2">
    <w:name w:val="toc 2"/>
    <w:basedOn w:val="Titre2"/>
    <w:next w:val="Normal"/>
    <w:pPr>
      <w:keepNext w:val="0"/>
      <w:tabs>
        <w:tab w:val="right" w:leader="dot" w:pos="453.60pt"/>
      </w:tabs>
      <w:spacing w:before="6pt" w:after="0pt"/>
      <w:ind w:start="9.90pt"/>
    </w:pPr>
    <w:rPr>
      <w:sz w:val="22"/>
      <w:u w:val="none"/>
    </w:rPr>
  </w:style>
  <w:style w:type="paragraph" w:styleId="TM3">
    <w:name w:val="toc 3"/>
    <w:basedOn w:val="Titre3"/>
    <w:next w:val="Normal"/>
    <w:pPr>
      <w:keepNext w:val="0"/>
      <w:tabs>
        <w:tab w:val="right" w:leader="dot" w:pos="453.60pt"/>
      </w:tabs>
      <w:spacing w:before="6pt" w:after="0pt"/>
      <w:ind w:start="20.15pt"/>
    </w:pPr>
    <w:rPr>
      <w:sz w:val="20"/>
      <w:u w:val="none"/>
    </w:rPr>
  </w:style>
  <w:style w:type="paragraph" w:styleId="TM4">
    <w:name w:val="toc 4"/>
    <w:basedOn w:val="Titre4"/>
    <w:next w:val="Normal"/>
    <w:pPr>
      <w:keepNext w:val="0"/>
      <w:tabs>
        <w:tab w:val="right" w:leader="dot" w:pos="453.60pt"/>
      </w:tabs>
      <w:spacing w:before="6pt" w:after="0pt"/>
      <w:ind w:start="30.05pt"/>
    </w:pPr>
    <w:rPr>
      <w:sz w:val="22"/>
    </w:rPr>
  </w:style>
  <w:style w:type="paragraph" w:styleId="TM5">
    <w:name w:val="toc 5"/>
    <w:basedOn w:val="Titre5"/>
    <w:next w:val="Normal"/>
    <w:pPr>
      <w:tabs>
        <w:tab w:val="right" w:leader="dot" w:pos="453.60pt"/>
      </w:tabs>
      <w:spacing w:before="6pt" w:after="0pt"/>
      <w:ind w:start="39.95pt"/>
    </w:pPr>
  </w:style>
  <w:style w:type="paragraph" w:styleId="CondInsert" w:customStyle="1">
    <w:name w:val="Cond Insert"/>
    <w:basedOn w:val="Normal"/>
    <w:next w:val="Normal"/>
    <w:pPr>
      <w:tabs>
        <w:tab w:val="right" w:leader="dot" w:pos="450pt"/>
      </w:tabs>
    </w:pPr>
    <w:rPr>
      <w:rFonts w:cs="Arial"/>
      <w:b/>
      <w:bCs/>
      <w:color w:val="0000FF"/>
    </w:rPr>
  </w:style>
  <w:style w:type="paragraph" w:styleId="RdaliaCondens" w:customStyle="1">
    <w:name w:val="Rédalia : Condensé"/>
    <w:basedOn w:val="Normal"/>
    <w:pPr>
      <w:spacing w:before="2pt"/>
      <w:jc w:val="both"/>
    </w:pPr>
    <w:rPr>
      <w:sz w:val="16"/>
    </w:rPr>
  </w:style>
  <w:style w:type="paragraph" w:styleId="RdaliaLgende" w:customStyle="1">
    <w:name w:val="Rédalia : Légende"/>
    <w:basedOn w:val="Normal"/>
    <w:pPr>
      <w:ind w:start="14.20pt" w:hanging="14.20pt"/>
      <w:jc w:val="both"/>
    </w:pPr>
    <w:rPr>
      <w:i/>
      <w:sz w:val="16"/>
    </w:rPr>
  </w:style>
  <w:style w:type="paragraph" w:styleId="RedaliaNormal" w:customStyle="1">
    <w:name w:val="Redalia : Normal"/>
    <w:basedOn w:val="Normal"/>
    <w:pPr>
      <w:tabs>
        <w:tab w:val="left" w:leader="dot" w:pos="425.25pt"/>
      </w:tabs>
      <w:spacing w:before="2pt"/>
      <w:jc w:val="both"/>
    </w:pPr>
  </w:style>
  <w:style w:type="paragraph" w:styleId="RdaliaRetraitniveau1" w:customStyle="1">
    <w:name w:val="Rédalia : Retrait niveau 1"/>
    <w:basedOn w:val="RedaliaNormal"/>
  </w:style>
  <w:style w:type="paragraph" w:styleId="RdaliaRetraitniveau2" w:customStyle="1">
    <w:name w:val="Rédalia : Retrait niveau 2"/>
    <w:basedOn w:val="RedaliaNormal"/>
    <w:pPr>
      <w:numPr>
        <w:numId w:val="27"/>
      </w:numPr>
    </w:pPr>
  </w:style>
  <w:style w:type="paragraph" w:styleId="RdaliaTableau" w:customStyle="1">
    <w:name w:val="Rédalia : Tableau"/>
    <w:basedOn w:val="RedaliaNormal"/>
    <w:pPr>
      <w:numPr>
        <w:numId w:val="28"/>
      </w:numPr>
    </w:pPr>
    <w:rPr>
      <w:b/>
      <w:color w:val="0000FF"/>
    </w:rPr>
  </w:style>
  <w:style w:type="paragraph" w:styleId="RdaliaTextemasqu" w:customStyle="1">
    <w:name w:val="Rédalia : Texte masqué"/>
    <w:basedOn w:val="RdaliaRetraitniveau1"/>
    <w:pPr>
      <w:shd w:val="clear" w:color="auto" w:fill="FFFFFF"/>
    </w:pPr>
    <w:rPr>
      <w:vanish/>
      <w:sz w:val="20"/>
    </w:rPr>
  </w:style>
  <w:style w:type="paragraph" w:styleId="RdaliaTitredestableaux" w:customStyle="1">
    <w:name w:val="Rédalia : Titre des tableaux"/>
    <w:basedOn w:val="RedaliaNormal"/>
    <w:pPr>
      <w:jc w:val="center"/>
    </w:pPr>
    <w:rPr>
      <w:b/>
    </w:rPr>
  </w:style>
  <w:style w:type="paragraph" w:styleId="RdaliaTitredossier" w:customStyle="1">
    <w:name w:val="Rédalia : Titre dossier"/>
    <w:basedOn w:val="Dossierune"/>
    <w:rPr>
      <w:sz w:val="48"/>
    </w:rPr>
  </w:style>
  <w:style w:type="paragraph" w:styleId="RdaliaTitreparagraphe" w:customStyle="1">
    <w:name w:val="Rédalia : Titre paragraphe"/>
    <w:basedOn w:val="Dossiertitre"/>
    <w:pPr>
      <w:spacing w:before="16pt" w:after="12pt"/>
      <w:jc w:val="left"/>
    </w:pPr>
    <w:rPr>
      <w:sz w:val="32"/>
    </w:rPr>
  </w:style>
  <w:style w:type="paragraph" w:styleId="RdaliaTitretableaucondens" w:customStyle="1">
    <w:name w:val="Rédalia : Titre tableau condensé"/>
    <w:basedOn w:val="Normal"/>
    <w:pPr>
      <w:spacing w:before="2pt"/>
      <w:jc w:val="both"/>
    </w:pPr>
    <w:rPr>
      <w:b/>
      <w:sz w:val="18"/>
    </w:rPr>
  </w:style>
  <w:style w:type="paragraph" w:styleId="RdaliaZonecandidat" w:customStyle="1">
    <w:name w:val="Rédalia : Zone candidat"/>
    <w:basedOn w:val="Normal"/>
    <w:pPr>
      <w:shd w:val="clear" w:color="auto" w:fill="00FFFF"/>
      <w:spacing w:before="2pt"/>
      <w:jc w:val="center"/>
    </w:pPr>
    <w:rPr>
      <w:sz w:val="18"/>
    </w:rPr>
  </w:style>
  <w:style w:type="paragraph" w:styleId="Concilianormal" w:customStyle="1">
    <w:name w:val="Concilia normal"/>
    <w:basedOn w:val="Normal"/>
    <w:rPr>
      <w:rFonts w:cs="Arial"/>
      <w:szCs w:val="22"/>
    </w:rPr>
  </w:style>
  <w:style w:type="paragraph" w:styleId="Conciliatitre" w:customStyle="1">
    <w:name w:val="Concilia titre"/>
    <w:basedOn w:val="Concilianormal"/>
    <w:pPr>
      <w:jc w:val="center"/>
    </w:pPr>
    <w:rPr>
      <w:b/>
      <w:bCs/>
      <w:sz w:val="32"/>
      <w:szCs w:val="32"/>
    </w:rPr>
  </w:style>
  <w:style w:type="paragraph" w:styleId="LIANormal" w:customStyle="1">
    <w:name w:val="LIA : Normal"/>
    <w:basedOn w:val="Normal"/>
    <w:pPr>
      <w:overflowPunct w:val="0"/>
      <w:autoSpaceDE w:val="0"/>
      <w:jc w:val="both"/>
    </w:pPr>
    <w:rPr>
      <w:szCs w:val="18"/>
    </w:rPr>
  </w:style>
  <w:style w:type="paragraph" w:styleId="LIACasecocher" w:customStyle="1">
    <w:name w:val="LIA : Case à cocher"/>
    <w:basedOn w:val="LIANormal"/>
    <w:rPr>
      <w:rFonts w:cs="Wingdings"/>
    </w:rPr>
  </w:style>
  <w:style w:type="paragraph" w:styleId="LIACondense" w:customStyle="1">
    <w:name w:val="LIA : Condense"/>
    <w:basedOn w:val="LIANormal"/>
    <w:autoRedefine/>
    <w:pPr>
      <w:spacing w:before="6pt" w:after="6pt"/>
    </w:pPr>
    <w:rPr>
      <w:sz w:val="18"/>
      <w:szCs w:val="16"/>
    </w:rPr>
  </w:style>
  <w:style w:type="paragraph" w:styleId="LiaTitre" w:customStyle="1">
    <w:name w:val="Lia : Titre"/>
    <w:basedOn w:val="Normal"/>
    <w:pPr>
      <w:tabs>
        <w:tab w:val="left" w:leader="dot" w:pos="425.25pt"/>
      </w:tabs>
      <w:overflowPunct w:val="0"/>
      <w:autoSpaceDE w:val="0"/>
      <w:spacing w:before="2pt"/>
      <w:jc w:val="both"/>
    </w:pPr>
    <w:rPr>
      <w:b/>
      <w:bCs/>
      <w:i/>
      <w:iCs/>
    </w:rPr>
  </w:style>
  <w:style w:type="paragraph" w:styleId="LIAErreur" w:customStyle="1">
    <w:name w:val="LIA : Erreur"/>
    <w:basedOn w:val="LIANormal"/>
    <w:pPr>
      <w:jc w:val="center"/>
    </w:pPr>
    <w:rPr>
      <w:b/>
      <w:bCs/>
      <w:i/>
      <w:iCs/>
      <w:sz w:val="24"/>
      <w:szCs w:val="24"/>
    </w:rPr>
  </w:style>
  <w:style w:type="paragraph" w:styleId="LILIATitre1" w:customStyle="1">
    <w:name w:val="LILIA : Titre 1"/>
    <w:basedOn w:val="LiaTitre"/>
    <w:pPr>
      <w:jc w:val="center"/>
    </w:pPr>
    <w:rPr>
      <w:caps/>
    </w:rPr>
  </w:style>
  <w:style w:type="paragraph" w:styleId="LILIATitre2" w:customStyle="1">
    <w:name w:val="LILIA : Titre 2"/>
    <w:basedOn w:val="LILIATitre1"/>
    <w:next w:val="Normal"/>
    <w:pPr>
      <w:jc w:val="left"/>
    </w:pPr>
  </w:style>
  <w:style w:type="paragraph" w:styleId="STabCentre" w:customStyle="1">
    <w:name w:val="STab Centre"/>
    <w:basedOn w:val="Normal"/>
    <w:pPr>
      <w:jc w:val="center"/>
    </w:pPr>
  </w:style>
  <w:style w:type="paragraph" w:styleId="LiaLibell" w:customStyle="1">
    <w:name w:val="Lia_Libellé"/>
    <w:basedOn w:val="Normal"/>
    <w:rPr>
      <w:b/>
    </w:rPr>
  </w:style>
  <w:style w:type="paragraph" w:styleId="LiaDescription" w:customStyle="1">
    <w:name w:val="Lia_Description"/>
    <w:basedOn w:val="Normal"/>
  </w:style>
  <w:style w:type="paragraph" w:styleId="LiaUnit" w:customStyle="1">
    <w:name w:val="Lia_Unité"/>
    <w:basedOn w:val="Normal"/>
    <w:rPr>
      <w:i/>
    </w:rPr>
  </w:style>
  <w:style w:type="paragraph" w:styleId="DCENormal" w:customStyle="1">
    <w:name w:val="DCE Normal"/>
    <w:basedOn w:val="Normal"/>
    <w:pPr>
      <w:jc w:val="both"/>
    </w:pPr>
    <w:rPr>
      <w:sz w:val="24"/>
    </w:rPr>
  </w:style>
  <w:style w:type="paragraph" w:styleId="DCETableau" w:customStyle="1">
    <w:name w:val="DCE Tableau"/>
    <w:basedOn w:val="Normal"/>
  </w:style>
  <w:style w:type="paragraph" w:styleId="DCETitreTableau" w:customStyle="1">
    <w:name w:val="DCE TitreTableau"/>
    <w:basedOn w:val="Normal"/>
    <w:pPr>
      <w:jc w:val="center"/>
    </w:pPr>
    <w:rPr>
      <w:b/>
    </w:rPr>
  </w:style>
  <w:style w:type="paragraph" w:styleId="GnliaMarquedeparagraphe" w:customStyle="1">
    <w:name w:val="Génélia : Marque de paragraphe"/>
    <w:basedOn w:val="Normal"/>
    <w:pPr>
      <w:keepNext/>
      <w:keepLines/>
      <w:tabs>
        <w:tab w:val="right" w:leader="dot" w:pos="510.25pt"/>
      </w:tabs>
      <w:spacing w:before="2pt"/>
      <w:ind w:start="-56.70pt"/>
      <w:jc w:val="both"/>
    </w:pPr>
    <w:rPr>
      <w:b/>
      <w:color w:val="008080"/>
    </w:rPr>
  </w:style>
  <w:style w:type="paragraph" w:styleId="DGATitre1" w:customStyle="1">
    <w:name w:val="DGA Titre1"/>
    <w:basedOn w:val="Titre1"/>
    <w:pPr>
      <w:tabs>
        <w:tab w:val="left" w:pos="18pt"/>
      </w:tabs>
      <w:overflowPunct w:val="0"/>
      <w:autoSpaceDE w:val="0"/>
      <w:ind w:start="18pt" w:hanging="18pt"/>
    </w:pPr>
    <w:rPr>
      <w:sz w:val="28"/>
    </w:rPr>
  </w:style>
  <w:style w:type="paragraph" w:styleId="Redaliapuces" w:customStyle="1">
    <w:name w:val="Redalia : puces"/>
    <w:basedOn w:val="RedaliaNormal"/>
    <w:pPr>
      <w:numPr>
        <w:numId w:val="15"/>
      </w:numPr>
      <w:tabs>
        <w:tab w:val="clear" w:pos="425.25pt"/>
        <w:tab w:val="left" w:pos="-122.05pt"/>
        <w:tab w:val="left" w:pos="289.05pt"/>
      </w:tabs>
    </w:pPr>
  </w:style>
  <w:style w:type="paragraph" w:styleId="RedaliaContenudetableau" w:customStyle="1">
    <w:name w:val="Redalia : Contenu de tableau"/>
    <w:basedOn w:val="RedaliaNormal"/>
    <w:rPr>
      <w:sz w:val="18"/>
      <w:szCs w:val="18"/>
    </w:rPr>
  </w:style>
  <w:style w:type="paragraph" w:styleId="RedaliaPartievaloriser" w:customStyle="1">
    <w:name w:val="Redalia : Partie à valoriser"/>
    <w:basedOn w:val="RedaliaNormal"/>
    <w:next w:val="RedaliaNormal"/>
    <w:pPr>
      <w:tabs>
        <w:tab w:val="left" w:leader="dot" w:pos="441pt"/>
      </w:tabs>
      <w:spacing w:before="12pt" w:line="18pt" w:lineRule="auto"/>
    </w:pPr>
  </w:style>
  <w:style w:type="paragraph" w:styleId="RedaliaRetraitavecpuce" w:customStyle="1">
    <w:name w:val="Redalia : Retrait avec puce"/>
    <w:basedOn w:val="RedaliaNormal"/>
  </w:style>
  <w:style w:type="paragraph" w:styleId="RedaliaCentr" w:customStyle="1">
    <w:name w:val="Redalia : Centré"/>
    <w:basedOn w:val="RedaliaNormal"/>
    <w:next w:val="RedaliaNormal"/>
    <w:pPr>
      <w:jc w:val="center"/>
    </w:pPr>
  </w:style>
  <w:style w:type="paragraph" w:styleId="RedaliaRetrait2avecpuce" w:customStyle="1">
    <w:name w:val="Redalia : Retrait 2 avec puce"/>
    <w:basedOn w:val="RedaliaRetraitavecpuce"/>
    <w:pPr>
      <w:tabs>
        <w:tab w:val="left" w:pos="85.05pt"/>
      </w:tabs>
      <w:ind w:start="85.05pt" w:hanging="28.35pt"/>
    </w:pPr>
  </w:style>
  <w:style w:type="paragraph" w:styleId="RdaliaDrogations" w:customStyle="1">
    <w:name w:val="Rédalia : Dérogations"/>
    <w:basedOn w:val="RedaliaNormal"/>
    <w:next w:val="RedaliaNormal"/>
    <w:rPr>
      <w:sz w:val="18"/>
      <w:szCs w:val="18"/>
    </w:rPr>
  </w:style>
  <w:style w:type="paragraph" w:styleId="RdaliaCommentairesAE" w:customStyle="1">
    <w:name w:val="Rédalia : Commentaires AE"/>
    <w:basedOn w:val="RedaliaNormal"/>
    <w:pPr>
      <w:overflowPunct w:val="0"/>
      <w:autoSpaceDE w:val="0"/>
    </w:pPr>
    <w:rPr>
      <w:rFonts w:ascii="Verdana" w:hAnsi="Verdana" w:eastAsia="Verdana" w:cs="Verdana"/>
      <w:i/>
      <w:iCs/>
      <w:color w:val="808080"/>
      <w:sz w:val="14"/>
      <w:szCs w:val="14"/>
    </w:rPr>
  </w:style>
  <w:style w:type="paragraph" w:styleId="TM6">
    <w:name w:val="toc 6"/>
    <w:basedOn w:val="Normal"/>
    <w:next w:val="Normal"/>
    <w:autoRedefine/>
    <w:pPr>
      <w:ind w:start="48pt"/>
    </w:pPr>
  </w:style>
  <w:style w:type="paragraph" w:styleId="TM7">
    <w:name w:val="toc 7"/>
    <w:basedOn w:val="Normal"/>
    <w:next w:val="Normal"/>
    <w:autoRedefine/>
    <w:pPr>
      <w:ind w:start="60pt"/>
    </w:pPr>
  </w:style>
  <w:style w:type="paragraph" w:styleId="TM8">
    <w:name w:val="toc 8"/>
    <w:basedOn w:val="Normal"/>
    <w:next w:val="Normal"/>
    <w:autoRedefine/>
    <w:pPr>
      <w:ind w:start="72pt"/>
    </w:pPr>
  </w:style>
  <w:style w:type="paragraph" w:styleId="TM9">
    <w:name w:val="toc 9"/>
    <w:basedOn w:val="Normal"/>
    <w:next w:val="Normal"/>
    <w:autoRedefine/>
    <w:pPr>
      <w:ind w:start="84pt"/>
    </w:pPr>
  </w:style>
  <w:style w:type="paragraph" w:styleId="En-tte">
    <w:name w:val="header"/>
    <w:basedOn w:val="Normal"/>
    <w:pPr>
      <w:tabs>
        <w:tab w:val="center" w:pos="226.80pt"/>
        <w:tab w:val="right" w:pos="453.60pt"/>
      </w:tabs>
    </w:pPr>
  </w:style>
  <w:style w:type="paragraph" w:styleId="Pieddepage">
    <w:name w:val="footer"/>
    <w:basedOn w:val="Normal"/>
    <w:pPr>
      <w:tabs>
        <w:tab w:val="center" w:pos="226.80pt"/>
        <w:tab w:val="right" w:pos="453.60pt"/>
      </w:tabs>
    </w:pPr>
  </w:style>
  <w:style w:type="paragraph" w:styleId="RedaliaSoustitredocument" w:customStyle="1">
    <w:name w:val="Redalia : Sous titre document"/>
    <w:basedOn w:val="RedaliaNormal"/>
    <w:next w:val="RedaliaNormal"/>
    <w:pPr>
      <w:jc w:val="center"/>
    </w:pPr>
    <w:rPr>
      <w:sz w:val="28"/>
    </w:rPr>
  </w:style>
  <w:style w:type="paragraph" w:styleId="AvecPuce" w:customStyle="1">
    <w:name w:val="Avec Puce"/>
    <w:basedOn w:val="Normal"/>
    <w:pPr>
      <w:tabs>
        <w:tab w:val="left" w:pos="129.80pt"/>
      </w:tabs>
      <w:spacing w:after="6pt"/>
    </w:pPr>
  </w:style>
  <w:style w:type="paragraph" w:styleId="Chapitre" w:customStyle="1">
    <w:name w:val="Chapitre"/>
    <w:basedOn w:val="Normal"/>
    <w:pPr>
      <w:tabs>
        <w:tab w:val="left" w:pos="0pt"/>
      </w:tabs>
      <w:spacing w:before="12pt" w:after="12pt"/>
    </w:pPr>
    <w:rPr>
      <w:rFonts w:ascii="Arial Narrow" w:hAnsi="Arial Narrow" w:eastAsia="Arial Narrow" w:cs="Arial Narrow"/>
      <w:color w:val="003366"/>
      <w:sz w:val="36"/>
      <w:szCs w:val="36"/>
    </w:rPr>
  </w:style>
  <w:style w:type="paragraph" w:styleId="Chapitre2" w:customStyle="1">
    <w:name w:val="Chapitre 2"/>
    <w:basedOn w:val="Chapitre"/>
    <w:pPr>
      <w:numPr>
        <w:numId w:val="23"/>
      </w:numPr>
      <w:pBdr>
        <w:top w:val="single" w:color="003366" w:sz="12" w:space="1"/>
        <w:left w:val="single" w:color="003366" w:sz="12" w:space="4"/>
        <w:bottom w:val="single" w:color="003366" w:sz="12" w:space="1"/>
        <w:right w:val="single" w:color="003366" w:sz="12" w:space="4"/>
      </w:pBdr>
      <w:shd w:val="clear" w:color="auto" w:fill="E0E0E0"/>
      <w:tabs>
        <w:tab w:val="clear" w:pos="0pt"/>
      </w:tabs>
      <w:spacing w:before="18pt" w:after="0pt"/>
    </w:pPr>
    <w:rPr>
      <w:rFonts w:ascii="Tahoma" w:hAnsi="Tahoma" w:eastAsia="Tahoma" w:cs="Tahoma"/>
      <w:b/>
      <w:bCs/>
      <w:sz w:val="24"/>
      <w:szCs w:val="24"/>
    </w:rPr>
  </w:style>
  <w:style w:type="paragraph" w:styleId="Commentaire">
    <w:name w:val="annotation text"/>
    <w:basedOn w:val="Normal"/>
  </w:style>
  <w:style w:type="paragraph" w:styleId="Corpsdetexte">
    <w:name w:val="Body Text"/>
    <w:basedOn w:val="Normal"/>
  </w:style>
  <w:style w:type="paragraph" w:styleId="Corpsdetexte2">
    <w:name w:val="Body Text 2"/>
    <w:basedOn w:val="Normal"/>
    <w:pPr>
      <w:jc w:val="center"/>
    </w:pPr>
    <w:rPr>
      <w:sz w:val="16"/>
      <w:szCs w:val="16"/>
    </w:rPr>
  </w:style>
  <w:style w:type="paragraph" w:styleId="Corpsdetexte3">
    <w:name w:val="Body Text 3"/>
    <w:basedOn w:val="Normal"/>
    <w:rPr>
      <w:i/>
      <w:iCs/>
    </w:rPr>
  </w:style>
  <w:style w:type="paragraph" w:styleId="Elmentrecens" w:customStyle="1">
    <w:name w:val="Elément recensé"/>
    <w:basedOn w:val="Normal"/>
    <w:pPr>
      <w:numPr>
        <w:numId w:val="24"/>
      </w:numPr>
      <w:tabs>
        <w:tab w:val="left" w:pos="-435.80pt"/>
      </w:tabs>
    </w:pPr>
  </w:style>
  <w:style w:type="paragraph" w:styleId="NormalWeb">
    <w:name w:val="Normal (Web)"/>
    <w:basedOn w:val="Normal"/>
    <w:pPr>
      <w:spacing w:before="5pt" w:after="5pt"/>
    </w:pPr>
  </w:style>
  <w:style w:type="paragraph" w:styleId="Retraitcorpsdetexte">
    <w:name w:val="Body Text Indent"/>
    <w:basedOn w:val="Normal"/>
    <w:pPr>
      <w:ind w:start="27pt"/>
    </w:pPr>
  </w:style>
  <w:style w:type="paragraph" w:styleId="StyleAvecPuceGras" w:customStyle="1">
    <w:name w:val="Style Avec Puce + Gras"/>
    <w:basedOn w:val="AvecPuce"/>
    <w:pPr>
      <w:numPr>
        <w:numId w:val="22"/>
      </w:numPr>
    </w:pPr>
    <w:rPr>
      <w:b/>
      <w:bCs/>
    </w:rPr>
  </w:style>
  <w:style w:type="paragraph" w:styleId="Textedebulles">
    <w:name w:val="Balloon Text"/>
    <w:basedOn w:val="Normal"/>
    <w:rPr>
      <w:rFonts w:ascii="Tahoma" w:hAnsi="Tahoma" w:eastAsia="Tahoma" w:cs="Tahoma"/>
      <w:sz w:val="16"/>
      <w:szCs w:val="16"/>
    </w:rPr>
  </w:style>
  <w:style w:type="paragraph" w:styleId="Titre">
    <w:name w:val="Title"/>
    <w:basedOn w:val="Normal"/>
    <w:uiPriority w:val="10"/>
    <w:qFormat/>
    <w:pPr>
      <w:jc w:val="center"/>
    </w:pPr>
    <w:rPr>
      <w:rFonts w:ascii="Tahoma" w:hAnsi="Tahoma" w:eastAsia="Tahoma" w:cs="Tahoma"/>
      <w:b/>
      <w:bCs/>
      <w:sz w:val="28"/>
      <w:szCs w:val="28"/>
    </w:rPr>
  </w:style>
  <w:style w:type="paragraph" w:styleId="xl24" w:customStyle="1">
    <w:name w:val="xl24"/>
    <w:basedOn w:val="Normal"/>
    <w:pPr>
      <w:pBdr>
        <w:top w:val="single" w:color="000000" w:sz="4" w:space="0"/>
        <w:left w:val="single" w:color="000000" w:sz="4" w:space="0"/>
        <w:bottom w:val="single" w:color="000000" w:sz="4" w:space="0"/>
        <w:right w:val="single" w:color="000000" w:sz="4" w:space="0"/>
      </w:pBdr>
      <w:spacing w:before="5pt" w:after="5pt"/>
      <w:textAlignment w:val="top"/>
    </w:pPr>
    <w:rPr>
      <w:sz w:val="12"/>
      <w:szCs w:val="12"/>
    </w:rPr>
  </w:style>
  <w:style w:type="paragraph" w:styleId="xl25" w:customStyle="1">
    <w:name w:val="xl25"/>
    <w:basedOn w:val="Normal"/>
    <w:pPr>
      <w:spacing w:before="5pt" w:after="5pt"/>
    </w:pPr>
    <w:rPr>
      <w:sz w:val="12"/>
      <w:szCs w:val="12"/>
    </w:rPr>
  </w:style>
  <w:style w:type="paragraph" w:styleId="xl26" w:customStyle="1">
    <w:name w:val="xl26"/>
    <w:basedOn w:val="Normal"/>
    <w:pPr>
      <w:pBdr>
        <w:top w:val="single" w:color="000000" w:sz="4" w:space="0"/>
        <w:left w:val="single" w:color="000000" w:sz="4" w:space="0"/>
        <w:bottom w:val="single" w:color="000000" w:sz="4" w:space="0"/>
        <w:right w:val="single" w:color="000000" w:sz="4" w:space="0"/>
      </w:pBdr>
      <w:spacing w:before="5pt" w:after="5pt"/>
    </w:pPr>
    <w:rPr>
      <w:sz w:val="12"/>
      <w:szCs w:val="12"/>
    </w:rPr>
  </w:style>
  <w:style w:type="paragraph" w:styleId="xl27" w:customStyle="1">
    <w:name w:val="xl27"/>
    <w:basedOn w:val="Normal"/>
    <w:pPr>
      <w:pBdr>
        <w:top w:val="single" w:color="000000" w:sz="4" w:space="0"/>
        <w:left w:val="single" w:color="000000" w:sz="4" w:space="0"/>
        <w:bottom w:val="single" w:color="000000" w:sz="4" w:space="0"/>
        <w:right w:val="single" w:color="000000" w:sz="4" w:space="0"/>
      </w:pBdr>
      <w:spacing w:before="5pt" w:after="5pt"/>
      <w:textAlignment w:val="top"/>
    </w:pPr>
    <w:rPr>
      <w:b/>
      <w:bCs/>
      <w:sz w:val="12"/>
      <w:szCs w:val="12"/>
    </w:rPr>
  </w:style>
  <w:style w:type="paragraph" w:styleId="xl28" w:customStyle="1">
    <w:name w:val="xl28"/>
    <w:basedOn w:val="Normal"/>
    <w:pPr>
      <w:pBdr>
        <w:top w:val="single" w:color="000000" w:sz="4" w:space="0"/>
        <w:left w:val="single" w:color="000000" w:sz="4" w:space="0"/>
        <w:bottom w:val="single" w:color="000000" w:sz="4" w:space="0"/>
        <w:right w:val="single" w:color="000000" w:sz="4" w:space="0"/>
      </w:pBdr>
      <w:shd w:val="clear" w:color="auto" w:fill="00CCFF"/>
      <w:spacing w:before="5pt" w:after="5pt"/>
      <w:jc w:val="center"/>
    </w:pPr>
    <w:rPr>
      <w:sz w:val="12"/>
      <w:szCs w:val="12"/>
    </w:rPr>
  </w:style>
  <w:style w:type="paragraph" w:styleId="xl29" w:customStyle="1">
    <w:name w:val="xl29"/>
    <w:basedOn w:val="Normal"/>
    <w:pPr>
      <w:pBdr>
        <w:top w:val="single" w:color="000000" w:sz="4" w:space="0"/>
        <w:left w:val="single" w:color="000000" w:sz="4" w:space="0"/>
        <w:bottom w:val="single" w:color="000000" w:sz="4" w:space="0"/>
        <w:right w:val="single" w:color="000000" w:sz="4" w:space="0"/>
      </w:pBdr>
      <w:shd w:val="clear" w:color="auto" w:fill="00CCFF"/>
      <w:spacing w:before="5pt" w:after="5pt"/>
      <w:jc w:val="center"/>
      <w:textAlignment w:val="center"/>
    </w:pPr>
    <w:rPr>
      <w:sz w:val="12"/>
      <w:szCs w:val="12"/>
    </w:rPr>
  </w:style>
  <w:style w:type="paragraph" w:styleId="xl30" w:customStyle="1">
    <w:name w:val="xl30"/>
    <w:basedOn w:val="Normal"/>
    <w:pPr>
      <w:pBdr>
        <w:top w:val="single" w:color="000000" w:sz="4" w:space="0"/>
        <w:left w:val="single" w:color="000000" w:sz="4" w:space="0"/>
        <w:bottom w:val="single" w:color="000000" w:sz="4" w:space="0"/>
        <w:right w:val="single" w:color="000000" w:sz="4" w:space="0"/>
      </w:pBdr>
      <w:shd w:val="clear" w:color="auto" w:fill="CCFFCC"/>
      <w:spacing w:before="5pt" w:after="5pt"/>
    </w:pPr>
    <w:rPr>
      <w:sz w:val="12"/>
      <w:szCs w:val="12"/>
    </w:rPr>
  </w:style>
  <w:style w:type="paragraph" w:styleId="xl31" w:customStyle="1">
    <w:name w:val="xl31"/>
    <w:basedOn w:val="Normal"/>
    <w:pPr>
      <w:pBdr>
        <w:top w:val="single" w:color="000000" w:sz="4" w:space="0"/>
        <w:left w:val="single" w:color="000000" w:sz="4" w:space="0"/>
        <w:bottom w:val="single" w:color="000000" w:sz="4" w:space="0"/>
        <w:right w:val="single" w:color="000000" w:sz="4" w:space="0"/>
      </w:pBdr>
      <w:spacing w:before="5pt" w:after="5pt"/>
    </w:pPr>
    <w:rPr>
      <w:sz w:val="12"/>
      <w:szCs w:val="12"/>
    </w:rPr>
  </w:style>
  <w:style w:type="paragraph" w:styleId="xl32" w:customStyle="1">
    <w:name w:val="xl32"/>
    <w:basedOn w:val="Normal"/>
    <w:pPr>
      <w:pBdr>
        <w:top w:val="single" w:color="000000" w:sz="4" w:space="0"/>
        <w:left w:val="single" w:color="000000" w:sz="4" w:space="0"/>
        <w:bottom w:val="single" w:color="000000" w:sz="4" w:space="0"/>
        <w:right w:val="single" w:color="000000" w:sz="4" w:space="0"/>
      </w:pBdr>
      <w:shd w:val="clear" w:color="auto" w:fill="CCFFFF"/>
      <w:spacing w:before="5pt" w:after="5pt"/>
    </w:pPr>
    <w:rPr>
      <w:sz w:val="12"/>
      <w:szCs w:val="12"/>
    </w:rPr>
  </w:style>
  <w:style w:type="paragraph" w:styleId="xl33" w:customStyle="1">
    <w:name w:val="xl33"/>
    <w:basedOn w:val="Normal"/>
    <w:pPr>
      <w:pBdr>
        <w:top w:val="single" w:color="000000" w:sz="4" w:space="0"/>
        <w:left w:val="single" w:color="000000" w:sz="4" w:space="0"/>
        <w:bottom w:val="single" w:color="000000" w:sz="4" w:space="0"/>
        <w:right w:val="single" w:color="000000" w:sz="4" w:space="0"/>
      </w:pBdr>
      <w:shd w:val="clear" w:color="auto" w:fill="FFFF00"/>
      <w:spacing w:before="5pt" w:after="5pt"/>
    </w:pPr>
    <w:rPr>
      <w:b/>
      <w:bCs/>
      <w:sz w:val="12"/>
      <w:szCs w:val="12"/>
    </w:rPr>
  </w:style>
  <w:style w:type="paragraph" w:styleId="xl34" w:customStyle="1">
    <w:name w:val="xl34"/>
    <w:basedOn w:val="Normal"/>
    <w:pPr>
      <w:spacing w:before="5pt" w:after="5pt"/>
      <w:textAlignment w:val="top"/>
    </w:pPr>
    <w:rPr>
      <w:sz w:val="12"/>
      <w:szCs w:val="12"/>
    </w:rPr>
  </w:style>
  <w:style w:type="paragraph" w:styleId="xl35" w:customStyle="1">
    <w:name w:val="xl35"/>
    <w:basedOn w:val="Normal"/>
    <w:pPr>
      <w:spacing w:before="5pt" w:after="5pt"/>
    </w:pPr>
    <w:rPr>
      <w:sz w:val="12"/>
      <w:szCs w:val="12"/>
    </w:rPr>
  </w:style>
  <w:style w:type="paragraph" w:styleId="xl36" w:customStyle="1">
    <w:name w:val="xl36"/>
    <w:basedOn w:val="Normal"/>
    <w:pPr>
      <w:shd w:val="clear" w:color="auto" w:fill="00CCFF"/>
      <w:spacing w:before="5pt" w:after="5pt"/>
      <w:jc w:val="center"/>
    </w:pPr>
    <w:rPr>
      <w:b/>
      <w:bCs/>
      <w:sz w:val="12"/>
      <w:szCs w:val="12"/>
    </w:rPr>
  </w:style>
  <w:style w:type="paragraph" w:styleId="xl37" w:customStyle="1">
    <w:name w:val="xl37"/>
    <w:basedOn w:val="Normal"/>
    <w:pPr>
      <w:shd w:val="clear" w:color="auto" w:fill="00CCFF"/>
      <w:spacing w:before="5pt" w:after="5pt"/>
      <w:jc w:val="center"/>
    </w:pPr>
    <w:rPr>
      <w:b/>
      <w:bCs/>
      <w:sz w:val="12"/>
      <w:szCs w:val="12"/>
    </w:rPr>
  </w:style>
  <w:style w:type="paragraph" w:styleId="adresse" w:customStyle="1">
    <w:name w:val="adresse"/>
    <w:basedOn w:val="Normal"/>
    <w:pPr>
      <w:overflowPunct w:val="0"/>
      <w:autoSpaceDE w:val="0"/>
    </w:pPr>
    <w:rPr>
      <w:color w:val="000000"/>
    </w:rPr>
  </w:style>
  <w:style w:type="paragraph" w:styleId="Date">
    <w:name w:val="Date"/>
    <w:basedOn w:val="Normal"/>
    <w:pPr>
      <w:overflowPunct w:val="0"/>
      <w:autoSpaceDE w:val="0"/>
      <w:spacing w:after="197pt"/>
      <w:ind w:end="85.05pt"/>
      <w:jc w:val="right"/>
    </w:pPr>
    <w:rPr>
      <w:color w:val="000000"/>
    </w:rPr>
  </w:style>
  <w:style w:type="paragraph" w:styleId="Etat-icone" w:customStyle="1">
    <w:name w:val="Etat - icone"/>
    <w:basedOn w:val="Normal"/>
    <w:rPr>
      <w:rFonts w:cs="Webdings"/>
    </w:rPr>
  </w:style>
  <w:style w:type="paragraph" w:styleId="LIARetrait" w:customStyle="1">
    <w:name w:val="LIA : Retrait"/>
    <w:basedOn w:val="LIANormal"/>
    <w:pPr>
      <w:ind w:firstLine="35.45pt"/>
    </w:pPr>
    <w:rPr>
      <w:sz w:val="20"/>
      <w:szCs w:val="20"/>
    </w:rPr>
  </w:style>
  <w:style w:type="paragraph" w:styleId="LIATOTAL" w:customStyle="1">
    <w:name w:val="LIA : TOTAL"/>
    <w:basedOn w:val="Normal"/>
    <w:pPr>
      <w:jc w:val="right"/>
    </w:pPr>
    <w:rPr>
      <w:b/>
      <w:bCs/>
    </w:rPr>
  </w:style>
  <w:style w:type="paragraph" w:styleId="rfrence" w:customStyle="1">
    <w:name w:val="référence"/>
    <w:basedOn w:val="Normal"/>
    <w:pPr>
      <w:overflowPunct w:val="0"/>
      <w:autoSpaceDE w:val="0"/>
    </w:pPr>
    <w:rPr>
      <w:color w:val="000000"/>
      <w:sz w:val="16"/>
      <w:szCs w:val="16"/>
    </w:rPr>
  </w:style>
  <w:style w:type="paragraph" w:styleId="Tableau" w:customStyle="1">
    <w:name w:val="Tableau"/>
    <w:basedOn w:val="Normal"/>
    <w:rPr>
      <w:sz w:val="16"/>
      <w:szCs w:val="16"/>
    </w:rPr>
  </w:style>
  <w:style w:type="paragraph" w:styleId="texte" w:customStyle="1">
    <w:name w:val="texte"/>
    <w:basedOn w:val="Normal"/>
    <w:pPr>
      <w:overflowPunct w:val="0"/>
      <w:autoSpaceDE w:val="0"/>
      <w:spacing w:before="6pt" w:after="6pt"/>
      <w:ind w:firstLine="34pt"/>
      <w:jc w:val="both"/>
    </w:pPr>
    <w:rPr>
      <w:color w:val="000000"/>
    </w:rPr>
  </w:style>
  <w:style w:type="paragraph" w:styleId="Textepardfaut" w:customStyle="1">
    <w:name w:val="Texte par défaut"/>
    <w:basedOn w:val="Normal"/>
    <w:pPr>
      <w:overflowPunct w:val="0"/>
      <w:autoSpaceDE w:val="0"/>
    </w:pPr>
    <w:rPr>
      <w:color w:val="000000"/>
    </w:rPr>
  </w:style>
  <w:style w:type="paragraph" w:styleId="LIANomdecolonne" w:customStyle="1">
    <w:name w:val="LIA : Nom de colonne"/>
    <w:basedOn w:val="LIANormal"/>
    <w:autoRedefine/>
    <w:pPr>
      <w:spacing w:before="6pt" w:after="6pt"/>
      <w:jc w:val="center"/>
    </w:pPr>
    <w:rPr>
      <w:rFonts w:cs="Verdana"/>
      <w:b/>
      <w:bCs/>
      <w:sz w:val="18"/>
      <w:szCs w:val="22"/>
    </w:rPr>
  </w:style>
  <w:style w:type="paragraph" w:styleId="titre1c" w:customStyle="1">
    <w:name w:val="titre 1c"/>
    <w:basedOn w:val="Normal"/>
    <w:next w:val="Normal"/>
    <w:pPr>
      <w:keepLines/>
      <w:spacing w:before="96pt"/>
      <w:jc w:val="center"/>
    </w:pPr>
    <w:rPr>
      <w:rFonts w:ascii="Verdana" w:hAnsi="Verdana" w:eastAsia="Verdana" w:cs="Verdana"/>
      <w:sz w:val="28"/>
      <w:szCs w:val="28"/>
    </w:rPr>
  </w:style>
  <w:style w:type="paragraph" w:styleId="LIATITREPPAL" w:customStyle="1">
    <w:name w:val="LIA : TITRE PPAL"/>
    <w:basedOn w:val="LIANormal"/>
    <w:autoRedefine/>
    <w:pPr>
      <w:jc w:val="center"/>
    </w:pPr>
    <w:rPr>
      <w:b/>
      <w:bCs/>
      <w:sz w:val="40"/>
      <w:szCs w:val="40"/>
    </w:rPr>
  </w:style>
  <w:style w:type="paragraph" w:styleId="LIATitre0" w:customStyle="1">
    <w:name w:val="LIA : Titre"/>
    <w:basedOn w:val="LIANormal"/>
    <w:next w:val="LIANormal"/>
    <w:autoRedefine/>
    <w:rPr>
      <w:b/>
      <w:sz w:val="24"/>
      <w:szCs w:val="24"/>
    </w:rPr>
  </w:style>
  <w:style w:type="paragraph" w:styleId="LIAParagrapheA" w:customStyle="1">
    <w:name w:val="LIA Paragraphe A"/>
    <w:basedOn w:val="Normal"/>
    <w:autoRedefine/>
    <w:pPr>
      <w:numPr>
        <w:numId w:val="30"/>
      </w:numPr>
      <w:tabs>
        <w:tab w:val="left" w:pos="-475.65pt"/>
      </w:tabs>
      <w:spacing w:before="6pt" w:after="6pt"/>
      <w:jc w:val="both"/>
    </w:pPr>
    <w:rPr>
      <w:rFonts w:cs="Calibri"/>
      <w:b/>
      <w:bCs/>
      <w:sz w:val="24"/>
      <w:szCs w:val="28"/>
    </w:rPr>
  </w:style>
  <w:style w:type="paragraph" w:styleId="LIALgende" w:customStyle="1">
    <w:name w:val="LIA : Légende"/>
    <w:basedOn w:val="LIANormal"/>
    <w:autoRedefine/>
    <w:rPr>
      <w:rFonts w:cs="Calibri"/>
      <w:i/>
      <w:iCs/>
      <w:sz w:val="16"/>
      <w:szCs w:val="16"/>
    </w:rPr>
  </w:style>
  <w:style w:type="paragraph" w:styleId="LIASSTITRE" w:customStyle="1">
    <w:name w:val="LIA : SS TITRE"/>
    <w:basedOn w:val="LIATITREPPAL"/>
    <w:autoRedefine/>
    <w:pPr>
      <w:jc w:val="right"/>
    </w:pPr>
    <w:rPr>
      <w:sz w:val="28"/>
      <w:szCs w:val="28"/>
      <w:u w:val="single"/>
    </w:rPr>
  </w:style>
  <w:style w:type="paragraph" w:styleId="LIAParagraphe1" w:customStyle="1">
    <w:name w:val="LIA Paragraphe 1"/>
    <w:basedOn w:val="Normal"/>
    <w:autoRedefine/>
    <w:pPr>
      <w:numPr>
        <w:numId w:val="29"/>
      </w:numPr>
      <w:tabs>
        <w:tab w:val="left" w:pos="-223.65pt"/>
      </w:tabs>
      <w:spacing w:before="6pt" w:after="6pt"/>
      <w:jc w:val="both"/>
    </w:pPr>
    <w:rPr>
      <w:rFonts w:cs="Calibri"/>
      <w:b/>
      <w:bCs/>
      <w:sz w:val="24"/>
      <w:szCs w:val="28"/>
    </w:rPr>
  </w:style>
  <w:style w:type="paragraph" w:styleId="redaliatitre20" w:customStyle="1">
    <w:name w:val="redaliatitre2"/>
    <w:basedOn w:val="Normal"/>
    <w:pPr>
      <w:spacing w:before="5pt" w:after="5pt"/>
    </w:pPr>
    <w:rPr>
      <w:rFonts w:ascii="Times New Roman" w:hAnsi="Times New Roman" w:eastAsia="Times New Roman" w:cs="Times New Roman"/>
      <w:sz w:val="24"/>
      <w:szCs w:val="24"/>
    </w:rPr>
  </w:style>
  <w:style w:type="paragraph" w:styleId="redalianormal0" w:customStyle="1">
    <w:name w:val="redalianormal"/>
    <w:basedOn w:val="Normal"/>
    <w:pPr>
      <w:spacing w:before="5pt" w:after="5pt"/>
    </w:pPr>
    <w:rPr>
      <w:rFonts w:ascii="Times New Roman" w:hAnsi="Times New Roman" w:eastAsia="Times New Roman" w:cs="Times New Roman"/>
      <w:sz w:val="24"/>
      <w:szCs w:val="24"/>
    </w:rPr>
  </w:style>
  <w:style w:type="paragraph" w:styleId="redaliapuces0" w:customStyle="1">
    <w:name w:val="redaliapuces"/>
    <w:basedOn w:val="Normal"/>
    <w:pPr>
      <w:spacing w:before="5pt" w:after="5pt"/>
    </w:pPr>
    <w:rPr>
      <w:rFonts w:ascii="Times New Roman" w:hAnsi="Times New Roman" w:eastAsia="Times New Roman" w:cs="Times New Roman"/>
      <w:sz w:val="24"/>
      <w:szCs w:val="24"/>
    </w:rPr>
  </w:style>
  <w:style w:type="paragraph" w:styleId="rdaliaretraitniveau10" w:customStyle="1">
    <w:name w:val="rdaliaretraitniveau1"/>
    <w:basedOn w:val="Normal"/>
    <w:pPr>
      <w:spacing w:before="5pt" w:after="5pt"/>
    </w:pPr>
    <w:rPr>
      <w:rFonts w:ascii="Times New Roman" w:hAnsi="Times New Roman" w:eastAsia="Times New Roman" w:cs="Times New Roman"/>
      <w:sz w:val="24"/>
      <w:szCs w:val="24"/>
    </w:rPr>
  </w:style>
  <w:style w:type="paragraph" w:styleId="Sansinterligne">
    <w:name w:val="No Spacing"/>
    <w:pPr>
      <w:suppressAutoHyphens/>
    </w:pPr>
    <w:rPr>
      <w:rFonts w:ascii="Arial" w:hAnsi="Arial" w:eastAsia="Arial" w:cs="Arial"/>
      <w:sz w:val="22"/>
      <w:szCs w:val="22"/>
      <w:lang w:eastAsia="en-US"/>
    </w:rPr>
  </w:style>
  <w:style w:type="paragraph" w:styleId="Paragraphedeliste">
    <w:name w:val="List Paragraph"/>
    <w:basedOn w:val="Normal"/>
    <w:pPr>
      <w:ind w:start="36pt"/>
    </w:pPr>
  </w:style>
  <w:style w:type="paragraph" w:styleId="Heading" w:customStyle="1">
    <w:name w:val="Heading"/>
    <w:basedOn w:val="Standard"/>
    <w:next w:val="Textbody"/>
    <w:pPr>
      <w:keepNext/>
      <w:spacing w:before="12pt" w:after="6pt"/>
    </w:pPr>
    <w:rPr>
      <w:rFonts w:ascii="Liberation Sans" w:hAnsi="Liberation Sans" w:eastAsia="MS Gothic" w:cs="Tahoma"/>
      <w:sz w:val="28"/>
      <w:szCs w:val="28"/>
    </w:rPr>
  </w:style>
  <w:style w:type="paragraph" w:styleId="Textbody" w:customStyle="1">
    <w:name w:val="Text body"/>
    <w:basedOn w:val="Standard"/>
    <w:pPr>
      <w:spacing w:after="7pt" w:line="13.80pt" w:lineRule="auto"/>
    </w:pPr>
  </w:style>
  <w:style w:type="paragraph" w:styleId="TableContents" w:customStyle="1">
    <w:name w:val="Table Contents"/>
    <w:basedOn w:val="Standard"/>
    <w:pPr>
      <w:suppressLineNumbers/>
    </w:pPr>
  </w:style>
  <w:style w:type="paragraph" w:styleId="TableHeading" w:customStyle="1">
    <w:name w:val="Table Heading"/>
    <w:basedOn w:val="Tableau11centre"/>
    <w:rPr>
      <w:b/>
    </w:rPr>
  </w:style>
  <w:style w:type="paragraph" w:styleId="Lgende">
    <w:name w:val="caption"/>
    <w:basedOn w:val="Standard"/>
    <w:pPr>
      <w:suppressLineNumbers/>
      <w:spacing w:before="6pt" w:after="6pt"/>
    </w:pPr>
    <w:rPr>
      <w:i/>
      <w:iCs/>
    </w:rPr>
  </w:style>
  <w:style w:type="paragraph" w:styleId="Table" w:customStyle="1">
    <w:name w:val="Table"/>
    <w:basedOn w:val="Normal"/>
    <w:rPr>
      <w:sz w:val="16"/>
      <w:szCs w:val="16"/>
    </w:rPr>
  </w:style>
  <w:style w:type="character" w:styleId="Titre1Car" w:customStyle="1">
    <w:name w:val="Titre 1 Car"/>
    <w:rPr>
      <w:rFonts w:ascii="Arial" w:hAnsi="Arial" w:eastAsia="Arial" w:cs="Arial"/>
      <w:b/>
      <w:kern w:val="3"/>
      <w:sz w:val="32"/>
    </w:rPr>
  </w:style>
  <w:style w:type="character" w:styleId="Titre2Car" w:customStyle="1">
    <w:name w:val="Titre 2 Car"/>
    <w:rPr>
      <w:rFonts w:ascii="Arial" w:hAnsi="Arial" w:eastAsia="Arial" w:cs="Arial"/>
      <w:sz w:val="28"/>
      <w:u w:val="single"/>
    </w:rPr>
  </w:style>
  <w:style w:type="character" w:styleId="Titre3Car" w:customStyle="1">
    <w:name w:val="Titre 3 Car"/>
    <w:rPr>
      <w:rFonts w:ascii="Arial" w:hAnsi="Arial" w:eastAsia="Arial" w:cs="Arial"/>
      <w:sz w:val="24"/>
      <w:u w:val="single"/>
    </w:rPr>
  </w:style>
  <w:style w:type="character" w:styleId="Titre4Car" w:customStyle="1">
    <w:name w:val="Titre 4 Car"/>
    <w:rPr>
      <w:rFonts w:ascii="Arial" w:hAnsi="Arial" w:eastAsia="Arial" w:cs="Arial"/>
      <w:i/>
      <w:sz w:val="24"/>
    </w:rPr>
  </w:style>
  <w:style w:type="character" w:styleId="Titre5Car" w:customStyle="1">
    <w:name w:val="Titre 5 Car"/>
    <w:rPr>
      <w:rFonts w:ascii="Arial" w:hAnsi="Arial" w:eastAsia="Arial" w:cs="Arial"/>
      <w:i/>
      <w:sz w:val="22"/>
    </w:rPr>
  </w:style>
  <w:style w:type="character" w:styleId="Titre6Car" w:customStyle="1">
    <w:name w:val="Titre 6 Car"/>
    <w:rPr>
      <w:rFonts w:ascii="Arial" w:hAnsi="Arial" w:eastAsia="Arial" w:cs="Arial"/>
      <w:b/>
      <w:bCs/>
      <w:sz w:val="22"/>
    </w:rPr>
  </w:style>
  <w:style w:type="character" w:styleId="Titre7Car" w:customStyle="1">
    <w:name w:val="Titre 7 Car"/>
    <w:rPr>
      <w:rFonts w:ascii="Calibri Light" w:hAnsi="Calibri Light" w:eastAsia="Calibri Light" w:cs="Calibri Light"/>
      <w:i/>
      <w:color w:val="404040"/>
      <w:sz w:val="22"/>
      <w:lang w:eastAsia="en-US"/>
    </w:rPr>
  </w:style>
  <w:style w:type="character" w:styleId="Titre8Car" w:customStyle="1">
    <w:name w:val="Titre 8 Car"/>
    <w:rPr>
      <w:rFonts w:ascii="Calibri Light" w:hAnsi="Calibri Light" w:eastAsia="Calibri Light" w:cs="Calibri Light"/>
      <w:color w:val="404040"/>
      <w:lang w:eastAsia="en-US"/>
    </w:rPr>
  </w:style>
  <w:style w:type="character" w:styleId="Titre9Car" w:customStyle="1">
    <w:name w:val="Titre 9 Car"/>
    <w:rPr>
      <w:rFonts w:ascii="Calibri Light" w:hAnsi="Calibri Light" w:eastAsia="Calibri Light" w:cs="Calibri Light"/>
      <w:i/>
      <w:color w:val="404040"/>
      <w:lang w:eastAsia="en-US"/>
    </w:rPr>
  </w:style>
  <w:style w:type="character" w:styleId="Lienhypertexte">
    <w:name w:val="Hyperlink"/>
    <w:rPr>
      <w:color w:val="003366"/>
      <w:u w:val="none"/>
    </w:rPr>
  </w:style>
  <w:style w:type="character" w:styleId="En-tteCar" w:customStyle="1">
    <w:name w:val="En-tête Car"/>
    <w:rPr>
      <w:rFonts w:ascii="Arial" w:hAnsi="Arial" w:eastAsia="Arial" w:cs="Arial"/>
      <w:sz w:val="22"/>
    </w:rPr>
  </w:style>
  <w:style w:type="character" w:styleId="PieddepageCar" w:customStyle="1">
    <w:name w:val="Pied de page Car"/>
    <w:rPr>
      <w:rFonts w:ascii="Arial" w:hAnsi="Arial" w:eastAsia="Arial" w:cs="Arial"/>
      <w:sz w:val="22"/>
    </w:rPr>
  </w:style>
  <w:style w:type="character" w:styleId="AvecPuceCar" w:customStyle="1">
    <w:name w:val="Avec Puce Car"/>
    <w:rPr>
      <w:sz w:val="24"/>
      <w:lang w:val="fr-FR" w:eastAsia="fr-FR"/>
    </w:rPr>
  </w:style>
  <w:style w:type="character" w:styleId="CommentaireCar" w:customStyle="1">
    <w:name w:val="Commentaire Car"/>
    <w:rPr>
      <w:sz w:val="20"/>
    </w:rPr>
  </w:style>
  <w:style w:type="character" w:styleId="CorpsdetexteCar" w:customStyle="1">
    <w:name w:val="Corps de texte Car"/>
    <w:rPr>
      <w:sz w:val="20"/>
    </w:rPr>
  </w:style>
  <w:style w:type="character" w:styleId="Corpsdetexte2Car" w:customStyle="1">
    <w:name w:val="Corps de texte 2 Car"/>
    <w:rPr>
      <w:sz w:val="20"/>
    </w:rPr>
  </w:style>
  <w:style w:type="character" w:styleId="Corpsdetexte3Car" w:customStyle="1">
    <w:name w:val="Corps de texte 3 Car"/>
    <w:rPr>
      <w:sz w:val="16"/>
    </w:rPr>
  </w:style>
  <w:style w:type="character" w:styleId="Lienhypertextesuivivisit">
    <w:name w:val="FollowedHyperlink"/>
    <w:rPr>
      <w:color w:val="800080"/>
      <w:u w:val="single"/>
    </w:rPr>
  </w:style>
  <w:style w:type="character" w:styleId="Marquedecommentaire">
    <w:name w:val="annotation reference"/>
    <w:rPr>
      <w:sz w:val="16"/>
    </w:rPr>
  </w:style>
  <w:style w:type="character" w:styleId="Numrodepage">
    <w:name w:val="page number"/>
    <w:rPr>
      <w:rFonts w:ascii="Times New Roman" w:hAnsi="Times New Roman" w:eastAsia="Times New Roman" w:cs="Times New Roman"/>
    </w:rPr>
  </w:style>
  <w:style w:type="character" w:styleId="RetraitcorpsdetexteCar" w:customStyle="1">
    <w:name w:val="Retrait corps de texte Car"/>
    <w:rPr>
      <w:sz w:val="20"/>
    </w:rPr>
  </w:style>
  <w:style w:type="character" w:styleId="StyleAvecPuceGrasCar" w:customStyle="1">
    <w:name w:val="Style Avec Puce + Gras Car"/>
    <w:rPr>
      <w:b/>
      <w:sz w:val="24"/>
      <w:lang w:val="fr-FR" w:eastAsia="fr-FR"/>
    </w:rPr>
  </w:style>
  <w:style w:type="character" w:styleId="TextedebullesCar" w:customStyle="1">
    <w:name w:val="Texte de bulles Car"/>
    <w:rPr>
      <w:rFonts w:ascii="Tahoma" w:hAnsi="Tahoma" w:eastAsia="Tahoma" w:cs="Tahoma"/>
      <w:sz w:val="16"/>
    </w:rPr>
  </w:style>
  <w:style w:type="character" w:styleId="TitreCar" w:customStyle="1">
    <w:name w:val="Titre Car"/>
    <w:rPr>
      <w:rFonts w:ascii="Cambria" w:hAnsi="Cambria" w:eastAsia="Cambria" w:cs="Cambria"/>
      <w:b/>
      <w:kern w:val="3"/>
      <w:sz w:val="32"/>
    </w:rPr>
  </w:style>
  <w:style w:type="character" w:styleId="DateCar" w:customStyle="1">
    <w:name w:val="Date Car"/>
    <w:rPr>
      <w:rFonts w:ascii="Arial" w:hAnsi="Arial" w:eastAsia="Arial" w:cs="Arial"/>
      <w:sz w:val="22"/>
    </w:rPr>
  </w:style>
  <w:style w:type="character" w:styleId="IconeWeb" w:customStyle="1">
    <w:name w:val="IconeWeb"/>
    <w:rPr>
      <w:rFonts w:ascii="Webdings" w:hAnsi="Webdings" w:eastAsia="Webdings" w:cs="Webdings"/>
    </w:rPr>
  </w:style>
  <w:style w:type="character" w:styleId="EmailStyle175" w:customStyle="1">
    <w:name w:val="EmailStyle175"/>
    <w:rPr>
      <w:rFonts w:ascii="Century Gothic" w:hAnsi="Century Gothic" w:eastAsia="Century Gothic" w:cs="Century Gothic"/>
      <w:color w:val="auto"/>
      <w:sz w:val="20"/>
    </w:rPr>
  </w:style>
  <w:style w:type="character" w:styleId="EmailStyle176" w:customStyle="1">
    <w:name w:val="EmailStyle176"/>
    <w:rPr>
      <w:rFonts w:ascii="Arial" w:hAnsi="Arial" w:eastAsia="Arial" w:cs="Arial"/>
      <w:color w:val="auto"/>
      <w:sz w:val="16"/>
    </w:rPr>
  </w:style>
  <w:style w:type="character" w:styleId="EmailStyle177" w:customStyle="1">
    <w:name w:val="EmailStyle177"/>
    <w:rPr>
      <w:rFonts w:ascii="Century Gothic" w:hAnsi="Century Gothic" w:eastAsia="Century Gothic" w:cs="Century Gothic"/>
      <w:color w:val="auto"/>
      <w:sz w:val="20"/>
    </w:rPr>
  </w:style>
  <w:style w:type="character" w:styleId="EmailStyle178" w:customStyle="1">
    <w:name w:val="EmailStyle178"/>
    <w:rPr>
      <w:rFonts w:ascii="Arial" w:hAnsi="Arial" w:eastAsia="Arial" w:cs="Arial"/>
      <w:color w:val="auto"/>
      <w:sz w:val="16"/>
    </w:rPr>
  </w:style>
  <w:style w:type="character" w:styleId="EmailStyle179" w:customStyle="1">
    <w:name w:val="EmailStyle179"/>
    <w:rPr>
      <w:rFonts w:ascii="Century Gothic" w:hAnsi="Century Gothic" w:eastAsia="Century Gothic" w:cs="Century Gothic"/>
      <w:color w:val="auto"/>
      <w:sz w:val="20"/>
    </w:rPr>
  </w:style>
  <w:style w:type="character" w:styleId="EmailStyle180" w:customStyle="1">
    <w:name w:val="EmailStyle180"/>
    <w:rPr>
      <w:rFonts w:ascii="Arial" w:hAnsi="Arial" w:eastAsia="Arial" w:cs="Arial"/>
      <w:color w:val="auto"/>
      <w:sz w:val="16"/>
    </w:rPr>
  </w:style>
  <w:style w:type="character" w:styleId="EmailStyle181" w:customStyle="1">
    <w:name w:val="EmailStyle181"/>
    <w:rPr>
      <w:rFonts w:ascii="Century Gothic" w:hAnsi="Century Gothic" w:eastAsia="Century Gothic" w:cs="Century Gothic"/>
      <w:color w:val="auto"/>
      <w:sz w:val="20"/>
    </w:rPr>
  </w:style>
  <w:style w:type="character" w:styleId="EmailStyle182" w:customStyle="1">
    <w:name w:val="EmailStyle182"/>
    <w:rPr>
      <w:rFonts w:ascii="Arial" w:hAnsi="Arial" w:eastAsia="Arial" w:cs="Arial"/>
      <w:color w:val="auto"/>
      <w:sz w:val="16"/>
    </w:rPr>
  </w:style>
  <w:style w:type="character" w:styleId="EmailStyle183" w:customStyle="1">
    <w:name w:val="EmailStyle183"/>
    <w:rPr>
      <w:rFonts w:ascii="Century Gothic" w:hAnsi="Century Gothic" w:eastAsia="Century Gothic" w:cs="Century Gothic"/>
      <w:color w:val="auto"/>
      <w:sz w:val="20"/>
    </w:rPr>
  </w:style>
  <w:style w:type="character" w:styleId="EmailStyle184" w:customStyle="1">
    <w:name w:val="EmailStyle184"/>
    <w:rPr>
      <w:rFonts w:ascii="Arial" w:hAnsi="Arial" w:eastAsia="Arial" w:cs="Arial"/>
      <w:color w:val="auto"/>
      <w:sz w:val="16"/>
    </w:rPr>
  </w:style>
  <w:style w:type="character" w:styleId="EmailStyle185" w:customStyle="1">
    <w:name w:val="EmailStyle185"/>
    <w:rPr>
      <w:rFonts w:ascii="Century Gothic" w:hAnsi="Century Gothic" w:eastAsia="Century Gothic" w:cs="Century Gothic"/>
      <w:color w:val="auto"/>
      <w:sz w:val="20"/>
    </w:rPr>
  </w:style>
  <w:style w:type="character" w:styleId="EmailStyle186" w:customStyle="1">
    <w:name w:val="EmailStyle186"/>
    <w:rPr>
      <w:rFonts w:ascii="Arial" w:hAnsi="Arial" w:eastAsia="Arial" w:cs="Arial"/>
      <w:color w:val="auto"/>
      <w:sz w:val="16"/>
    </w:rPr>
  </w:style>
  <w:style w:type="character" w:styleId="EmailStyle187" w:customStyle="1">
    <w:name w:val="EmailStyle187"/>
    <w:rPr>
      <w:rFonts w:ascii="Century Gothic" w:hAnsi="Century Gothic" w:eastAsia="Century Gothic" w:cs="Century Gothic"/>
      <w:color w:val="auto"/>
      <w:sz w:val="20"/>
    </w:rPr>
  </w:style>
  <w:style w:type="character" w:styleId="EmailStyle188" w:customStyle="1">
    <w:name w:val="EmailStyle188"/>
    <w:rPr>
      <w:rFonts w:ascii="Arial" w:hAnsi="Arial" w:eastAsia="Arial" w:cs="Arial"/>
      <w:color w:val="auto"/>
      <w:sz w:val="16"/>
    </w:rPr>
  </w:style>
  <w:style w:type="character" w:styleId="EmailStyle189" w:customStyle="1">
    <w:name w:val="EmailStyle189"/>
    <w:rPr>
      <w:rFonts w:ascii="Century Gothic" w:hAnsi="Century Gothic" w:eastAsia="Century Gothic" w:cs="Century Gothic"/>
      <w:color w:val="auto"/>
      <w:sz w:val="20"/>
    </w:rPr>
  </w:style>
  <w:style w:type="character" w:styleId="EmailStyle190" w:customStyle="1">
    <w:name w:val="EmailStyle190"/>
    <w:rPr>
      <w:rFonts w:ascii="Arial" w:hAnsi="Arial" w:eastAsia="Arial" w:cs="Arial"/>
      <w:color w:val="auto"/>
      <w:sz w:val="16"/>
    </w:rPr>
  </w:style>
  <w:style w:type="character" w:styleId="EmailStyle191" w:customStyle="1">
    <w:name w:val="EmailStyle191"/>
    <w:rPr>
      <w:rFonts w:ascii="Century Gothic" w:hAnsi="Century Gothic" w:eastAsia="Century Gothic" w:cs="Century Gothic"/>
      <w:color w:val="auto"/>
      <w:sz w:val="20"/>
    </w:rPr>
  </w:style>
  <w:style w:type="character" w:styleId="EmailStyle192" w:customStyle="1">
    <w:name w:val="EmailStyle192"/>
    <w:rPr>
      <w:rFonts w:ascii="Arial" w:hAnsi="Arial" w:eastAsia="Arial" w:cs="Arial"/>
      <w:color w:val="auto"/>
      <w:sz w:val="16"/>
    </w:rPr>
  </w:style>
  <w:style w:type="character" w:styleId="EmailStyle193" w:customStyle="1">
    <w:name w:val="EmailStyle193"/>
    <w:rPr>
      <w:rFonts w:ascii="Century Gothic" w:hAnsi="Century Gothic" w:eastAsia="Century Gothic" w:cs="Century Gothic"/>
      <w:color w:val="auto"/>
      <w:sz w:val="20"/>
    </w:rPr>
  </w:style>
  <w:style w:type="character" w:styleId="EmailStyle194" w:customStyle="1">
    <w:name w:val="EmailStyle194"/>
    <w:rPr>
      <w:rFonts w:ascii="Arial" w:hAnsi="Arial" w:eastAsia="Arial" w:cs="Arial"/>
      <w:color w:val="auto"/>
      <w:sz w:val="16"/>
    </w:rPr>
  </w:style>
  <w:style w:type="character" w:styleId="EmailStyle195" w:customStyle="1">
    <w:name w:val="EmailStyle195"/>
    <w:rPr>
      <w:rFonts w:ascii="Century Gothic" w:hAnsi="Century Gothic" w:eastAsia="Century Gothic" w:cs="Century Gothic"/>
      <w:color w:val="auto"/>
      <w:sz w:val="20"/>
    </w:rPr>
  </w:style>
  <w:style w:type="character" w:styleId="EmailStyle196" w:customStyle="1">
    <w:name w:val="EmailStyle196"/>
    <w:rPr>
      <w:rFonts w:ascii="Arial" w:hAnsi="Arial" w:eastAsia="Arial" w:cs="Arial"/>
      <w:color w:val="auto"/>
      <w:sz w:val="16"/>
    </w:rPr>
  </w:style>
  <w:style w:type="character" w:styleId="EmailStyle197" w:customStyle="1">
    <w:name w:val="EmailStyle197"/>
    <w:rPr>
      <w:rFonts w:ascii="Century Gothic" w:hAnsi="Century Gothic" w:eastAsia="Century Gothic" w:cs="Century Gothic"/>
      <w:color w:val="auto"/>
      <w:sz w:val="20"/>
    </w:rPr>
  </w:style>
  <w:style w:type="character" w:styleId="EmailStyle198" w:customStyle="1">
    <w:name w:val="EmailStyle198"/>
    <w:rPr>
      <w:rFonts w:ascii="Arial" w:hAnsi="Arial" w:eastAsia="Arial" w:cs="Arial"/>
      <w:color w:val="auto"/>
      <w:sz w:val="16"/>
    </w:rPr>
  </w:style>
  <w:style w:type="character" w:styleId="EmailStyle199" w:customStyle="1">
    <w:name w:val="EmailStyle199"/>
    <w:rPr>
      <w:rFonts w:ascii="Century Gothic" w:hAnsi="Century Gothic" w:eastAsia="Century Gothic" w:cs="Century Gothic"/>
      <w:color w:val="auto"/>
      <w:sz w:val="20"/>
    </w:rPr>
  </w:style>
  <w:style w:type="character" w:styleId="EmailStyle200" w:customStyle="1">
    <w:name w:val="EmailStyle200"/>
    <w:rPr>
      <w:rFonts w:ascii="Arial" w:hAnsi="Arial" w:eastAsia="Arial" w:cs="Arial"/>
      <w:color w:val="auto"/>
      <w:sz w:val="16"/>
    </w:rPr>
  </w:style>
  <w:style w:type="character" w:styleId="EmailStyle201" w:customStyle="1">
    <w:name w:val="EmailStyle201"/>
    <w:rPr>
      <w:rFonts w:ascii="Century Gothic" w:hAnsi="Century Gothic" w:eastAsia="Century Gothic" w:cs="Century Gothic"/>
      <w:color w:val="auto"/>
      <w:sz w:val="20"/>
    </w:rPr>
  </w:style>
  <w:style w:type="character" w:styleId="EmailStyle202" w:customStyle="1">
    <w:name w:val="EmailStyle202"/>
    <w:rPr>
      <w:rFonts w:ascii="Arial" w:hAnsi="Arial" w:eastAsia="Arial" w:cs="Arial"/>
      <w:color w:val="auto"/>
      <w:sz w:val="16"/>
    </w:rPr>
  </w:style>
  <w:style w:type="character" w:styleId="EmailStyle203" w:customStyle="1">
    <w:name w:val="EmailStyle203"/>
    <w:rPr>
      <w:rFonts w:ascii="Century Gothic" w:hAnsi="Century Gothic" w:eastAsia="Century Gothic" w:cs="Century Gothic"/>
      <w:color w:val="auto"/>
      <w:sz w:val="20"/>
    </w:rPr>
  </w:style>
  <w:style w:type="character" w:styleId="EmailStyle204" w:customStyle="1">
    <w:name w:val="EmailStyle204"/>
    <w:rPr>
      <w:rFonts w:ascii="Arial" w:hAnsi="Arial" w:eastAsia="Arial" w:cs="Arial"/>
      <w:color w:val="auto"/>
      <w:sz w:val="16"/>
    </w:rPr>
  </w:style>
  <w:style w:type="character" w:styleId="EmailStyle205" w:customStyle="1">
    <w:name w:val="EmailStyle205"/>
    <w:rPr>
      <w:rFonts w:ascii="Century Gothic" w:hAnsi="Century Gothic" w:eastAsia="Century Gothic" w:cs="Century Gothic"/>
      <w:color w:val="auto"/>
      <w:sz w:val="20"/>
    </w:rPr>
  </w:style>
  <w:style w:type="character" w:styleId="EmailStyle206" w:customStyle="1">
    <w:name w:val="EmailStyle206"/>
    <w:rPr>
      <w:rFonts w:ascii="Arial" w:hAnsi="Arial" w:eastAsia="Arial" w:cs="Arial"/>
      <w:color w:val="auto"/>
      <w:sz w:val="16"/>
    </w:rPr>
  </w:style>
  <w:style w:type="character" w:styleId="EmailStyle207" w:customStyle="1">
    <w:name w:val="EmailStyle207"/>
    <w:rPr>
      <w:rFonts w:ascii="Century Gothic" w:hAnsi="Century Gothic" w:eastAsia="Century Gothic" w:cs="Century Gothic"/>
      <w:color w:val="auto"/>
      <w:sz w:val="20"/>
    </w:rPr>
  </w:style>
  <w:style w:type="character" w:styleId="EmailStyle208" w:customStyle="1">
    <w:name w:val="EmailStyle208"/>
    <w:rPr>
      <w:rFonts w:ascii="Arial" w:hAnsi="Arial" w:eastAsia="Arial" w:cs="Arial"/>
      <w:color w:val="auto"/>
      <w:sz w:val="16"/>
    </w:rPr>
  </w:style>
  <w:style w:type="character" w:styleId="EmailStyle209" w:customStyle="1">
    <w:name w:val="EmailStyle209"/>
    <w:rPr>
      <w:rFonts w:ascii="Century Gothic" w:hAnsi="Century Gothic" w:eastAsia="Century Gothic" w:cs="Century Gothic"/>
      <w:color w:val="auto"/>
      <w:sz w:val="20"/>
    </w:rPr>
  </w:style>
  <w:style w:type="character" w:styleId="EmailStyle210" w:customStyle="1">
    <w:name w:val="EmailStyle210"/>
    <w:rPr>
      <w:rFonts w:ascii="Arial" w:hAnsi="Arial" w:eastAsia="Arial" w:cs="Arial"/>
      <w:color w:val="auto"/>
      <w:sz w:val="16"/>
    </w:rPr>
  </w:style>
  <w:style w:type="character" w:styleId="EmailStyle211" w:customStyle="1">
    <w:name w:val="EmailStyle211"/>
    <w:rPr>
      <w:rFonts w:ascii="Century Gothic" w:hAnsi="Century Gothic" w:eastAsia="Century Gothic" w:cs="Century Gothic"/>
      <w:color w:val="auto"/>
      <w:sz w:val="20"/>
    </w:rPr>
  </w:style>
  <w:style w:type="character" w:styleId="EmailStyle212" w:customStyle="1">
    <w:name w:val="EmailStyle212"/>
    <w:rPr>
      <w:rFonts w:ascii="Arial" w:hAnsi="Arial" w:eastAsia="Arial" w:cs="Arial"/>
      <w:color w:val="auto"/>
      <w:sz w:val="16"/>
    </w:rPr>
  </w:style>
  <w:style w:type="character" w:styleId="EmailStyle213" w:customStyle="1">
    <w:name w:val="EmailStyle213"/>
    <w:rPr>
      <w:rFonts w:ascii="Century Gothic" w:hAnsi="Century Gothic" w:eastAsia="Century Gothic" w:cs="Century Gothic"/>
      <w:color w:val="auto"/>
      <w:sz w:val="20"/>
    </w:rPr>
  </w:style>
  <w:style w:type="character" w:styleId="EmailStyle214" w:customStyle="1">
    <w:name w:val="EmailStyle214"/>
    <w:rPr>
      <w:rFonts w:ascii="Arial" w:hAnsi="Arial" w:eastAsia="Arial" w:cs="Arial"/>
      <w:color w:val="auto"/>
      <w:sz w:val="16"/>
    </w:rPr>
  </w:style>
  <w:style w:type="character" w:styleId="EmailStyle215" w:customStyle="1">
    <w:name w:val="EmailStyle215"/>
    <w:rPr>
      <w:rFonts w:ascii="Century Gothic" w:hAnsi="Century Gothic" w:eastAsia="Century Gothic" w:cs="Century Gothic"/>
      <w:color w:val="auto"/>
      <w:sz w:val="20"/>
    </w:rPr>
  </w:style>
  <w:style w:type="character" w:styleId="EmailStyle216" w:customStyle="1">
    <w:name w:val="EmailStyle216"/>
    <w:rPr>
      <w:rFonts w:ascii="Arial" w:hAnsi="Arial" w:eastAsia="Arial" w:cs="Arial"/>
      <w:color w:val="auto"/>
      <w:sz w:val="16"/>
    </w:rPr>
  </w:style>
  <w:style w:type="character" w:styleId="EmailStyle217" w:customStyle="1">
    <w:name w:val="EmailStyle217"/>
    <w:rPr>
      <w:rFonts w:ascii="Century Gothic" w:hAnsi="Century Gothic" w:eastAsia="Century Gothic" w:cs="Century Gothic"/>
      <w:color w:val="auto"/>
      <w:sz w:val="20"/>
    </w:rPr>
  </w:style>
  <w:style w:type="character" w:styleId="EmailStyle218" w:customStyle="1">
    <w:name w:val="EmailStyle218"/>
    <w:rPr>
      <w:rFonts w:ascii="Arial" w:hAnsi="Arial" w:eastAsia="Arial" w:cs="Arial"/>
      <w:color w:val="auto"/>
      <w:sz w:val="16"/>
    </w:rPr>
  </w:style>
  <w:style w:type="character" w:styleId="EmailStyle781" w:customStyle="1">
    <w:name w:val="EmailStyle781"/>
    <w:rPr>
      <w:rFonts w:ascii="Century Gothic" w:hAnsi="Century Gothic" w:eastAsia="Century Gothic" w:cs="Century Gothic"/>
      <w:color w:val="auto"/>
      <w:sz w:val="20"/>
    </w:rPr>
  </w:style>
  <w:style w:type="character" w:styleId="EmailStyle791" w:customStyle="1">
    <w:name w:val="EmailStyle791"/>
    <w:rPr>
      <w:rFonts w:ascii="Arial" w:hAnsi="Arial" w:eastAsia="Arial" w:cs="Arial"/>
      <w:color w:val="auto"/>
      <w:sz w:val="16"/>
    </w:rPr>
  </w:style>
  <w:style w:type="character" w:styleId="EmailStyle110" w:customStyle="1">
    <w:name w:val="EmailStyle110"/>
    <w:rPr>
      <w:rFonts w:ascii="Century Gothic" w:hAnsi="Century Gothic" w:eastAsia="Century Gothic" w:cs="Century Gothic"/>
      <w:color w:val="auto"/>
      <w:sz w:val="20"/>
    </w:rPr>
  </w:style>
  <w:style w:type="character" w:styleId="EmailStyle111" w:customStyle="1">
    <w:name w:val="EmailStyle111"/>
    <w:rPr>
      <w:rFonts w:ascii="Arial" w:hAnsi="Arial" w:eastAsia="Arial" w:cs="Arial"/>
      <w:color w:val="auto"/>
      <w:sz w:val="16"/>
    </w:rPr>
  </w:style>
  <w:style w:type="character" w:styleId="EmailStyle1271" w:customStyle="1">
    <w:name w:val="EmailStyle1271"/>
    <w:rPr>
      <w:rFonts w:ascii="Century Gothic" w:hAnsi="Century Gothic" w:eastAsia="Century Gothic" w:cs="Century Gothic"/>
      <w:color w:val="auto"/>
      <w:sz w:val="20"/>
    </w:rPr>
  </w:style>
  <w:style w:type="character" w:styleId="EmailStyle1281" w:customStyle="1">
    <w:name w:val="EmailStyle1281"/>
    <w:rPr>
      <w:rFonts w:ascii="Arial" w:hAnsi="Arial" w:eastAsia="Arial" w:cs="Arial"/>
      <w:color w:val="auto"/>
      <w:sz w:val="16"/>
    </w:rPr>
  </w:style>
  <w:style w:type="character" w:styleId="EmailStyle129" w:customStyle="1">
    <w:name w:val="EmailStyle129"/>
    <w:rPr>
      <w:rFonts w:ascii="Century Gothic" w:hAnsi="Century Gothic" w:eastAsia="Century Gothic" w:cs="Century Gothic"/>
      <w:color w:val="auto"/>
      <w:sz w:val="20"/>
    </w:rPr>
  </w:style>
  <w:style w:type="character" w:styleId="EmailStyle130" w:customStyle="1">
    <w:name w:val="EmailStyle130"/>
    <w:rPr>
      <w:rFonts w:ascii="Arial" w:hAnsi="Arial" w:eastAsia="Arial" w:cs="Arial"/>
      <w:color w:val="auto"/>
      <w:sz w:val="16"/>
    </w:rPr>
  </w:style>
  <w:style w:type="character" w:styleId="EmailStyle1311" w:customStyle="1">
    <w:name w:val="EmailStyle1311"/>
    <w:rPr>
      <w:rFonts w:ascii="Century Gothic" w:hAnsi="Century Gothic" w:eastAsia="Century Gothic" w:cs="Century Gothic"/>
      <w:color w:val="auto"/>
      <w:sz w:val="20"/>
    </w:rPr>
  </w:style>
  <w:style w:type="character" w:styleId="EmailStyle1321" w:customStyle="1">
    <w:name w:val="EmailStyle1321"/>
    <w:rPr>
      <w:rFonts w:ascii="Arial" w:hAnsi="Arial" w:eastAsia="Arial" w:cs="Arial"/>
      <w:color w:val="auto"/>
      <w:sz w:val="16"/>
    </w:rPr>
  </w:style>
  <w:style w:type="character" w:styleId="EmailStyle133" w:customStyle="1">
    <w:name w:val="EmailStyle133"/>
    <w:rPr>
      <w:rFonts w:ascii="Century Gothic" w:hAnsi="Century Gothic" w:eastAsia="Century Gothic" w:cs="Century Gothic"/>
      <w:color w:val="auto"/>
      <w:sz w:val="20"/>
    </w:rPr>
  </w:style>
  <w:style w:type="character" w:styleId="EmailStyle134" w:customStyle="1">
    <w:name w:val="EmailStyle134"/>
    <w:rPr>
      <w:rFonts w:ascii="Arial" w:hAnsi="Arial" w:eastAsia="Arial" w:cs="Arial"/>
      <w:color w:val="auto"/>
      <w:sz w:val="16"/>
    </w:rPr>
  </w:style>
  <w:style w:type="character" w:styleId="EmailStyle1351" w:customStyle="1">
    <w:name w:val="EmailStyle1351"/>
    <w:rPr>
      <w:rFonts w:ascii="Century Gothic" w:hAnsi="Century Gothic" w:eastAsia="Century Gothic" w:cs="Century Gothic"/>
      <w:color w:val="auto"/>
      <w:sz w:val="20"/>
    </w:rPr>
  </w:style>
  <w:style w:type="character" w:styleId="EmailStyle1361" w:customStyle="1">
    <w:name w:val="EmailStyle1361"/>
    <w:rPr>
      <w:rFonts w:ascii="Arial" w:hAnsi="Arial" w:eastAsia="Arial" w:cs="Arial"/>
      <w:color w:val="auto"/>
      <w:sz w:val="16"/>
    </w:rPr>
  </w:style>
  <w:style w:type="character" w:styleId="EmailStyle137" w:customStyle="1">
    <w:name w:val="EmailStyle137"/>
    <w:rPr>
      <w:rFonts w:ascii="Century Gothic" w:hAnsi="Century Gothic" w:eastAsia="Century Gothic" w:cs="Century Gothic"/>
      <w:color w:val="auto"/>
      <w:sz w:val="20"/>
    </w:rPr>
  </w:style>
  <w:style w:type="character" w:styleId="EmailStyle138" w:customStyle="1">
    <w:name w:val="EmailStyle138"/>
    <w:rPr>
      <w:rFonts w:ascii="Arial" w:hAnsi="Arial" w:eastAsia="Arial" w:cs="Arial"/>
      <w:color w:val="auto"/>
      <w:sz w:val="16"/>
    </w:rPr>
  </w:style>
  <w:style w:type="character" w:styleId="EmailStyle1391" w:customStyle="1">
    <w:name w:val="EmailStyle1391"/>
    <w:rPr>
      <w:rFonts w:ascii="Century Gothic" w:hAnsi="Century Gothic" w:eastAsia="Century Gothic" w:cs="Century Gothic"/>
      <w:color w:val="auto"/>
      <w:sz w:val="20"/>
    </w:rPr>
  </w:style>
  <w:style w:type="character" w:styleId="EmailStyle1401" w:customStyle="1">
    <w:name w:val="EmailStyle1401"/>
    <w:rPr>
      <w:rFonts w:ascii="Arial" w:hAnsi="Arial" w:eastAsia="Arial" w:cs="Arial"/>
      <w:color w:val="auto"/>
      <w:sz w:val="16"/>
    </w:rPr>
  </w:style>
  <w:style w:type="character" w:styleId="EmailStyle141" w:customStyle="1">
    <w:name w:val="EmailStyle141"/>
    <w:rPr>
      <w:rFonts w:ascii="Century Gothic" w:hAnsi="Century Gothic" w:eastAsia="Century Gothic" w:cs="Century Gothic"/>
      <w:color w:val="auto"/>
      <w:sz w:val="20"/>
    </w:rPr>
  </w:style>
  <w:style w:type="character" w:styleId="EmailStyle142" w:customStyle="1">
    <w:name w:val="EmailStyle142"/>
    <w:rPr>
      <w:rFonts w:ascii="Arial" w:hAnsi="Arial" w:eastAsia="Arial" w:cs="Arial"/>
      <w:color w:val="auto"/>
      <w:sz w:val="16"/>
    </w:rPr>
  </w:style>
  <w:style w:type="character" w:styleId="EmailStyle1431" w:customStyle="1">
    <w:name w:val="EmailStyle1431"/>
    <w:rPr>
      <w:rFonts w:ascii="Century Gothic" w:hAnsi="Century Gothic" w:eastAsia="Century Gothic" w:cs="Century Gothic"/>
      <w:color w:val="auto"/>
      <w:sz w:val="20"/>
    </w:rPr>
  </w:style>
  <w:style w:type="character" w:styleId="EmailStyle1441" w:customStyle="1">
    <w:name w:val="EmailStyle1441"/>
    <w:rPr>
      <w:rFonts w:ascii="Arial" w:hAnsi="Arial" w:eastAsia="Arial" w:cs="Arial"/>
      <w:color w:val="auto"/>
      <w:sz w:val="16"/>
    </w:rPr>
  </w:style>
  <w:style w:type="character" w:styleId="EmailStyle145" w:customStyle="1">
    <w:name w:val="EmailStyle145"/>
    <w:rPr>
      <w:rFonts w:ascii="Century Gothic" w:hAnsi="Century Gothic" w:eastAsia="Century Gothic" w:cs="Century Gothic"/>
      <w:color w:val="auto"/>
      <w:sz w:val="20"/>
    </w:rPr>
  </w:style>
  <w:style w:type="character" w:styleId="EmailStyle146" w:customStyle="1">
    <w:name w:val="EmailStyle146"/>
    <w:rPr>
      <w:rFonts w:ascii="Arial" w:hAnsi="Arial" w:eastAsia="Arial" w:cs="Arial"/>
      <w:color w:val="auto"/>
      <w:sz w:val="16"/>
    </w:rPr>
  </w:style>
  <w:style w:type="character" w:styleId="EmailStyle1471" w:customStyle="1">
    <w:name w:val="EmailStyle1471"/>
    <w:rPr>
      <w:rFonts w:ascii="Century Gothic" w:hAnsi="Century Gothic" w:eastAsia="Century Gothic" w:cs="Century Gothic"/>
      <w:color w:val="auto"/>
      <w:sz w:val="20"/>
    </w:rPr>
  </w:style>
  <w:style w:type="character" w:styleId="EmailStyle1481" w:customStyle="1">
    <w:name w:val="EmailStyle1481"/>
    <w:rPr>
      <w:rFonts w:ascii="Arial" w:hAnsi="Arial" w:eastAsia="Arial" w:cs="Arial"/>
      <w:color w:val="auto"/>
      <w:sz w:val="16"/>
    </w:rPr>
  </w:style>
  <w:style w:type="character" w:styleId="EmailStyle149" w:customStyle="1">
    <w:name w:val="EmailStyle149"/>
    <w:rPr>
      <w:rFonts w:ascii="Century Gothic" w:hAnsi="Century Gothic" w:eastAsia="Century Gothic" w:cs="Century Gothic"/>
      <w:color w:val="auto"/>
      <w:sz w:val="20"/>
    </w:rPr>
  </w:style>
  <w:style w:type="character" w:styleId="EmailStyle150" w:customStyle="1">
    <w:name w:val="EmailStyle150"/>
    <w:rPr>
      <w:rFonts w:ascii="Arial" w:hAnsi="Arial" w:eastAsia="Arial" w:cs="Arial"/>
      <w:color w:val="auto"/>
      <w:sz w:val="16"/>
    </w:rPr>
  </w:style>
  <w:style w:type="character" w:styleId="EmailStyle1511" w:customStyle="1">
    <w:name w:val="EmailStyle1511"/>
    <w:rPr>
      <w:rFonts w:ascii="Century Gothic" w:hAnsi="Century Gothic" w:eastAsia="Century Gothic" w:cs="Century Gothic"/>
      <w:color w:val="auto"/>
      <w:sz w:val="20"/>
    </w:rPr>
  </w:style>
  <w:style w:type="character" w:styleId="EmailStyle1521" w:customStyle="1">
    <w:name w:val="EmailStyle1521"/>
    <w:rPr>
      <w:rFonts w:ascii="Arial" w:hAnsi="Arial" w:eastAsia="Arial" w:cs="Arial"/>
      <w:color w:val="auto"/>
      <w:sz w:val="16"/>
    </w:rPr>
  </w:style>
  <w:style w:type="character" w:styleId="EmailStyle153" w:customStyle="1">
    <w:name w:val="EmailStyle153"/>
    <w:rPr>
      <w:rFonts w:ascii="Century Gothic" w:hAnsi="Century Gothic" w:eastAsia="Century Gothic" w:cs="Century Gothic"/>
      <w:color w:val="auto"/>
      <w:sz w:val="20"/>
    </w:rPr>
  </w:style>
  <w:style w:type="character" w:styleId="EmailStyle154" w:customStyle="1">
    <w:name w:val="EmailStyle154"/>
    <w:rPr>
      <w:rFonts w:ascii="Arial" w:hAnsi="Arial" w:eastAsia="Arial" w:cs="Arial"/>
      <w:color w:val="auto"/>
      <w:sz w:val="16"/>
    </w:rPr>
  </w:style>
  <w:style w:type="character" w:styleId="EmailStyle1551" w:customStyle="1">
    <w:name w:val="EmailStyle1551"/>
    <w:rPr>
      <w:rFonts w:ascii="Century Gothic" w:hAnsi="Century Gothic" w:eastAsia="Century Gothic" w:cs="Century Gothic"/>
      <w:color w:val="auto"/>
      <w:sz w:val="20"/>
    </w:rPr>
  </w:style>
  <w:style w:type="character" w:styleId="EmailStyle1561" w:customStyle="1">
    <w:name w:val="EmailStyle1561"/>
    <w:rPr>
      <w:rFonts w:ascii="Arial" w:hAnsi="Arial" w:eastAsia="Arial" w:cs="Arial"/>
      <w:color w:val="auto"/>
      <w:sz w:val="16"/>
    </w:rPr>
  </w:style>
  <w:style w:type="character" w:styleId="EmailStyle157" w:customStyle="1">
    <w:name w:val="EmailStyle157"/>
    <w:rPr>
      <w:rFonts w:ascii="Century Gothic" w:hAnsi="Century Gothic" w:eastAsia="Century Gothic" w:cs="Century Gothic"/>
      <w:color w:val="auto"/>
      <w:sz w:val="20"/>
    </w:rPr>
  </w:style>
  <w:style w:type="character" w:styleId="EmailStyle158" w:customStyle="1">
    <w:name w:val="EmailStyle158"/>
    <w:rPr>
      <w:rFonts w:ascii="Arial" w:hAnsi="Arial" w:eastAsia="Arial" w:cs="Arial"/>
      <w:color w:val="auto"/>
      <w:sz w:val="16"/>
    </w:rPr>
  </w:style>
  <w:style w:type="character" w:styleId="EmailStyle1591" w:customStyle="1">
    <w:name w:val="EmailStyle1591"/>
    <w:rPr>
      <w:rFonts w:ascii="Century Gothic" w:hAnsi="Century Gothic" w:eastAsia="Century Gothic" w:cs="Century Gothic"/>
      <w:color w:val="auto"/>
      <w:sz w:val="20"/>
    </w:rPr>
  </w:style>
  <w:style w:type="character" w:styleId="EmailStyle1601" w:customStyle="1">
    <w:name w:val="EmailStyle1601"/>
    <w:rPr>
      <w:rFonts w:ascii="Arial" w:hAnsi="Arial" w:eastAsia="Arial" w:cs="Arial"/>
      <w:color w:val="auto"/>
      <w:sz w:val="16"/>
    </w:rPr>
  </w:style>
  <w:style w:type="character" w:styleId="EmailStyle161" w:customStyle="1">
    <w:name w:val="EmailStyle161"/>
    <w:rPr>
      <w:rFonts w:ascii="Century Gothic" w:hAnsi="Century Gothic" w:eastAsia="Century Gothic" w:cs="Century Gothic"/>
      <w:color w:val="auto"/>
      <w:sz w:val="20"/>
    </w:rPr>
  </w:style>
  <w:style w:type="character" w:styleId="EmailStyle162" w:customStyle="1">
    <w:name w:val="EmailStyle162"/>
    <w:rPr>
      <w:rFonts w:ascii="Arial" w:hAnsi="Arial" w:eastAsia="Arial" w:cs="Arial"/>
      <w:color w:val="auto"/>
      <w:sz w:val="16"/>
    </w:rPr>
  </w:style>
  <w:style w:type="character" w:styleId="EmailStyle1631" w:customStyle="1">
    <w:name w:val="EmailStyle1631"/>
    <w:rPr>
      <w:rFonts w:ascii="Century Gothic" w:hAnsi="Century Gothic" w:eastAsia="Century Gothic" w:cs="Century Gothic"/>
      <w:color w:val="auto"/>
      <w:sz w:val="20"/>
    </w:rPr>
  </w:style>
  <w:style w:type="character" w:styleId="EmailStyle1641" w:customStyle="1">
    <w:name w:val="EmailStyle1641"/>
    <w:rPr>
      <w:rFonts w:ascii="Arial" w:hAnsi="Arial" w:eastAsia="Arial" w:cs="Arial"/>
      <w:color w:val="auto"/>
      <w:sz w:val="16"/>
    </w:rPr>
  </w:style>
  <w:style w:type="character" w:styleId="EmailStyle165" w:customStyle="1">
    <w:name w:val="EmailStyle165"/>
    <w:rPr>
      <w:rFonts w:ascii="Century Gothic" w:hAnsi="Century Gothic" w:eastAsia="Century Gothic" w:cs="Century Gothic"/>
      <w:color w:val="auto"/>
      <w:sz w:val="20"/>
    </w:rPr>
  </w:style>
  <w:style w:type="character" w:styleId="EmailStyle166" w:customStyle="1">
    <w:name w:val="EmailStyle166"/>
    <w:rPr>
      <w:rFonts w:ascii="Arial" w:hAnsi="Arial" w:eastAsia="Arial" w:cs="Arial"/>
      <w:color w:val="auto"/>
      <w:sz w:val="16"/>
    </w:rPr>
  </w:style>
  <w:style w:type="paragraph" w:styleId="Objetducommentaire">
    <w:name w:val="annotation subject"/>
    <w:basedOn w:val="Commentaire"/>
    <w:next w:val="Commentaire"/>
    <w:rPr>
      <w:b/>
      <w:bCs/>
      <w:sz w:val="20"/>
    </w:rPr>
  </w:style>
  <w:style w:type="character" w:styleId="CommentaireCar1" w:customStyle="1">
    <w:name w:val="Commentaire Car1"/>
    <w:basedOn w:val="Policepardfaut"/>
    <w:rPr>
      <w:rFonts w:ascii="ITC Avant Garde Std Bk" w:hAnsi="ITC Avant Garde Std Bk" w:eastAsia="ITC Avant Garde Std Bk" w:cs="ITC Avant Garde Std Bk"/>
      <w:sz w:val="22"/>
    </w:rPr>
  </w:style>
  <w:style w:type="character" w:styleId="ObjetducommentaireCar" w:customStyle="1">
    <w:name w:val="Objet du commentaire Car"/>
    <w:basedOn w:val="CommentaireCar1"/>
    <w:rPr>
      <w:rFonts w:ascii="ITC Avant Garde Std Bk" w:hAnsi="ITC Avant Garde Std Bk" w:eastAsia="ITC Avant Garde Std Bk" w:cs="ITC Avant Garde Std Bk"/>
      <w:b/>
      <w:bCs/>
      <w:sz w:val="22"/>
    </w:rPr>
  </w:style>
  <w:style w:type="paragraph" w:styleId="Default" w:customStyle="1">
    <w:name w:val="Default"/>
    <w:pPr>
      <w:autoSpaceDE w:val="0"/>
      <w:textAlignment w:val="auto"/>
    </w:pPr>
    <w:rPr>
      <w:rFonts w:ascii="Arial" w:hAnsi="Arial" w:cs="Arial"/>
      <w:color w:val="000000"/>
      <w:sz w:val="24"/>
      <w:szCs w:val="24"/>
    </w:rPr>
  </w:style>
  <w:style w:type="character" w:styleId="BulletSymbols" w:customStyle="1">
    <w:name w:val="Bullet Symbols"/>
    <w:rPr>
      <w:rFonts w:ascii="OpenSymbol" w:hAnsi="OpenSymbol" w:eastAsia="OpenSymbol" w:cs="OpenSymbol"/>
    </w:rPr>
  </w:style>
  <w:style w:type="character" w:styleId="NumberingSymbols" w:customStyle="1">
    <w:name w:val="Numbering Symbols"/>
  </w:style>
  <w:style w:type="character" w:styleId="Internetlink" w:customStyle="1">
    <w:name w:val="Internet link"/>
    <w:rPr>
      <w:color w:val="000080"/>
      <w:u w:val="single"/>
    </w:rPr>
  </w:style>
  <w:style w:type="paragraph" w:styleId="Rvision">
    <w:name w:val="Revision"/>
    <w:pPr>
      <w:textAlignment w:val="auto"/>
    </w:pPr>
    <w:rPr>
      <w:rFonts w:ascii="ITC Avant Garde Std Bk" w:hAnsi="ITC Avant Garde Std Bk" w:eastAsia="ITC Avant Garde Std Bk" w:cs="ITC Avant Garde Std Bk"/>
      <w:sz w:val="22"/>
    </w:rPr>
  </w:style>
  <w:style w:type="numbering" w:styleId="WWOutlineListStyle11" w:customStyle="1">
    <w:name w:val="WW_OutlineListStyle_11"/>
    <w:basedOn w:val="Aucuneliste"/>
    <w:pPr>
      <w:numPr>
        <w:numId w:val="2"/>
      </w:numPr>
    </w:pPr>
  </w:style>
  <w:style w:type="numbering" w:styleId="WWOutlineListStyle10" w:customStyle="1">
    <w:name w:val="WW_OutlineListStyle_10"/>
    <w:basedOn w:val="Aucuneliste"/>
    <w:pPr>
      <w:numPr>
        <w:numId w:val="3"/>
      </w:numPr>
    </w:pPr>
  </w:style>
  <w:style w:type="numbering" w:styleId="WWOutlineListStyle9" w:customStyle="1">
    <w:name w:val="WW_OutlineListStyle_9"/>
    <w:basedOn w:val="Aucuneliste"/>
    <w:pPr>
      <w:numPr>
        <w:numId w:val="4"/>
      </w:numPr>
    </w:pPr>
  </w:style>
  <w:style w:type="numbering" w:styleId="WWOutlineListStyle8" w:customStyle="1">
    <w:name w:val="WW_OutlineListStyle_8"/>
    <w:basedOn w:val="Aucuneliste"/>
    <w:pPr>
      <w:numPr>
        <w:numId w:val="5"/>
      </w:numPr>
    </w:pPr>
  </w:style>
  <w:style w:type="numbering" w:styleId="WWOutlineListStyle7" w:customStyle="1">
    <w:name w:val="WW_OutlineListStyle_7"/>
    <w:basedOn w:val="Aucuneliste"/>
    <w:pPr>
      <w:numPr>
        <w:numId w:val="6"/>
      </w:numPr>
    </w:pPr>
  </w:style>
  <w:style w:type="numbering" w:styleId="WWOutlineListStyle6" w:customStyle="1">
    <w:name w:val="WW_OutlineListStyle_6"/>
    <w:basedOn w:val="Aucuneliste"/>
    <w:pPr>
      <w:numPr>
        <w:numId w:val="7"/>
      </w:numPr>
    </w:pPr>
  </w:style>
  <w:style w:type="numbering" w:styleId="WWOutlineListStyle5" w:customStyle="1">
    <w:name w:val="WW_OutlineListStyle_5"/>
    <w:basedOn w:val="Aucuneliste"/>
    <w:pPr>
      <w:numPr>
        <w:numId w:val="8"/>
      </w:numPr>
    </w:pPr>
  </w:style>
  <w:style w:type="numbering" w:styleId="WWOutlineListStyle4" w:customStyle="1">
    <w:name w:val="WW_OutlineListStyle_4"/>
    <w:basedOn w:val="Aucuneliste"/>
    <w:pPr>
      <w:numPr>
        <w:numId w:val="9"/>
      </w:numPr>
    </w:pPr>
  </w:style>
  <w:style w:type="numbering" w:styleId="WWOutlineListStyle3" w:customStyle="1">
    <w:name w:val="WW_OutlineListStyle_3"/>
    <w:basedOn w:val="Aucuneliste"/>
    <w:pPr>
      <w:numPr>
        <w:numId w:val="10"/>
      </w:numPr>
    </w:pPr>
  </w:style>
  <w:style w:type="numbering" w:styleId="WWOutlineListStyle2" w:customStyle="1">
    <w:name w:val="WW_OutlineListStyle_2"/>
    <w:basedOn w:val="Aucuneliste"/>
    <w:pPr>
      <w:numPr>
        <w:numId w:val="11"/>
      </w:numPr>
    </w:pPr>
  </w:style>
  <w:style w:type="numbering" w:styleId="WWOutlineListStyle1" w:customStyle="1">
    <w:name w:val="WW_OutlineListStyle_1"/>
    <w:basedOn w:val="Aucuneliste"/>
    <w:pPr>
      <w:numPr>
        <w:numId w:val="12"/>
      </w:numPr>
    </w:pPr>
  </w:style>
  <w:style w:type="numbering" w:styleId="WWOutlineListStyle" w:customStyle="1">
    <w:name w:val="WW_OutlineListStyle"/>
    <w:basedOn w:val="Aucuneliste"/>
    <w:pPr>
      <w:numPr>
        <w:numId w:val="13"/>
      </w:numPr>
    </w:pPr>
  </w:style>
  <w:style w:type="numbering" w:styleId="Outline" w:customStyle="1">
    <w:name w:val="Outline"/>
    <w:basedOn w:val="Aucuneliste"/>
    <w:pPr>
      <w:numPr>
        <w:numId w:val="14"/>
      </w:numPr>
    </w:pPr>
  </w:style>
  <w:style w:type="numbering" w:styleId="List1" w:customStyle="1">
    <w:name w:val="List 1"/>
    <w:basedOn w:val="Aucuneliste"/>
    <w:pPr>
      <w:numPr>
        <w:numId w:val="15"/>
      </w:numPr>
    </w:pPr>
  </w:style>
  <w:style w:type="numbering" w:styleId="LFO1" w:customStyle="1">
    <w:name w:val="LFO1"/>
    <w:basedOn w:val="Aucuneliste"/>
    <w:pPr>
      <w:numPr>
        <w:numId w:val="16"/>
      </w:numPr>
    </w:pPr>
  </w:style>
  <w:style w:type="numbering" w:styleId="LFO4" w:customStyle="1">
    <w:name w:val="LFO4"/>
    <w:basedOn w:val="Aucuneliste"/>
    <w:pPr>
      <w:numPr>
        <w:numId w:val="17"/>
      </w:numPr>
    </w:pPr>
  </w:style>
  <w:style w:type="numbering" w:styleId="LFO5" w:customStyle="1">
    <w:name w:val="LFO5"/>
    <w:basedOn w:val="Aucuneliste"/>
    <w:pPr>
      <w:numPr>
        <w:numId w:val="18"/>
      </w:numPr>
    </w:pPr>
  </w:style>
  <w:style w:type="numbering" w:styleId="LFO18" w:customStyle="1">
    <w:name w:val="LFO18"/>
    <w:basedOn w:val="Aucuneliste"/>
    <w:pPr>
      <w:numPr>
        <w:numId w:val="19"/>
      </w:numPr>
    </w:pPr>
  </w:style>
  <w:style w:type="numbering" w:styleId="LFO20" w:customStyle="1">
    <w:name w:val="LFO20"/>
    <w:basedOn w:val="Aucuneliste"/>
    <w:pPr>
      <w:numPr>
        <w:numId w:val="20"/>
      </w:numPr>
    </w:pPr>
  </w:style>
  <w:style w:type="numbering" w:styleId="LFO21" w:customStyle="1">
    <w:name w:val="LFO21"/>
    <w:basedOn w:val="Aucuneliste"/>
    <w:pPr>
      <w:numPr>
        <w:numId w:val="21"/>
      </w:numPr>
    </w:pPr>
  </w:style>
  <w:style w:type="numbering" w:styleId="LFO22" w:customStyle="1">
    <w:name w:val="LFO22"/>
    <w:basedOn w:val="Aucuneliste"/>
    <w:pPr>
      <w:numPr>
        <w:numId w:val="22"/>
      </w:numPr>
    </w:pPr>
  </w:style>
  <w:style w:type="numbering" w:styleId="LFO23" w:customStyle="1">
    <w:name w:val="LFO23"/>
    <w:basedOn w:val="Aucuneliste"/>
    <w:pPr>
      <w:numPr>
        <w:numId w:val="23"/>
      </w:numPr>
    </w:pPr>
  </w:style>
  <w:style w:type="numbering" w:styleId="LFO24" w:customStyle="1">
    <w:name w:val="LFO24"/>
    <w:basedOn w:val="Aucuneliste"/>
    <w:pPr>
      <w:numPr>
        <w:numId w:val="24"/>
      </w:numPr>
    </w:pPr>
  </w:style>
  <w:style w:type="numbering" w:styleId="LFO28" w:customStyle="1">
    <w:name w:val="LFO28"/>
    <w:basedOn w:val="Aucuneliste"/>
    <w:pPr>
      <w:numPr>
        <w:numId w:val="25"/>
      </w:numPr>
    </w:pPr>
  </w:style>
  <w:style w:type="numbering" w:styleId="LFO29" w:customStyle="1">
    <w:name w:val="LFO29"/>
    <w:basedOn w:val="Aucuneliste"/>
    <w:pPr>
      <w:numPr>
        <w:numId w:val="26"/>
      </w:numPr>
    </w:pPr>
  </w:style>
  <w:style w:type="numbering" w:styleId="LFO25" w:customStyle="1">
    <w:name w:val="LFO25"/>
    <w:basedOn w:val="Aucuneliste"/>
    <w:pPr>
      <w:numPr>
        <w:numId w:val="27"/>
      </w:numPr>
    </w:pPr>
  </w:style>
  <w:style w:type="numbering" w:styleId="LFO26" w:customStyle="1">
    <w:name w:val="LFO26"/>
    <w:basedOn w:val="Aucuneliste"/>
    <w:pPr>
      <w:numPr>
        <w:numId w:val="28"/>
      </w:numPr>
    </w:pPr>
  </w:style>
  <w:style w:type="numbering" w:styleId="LFO33" w:customStyle="1">
    <w:name w:val="LFO33"/>
    <w:basedOn w:val="Aucuneliste"/>
    <w:pPr>
      <w:numPr>
        <w:numId w:val="29"/>
      </w:numPr>
    </w:pPr>
  </w:style>
  <w:style w:type="numbering" w:styleId="LFO35" w:customStyle="1">
    <w:name w:val="LFO35"/>
    <w:basedOn w:val="Aucuneliste"/>
    <w:pPr>
      <w:numPr>
        <w:numId w:val="30"/>
      </w:numPr>
    </w:p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purl.oclc.org/ooxml/officeDocument/relationships/hyperlink" Target="#_Toc210310193" TargetMode="External"/><Relationship Id="rId18" Type="http://purl.oclc.org/ooxml/officeDocument/relationships/hyperlink" Target="#_Toc210310198" TargetMode="External"/><Relationship Id="rId26" Type="http://purl.oclc.org/ooxml/officeDocument/relationships/hyperlink" Target="#_Toc210310206" TargetMode="External"/><Relationship Id="rId39" Type="http://purl.oclc.org/ooxml/officeDocument/relationships/hyperlink" Target="https://webgate.ec.europa.eu/tl-browser/#/tl/FR" TargetMode="External"/><Relationship Id="rId21" Type="http://purl.oclc.org/ooxml/officeDocument/relationships/hyperlink" Target="#_Toc210310201" TargetMode="External"/><Relationship Id="rId34" Type="http://purl.oclc.org/ooxml/officeDocument/relationships/hyperlink" Target="#_Toc210310214" TargetMode="External"/><Relationship Id="rId42" Type="http://purl.oclc.org/ooxml/officeDocument/relationships/fontTable" Target="fontTable.xml"/><Relationship Id="rId7" Type="http://purl.oclc.org/ooxml/officeDocument/relationships/image" Target="media/image1.jpeg"/><Relationship Id="rId2" Type="http://purl.oclc.org/ooxml/officeDocument/relationships/styles" Target="styles.xml"/><Relationship Id="rId16" Type="http://purl.oclc.org/ooxml/officeDocument/relationships/hyperlink" Target="#_Toc210310196" TargetMode="External"/><Relationship Id="rId20" Type="http://purl.oclc.org/ooxml/officeDocument/relationships/hyperlink" Target="#_Toc210310200" TargetMode="External"/><Relationship Id="rId29" Type="http://purl.oclc.org/ooxml/officeDocument/relationships/hyperlink" Target="#_Toc210310209" TargetMode="External"/><Relationship Id="rId41" Type="http://purl.oclc.org/ooxml/officeDocument/relationships/footer" Target="footer1.xml"/><Relationship Id="rId1" Type="http://purl.oclc.org/ooxml/officeDocument/relationships/numbering" Target="numbering.xml"/><Relationship Id="rId6" Type="http://purl.oclc.org/ooxml/officeDocument/relationships/endnotes" Target="endnotes.xml"/><Relationship Id="rId11" Type="http://purl.oclc.org/ooxml/officeDocument/relationships/hyperlink" Target="#_Toc210310191" TargetMode="External"/><Relationship Id="rId24" Type="http://purl.oclc.org/ooxml/officeDocument/relationships/hyperlink" Target="#_Toc210310204" TargetMode="External"/><Relationship Id="rId32" Type="http://purl.oclc.org/ooxml/officeDocument/relationships/hyperlink" Target="#_Toc210310212" TargetMode="External"/><Relationship Id="rId37" Type="http://purl.oclc.org/ooxml/officeDocument/relationships/hyperlink" Target="https://dume.chorus-pro.gouv.fr/" TargetMode="External"/><Relationship Id="rId40" Type="http://purl.oclc.org/ooxml/officeDocument/relationships/header" Target="header1.xml"/><Relationship Id="rId5" Type="http://purl.oclc.org/ooxml/officeDocument/relationships/footnotes" Target="footnotes.xml"/><Relationship Id="rId15" Type="http://purl.oclc.org/ooxml/officeDocument/relationships/hyperlink" Target="#_Toc210310195" TargetMode="External"/><Relationship Id="rId23" Type="http://purl.oclc.org/ooxml/officeDocument/relationships/hyperlink" Target="#_Toc210310203" TargetMode="External"/><Relationship Id="rId28" Type="http://purl.oclc.org/ooxml/officeDocument/relationships/hyperlink" Target="#_Toc210310208" TargetMode="External"/><Relationship Id="rId36" Type="http://purl.oclc.org/ooxml/officeDocument/relationships/hyperlink" Target="https://ec.europa.eu/tools/espd/" TargetMode="External"/><Relationship Id="rId10" Type="http://purl.oclc.org/ooxml/officeDocument/relationships/hyperlink" Target="#_Toc210310190" TargetMode="External"/><Relationship Id="rId19" Type="http://purl.oclc.org/ooxml/officeDocument/relationships/hyperlink" Target="#_Toc210310199" TargetMode="External"/><Relationship Id="rId31" Type="http://purl.oclc.org/ooxml/officeDocument/relationships/hyperlink" Target="#_Toc210310211" TargetMode="External"/><Relationship Id="rId4" Type="http://purl.oclc.org/ooxml/officeDocument/relationships/webSettings" Target="webSettings.xml"/><Relationship Id="rId9" Type="http://purl.oclc.org/ooxml/officeDocument/relationships/hyperlink" Target="#_Toc210310189" TargetMode="External"/><Relationship Id="rId14" Type="http://purl.oclc.org/ooxml/officeDocument/relationships/hyperlink" Target="#_Toc210310194" TargetMode="External"/><Relationship Id="rId22" Type="http://purl.oclc.org/ooxml/officeDocument/relationships/hyperlink" Target="#_Toc210310202" TargetMode="External"/><Relationship Id="rId27" Type="http://purl.oclc.org/ooxml/officeDocument/relationships/hyperlink" Target="#_Toc210310207" TargetMode="External"/><Relationship Id="rId30" Type="http://purl.oclc.org/ooxml/officeDocument/relationships/hyperlink" Target="#_Toc210310210" TargetMode="External"/><Relationship Id="rId35" Type="http://purl.oclc.org/ooxml/officeDocument/relationships/hyperlink" Target="#_Toc210310215" TargetMode="External"/><Relationship Id="rId43" Type="http://purl.oclc.org/ooxml/officeDocument/relationships/theme" Target="theme/theme1.xml"/><Relationship Id="rId8" Type="http://purl.oclc.org/ooxml/officeDocument/relationships/hyperlink" Target="#_Toc210310188" TargetMode="External"/><Relationship Id="rId3" Type="http://purl.oclc.org/ooxml/officeDocument/relationships/settings" Target="settings.xml"/><Relationship Id="rId12" Type="http://purl.oclc.org/ooxml/officeDocument/relationships/hyperlink" Target="#_Toc210310192" TargetMode="External"/><Relationship Id="rId17" Type="http://purl.oclc.org/ooxml/officeDocument/relationships/hyperlink" Target="#_Toc210310197" TargetMode="External"/><Relationship Id="rId25" Type="http://purl.oclc.org/ooxml/officeDocument/relationships/hyperlink" Target="#_Toc210310205" TargetMode="External"/><Relationship Id="rId33" Type="http://purl.oclc.org/ooxml/officeDocument/relationships/hyperlink" Target="#_Toc210310213" TargetMode="External"/><Relationship Id="rId38" Type="http://purl.oclc.org/ooxml/officeDocument/relationships/hyperlink" Target="https://www.marches-publics.gouv.fr/" TargetMode="External"/></Relationships>
</file>

<file path=word/_rels/settings.xml.rels><?xml version="1.0" encoding="UTF-8" standalone="yes"?>
<Relationships xmlns="http://schemas.openxmlformats.org/package/2006/relationships"><Relationship Id="rId1" Type="http://purl.oclc.org/ooxml/officeDocument/relationships/attachedTemplate" Target="Normal.dotm" TargetMode="External"/></Relationships>
</file>

<file path=word/theme/theme1.xml><?xml version="1.0" encoding="utf-8"?>
<a:theme xmlns:a="http://purl.oclc.org/ooxml/drawingml/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purl.oclc.org/ooxml/officeDocument/extendedProperties" xmlns:vt="http://purl.oclc.org/ooxml/officeDocument/docPropsVTypes">
  <Template>Normal.dotm</Template>
  <TotalTime>1</TotalTime>
  <Pages>15</Pages>
  <Words>4938</Words>
  <Characters>27162</Characters>
  <Application>Microsoft Office Word</Application>
  <DocSecurity>0</DocSecurity>
  <Lines>226</Lines>
  <Paragraphs>64</Paragraphs>
  <ScaleCrop>false</ScaleCrop>
  <Company>Office_2024_X64_FR_EN-2409-17932.20328-v3</Company>
  <LinksUpToDate>false</LinksUpToDate>
  <CharactersWithSpaces>32036</CharactersWithSpaces>
  <SharedDoc>false</SharedDoc>
  <HyperlinksChanged>false</HyperlinksChanged>
  <AppVersion>16.0000</AppVersion>
</Properties>
</file>

<file path=docProps/core.xml><?xml version="1.0" encoding="utf-8"?>
<coreProperties xmlns:dc="http://purl.org/dc/elements/1.1/" xmlns:dcterms="http://purl.org/dc/terms/" xmlns:xsi="http://www.w3.org/2001/XMLSchema-instance" xmlns="http://schemas.openxmlformats.org/package/2006/metadata/core-properties">
  <dc:title>&gt;&gt;&gt; Início do parágrafo</dc:title>
  <dc:subject/>
  <dc:creator>CEB</dc:creator>
  <dc:description/>
  <lastModifiedBy>BAHA Yanis</lastModifiedBy>
  <revision>2</revision>
  <lastPrinted>2025-05-28T15:05:00.0000000Z</lastPrinted>
  <dcterms:created xsi:type="dcterms:W3CDTF">2025-10-02T13:44:00.0000000Z</dcterms:created>
  <dcterms:modified xsi:type="dcterms:W3CDTF">2025-10-02T13:44:00.0000000Z</dcterms:modified>
</coreProperties>
</file>

<file path=docProps/custom.xml><?xml version="1.0" encoding="utf-8"?>
<Properties xmlns="http://purl.oclc.org/ooxml/officeDocument/customProperties" xmlns:vt="http://purl.oclc.org/ooxml/officeDocument/docPropsVTypes">
  <property fmtid="{D5CDD505-2E9C-101B-9397-08002B2CF9AE}" pid="2" name="Application">
    <vt:lpwstr>AD2E</vt:lpwstr>
  </property>
  <property fmtid="{D5CDD505-2E9C-101B-9397-08002B2CF9AE}" pid="3" name="CheminDoctype">
    <vt:lpwstr>C:\Users\supiotd\AppData\Local\Temp</vt:lpwstr>
  </property>
  <property fmtid="{D5CDD505-2E9C-101B-9397-08002B2CF9AE}" pid="4" name="DernierElement">
    <vt:lpwstr/>
  </property>
  <property fmtid="{D5CDD505-2E9C-101B-9397-08002B2CF9AE}" pid="5" name="ElementContenant">
    <vt:lpwstr>ProcedureAvecMiseEnConc</vt:lpwstr>
  </property>
  <property fmtid="{D5CDD505-2E9C-101B-9397-08002B2CF9AE}" pid="6" name="ElementPrecedent">
    <vt:lpwstr/>
  </property>
  <property fmtid="{D5CDD505-2E9C-101B-9397-08002B2CF9AE}" pid="7" name="IdentifiantEdition">
    <vt:lpwstr>RC_COM</vt:lpwstr>
  </property>
  <property fmtid="{D5CDD505-2E9C-101B-9397-08002B2CF9AE}" pid="8" name="NomSegment">
    <vt:lpwstr>RC_COM_Annexe_signature_electronique</vt:lpwstr>
  </property>
  <property fmtid="{D5CDD505-2E9C-101B-9397-08002B2CF9AE}" pid="9" name="NouveauElement">
    <vt:lpwstr>PrestationsIdentiques</vt:lpwstr>
  </property>
  <property fmtid="{D5CDD505-2E9C-101B-9397-08002B2CF9AE}" pid="10" name="ResultatCommande">
    <vt:lpwstr>Ok</vt:lpwstr>
  </property>
</Properties>
</file>