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1327389F" w:rsidR="009609E9" w:rsidRDefault="00630158" w:rsidP="00636FE1">
      <w:pPr>
        <w:rPr>
          <w:noProof/>
          <w:lang w:eastAsia="fr-FR"/>
        </w:rPr>
      </w:pPr>
      <w:r>
        <w:rPr>
          <w:noProof/>
          <w:lang w:eastAsia="fr-FR"/>
        </w:rPr>
        <w:drawing>
          <wp:inline distT="0" distB="0" distL="0" distR="0" wp14:anchorId="62B3D8CB" wp14:editId="2890C3F5">
            <wp:extent cx="2414356" cy="866692"/>
            <wp:effectExtent l="0" t="0" r="0" b="0"/>
            <wp:docPr id="6" name="Image 5" descr="Une image contenant alimentation&#10;&#10;Description générée automatiquement" title="Sécurité sociale - l'Assurance Maladie : Agir ensemble, protéger chacu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pic:nvPicPr>
                  <pic:blipFill>
                    <a:blip r:embed="rId11">
                      <a:extLst>
                        <a:ext uri="{FF2B5EF4-FFF2-40B4-BE49-F238E27FC236}">
                          <a16:creationI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6C1F8D08-6EB0-422B-93A1-7AFDDC66FEBA}"/>
                        </a:ext>
                      </a:extLst>
                    </a:blip>
                    <a:srcRect l="6079" t="13944" r="62" b="12486"/>
                    <a:stretch>
                      <a:fillRect/>
                    </a:stretch>
                  </pic:blipFill>
                  <pic:spPr>
                    <a:xfrm>
                      <a:off x="0" y="0"/>
                      <a:ext cx="2414356" cy="866692"/>
                    </a:xfrm>
                    <a:prstGeom prst="rect">
                      <a:avLst/>
                    </a:prstGeom>
                  </pic:spPr>
                </pic:pic>
              </a:graphicData>
            </a:graphic>
          </wp:inline>
        </w:drawing>
      </w:r>
    </w:p>
    <w:p w14:paraId="42E9AC3F" w14:textId="77777777" w:rsidR="00913A3F" w:rsidRPr="00DA336A" w:rsidRDefault="00913A3F" w:rsidP="00455B5E">
      <w:pPr>
        <w:pStyle w:val="PAgegarde2"/>
        <w:spacing w:before="2160"/>
      </w:pPr>
      <w:r w:rsidRPr="00DA336A">
        <w:t>REGLEMENT DE LA CONSULTATION</w:t>
      </w:r>
    </w:p>
    <w:p w14:paraId="1981B92B" w14:textId="77777777" w:rsidR="00913A3F" w:rsidRPr="00DA336A" w:rsidRDefault="00913A3F" w:rsidP="00636FE1">
      <w:pPr>
        <w:pStyle w:val="PAgegarde2"/>
      </w:pPr>
      <w:r w:rsidRPr="00DA336A">
        <w:t>(R.C.)</w:t>
      </w:r>
    </w:p>
    <w:p w14:paraId="20A956A7" w14:textId="77777777" w:rsidR="00704C59" w:rsidRPr="00630158" w:rsidRDefault="00704C59" w:rsidP="00636FE1">
      <w:pPr>
        <w:pStyle w:val="Pagegarde3"/>
      </w:pPr>
      <w:r w:rsidRPr="00630158">
        <w:t>Personne publique :</w:t>
      </w:r>
    </w:p>
    <w:p w14:paraId="1B6E08B5" w14:textId="77777777" w:rsidR="00704C59" w:rsidRPr="00630158" w:rsidRDefault="00704C59" w:rsidP="00636FE1">
      <w:pPr>
        <w:pStyle w:val="Pagegarde3"/>
      </w:pPr>
      <w:r w:rsidRPr="00630158">
        <w:t>CAISSE NATIONALE DE L'ASSURANCE MALADIE</w:t>
      </w:r>
    </w:p>
    <w:p w14:paraId="6750B888" w14:textId="77777777" w:rsidR="00704C59" w:rsidRPr="00630158" w:rsidRDefault="00173B5B" w:rsidP="00636FE1">
      <w:pPr>
        <w:pStyle w:val="Pagegarde3"/>
      </w:pPr>
      <w:r w:rsidRPr="00630158">
        <w:t>(Cnam</w:t>
      </w:r>
      <w:r w:rsidR="00704C59" w:rsidRPr="00630158">
        <w:t>)</w:t>
      </w:r>
    </w:p>
    <w:p w14:paraId="1EC41CC3" w14:textId="77777777" w:rsidR="00704C59" w:rsidRPr="00630158" w:rsidRDefault="00A20CEB" w:rsidP="00636FE1">
      <w:pPr>
        <w:pStyle w:val="Pagegarde3"/>
      </w:pPr>
      <w:r w:rsidRPr="00630158">
        <w:t>26-</w:t>
      </w:r>
      <w:r w:rsidR="00704C59" w:rsidRPr="00630158">
        <w:t>50, avenue du Professeur André LEMIERRE</w:t>
      </w:r>
    </w:p>
    <w:p w14:paraId="64903922" w14:textId="77777777" w:rsidR="00704C59" w:rsidRPr="00630158" w:rsidRDefault="00704C59" w:rsidP="00636FE1">
      <w:pPr>
        <w:pStyle w:val="Pagegarde3"/>
      </w:pPr>
      <w:r w:rsidRPr="00630158">
        <w:t>75986 PARIS CEDEX 20</w:t>
      </w:r>
    </w:p>
    <w:p w14:paraId="0BECB475" w14:textId="77777777" w:rsidR="00704C59" w:rsidRPr="00630158" w:rsidRDefault="00704C59" w:rsidP="00636FE1">
      <w:pPr>
        <w:pStyle w:val="Pagegarde3"/>
      </w:pPr>
      <w:r w:rsidRPr="00630158">
        <w:t>France</w:t>
      </w:r>
    </w:p>
    <w:p w14:paraId="12D39D96" w14:textId="77777777" w:rsidR="00704C59" w:rsidRPr="00704C59" w:rsidRDefault="00704C59" w:rsidP="00636FE1">
      <w:pPr>
        <w:rPr>
          <w:lang w:eastAsia="fr-FR"/>
        </w:rPr>
      </w:pPr>
    </w:p>
    <w:p w14:paraId="70E0A6E0" w14:textId="77777777" w:rsidR="00847B85" w:rsidRPr="00630158" w:rsidRDefault="00704C59" w:rsidP="00636FE1">
      <w:pPr>
        <w:pStyle w:val="Pagegarde3"/>
      </w:pPr>
      <w:r w:rsidRPr="00630158">
        <w:t>Objet de la consultation :</w:t>
      </w:r>
      <w:r w:rsidR="00847B85" w:rsidRPr="00630158">
        <w:t xml:space="preserve"> </w:t>
      </w:r>
    </w:p>
    <w:p w14:paraId="5B5135FE" w14:textId="118A8B46" w:rsidR="00704C59" w:rsidRPr="00630158" w:rsidRDefault="00847B85" w:rsidP="00636FE1">
      <w:pPr>
        <w:pStyle w:val="Pagegarde3"/>
      </w:pPr>
      <w:r w:rsidRPr="00630158">
        <w:t xml:space="preserve">Assistance </w:t>
      </w:r>
      <w:r w:rsidR="0033519C">
        <w:t xml:space="preserve">technique </w:t>
      </w:r>
      <w:r w:rsidR="00792318" w:rsidRPr="003126D2">
        <w:t>pour la construction et pour le maintien en conditions opérationnelles de l’infrastructure technique et applicative du système d’information</w:t>
      </w:r>
      <w:r w:rsidR="00792318">
        <w:t xml:space="preserve"> – 3 lots</w:t>
      </w:r>
    </w:p>
    <w:p w14:paraId="3FA26D04" w14:textId="167239FD" w:rsidR="00704C59" w:rsidRPr="00630158" w:rsidRDefault="00847B85" w:rsidP="00636FE1">
      <w:pPr>
        <w:pStyle w:val="Pagegarde3"/>
      </w:pPr>
      <w:r w:rsidRPr="00630158">
        <w:t>Procédure</w:t>
      </w:r>
      <w:r w:rsidR="00704C59" w:rsidRPr="00630158">
        <w:t xml:space="preserve"> </w:t>
      </w:r>
      <w:r w:rsidRPr="00630158">
        <w:t>n</w:t>
      </w:r>
      <w:r w:rsidR="00704C59" w:rsidRPr="00630158">
        <w:t>°</w:t>
      </w:r>
      <w:r w:rsidR="00200B8A">
        <w:t>2370</w:t>
      </w:r>
      <w:r w:rsidRPr="00630158">
        <w:t>.AC.</w:t>
      </w:r>
      <w:r w:rsidR="00200B8A">
        <w:t>3075</w:t>
      </w:r>
    </w:p>
    <w:p w14:paraId="334892D1" w14:textId="61547BAE" w:rsidR="00704C59" w:rsidRPr="00630158" w:rsidRDefault="00704C59" w:rsidP="00636FE1">
      <w:pPr>
        <w:pStyle w:val="Pagegarde3"/>
      </w:pPr>
      <w:r w:rsidRPr="00630158">
        <w:t>Date limite de remise des offres :</w:t>
      </w:r>
      <w:r w:rsidR="00847B85" w:rsidRPr="00630158">
        <w:t xml:space="preserve"> </w:t>
      </w:r>
      <w:r w:rsidR="00412BD1">
        <w:t>15</w:t>
      </w:r>
      <w:r w:rsidR="00714FAC" w:rsidRPr="003F2D93">
        <w:t>/</w:t>
      </w:r>
      <w:r w:rsidR="00412BD1">
        <w:t>12</w:t>
      </w:r>
      <w:r w:rsidR="00714FAC" w:rsidRPr="003F2D93">
        <w:t>/2025 à 12h00</w:t>
      </w:r>
    </w:p>
    <w:p w14:paraId="60B5FB55" w14:textId="7431B4B7" w:rsidR="00630158" w:rsidRDefault="00630158" w:rsidP="00636FE1">
      <w:r>
        <w:br w:type="page"/>
      </w:r>
    </w:p>
    <w:p w14:paraId="02352476" w14:textId="77777777" w:rsidR="00230BA9" w:rsidRPr="00630158" w:rsidRDefault="00230BA9" w:rsidP="00636FE1">
      <w:pPr>
        <w:pStyle w:val="Sommaire"/>
      </w:pPr>
      <w:r w:rsidRPr="00630158">
        <w:lastRenderedPageBreak/>
        <w:t>Table des matières</w:t>
      </w:r>
    </w:p>
    <w:p w14:paraId="6534586B" w14:textId="7A96AC8F" w:rsidR="00265806" w:rsidRDefault="00230BA9">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r w:rsidRPr="000C17F0">
        <w:rPr>
          <w:rFonts w:asciiTheme="minorHAnsi" w:hAnsiTheme="minorHAnsi" w:cstheme="minorHAnsi"/>
          <w:b w:val="0"/>
          <w:i/>
        </w:rPr>
        <w:fldChar w:fldCharType="begin"/>
      </w:r>
      <w:r w:rsidRPr="000C17F0">
        <w:rPr>
          <w:rFonts w:asciiTheme="minorHAnsi" w:hAnsiTheme="minorHAnsi" w:cstheme="minorHAnsi"/>
          <w:b w:val="0"/>
          <w:i/>
        </w:rPr>
        <w:instrText xml:space="preserve"> TOC \o "1-3" \h \z \u </w:instrText>
      </w:r>
      <w:r w:rsidRPr="000C17F0">
        <w:rPr>
          <w:rFonts w:asciiTheme="minorHAnsi" w:hAnsiTheme="minorHAnsi" w:cstheme="minorHAnsi"/>
          <w:b w:val="0"/>
          <w:i/>
        </w:rPr>
        <w:fldChar w:fldCharType="separate"/>
      </w:r>
      <w:hyperlink w:anchor="_Toc211257274" w:history="1">
        <w:r w:rsidR="00265806" w:rsidRPr="00A000D6">
          <w:rPr>
            <w:rStyle w:val="Lienhypertexte"/>
            <w:noProof/>
          </w:rPr>
          <w:t>1</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Objet de la consultation</w:t>
        </w:r>
        <w:r w:rsidR="00265806">
          <w:rPr>
            <w:noProof/>
            <w:webHidden/>
          </w:rPr>
          <w:tab/>
        </w:r>
        <w:r w:rsidR="00265806">
          <w:rPr>
            <w:noProof/>
            <w:webHidden/>
          </w:rPr>
          <w:fldChar w:fldCharType="begin"/>
        </w:r>
        <w:r w:rsidR="00265806">
          <w:rPr>
            <w:noProof/>
            <w:webHidden/>
          </w:rPr>
          <w:instrText xml:space="preserve"> PAGEREF _Toc211257274 \h </w:instrText>
        </w:r>
        <w:r w:rsidR="00265806">
          <w:rPr>
            <w:noProof/>
            <w:webHidden/>
          </w:rPr>
        </w:r>
        <w:r w:rsidR="00265806">
          <w:rPr>
            <w:noProof/>
            <w:webHidden/>
          </w:rPr>
          <w:fldChar w:fldCharType="separate"/>
        </w:r>
        <w:r w:rsidR="00FC00F4">
          <w:rPr>
            <w:noProof/>
            <w:webHidden/>
          </w:rPr>
          <w:t>4</w:t>
        </w:r>
        <w:r w:rsidR="00265806">
          <w:rPr>
            <w:noProof/>
            <w:webHidden/>
          </w:rPr>
          <w:fldChar w:fldCharType="end"/>
        </w:r>
      </w:hyperlink>
    </w:p>
    <w:p w14:paraId="2430FAEE" w14:textId="65FD40A0"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275" w:history="1">
        <w:r w:rsidR="00265806" w:rsidRPr="00A000D6">
          <w:rPr>
            <w:rStyle w:val="Lienhypertexte"/>
            <w:noProof/>
          </w:rPr>
          <w:t>2</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Etendue et conditions de la consultation</w:t>
        </w:r>
        <w:r w:rsidR="00265806">
          <w:rPr>
            <w:noProof/>
            <w:webHidden/>
          </w:rPr>
          <w:tab/>
        </w:r>
        <w:r w:rsidR="00265806">
          <w:rPr>
            <w:noProof/>
            <w:webHidden/>
          </w:rPr>
          <w:fldChar w:fldCharType="begin"/>
        </w:r>
        <w:r w:rsidR="00265806">
          <w:rPr>
            <w:noProof/>
            <w:webHidden/>
          </w:rPr>
          <w:instrText xml:space="preserve"> PAGEREF _Toc211257275 \h </w:instrText>
        </w:r>
        <w:r w:rsidR="00265806">
          <w:rPr>
            <w:noProof/>
            <w:webHidden/>
          </w:rPr>
        </w:r>
        <w:r w:rsidR="00265806">
          <w:rPr>
            <w:noProof/>
            <w:webHidden/>
          </w:rPr>
          <w:fldChar w:fldCharType="separate"/>
        </w:r>
        <w:r w:rsidR="00FC00F4">
          <w:rPr>
            <w:noProof/>
            <w:webHidden/>
          </w:rPr>
          <w:t>4</w:t>
        </w:r>
        <w:r w:rsidR="00265806">
          <w:rPr>
            <w:noProof/>
            <w:webHidden/>
          </w:rPr>
          <w:fldChar w:fldCharType="end"/>
        </w:r>
      </w:hyperlink>
    </w:p>
    <w:p w14:paraId="0617522F" w14:textId="3B23FA98"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76" w:history="1">
        <w:r w:rsidR="00265806" w:rsidRPr="00A000D6">
          <w:rPr>
            <w:rStyle w:val="Lienhypertexte"/>
            <w:noProof/>
          </w:rPr>
          <w:t>2.1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Mode de consultation</w:t>
        </w:r>
        <w:r w:rsidR="00265806">
          <w:rPr>
            <w:noProof/>
            <w:webHidden/>
          </w:rPr>
          <w:tab/>
        </w:r>
        <w:r w:rsidR="00265806">
          <w:rPr>
            <w:noProof/>
            <w:webHidden/>
          </w:rPr>
          <w:fldChar w:fldCharType="begin"/>
        </w:r>
        <w:r w:rsidR="00265806">
          <w:rPr>
            <w:noProof/>
            <w:webHidden/>
          </w:rPr>
          <w:instrText xml:space="preserve"> PAGEREF _Toc211257276 \h </w:instrText>
        </w:r>
        <w:r w:rsidR="00265806">
          <w:rPr>
            <w:noProof/>
            <w:webHidden/>
          </w:rPr>
        </w:r>
        <w:r w:rsidR="00265806">
          <w:rPr>
            <w:noProof/>
            <w:webHidden/>
          </w:rPr>
          <w:fldChar w:fldCharType="separate"/>
        </w:r>
        <w:r w:rsidR="00FC00F4">
          <w:rPr>
            <w:noProof/>
            <w:webHidden/>
          </w:rPr>
          <w:t>4</w:t>
        </w:r>
        <w:r w:rsidR="00265806">
          <w:rPr>
            <w:noProof/>
            <w:webHidden/>
          </w:rPr>
          <w:fldChar w:fldCharType="end"/>
        </w:r>
      </w:hyperlink>
    </w:p>
    <w:p w14:paraId="47B880C2" w14:textId="42C0FA43"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77" w:history="1">
        <w:r w:rsidR="00265806" w:rsidRPr="00A000D6">
          <w:rPr>
            <w:rStyle w:val="Lienhypertexte"/>
            <w:noProof/>
          </w:rPr>
          <w:t>2.2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Décomposition en lots</w:t>
        </w:r>
        <w:r w:rsidR="00265806">
          <w:rPr>
            <w:noProof/>
            <w:webHidden/>
          </w:rPr>
          <w:tab/>
        </w:r>
        <w:r w:rsidR="00265806">
          <w:rPr>
            <w:noProof/>
            <w:webHidden/>
          </w:rPr>
          <w:fldChar w:fldCharType="begin"/>
        </w:r>
        <w:r w:rsidR="00265806">
          <w:rPr>
            <w:noProof/>
            <w:webHidden/>
          </w:rPr>
          <w:instrText xml:space="preserve"> PAGEREF _Toc211257277 \h </w:instrText>
        </w:r>
        <w:r w:rsidR="00265806">
          <w:rPr>
            <w:noProof/>
            <w:webHidden/>
          </w:rPr>
        </w:r>
        <w:r w:rsidR="00265806">
          <w:rPr>
            <w:noProof/>
            <w:webHidden/>
          </w:rPr>
          <w:fldChar w:fldCharType="separate"/>
        </w:r>
        <w:r w:rsidR="00FC00F4">
          <w:rPr>
            <w:noProof/>
            <w:webHidden/>
          </w:rPr>
          <w:t>4</w:t>
        </w:r>
        <w:r w:rsidR="00265806">
          <w:rPr>
            <w:noProof/>
            <w:webHidden/>
          </w:rPr>
          <w:fldChar w:fldCharType="end"/>
        </w:r>
      </w:hyperlink>
    </w:p>
    <w:p w14:paraId="0C306859" w14:textId="42583D1B"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78" w:history="1">
        <w:r w:rsidR="00265806" w:rsidRPr="00A000D6">
          <w:rPr>
            <w:rStyle w:val="Lienhypertexte"/>
            <w:noProof/>
          </w:rPr>
          <w:t>2.3</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Forme des accords-cadres issus des trois lots</w:t>
        </w:r>
        <w:r w:rsidR="00265806">
          <w:rPr>
            <w:noProof/>
            <w:webHidden/>
          </w:rPr>
          <w:tab/>
        </w:r>
        <w:r w:rsidR="00265806">
          <w:rPr>
            <w:noProof/>
            <w:webHidden/>
          </w:rPr>
          <w:fldChar w:fldCharType="begin"/>
        </w:r>
        <w:r w:rsidR="00265806">
          <w:rPr>
            <w:noProof/>
            <w:webHidden/>
          </w:rPr>
          <w:instrText xml:space="preserve"> PAGEREF _Toc211257278 \h </w:instrText>
        </w:r>
        <w:r w:rsidR="00265806">
          <w:rPr>
            <w:noProof/>
            <w:webHidden/>
          </w:rPr>
        </w:r>
        <w:r w:rsidR="00265806">
          <w:rPr>
            <w:noProof/>
            <w:webHidden/>
          </w:rPr>
          <w:fldChar w:fldCharType="separate"/>
        </w:r>
        <w:r w:rsidR="00FC00F4">
          <w:rPr>
            <w:noProof/>
            <w:webHidden/>
          </w:rPr>
          <w:t>4</w:t>
        </w:r>
        <w:r w:rsidR="00265806">
          <w:rPr>
            <w:noProof/>
            <w:webHidden/>
          </w:rPr>
          <w:fldChar w:fldCharType="end"/>
        </w:r>
      </w:hyperlink>
    </w:p>
    <w:p w14:paraId="381FD7F4" w14:textId="2F982D62"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79" w:history="1">
        <w:r w:rsidR="00265806" w:rsidRPr="00A000D6">
          <w:rPr>
            <w:rStyle w:val="Lienhypertexte"/>
            <w:noProof/>
          </w:rPr>
          <w:t>2.4</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Montants de l’accord-cadre</w:t>
        </w:r>
        <w:r w:rsidR="00265806">
          <w:rPr>
            <w:noProof/>
            <w:webHidden/>
          </w:rPr>
          <w:tab/>
        </w:r>
        <w:r w:rsidR="00265806">
          <w:rPr>
            <w:noProof/>
            <w:webHidden/>
          </w:rPr>
          <w:fldChar w:fldCharType="begin"/>
        </w:r>
        <w:r w:rsidR="00265806">
          <w:rPr>
            <w:noProof/>
            <w:webHidden/>
          </w:rPr>
          <w:instrText xml:space="preserve"> PAGEREF _Toc211257279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38AC7944" w14:textId="5511DBC2"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280" w:history="1">
        <w:r w:rsidR="00265806" w:rsidRPr="00A000D6">
          <w:rPr>
            <w:rStyle w:val="Lienhypertexte"/>
            <w:noProof/>
          </w:rPr>
          <w:t>2.4.1</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Montant estimatif</w:t>
        </w:r>
        <w:r w:rsidR="00265806">
          <w:rPr>
            <w:noProof/>
            <w:webHidden/>
          </w:rPr>
          <w:tab/>
        </w:r>
        <w:r w:rsidR="00265806">
          <w:rPr>
            <w:noProof/>
            <w:webHidden/>
          </w:rPr>
          <w:fldChar w:fldCharType="begin"/>
        </w:r>
        <w:r w:rsidR="00265806">
          <w:rPr>
            <w:noProof/>
            <w:webHidden/>
          </w:rPr>
          <w:instrText xml:space="preserve"> PAGEREF _Toc211257280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4BB5066F" w14:textId="10352DEE"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281" w:history="1">
        <w:r w:rsidR="00265806" w:rsidRPr="00A000D6">
          <w:rPr>
            <w:rStyle w:val="Lienhypertexte"/>
            <w:noProof/>
          </w:rPr>
          <w:t>2.4.2</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Montant maximum de la part à bons de commande</w:t>
        </w:r>
        <w:r w:rsidR="00265806">
          <w:rPr>
            <w:noProof/>
            <w:webHidden/>
          </w:rPr>
          <w:tab/>
        </w:r>
        <w:r w:rsidR="00265806">
          <w:rPr>
            <w:noProof/>
            <w:webHidden/>
          </w:rPr>
          <w:fldChar w:fldCharType="begin"/>
        </w:r>
        <w:r w:rsidR="00265806">
          <w:rPr>
            <w:noProof/>
            <w:webHidden/>
          </w:rPr>
          <w:instrText xml:space="preserve"> PAGEREF _Toc211257281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7AC4BD44" w14:textId="396A1CC6"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2" w:history="1">
        <w:r w:rsidR="00265806" w:rsidRPr="00A000D6">
          <w:rPr>
            <w:rStyle w:val="Lienhypertexte"/>
            <w:noProof/>
          </w:rPr>
          <w:t>2.5</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Nomenclature communautaire</w:t>
        </w:r>
        <w:r w:rsidR="00265806">
          <w:rPr>
            <w:noProof/>
            <w:webHidden/>
          </w:rPr>
          <w:tab/>
        </w:r>
        <w:r w:rsidR="00265806">
          <w:rPr>
            <w:noProof/>
            <w:webHidden/>
          </w:rPr>
          <w:fldChar w:fldCharType="begin"/>
        </w:r>
        <w:r w:rsidR="00265806">
          <w:rPr>
            <w:noProof/>
            <w:webHidden/>
          </w:rPr>
          <w:instrText xml:space="preserve"> PAGEREF _Toc211257282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689DDDF3" w14:textId="1617BE1B"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3" w:history="1">
        <w:r w:rsidR="00265806" w:rsidRPr="00A000D6">
          <w:rPr>
            <w:rStyle w:val="Lienhypertexte"/>
            <w:noProof/>
          </w:rPr>
          <w:t>2.6</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Délai de validité des offres</w:t>
        </w:r>
        <w:r w:rsidR="00265806">
          <w:rPr>
            <w:noProof/>
            <w:webHidden/>
          </w:rPr>
          <w:tab/>
        </w:r>
        <w:r w:rsidR="00265806">
          <w:rPr>
            <w:noProof/>
            <w:webHidden/>
          </w:rPr>
          <w:fldChar w:fldCharType="begin"/>
        </w:r>
        <w:r w:rsidR="00265806">
          <w:rPr>
            <w:noProof/>
            <w:webHidden/>
          </w:rPr>
          <w:instrText xml:space="preserve"> PAGEREF _Toc211257283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0B58A40C" w14:textId="1128F3E6"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4" w:history="1">
        <w:r w:rsidR="00265806" w:rsidRPr="00A000D6">
          <w:rPr>
            <w:rStyle w:val="Lienhypertexte"/>
            <w:noProof/>
          </w:rPr>
          <w:t>2.7</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Durée de l’accord-cadre</w:t>
        </w:r>
        <w:r w:rsidR="00265806">
          <w:rPr>
            <w:noProof/>
            <w:webHidden/>
          </w:rPr>
          <w:tab/>
        </w:r>
        <w:r w:rsidR="00265806">
          <w:rPr>
            <w:noProof/>
            <w:webHidden/>
          </w:rPr>
          <w:fldChar w:fldCharType="begin"/>
        </w:r>
        <w:r w:rsidR="00265806">
          <w:rPr>
            <w:noProof/>
            <w:webHidden/>
          </w:rPr>
          <w:instrText xml:space="preserve"> PAGEREF _Toc211257284 \h </w:instrText>
        </w:r>
        <w:r w:rsidR="00265806">
          <w:rPr>
            <w:noProof/>
            <w:webHidden/>
          </w:rPr>
        </w:r>
        <w:r w:rsidR="00265806">
          <w:rPr>
            <w:noProof/>
            <w:webHidden/>
          </w:rPr>
          <w:fldChar w:fldCharType="separate"/>
        </w:r>
        <w:r w:rsidR="00FC00F4">
          <w:rPr>
            <w:noProof/>
            <w:webHidden/>
          </w:rPr>
          <w:t>5</w:t>
        </w:r>
        <w:r w:rsidR="00265806">
          <w:rPr>
            <w:noProof/>
            <w:webHidden/>
          </w:rPr>
          <w:fldChar w:fldCharType="end"/>
        </w:r>
      </w:hyperlink>
    </w:p>
    <w:p w14:paraId="629A21FF" w14:textId="7D14EF18"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5" w:history="1">
        <w:r w:rsidR="00265806" w:rsidRPr="00A000D6">
          <w:rPr>
            <w:rStyle w:val="Lienhypertexte"/>
            <w:noProof/>
          </w:rPr>
          <w:t>2.8</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Lieu d’exécution des prestations</w:t>
        </w:r>
        <w:r w:rsidR="00265806">
          <w:rPr>
            <w:noProof/>
            <w:webHidden/>
          </w:rPr>
          <w:tab/>
        </w:r>
        <w:r w:rsidR="00265806">
          <w:rPr>
            <w:noProof/>
            <w:webHidden/>
          </w:rPr>
          <w:fldChar w:fldCharType="begin"/>
        </w:r>
        <w:r w:rsidR="00265806">
          <w:rPr>
            <w:noProof/>
            <w:webHidden/>
          </w:rPr>
          <w:instrText xml:space="preserve"> PAGEREF _Toc211257285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4E1711F9" w14:textId="5E5734C3"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6" w:history="1">
        <w:r w:rsidR="00265806" w:rsidRPr="00A000D6">
          <w:rPr>
            <w:rStyle w:val="Lienhypertexte"/>
            <w:noProof/>
          </w:rPr>
          <w:t>2.9</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Variantes</w:t>
        </w:r>
        <w:r w:rsidR="00265806">
          <w:rPr>
            <w:noProof/>
            <w:webHidden/>
          </w:rPr>
          <w:tab/>
        </w:r>
        <w:r w:rsidR="00265806">
          <w:rPr>
            <w:noProof/>
            <w:webHidden/>
          </w:rPr>
          <w:fldChar w:fldCharType="begin"/>
        </w:r>
        <w:r w:rsidR="00265806">
          <w:rPr>
            <w:noProof/>
            <w:webHidden/>
          </w:rPr>
          <w:instrText xml:space="preserve"> PAGEREF _Toc211257286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66194B3B" w14:textId="77C66514"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7" w:history="1">
        <w:r w:rsidR="00265806" w:rsidRPr="00A000D6">
          <w:rPr>
            <w:rStyle w:val="Lienhypertexte"/>
            <w:noProof/>
          </w:rPr>
          <w:t>2.10</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Accord-cadre de prestations similaires</w:t>
        </w:r>
        <w:r w:rsidR="00265806">
          <w:rPr>
            <w:noProof/>
            <w:webHidden/>
          </w:rPr>
          <w:tab/>
        </w:r>
        <w:r w:rsidR="00265806">
          <w:rPr>
            <w:noProof/>
            <w:webHidden/>
          </w:rPr>
          <w:fldChar w:fldCharType="begin"/>
        </w:r>
        <w:r w:rsidR="00265806">
          <w:rPr>
            <w:noProof/>
            <w:webHidden/>
          </w:rPr>
          <w:instrText xml:space="preserve"> PAGEREF _Toc211257287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7368051A" w14:textId="2D0DA98E"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8" w:history="1">
        <w:r w:rsidR="00265806" w:rsidRPr="00A000D6">
          <w:rPr>
            <w:rStyle w:val="Lienhypertexte"/>
            <w:noProof/>
          </w:rPr>
          <w:t>2.11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Unité monétaire</w:t>
        </w:r>
        <w:r w:rsidR="00265806">
          <w:rPr>
            <w:noProof/>
            <w:webHidden/>
          </w:rPr>
          <w:tab/>
        </w:r>
        <w:r w:rsidR="00265806">
          <w:rPr>
            <w:noProof/>
            <w:webHidden/>
          </w:rPr>
          <w:fldChar w:fldCharType="begin"/>
        </w:r>
        <w:r w:rsidR="00265806">
          <w:rPr>
            <w:noProof/>
            <w:webHidden/>
          </w:rPr>
          <w:instrText xml:space="preserve"> PAGEREF _Toc211257288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78989B25" w14:textId="0F44AAAF"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89" w:history="1">
        <w:r w:rsidR="00265806" w:rsidRPr="00A000D6">
          <w:rPr>
            <w:rStyle w:val="Lienhypertexte"/>
            <w:noProof/>
          </w:rPr>
          <w:t>2.12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Langue</w:t>
        </w:r>
        <w:r w:rsidR="00265806">
          <w:rPr>
            <w:noProof/>
            <w:webHidden/>
          </w:rPr>
          <w:tab/>
        </w:r>
        <w:r w:rsidR="00265806">
          <w:rPr>
            <w:noProof/>
            <w:webHidden/>
          </w:rPr>
          <w:fldChar w:fldCharType="begin"/>
        </w:r>
        <w:r w:rsidR="00265806">
          <w:rPr>
            <w:noProof/>
            <w:webHidden/>
          </w:rPr>
          <w:instrText xml:space="preserve"> PAGEREF _Toc211257289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1184DF71" w14:textId="45D4AE5B"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0" w:history="1">
        <w:r w:rsidR="00265806" w:rsidRPr="00A000D6">
          <w:rPr>
            <w:rStyle w:val="Lienhypertexte"/>
            <w:noProof/>
          </w:rPr>
          <w:t>2.13</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Généralités sur les candidatures et les offres</w:t>
        </w:r>
        <w:r w:rsidR="00265806">
          <w:rPr>
            <w:noProof/>
            <w:webHidden/>
          </w:rPr>
          <w:tab/>
        </w:r>
        <w:r w:rsidR="00265806">
          <w:rPr>
            <w:noProof/>
            <w:webHidden/>
          </w:rPr>
          <w:fldChar w:fldCharType="begin"/>
        </w:r>
        <w:r w:rsidR="00265806">
          <w:rPr>
            <w:noProof/>
            <w:webHidden/>
          </w:rPr>
          <w:instrText xml:space="preserve"> PAGEREF _Toc211257290 \h </w:instrText>
        </w:r>
        <w:r w:rsidR="00265806">
          <w:rPr>
            <w:noProof/>
            <w:webHidden/>
          </w:rPr>
        </w:r>
        <w:r w:rsidR="00265806">
          <w:rPr>
            <w:noProof/>
            <w:webHidden/>
          </w:rPr>
          <w:fldChar w:fldCharType="separate"/>
        </w:r>
        <w:r w:rsidR="00FC00F4">
          <w:rPr>
            <w:noProof/>
            <w:webHidden/>
          </w:rPr>
          <w:t>6</w:t>
        </w:r>
        <w:r w:rsidR="00265806">
          <w:rPr>
            <w:noProof/>
            <w:webHidden/>
          </w:rPr>
          <w:fldChar w:fldCharType="end"/>
        </w:r>
      </w:hyperlink>
    </w:p>
    <w:p w14:paraId="317CB56A" w14:textId="0A810C10"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291" w:history="1">
        <w:r w:rsidR="00265806" w:rsidRPr="00A000D6">
          <w:rPr>
            <w:rStyle w:val="Lienhypertexte"/>
            <w:noProof/>
          </w:rPr>
          <w:t>3</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Conditions relatives à l’accord-cadre</w:t>
        </w:r>
        <w:r w:rsidR="00265806">
          <w:rPr>
            <w:noProof/>
            <w:webHidden/>
          </w:rPr>
          <w:tab/>
        </w:r>
        <w:r w:rsidR="00265806">
          <w:rPr>
            <w:noProof/>
            <w:webHidden/>
          </w:rPr>
          <w:fldChar w:fldCharType="begin"/>
        </w:r>
        <w:r w:rsidR="00265806">
          <w:rPr>
            <w:noProof/>
            <w:webHidden/>
          </w:rPr>
          <w:instrText xml:space="preserve"> PAGEREF _Toc211257291 \h </w:instrText>
        </w:r>
        <w:r w:rsidR="00265806">
          <w:rPr>
            <w:noProof/>
            <w:webHidden/>
          </w:rPr>
        </w:r>
        <w:r w:rsidR="00265806">
          <w:rPr>
            <w:noProof/>
            <w:webHidden/>
          </w:rPr>
          <w:fldChar w:fldCharType="separate"/>
        </w:r>
        <w:r w:rsidR="00FC00F4">
          <w:rPr>
            <w:noProof/>
            <w:webHidden/>
          </w:rPr>
          <w:t>7</w:t>
        </w:r>
        <w:r w:rsidR="00265806">
          <w:rPr>
            <w:noProof/>
            <w:webHidden/>
          </w:rPr>
          <w:fldChar w:fldCharType="end"/>
        </w:r>
      </w:hyperlink>
    </w:p>
    <w:p w14:paraId="1848624D" w14:textId="243F432A"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2" w:history="1">
        <w:r w:rsidR="00265806" w:rsidRPr="00A000D6">
          <w:rPr>
            <w:rStyle w:val="Lienhypertexte"/>
            <w:noProof/>
          </w:rPr>
          <w:t>3.1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Forme juridique du groupement</w:t>
        </w:r>
        <w:r w:rsidR="00265806">
          <w:rPr>
            <w:noProof/>
            <w:webHidden/>
          </w:rPr>
          <w:tab/>
        </w:r>
        <w:r w:rsidR="00265806">
          <w:rPr>
            <w:noProof/>
            <w:webHidden/>
          </w:rPr>
          <w:fldChar w:fldCharType="begin"/>
        </w:r>
        <w:r w:rsidR="00265806">
          <w:rPr>
            <w:noProof/>
            <w:webHidden/>
          </w:rPr>
          <w:instrText xml:space="preserve"> PAGEREF _Toc211257292 \h </w:instrText>
        </w:r>
        <w:r w:rsidR="00265806">
          <w:rPr>
            <w:noProof/>
            <w:webHidden/>
          </w:rPr>
        </w:r>
        <w:r w:rsidR="00265806">
          <w:rPr>
            <w:noProof/>
            <w:webHidden/>
          </w:rPr>
          <w:fldChar w:fldCharType="separate"/>
        </w:r>
        <w:r w:rsidR="00FC00F4">
          <w:rPr>
            <w:noProof/>
            <w:webHidden/>
          </w:rPr>
          <w:t>7</w:t>
        </w:r>
        <w:r w:rsidR="00265806">
          <w:rPr>
            <w:noProof/>
            <w:webHidden/>
          </w:rPr>
          <w:fldChar w:fldCharType="end"/>
        </w:r>
      </w:hyperlink>
    </w:p>
    <w:p w14:paraId="2BEFDFB1" w14:textId="6B614DE5"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3" w:history="1">
        <w:r w:rsidR="00265806" w:rsidRPr="00A000D6">
          <w:rPr>
            <w:rStyle w:val="Lienhypertexte"/>
            <w:noProof/>
          </w:rPr>
          <w:t>3.2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Sous-traitance</w:t>
        </w:r>
        <w:r w:rsidR="00265806">
          <w:rPr>
            <w:noProof/>
            <w:webHidden/>
          </w:rPr>
          <w:tab/>
        </w:r>
        <w:r w:rsidR="00265806">
          <w:rPr>
            <w:noProof/>
            <w:webHidden/>
          </w:rPr>
          <w:fldChar w:fldCharType="begin"/>
        </w:r>
        <w:r w:rsidR="00265806">
          <w:rPr>
            <w:noProof/>
            <w:webHidden/>
          </w:rPr>
          <w:instrText xml:space="preserve"> PAGEREF _Toc211257293 \h </w:instrText>
        </w:r>
        <w:r w:rsidR="00265806">
          <w:rPr>
            <w:noProof/>
            <w:webHidden/>
          </w:rPr>
        </w:r>
        <w:r w:rsidR="00265806">
          <w:rPr>
            <w:noProof/>
            <w:webHidden/>
          </w:rPr>
          <w:fldChar w:fldCharType="separate"/>
        </w:r>
        <w:r w:rsidR="00FC00F4">
          <w:rPr>
            <w:noProof/>
            <w:webHidden/>
          </w:rPr>
          <w:t>7</w:t>
        </w:r>
        <w:r w:rsidR="00265806">
          <w:rPr>
            <w:noProof/>
            <w:webHidden/>
          </w:rPr>
          <w:fldChar w:fldCharType="end"/>
        </w:r>
      </w:hyperlink>
    </w:p>
    <w:p w14:paraId="2C655A3A" w14:textId="1877231D"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4" w:history="1">
        <w:r w:rsidR="00265806" w:rsidRPr="00A000D6">
          <w:rPr>
            <w:rStyle w:val="Lienhypertexte"/>
            <w:noProof/>
          </w:rPr>
          <w:t>3.3</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Liens des titulaires (et leurs sous-traitants) avec la Russie</w:t>
        </w:r>
        <w:r w:rsidR="00265806">
          <w:rPr>
            <w:noProof/>
            <w:webHidden/>
          </w:rPr>
          <w:tab/>
        </w:r>
        <w:r w:rsidR="00265806">
          <w:rPr>
            <w:noProof/>
            <w:webHidden/>
          </w:rPr>
          <w:fldChar w:fldCharType="begin"/>
        </w:r>
        <w:r w:rsidR="00265806">
          <w:rPr>
            <w:noProof/>
            <w:webHidden/>
          </w:rPr>
          <w:instrText xml:space="preserve"> PAGEREF _Toc211257294 \h </w:instrText>
        </w:r>
        <w:r w:rsidR="00265806">
          <w:rPr>
            <w:noProof/>
            <w:webHidden/>
          </w:rPr>
        </w:r>
        <w:r w:rsidR="00265806">
          <w:rPr>
            <w:noProof/>
            <w:webHidden/>
          </w:rPr>
          <w:fldChar w:fldCharType="separate"/>
        </w:r>
        <w:r w:rsidR="00FC00F4">
          <w:rPr>
            <w:noProof/>
            <w:webHidden/>
          </w:rPr>
          <w:t>8</w:t>
        </w:r>
        <w:r w:rsidR="00265806">
          <w:rPr>
            <w:noProof/>
            <w:webHidden/>
          </w:rPr>
          <w:fldChar w:fldCharType="end"/>
        </w:r>
      </w:hyperlink>
    </w:p>
    <w:p w14:paraId="47431D24" w14:textId="436A4D98"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5" w:history="1">
        <w:r w:rsidR="00265806" w:rsidRPr="00A000D6">
          <w:rPr>
            <w:rStyle w:val="Lienhypertexte"/>
            <w:noProof/>
          </w:rPr>
          <w:t>3.4</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Modalités essentielles de règlement de l’accord-cadre</w:t>
        </w:r>
        <w:r w:rsidR="00265806">
          <w:rPr>
            <w:noProof/>
            <w:webHidden/>
          </w:rPr>
          <w:tab/>
        </w:r>
        <w:r w:rsidR="00265806">
          <w:rPr>
            <w:noProof/>
            <w:webHidden/>
          </w:rPr>
          <w:fldChar w:fldCharType="begin"/>
        </w:r>
        <w:r w:rsidR="00265806">
          <w:rPr>
            <w:noProof/>
            <w:webHidden/>
          </w:rPr>
          <w:instrText xml:space="preserve"> PAGEREF _Toc211257295 \h </w:instrText>
        </w:r>
        <w:r w:rsidR="00265806">
          <w:rPr>
            <w:noProof/>
            <w:webHidden/>
          </w:rPr>
        </w:r>
        <w:r w:rsidR="00265806">
          <w:rPr>
            <w:noProof/>
            <w:webHidden/>
          </w:rPr>
          <w:fldChar w:fldCharType="separate"/>
        </w:r>
        <w:r w:rsidR="00FC00F4">
          <w:rPr>
            <w:noProof/>
            <w:webHidden/>
          </w:rPr>
          <w:t>8</w:t>
        </w:r>
        <w:r w:rsidR="00265806">
          <w:rPr>
            <w:noProof/>
            <w:webHidden/>
          </w:rPr>
          <w:fldChar w:fldCharType="end"/>
        </w:r>
      </w:hyperlink>
    </w:p>
    <w:p w14:paraId="74C1BF26" w14:textId="1B223B0D"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296" w:history="1">
        <w:r w:rsidR="00265806" w:rsidRPr="00A000D6">
          <w:rPr>
            <w:rStyle w:val="Lienhypertexte"/>
            <w:noProof/>
          </w:rPr>
          <w:t>4</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Dossier de consultation</w:t>
        </w:r>
        <w:r w:rsidR="00265806">
          <w:rPr>
            <w:noProof/>
            <w:webHidden/>
          </w:rPr>
          <w:tab/>
        </w:r>
        <w:r w:rsidR="00265806">
          <w:rPr>
            <w:noProof/>
            <w:webHidden/>
          </w:rPr>
          <w:fldChar w:fldCharType="begin"/>
        </w:r>
        <w:r w:rsidR="00265806">
          <w:rPr>
            <w:noProof/>
            <w:webHidden/>
          </w:rPr>
          <w:instrText xml:space="preserve"> PAGEREF _Toc211257296 \h </w:instrText>
        </w:r>
        <w:r w:rsidR="00265806">
          <w:rPr>
            <w:noProof/>
            <w:webHidden/>
          </w:rPr>
        </w:r>
        <w:r w:rsidR="00265806">
          <w:rPr>
            <w:noProof/>
            <w:webHidden/>
          </w:rPr>
          <w:fldChar w:fldCharType="separate"/>
        </w:r>
        <w:r w:rsidR="00FC00F4">
          <w:rPr>
            <w:noProof/>
            <w:webHidden/>
          </w:rPr>
          <w:t>9</w:t>
        </w:r>
        <w:r w:rsidR="00265806">
          <w:rPr>
            <w:noProof/>
            <w:webHidden/>
          </w:rPr>
          <w:fldChar w:fldCharType="end"/>
        </w:r>
      </w:hyperlink>
    </w:p>
    <w:p w14:paraId="47CF032D" w14:textId="33AE0062"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297" w:history="1">
        <w:r w:rsidR="00265806" w:rsidRPr="00A000D6">
          <w:rPr>
            <w:rStyle w:val="Lienhypertexte"/>
            <w:noProof/>
          </w:rPr>
          <w:t>5</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Contenu obligatoire de la candidature et de l’offre</w:t>
        </w:r>
        <w:r w:rsidR="00265806">
          <w:rPr>
            <w:noProof/>
            <w:webHidden/>
          </w:rPr>
          <w:tab/>
        </w:r>
        <w:r w:rsidR="00265806">
          <w:rPr>
            <w:noProof/>
            <w:webHidden/>
          </w:rPr>
          <w:fldChar w:fldCharType="begin"/>
        </w:r>
        <w:r w:rsidR="00265806">
          <w:rPr>
            <w:noProof/>
            <w:webHidden/>
          </w:rPr>
          <w:instrText xml:space="preserve"> PAGEREF _Toc211257297 \h </w:instrText>
        </w:r>
        <w:r w:rsidR="00265806">
          <w:rPr>
            <w:noProof/>
            <w:webHidden/>
          </w:rPr>
        </w:r>
        <w:r w:rsidR="00265806">
          <w:rPr>
            <w:noProof/>
            <w:webHidden/>
          </w:rPr>
          <w:fldChar w:fldCharType="separate"/>
        </w:r>
        <w:r w:rsidR="00FC00F4">
          <w:rPr>
            <w:noProof/>
            <w:webHidden/>
          </w:rPr>
          <w:t>9</w:t>
        </w:r>
        <w:r w:rsidR="00265806">
          <w:rPr>
            <w:noProof/>
            <w:webHidden/>
          </w:rPr>
          <w:fldChar w:fldCharType="end"/>
        </w:r>
      </w:hyperlink>
    </w:p>
    <w:p w14:paraId="6BB99E40" w14:textId="11DC3F34"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8" w:history="1">
        <w:r w:rsidR="00265806" w:rsidRPr="00A000D6">
          <w:rPr>
            <w:rStyle w:val="Lienhypertexte"/>
            <w:noProof/>
          </w:rPr>
          <w:t>5.1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Pièces à joindre au titre de la candidature</w:t>
        </w:r>
        <w:r w:rsidR="00265806">
          <w:rPr>
            <w:noProof/>
            <w:webHidden/>
          </w:rPr>
          <w:tab/>
        </w:r>
        <w:r w:rsidR="00265806">
          <w:rPr>
            <w:noProof/>
            <w:webHidden/>
          </w:rPr>
          <w:fldChar w:fldCharType="begin"/>
        </w:r>
        <w:r w:rsidR="00265806">
          <w:rPr>
            <w:noProof/>
            <w:webHidden/>
          </w:rPr>
          <w:instrText xml:space="preserve"> PAGEREF _Toc211257298 \h </w:instrText>
        </w:r>
        <w:r w:rsidR="00265806">
          <w:rPr>
            <w:noProof/>
            <w:webHidden/>
          </w:rPr>
        </w:r>
        <w:r w:rsidR="00265806">
          <w:rPr>
            <w:noProof/>
            <w:webHidden/>
          </w:rPr>
          <w:fldChar w:fldCharType="separate"/>
        </w:r>
        <w:r w:rsidR="00FC00F4">
          <w:rPr>
            <w:noProof/>
            <w:webHidden/>
          </w:rPr>
          <w:t>9</w:t>
        </w:r>
        <w:r w:rsidR="00265806">
          <w:rPr>
            <w:noProof/>
            <w:webHidden/>
          </w:rPr>
          <w:fldChar w:fldCharType="end"/>
        </w:r>
      </w:hyperlink>
    </w:p>
    <w:p w14:paraId="4AF8F356" w14:textId="1E8E7ADD"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299" w:history="1">
        <w:r w:rsidR="00265806" w:rsidRPr="00A000D6">
          <w:rPr>
            <w:rStyle w:val="Lienhypertexte"/>
            <w:noProof/>
          </w:rPr>
          <w:t>5.2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Pièces à joindre au titre de l’offre pour les lots 1 à 3</w:t>
        </w:r>
        <w:r w:rsidR="00265806">
          <w:rPr>
            <w:noProof/>
            <w:webHidden/>
          </w:rPr>
          <w:tab/>
        </w:r>
        <w:r w:rsidR="00265806">
          <w:rPr>
            <w:noProof/>
            <w:webHidden/>
          </w:rPr>
          <w:fldChar w:fldCharType="begin"/>
        </w:r>
        <w:r w:rsidR="00265806">
          <w:rPr>
            <w:noProof/>
            <w:webHidden/>
          </w:rPr>
          <w:instrText xml:space="preserve"> PAGEREF _Toc211257299 \h </w:instrText>
        </w:r>
        <w:r w:rsidR="00265806">
          <w:rPr>
            <w:noProof/>
            <w:webHidden/>
          </w:rPr>
        </w:r>
        <w:r w:rsidR="00265806">
          <w:rPr>
            <w:noProof/>
            <w:webHidden/>
          </w:rPr>
          <w:fldChar w:fldCharType="separate"/>
        </w:r>
        <w:r w:rsidR="00FC00F4">
          <w:rPr>
            <w:noProof/>
            <w:webHidden/>
          </w:rPr>
          <w:t>12</w:t>
        </w:r>
        <w:r w:rsidR="00265806">
          <w:rPr>
            <w:noProof/>
            <w:webHidden/>
          </w:rPr>
          <w:fldChar w:fldCharType="end"/>
        </w:r>
      </w:hyperlink>
    </w:p>
    <w:p w14:paraId="4B9C0E45" w14:textId="7FE3B20C"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00" w:history="1">
        <w:r w:rsidR="00265806" w:rsidRPr="00A000D6">
          <w:rPr>
            <w:rStyle w:val="Lienhypertexte"/>
            <w:noProof/>
          </w:rPr>
          <w:t>6</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Conditions d’établissement et de remise des offres</w:t>
        </w:r>
        <w:r w:rsidR="00265806">
          <w:rPr>
            <w:noProof/>
            <w:webHidden/>
          </w:rPr>
          <w:tab/>
        </w:r>
        <w:r w:rsidR="00265806">
          <w:rPr>
            <w:noProof/>
            <w:webHidden/>
          </w:rPr>
          <w:fldChar w:fldCharType="begin"/>
        </w:r>
        <w:r w:rsidR="00265806">
          <w:rPr>
            <w:noProof/>
            <w:webHidden/>
          </w:rPr>
          <w:instrText xml:space="preserve"> PAGEREF _Toc211257300 \h </w:instrText>
        </w:r>
        <w:r w:rsidR="00265806">
          <w:rPr>
            <w:noProof/>
            <w:webHidden/>
          </w:rPr>
        </w:r>
        <w:r w:rsidR="00265806">
          <w:rPr>
            <w:noProof/>
            <w:webHidden/>
          </w:rPr>
          <w:fldChar w:fldCharType="separate"/>
        </w:r>
        <w:r w:rsidR="00FC00F4">
          <w:rPr>
            <w:noProof/>
            <w:webHidden/>
          </w:rPr>
          <w:t>12</w:t>
        </w:r>
        <w:r w:rsidR="00265806">
          <w:rPr>
            <w:noProof/>
            <w:webHidden/>
          </w:rPr>
          <w:fldChar w:fldCharType="end"/>
        </w:r>
      </w:hyperlink>
    </w:p>
    <w:p w14:paraId="3CDC59B7" w14:textId="717A40D2"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301" w:history="1">
        <w:r w:rsidR="00265806" w:rsidRPr="00A000D6">
          <w:rPr>
            <w:rStyle w:val="Lienhypertexte"/>
            <w:noProof/>
          </w:rPr>
          <w:t>6.1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Conditions de délai</w:t>
        </w:r>
        <w:r w:rsidR="00265806">
          <w:rPr>
            <w:noProof/>
            <w:webHidden/>
          </w:rPr>
          <w:tab/>
        </w:r>
        <w:r w:rsidR="00265806">
          <w:rPr>
            <w:noProof/>
            <w:webHidden/>
          </w:rPr>
          <w:fldChar w:fldCharType="begin"/>
        </w:r>
        <w:r w:rsidR="00265806">
          <w:rPr>
            <w:noProof/>
            <w:webHidden/>
          </w:rPr>
          <w:instrText xml:space="preserve"> PAGEREF _Toc211257301 \h </w:instrText>
        </w:r>
        <w:r w:rsidR="00265806">
          <w:rPr>
            <w:noProof/>
            <w:webHidden/>
          </w:rPr>
        </w:r>
        <w:r w:rsidR="00265806">
          <w:rPr>
            <w:noProof/>
            <w:webHidden/>
          </w:rPr>
          <w:fldChar w:fldCharType="separate"/>
        </w:r>
        <w:r w:rsidR="00FC00F4">
          <w:rPr>
            <w:noProof/>
            <w:webHidden/>
          </w:rPr>
          <w:t>12</w:t>
        </w:r>
        <w:r w:rsidR="00265806">
          <w:rPr>
            <w:noProof/>
            <w:webHidden/>
          </w:rPr>
          <w:fldChar w:fldCharType="end"/>
        </w:r>
      </w:hyperlink>
    </w:p>
    <w:p w14:paraId="6C6A837D" w14:textId="2E002F59"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302" w:history="1">
        <w:r w:rsidR="00265806" w:rsidRPr="00A000D6">
          <w:rPr>
            <w:rStyle w:val="Lienhypertexte"/>
            <w:noProof/>
          </w:rPr>
          <w:t>6.2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Transmission électronique</w:t>
        </w:r>
        <w:r w:rsidR="00265806">
          <w:rPr>
            <w:noProof/>
            <w:webHidden/>
          </w:rPr>
          <w:tab/>
        </w:r>
        <w:r w:rsidR="00265806">
          <w:rPr>
            <w:noProof/>
            <w:webHidden/>
          </w:rPr>
          <w:fldChar w:fldCharType="begin"/>
        </w:r>
        <w:r w:rsidR="00265806">
          <w:rPr>
            <w:noProof/>
            <w:webHidden/>
          </w:rPr>
          <w:instrText xml:space="preserve"> PAGEREF _Toc211257302 \h </w:instrText>
        </w:r>
        <w:r w:rsidR="00265806">
          <w:rPr>
            <w:noProof/>
            <w:webHidden/>
          </w:rPr>
        </w:r>
        <w:r w:rsidR="00265806">
          <w:rPr>
            <w:noProof/>
            <w:webHidden/>
          </w:rPr>
          <w:fldChar w:fldCharType="separate"/>
        </w:r>
        <w:r w:rsidR="00FC00F4">
          <w:rPr>
            <w:noProof/>
            <w:webHidden/>
          </w:rPr>
          <w:t>12</w:t>
        </w:r>
        <w:r w:rsidR="00265806">
          <w:rPr>
            <w:noProof/>
            <w:webHidden/>
          </w:rPr>
          <w:fldChar w:fldCharType="end"/>
        </w:r>
      </w:hyperlink>
    </w:p>
    <w:p w14:paraId="4D435396" w14:textId="2580E3D6"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3" w:history="1">
        <w:r w:rsidR="00265806" w:rsidRPr="00A000D6">
          <w:rPr>
            <w:rStyle w:val="Lienhypertexte"/>
            <w:noProof/>
          </w:rPr>
          <w:t>6.2.1</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Dépôt du dossier</w:t>
        </w:r>
        <w:r w:rsidR="00265806">
          <w:rPr>
            <w:noProof/>
            <w:webHidden/>
          </w:rPr>
          <w:tab/>
        </w:r>
        <w:r w:rsidR="00265806">
          <w:rPr>
            <w:noProof/>
            <w:webHidden/>
          </w:rPr>
          <w:fldChar w:fldCharType="begin"/>
        </w:r>
        <w:r w:rsidR="00265806">
          <w:rPr>
            <w:noProof/>
            <w:webHidden/>
          </w:rPr>
          <w:instrText xml:space="preserve"> PAGEREF _Toc211257303 \h </w:instrText>
        </w:r>
        <w:r w:rsidR="00265806">
          <w:rPr>
            <w:noProof/>
            <w:webHidden/>
          </w:rPr>
        </w:r>
        <w:r w:rsidR="00265806">
          <w:rPr>
            <w:noProof/>
            <w:webHidden/>
          </w:rPr>
          <w:fldChar w:fldCharType="separate"/>
        </w:r>
        <w:r w:rsidR="00FC00F4">
          <w:rPr>
            <w:noProof/>
            <w:webHidden/>
          </w:rPr>
          <w:t>12</w:t>
        </w:r>
        <w:r w:rsidR="00265806">
          <w:rPr>
            <w:noProof/>
            <w:webHidden/>
          </w:rPr>
          <w:fldChar w:fldCharType="end"/>
        </w:r>
      </w:hyperlink>
    </w:p>
    <w:p w14:paraId="2AEA8107" w14:textId="1790B44F"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4" w:history="1">
        <w:r w:rsidR="00265806" w:rsidRPr="00A000D6">
          <w:rPr>
            <w:rStyle w:val="Lienhypertexte"/>
            <w:noProof/>
          </w:rPr>
          <w:t>6.2.2</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Horodatage</w:t>
        </w:r>
        <w:r w:rsidR="00265806">
          <w:rPr>
            <w:noProof/>
            <w:webHidden/>
          </w:rPr>
          <w:tab/>
        </w:r>
        <w:r w:rsidR="00265806">
          <w:rPr>
            <w:noProof/>
            <w:webHidden/>
          </w:rPr>
          <w:fldChar w:fldCharType="begin"/>
        </w:r>
        <w:r w:rsidR="00265806">
          <w:rPr>
            <w:noProof/>
            <w:webHidden/>
          </w:rPr>
          <w:instrText xml:space="preserve"> PAGEREF _Toc211257304 \h </w:instrText>
        </w:r>
        <w:r w:rsidR="00265806">
          <w:rPr>
            <w:noProof/>
            <w:webHidden/>
          </w:rPr>
        </w:r>
        <w:r w:rsidR="00265806">
          <w:rPr>
            <w:noProof/>
            <w:webHidden/>
          </w:rPr>
          <w:fldChar w:fldCharType="separate"/>
        </w:r>
        <w:r w:rsidR="00FC00F4">
          <w:rPr>
            <w:noProof/>
            <w:webHidden/>
          </w:rPr>
          <w:t>13</w:t>
        </w:r>
        <w:r w:rsidR="00265806">
          <w:rPr>
            <w:noProof/>
            <w:webHidden/>
          </w:rPr>
          <w:fldChar w:fldCharType="end"/>
        </w:r>
      </w:hyperlink>
    </w:p>
    <w:p w14:paraId="0164B3BA" w14:textId="3C705E30"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5" w:history="1">
        <w:r w:rsidR="00265806" w:rsidRPr="00A000D6">
          <w:rPr>
            <w:rStyle w:val="Lienhypertexte"/>
            <w:noProof/>
          </w:rPr>
          <w:t>6.2.3</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Contrôle de virus</w:t>
        </w:r>
        <w:r w:rsidR="00265806">
          <w:rPr>
            <w:noProof/>
            <w:webHidden/>
          </w:rPr>
          <w:tab/>
        </w:r>
        <w:r w:rsidR="00265806">
          <w:rPr>
            <w:noProof/>
            <w:webHidden/>
          </w:rPr>
          <w:fldChar w:fldCharType="begin"/>
        </w:r>
        <w:r w:rsidR="00265806">
          <w:rPr>
            <w:noProof/>
            <w:webHidden/>
          </w:rPr>
          <w:instrText xml:space="preserve"> PAGEREF _Toc211257305 \h </w:instrText>
        </w:r>
        <w:r w:rsidR="00265806">
          <w:rPr>
            <w:noProof/>
            <w:webHidden/>
          </w:rPr>
        </w:r>
        <w:r w:rsidR="00265806">
          <w:rPr>
            <w:noProof/>
            <w:webHidden/>
          </w:rPr>
          <w:fldChar w:fldCharType="separate"/>
        </w:r>
        <w:r w:rsidR="00FC00F4">
          <w:rPr>
            <w:noProof/>
            <w:webHidden/>
          </w:rPr>
          <w:t>14</w:t>
        </w:r>
        <w:r w:rsidR="00265806">
          <w:rPr>
            <w:noProof/>
            <w:webHidden/>
          </w:rPr>
          <w:fldChar w:fldCharType="end"/>
        </w:r>
      </w:hyperlink>
    </w:p>
    <w:p w14:paraId="0F4F934E" w14:textId="761188EE"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6" w:history="1">
        <w:r w:rsidR="00265806" w:rsidRPr="00A000D6">
          <w:rPr>
            <w:rStyle w:val="Lienhypertexte"/>
            <w:noProof/>
          </w:rPr>
          <w:t>6.2.4</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Copie de sauvegarde</w:t>
        </w:r>
        <w:r w:rsidR="00265806">
          <w:rPr>
            <w:noProof/>
            <w:webHidden/>
          </w:rPr>
          <w:tab/>
        </w:r>
        <w:r w:rsidR="00265806">
          <w:rPr>
            <w:noProof/>
            <w:webHidden/>
          </w:rPr>
          <w:fldChar w:fldCharType="begin"/>
        </w:r>
        <w:r w:rsidR="00265806">
          <w:rPr>
            <w:noProof/>
            <w:webHidden/>
          </w:rPr>
          <w:instrText xml:space="preserve"> PAGEREF _Toc211257306 \h </w:instrText>
        </w:r>
        <w:r w:rsidR="00265806">
          <w:rPr>
            <w:noProof/>
            <w:webHidden/>
          </w:rPr>
        </w:r>
        <w:r w:rsidR="00265806">
          <w:rPr>
            <w:noProof/>
            <w:webHidden/>
          </w:rPr>
          <w:fldChar w:fldCharType="separate"/>
        </w:r>
        <w:r w:rsidR="00FC00F4">
          <w:rPr>
            <w:noProof/>
            <w:webHidden/>
          </w:rPr>
          <w:t>14</w:t>
        </w:r>
        <w:r w:rsidR="00265806">
          <w:rPr>
            <w:noProof/>
            <w:webHidden/>
          </w:rPr>
          <w:fldChar w:fldCharType="end"/>
        </w:r>
      </w:hyperlink>
    </w:p>
    <w:p w14:paraId="7AD2DBAB" w14:textId="4E8CFFEC"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7" w:history="1">
        <w:r w:rsidR="00265806" w:rsidRPr="00A000D6">
          <w:rPr>
            <w:rStyle w:val="Lienhypertexte"/>
            <w:noProof/>
          </w:rPr>
          <w:t>6.2.5</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Recommandations sur le format de transmission</w:t>
        </w:r>
        <w:r w:rsidR="00265806">
          <w:rPr>
            <w:noProof/>
            <w:webHidden/>
          </w:rPr>
          <w:tab/>
        </w:r>
        <w:r w:rsidR="00265806">
          <w:rPr>
            <w:noProof/>
            <w:webHidden/>
          </w:rPr>
          <w:fldChar w:fldCharType="begin"/>
        </w:r>
        <w:r w:rsidR="00265806">
          <w:rPr>
            <w:noProof/>
            <w:webHidden/>
          </w:rPr>
          <w:instrText xml:space="preserve"> PAGEREF _Toc211257307 \h </w:instrText>
        </w:r>
        <w:r w:rsidR="00265806">
          <w:rPr>
            <w:noProof/>
            <w:webHidden/>
          </w:rPr>
        </w:r>
        <w:r w:rsidR="00265806">
          <w:rPr>
            <w:noProof/>
            <w:webHidden/>
          </w:rPr>
          <w:fldChar w:fldCharType="separate"/>
        </w:r>
        <w:r w:rsidR="00FC00F4">
          <w:rPr>
            <w:noProof/>
            <w:webHidden/>
          </w:rPr>
          <w:t>15</w:t>
        </w:r>
        <w:r w:rsidR="00265806">
          <w:rPr>
            <w:noProof/>
            <w:webHidden/>
          </w:rPr>
          <w:fldChar w:fldCharType="end"/>
        </w:r>
      </w:hyperlink>
    </w:p>
    <w:p w14:paraId="06422DA4" w14:textId="2C1B104E"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08" w:history="1">
        <w:r w:rsidR="00265806" w:rsidRPr="00A000D6">
          <w:rPr>
            <w:rStyle w:val="Lienhypertexte"/>
            <w:noProof/>
          </w:rPr>
          <w:t>6.2.6</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Signature électronique</w:t>
        </w:r>
        <w:r w:rsidR="00265806">
          <w:rPr>
            <w:noProof/>
            <w:webHidden/>
          </w:rPr>
          <w:tab/>
        </w:r>
        <w:r w:rsidR="00265806">
          <w:rPr>
            <w:noProof/>
            <w:webHidden/>
          </w:rPr>
          <w:fldChar w:fldCharType="begin"/>
        </w:r>
        <w:r w:rsidR="00265806">
          <w:rPr>
            <w:noProof/>
            <w:webHidden/>
          </w:rPr>
          <w:instrText xml:space="preserve"> PAGEREF _Toc211257308 \h </w:instrText>
        </w:r>
        <w:r w:rsidR="00265806">
          <w:rPr>
            <w:noProof/>
            <w:webHidden/>
          </w:rPr>
        </w:r>
        <w:r w:rsidR="00265806">
          <w:rPr>
            <w:noProof/>
            <w:webHidden/>
          </w:rPr>
          <w:fldChar w:fldCharType="separate"/>
        </w:r>
        <w:r w:rsidR="00FC00F4">
          <w:rPr>
            <w:noProof/>
            <w:webHidden/>
          </w:rPr>
          <w:t>15</w:t>
        </w:r>
        <w:r w:rsidR="00265806">
          <w:rPr>
            <w:noProof/>
            <w:webHidden/>
          </w:rPr>
          <w:fldChar w:fldCharType="end"/>
        </w:r>
      </w:hyperlink>
    </w:p>
    <w:p w14:paraId="33DDA7D9" w14:textId="221C3272"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09" w:history="1">
        <w:r w:rsidR="00265806" w:rsidRPr="00A000D6">
          <w:rPr>
            <w:rStyle w:val="Lienhypertexte"/>
            <w:noProof/>
          </w:rPr>
          <w:t>7</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Evaluation des candidatures</w:t>
        </w:r>
        <w:r w:rsidR="00265806">
          <w:rPr>
            <w:noProof/>
            <w:webHidden/>
          </w:rPr>
          <w:tab/>
        </w:r>
        <w:r w:rsidR="00265806">
          <w:rPr>
            <w:noProof/>
            <w:webHidden/>
          </w:rPr>
          <w:fldChar w:fldCharType="begin"/>
        </w:r>
        <w:r w:rsidR="00265806">
          <w:rPr>
            <w:noProof/>
            <w:webHidden/>
          </w:rPr>
          <w:instrText xml:space="preserve"> PAGEREF _Toc211257309 \h </w:instrText>
        </w:r>
        <w:r w:rsidR="00265806">
          <w:rPr>
            <w:noProof/>
            <w:webHidden/>
          </w:rPr>
        </w:r>
        <w:r w:rsidR="00265806">
          <w:rPr>
            <w:noProof/>
            <w:webHidden/>
          </w:rPr>
          <w:fldChar w:fldCharType="separate"/>
        </w:r>
        <w:r w:rsidR="00FC00F4">
          <w:rPr>
            <w:noProof/>
            <w:webHidden/>
          </w:rPr>
          <w:t>17</w:t>
        </w:r>
        <w:r w:rsidR="00265806">
          <w:rPr>
            <w:noProof/>
            <w:webHidden/>
          </w:rPr>
          <w:fldChar w:fldCharType="end"/>
        </w:r>
      </w:hyperlink>
    </w:p>
    <w:p w14:paraId="597CFD4F" w14:textId="4B5E5CBA"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10" w:history="1">
        <w:r w:rsidR="00265806" w:rsidRPr="00A000D6">
          <w:rPr>
            <w:rStyle w:val="Lienhypertexte"/>
            <w:noProof/>
          </w:rPr>
          <w:t>8</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Jugement des offres</w:t>
        </w:r>
        <w:r w:rsidR="00265806">
          <w:rPr>
            <w:noProof/>
            <w:webHidden/>
          </w:rPr>
          <w:tab/>
        </w:r>
        <w:r w:rsidR="00265806">
          <w:rPr>
            <w:noProof/>
            <w:webHidden/>
          </w:rPr>
          <w:fldChar w:fldCharType="begin"/>
        </w:r>
        <w:r w:rsidR="00265806">
          <w:rPr>
            <w:noProof/>
            <w:webHidden/>
          </w:rPr>
          <w:instrText xml:space="preserve"> PAGEREF _Toc211257310 \h </w:instrText>
        </w:r>
        <w:r w:rsidR="00265806">
          <w:rPr>
            <w:noProof/>
            <w:webHidden/>
          </w:rPr>
        </w:r>
        <w:r w:rsidR="00265806">
          <w:rPr>
            <w:noProof/>
            <w:webHidden/>
          </w:rPr>
          <w:fldChar w:fldCharType="separate"/>
        </w:r>
        <w:r w:rsidR="00FC00F4">
          <w:rPr>
            <w:noProof/>
            <w:webHidden/>
          </w:rPr>
          <w:t>17</w:t>
        </w:r>
        <w:r w:rsidR="00265806">
          <w:rPr>
            <w:noProof/>
            <w:webHidden/>
          </w:rPr>
          <w:fldChar w:fldCharType="end"/>
        </w:r>
      </w:hyperlink>
    </w:p>
    <w:p w14:paraId="2B0E927F" w14:textId="010C4B8D"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311" w:history="1">
        <w:r w:rsidR="00265806" w:rsidRPr="00A000D6">
          <w:rPr>
            <w:rStyle w:val="Lienhypertexte"/>
            <w:noProof/>
          </w:rPr>
          <w:t>8.1</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Conditions générales</w:t>
        </w:r>
        <w:r w:rsidR="00265806">
          <w:rPr>
            <w:noProof/>
            <w:webHidden/>
          </w:rPr>
          <w:tab/>
        </w:r>
        <w:r w:rsidR="00265806">
          <w:rPr>
            <w:noProof/>
            <w:webHidden/>
          </w:rPr>
          <w:fldChar w:fldCharType="begin"/>
        </w:r>
        <w:r w:rsidR="00265806">
          <w:rPr>
            <w:noProof/>
            <w:webHidden/>
          </w:rPr>
          <w:instrText xml:space="preserve"> PAGEREF _Toc211257311 \h </w:instrText>
        </w:r>
        <w:r w:rsidR="00265806">
          <w:rPr>
            <w:noProof/>
            <w:webHidden/>
          </w:rPr>
        </w:r>
        <w:r w:rsidR="00265806">
          <w:rPr>
            <w:noProof/>
            <w:webHidden/>
          </w:rPr>
          <w:fldChar w:fldCharType="separate"/>
        </w:r>
        <w:r w:rsidR="00FC00F4">
          <w:rPr>
            <w:noProof/>
            <w:webHidden/>
          </w:rPr>
          <w:t>17</w:t>
        </w:r>
        <w:r w:rsidR="00265806">
          <w:rPr>
            <w:noProof/>
            <w:webHidden/>
          </w:rPr>
          <w:fldChar w:fldCharType="end"/>
        </w:r>
      </w:hyperlink>
    </w:p>
    <w:p w14:paraId="6916E0F6" w14:textId="56D88CBC"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312" w:history="1">
        <w:r w:rsidR="00265806" w:rsidRPr="00A000D6">
          <w:rPr>
            <w:rStyle w:val="Lienhypertexte"/>
            <w:noProof/>
          </w:rPr>
          <w:t>8.2</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Critères de jugement des offres</w:t>
        </w:r>
        <w:r w:rsidR="00265806">
          <w:rPr>
            <w:noProof/>
            <w:webHidden/>
          </w:rPr>
          <w:tab/>
        </w:r>
        <w:r w:rsidR="00265806">
          <w:rPr>
            <w:noProof/>
            <w:webHidden/>
          </w:rPr>
          <w:fldChar w:fldCharType="begin"/>
        </w:r>
        <w:r w:rsidR="00265806">
          <w:rPr>
            <w:noProof/>
            <w:webHidden/>
          </w:rPr>
          <w:instrText xml:space="preserve"> PAGEREF _Toc211257312 \h </w:instrText>
        </w:r>
        <w:r w:rsidR="00265806">
          <w:rPr>
            <w:noProof/>
            <w:webHidden/>
          </w:rPr>
        </w:r>
        <w:r w:rsidR="00265806">
          <w:rPr>
            <w:noProof/>
            <w:webHidden/>
          </w:rPr>
          <w:fldChar w:fldCharType="separate"/>
        </w:r>
        <w:r w:rsidR="00FC00F4">
          <w:rPr>
            <w:noProof/>
            <w:webHidden/>
          </w:rPr>
          <w:t>17</w:t>
        </w:r>
        <w:r w:rsidR="00265806">
          <w:rPr>
            <w:noProof/>
            <w:webHidden/>
          </w:rPr>
          <w:fldChar w:fldCharType="end"/>
        </w:r>
      </w:hyperlink>
    </w:p>
    <w:p w14:paraId="2DC11A81" w14:textId="1416C0B1"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13" w:history="1">
        <w:r w:rsidR="00265806" w:rsidRPr="00A000D6">
          <w:rPr>
            <w:rStyle w:val="Lienhypertexte"/>
            <w:noProof/>
          </w:rPr>
          <w:t>8.2.1</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Lot 1</w:t>
        </w:r>
        <w:r w:rsidR="00265806">
          <w:rPr>
            <w:noProof/>
            <w:webHidden/>
          </w:rPr>
          <w:tab/>
        </w:r>
        <w:r w:rsidR="00265806">
          <w:rPr>
            <w:noProof/>
            <w:webHidden/>
          </w:rPr>
          <w:fldChar w:fldCharType="begin"/>
        </w:r>
        <w:r w:rsidR="00265806">
          <w:rPr>
            <w:noProof/>
            <w:webHidden/>
          </w:rPr>
          <w:instrText xml:space="preserve"> PAGEREF _Toc211257313 \h </w:instrText>
        </w:r>
        <w:r w:rsidR="00265806">
          <w:rPr>
            <w:noProof/>
            <w:webHidden/>
          </w:rPr>
        </w:r>
        <w:r w:rsidR="00265806">
          <w:rPr>
            <w:noProof/>
            <w:webHidden/>
          </w:rPr>
          <w:fldChar w:fldCharType="separate"/>
        </w:r>
        <w:r w:rsidR="00FC00F4">
          <w:rPr>
            <w:noProof/>
            <w:webHidden/>
          </w:rPr>
          <w:t>17</w:t>
        </w:r>
        <w:r w:rsidR="00265806">
          <w:rPr>
            <w:noProof/>
            <w:webHidden/>
          </w:rPr>
          <w:fldChar w:fldCharType="end"/>
        </w:r>
      </w:hyperlink>
    </w:p>
    <w:p w14:paraId="6422983C" w14:textId="1C187D7E"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14" w:history="1">
        <w:r w:rsidR="00265806" w:rsidRPr="00A000D6">
          <w:rPr>
            <w:rStyle w:val="Lienhypertexte"/>
            <w:noProof/>
          </w:rPr>
          <w:t>8.2.2</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Lot 2</w:t>
        </w:r>
        <w:r w:rsidR="00265806">
          <w:rPr>
            <w:noProof/>
            <w:webHidden/>
          </w:rPr>
          <w:tab/>
        </w:r>
        <w:r w:rsidR="00265806">
          <w:rPr>
            <w:noProof/>
            <w:webHidden/>
          </w:rPr>
          <w:fldChar w:fldCharType="begin"/>
        </w:r>
        <w:r w:rsidR="00265806">
          <w:rPr>
            <w:noProof/>
            <w:webHidden/>
          </w:rPr>
          <w:instrText xml:space="preserve"> PAGEREF _Toc211257314 \h </w:instrText>
        </w:r>
        <w:r w:rsidR="00265806">
          <w:rPr>
            <w:noProof/>
            <w:webHidden/>
          </w:rPr>
        </w:r>
        <w:r w:rsidR="00265806">
          <w:rPr>
            <w:noProof/>
            <w:webHidden/>
          </w:rPr>
          <w:fldChar w:fldCharType="separate"/>
        </w:r>
        <w:r w:rsidR="00FC00F4">
          <w:rPr>
            <w:noProof/>
            <w:webHidden/>
          </w:rPr>
          <w:t>19</w:t>
        </w:r>
        <w:r w:rsidR="00265806">
          <w:rPr>
            <w:noProof/>
            <w:webHidden/>
          </w:rPr>
          <w:fldChar w:fldCharType="end"/>
        </w:r>
      </w:hyperlink>
    </w:p>
    <w:p w14:paraId="1E3719AE" w14:textId="107D9D65" w:rsidR="00265806" w:rsidRDefault="00412BD1">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11257315" w:history="1">
        <w:r w:rsidR="00265806" w:rsidRPr="00A000D6">
          <w:rPr>
            <w:rStyle w:val="Lienhypertexte"/>
            <w:noProof/>
          </w:rPr>
          <w:t>8.2.3</w:t>
        </w:r>
        <w:r w:rsidR="00265806">
          <w:rPr>
            <w:rFonts w:asciiTheme="minorHAnsi" w:eastAsiaTheme="minorEastAsia" w:hAnsiTheme="minorHAnsi" w:cstheme="minorBidi"/>
            <w:i w:val="0"/>
            <w:iCs w:val="0"/>
            <w:noProof/>
            <w:sz w:val="22"/>
            <w:szCs w:val="22"/>
            <w:lang w:eastAsia="fr-FR"/>
          </w:rPr>
          <w:tab/>
        </w:r>
        <w:r w:rsidR="00265806" w:rsidRPr="00A000D6">
          <w:rPr>
            <w:rStyle w:val="Lienhypertexte"/>
            <w:noProof/>
          </w:rPr>
          <w:t>Lot 3</w:t>
        </w:r>
        <w:r w:rsidR="00265806">
          <w:rPr>
            <w:noProof/>
            <w:webHidden/>
          </w:rPr>
          <w:tab/>
        </w:r>
        <w:r w:rsidR="00265806">
          <w:rPr>
            <w:noProof/>
            <w:webHidden/>
          </w:rPr>
          <w:fldChar w:fldCharType="begin"/>
        </w:r>
        <w:r w:rsidR="00265806">
          <w:rPr>
            <w:noProof/>
            <w:webHidden/>
          </w:rPr>
          <w:instrText xml:space="preserve"> PAGEREF _Toc211257315 \h </w:instrText>
        </w:r>
        <w:r w:rsidR="00265806">
          <w:rPr>
            <w:noProof/>
            <w:webHidden/>
          </w:rPr>
        </w:r>
        <w:r w:rsidR="00265806">
          <w:rPr>
            <w:noProof/>
            <w:webHidden/>
          </w:rPr>
          <w:fldChar w:fldCharType="separate"/>
        </w:r>
        <w:r w:rsidR="00FC00F4">
          <w:rPr>
            <w:noProof/>
            <w:webHidden/>
          </w:rPr>
          <w:t>20</w:t>
        </w:r>
        <w:r w:rsidR="00265806">
          <w:rPr>
            <w:noProof/>
            <w:webHidden/>
          </w:rPr>
          <w:fldChar w:fldCharType="end"/>
        </w:r>
      </w:hyperlink>
    </w:p>
    <w:p w14:paraId="42E0E08F" w14:textId="679D1061" w:rsidR="00265806" w:rsidRDefault="00412BD1">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11257316" w:history="1">
        <w:r w:rsidR="00265806" w:rsidRPr="00A000D6">
          <w:rPr>
            <w:rStyle w:val="Lienhypertexte"/>
            <w:noProof/>
          </w:rPr>
          <w:t>8.3</w:t>
        </w:r>
        <w:r w:rsidR="00265806">
          <w:rPr>
            <w:rFonts w:asciiTheme="minorHAnsi" w:eastAsiaTheme="minorEastAsia" w:hAnsiTheme="minorHAnsi" w:cstheme="minorBidi"/>
            <w:smallCaps w:val="0"/>
            <w:noProof/>
            <w:sz w:val="22"/>
            <w:szCs w:val="22"/>
            <w:lang w:eastAsia="fr-FR"/>
          </w:rPr>
          <w:tab/>
        </w:r>
        <w:r w:rsidR="00265806" w:rsidRPr="00A000D6">
          <w:rPr>
            <w:rStyle w:val="Lienhypertexte"/>
            <w:noProof/>
          </w:rPr>
          <w:t>Modalités de notation</w:t>
        </w:r>
        <w:r w:rsidR="00265806">
          <w:rPr>
            <w:noProof/>
            <w:webHidden/>
          </w:rPr>
          <w:tab/>
        </w:r>
        <w:r w:rsidR="00265806">
          <w:rPr>
            <w:noProof/>
            <w:webHidden/>
          </w:rPr>
          <w:fldChar w:fldCharType="begin"/>
        </w:r>
        <w:r w:rsidR="00265806">
          <w:rPr>
            <w:noProof/>
            <w:webHidden/>
          </w:rPr>
          <w:instrText xml:space="preserve"> PAGEREF _Toc211257316 \h </w:instrText>
        </w:r>
        <w:r w:rsidR="00265806">
          <w:rPr>
            <w:noProof/>
            <w:webHidden/>
          </w:rPr>
        </w:r>
        <w:r w:rsidR="00265806">
          <w:rPr>
            <w:noProof/>
            <w:webHidden/>
          </w:rPr>
          <w:fldChar w:fldCharType="separate"/>
        </w:r>
        <w:r w:rsidR="00FC00F4">
          <w:rPr>
            <w:noProof/>
            <w:webHidden/>
          </w:rPr>
          <w:t>21</w:t>
        </w:r>
        <w:r w:rsidR="00265806">
          <w:rPr>
            <w:noProof/>
            <w:webHidden/>
          </w:rPr>
          <w:fldChar w:fldCharType="end"/>
        </w:r>
      </w:hyperlink>
    </w:p>
    <w:p w14:paraId="48139834" w14:textId="45F2BFA0"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17" w:history="1">
        <w:r w:rsidR="00265806" w:rsidRPr="00A000D6">
          <w:rPr>
            <w:rStyle w:val="Lienhypertexte"/>
            <w:noProof/>
          </w:rPr>
          <w:t>9</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Modifictions de détail au dossier de consultation</w:t>
        </w:r>
        <w:r w:rsidR="00265806">
          <w:rPr>
            <w:noProof/>
            <w:webHidden/>
          </w:rPr>
          <w:tab/>
        </w:r>
        <w:r w:rsidR="00265806">
          <w:rPr>
            <w:noProof/>
            <w:webHidden/>
          </w:rPr>
          <w:fldChar w:fldCharType="begin"/>
        </w:r>
        <w:r w:rsidR="00265806">
          <w:rPr>
            <w:noProof/>
            <w:webHidden/>
          </w:rPr>
          <w:instrText xml:space="preserve"> PAGEREF _Toc211257317 \h </w:instrText>
        </w:r>
        <w:r w:rsidR="00265806">
          <w:rPr>
            <w:noProof/>
            <w:webHidden/>
          </w:rPr>
        </w:r>
        <w:r w:rsidR="00265806">
          <w:rPr>
            <w:noProof/>
            <w:webHidden/>
          </w:rPr>
          <w:fldChar w:fldCharType="separate"/>
        </w:r>
        <w:r w:rsidR="00FC00F4">
          <w:rPr>
            <w:noProof/>
            <w:webHidden/>
          </w:rPr>
          <w:t>22</w:t>
        </w:r>
        <w:r w:rsidR="00265806">
          <w:rPr>
            <w:noProof/>
            <w:webHidden/>
          </w:rPr>
          <w:fldChar w:fldCharType="end"/>
        </w:r>
      </w:hyperlink>
    </w:p>
    <w:p w14:paraId="32C2DCF5" w14:textId="114EC11D"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18" w:history="1">
        <w:r w:rsidR="00265806" w:rsidRPr="00A000D6">
          <w:rPr>
            <w:rStyle w:val="Lienhypertexte"/>
            <w:noProof/>
          </w:rPr>
          <w:t>10</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Instances et voies de recours</w:t>
        </w:r>
        <w:r w:rsidR="00265806">
          <w:rPr>
            <w:noProof/>
            <w:webHidden/>
          </w:rPr>
          <w:tab/>
        </w:r>
        <w:r w:rsidR="00265806">
          <w:rPr>
            <w:noProof/>
            <w:webHidden/>
          </w:rPr>
          <w:fldChar w:fldCharType="begin"/>
        </w:r>
        <w:r w:rsidR="00265806">
          <w:rPr>
            <w:noProof/>
            <w:webHidden/>
          </w:rPr>
          <w:instrText xml:space="preserve"> PAGEREF _Toc211257318 \h </w:instrText>
        </w:r>
        <w:r w:rsidR="00265806">
          <w:rPr>
            <w:noProof/>
            <w:webHidden/>
          </w:rPr>
        </w:r>
        <w:r w:rsidR="00265806">
          <w:rPr>
            <w:noProof/>
            <w:webHidden/>
          </w:rPr>
          <w:fldChar w:fldCharType="separate"/>
        </w:r>
        <w:r w:rsidR="00FC00F4">
          <w:rPr>
            <w:noProof/>
            <w:webHidden/>
          </w:rPr>
          <w:t>22</w:t>
        </w:r>
        <w:r w:rsidR="00265806">
          <w:rPr>
            <w:noProof/>
            <w:webHidden/>
          </w:rPr>
          <w:fldChar w:fldCharType="end"/>
        </w:r>
      </w:hyperlink>
    </w:p>
    <w:p w14:paraId="78A36337" w14:textId="348110EF" w:rsidR="00265806" w:rsidRDefault="00412BD1">
      <w:pPr>
        <w:pStyle w:val="TM1"/>
        <w:tabs>
          <w:tab w:val="left" w:pos="440"/>
          <w:tab w:val="right" w:leader="dot" w:pos="9062"/>
        </w:tabs>
        <w:rPr>
          <w:rFonts w:asciiTheme="minorHAnsi" w:eastAsiaTheme="minorEastAsia" w:hAnsiTheme="minorHAnsi" w:cstheme="minorBidi"/>
          <w:b w:val="0"/>
          <w:bCs w:val="0"/>
          <w:caps w:val="0"/>
          <w:noProof/>
          <w:sz w:val="22"/>
          <w:szCs w:val="22"/>
          <w:lang w:eastAsia="fr-FR"/>
        </w:rPr>
      </w:pPr>
      <w:hyperlink w:anchor="_Toc211257319" w:history="1">
        <w:r w:rsidR="00265806" w:rsidRPr="00A000D6">
          <w:rPr>
            <w:rStyle w:val="Lienhypertexte"/>
            <w:noProof/>
          </w:rPr>
          <w:t>11</w:t>
        </w:r>
        <w:r w:rsidR="00265806">
          <w:rPr>
            <w:rFonts w:asciiTheme="minorHAnsi" w:eastAsiaTheme="minorEastAsia" w:hAnsiTheme="minorHAnsi" w:cstheme="minorBidi"/>
            <w:b w:val="0"/>
            <w:bCs w:val="0"/>
            <w:caps w:val="0"/>
            <w:noProof/>
            <w:sz w:val="22"/>
            <w:szCs w:val="22"/>
            <w:lang w:eastAsia="fr-FR"/>
          </w:rPr>
          <w:tab/>
        </w:r>
        <w:r w:rsidR="00265806" w:rsidRPr="00A000D6">
          <w:rPr>
            <w:rStyle w:val="Lienhypertexte"/>
            <w:noProof/>
          </w:rPr>
          <w:t>Conflits d’intérêt</w:t>
        </w:r>
        <w:r w:rsidR="00265806">
          <w:rPr>
            <w:noProof/>
            <w:webHidden/>
          </w:rPr>
          <w:tab/>
        </w:r>
        <w:r w:rsidR="00265806">
          <w:rPr>
            <w:noProof/>
            <w:webHidden/>
          </w:rPr>
          <w:fldChar w:fldCharType="begin"/>
        </w:r>
        <w:r w:rsidR="00265806">
          <w:rPr>
            <w:noProof/>
            <w:webHidden/>
          </w:rPr>
          <w:instrText xml:space="preserve"> PAGEREF _Toc211257319 \h </w:instrText>
        </w:r>
        <w:r w:rsidR="00265806">
          <w:rPr>
            <w:noProof/>
            <w:webHidden/>
          </w:rPr>
        </w:r>
        <w:r w:rsidR="00265806">
          <w:rPr>
            <w:noProof/>
            <w:webHidden/>
          </w:rPr>
          <w:fldChar w:fldCharType="separate"/>
        </w:r>
        <w:r w:rsidR="00FC00F4">
          <w:rPr>
            <w:noProof/>
            <w:webHidden/>
          </w:rPr>
          <w:t>23</w:t>
        </w:r>
        <w:r w:rsidR="00265806">
          <w:rPr>
            <w:noProof/>
            <w:webHidden/>
          </w:rPr>
          <w:fldChar w:fldCharType="end"/>
        </w:r>
      </w:hyperlink>
    </w:p>
    <w:p w14:paraId="2F22285F" w14:textId="238C8798" w:rsidR="00265806" w:rsidRDefault="00412BD1">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11257320" w:history="1">
        <w:r w:rsidR="00265806" w:rsidRPr="00A000D6">
          <w:rPr>
            <w:rStyle w:val="Lienhypertexte"/>
            <w:noProof/>
          </w:rPr>
          <w:t>Annexes</w:t>
        </w:r>
        <w:r w:rsidR="00265806">
          <w:rPr>
            <w:noProof/>
            <w:webHidden/>
          </w:rPr>
          <w:tab/>
        </w:r>
        <w:r w:rsidR="00265806">
          <w:rPr>
            <w:noProof/>
            <w:webHidden/>
          </w:rPr>
          <w:fldChar w:fldCharType="begin"/>
        </w:r>
        <w:r w:rsidR="00265806">
          <w:rPr>
            <w:noProof/>
            <w:webHidden/>
          </w:rPr>
          <w:instrText xml:space="preserve"> PAGEREF _Toc211257320 \h </w:instrText>
        </w:r>
        <w:r w:rsidR="00265806">
          <w:rPr>
            <w:noProof/>
            <w:webHidden/>
          </w:rPr>
        </w:r>
        <w:r w:rsidR="00265806">
          <w:rPr>
            <w:noProof/>
            <w:webHidden/>
          </w:rPr>
          <w:fldChar w:fldCharType="separate"/>
        </w:r>
        <w:r w:rsidR="00FC00F4">
          <w:rPr>
            <w:noProof/>
            <w:webHidden/>
          </w:rPr>
          <w:t>24</w:t>
        </w:r>
        <w:r w:rsidR="00265806">
          <w:rPr>
            <w:noProof/>
            <w:webHidden/>
          </w:rPr>
          <w:fldChar w:fldCharType="end"/>
        </w:r>
      </w:hyperlink>
    </w:p>
    <w:p w14:paraId="24D555A8" w14:textId="55742ECD" w:rsidR="00116669" w:rsidRDefault="00230BA9" w:rsidP="000C17F0">
      <w:pPr>
        <w:spacing w:before="0" w:after="0"/>
      </w:pPr>
      <w:r w:rsidRPr="000C17F0">
        <w:rPr>
          <w:rFonts w:asciiTheme="minorHAnsi" w:hAnsiTheme="minorHAnsi" w:cstheme="minorHAnsi"/>
          <w:i/>
          <w:sz w:val="20"/>
          <w:szCs w:val="20"/>
        </w:rPr>
        <w:fldChar w:fldCharType="end"/>
      </w:r>
    </w:p>
    <w:p w14:paraId="46437731" w14:textId="77777777" w:rsidR="00116669" w:rsidRDefault="00116669" w:rsidP="00636FE1">
      <w:r>
        <w:br w:type="page"/>
      </w:r>
    </w:p>
    <w:p w14:paraId="2743D24B" w14:textId="56C1C9FB" w:rsidR="001A1909" w:rsidRPr="00630158" w:rsidRDefault="00116669" w:rsidP="000414B8">
      <w:pPr>
        <w:pStyle w:val="Titre1"/>
      </w:pPr>
      <w:bookmarkStart w:id="0" w:name="_Toc138946629"/>
      <w:bookmarkStart w:id="1" w:name="_Toc139894598"/>
      <w:bookmarkStart w:id="2" w:name="_Toc143250905"/>
      <w:bookmarkStart w:id="3" w:name="_Toc187833009"/>
      <w:bookmarkStart w:id="4" w:name="_Toc211257274"/>
      <w:r>
        <w:lastRenderedPageBreak/>
        <w:t>Objet de la consultation</w:t>
      </w:r>
      <w:bookmarkEnd w:id="0"/>
      <w:bookmarkEnd w:id="1"/>
      <w:bookmarkEnd w:id="2"/>
      <w:bookmarkEnd w:id="3"/>
      <w:bookmarkEnd w:id="4"/>
    </w:p>
    <w:p w14:paraId="6FE74CED" w14:textId="77777777" w:rsidR="001A1909" w:rsidRPr="00636FE1" w:rsidRDefault="001A1909" w:rsidP="00636FE1">
      <w:r w:rsidRPr="00636FE1">
        <w:t>Le présent règlement de la consultation (RC) a pour objet de fixer les modalités d’organisation de la consultation.</w:t>
      </w:r>
    </w:p>
    <w:p w14:paraId="177F1D75" w14:textId="50DE9E7E" w:rsidR="001A1909" w:rsidRPr="00636FE1" w:rsidRDefault="001A1909" w:rsidP="00636FE1">
      <w:r w:rsidRPr="00636FE1">
        <w:t xml:space="preserve">L’objet de cette consultation est </w:t>
      </w:r>
      <w:r w:rsidR="00C635EE" w:rsidRPr="00636FE1">
        <w:t xml:space="preserve">l’Assistance </w:t>
      </w:r>
      <w:r w:rsidR="00200B8A">
        <w:t xml:space="preserve">technique </w:t>
      </w:r>
      <w:r w:rsidR="00792318" w:rsidRPr="00473493">
        <w:rPr>
          <w:bCs/>
        </w:rPr>
        <w:t>pour la construction et pour le maintien en conditions opérationnelles de l’infrastructure technique et applicative du système d’information</w:t>
      </w:r>
      <w:r w:rsidRPr="00473493">
        <w:t>.</w:t>
      </w:r>
    </w:p>
    <w:p w14:paraId="0299C0A3" w14:textId="40E09754" w:rsidR="001A1909" w:rsidRPr="00636FE1" w:rsidRDefault="001E129F" w:rsidP="00636FE1">
      <w:r w:rsidRPr="00636FE1">
        <w:t>Les accords-cadres issus de cette consultation sont</w:t>
      </w:r>
      <w:r w:rsidR="001A1909" w:rsidRPr="00636FE1">
        <w:t xml:space="preserve"> conclu</w:t>
      </w:r>
      <w:r w:rsidR="00DB46AE">
        <w:t>s</w:t>
      </w:r>
      <w:r w:rsidR="001A1909" w:rsidRPr="00636FE1">
        <w:t xml:space="preserve"> en application du Code de la commande publique issu de l'ordo</w:t>
      </w:r>
      <w:r w:rsidR="00DB38EC">
        <w:t>nnance n°</w:t>
      </w:r>
      <w:r w:rsidR="001A1909" w:rsidRPr="00636FE1">
        <w:t>2018-1074 du 26 novembre 2018 portant partie législative du Code de la co</w:t>
      </w:r>
      <w:r w:rsidR="00DB38EC">
        <w:t>mmande publique et du décret n°</w:t>
      </w:r>
      <w:r w:rsidR="001A1909" w:rsidRPr="00636FE1">
        <w:t>2018-1075 du 3 décembre 2018 portant partie réglementaire du Code de la commande publique, parus au Journal officiel du 5 décembre 2018.</w:t>
      </w:r>
    </w:p>
    <w:p w14:paraId="5F7FEA5B" w14:textId="77777777" w:rsidR="001A1909" w:rsidRPr="00636FE1" w:rsidRDefault="001A1909" w:rsidP="00636FE1">
      <w:r w:rsidRPr="00636FE1">
        <w:t>Le détail des prestations est repris dans le Cahier des clauses techniques particulières du dossier de consultation des entreprises.</w:t>
      </w:r>
    </w:p>
    <w:p w14:paraId="494E874B" w14:textId="6E8FB461" w:rsidR="001A1909" w:rsidRPr="007A594F" w:rsidRDefault="00116669" w:rsidP="00636FE1">
      <w:pPr>
        <w:pStyle w:val="Titre1"/>
      </w:pPr>
      <w:bookmarkStart w:id="5" w:name="_Toc138749731"/>
      <w:bookmarkStart w:id="6" w:name="_Toc138946630"/>
      <w:bookmarkStart w:id="7" w:name="_Toc139894599"/>
      <w:bookmarkStart w:id="8" w:name="_Toc143250906"/>
      <w:bookmarkStart w:id="9" w:name="_Toc187833010"/>
      <w:bookmarkStart w:id="10" w:name="_Toc211257275"/>
      <w:r w:rsidRPr="007A594F">
        <w:t>Etendue et conditions de la consultation</w:t>
      </w:r>
      <w:bookmarkEnd w:id="5"/>
      <w:bookmarkEnd w:id="6"/>
      <w:bookmarkEnd w:id="7"/>
      <w:bookmarkEnd w:id="8"/>
      <w:bookmarkEnd w:id="9"/>
      <w:bookmarkEnd w:id="10"/>
    </w:p>
    <w:p w14:paraId="64A917BE" w14:textId="77777777" w:rsidR="001A1909" w:rsidRPr="007A594F" w:rsidRDefault="001A1909" w:rsidP="00636FE1">
      <w:pPr>
        <w:pStyle w:val="Titre2"/>
      </w:pPr>
      <w:bookmarkStart w:id="11" w:name="_Toc138749732"/>
      <w:bookmarkStart w:id="12" w:name="_Toc138946631"/>
      <w:bookmarkStart w:id="13" w:name="_Toc139894600"/>
      <w:bookmarkStart w:id="14" w:name="_Toc143250907"/>
      <w:bookmarkStart w:id="15" w:name="_Toc187833011"/>
      <w:bookmarkStart w:id="16" w:name="_Toc211257276"/>
      <w:r w:rsidRPr="007A594F">
        <w:t>Mode de consultation</w:t>
      </w:r>
      <w:bookmarkEnd w:id="11"/>
      <w:bookmarkEnd w:id="12"/>
      <w:bookmarkEnd w:id="13"/>
      <w:bookmarkEnd w:id="14"/>
      <w:bookmarkEnd w:id="15"/>
      <w:bookmarkEnd w:id="16"/>
    </w:p>
    <w:p w14:paraId="4600C983" w14:textId="71191D06" w:rsidR="001A1909" w:rsidRPr="00630158" w:rsidRDefault="001A1909" w:rsidP="00636FE1">
      <w:r w:rsidRPr="00630158">
        <w:t xml:space="preserve">La procédure retenue est l’appel d’offres ouvert passé en application des articles </w:t>
      </w:r>
      <w:r>
        <w:t xml:space="preserve">L2113-10 et 11, </w:t>
      </w:r>
      <w:r w:rsidRPr="00630158">
        <w:t>L2124-1 à 2, R2124-1 à 2, et R2161-2 à 5 du Code de la commande publique.</w:t>
      </w:r>
    </w:p>
    <w:p w14:paraId="4E7BE0E7" w14:textId="77777777" w:rsidR="001E129F" w:rsidRDefault="001E129F" w:rsidP="00636FE1">
      <w:pPr>
        <w:pStyle w:val="Titre2"/>
      </w:pPr>
      <w:bookmarkStart w:id="17" w:name="_Toc143250909"/>
      <w:bookmarkStart w:id="18" w:name="_Toc187833012"/>
      <w:bookmarkStart w:id="19" w:name="_Toc211257277"/>
      <w:r w:rsidRPr="00704C59">
        <w:t>Décomposition en lots</w:t>
      </w:r>
      <w:bookmarkEnd w:id="17"/>
      <w:bookmarkEnd w:id="18"/>
      <w:bookmarkEnd w:id="19"/>
    </w:p>
    <w:p w14:paraId="6B7B5AED" w14:textId="1E47C9E2" w:rsidR="001E129F" w:rsidRDefault="001E129F" w:rsidP="00636FE1">
      <w:pPr>
        <w:rPr>
          <w:lang w:eastAsia="fr-FR"/>
        </w:rPr>
      </w:pPr>
      <w:r>
        <w:rPr>
          <w:lang w:eastAsia="fr-FR"/>
        </w:rPr>
        <w:t xml:space="preserve">La procédure est allotie. </w:t>
      </w:r>
      <w:r w:rsidR="00200B8A">
        <w:rPr>
          <w:lang w:eastAsia="fr-FR"/>
        </w:rPr>
        <w:t>Elle est composée de 3</w:t>
      </w:r>
      <w:r w:rsidR="009E13E5">
        <w:rPr>
          <w:lang w:eastAsia="fr-FR"/>
        </w:rPr>
        <w:t xml:space="preserve"> lots :</w:t>
      </w:r>
    </w:p>
    <w:tbl>
      <w:tblPr>
        <w:tblStyle w:val="Grilledutableau"/>
        <w:tblW w:w="0" w:type="auto"/>
        <w:tblLook w:val="04A0" w:firstRow="1" w:lastRow="0" w:firstColumn="1" w:lastColumn="0" w:noHBand="0" w:noVBand="1"/>
      </w:tblPr>
      <w:tblGrid>
        <w:gridCol w:w="846"/>
        <w:gridCol w:w="8216"/>
      </w:tblGrid>
      <w:tr w:rsidR="009E13E5" w:rsidRPr="00636FE1" w14:paraId="7D2E52D0" w14:textId="77777777" w:rsidTr="009E13E5">
        <w:tc>
          <w:tcPr>
            <w:tcW w:w="846" w:type="dxa"/>
          </w:tcPr>
          <w:p w14:paraId="6DAA6B11" w14:textId="16068556" w:rsidR="009E13E5" w:rsidRPr="00636FE1" w:rsidRDefault="009E13E5" w:rsidP="00636FE1">
            <w:pPr>
              <w:spacing w:before="0" w:after="0"/>
              <w:rPr>
                <w:rFonts w:asciiTheme="minorHAnsi" w:hAnsiTheme="minorHAnsi"/>
                <w:sz w:val="20"/>
                <w:lang w:eastAsia="fr-FR"/>
              </w:rPr>
            </w:pPr>
            <w:r w:rsidRPr="00636FE1">
              <w:rPr>
                <w:rFonts w:asciiTheme="minorHAnsi" w:hAnsiTheme="minorHAnsi"/>
                <w:sz w:val="20"/>
                <w:lang w:eastAsia="fr-FR"/>
              </w:rPr>
              <w:t>Lot 1</w:t>
            </w:r>
          </w:p>
        </w:tc>
        <w:tc>
          <w:tcPr>
            <w:tcW w:w="8216" w:type="dxa"/>
          </w:tcPr>
          <w:p w14:paraId="3DDA5CFE" w14:textId="64AF0CF9" w:rsidR="009E13E5" w:rsidRPr="00636FE1" w:rsidRDefault="0026225A" w:rsidP="00200B8A">
            <w:pPr>
              <w:spacing w:before="0" w:after="0"/>
              <w:rPr>
                <w:rFonts w:asciiTheme="minorHAnsi" w:hAnsiTheme="minorHAnsi"/>
                <w:sz w:val="20"/>
                <w:lang w:eastAsia="fr-FR"/>
              </w:rPr>
            </w:pPr>
            <w:r w:rsidRPr="0026225A">
              <w:rPr>
                <w:rFonts w:asciiTheme="minorHAnsi" w:hAnsiTheme="minorHAnsi"/>
                <w:sz w:val="20"/>
                <w:lang w:eastAsia="fr-FR"/>
              </w:rPr>
              <w:t xml:space="preserve">Assistance technique </w:t>
            </w:r>
            <w:r w:rsidR="0043213F" w:rsidRPr="0043213F">
              <w:rPr>
                <w:rFonts w:asciiTheme="minorHAnsi" w:hAnsiTheme="minorHAnsi"/>
                <w:sz w:val="20"/>
                <w:lang w:eastAsia="fr-FR"/>
              </w:rPr>
              <w:t>pour la construction et pour le maintien en conditions opérationnelles de l’infrastructure technique et applicative du système d’information</w:t>
            </w:r>
            <w:r w:rsidR="0043213F">
              <w:rPr>
                <w:rFonts w:asciiTheme="minorHAnsi" w:hAnsiTheme="minorHAnsi"/>
                <w:sz w:val="20"/>
                <w:lang w:eastAsia="fr-FR"/>
              </w:rPr>
              <w:t xml:space="preserve"> : </w:t>
            </w:r>
            <w:r w:rsidR="00473493">
              <w:rPr>
                <w:rFonts w:asciiTheme="minorHAnsi" w:hAnsiTheme="minorHAnsi"/>
                <w:b/>
                <w:sz w:val="20"/>
                <w:lang w:eastAsia="fr-FR"/>
              </w:rPr>
              <w:t>Fabrication de socles et de</w:t>
            </w:r>
            <w:r w:rsidR="0043213F" w:rsidRPr="00473493">
              <w:rPr>
                <w:rFonts w:asciiTheme="minorHAnsi" w:hAnsiTheme="minorHAnsi"/>
                <w:b/>
                <w:sz w:val="20"/>
                <w:lang w:eastAsia="fr-FR"/>
              </w:rPr>
              <w:t xml:space="preserve"> composants techniques</w:t>
            </w:r>
          </w:p>
        </w:tc>
      </w:tr>
      <w:tr w:rsidR="009E13E5" w:rsidRPr="00636FE1" w14:paraId="402A8910" w14:textId="77777777" w:rsidTr="009E13E5">
        <w:tc>
          <w:tcPr>
            <w:tcW w:w="846" w:type="dxa"/>
          </w:tcPr>
          <w:p w14:paraId="752BEDE5" w14:textId="76DDF29B" w:rsidR="009E13E5" w:rsidRPr="00636FE1" w:rsidRDefault="009E13E5" w:rsidP="00636FE1">
            <w:pPr>
              <w:spacing w:before="0" w:after="0"/>
              <w:rPr>
                <w:rFonts w:asciiTheme="minorHAnsi" w:hAnsiTheme="minorHAnsi"/>
                <w:sz w:val="20"/>
                <w:lang w:eastAsia="fr-FR"/>
              </w:rPr>
            </w:pPr>
            <w:r w:rsidRPr="00636FE1">
              <w:rPr>
                <w:rFonts w:asciiTheme="minorHAnsi" w:hAnsiTheme="minorHAnsi"/>
                <w:sz w:val="20"/>
                <w:lang w:eastAsia="fr-FR"/>
              </w:rPr>
              <w:t>Lot 2</w:t>
            </w:r>
          </w:p>
        </w:tc>
        <w:tc>
          <w:tcPr>
            <w:tcW w:w="8216" w:type="dxa"/>
          </w:tcPr>
          <w:p w14:paraId="31525F9B" w14:textId="43F0AED0" w:rsidR="009E13E5" w:rsidRPr="00636FE1" w:rsidRDefault="0043213F" w:rsidP="00200B8A">
            <w:pPr>
              <w:spacing w:before="0" w:after="0"/>
              <w:rPr>
                <w:rFonts w:asciiTheme="minorHAnsi" w:hAnsiTheme="minorHAnsi"/>
                <w:sz w:val="20"/>
                <w:lang w:eastAsia="fr-FR"/>
              </w:rPr>
            </w:pPr>
            <w:r w:rsidRPr="0026225A">
              <w:rPr>
                <w:rFonts w:asciiTheme="minorHAnsi" w:hAnsiTheme="minorHAnsi"/>
                <w:sz w:val="20"/>
                <w:lang w:eastAsia="fr-FR"/>
              </w:rPr>
              <w:t xml:space="preserve">Assistance technique </w:t>
            </w:r>
            <w:r w:rsidRPr="0043213F">
              <w:rPr>
                <w:rFonts w:asciiTheme="minorHAnsi" w:hAnsiTheme="minorHAnsi"/>
                <w:sz w:val="20"/>
                <w:lang w:eastAsia="fr-FR"/>
              </w:rPr>
              <w:t>pour la construction et pour le maintien en conditions opérationnelles de l’infrastructure technique et applicative du système d’information</w:t>
            </w:r>
            <w:r>
              <w:rPr>
                <w:rFonts w:asciiTheme="minorHAnsi" w:hAnsiTheme="minorHAnsi"/>
                <w:sz w:val="20"/>
                <w:lang w:eastAsia="fr-FR"/>
              </w:rPr>
              <w:t xml:space="preserve"> : </w:t>
            </w:r>
            <w:r w:rsidRPr="00473493">
              <w:rPr>
                <w:rFonts w:asciiTheme="minorHAnsi" w:hAnsiTheme="minorHAnsi"/>
                <w:b/>
                <w:sz w:val="20"/>
                <w:lang w:eastAsia="fr-FR"/>
              </w:rPr>
              <w:t>Intégration et Production</w:t>
            </w:r>
          </w:p>
        </w:tc>
      </w:tr>
      <w:tr w:rsidR="009E13E5" w:rsidRPr="00636FE1" w14:paraId="4D5EF939" w14:textId="77777777" w:rsidTr="009E13E5">
        <w:tc>
          <w:tcPr>
            <w:tcW w:w="846" w:type="dxa"/>
          </w:tcPr>
          <w:p w14:paraId="3AD8F6CA" w14:textId="667D032A" w:rsidR="009E13E5" w:rsidRPr="00636FE1" w:rsidRDefault="009E13E5" w:rsidP="00636FE1">
            <w:pPr>
              <w:spacing w:before="0" w:after="0"/>
              <w:rPr>
                <w:rFonts w:asciiTheme="minorHAnsi" w:hAnsiTheme="minorHAnsi"/>
                <w:sz w:val="20"/>
                <w:lang w:eastAsia="fr-FR"/>
              </w:rPr>
            </w:pPr>
            <w:r w:rsidRPr="00636FE1">
              <w:rPr>
                <w:rFonts w:asciiTheme="minorHAnsi" w:hAnsiTheme="minorHAnsi"/>
                <w:sz w:val="20"/>
                <w:lang w:eastAsia="fr-FR"/>
              </w:rPr>
              <w:t>Lot 3</w:t>
            </w:r>
          </w:p>
        </w:tc>
        <w:tc>
          <w:tcPr>
            <w:tcW w:w="8216" w:type="dxa"/>
          </w:tcPr>
          <w:p w14:paraId="30808444" w14:textId="5AA83D9C" w:rsidR="009E13E5" w:rsidRPr="00636FE1" w:rsidRDefault="0043213F" w:rsidP="00200B8A">
            <w:pPr>
              <w:spacing w:before="0" w:after="0"/>
              <w:rPr>
                <w:rFonts w:asciiTheme="minorHAnsi" w:hAnsiTheme="minorHAnsi"/>
                <w:sz w:val="20"/>
                <w:lang w:eastAsia="fr-FR"/>
              </w:rPr>
            </w:pPr>
            <w:r w:rsidRPr="0026225A">
              <w:rPr>
                <w:rFonts w:asciiTheme="minorHAnsi" w:hAnsiTheme="minorHAnsi"/>
                <w:sz w:val="20"/>
                <w:lang w:eastAsia="fr-FR"/>
              </w:rPr>
              <w:t xml:space="preserve">Assistance technique </w:t>
            </w:r>
            <w:r w:rsidRPr="0043213F">
              <w:rPr>
                <w:rFonts w:asciiTheme="minorHAnsi" w:hAnsiTheme="minorHAnsi"/>
                <w:sz w:val="20"/>
                <w:lang w:eastAsia="fr-FR"/>
              </w:rPr>
              <w:t>pour la construction et pour le maintien en conditions opérationnelles de l’infrastructure technique et applicative du système d’information</w:t>
            </w:r>
            <w:r>
              <w:rPr>
                <w:rFonts w:asciiTheme="minorHAnsi" w:hAnsiTheme="minorHAnsi"/>
                <w:sz w:val="20"/>
                <w:lang w:eastAsia="fr-FR"/>
              </w:rPr>
              <w:t xml:space="preserve"> : </w:t>
            </w:r>
            <w:r w:rsidRPr="00473493">
              <w:rPr>
                <w:rFonts w:asciiTheme="minorHAnsi" w:hAnsiTheme="minorHAnsi"/>
                <w:b/>
                <w:sz w:val="20"/>
                <w:lang w:eastAsia="fr-FR"/>
              </w:rPr>
              <w:t>Ordonnancement de la production</w:t>
            </w:r>
          </w:p>
        </w:tc>
      </w:tr>
    </w:tbl>
    <w:p w14:paraId="6DA5C65B" w14:textId="44C8E5BA" w:rsidR="00D74856" w:rsidRPr="00200B8A" w:rsidRDefault="00792318" w:rsidP="00636FE1">
      <w:pPr>
        <w:rPr>
          <w:highlight w:val="yellow"/>
          <w:lang w:eastAsia="fr-FR"/>
        </w:rPr>
      </w:pPr>
      <w:r w:rsidRPr="00A0664D">
        <w:rPr>
          <w:rFonts w:eastAsia="Times New Roman" w:cs="Calibri"/>
          <w:lang w:eastAsia="fr-FR"/>
        </w:rPr>
        <w:t>Conformément à l’article R2113-1 du Code de la commande publique, les candidats peuvent présenter une offre pour un lot</w:t>
      </w:r>
      <w:r w:rsidR="00BF5428">
        <w:rPr>
          <w:rFonts w:eastAsia="Times New Roman" w:cs="Calibri"/>
          <w:lang w:eastAsia="fr-FR"/>
        </w:rPr>
        <w:t>, plusieurs lots,</w:t>
      </w:r>
      <w:r w:rsidRPr="00A0664D">
        <w:rPr>
          <w:rFonts w:eastAsia="Times New Roman" w:cs="Calibri"/>
          <w:lang w:eastAsia="fr-FR"/>
        </w:rPr>
        <w:t xml:space="preserve"> ou l’ensemble des lots, toutefois l’attributaire du lot 2 ne pourra pas être attributaire du lot 1. La Cnam attribuera donc le lot 2 en premier, si l’attributaire du lot 2 a présenté une offre pour le lot 1, celle-ci ne sera pas analysée dans le cadre de dudit lot 1.</w:t>
      </w:r>
    </w:p>
    <w:p w14:paraId="2B56F297" w14:textId="59F79418" w:rsidR="00850E0F" w:rsidRPr="00473493" w:rsidRDefault="00850E0F" w:rsidP="00636FE1">
      <w:pPr>
        <w:rPr>
          <w:lang w:eastAsia="fr-FR"/>
        </w:rPr>
      </w:pPr>
      <w:r w:rsidRPr="00473493">
        <w:rPr>
          <w:lang w:eastAsia="fr-FR"/>
        </w:rPr>
        <w:t>Aucune condition particulière n'est fixée p</w:t>
      </w:r>
      <w:r w:rsidR="00792318" w:rsidRPr="00473493">
        <w:rPr>
          <w:lang w:eastAsia="fr-FR"/>
        </w:rPr>
        <w:t>our l’attribution du lot 3</w:t>
      </w:r>
      <w:r w:rsidRPr="00473493">
        <w:rPr>
          <w:lang w:eastAsia="fr-FR"/>
        </w:rPr>
        <w:t>.</w:t>
      </w:r>
    </w:p>
    <w:p w14:paraId="3A91DE77" w14:textId="77777777" w:rsidR="00C17C70" w:rsidRPr="00473493" w:rsidRDefault="007D2E47" w:rsidP="00636FE1">
      <w:pPr>
        <w:rPr>
          <w:lang w:eastAsia="fr-FR"/>
        </w:rPr>
      </w:pPr>
      <w:r w:rsidRPr="00473493">
        <w:rPr>
          <w:lang w:eastAsia="fr-FR"/>
        </w:rPr>
        <w:t xml:space="preserve">NB : Il est à noter que pour l’attribution des lots, et donc l’analyse, les règles ci-dessus s’appliquent à une entreprise </w:t>
      </w:r>
      <w:r w:rsidRPr="00473493">
        <w:rPr>
          <w:iCs/>
          <w:lang w:eastAsia="fr-FR"/>
        </w:rPr>
        <w:t>quelle que soit sa qualité</w:t>
      </w:r>
      <w:r w:rsidRPr="00473493">
        <w:rPr>
          <w:lang w:eastAsia="fr-FR"/>
        </w:rPr>
        <w:t>. Les règles d’exclusions énoncées ci-dessus empêchent donc à une entreprise d’être titulaire des lots qui sont exclusifs les uns des autres que ce soit en qualité de Titulaire unique ou de membre d’un groupement momentané d’entreprise.</w:t>
      </w:r>
      <w:r w:rsidR="003855BB" w:rsidRPr="00473493">
        <w:rPr>
          <w:lang w:eastAsia="fr-FR"/>
        </w:rPr>
        <w:t xml:space="preserve"> </w:t>
      </w:r>
    </w:p>
    <w:p w14:paraId="06579ADC" w14:textId="18EB1B51" w:rsidR="007D2E47" w:rsidRPr="00850E0F" w:rsidRDefault="00C17C70" w:rsidP="00636FE1">
      <w:pPr>
        <w:rPr>
          <w:lang w:eastAsia="fr-FR"/>
        </w:rPr>
      </w:pPr>
      <w:r w:rsidRPr="00473493">
        <w:rPr>
          <w:lang w:eastAsia="fr-FR"/>
        </w:rPr>
        <w:t>A titre d’exemple : une entrepris</w:t>
      </w:r>
      <w:r w:rsidR="00792318" w:rsidRPr="00473493">
        <w:rPr>
          <w:lang w:eastAsia="fr-FR"/>
        </w:rPr>
        <w:t>e se présente seule sur le lot 2, et en groupement sur le lot 1</w:t>
      </w:r>
      <w:r w:rsidRPr="00473493">
        <w:rPr>
          <w:lang w:eastAsia="fr-FR"/>
        </w:rPr>
        <w:t>. Si elle est attributaire du</w:t>
      </w:r>
      <w:r w:rsidR="00792318" w:rsidRPr="00473493">
        <w:rPr>
          <w:lang w:eastAsia="fr-FR"/>
        </w:rPr>
        <w:t xml:space="preserve"> lot 2</w:t>
      </w:r>
      <w:r w:rsidRPr="00473493">
        <w:rPr>
          <w:lang w:eastAsia="fr-FR"/>
        </w:rPr>
        <w:t xml:space="preserve">, l’offre de son groupement ne sera pas </w:t>
      </w:r>
      <w:r w:rsidR="00792318" w:rsidRPr="00473493">
        <w:rPr>
          <w:lang w:eastAsia="fr-FR"/>
        </w:rPr>
        <w:t>analysée dans le cadre du lot 1</w:t>
      </w:r>
      <w:r w:rsidR="001C73C7" w:rsidRPr="00473493">
        <w:rPr>
          <w:lang w:eastAsia="fr-FR"/>
        </w:rPr>
        <w:t>.</w:t>
      </w:r>
      <w:r>
        <w:rPr>
          <w:lang w:eastAsia="fr-FR"/>
        </w:rPr>
        <w:t xml:space="preserve"> </w:t>
      </w:r>
    </w:p>
    <w:p w14:paraId="273F793D" w14:textId="7784F91A" w:rsidR="001A1909" w:rsidRPr="00792372" w:rsidRDefault="001A1909" w:rsidP="00636FE1">
      <w:pPr>
        <w:pStyle w:val="Titre2"/>
      </w:pPr>
      <w:bookmarkStart w:id="20" w:name="_Toc138749733"/>
      <w:bookmarkStart w:id="21" w:name="_Toc138946632"/>
      <w:bookmarkStart w:id="22" w:name="_Toc139894601"/>
      <w:bookmarkStart w:id="23" w:name="_Toc143250908"/>
      <w:bookmarkStart w:id="24" w:name="_Toc187833013"/>
      <w:bookmarkStart w:id="25" w:name="_Toc211257278"/>
      <w:r w:rsidRPr="00792372">
        <w:t>Forme de</w:t>
      </w:r>
      <w:r w:rsidR="007450EF">
        <w:t xml:space="preserve">s </w:t>
      </w:r>
      <w:r w:rsidRPr="00792372">
        <w:t>accord</w:t>
      </w:r>
      <w:r w:rsidR="007450EF">
        <w:t>s</w:t>
      </w:r>
      <w:r w:rsidRPr="00792372">
        <w:t>-cadre</w:t>
      </w:r>
      <w:bookmarkEnd w:id="20"/>
      <w:bookmarkEnd w:id="21"/>
      <w:bookmarkEnd w:id="22"/>
      <w:bookmarkEnd w:id="23"/>
      <w:bookmarkEnd w:id="24"/>
      <w:r w:rsidR="007450EF">
        <w:t>s</w:t>
      </w:r>
      <w:r w:rsidRPr="00792372">
        <w:t xml:space="preserve"> </w:t>
      </w:r>
      <w:r w:rsidR="007450EF">
        <w:t>issus des trois lots</w:t>
      </w:r>
      <w:bookmarkEnd w:id="25"/>
    </w:p>
    <w:p w14:paraId="491ADA0C" w14:textId="77777777" w:rsidR="004A35E5" w:rsidRDefault="004A35E5" w:rsidP="00636FE1">
      <w:pPr>
        <w:rPr>
          <w:lang w:eastAsia="fr-FR"/>
        </w:rPr>
      </w:pPr>
      <w:r>
        <w:rPr>
          <w:lang w:eastAsia="fr-FR"/>
        </w:rPr>
        <w:t>Il est fait application des articles R2162-1 à R2162-14 du Code de la commande publique.</w:t>
      </w:r>
    </w:p>
    <w:p w14:paraId="2B422454" w14:textId="44050D91" w:rsidR="004377E4" w:rsidRPr="007450EF" w:rsidRDefault="00772EE3" w:rsidP="00636FE1">
      <w:r w:rsidRPr="007450EF">
        <w:t>Au terme de la consultation,</w:t>
      </w:r>
      <w:r w:rsidR="00CD1135" w:rsidRPr="007450EF">
        <w:t xml:space="preserve"> </w:t>
      </w:r>
      <w:r w:rsidRPr="007450EF">
        <w:t>un accord-cadre mono</w:t>
      </w:r>
      <w:r w:rsidR="007A00FA" w:rsidRPr="007450EF">
        <w:t xml:space="preserve"> a</w:t>
      </w:r>
      <w:r w:rsidRPr="007450EF">
        <w:t>ttributaire</w:t>
      </w:r>
      <w:r w:rsidR="00557837" w:rsidRPr="007450EF">
        <w:t xml:space="preserve"> pour partie forfaitaire et pour partie à bons de commande</w:t>
      </w:r>
      <w:r w:rsidRPr="007450EF">
        <w:t xml:space="preserve"> </w:t>
      </w:r>
      <w:r w:rsidR="00CD1135" w:rsidRPr="007450EF">
        <w:t>est</w:t>
      </w:r>
      <w:r w:rsidRPr="007450EF">
        <w:t xml:space="preserve"> conclu par la C</w:t>
      </w:r>
      <w:r w:rsidR="00173B5B" w:rsidRPr="007450EF">
        <w:t>nam</w:t>
      </w:r>
      <w:r w:rsidRPr="007450EF">
        <w:t>.</w:t>
      </w:r>
      <w:r w:rsidR="00557837" w:rsidRPr="007450EF">
        <w:t xml:space="preserve"> </w:t>
      </w:r>
    </w:p>
    <w:p w14:paraId="4BE4A257" w14:textId="59E017B9" w:rsidR="004377E4" w:rsidRPr="007450EF" w:rsidRDefault="004377E4" w:rsidP="00636FE1">
      <w:pPr>
        <w:rPr>
          <w:lang w:eastAsia="fr-FR"/>
        </w:rPr>
      </w:pPr>
      <w:r w:rsidRPr="007450EF">
        <w:rPr>
          <w:lang w:eastAsia="fr-FR"/>
        </w:rPr>
        <w:lastRenderedPageBreak/>
        <w:t xml:space="preserve">L’accord-cadre </w:t>
      </w:r>
      <w:r w:rsidR="00025CA3" w:rsidRPr="007450EF">
        <w:rPr>
          <w:lang w:eastAsia="fr-FR"/>
        </w:rPr>
        <w:t>est composé :</w:t>
      </w:r>
    </w:p>
    <w:p w14:paraId="3EA4C573" w14:textId="77777777" w:rsidR="00025CA3" w:rsidRPr="007450EF" w:rsidRDefault="00025CA3" w:rsidP="00025CA3">
      <w:pPr>
        <w:pStyle w:val="Puce1"/>
      </w:pPr>
      <w:r w:rsidRPr="007450EF">
        <w:t>D’une tranche ferme qui :</w:t>
      </w:r>
    </w:p>
    <w:p w14:paraId="5237AF3B" w14:textId="76225FD5" w:rsidR="00025CA3" w:rsidRPr="007450EF" w:rsidRDefault="00025CA3" w:rsidP="00025CA3">
      <w:pPr>
        <w:pStyle w:val="Puce2"/>
      </w:pPr>
      <w:r w:rsidRPr="007450EF">
        <w:t>Comporte une part forfaitaire adressant les prestations d’assistance au pi</w:t>
      </w:r>
      <w:r w:rsidR="00473493" w:rsidRPr="007450EF">
        <w:t>lotage global de l’accord-cadre</w:t>
      </w:r>
      <w:r w:rsidR="00DB46AE" w:rsidRPr="007450EF">
        <w:t> ;</w:t>
      </w:r>
    </w:p>
    <w:p w14:paraId="3D4A5E33" w14:textId="20F1F5F9" w:rsidR="00025CA3" w:rsidRPr="007450EF" w:rsidRDefault="00025CA3" w:rsidP="00025CA3">
      <w:pPr>
        <w:pStyle w:val="Puce2"/>
      </w:pPr>
      <w:r w:rsidRPr="007450EF">
        <w:t>Est exécuté</w:t>
      </w:r>
      <w:r w:rsidR="00473493" w:rsidRPr="007450EF">
        <w:t>e</w:t>
      </w:r>
      <w:r w:rsidRPr="007450EF">
        <w:t xml:space="preserve"> pour partie, au fur et à mesure de l’émission des bons de commande dans les conditions fixées aux articles R2162-13 et 14 du code de la commande publique pour les prestations à unités d’œuvre.</w:t>
      </w:r>
    </w:p>
    <w:p w14:paraId="690C965A" w14:textId="77777777" w:rsidR="00025CA3" w:rsidRPr="007450EF" w:rsidRDefault="00025CA3" w:rsidP="00025CA3">
      <w:pPr>
        <w:pStyle w:val="Puce1"/>
      </w:pPr>
      <w:r w:rsidRPr="007450EF">
        <w:t xml:space="preserve">De tranches optionnelles d’initialisation et de réversibilité en application des articles R2113-4 à 6 du code de la commande publique. </w:t>
      </w:r>
    </w:p>
    <w:p w14:paraId="5AA47E6B" w14:textId="580111A9" w:rsidR="004377E4" w:rsidRPr="007450EF" w:rsidRDefault="004377E4" w:rsidP="00636FE1">
      <w:r w:rsidRPr="007450EF">
        <w:t xml:space="preserve">Conformément à l’article R2113-6 du Code de la Commande Publique, l’exécution d’une tranche optionnelle est subordonnée à une décision expresse de la Cnam. </w:t>
      </w:r>
    </w:p>
    <w:p w14:paraId="1E9CD7AD" w14:textId="3A5AD866" w:rsidR="004377E4" w:rsidRPr="00DF1495" w:rsidRDefault="004377E4" w:rsidP="00636FE1">
      <w:r w:rsidRPr="007450EF">
        <w:t>Le non affermissement d’une tranche optionnelle n’emporte pas droit à une indemnité de dédit au bénéfice du Titulaire</w:t>
      </w:r>
      <w:r w:rsidR="00473493" w:rsidRPr="007450EF">
        <w:t>.</w:t>
      </w:r>
    </w:p>
    <w:p w14:paraId="482D39B4" w14:textId="09C9B57A" w:rsidR="002753F4" w:rsidRDefault="00704C59" w:rsidP="00636FE1">
      <w:pPr>
        <w:pStyle w:val="Titre2"/>
      </w:pPr>
      <w:bookmarkStart w:id="26" w:name="_Toc143250910"/>
      <w:bookmarkStart w:id="27" w:name="_Ref187398302"/>
      <w:bookmarkStart w:id="28" w:name="_Ref187676966"/>
      <w:bookmarkStart w:id="29" w:name="_Toc187833016"/>
      <w:bookmarkStart w:id="30" w:name="_Toc211257279"/>
      <w:bookmarkStart w:id="31" w:name="_Toc387997714"/>
      <w:r w:rsidRPr="00704C59">
        <w:t>Montant</w:t>
      </w:r>
      <w:r w:rsidR="009A4BB1">
        <w:t>s</w:t>
      </w:r>
      <w:r w:rsidRPr="00704C59">
        <w:t xml:space="preserve"> d</w:t>
      </w:r>
      <w:r w:rsidR="000F7110">
        <w:t>e l’accord-cadre</w:t>
      </w:r>
      <w:bookmarkEnd w:id="26"/>
      <w:bookmarkEnd w:id="27"/>
      <w:bookmarkEnd w:id="28"/>
      <w:bookmarkEnd w:id="29"/>
      <w:bookmarkEnd w:id="30"/>
      <w:r w:rsidRPr="00704C59">
        <w:t xml:space="preserve"> </w:t>
      </w:r>
      <w:bookmarkEnd w:id="31"/>
    </w:p>
    <w:p w14:paraId="270970C3" w14:textId="14BB45F4" w:rsidR="00557837" w:rsidRPr="00557837" w:rsidRDefault="00557837" w:rsidP="00636FE1">
      <w:pPr>
        <w:pStyle w:val="Titre3"/>
      </w:pPr>
      <w:bookmarkStart w:id="32" w:name="_Toc187833017"/>
      <w:bookmarkStart w:id="33" w:name="_Toc211257280"/>
      <w:r w:rsidRPr="00557837">
        <w:t>Montant estimatif</w:t>
      </w:r>
      <w:bookmarkEnd w:id="32"/>
      <w:bookmarkEnd w:id="33"/>
    </w:p>
    <w:p w14:paraId="3037BF75" w14:textId="6A3190A6" w:rsidR="00557837" w:rsidRDefault="00557837" w:rsidP="00636FE1">
      <w:pPr>
        <w:rPr>
          <w:lang w:eastAsia="fr-FR"/>
        </w:rPr>
      </w:pPr>
      <w:r w:rsidRPr="00557837">
        <w:rPr>
          <w:lang w:eastAsia="fr-FR"/>
        </w:rPr>
        <w:t xml:space="preserve">Le montant estimatif, et non contractuel, </w:t>
      </w:r>
      <w:r w:rsidR="00C10AB2">
        <w:rPr>
          <w:lang w:eastAsia="fr-FR"/>
        </w:rPr>
        <w:t>pour</w:t>
      </w:r>
      <w:r w:rsidRPr="00557837">
        <w:rPr>
          <w:lang w:eastAsia="fr-FR"/>
        </w:rPr>
        <w:t xml:space="preserve"> la durée </w:t>
      </w:r>
      <w:r w:rsidR="009150E0">
        <w:rPr>
          <w:lang w:eastAsia="fr-FR"/>
        </w:rPr>
        <w:t>maximale de l’accord-cadre</w:t>
      </w:r>
      <w:r w:rsidR="00C10AB2">
        <w:rPr>
          <w:lang w:eastAsia="fr-FR"/>
        </w:rPr>
        <w:t>,</w:t>
      </w:r>
      <w:r w:rsidR="00C10AB2" w:rsidRPr="00C10AB2">
        <w:rPr>
          <w:lang w:eastAsia="fr-FR"/>
        </w:rPr>
        <w:t xml:space="preserve"> ainsi que l’(les) éventuel(s) accord(s)-cadre(s) négocié(s) sans publicité ni mise en concurrence ayant pour objet la réalisation de prestations similaires</w:t>
      </w:r>
      <w:r w:rsidR="00C10AB2">
        <w:rPr>
          <w:lang w:eastAsia="fr-FR"/>
        </w:rPr>
        <w:t>,</w:t>
      </w:r>
      <w:r w:rsidRPr="00557837">
        <w:rPr>
          <w:lang w:eastAsia="fr-FR"/>
        </w:rPr>
        <w:t xml:space="preserve"> est </w:t>
      </w:r>
      <w:r w:rsidR="00740C45">
        <w:rPr>
          <w:lang w:eastAsia="fr-FR"/>
        </w:rPr>
        <w:t>fixé par lot comme suit :</w:t>
      </w:r>
    </w:p>
    <w:tbl>
      <w:tblPr>
        <w:tblStyle w:val="Grilledutableau"/>
        <w:tblW w:w="0" w:type="auto"/>
        <w:tblLayout w:type="fixed"/>
        <w:tblLook w:val="04A0" w:firstRow="1" w:lastRow="0" w:firstColumn="1" w:lastColumn="0" w:noHBand="0" w:noVBand="1"/>
      </w:tblPr>
      <w:tblGrid>
        <w:gridCol w:w="846"/>
        <w:gridCol w:w="1701"/>
      </w:tblGrid>
      <w:tr w:rsidR="00E55E60" w:rsidRPr="00265806" w14:paraId="3055A5FA" w14:textId="77777777" w:rsidTr="005276C8">
        <w:tc>
          <w:tcPr>
            <w:tcW w:w="846" w:type="dxa"/>
            <w:shd w:val="clear" w:color="auto" w:fill="44546A" w:themeFill="text2"/>
          </w:tcPr>
          <w:p w14:paraId="7030F124" w14:textId="77777777" w:rsidR="00E55E60" w:rsidRPr="00265806" w:rsidRDefault="00E55E60" w:rsidP="00636FE1">
            <w:pPr>
              <w:spacing w:before="0" w:after="0"/>
              <w:rPr>
                <w:rFonts w:asciiTheme="minorHAnsi" w:hAnsiTheme="minorHAnsi"/>
                <w:b/>
                <w:color w:val="FFFFFF" w:themeColor="background1"/>
                <w:sz w:val="20"/>
                <w:lang w:eastAsia="fr-FR"/>
              </w:rPr>
            </w:pPr>
            <w:r w:rsidRPr="00265806">
              <w:rPr>
                <w:rFonts w:asciiTheme="minorHAnsi" w:hAnsiTheme="minorHAnsi"/>
                <w:b/>
                <w:color w:val="FFFFFF" w:themeColor="background1"/>
                <w:sz w:val="20"/>
                <w:lang w:eastAsia="fr-FR"/>
              </w:rPr>
              <w:t>Lot 1</w:t>
            </w:r>
          </w:p>
        </w:tc>
        <w:tc>
          <w:tcPr>
            <w:tcW w:w="1701" w:type="dxa"/>
          </w:tcPr>
          <w:p w14:paraId="209FDFB3" w14:textId="02DCC9B4" w:rsidR="00E55E60" w:rsidRPr="00265806" w:rsidRDefault="00882A48" w:rsidP="00F22D5C">
            <w:pPr>
              <w:spacing w:before="0" w:after="0"/>
              <w:jc w:val="right"/>
              <w:rPr>
                <w:rFonts w:asciiTheme="minorHAnsi" w:hAnsiTheme="minorHAnsi"/>
                <w:sz w:val="20"/>
                <w:lang w:eastAsia="fr-FR"/>
              </w:rPr>
            </w:pPr>
            <w:r w:rsidRPr="00265806">
              <w:rPr>
                <w:rFonts w:asciiTheme="minorHAnsi" w:hAnsiTheme="minorHAnsi"/>
                <w:sz w:val="20"/>
                <w:lang w:eastAsia="fr-FR"/>
              </w:rPr>
              <w:t>9</w:t>
            </w:r>
            <w:r w:rsidR="00F22D5C" w:rsidRPr="00265806">
              <w:rPr>
                <w:rFonts w:asciiTheme="minorHAnsi" w:hAnsiTheme="minorHAnsi"/>
                <w:sz w:val="20"/>
                <w:lang w:eastAsia="fr-FR"/>
              </w:rPr>
              <w:t>2</w:t>
            </w:r>
            <w:r w:rsidR="00037E4C" w:rsidRPr="00265806">
              <w:rPr>
                <w:rFonts w:asciiTheme="minorHAnsi" w:hAnsiTheme="minorHAnsi"/>
                <w:sz w:val="20"/>
                <w:lang w:eastAsia="fr-FR"/>
              </w:rPr>
              <w:t>M</w:t>
            </w:r>
            <w:r w:rsidR="00804541" w:rsidRPr="00265806">
              <w:rPr>
                <w:rFonts w:asciiTheme="minorHAnsi" w:hAnsiTheme="minorHAnsi"/>
                <w:sz w:val="20"/>
                <w:lang w:eastAsia="fr-FR"/>
              </w:rPr>
              <w:t>€HT</w:t>
            </w:r>
          </w:p>
        </w:tc>
      </w:tr>
      <w:tr w:rsidR="00E55E60" w:rsidRPr="00265806" w14:paraId="61DFC02B" w14:textId="77777777" w:rsidTr="005276C8">
        <w:tc>
          <w:tcPr>
            <w:tcW w:w="846" w:type="dxa"/>
            <w:shd w:val="clear" w:color="auto" w:fill="44546A" w:themeFill="text2"/>
          </w:tcPr>
          <w:p w14:paraId="60CD3A64" w14:textId="77777777" w:rsidR="00E55E60" w:rsidRPr="00265806" w:rsidRDefault="00E55E60" w:rsidP="00636FE1">
            <w:pPr>
              <w:spacing w:before="0" w:after="0"/>
              <w:rPr>
                <w:rFonts w:asciiTheme="minorHAnsi" w:hAnsiTheme="minorHAnsi"/>
                <w:b/>
                <w:color w:val="FFFFFF" w:themeColor="background1"/>
                <w:sz w:val="20"/>
                <w:lang w:eastAsia="fr-FR"/>
              </w:rPr>
            </w:pPr>
            <w:r w:rsidRPr="00265806">
              <w:rPr>
                <w:rFonts w:asciiTheme="minorHAnsi" w:hAnsiTheme="minorHAnsi"/>
                <w:b/>
                <w:color w:val="FFFFFF" w:themeColor="background1"/>
                <w:sz w:val="20"/>
                <w:lang w:eastAsia="fr-FR"/>
              </w:rPr>
              <w:t>Lot 2</w:t>
            </w:r>
          </w:p>
        </w:tc>
        <w:tc>
          <w:tcPr>
            <w:tcW w:w="1701" w:type="dxa"/>
          </w:tcPr>
          <w:p w14:paraId="3C45EE9D" w14:textId="0FE4A599" w:rsidR="00E55E60" w:rsidRPr="00265806" w:rsidRDefault="00882A48" w:rsidP="00F22D5C">
            <w:pPr>
              <w:spacing w:before="0" w:after="0"/>
              <w:jc w:val="right"/>
              <w:rPr>
                <w:rFonts w:asciiTheme="minorHAnsi" w:hAnsiTheme="minorHAnsi"/>
                <w:sz w:val="20"/>
                <w:lang w:eastAsia="fr-FR"/>
              </w:rPr>
            </w:pPr>
            <w:r w:rsidRPr="00265806">
              <w:rPr>
                <w:rFonts w:asciiTheme="minorHAnsi" w:hAnsiTheme="minorHAnsi"/>
                <w:sz w:val="20"/>
                <w:lang w:eastAsia="fr-FR"/>
              </w:rPr>
              <w:t>160</w:t>
            </w:r>
            <w:r w:rsidR="00037E4C" w:rsidRPr="00265806">
              <w:rPr>
                <w:rFonts w:asciiTheme="minorHAnsi" w:hAnsiTheme="minorHAnsi"/>
                <w:sz w:val="20"/>
                <w:lang w:eastAsia="fr-FR"/>
              </w:rPr>
              <w:t>M</w:t>
            </w:r>
            <w:r w:rsidR="00804541" w:rsidRPr="00265806">
              <w:rPr>
                <w:rFonts w:asciiTheme="minorHAnsi" w:hAnsiTheme="minorHAnsi"/>
                <w:sz w:val="20"/>
                <w:lang w:eastAsia="fr-FR"/>
              </w:rPr>
              <w:t>€HT</w:t>
            </w:r>
          </w:p>
        </w:tc>
      </w:tr>
      <w:tr w:rsidR="00E55E60" w:rsidRPr="00636FE1" w14:paraId="52B88089" w14:textId="77777777" w:rsidTr="005276C8">
        <w:tc>
          <w:tcPr>
            <w:tcW w:w="846" w:type="dxa"/>
            <w:shd w:val="clear" w:color="auto" w:fill="44546A" w:themeFill="text2"/>
          </w:tcPr>
          <w:p w14:paraId="5FDC283B" w14:textId="77777777" w:rsidR="00E55E60" w:rsidRPr="00265806" w:rsidRDefault="00E55E60" w:rsidP="00636FE1">
            <w:pPr>
              <w:spacing w:before="0" w:after="0"/>
              <w:rPr>
                <w:rFonts w:asciiTheme="minorHAnsi" w:hAnsiTheme="minorHAnsi"/>
                <w:b/>
                <w:color w:val="FFFFFF" w:themeColor="background1"/>
                <w:sz w:val="20"/>
                <w:lang w:eastAsia="fr-FR"/>
              </w:rPr>
            </w:pPr>
            <w:r w:rsidRPr="00265806">
              <w:rPr>
                <w:rFonts w:asciiTheme="minorHAnsi" w:hAnsiTheme="minorHAnsi"/>
                <w:b/>
                <w:color w:val="FFFFFF" w:themeColor="background1"/>
                <w:sz w:val="20"/>
                <w:lang w:eastAsia="fr-FR"/>
              </w:rPr>
              <w:t>Lot 3</w:t>
            </w:r>
          </w:p>
        </w:tc>
        <w:tc>
          <w:tcPr>
            <w:tcW w:w="1701" w:type="dxa"/>
          </w:tcPr>
          <w:p w14:paraId="1C004DE1" w14:textId="1B769393" w:rsidR="00E55E60" w:rsidRPr="00636FE1" w:rsidRDefault="00882A48" w:rsidP="00F22D5C">
            <w:pPr>
              <w:spacing w:before="0" w:after="0"/>
              <w:jc w:val="right"/>
              <w:rPr>
                <w:rFonts w:asciiTheme="minorHAnsi" w:hAnsiTheme="minorHAnsi"/>
                <w:sz w:val="20"/>
                <w:lang w:eastAsia="fr-FR"/>
              </w:rPr>
            </w:pPr>
            <w:r w:rsidRPr="00265806">
              <w:rPr>
                <w:rFonts w:asciiTheme="minorHAnsi" w:hAnsiTheme="minorHAnsi"/>
                <w:sz w:val="20"/>
                <w:lang w:eastAsia="fr-FR"/>
              </w:rPr>
              <w:t>1</w:t>
            </w:r>
            <w:r w:rsidR="00F22D5C" w:rsidRPr="00265806">
              <w:rPr>
                <w:rFonts w:asciiTheme="minorHAnsi" w:hAnsiTheme="minorHAnsi"/>
                <w:sz w:val="20"/>
                <w:lang w:eastAsia="fr-FR"/>
              </w:rPr>
              <w:t>2</w:t>
            </w:r>
            <w:r w:rsidR="00037E4C" w:rsidRPr="00265806">
              <w:rPr>
                <w:rFonts w:asciiTheme="minorHAnsi" w:hAnsiTheme="minorHAnsi"/>
                <w:sz w:val="20"/>
                <w:lang w:eastAsia="fr-FR"/>
              </w:rPr>
              <w:t>M</w:t>
            </w:r>
            <w:r w:rsidR="00804541" w:rsidRPr="00265806">
              <w:rPr>
                <w:rFonts w:asciiTheme="minorHAnsi" w:hAnsiTheme="minorHAnsi"/>
                <w:sz w:val="20"/>
                <w:lang w:eastAsia="fr-FR"/>
              </w:rPr>
              <w:t>€HT</w:t>
            </w:r>
          </w:p>
        </w:tc>
      </w:tr>
    </w:tbl>
    <w:p w14:paraId="65B8C471" w14:textId="1D29728D" w:rsidR="00557837" w:rsidRPr="00557837" w:rsidRDefault="00557837" w:rsidP="00636FE1">
      <w:pPr>
        <w:pStyle w:val="Titre3"/>
      </w:pPr>
      <w:bookmarkStart w:id="34" w:name="_Toc187833018"/>
      <w:bookmarkStart w:id="35" w:name="_Toc211257281"/>
      <w:r w:rsidRPr="00557837">
        <w:t>Montant maximum de la part à bons de commande</w:t>
      </w:r>
      <w:bookmarkEnd w:id="34"/>
      <w:bookmarkEnd w:id="35"/>
    </w:p>
    <w:p w14:paraId="0A0B7D38" w14:textId="74B0AF47" w:rsidR="005F6FCB" w:rsidRDefault="00557837" w:rsidP="00636FE1">
      <w:pPr>
        <w:rPr>
          <w:lang w:eastAsia="fr-FR"/>
        </w:rPr>
      </w:pPr>
      <w:r w:rsidRPr="00557837">
        <w:rPr>
          <w:lang w:eastAsia="fr-FR"/>
        </w:rPr>
        <w:t>Le montant maximum (valeur maximale contractuelle) de la part à bo</w:t>
      </w:r>
      <w:r w:rsidR="009278E7">
        <w:rPr>
          <w:lang w:eastAsia="fr-FR"/>
        </w:rPr>
        <w:t>ns de commande</w:t>
      </w:r>
      <w:r w:rsidR="00740C45">
        <w:rPr>
          <w:lang w:eastAsia="fr-FR"/>
        </w:rPr>
        <w:t xml:space="preserve"> sur la durée maximale de l’accord-cadre</w:t>
      </w:r>
      <w:r w:rsidR="00C10AB2">
        <w:rPr>
          <w:lang w:eastAsia="fr-FR"/>
        </w:rPr>
        <w:t xml:space="preserve"> initial, reconductions éventuelles comprises,</w:t>
      </w:r>
      <w:r w:rsidR="00740C45">
        <w:rPr>
          <w:lang w:eastAsia="fr-FR"/>
        </w:rPr>
        <w:t xml:space="preserve"> est fixé par lot comme suit :</w:t>
      </w:r>
    </w:p>
    <w:tbl>
      <w:tblPr>
        <w:tblStyle w:val="Grilledutableau"/>
        <w:tblW w:w="0" w:type="auto"/>
        <w:tblLayout w:type="fixed"/>
        <w:tblLook w:val="04A0" w:firstRow="1" w:lastRow="0" w:firstColumn="1" w:lastColumn="0" w:noHBand="0" w:noVBand="1"/>
      </w:tblPr>
      <w:tblGrid>
        <w:gridCol w:w="846"/>
        <w:gridCol w:w="1701"/>
      </w:tblGrid>
      <w:tr w:rsidR="00804541" w:rsidRPr="00265806" w14:paraId="0CB12E37" w14:textId="77777777" w:rsidTr="000B7A16">
        <w:tc>
          <w:tcPr>
            <w:tcW w:w="846" w:type="dxa"/>
            <w:shd w:val="clear" w:color="auto" w:fill="44546A" w:themeFill="text2"/>
          </w:tcPr>
          <w:p w14:paraId="03787592" w14:textId="77777777" w:rsidR="00804541" w:rsidRPr="00265806" w:rsidRDefault="00804541" w:rsidP="00804541">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1</w:t>
            </w:r>
          </w:p>
        </w:tc>
        <w:tc>
          <w:tcPr>
            <w:tcW w:w="1701" w:type="dxa"/>
            <w:tcBorders>
              <w:top w:val="single" w:sz="4" w:space="0" w:color="auto"/>
              <w:left w:val="nil"/>
              <w:bottom w:val="single" w:sz="4" w:space="0" w:color="auto"/>
              <w:right w:val="single" w:sz="4" w:space="0" w:color="auto"/>
            </w:tcBorders>
            <w:shd w:val="clear" w:color="auto" w:fill="auto"/>
            <w:vAlign w:val="center"/>
          </w:tcPr>
          <w:p w14:paraId="3F431CB5" w14:textId="269460DA" w:rsidR="00804541" w:rsidRPr="00265806" w:rsidRDefault="00F22D5C" w:rsidP="004303BB">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53</w:t>
            </w:r>
            <w:r w:rsidR="001B1E94" w:rsidRPr="00265806">
              <w:rPr>
                <w:rFonts w:asciiTheme="minorHAnsi" w:hAnsiTheme="minorHAnsi"/>
                <w:sz w:val="20"/>
                <w:szCs w:val="20"/>
                <w:lang w:eastAsia="fr-FR"/>
              </w:rPr>
              <w:t xml:space="preserve"> </w:t>
            </w:r>
            <w:r w:rsidR="00CA698D" w:rsidRPr="00265806">
              <w:rPr>
                <w:rFonts w:asciiTheme="minorHAnsi" w:hAnsiTheme="minorHAnsi"/>
                <w:sz w:val="20"/>
                <w:szCs w:val="20"/>
                <w:lang w:eastAsia="fr-FR"/>
              </w:rPr>
              <w:t>M</w:t>
            </w:r>
            <w:r w:rsidR="00804541" w:rsidRPr="00265806">
              <w:rPr>
                <w:rFonts w:asciiTheme="minorHAnsi" w:hAnsiTheme="minorHAnsi"/>
                <w:sz w:val="20"/>
                <w:szCs w:val="20"/>
                <w:lang w:eastAsia="fr-FR"/>
              </w:rPr>
              <w:t>€HT</w:t>
            </w:r>
          </w:p>
        </w:tc>
      </w:tr>
      <w:tr w:rsidR="00804541" w:rsidRPr="00265806" w14:paraId="1291BEE4" w14:textId="77777777" w:rsidTr="000B7A16">
        <w:tc>
          <w:tcPr>
            <w:tcW w:w="846" w:type="dxa"/>
            <w:shd w:val="clear" w:color="auto" w:fill="44546A" w:themeFill="text2"/>
          </w:tcPr>
          <w:p w14:paraId="04469B06" w14:textId="77777777" w:rsidR="00804541" w:rsidRPr="00265806" w:rsidRDefault="00804541" w:rsidP="00804541">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2</w:t>
            </w:r>
          </w:p>
        </w:tc>
        <w:tc>
          <w:tcPr>
            <w:tcW w:w="1701" w:type="dxa"/>
            <w:tcBorders>
              <w:top w:val="single" w:sz="4" w:space="0" w:color="auto"/>
              <w:left w:val="nil"/>
              <w:bottom w:val="single" w:sz="4" w:space="0" w:color="auto"/>
              <w:right w:val="single" w:sz="4" w:space="0" w:color="auto"/>
            </w:tcBorders>
            <w:shd w:val="clear" w:color="auto" w:fill="auto"/>
            <w:vAlign w:val="center"/>
          </w:tcPr>
          <w:p w14:paraId="23B5DAA5" w14:textId="2C3FDACC" w:rsidR="00804541" w:rsidRPr="00265806" w:rsidRDefault="00F946F5" w:rsidP="00F22D5C">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9</w:t>
            </w:r>
            <w:r w:rsidR="00F22D5C" w:rsidRPr="00265806">
              <w:rPr>
                <w:rFonts w:asciiTheme="minorHAnsi" w:hAnsiTheme="minorHAnsi"/>
                <w:sz w:val="20"/>
                <w:szCs w:val="20"/>
                <w:lang w:eastAsia="fr-FR"/>
              </w:rPr>
              <w:t>2</w:t>
            </w:r>
            <w:r w:rsidR="00CA698D" w:rsidRPr="00265806">
              <w:rPr>
                <w:rFonts w:asciiTheme="minorHAnsi" w:hAnsiTheme="minorHAnsi"/>
                <w:sz w:val="20"/>
                <w:szCs w:val="20"/>
                <w:lang w:eastAsia="fr-FR"/>
              </w:rPr>
              <w:t>M</w:t>
            </w:r>
            <w:r w:rsidR="00804541" w:rsidRPr="00265806">
              <w:rPr>
                <w:rFonts w:asciiTheme="minorHAnsi" w:hAnsiTheme="minorHAnsi"/>
                <w:sz w:val="20"/>
                <w:szCs w:val="20"/>
                <w:lang w:eastAsia="fr-FR"/>
              </w:rPr>
              <w:t>€HT</w:t>
            </w:r>
          </w:p>
        </w:tc>
      </w:tr>
      <w:tr w:rsidR="00804541" w:rsidRPr="008C32C9" w14:paraId="49F585ED" w14:textId="77777777" w:rsidTr="000B7A16">
        <w:tc>
          <w:tcPr>
            <w:tcW w:w="846" w:type="dxa"/>
            <w:shd w:val="clear" w:color="auto" w:fill="44546A" w:themeFill="text2"/>
          </w:tcPr>
          <w:p w14:paraId="7C54E739" w14:textId="77777777" w:rsidR="00804541" w:rsidRPr="00265806" w:rsidRDefault="00804541" w:rsidP="00804541">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3</w:t>
            </w:r>
          </w:p>
        </w:tc>
        <w:tc>
          <w:tcPr>
            <w:tcW w:w="1701" w:type="dxa"/>
            <w:tcBorders>
              <w:top w:val="single" w:sz="4" w:space="0" w:color="auto"/>
              <w:left w:val="nil"/>
              <w:bottom w:val="single" w:sz="4" w:space="0" w:color="auto"/>
              <w:right w:val="single" w:sz="4" w:space="0" w:color="auto"/>
            </w:tcBorders>
            <w:shd w:val="clear" w:color="auto" w:fill="auto"/>
            <w:vAlign w:val="center"/>
          </w:tcPr>
          <w:p w14:paraId="603770F6" w14:textId="28B97F14" w:rsidR="00804541" w:rsidRPr="008C32C9" w:rsidRDefault="00F22D5C" w:rsidP="002B1349">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7</w:t>
            </w:r>
            <w:r w:rsidR="001B1E94" w:rsidRPr="00265806">
              <w:rPr>
                <w:rFonts w:asciiTheme="minorHAnsi" w:hAnsiTheme="minorHAnsi"/>
                <w:sz w:val="20"/>
                <w:szCs w:val="20"/>
                <w:lang w:eastAsia="fr-FR"/>
              </w:rPr>
              <w:t xml:space="preserve"> </w:t>
            </w:r>
            <w:r w:rsidR="00CA698D" w:rsidRPr="00265806">
              <w:rPr>
                <w:rFonts w:asciiTheme="minorHAnsi" w:hAnsiTheme="minorHAnsi"/>
                <w:sz w:val="20"/>
                <w:szCs w:val="20"/>
                <w:lang w:eastAsia="fr-FR"/>
              </w:rPr>
              <w:t>M</w:t>
            </w:r>
            <w:r w:rsidR="00804541" w:rsidRPr="00265806">
              <w:rPr>
                <w:rFonts w:asciiTheme="minorHAnsi" w:hAnsiTheme="minorHAnsi"/>
                <w:sz w:val="20"/>
                <w:szCs w:val="20"/>
                <w:lang w:eastAsia="fr-FR"/>
              </w:rPr>
              <w:t>€HT</w:t>
            </w:r>
          </w:p>
        </w:tc>
      </w:tr>
    </w:tbl>
    <w:p w14:paraId="75CF841D" w14:textId="0DF84CF7" w:rsidR="00704C59" w:rsidRDefault="00704C59" w:rsidP="00636FE1">
      <w:pPr>
        <w:pStyle w:val="Titre2"/>
      </w:pPr>
      <w:bookmarkStart w:id="36" w:name="_Toc387997715"/>
      <w:bookmarkStart w:id="37" w:name="_Toc143250911"/>
      <w:bookmarkStart w:id="38" w:name="_Toc187833019"/>
      <w:bookmarkStart w:id="39" w:name="_Toc211257282"/>
      <w:r w:rsidRPr="00704C59">
        <w:t>Nomenclature communautaire</w:t>
      </w:r>
      <w:bookmarkEnd w:id="36"/>
      <w:bookmarkEnd w:id="37"/>
      <w:bookmarkEnd w:id="38"/>
      <w:bookmarkEnd w:id="39"/>
    </w:p>
    <w:p w14:paraId="5A3D1DC8" w14:textId="77777777" w:rsidR="00FB6B5A" w:rsidRDefault="00FB6B5A" w:rsidP="00FB6B5A">
      <w:pPr>
        <w:rPr>
          <w:lang w:eastAsia="fr-FR"/>
        </w:rPr>
      </w:pPr>
      <w:r>
        <w:rPr>
          <w:lang w:eastAsia="fr-FR"/>
        </w:rPr>
        <w:t xml:space="preserve">Nomenclature principale de la procédure : </w:t>
      </w:r>
    </w:p>
    <w:p w14:paraId="09AD64D1" w14:textId="611769A7" w:rsidR="00FB6B5A" w:rsidRPr="00FB6B5A" w:rsidRDefault="00FB6B5A" w:rsidP="00FB6B5A">
      <w:pPr>
        <w:ind w:left="426"/>
        <w:rPr>
          <w:lang w:eastAsia="fr-FR"/>
        </w:rPr>
      </w:pPr>
      <w:r w:rsidRPr="00792318">
        <w:t>72600000-6 : Services d'assistance et de conseils informatiques</w:t>
      </w:r>
    </w:p>
    <w:p w14:paraId="3FADF24A" w14:textId="77777777" w:rsidR="00704C59" w:rsidRPr="00704C59" w:rsidRDefault="00704C59" w:rsidP="00636FE1">
      <w:pPr>
        <w:pStyle w:val="Titre2"/>
      </w:pPr>
      <w:bookmarkStart w:id="40" w:name="_Toc339962345"/>
      <w:bookmarkStart w:id="41" w:name="_Toc387997716"/>
      <w:bookmarkStart w:id="42" w:name="_Toc143250912"/>
      <w:bookmarkStart w:id="43" w:name="_Ref187066911"/>
      <w:bookmarkStart w:id="44" w:name="_Toc187833025"/>
      <w:bookmarkStart w:id="45" w:name="_Toc211257283"/>
      <w:r w:rsidRPr="00704C59">
        <w:t>Délai de validité des offres</w:t>
      </w:r>
      <w:bookmarkEnd w:id="40"/>
      <w:bookmarkEnd w:id="41"/>
      <w:bookmarkEnd w:id="42"/>
      <w:bookmarkEnd w:id="43"/>
      <w:bookmarkEnd w:id="44"/>
      <w:bookmarkEnd w:id="45"/>
    </w:p>
    <w:p w14:paraId="0F34CB11" w14:textId="37245051" w:rsidR="00704C59" w:rsidRPr="008D63E0" w:rsidRDefault="00704C59" w:rsidP="00636FE1">
      <w:pPr>
        <w:rPr>
          <w:lang w:eastAsia="fr-FR"/>
        </w:rPr>
      </w:pPr>
      <w:r w:rsidRPr="008D63E0">
        <w:rPr>
          <w:lang w:eastAsia="fr-FR"/>
        </w:rPr>
        <w:t>Le délai de validité des offres est fixé à</w:t>
      </w:r>
      <w:r w:rsidR="007C5679" w:rsidRPr="008D63E0">
        <w:rPr>
          <w:lang w:eastAsia="fr-FR"/>
        </w:rPr>
        <w:t xml:space="preserve"> </w:t>
      </w:r>
      <w:r w:rsidR="00910D0C">
        <w:rPr>
          <w:lang w:eastAsia="fr-FR"/>
        </w:rPr>
        <w:t>9</w:t>
      </w:r>
      <w:r w:rsidR="00051A9A">
        <w:rPr>
          <w:lang w:eastAsia="fr-FR"/>
        </w:rPr>
        <w:t xml:space="preserve"> </w:t>
      </w:r>
      <w:r w:rsidRPr="008D63E0">
        <w:rPr>
          <w:lang w:eastAsia="fr-FR"/>
        </w:rPr>
        <w:t>mois, à compter de la date limite de remise des offres indiquée dans le présent règlement de la consultation.</w:t>
      </w:r>
    </w:p>
    <w:p w14:paraId="775EF7E8" w14:textId="77777777" w:rsidR="00704C59" w:rsidRPr="00704C59" w:rsidRDefault="00704C59" w:rsidP="00636FE1">
      <w:pPr>
        <w:pStyle w:val="Titre2"/>
      </w:pPr>
      <w:bookmarkStart w:id="46" w:name="_Toc339962346"/>
      <w:bookmarkStart w:id="47" w:name="_Toc387997717"/>
      <w:bookmarkStart w:id="48" w:name="_Toc143250913"/>
      <w:bookmarkStart w:id="49" w:name="_Toc187833026"/>
      <w:bookmarkStart w:id="50" w:name="_Toc211257284"/>
      <w:r w:rsidRPr="00704C59">
        <w:t>Durée d</w:t>
      </w:r>
      <w:bookmarkEnd w:id="46"/>
      <w:bookmarkEnd w:id="47"/>
      <w:r w:rsidR="000F7110">
        <w:t>e l’accord-cadre</w:t>
      </w:r>
      <w:bookmarkEnd w:id="48"/>
      <w:bookmarkEnd w:id="49"/>
      <w:bookmarkEnd w:id="50"/>
    </w:p>
    <w:p w14:paraId="2B462E60" w14:textId="0ABFDFCF" w:rsidR="00256713" w:rsidRDefault="00256713" w:rsidP="00256713">
      <w:pPr>
        <w:rPr>
          <w:lang w:eastAsia="fr-FR"/>
        </w:rPr>
      </w:pPr>
      <w:r w:rsidRPr="00F35F1C">
        <w:rPr>
          <w:lang w:eastAsia="fr-FR"/>
        </w:rPr>
        <w:t>L’accord-cadre est conclu pour une durée</w:t>
      </w:r>
      <w:r>
        <w:rPr>
          <w:lang w:eastAsia="fr-FR"/>
        </w:rPr>
        <w:t xml:space="preserve"> </w:t>
      </w:r>
      <w:r w:rsidRPr="00F35F1C">
        <w:rPr>
          <w:lang w:eastAsia="fr-FR"/>
        </w:rPr>
        <w:t xml:space="preserve">de </w:t>
      </w:r>
      <w:r>
        <w:rPr>
          <w:lang w:eastAsia="fr-FR"/>
        </w:rPr>
        <w:t>2</w:t>
      </w:r>
      <w:r w:rsidR="0049538A">
        <w:rPr>
          <w:lang w:eastAsia="fr-FR"/>
        </w:rPr>
        <w:t>4</w:t>
      </w:r>
      <w:r w:rsidRPr="00F35F1C">
        <w:rPr>
          <w:lang w:eastAsia="fr-FR"/>
        </w:rPr>
        <w:t xml:space="preserve"> </w:t>
      </w:r>
      <w:r>
        <w:rPr>
          <w:lang w:eastAsia="fr-FR"/>
        </w:rPr>
        <w:t xml:space="preserve">mois </w:t>
      </w:r>
      <w:r w:rsidRPr="00F35F1C">
        <w:rPr>
          <w:lang w:eastAsia="fr-FR"/>
        </w:rPr>
        <w:t>à compter</w:t>
      </w:r>
      <w:r>
        <w:rPr>
          <w:lang w:eastAsia="fr-FR"/>
        </w:rPr>
        <w:t xml:space="preserve"> de sa date </w:t>
      </w:r>
      <w:r w:rsidRPr="007120E2">
        <w:t>notification</w:t>
      </w:r>
      <w:r>
        <w:t xml:space="preserve"> au Titulaire</w:t>
      </w:r>
      <w:r w:rsidRPr="00F35F1C">
        <w:rPr>
          <w:lang w:eastAsia="fr-FR"/>
        </w:rPr>
        <w:t xml:space="preserve">. </w:t>
      </w:r>
    </w:p>
    <w:p w14:paraId="3E6DE7ED" w14:textId="6E6868CF" w:rsidR="00256713" w:rsidRPr="00497FD4" w:rsidRDefault="00256713" w:rsidP="00256713">
      <w:pPr>
        <w:rPr>
          <w:lang w:eastAsia="fr-FR"/>
        </w:rPr>
      </w:pPr>
      <w:r w:rsidRPr="008D4A61">
        <w:rPr>
          <w:lang w:eastAsia="fr-FR"/>
        </w:rPr>
        <w:t xml:space="preserve">Il </w:t>
      </w:r>
      <w:r w:rsidRPr="0077523E">
        <w:rPr>
          <w:lang w:eastAsia="fr-FR"/>
        </w:rPr>
        <w:t xml:space="preserve">est </w:t>
      </w:r>
      <w:r w:rsidRPr="00497FD4">
        <w:rPr>
          <w:lang w:eastAsia="fr-FR"/>
        </w:rPr>
        <w:t xml:space="preserve">reconductible </w:t>
      </w:r>
      <w:r>
        <w:rPr>
          <w:lang w:eastAsia="fr-FR"/>
        </w:rPr>
        <w:t>deux</w:t>
      </w:r>
      <w:r w:rsidRPr="00497FD4">
        <w:rPr>
          <w:lang w:eastAsia="fr-FR"/>
        </w:rPr>
        <w:t xml:space="preserve"> fois, pour </w:t>
      </w:r>
      <w:r>
        <w:rPr>
          <w:lang w:eastAsia="fr-FR"/>
        </w:rPr>
        <w:t>une période de 12 mois</w:t>
      </w:r>
      <w:r w:rsidRPr="00497FD4">
        <w:rPr>
          <w:lang w:eastAsia="fr-FR"/>
        </w:rPr>
        <w:t xml:space="preserve">. La durée maximale de l’accord cadre est </w:t>
      </w:r>
      <w:r w:rsidR="00DE0442">
        <w:rPr>
          <w:lang w:eastAsia="fr-FR"/>
        </w:rPr>
        <w:t xml:space="preserve">donc </w:t>
      </w:r>
      <w:r w:rsidRPr="00497FD4">
        <w:rPr>
          <w:lang w:eastAsia="fr-FR"/>
        </w:rPr>
        <w:t xml:space="preserve">de </w:t>
      </w:r>
      <w:r w:rsidR="0049538A">
        <w:rPr>
          <w:lang w:eastAsia="fr-FR"/>
        </w:rPr>
        <w:t>48</w:t>
      </w:r>
      <w:r>
        <w:rPr>
          <w:lang w:eastAsia="fr-FR"/>
        </w:rPr>
        <w:t xml:space="preserve"> mois</w:t>
      </w:r>
      <w:r w:rsidRPr="00497FD4">
        <w:rPr>
          <w:lang w:eastAsia="fr-FR"/>
        </w:rPr>
        <w:t>.</w:t>
      </w:r>
    </w:p>
    <w:p w14:paraId="19673AC7" w14:textId="77777777" w:rsidR="00256713" w:rsidRPr="00497FD4" w:rsidRDefault="00256713" w:rsidP="00256713">
      <w:pPr>
        <w:rPr>
          <w:lang w:eastAsia="fr-FR"/>
        </w:rPr>
      </w:pPr>
      <w:r w:rsidRPr="00497FD4">
        <w:rPr>
          <w:lang w:eastAsia="fr-FR"/>
        </w:rPr>
        <w:lastRenderedPageBreak/>
        <w:t>La reconduction de l’accord-cadre est expresse. La décision de reconduction sera notifiée au Titulaire, par lettre recommandée avec accusé de réception, deux mois avant la date anniversaire de notification de l’accord-cadre.</w:t>
      </w:r>
    </w:p>
    <w:p w14:paraId="2846A94E" w14:textId="77777777" w:rsidR="00256713" w:rsidRPr="008152E9" w:rsidRDefault="00256713" w:rsidP="00256713">
      <w:pPr>
        <w:rPr>
          <w:lang w:eastAsia="fr-FR"/>
        </w:rPr>
      </w:pPr>
      <w:r w:rsidRPr="00497FD4">
        <w:rPr>
          <w:lang w:eastAsia="fr-FR"/>
        </w:rPr>
        <w:t>Conformément à l’article R2112-4 du Code de la commande publique, le Titulaire ne peut s’opposer à cette reconduction.</w:t>
      </w:r>
    </w:p>
    <w:p w14:paraId="39D9D3FA" w14:textId="77777777" w:rsidR="00256713" w:rsidRDefault="00256713" w:rsidP="00256713">
      <w:pPr>
        <w:rPr>
          <w:lang w:eastAsia="fr-FR"/>
        </w:rPr>
      </w:pPr>
      <w:r w:rsidRPr="009910A9">
        <w:rPr>
          <w:lang w:eastAsia="fr-FR"/>
        </w:rPr>
        <w:t xml:space="preserve">Il peut être résilié à tout moment par la </w:t>
      </w:r>
      <w:r>
        <w:rPr>
          <w:lang w:eastAsia="fr-FR"/>
        </w:rPr>
        <w:t>Cnam</w:t>
      </w:r>
      <w:r w:rsidRPr="009910A9">
        <w:rPr>
          <w:lang w:eastAsia="fr-FR"/>
        </w:rPr>
        <w:t xml:space="preserve"> dans les conditions prévues par le Cahier des clauses administratives particulières (CCAP).</w:t>
      </w:r>
    </w:p>
    <w:p w14:paraId="74A5F1F6" w14:textId="77777777" w:rsidR="00256713" w:rsidRDefault="00256713" w:rsidP="00256713">
      <w:pPr>
        <w:rPr>
          <w:lang w:eastAsia="fr-FR"/>
        </w:rPr>
      </w:pPr>
      <w:r w:rsidRPr="00697B4B">
        <w:rPr>
          <w:lang w:eastAsia="fr-FR"/>
        </w:rPr>
        <w:t xml:space="preserve">Les bons de commande </w:t>
      </w:r>
      <w:r>
        <w:rPr>
          <w:lang w:eastAsia="fr-FR"/>
        </w:rPr>
        <w:t>émis</w:t>
      </w:r>
      <w:r w:rsidRPr="00697B4B">
        <w:rPr>
          <w:lang w:eastAsia="fr-FR"/>
        </w:rPr>
        <w:t xml:space="preserve"> avant l’expiration </w:t>
      </w:r>
      <w:r>
        <w:rPr>
          <w:lang w:eastAsia="fr-FR"/>
        </w:rPr>
        <w:t>de l’accord-cadre</w:t>
      </w:r>
      <w:r w:rsidRPr="00697B4B">
        <w:rPr>
          <w:lang w:eastAsia="fr-FR"/>
        </w:rPr>
        <w:t xml:space="preserve"> pourront continuer à produire leurs effets pour une période ne pouvant excéder </w:t>
      </w:r>
      <w:r>
        <w:rPr>
          <w:lang w:eastAsia="fr-FR"/>
        </w:rPr>
        <w:t>6</w:t>
      </w:r>
      <w:r w:rsidRPr="00697B4B">
        <w:rPr>
          <w:lang w:eastAsia="fr-FR"/>
        </w:rPr>
        <w:t xml:space="preserve"> mois à compter du terme dudit </w:t>
      </w:r>
      <w:r>
        <w:rPr>
          <w:lang w:eastAsia="fr-FR"/>
        </w:rPr>
        <w:t>accord-cadre conformément aux stipulations du CCAP.</w:t>
      </w:r>
    </w:p>
    <w:p w14:paraId="492BAED4" w14:textId="77777777" w:rsidR="00704C59" w:rsidRPr="00704C59" w:rsidRDefault="00704C59" w:rsidP="00636FE1">
      <w:pPr>
        <w:pStyle w:val="Titre2"/>
      </w:pPr>
      <w:bookmarkStart w:id="51" w:name="_Toc339962347"/>
      <w:bookmarkStart w:id="52" w:name="_Toc387997718"/>
      <w:bookmarkStart w:id="53" w:name="_Toc143250914"/>
      <w:bookmarkStart w:id="54" w:name="_Toc187833029"/>
      <w:bookmarkStart w:id="55" w:name="_Toc211257285"/>
      <w:r w:rsidRPr="00704C59">
        <w:t xml:space="preserve">Lieu d’exécution </w:t>
      </w:r>
      <w:bookmarkEnd w:id="51"/>
      <w:bookmarkEnd w:id="52"/>
      <w:r w:rsidR="00982C86">
        <w:t>des prestations</w:t>
      </w:r>
      <w:bookmarkEnd w:id="53"/>
      <w:bookmarkEnd w:id="54"/>
      <w:bookmarkEnd w:id="55"/>
    </w:p>
    <w:p w14:paraId="18EB8ACF" w14:textId="16345B70" w:rsidR="00256713" w:rsidRDefault="006A6064" w:rsidP="00256713">
      <w:pPr>
        <w:rPr>
          <w:lang w:eastAsia="fr-FR"/>
        </w:rPr>
      </w:pPr>
      <w:r w:rsidRPr="006A6064">
        <w:rPr>
          <w:lang w:eastAsia="fr-FR"/>
        </w:rPr>
        <w:t>Le siège de la Cnam est à Paris, mais les prestations peuvent être exécutées dans tous les sites précisés dans le CCTP. Les informations relatives aux lieux d'exécution sont précisées dans les documents de la consultation.</w:t>
      </w:r>
    </w:p>
    <w:p w14:paraId="1E7BE887" w14:textId="3EFBBF93" w:rsidR="00704C59" w:rsidRPr="00704C59" w:rsidRDefault="00704C59" w:rsidP="00636FE1">
      <w:pPr>
        <w:pStyle w:val="Titre2"/>
      </w:pPr>
      <w:bookmarkStart w:id="56" w:name="_Toc339962348"/>
      <w:bookmarkStart w:id="57" w:name="_Toc387997719"/>
      <w:bookmarkStart w:id="58" w:name="_Toc143250915"/>
      <w:bookmarkStart w:id="59" w:name="_Toc187833030"/>
      <w:bookmarkStart w:id="60" w:name="_Toc211257286"/>
      <w:r w:rsidRPr="00704C59">
        <w:t>Variantes</w:t>
      </w:r>
      <w:bookmarkEnd w:id="56"/>
      <w:bookmarkEnd w:id="57"/>
      <w:bookmarkEnd w:id="58"/>
      <w:bookmarkEnd w:id="59"/>
      <w:bookmarkEnd w:id="60"/>
      <w:r w:rsidRPr="00704C59">
        <w:t xml:space="preserve"> </w:t>
      </w:r>
    </w:p>
    <w:p w14:paraId="129438EB" w14:textId="225BF322" w:rsidR="00704C59" w:rsidRPr="00F35F1C" w:rsidRDefault="00704C59" w:rsidP="00636FE1">
      <w:pPr>
        <w:rPr>
          <w:lang w:eastAsia="fr-FR"/>
        </w:rPr>
      </w:pPr>
      <w:r w:rsidRPr="00F35F1C">
        <w:rPr>
          <w:lang w:eastAsia="fr-FR"/>
        </w:rPr>
        <w:t xml:space="preserve">Les </w:t>
      </w:r>
      <w:r w:rsidRPr="00CD1135">
        <w:rPr>
          <w:lang w:eastAsia="fr-FR"/>
        </w:rPr>
        <w:t>variantes ne sont pas</w:t>
      </w:r>
      <w:r w:rsidRPr="00F35F1C">
        <w:rPr>
          <w:lang w:eastAsia="fr-FR"/>
        </w:rPr>
        <w:t xml:space="preserve"> autorisées dans </w:t>
      </w:r>
      <w:r w:rsidR="004377E4">
        <w:rPr>
          <w:lang w:eastAsia="fr-FR"/>
        </w:rPr>
        <w:t>cette procédure</w:t>
      </w:r>
      <w:r w:rsidRPr="00F35F1C">
        <w:rPr>
          <w:lang w:eastAsia="fr-FR"/>
        </w:rPr>
        <w:t>.</w:t>
      </w:r>
    </w:p>
    <w:p w14:paraId="0E614EDC" w14:textId="77777777" w:rsidR="00982BDC" w:rsidRPr="00FE37DE" w:rsidRDefault="00982BDC" w:rsidP="00636FE1">
      <w:pPr>
        <w:pStyle w:val="Titre2"/>
      </w:pPr>
      <w:bookmarkStart w:id="61" w:name="_Toc3879920"/>
      <w:bookmarkStart w:id="62" w:name="_Toc143250917"/>
      <w:bookmarkStart w:id="63" w:name="_Toc187833031"/>
      <w:bookmarkStart w:id="64" w:name="_Toc211257287"/>
      <w:bookmarkStart w:id="65" w:name="_Toc385402520"/>
      <w:bookmarkStart w:id="66" w:name="_Toc387997721"/>
      <w:r w:rsidRPr="00FE37DE">
        <w:t>Accord-cadre de prestations similaires</w:t>
      </w:r>
      <w:bookmarkEnd w:id="61"/>
      <w:bookmarkEnd w:id="62"/>
      <w:bookmarkEnd w:id="63"/>
      <w:bookmarkEnd w:id="64"/>
    </w:p>
    <w:p w14:paraId="461AFF99" w14:textId="0D4D7E6C" w:rsidR="00982BDC" w:rsidRPr="00055374" w:rsidRDefault="00982BDC" w:rsidP="00636FE1">
      <w:r w:rsidRPr="00C016C8">
        <w:rPr>
          <w:szCs w:val="24"/>
          <w:lang w:eastAsia="fr-FR"/>
        </w:rPr>
        <w:t xml:space="preserve">Conformément à l’article </w:t>
      </w:r>
      <w:r>
        <w:rPr>
          <w:szCs w:val="24"/>
          <w:lang w:eastAsia="fr-FR"/>
        </w:rPr>
        <w:t>R2122-7 du Code de la commande publique</w:t>
      </w:r>
      <w:r w:rsidRPr="00C016C8">
        <w:rPr>
          <w:rFonts w:cs="Calibri"/>
          <w:lang w:eastAsia="fr-FR"/>
        </w:rPr>
        <w:t xml:space="preserve">, </w:t>
      </w:r>
      <w:r w:rsidR="007A7A48">
        <w:t>la Cnam</w:t>
      </w:r>
      <w:r w:rsidRPr="00C016C8">
        <w:t xml:space="preserve"> se réserve le droit de passer un </w:t>
      </w:r>
      <w:r>
        <w:t>accord-cadre</w:t>
      </w:r>
      <w:r w:rsidRPr="00C016C8">
        <w:t xml:space="preserve"> sans publicité ni mise en concurrence préalables, ayant pour objet la réalisation de prestations similaires à celles qui sont confiées au titulaire d'un </w:t>
      </w:r>
      <w:r>
        <w:t>accord-cadre</w:t>
      </w:r>
      <w:r w:rsidRPr="00C016C8">
        <w:t xml:space="preserve"> précédent passé après mise en concurrence. </w:t>
      </w:r>
      <w:r w:rsidR="003855BB">
        <w:t xml:space="preserve">Les montants mentionnés à l’article </w:t>
      </w:r>
      <w:r w:rsidR="00AE07D6">
        <w:fldChar w:fldCharType="begin"/>
      </w:r>
      <w:r w:rsidR="00AE07D6">
        <w:instrText xml:space="preserve"> REF _Ref187676966 \r \h </w:instrText>
      </w:r>
      <w:r w:rsidR="00AE07D6">
        <w:fldChar w:fldCharType="separate"/>
      </w:r>
      <w:r w:rsidR="00FC00F4">
        <w:t>2.4</w:t>
      </w:r>
      <w:r w:rsidR="00AE07D6">
        <w:fldChar w:fldCharType="end"/>
      </w:r>
      <w:r w:rsidR="003855BB">
        <w:t xml:space="preserve"> du présent document</w:t>
      </w:r>
      <w:r w:rsidRPr="00C016C8">
        <w:t xml:space="preserve"> pren</w:t>
      </w:r>
      <w:r w:rsidR="003855BB">
        <w:t>nent</w:t>
      </w:r>
      <w:r w:rsidRPr="00C016C8">
        <w:t xml:space="preserve"> en compte le montant total envisagé, y compris celui des nouveaux services. La durée pendant laquelle le nouvel </w:t>
      </w:r>
      <w:r>
        <w:t>accord-cadre</w:t>
      </w:r>
      <w:r w:rsidRPr="00C016C8">
        <w:t xml:space="preserve"> peut être conclu ne dépasse pas trois ans à compter de la notification </w:t>
      </w:r>
      <w:r>
        <w:t xml:space="preserve">de l’accord-cadre </w:t>
      </w:r>
      <w:r w:rsidRPr="00C016C8">
        <w:t xml:space="preserve">initial. </w:t>
      </w:r>
      <w:r>
        <w:t xml:space="preserve">L’accord-cadre </w:t>
      </w:r>
      <w:r w:rsidRPr="00C016C8">
        <w:t xml:space="preserve">de prestations similaire aura une durée d’exécution de maximum </w:t>
      </w:r>
      <w:r w:rsidR="00CD1135">
        <w:t>4</w:t>
      </w:r>
      <w:r w:rsidR="009A4BB1">
        <w:t xml:space="preserve"> </w:t>
      </w:r>
      <w:r w:rsidRPr="00C016C8">
        <w:t>ans à compter de sa notification.</w:t>
      </w:r>
    </w:p>
    <w:p w14:paraId="14CC7AD5" w14:textId="77777777" w:rsidR="00704C59" w:rsidRPr="00704C59" w:rsidRDefault="00704C59" w:rsidP="00636FE1">
      <w:pPr>
        <w:pStyle w:val="Titre2"/>
      </w:pPr>
      <w:bookmarkStart w:id="67" w:name="_Toc143250918"/>
      <w:bookmarkStart w:id="68" w:name="_Toc187833032"/>
      <w:bookmarkStart w:id="69" w:name="_Toc211257288"/>
      <w:r w:rsidRPr="00704C59">
        <w:t>Unité monétaire</w:t>
      </w:r>
      <w:bookmarkEnd w:id="65"/>
      <w:bookmarkEnd w:id="66"/>
      <w:bookmarkEnd w:id="67"/>
      <w:bookmarkEnd w:id="68"/>
      <w:bookmarkEnd w:id="69"/>
    </w:p>
    <w:p w14:paraId="03910696" w14:textId="77777777" w:rsidR="00704C59" w:rsidRDefault="00704C59" w:rsidP="00636FE1">
      <w:r w:rsidRPr="003B5E38">
        <w:t>L’unité monétaire utilisée est l’euro.</w:t>
      </w:r>
    </w:p>
    <w:p w14:paraId="6DB66DB9" w14:textId="77777777" w:rsidR="00704C59" w:rsidRPr="00704C59" w:rsidRDefault="00704C59" w:rsidP="00636FE1">
      <w:pPr>
        <w:pStyle w:val="Titre2"/>
      </w:pPr>
      <w:bookmarkStart w:id="70" w:name="_Toc387997722"/>
      <w:bookmarkStart w:id="71" w:name="_Toc143250919"/>
      <w:bookmarkStart w:id="72" w:name="_Toc187833033"/>
      <w:bookmarkStart w:id="73" w:name="_Toc211257289"/>
      <w:r w:rsidRPr="00704C59">
        <w:t>Langue</w:t>
      </w:r>
      <w:bookmarkEnd w:id="70"/>
      <w:bookmarkEnd w:id="71"/>
      <w:bookmarkEnd w:id="72"/>
      <w:bookmarkEnd w:id="73"/>
    </w:p>
    <w:p w14:paraId="0A9C4C1E" w14:textId="2B14A7BE" w:rsidR="00A24559" w:rsidRDefault="00A24559" w:rsidP="00636FE1">
      <w:bookmarkStart w:id="74" w:name="_Toc339962349"/>
      <w:bookmarkStart w:id="75" w:name="_Toc387997723"/>
      <w:r>
        <w:t>En application des articles R2143-16 et R2151-12 du Code de la commande publique,</w:t>
      </w:r>
      <w:r w:rsidRPr="00080A25">
        <w:t xml:space="preserve"> </w:t>
      </w:r>
      <w:r>
        <w:t>l</w:t>
      </w:r>
      <w:r w:rsidRPr="00080A25">
        <w:t xml:space="preserve">es candidatures et les offres des candidats </w:t>
      </w:r>
      <w:r w:rsidR="00C10AB2">
        <w:t>doivent être</w:t>
      </w:r>
      <w:r w:rsidRPr="00080A25">
        <w:t xml:space="preserve"> entièrement rédigées en langue française, ou</w:t>
      </w:r>
      <w:r>
        <w:t xml:space="preserve"> </w:t>
      </w:r>
      <w:r w:rsidRPr="00080A25">
        <w:t>accompagné</w:t>
      </w:r>
      <w:r>
        <w:t>es d’une traduction en français</w:t>
      </w:r>
      <w:r w:rsidRPr="00080A25">
        <w:t>.</w:t>
      </w:r>
    </w:p>
    <w:p w14:paraId="2920E2C2" w14:textId="3A51A365" w:rsidR="00704C59" w:rsidRPr="00704C59" w:rsidRDefault="00B93247" w:rsidP="00B93247">
      <w:pPr>
        <w:pStyle w:val="Titre2"/>
      </w:pPr>
      <w:bookmarkStart w:id="76" w:name="_Toc187833034"/>
      <w:bookmarkStart w:id="77" w:name="_Toc211257290"/>
      <w:bookmarkEnd w:id="74"/>
      <w:bookmarkEnd w:id="75"/>
      <w:r w:rsidRPr="00B93247">
        <w:t>Généralités sur les candidatures et les offres</w:t>
      </w:r>
      <w:bookmarkEnd w:id="76"/>
      <w:bookmarkEnd w:id="77"/>
    </w:p>
    <w:p w14:paraId="2F6DF3F8" w14:textId="77777777" w:rsidR="00B93247" w:rsidRDefault="00B93247" w:rsidP="00B93247">
      <w:r>
        <w:t>Le candidat présente</w:t>
      </w:r>
      <w:r w:rsidRPr="00FF560A">
        <w:t xml:space="preserve"> un dossier conforme à l’article 5 du présent RC.</w:t>
      </w:r>
    </w:p>
    <w:p w14:paraId="4BAEC41A" w14:textId="77777777" w:rsidR="00B93247" w:rsidRDefault="00B93247" w:rsidP="00B93247">
      <w:pPr>
        <w:rPr>
          <w:lang w:eastAsia="fr-FR"/>
        </w:rPr>
      </w:pPr>
      <w:r>
        <w:rPr>
          <w:lang w:eastAsia="fr-FR"/>
        </w:rPr>
        <w:t>La Cnam n’exige pas la signature des candidatures et des offres : celles-ci peuvent donc être déposées sans signature.</w:t>
      </w:r>
    </w:p>
    <w:p w14:paraId="5F417AB3" w14:textId="11BB8159" w:rsidR="00E349C6" w:rsidRPr="00E349C6" w:rsidRDefault="00B93247" w:rsidP="00B93247">
      <w:pPr>
        <w:rPr>
          <w:lang w:eastAsia="fr-FR"/>
        </w:rPr>
      </w:pPr>
      <w:r>
        <w:rPr>
          <w:lang w:eastAsia="fr-FR"/>
        </w:rPr>
        <w:t>L’accord-cadre est signé par l’attributaire : il est demandé à ce dernier d’apposer sa signature sur l’acte d’engagement, à l’issue de la procédure. La Cnam privilégie</w:t>
      </w:r>
      <w:r w:rsidR="00C831E9" w:rsidRPr="00C831E9">
        <w:rPr>
          <w:lang w:eastAsia="fr-FR"/>
        </w:rPr>
        <w:t xml:space="preserve"> la signature électronique dans les conditions mentionnées à l’article </w:t>
      </w:r>
      <w:r w:rsidR="00740A66">
        <w:rPr>
          <w:highlight w:val="yellow"/>
          <w:lang w:eastAsia="fr-FR"/>
        </w:rPr>
        <w:fldChar w:fldCharType="begin"/>
      </w:r>
      <w:r w:rsidR="00740A66">
        <w:rPr>
          <w:lang w:eastAsia="fr-FR"/>
        </w:rPr>
        <w:instrText xml:space="preserve"> REF _Ref143265958 \r \h </w:instrText>
      </w:r>
      <w:r w:rsidR="00740A66">
        <w:rPr>
          <w:highlight w:val="yellow"/>
          <w:lang w:eastAsia="fr-FR"/>
        </w:rPr>
      </w:r>
      <w:r w:rsidR="00740A66">
        <w:rPr>
          <w:highlight w:val="yellow"/>
          <w:lang w:eastAsia="fr-FR"/>
        </w:rPr>
        <w:fldChar w:fldCharType="separate"/>
      </w:r>
      <w:r w:rsidR="00FC00F4">
        <w:rPr>
          <w:lang w:eastAsia="fr-FR"/>
        </w:rPr>
        <w:t>6.2.6</w:t>
      </w:r>
      <w:r w:rsidR="00740A66">
        <w:rPr>
          <w:highlight w:val="yellow"/>
          <w:lang w:eastAsia="fr-FR"/>
        </w:rPr>
        <w:fldChar w:fldCharType="end"/>
      </w:r>
      <w:r w:rsidR="00740A66" w:rsidRPr="00740A66">
        <w:rPr>
          <w:lang w:eastAsia="fr-FR"/>
        </w:rPr>
        <w:t>.</w:t>
      </w:r>
    </w:p>
    <w:p w14:paraId="6E0D1F4F" w14:textId="6E32396A" w:rsidR="00E349C6" w:rsidRPr="00E349C6" w:rsidRDefault="00E349C6" w:rsidP="00636FE1">
      <w:pPr>
        <w:rPr>
          <w:lang w:eastAsia="fr-FR"/>
        </w:rPr>
      </w:pPr>
      <w:r w:rsidRPr="00E349C6">
        <w:rPr>
          <w:lang w:eastAsia="fr-FR"/>
        </w:rPr>
        <w:t xml:space="preserve">Il convient de préciser que la remise d’une offre par l’opérateur économique exprime la volonté de son auteur d'être lié en cas d'acceptation de son offre. Cette dernière ne peut être rétractée pendant </w:t>
      </w:r>
      <w:r w:rsidRPr="00E349C6">
        <w:rPr>
          <w:lang w:eastAsia="fr-FR"/>
        </w:rPr>
        <w:lastRenderedPageBreak/>
        <w:t xml:space="preserve">toute la durée de validité des offres telle qu’indiquée </w:t>
      </w:r>
      <w:r w:rsidRPr="001C4B71">
        <w:rPr>
          <w:lang w:eastAsia="fr-FR"/>
        </w:rPr>
        <w:t xml:space="preserve">à l’article </w:t>
      </w:r>
      <w:r w:rsidR="00AB49B7">
        <w:rPr>
          <w:lang w:eastAsia="fr-FR"/>
        </w:rPr>
        <w:fldChar w:fldCharType="begin"/>
      </w:r>
      <w:r w:rsidR="00AB49B7">
        <w:rPr>
          <w:lang w:eastAsia="fr-FR"/>
        </w:rPr>
        <w:instrText xml:space="preserve"> REF _Ref187066911 \r \h </w:instrText>
      </w:r>
      <w:r w:rsidR="00AB49B7">
        <w:rPr>
          <w:lang w:eastAsia="fr-FR"/>
        </w:rPr>
      </w:r>
      <w:r w:rsidR="00AB49B7">
        <w:rPr>
          <w:lang w:eastAsia="fr-FR"/>
        </w:rPr>
        <w:fldChar w:fldCharType="separate"/>
      </w:r>
      <w:r w:rsidR="00FC00F4">
        <w:rPr>
          <w:lang w:eastAsia="fr-FR"/>
        </w:rPr>
        <w:t>2.6</w:t>
      </w:r>
      <w:r w:rsidR="00AB49B7">
        <w:rPr>
          <w:lang w:eastAsia="fr-FR"/>
        </w:rPr>
        <w:fldChar w:fldCharType="end"/>
      </w:r>
      <w:r w:rsidRPr="001C4B71">
        <w:rPr>
          <w:lang w:eastAsia="fr-FR"/>
        </w:rPr>
        <w:t xml:space="preserve"> du</w:t>
      </w:r>
      <w:r w:rsidRPr="00E349C6">
        <w:rPr>
          <w:lang w:eastAsia="fr-FR"/>
        </w:rPr>
        <w:t xml:space="preserve"> </w:t>
      </w:r>
      <w:r w:rsidR="00AB49B7">
        <w:rPr>
          <w:lang w:eastAsia="fr-FR"/>
        </w:rPr>
        <w:t xml:space="preserve">présent </w:t>
      </w:r>
      <w:r w:rsidRPr="00E349C6">
        <w:rPr>
          <w:lang w:eastAsia="fr-FR"/>
        </w:rPr>
        <w:t>Règlement et que l’opérateur économique reconnaît avoir ac</w:t>
      </w:r>
      <w:r w:rsidR="00AB49B7">
        <w:rPr>
          <w:lang w:eastAsia="fr-FR"/>
        </w:rPr>
        <w:t>ceptée par la seule remise d’un dossier de candidature et d’offre</w:t>
      </w:r>
      <w:r w:rsidRPr="00E349C6">
        <w:rPr>
          <w:lang w:eastAsia="fr-FR"/>
        </w:rPr>
        <w:t>.</w:t>
      </w:r>
    </w:p>
    <w:p w14:paraId="08770453" w14:textId="328950E8" w:rsidR="00E349C6" w:rsidRPr="00E349C6" w:rsidRDefault="00E349C6" w:rsidP="00636FE1">
      <w:pPr>
        <w:rPr>
          <w:lang w:eastAsia="fr-FR"/>
        </w:rPr>
      </w:pPr>
      <w:r w:rsidRPr="00E349C6">
        <w:rPr>
          <w:lang w:eastAsia="fr-FR"/>
        </w:rPr>
        <w:t xml:space="preserve">L’opérateur économique </w:t>
      </w:r>
      <w:r w:rsidR="00C831E9">
        <w:rPr>
          <w:lang w:eastAsia="fr-FR"/>
        </w:rPr>
        <w:t xml:space="preserve">attributaire </w:t>
      </w:r>
      <w:r w:rsidRPr="00E349C6">
        <w:rPr>
          <w:lang w:eastAsia="fr-FR"/>
        </w:rPr>
        <w:t xml:space="preserve">s’engage, sous réserve de son acceptation par </w:t>
      </w:r>
      <w:r w:rsidR="00AB49B7">
        <w:rPr>
          <w:lang w:eastAsia="fr-FR"/>
        </w:rPr>
        <w:t>la Cnam</w:t>
      </w:r>
      <w:r w:rsidRPr="00E349C6">
        <w:rPr>
          <w:lang w:eastAsia="fr-FR"/>
        </w:rPr>
        <w:t xml:space="preserve"> dans le délai de validité des offres, à signer l’acte d’engagement dans un délai qui sera </w:t>
      </w:r>
      <w:r w:rsidR="00431C18">
        <w:rPr>
          <w:lang w:eastAsia="fr-FR"/>
        </w:rPr>
        <w:t xml:space="preserve">fixé au courrier d’attribution </w:t>
      </w:r>
      <w:r w:rsidRPr="00E349C6">
        <w:rPr>
          <w:lang w:eastAsia="fr-FR"/>
        </w:rPr>
        <w:t>déposé sur la p</w:t>
      </w:r>
      <w:r w:rsidR="00431C18">
        <w:rPr>
          <w:lang w:eastAsia="fr-FR"/>
        </w:rPr>
        <w:t>lateforme</w:t>
      </w:r>
      <w:r w:rsidRPr="00E349C6">
        <w:rPr>
          <w:lang w:eastAsia="fr-FR"/>
        </w:rPr>
        <w:t xml:space="preserve">. Le non-respect de ce délai emportera, de plein droit et sans autre formalité, renonciation implicite de l’opérateur économique à son engagement et, par suite, rétractation de son offre. </w:t>
      </w:r>
    </w:p>
    <w:p w14:paraId="58EDA9E9" w14:textId="4D5033F6" w:rsidR="00DF797B" w:rsidRDefault="00E349C6" w:rsidP="00636FE1">
      <w:pPr>
        <w:rPr>
          <w:lang w:eastAsia="fr-FR"/>
        </w:rPr>
      </w:pPr>
      <w:r w:rsidRPr="00E349C6">
        <w:rPr>
          <w:lang w:eastAsia="fr-FR"/>
        </w:rPr>
        <w:t xml:space="preserve">Au cas où l’opérateur économique viendrait à rétracter son offre, il engage sa responsabilité extracontractuelle à l’égard </w:t>
      </w:r>
      <w:r w:rsidR="00AB49B7">
        <w:rPr>
          <w:lang w:eastAsia="fr-FR"/>
        </w:rPr>
        <w:t>de la Cnam, la</w:t>
      </w:r>
      <w:r w:rsidRPr="00E349C6">
        <w:rPr>
          <w:lang w:eastAsia="fr-FR"/>
        </w:rPr>
        <w:t>quel</w:t>
      </w:r>
      <w:r w:rsidR="00AB49B7">
        <w:rPr>
          <w:lang w:eastAsia="fr-FR"/>
        </w:rPr>
        <w:t>le</w:t>
      </w:r>
      <w:r w:rsidRPr="00E349C6">
        <w:rPr>
          <w:lang w:eastAsia="fr-FR"/>
        </w:rPr>
        <w:t xml:space="preserve"> se réserve, en conséquence, la faculté d’exercer tous droits et actions qu’</w:t>
      </w:r>
      <w:r w:rsidR="00AB49B7">
        <w:rPr>
          <w:lang w:eastAsia="fr-FR"/>
        </w:rPr>
        <w:t>elle</w:t>
      </w:r>
      <w:r w:rsidRPr="00E349C6">
        <w:rPr>
          <w:lang w:eastAsia="fr-FR"/>
        </w:rPr>
        <w:t xml:space="preserve"> jugera utiles pour obtenir réparation du préjudice subi.</w:t>
      </w:r>
    </w:p>
    <w:p w14:paraId="309C2D9B" w14:textId="10923CDA" w:rsidR="00704C59" w:rsidRPr="00704C59" w:rsidRDefault="00704C59" w:rsidP="00636FE1">
      <w:pPr>
        <w:pStyle w:val="Titre1"/>
      </w:pPr>
      <w:bookmarkStart w:id="78" w:name="_Toc387997724"/>
      <w:bookmarkStart w:id="79" w:name="_Toc143250921"/>
      <w:bookmarkStart w:id="80" w:name="_Toc187833035"/>
      <w:bookmarkStart w:id="81" w:name="_Toc211257291"/>
      <w:bookmarkStart w:id="82" w:name="_Toc274313315"/>
      <w:bookmarkStart w:id="83" w:name="_Toc385402524"/>
      <w:r w:rsidRPr="00704C59">
        <w:t>C</w:t>
      </w:r>
      <w:r w:rsidR="007A594F">
        <w:t>onditions re</w:t>
      </w:r>
      <w:r w:rsidR="00060320">
        <w:t>la</w:t>
      </w:r>
      <w:r w:rsidR="007A594F">
        <w:t>t</w:t>
      </w:r>
      <w:r w:rsidR="00060320">
        <w:t>i</w:t>
      </w:r>
      <w:r w:rsidR="007A594F">
        <w:t>ves à l’accord-cadre</w:t>
      </w:r>
      <w:bookmarkEnd w:id="78"/>
      <w:bookmarkEnd w:id="79"/>
      <w:bookmarkEnd w:id="80"/>
      <w:bookmarkEnd w:id="81"/>
    </w:p>
    <w:p w14:paraId="728E649A" w14:textId="77777777" w:rsidR="00704C59" w:rsidRPr="00E103FC" w:rsidRDefault="00704C59" w:rsidP="00636FE1">
      <w:pPr>
        <w:pStyle w:val="Titre2"/>
      </w:pPr>
      <w:bookmarkStart w:id="84" w:name="_Toc387997725"/>
      <w:bookmarkStart w:id="85" w:name="_Toc143250922"/>
      <w:bookmarkStart w:id="86" w:name="_Toc187833036"/>
      <w:bookmarkStart w:id="87" w:name="_Toc211257292"/>
      <w:r w:rsidRPr="00E103FC">
        <w:t>Forme juridique du groupement</w:t>
      </w:r>
      <w:bookmarkEnd w:id="82"/>
      <w:bookmarkEnd w:id="83"/>
      <w:bookmarkEnd w:id="84"/>
      <w:bookmarkEnd w:id="85"/>
      <w:bookmarkEnd w:id="86"/>
      <w:bookmarkEnd w:id="87"/>
    </w:p>
    <w:p w14:paraId="5BB66B38" w14:textId="5E1AB9D9" w:rsidR="00211DD3" w:rsidRPr="006A7DDE" w:rsidRDefault="00211DD3" w:rsidP="00636FE1">
      <w:r w:rsidRPr="009910A9">
        <w:rPr>
          <w:rFonts w:cs="Calibri"/>
        </w:rPr>
        <w:t xml:space="preserve">En cas de candidature groupée, les </w:t>
      </w:r>
      <w:r>
        <w:t xml:space="preserve">pièces et documents exigés en application de l’article </w:t>
      </w:r>
      <w:r w:rsidR="003F46C7">
        <w:fldChar w:fldCharType="begin"/>
      </w:r>
      <w:r w:rsidR="003F46C7">
        <w:instrText xml:space="preserve"> REF _Ref187067331 \r \h </w:instrText>
      </w:r>
      <w:r w:rsidR="003F46C7">
        <w:fldChar w:fldCharType="separate"/>
      </w:r>
      <w:r w:rsidR="00FC00F4">
        <w:t>5.1</w:t>
      </w:r>
      <w:r w:rsidR="003F46C7">
        <w:fldChar w:fldCharType="end"/>
      </w:r>
      <w:r w:rsidR="003F46C7">
        <w:t xml:space="preserve"> </w:t>
      </w:r>
      <w:r w:rsidRPr="009910A9">
        <w:rPr>
          <w:rFonts w:cs="Calibri"/>
        </w:rPr>
        <w:t>sont produits par chacun des co-traitants</w:t>
      </w:r>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1E91563B" w14:textId="39569954" w:rsidR="00211DD3" w:rsidRPr="009910A9" w:rsidRDefault="003F46C7" w:rsidP="00636FE1">
      <w:pPr>
        <w:rPr>
          <w:snapToGrid w:val="0"/>
        </w:rPr>
      </w:pPr>
      <w:r>
        <w:t>Un courrier indique</w:t>
      </w:r>
      <w:r w:rsidR="00211DD3" w:rsidRPr="009910A9">
        <w:t xml:space="preserve"> précisément la nature du groupement et la désignation du mandataire. Il est possible à cet effet de fournir le DC1 ou é</w:t>
      </w:r>
      <w:r w:rsidR="00211DD3">
        <w:t>quivalent.</w:t>
      </w:r>
    </w:p>
    <w:p w14:paraId="48A5CCA8" w14:textId="5E520285" w:rsidR="00211DD3" w:rsidRPr="009910A9" w:rsidRDefault="00211DD3" w:rsidP="00636FE1">
      <w:pPr>
        <w:rPr>
          <w:lang w:eastAsia="fr-FR"/>
        </w:rPr>
      </w:pPr>
      <w:r w:rsidRPr="009910A9">
        <w:t xml:space="preserve">Conformément </w:t>
      </w:r>
      <w:r>
        <w:t xml:space="preserve">aux articles </w:t>
      </w:r>
      <w:r w:rsidR="00230F9B">
        <w:t>R</w:t>
      </w:r>
      <w:r>
        <w:t>2142-21 et R2151-7</w:t>
      </w:r>
      <w:r w:rsidRPr="006E2576">
        <w:t xml:space="preserve"> du </w:t>
      </w:r>
      <w:r>
        <w:t>Code de la commande publique</w:t>
      </w:r>
      <w:r w:rsidRPr="009910A9">
        <w:t xml:space="preserve">, </w:t>
      </w:r>
      <w:r w:rsidRPr="009910A9">
        <w:rPr>
          <w:lang w:eastAsia="fr-FR"/>
        </w:rPr>
        <w:t>il est interdit aux candidats de présenter</w:t>
      </w:r>
      <w:r w:rsidR="003F46C7">
        <w:rPr>
          <w:lang w:eastAsia="fr-FR"/>
        </w:rPr>
        <w:t>,</w:t>
      </w:r>
      <w:r w:rsidRPr="009910A9">
        <w:rPr>
          <w:lang w:eastAsia="fr-FR"/>
        </w:rPr>
        <w:t xml:space="preserve"> pour un même </w:t>
      </w:r>
      <w:r w:rsidR="00F337CD">
        <w:rPr>
          <w:lang w:eastAsia="fr-FR"/>
        </w:rPr>
        <w:t>lot</w:t>
      </w:r>
      <w:r w:rsidR="003F46C7">
        <w:rPr>
          <w:lang w:eastAsia="fr-FR"/>
        </w:rPr>
        <w:t>,</w:t>
      </w:r>
      <w:r w:rsidRPr="009910A9">
        <w:rPr>
          <w:lang w:eastAsia="fr-FR"/>
        </w:rPr>
        <w:t xml:space="preserve"> plusieurs offres à la fois comme candidat individuel et comme membre d’un groupement, ou en qualité de membres de plusieurs groupements.</w:t>
      </w:r>
    </w:p>
    <w:p w14:paraId="1BA92C3D" w14:textId="77777777" w:rsidR="00211DD3" w:rsidRPr="00B63AB8" w:rsidRDefault="00211DD3" w:rsidP="00636FE1">
      <w:pPr>
        <w:rPr>
          <w:rFonts w:eastAsia="Times New Roman"/>
          <w:lang w:eastAsia="fr-FR"/>
        </w:rPr>
      </w:pPr>
      <w:r w:rsidRPr="00B63AB8">
        <w:t xml:space="preserve">Conformément à l’article </w:t>
      </w:r>
      <w:r>
        <w:t>R2142-3 du Code de la commande publique</w:t>
      </w:r>
      <w:r w:rsidRPr="00B63AB8">
        <w:t>, le candidat, même s’il s’agit d’un groupement, peut demander que soient également prises en compte les capacités professionnelles, techniques et financières d’autres opérateurs économiques, quelle que soit la nature juridique des liens entre eux.</w:t>
      </w:r>
    </w:p>
    <w:p w14:paraId="4412E685" w14:textId="77777777" w:rsidR="00211DD3" w:rsidRDefault="00211DD3" w:rsidP="00636FE1">
      <w:r w:rsidRPr="00B63AB8">
        <w:t xml:space="preserve">Dans ce cas, il doit justifier des capacités de ce ou ces opérateurs économiques et apporter la preuve qu’il </w:t>
      </w:r>
      <w:r w:rsidR="00C22D11">
        <w:t>en disposera pour l’exécution de l’accord-cadre</w:t>
      </w:r>
      <w:r w:rsidRPr="00B63AB8">
        <w:t>. Pour ce faire, le candidat produit les mêmes documents concernant l’opérateur économique que ceux qui lui sont exigés, et produit un engagement écrit de l’opérateur économique.</w:t>
      </w:r>
    </w:p>
    <w:p w14:paraId="2422454C" w14:textId="77777777" w:rsidR="00211DD3" w:rsidRDefault="00211DD3" w:rsidP="00636FE1">
      <w:pPr>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22D11">
        <w:t>accord-cadre</w:t>
      </w:r>
      <w:r>
        <w:rPr>
          <w:rFonts w:cs="Calibri"/>
        </w:rPr>
        <w:t>.</w:t>
      </w:r>
    </w:p>
    <w:p w14:paraId="51C94B4D" w14:textId="5514116C" w:rsidR="00211DD3" w:rsidRPr="00771E33" w:rsidRDefault="00230F9B" w:rsidP="00636FE1">
      <w:r>
        <w:t>Conformément à l’article R</w:t>
      </w:r>
      <w:r w:rsidR="00211DD3" w:rsidRPr="00771E33">
        <w:t xml:space="preserve">2142-23, un même opérateur économique ne peut pas être mandataire de plus d'un groupement pour un même </w:t>
      </w:r>
      <w:r w:rsidR="00C22D11">
        <w:t>accord-cadre</w:t>
      </w:r>
      <w:r w:rsidR="006256CD">
        <w:t>.</w:t>
      </w:r>
    </w:p>
    <w:p w14:paraId="325AA8E2" w14:textId="47196BCA" w:rsidR="00C22D11" w:rsidRPr="00771E33" w:rsidRDefault="00230F9B" w:rsidP="00636FE1">
      <w:r>
        <w:t>En vertu de l’article R</w:t>
      </w:r>
      <w:r w:rsidR="00211DD3" w:rsidRPr="00771E33">
        <w:t>2142-25, l'appréciation des capacités d'un groupement d'opérateurs économiques est globale. Il n'est pas exigé que chaque membre du groupement ait la totalité des capa</w:t>
      </w:r>
      <w:r w:rsidR="00C22D11">
        <w:t>cités requises pour exécuter l’accord-cadre.</w:t>
      </w:r>
    </w:p>
    <w:p w14:paraId="5B0DACC2" w14:textId="77777777" w:rsidR="00124AD4" w:rsidRPr="00124AD4" w:rsidRDefault="00704C59" w:rsidP="00636FE1">
      <w:pPr>
        <w:pStyle w:val="Titre2"/>
      </w:pPr>
      <w:bookmarkStart w:id="88" w:name="_Toc274313316"/>
      <w:bookmarkStart w:id="89" w:name="_Toc385402525"/>
      <w:bookmarkStart w:id="90" w:name="_Toc387997726"/>
      <w:bookmarkStart w:id="91" w:name="_Toc143250923"/>
      <w:bookmarkStart w:id="92" w:name="_Toc187833037"/>
      <w:bookmarkStart w:id="93" w:name="_Toc211257293"/>
      <w:r w:rsidRPr="00704C59">
        <w:t>Sous-traitance</w:t>
      </w:r>
      <w:bookmarkEnd w:id="88"/>
      <w:bookmarkEnd w:id="89"/>
      <w:bookmarkEnd w:id="90"/>
      <w:bookmarkEnd w:id="91"/>
      <w:bookmarkEnd w:id="92"/>
      <w:bookmarkEnd w:id="93"/>
    </w:p>
    <w:p w14:paraId="36A97355" w14:textId="77777777" w:rsidR="00C22D11" w:rsidRDefault="00C22D11" w:rsidP="00636FE1">
      <w:r>
        <w:t>Il est fait application des articles L2193-1 à L2193-14 et R2193-1 à R2193-22 du code de la commande publique.</w:t>
      </w:r>
    </w:p>
    <w:p w14:paraId="1DBA4A17" w14:textId="77777777" w:rsidR="00704C59" w:rsidRPr="00FE0C6E" w:rsidRDefault="00704C59" w:rsidP="00636FE1">
      <w:r w:rsidRPr="00FE0C6E">
        <w:lastRenderedPageBreak/>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EB90F67" w14:textId="77777777" w:rsidR="00C4123F" w:rsidRPr="00FE0C6E" w:rsidRDefault="00C4123F" w:rsidP="00636FE1">
      <w:pPr>
        <w:rPr>
          <w:rFonts w:cs="Calibri"/>
        </w:rPr>
      </w:pPr>
      <w:r w:rsidRPr="00DF1495">
        <w:rPr>
          <w:rFonts w:cs="Calibri"/>
          <w:shd w:val="clear" w:color="auto" w:fill="FFFFFF"/>
        </w:rPr>
        <w:t xml:space="preserve">De plus, conformément </w:t>
      </w:r>
      <w:r w:rsidR="00734266" w:rsidRPr="00093062">
        <w:rPr>
          <w:lang w:eastAsia="fr-FR"/>
        </w:rPr>
        <w:t>à l’article R2143-11</w:t>
      </w:r>
      <w:r w:rsidR="00734266">
        <w:rPr>
          <w:lang w:eastAsia="fr-FR"/>
        </w:rPr>
        <w:t xml:space="preserve"> du Code de la commande publique</w:t>
      </w:r>
      <w:r w:rsidR="00734266" w:rsidRPr="00093062">
        <w:rPr>
          <w:lang w:eastAsia="fr-FR"/>
        </w:rPr>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Pr>
          <w:rFonts w:cs="Calibri"/>
          <w:shd w:val="clear" w:color="auto" w:fill="FFFFFF"/>
        </w:rPr>
        <w:t>de l’</w:t>
      </w:r>
      <w:r w:rsidRPr="00DF1495">
        <w:rPr>
          <w:rFonts w:cs="Calibri"/>
          <w:shd w:val="clear" w:color="auto" w:fill="FFFFFF"/>
        </w:rPr>
        <w:t>accord-cadre.</w:t>
      </w:r>
    </w:p>
    <w:p w14:paraId="6C909AFD" w14:textId="77777777" w:rsidR="00704C59" w:rsidRPr="00FE0C6E" w:rsidRDefault="00704C59" w:rsidP="00636FE1">
      <w:r w:rsidRPr="00FE0C6E">
        <w:t>Enfin, le candidat doit fournir à la personne publique contractante le DC4 dûment signé, ou une déclaration signée mentionnant :</w:t>
      </w:r>
    </w:p>
    <w:p w14:paraId="0296BB13" w14:textId="4A941C33" w:rsidR="00704C59" w:rsidRPr="001D1579" w:rsidRDefault="00704C59" w:rsidP="001D1579">
      <w:pPr>
        <w:pStyle w:val="Puce1"/>
      </w:pPr>
      <w:r w:rsidRPr="001D1579">
        <w:t>La nature et le montant des prestations sous-traitées ;</w:t>
      </w:r>
    </w:p>
    <w:p w14:paraId="6B936F63" w14:textId="1D296225" w:rsidR="00704C59" w:rsidRPr="001D1579" w:rsidRDefault="00704C59" w:rsidP="001D1579">
      <w:pPr>
        <w:pStyle w:val="Puce1"/>
      </w:pPr>
      <w:r w:rsidRPr="001D1579">
        <w:t>Le nom, la raison ou la dénomination sociale et l’adresse du sous-traitant proposé ;</w:t>
      </w:r>
    </w:p>
    <w:p w14:paraId="12251E9C" w14:textId="692C32F5" w:rsidR="00704C59" w:rsidRPr="001D1579" w:rsidRDefault="00704C59" w:rsidP="001D1579">
      <w:pPr>
        <w:pStyle w:val="Puce1"/>
      </w:pPr>
      <w:r w:rsidRPr="001D1579">
        <w:t xml:space="preserve">Les conditions de paiement prévues par le projet de contrat de sous-traitance, et, le cas </w:t>
      </w:r>
      <w:r w:rsidR="00BF1231" w:rsidRPr="001D1579">
        <w:t>é</w:t>
      </w:r>
      <w:r w:rsidRPr="001D1579">
        <w:t>chéant, les modalités de variation des prix ;</w:t>
      </w:r>
    </w:p>
    <w:p w14:paraId="3513F19B" w14:textId="6592C97B" w:rsidR="00704C59" w:rsidRPr="001D1579" w:rsidRDefault="00704C59" w:rsidP="001D1579">
      <w:pPr>
        <w:pStyle w:val="Puce1"/>
      </w:pPr>
      <w:r w:rsidRPr="001D1579">
        <w:t>Les capacités techniques professionnelles et financières du sous-traitant</w:t>
      </w:r>
      <w:r w:rsidR="00630B29" w:rsidRPr="001D1579">
        <w:t>.</w:t>
      </w:r>
    </w:p>
    <w:p w14:paraId="5928A438" w14:textId="5FC9BC24" w:rsidR="00C4123F" w:rsidRPr="00DF1495" w:rsidRDefault="00DA76FE" w:rsidP="00636FE1">
      <w:r>
        <w:t>Il est à noter que le t</w:t>
      </w:r>
      <w:r w:rsidR="00704C59" w:rsidRPr="00FE0C6E">
        <w:t>itulaire</w:t>
      </w:r>
      <w:r>
        <w:t xml:space="preserve"> d’un accord-cadre</w:t>
      </w:r>
      <w:r w:rsidR="00704C59" w:rsidRPr="00FE0C6E">
        <w:t xml:space="preserve"> </w:t>
      </w:r>
      <w:r>
        <w:t>peut</w:t>
      </w:r>
      <w:r w:rsidR="00704C59" w:rsidRPr="00FE0C6E">
        <w:t xml:space="preserve"> sous-traiter l’exécution de certaines </w:t>
      </w:r>
      <w:r w:rsidR="00747CD6" w:rsidRPr="00FE0C6E">
        <w:t>prestations</w:t>
      </w:r>
      <w:r w:rsidR="00704C59" w:rsidRPr="00FE0C6E">
        <w:t>, sous réserve de l’acceptation du ou de</w:t>
      </w:r>
      <w:r w:rsidR="00173B5B">
        <w:t>s sous-traitant(s) par la Cnam</w:t>
      </w:r>
      <w:r w:rsidR="00704C59" w:rsidRPr="00FE0C6E">
        <w:t xml:space="preserve"> et de l’agrément par elle des conditions de paiements</w:t>
      </w:r>
      <w:r w:rsidR="00342564">
        <w:t>,</w:t>
      </w:r>
      <w:r w:rsidR="00704C59" w:rsidRPr="00FE0C6E">
        <w:t xml:space="preserve"> conformément à la loi n° 75-1334 du 31 décembre 1975 modifiée relative à la sous-traitance e</w:t>
      </w:r>
      <w:r w:rsidR="00C22D11" w:rsidRPr="00C22D11">
        <w:t xml:space="preserve"> </w:t>
      </w:r>
      <w:r w:rsidR="00C22D11">
        <w:t>codifiée dans les articles précités du code de la commande publique</w:t>
      </w:r>
      <w:r w:rsidR="00C4123F" w:rsidRPr="00DF1495">
        <w:t>.</w:t>
      </w:r>
    </w:p>
    <w:p w14:paraId="0730DB2E" w14:textId="0C8837B3" w:rsidR="00C4123F" w:rsidRDefault="00C4123F" w:rsidP="00636FE1">
      <w:r w:rsidRPr="00C4123F">
        <w:t>En cas de r</w:t>
      </w:r>
      <w:r w:rsidR="00DA76FE">
        <w:t>ecours à la sous-traitance, le t</w:t>
      </w:r>
      <w:r w:rsidRPr="00C4123F">
        <w:t xml:space="preserve">itulaire s’engage à faire respecter à ses sous-traitants l’ensemble des clauses de l’accord-cadre. Le </w:t>
      </w:r>
      <w:r w:rsidR="00DA76FE">
        <w:t>t</w:t>
      </w:r>
      <w:r w:rsidRPr="00C4123F">
        <w:t xml:space="preserve">itulaire demeure entièrement responsable vis-à-vis </w:t>
      </w:r>
      <w:r w:rsidR="00173B5B">
        <w:t>de la Cnam</w:t>
      </w:r>
      <w:r w:rsidRPr="00C4123F">
        <w:t xml:space="preserve"> des prestations sous-traitées.</w:t>
      </w:r>
      <w:r>
        <w:t xml:space="preserve"> </w:t>
      </w:r>
    </w:p>
    <w:p w14:paraId="78551739" w14:textId="77777777" w:rsidR="00C4123F" w:rsidRDefault="00C4123F" w:rsidP="00636FE1">
      <w:r w:rsidRPr="00DF1495">
        <w:t>La so</w:t>
      </w:r>
      <w:r>
        <w:t xml:space="preserve">us-traitance de la totalité de l’accord-cadre </w:t>
      </w:r>
      <w:r w:rsidRPr="00DF1495">
        <w:t>est interdite.</w:t>
      </w:r>
    </w:p>
    <w:p w14:paraId="7368E9A7" w14:textId="77777777" w:rsidR="00A42F51" w:rsidRPr="00A42F51" w:rsidRDefault="00A42F51" w:rsidP="00636FE1">
      <w:pPr>
        <w:pStyle w:val="Titre2"/>
      </w:pPr>
      <w:bookmarkStart w:id="94" w:name="_Toc143250924"/>
      <w:bookmarkStart w:id="95" w:name="_Toc187833038"/>
      <w:bookmarkStart w:id="96" w:name="_Toc211257294"/>
      <w:r w:rsidRPr="00A42F51">
        <w:t>Liens des titulaires (et leurs sous-traitants) avec la Russie</w:t>
      </w:r>
      <w:bookmarkEnd w:id="94"/>
      <w:bookmarkEnd w:id="95"/>
      <w:bookmarkEnd w:id="96"/>
    </w:p>
    <w:p w14:paraId="1AD8A6ED" w14:textId="4671A4E3" w:rsidR="00A42F51" w:rsidRPr="00D20CF6" w:rsidRDefault="00A42F51" w:rsidP="00636FE1">
      <w:r w:rsidRPr="00A42F51">
        <w:rPr>
          <w:rStyle w:val="lev"/>
          <w:rFonts w:cs="Calibri"/>
          <w:b w:val="0"/>
        </w:rPr>
        <w:t>Il est par ailleurs rappelé que la présente consultation entre dans le champ d’application du</w:t>
      </w:r>
      <w:r w:rsidR="00DA76FE">
        <w:t xml:space="preserve"> règlement (UE) n°</w:t>
      </w:r>
      <w:r w:rsidRPr="00D20CF6">
        <w:t xml:space="preserve">2022/576 du 8 avril 2022 modifiant le règlement (UE) n° 833/2014 concernant des mesures restrictives eu égard aux actions de la Russie déstabilisant la situation en Ukraine, qui interdit d’attribuer un contrat de la commande publique : </w:t>
      </w:r>
    </w:p>
    <w:p w14:paraId="0488A44C" w14:textId="7F11D580" w:rsidR="00A42F51" w:rsidRPr="00D20CF6" w:rsidRDefault="001D1579" w:rsidP="001D1579">
      <w:pPr>
        <w:pStyle w:val="Puce1"/>
      </w:pPr>
      <w:r>
        <w:t>S</w:t>
      </w:r>
      <w:r w:rsidR="00A42F51" w:rsidRPr="00D20CF6">
        <w:t>i l’attributaire est un ressortissant russe ou une personne physique ou morale, une entité ou un organisme é</w:t>
      </w:r>
      <w:r w:rsidR="00DA76FE">
        <w:t>tabli sur le territoire russe ;</w:t>
      </w:r>
    </w:p>
    <w:p w14:paraId="0913B50E" w14:textId="3FC02A42" w:rsidR="00A42F51" w:rsidRPr="00D20CF6" w:rsidRDefault="001D1579" w:rsidP="001D1579">
      <w:pPr>
        <w:pStyle w:val="Puce1"/>
      </w:pPr>
      <w:r>
        <w:t>S</w:t>
      </w:r>
      <w:r w:rsidR="00A42F51" w:rsidRPr="00D20CF6">
        <w:t>i l’attributaire est détenu à plus de 50 %, et de ce manière directe ou indirecte, par une entité ét</w:t>
      </w:r>
      <w:r w:rsidR="00DA76FE">
        <w:t>ablie sur le territoire russe ;</w:t>
      </w:r>
    </w:p>
    <w:p w14:paraId="54158B76" w14:textId="06DD8562" w:rsidR="00A42F51" w:rsidRPr="00D20CF6" w:rsidRDefault="001D1579" w:rsidP="001D1579">
      <w:pPr>
        <w:pStyle w:val="Puce1"/>
      </w:pPr>
      <w:r>
        <w:t>S</w:t>
      </w:r>
      <w:r w:rsidR="00A42F51" w:rsidRPr="00D20CF6">
        <w:t>i l’attributaire est une personne physique ou morale, une entité ou un organisme agissant pour le compte ou sur instruction d’une entité établie sur le territoire russe ou d’une entité détenue à plus de 50 % par une entité elle-même ét</w:t>
      </w:r>
      <w:r w:rsidR="00DA76FE">
        <w:t>ablie sur le territoire russe ;</w:t>
      </w:r>
    </w:p>
    <w:p w14:paraId="5994229B" w14:textId="146B8101" w:rsidR="00A42F51" w:rsidRPr="00D20CF6" w:rsidRDefault="001D1579" w:rsidP="001D1579">
      <w:pPr>
        <w:pStyle w:val="Puce1"/>
      </w:pPr>
      <w:r>
        <w:t>S</w:t>
      </w:r>
      <w:r w:rsidR="00A42F51" w:rsidRPr="00D20CF6">
        <w:t>i le sous-traitant, le fournisseur ou toute entité aux capacités de laquelle il est recouru se trouve dans l’un des trois cas susmentionnés, et le montant de ses prestations représente plus de 10 % de</w:t>
      </w:r>
      <w:r w:rsidR="00DA76FE">
        <w:t xml:space="preserve"> la valeur de l’accord-cadre.</w:t>
      </w:r>
    </w:p>
    <w:p w14:paraId="23006E00" w14:textId="77777777" w:rsidR="00704C59" w:rsidRPr="00704C59" w:rsidRDefault="00704C59" w:rsidP="00636FE1">
      <w:pPr>
        <w:pStyle w:val="Titre2"/>
      </w:pPr>
      <w:bookmarkStart w:id="97" w:name="_Toc274313317"/>
      <w:bookmarkStart w:id="98" w:name="_Toc385402526"/>
      <w:bookmarkStart w:id="99" w:name="_Toc387997727"/>
      <w:bookmarkStart w:id="100" w:name="_Toc143250925"/>
      <w:bookmarkStart w:id="101" w:name="_Toc187833039"/>
      <w:bookmarkStart w:id="102" w:name="_Toc211257295"/>
      <w:r w:rsidRPr="00704C59">
        <w:t xml:space="preserve">Modalités essentielles de </w:t>
      </w:r>
      <w:bookmarkEnd w:id="97"/>
      <w:bookmarkEnd w:id="98"/>
      <w:r w:rsidRPr="00704C59">
        <w:t xml:space="preserve">règlement </w:t>
      </w:r>
      <w:bookmarkEnd w:id="99"/>
      <w:r w:rsidR="00C22D11">
        <w:t>de l’accord-cadre</w:t>
      </w:r>
      <w:bookmarkEnd w:id="100"/>
      <w:bookmarkEnd w:id="101"/>
      <w:bookmarkEnd w:id="102"/>
      <w:r w:rsidRPr="00704C59">
        <w:t xml:space="preserve"> </w:t>
      </w:r>
    </w:p>
    <w:p w14:paraId="6288B9BC" w14:textId="25C4C9FD" w:rsidR="00C22D11" w:rsidRDefault="00C22D11" w:rsidP="00636FE1">
      <w:r w:rsidRPr="009910A9">
        <w:rPr>
          <w:rStyle w:val="lev"/>
          <w:rFonts w:cs="Calibri"/>
          <w:b w:val="0"/>
        </w:rPr>
        <w:t xml:space="preserve">Il est fait application des articles </w:t>
      </w:r>
      <w:r>
        <w:t>L2191-1 à L2191-14, R2112-5 à R2112-16, et R2191-1</w:t>
      </w:r>
      <w:r w:rsidRPr="006E2576">
        <w:t xml:space="preserve"> </w:t>
      </w:r>
      <w:r>
        <w:t xml:space="preserve">à R2191-37 du Code de la commande publique, </w:t>
      </w:r>
      <w:r w:rsidRPr="006E2576">
        <w:t>relatifs au régime</w:t>
      </w:r>
      <w:r>
        <w:t xml:space="preserve"> financier des marchés publics.</w:t>
      </w:r>
      <w:r>
        <w:rPr>
          <w:rStyle w:val="lev"/>
          <w:rFonts w:cs="Calibri"/>
          <w:b w:val="0"/>
        </w:rPr>
        <w:t xml:space="preserve"> </w:t>
      </w:r>
      <w:r w:rsidRPr="009910A9">
        <w:t>Les modalités de règlement sont énoncées dans le CCAP</w:t>
      </w:r>
      <w:r w:rsidR="00DA76FE">
        <w:t xml:space="preserve"> propre à chaque lot</w:t>
      </w:r>
      <w:r w:rsidRPr="009910A9">
        <w:t>.</w:t>
      </w:r>
    </w:p>
    <w:p w14:paraId="324A42EE" w14:textId="77777777" w:rsidR="00704C59" w:rsidRPr="00FE0C6E" w:rsidRDefault="00704C59" w:rsidP="00636FE1">
      <w:r w:rsidRPr="00FE0C6E">
        <w:t>Le paiement s’effectue par virement bancaire dans un délai de trente jours à compter de la réception de la facture originale.</w:t>
      </w:r>
    </w:p>
    <w:p w14:paraId="65F671EF" w14:textId="305AA2E6" w:rsidR="009C1055" w:rsidRPr="00FE0C6E" w:rsidRDefault="00704C59" w:rsidP="00636FE1">
      <w:r w:rsidRPr="00FE0C6E">
        <w:t>Le f</w:t>
      </w:r>
      <w:r w:rsidR="00CD6735" w:rsidRPr="00FE0C6E">
        <w:t>ond budgétaire concerné est</w:t>
      </w:r>
      <w:r w:rsidR="004940B0">
        <w:t xml:space="preserve"> le budget de l’Etablissement public.</w:t>
      </w:r>
    </w:p>
    <w:p w14:paraId="3A7DD6FC" w14:textId="1AFCDCBA" w:rsidR="00704C59" w:rsidRPr="007A594F" w:rsidRDefault="00B72AB5" w:rsidP="00636FE1">
      <w:pPr>
        <w:pStyle w:val="Titre1"/>
      </w:pPr>
      <w:bookmarkStart w:id="103" w:name="_Toc143250926"/>
      <w:bookmarkStart w:id="104" w:name="_Toc187833040"/>
      <w:bookmarkStart w:id="105" w:name="_Toc211257296"/>
      <w:r w:rsidRPr="007A594F">
        <w:lastRenderedPageBreak/>
        <w:t>D</w:t>
      </w:r>
      <w:r w:rsidR="007A594F">
        <w:t>ossier de consultation</w:t>
      </w:r>
      <w:bookmarkEnd w:id="103"/>
      <w:bookmarkEnd w:id="104"/>
      <w:bookmarkEnd w:id="105"/>
    </w:p>
    <w:p w14:paraId="08AD5060" w14:textId="77777777" w:rsidR="00704C59" w:rsidRPr="00FE0C6E" w:rsidRDefault="00704C59" w:rsidP="00636FE1">
      <w:pPr>
        <w:rPr>
          <w:lang w:eastAsia="fr-FR"/>
        </w:rPr>
      </w:pPr>
      <w:r w:rsidRPr="00FE0C6E">
        <w:rPr>
          <w:lang w:eastAsia="fr-FR"/>
        </w:rPr>
        <w:t>Ce dossier de consultation comprend :</w:t>
      </w:r>
    </w:p>
    <w:p w14:paraId="7BF129A5" w14:textId="6A288C1A" w:rsidR="00704C59" w:rsidRPr="00FE0C6E" w:rsidRDefault="00704C59" w:rsidP="00AF70ED">
      <w:pPr>
        <w:pStyle w:val="Paragraphedeliste"/>
        <w:numPr>
          <w:ilvl w:val="0"/>
          <w:numId w:val="7"/>
        </w:numPr>
        <w:rPr>
          <w:lang w:eastAsia="fr-FR"/>
        </w:rPr>
      </w:pPr>
      <w:r w:rsidRPr="00FE0C6E">
        <w:rPr>
          <w:lang w:eastAsia="fr-FR"/>
        </w:rPr>
        <w:t xml:space="preserve">L’acte d’engagement </w:t>
      </w:r>
      <w:r w:rsidR="00AE2469">
        <w:rPr>
          <w:lang w:eastAsia="fr-FR"/>
        </w:rPr>
        <w:t>et son annexe</w:t>
      </w:r>
      <w:r w:rsidR="00906CC2" w:rsidRPr="00FE0C6E">
        <w:rPr>
          <w:lang w:eastAsia="fr-FR"/>
        </w:rPr>
        <w:t>,</w:t>
      </w:r>
      <w:r w:rsidR="00AE2469">
        <w:rPr>
          <w:lang w:eastAsia="fr-FR"/>
        </w:rPr>
        <w:t xml:space="preserve"> pour chaque lot,</w:t>
      </w:r>
    </w:p>
    <w:p w14:paraId="6DD796AD" w14:textId="3028A453" w:rsidR="00704C59" w:rsidRPr="00FE0C6E" w:rsidRDefault="00704C59" w:rsidP="00AF70ED">
      <w:pPr>
        <w:pStyle w:val="Paragraphedeliste"/>
        <w:numPr>
          <w:ilvl w:val="0"/>
          <w:numId w:val="7"/>
        </w:numPr>
        <w:rPr>
          <w:lang w:eastAsia="fr-FR"/>
        </w:rPr>
      </w:pPr>
      <w:r w:rsidRPr="00FE0C6E">
        <w:rPr>
          <w:lang w:eastAsia="fr-FR"/>
        </w:rPr>
        <w:t>Le présent règlement de la consultation</w:t>
      </w:r>
      <w:r w:rsidR="00AE2469">
        <w:rPr>
          <w:lang w:eastAsia="fr-FR"/>
        </w:rPr>
        <w:t xml:space="preserve"> et ses annexes</w:t>
      </w:r>
      <w:r w:rsidRPr="00FE0C6E">
        <w:rPr>
          <w:lang w:eastAsia="fr-FR"/>
        </w:rPr>
        <w:t>,</w:t>
      </w:r>
    </w:p>
    <w:p w14:paraId="02BC4EE2" w14:textId="06E663F1" w:rsidR="00704C59" w:rsidRPr="00FE0C6E" w:rsidRDefault="00F56087" w:rsidP="00AF70ED">
      <w:pPr>
        <w:pStyle w:val="Paragraphedeliste"/>
        <w:numPr>
          <w:ilvl w:val="0"/>
          <w:numId w:val="7"/>
        </w:numPr>
        <w:rPr>
          <w:lang w:eastAsia="fr-FR"/>
        </w:rPr>
      </w:pPr>
      <w:r>
        <w:rPr>
          <w:lang w:eastAsia="fr-FR"/>
        </w:rPr>
        <w:t>Le</w:t>
      </w:r>
      <w:r w:rsidR="00873C16">
        <w:rPr>
          <w:lang w:eastAsia="fr-FR"/>
        </w:rPr>
        <w:t>s</w:t>
      </w:r>
      <w:r>
        <w:rPr>
          <w:lang w:eastAsia="fr-FR"/>
        </w:rPr>
        <w:t xml:space="preserve"> C</w:t>
      </w:r>
      <w:r w:rsidR="00704C59" w:rsidRPr="00FE0C6E">
        <w:rPr>
          <w:lang w:eastAsia="fr-FR"/>
        </w:rPr>
        <w:t>ahier</w:t>
      </w:r>
      <w:r w:rsidR="00873C16">
        <w:rPr>
          <w:lang w:eastAsia="fr-FR"/>
        </w:rPr>
        <w:t>s</w:t>
      </w:r>
      <w:r w:rsidR="00704C59" w:rsidRPr="00FE0C6E">
        <w:rPr>
          <w:lang w:eastAsia="fr-FR"/>
        </w:rPr>
        <w:t xml:space="preserve"> des clauses administratives particulières</w:t>
      </w:r>
      <w:r w:rsidRPr="00F56087">
        <w:rPr>
          <w:lang w:eastAsia="fr-FR"/>
        </w:rPr>
        <w:t xml:space="preserve"> </w:t>
      </w:r>
      <w:r>
        <w:rPr>
          <w:lang w:eastAsia="fr-FR"/>
        </w:rPr>
        <w:t>de l’accord cadre</w:t>
      </w:r>
      <w:r w:rsidR="00704C59" w:rsidRPr="00FE0C6E">
        <w:rPr>
          <w:lang w:eastAsia="fr-FR"/>
        </w:rPr>
        <w:t>,</w:t>
      </w:r>
    </w:p>
    <w:p w14:paraId="0D2AD419" w14:textId="30DDF47A" w:rsidR="009838E9" w:rsidRDefault="00F56087" w:rsidP="00AF70ED">
      <w:pPr>
        <w:pStyle w:val="Paragraphedeliste"/>
        <w:numPr>
          <w:ilvl w:val="0"/>
          <w:numId w:val="7"/>
        </w:numPr>
        <w:rPr>
          <w:lang w:eastAsia="fr-FR"/>
        </w:rPr>
      </w:pPr>
      <w:r>
        <w:rPr>
          <w:lang w:eastAsia="fr-FR"/>
        </w:rPr>
        <w:t>Le C</w:t>
      </w:r>
      <w:r w:rsidR="00704C59" w:rsidRPr="00FE0C6E">
        <w:rPr>
          <w:lang w:eastAsia="fr-FR"/>
        </w:rPr>
        <w:t>ahier des c</w:t>
      </w:r>
      <w:r w:rsidR="009838E9" w:rsidRPr="00FE0C6E">
        <w:rPr>
          <w:lang w:eastAsia="fr-FR"/>
        </w:rPr>
        <w:t>lauses techniques particulières</w:t>
      </w:r>
      <w:r w:rsidRPr="00F56087">
        <w:rPr>
          <w:lang w:eastAsia="fr-FR"/>
        </w:rPr>
        <w:t xml:space="preserve"> </w:t>
      </w:r>
      <w:r>
        <w:rPr>
          <w:lang w:eastAsia="fr-FR"/>
        </w:rPr>
        <w:t>de l’accord cadre</w:t>
      </w:r>
      <w:r w:rsidR="00AE2469">
        <w:rPr>
          <w:lang w:eastAsia="fr-FR"/>
        </w:rPr>
        <w:t xml:space="preserve"> et ses annexes</w:t>
      </w:r>
      <w:r w:rsidR="009838E9" w:rsidRPr="00FE0C6E">
        <w:rPr>
          <w:lang w:eastAsia="fr-FR"/>
        </w:rPr>
        <w:t>.</w:t>
      </w:r>
    </w:p>
    <w:p w14:paraId="405DF02B" w14:textId="57246616" w:rsidR="00D74856" w:rsidRDefault="00D65F34" w:rsidP="00636FE1">
      <w:r>
        <w:t>L</w:t>
      </w:r>
      <w:r w:rsidRPr="003F28A7">
        <w:t>e dossier de consultation</w:t>
      </w:r>
      <w:r>
        <w:t xml:space="preserve"> est téléchargeable</w:t>
      </w:r>
      <w:r w:rsidRPr="003F28A7">
        <w:t xml:space="preserve"> </w:t>
      </w:r>
      <w:r w:rsidR="00AE2469">
        <w:t xml:space="preserve">en partie </w:t>
      </w:r>
      <w:r w:rsidRPr="003F28A7">
        <w:t>depuis</w:t>
      </w:r>
      <w:r>
        <w:t xml:space="preserve"> la plateforme des achats de l’Etat PLACE :</w:t>
      </w:r>
      <w:r w:rsidRPr="003F28A7">
        <w:t xml:space="preserve"> </w:t>
      </w:r>
      <w:hyperlink r:id="rId12" w:history="1">
        <w:r w:rsidR="002A4208" w:rsidRPr="004612F9">
          <w:rPr>
            <w:rStyle w:val="Lienhypertexte"/>
          </w:rPr>
          <w:t>https://www.marches-publics.gouv.fr</w:t>
        </w:r>
      </w:hyperlink>
      <w:r w:rsidRPr="003F28A7">
        <w:t>.</w:t>
      </w:r>
      <w:r w:rsidR="00AE2469">
        <w:t xml:space="preserve"> </w:t>
      </w:r>
    </w:p>
    <w:p w14:paraId="3F178C11" w14:textId="6A32CF6D" w:rsidR="00D65F34" w:rsidRPr="007450EF" w:rsidRDefault="00D74856" w:rsidP="00636FE1">
      <w:pPr>
        <w:rPr>
          <w:b/>
        </w:rPr>
      </w:pPr>
      <w:r w:rsidRPr="007450EF">
        <w:rPr>
          <w:b/>
        </w:rPr>
        <w:t>Certaines</w:t>
      </w:r>
      <w:r w:rsidR="00AE2469" w:rsidRPr="007450EF">
        <w:rPr>
          <w:b/>
        </w:rPr>
        <w:t xml:space="preserve"> annexes du CCTP sont téléchargeables via un lien sécurisé Bluefile</w:t>
      </w:r>
      <w:r w:rsidR="00FB6B5A" w:rsidRPr="007450EF">
        <w:rPr>
          <w:b/>
        </w:rPr>
        <w:t>s</w:t>
      </w:r>
      <w:r w:rsidR="00AE2469" w:rsidRPr="007450EF">
        <w:rPr>
          <w:b/>
        </w:rPr>
        <w:t xml:space="preserve"> qui s</w:t>
      </w:r>
      <w:r w:rsidRPr="007450EF">
        <w:rPr>
          <w:b/>
        </w:rPr>
        <w:t xml:space="preserve">era envoyé à chaque candidat qui en aura fait </w:t>
      </w:r>
      <w:r w:rsidR="00AE2469" w:rsidRPr="007450EF">
        <w:rPr>
          <w:b/>
        </w:rPr>
        <w:t>la demande</w:t>
      </w:r>
      <w:r w:rsidR="003E1B77" w:rsidRPr="007450EF">
        <w:rPr>
          <w:b/>
        </w:rPr>
        <w:t xml:space="preserve"> à l’adresse </w:t>
      </w:r>
      <w:hyperlink r:id="rId13" w:history="1">
        <w:r w:rsidR="00E14768" w:rsidRPr="00E14768">
          <w:rPr>
            <w:rStyle w:val="Lienhypertexte"/>
          </w:rPr>
          <w:t>liste-mjai@assurance-maladie.fr</w:t>
        </w:r>
      </w:hyperlink>
      <w:r w:rsidRPr="007450EF">
        <w:rPr>
          <w:b/>
        </w:rPr>
        <w:t>, et ce,</w:t>
      </w:r>
      <w:r w:rsidR="00AE2469" w:rsidRPr="007450EF">
        <w:rPr>
          <w:b/>
        </w:rPr>
        <w:t xml:space="preserve"> contre remise d’un engagement de confidentialité rempli et signé.</w:t>
      </w:r>
      <w:r w:rsidR="00B408F8" w:rsidRPr="007450EF">
        <w:rPr>
          <w:b/>
        </w:rPr>
        <w:t xml:space="preserve"> L’engagement de confidentialité est annexé au présent règlement.</w:t>
      </w:r>
    </w:p>
    <w:p w14:paraId="05652F81" w14:textId="3964E5D9" w:rsidR="00C831E9" w:rsidRPr="007450EF" w:rsidRDefault="00C831E9" w:rsidP="00636FE1">
      <w:r w:rsidRPr="007450EF">
        <w:t>L’identification des opérateurs économiques n’est pas obligatoire pour télécharger le dossier de consultation des entreprises. Conformément à l’arrêté du 22 mars 2019 fixant les modalités de mise à disposition des documents de la consultation et de la copie de sauvegarde (Annexe 6 du code de la commande publique), les opérateurs</w:t>
      </w:r>
      <w:r w:rsidR="00DA76FE" w:rsidRPr="007450EF">
        <w:t xml:space="preserve"> économiques peuvent indiquer à la Cnam</w:t>
      </w:r>
      <w:r w:rsidRPr="007450EF">
        <w:t xml:space="preserve"> le nom de la personne physique chargée du téléchargement et une adresse électronique, afin que puissent lui être communiquées les modifications et les précisions apportées aux documents de la consultation.</w:t>
      </w:r>
    </w:p>
    <w:p w14:paraId="15DC090F" w14:textId="5AFAE118" w:rsidR="00C831E9" w:rsidRPr="007450EF" w:rsidRDefault="00C831E9" w:rsidP="00636FE1">
      <w:r w:rsidRPr="007450EF">
        <w:t>L’attention des opérateurs économiques est attirée sur le fait que s’ils ne s’identifient pas, ils ne pourront pas être alertés des éventuelles modifications apportées au dossier de consultation et autres questions/réponses relatives à la procédure (</w:t>
      </w:r>
      <w:r w:rsidR="00D65F34" w:rsidRPr="007450EF">
        <w:t>cf</w:t>
      </w:r>
      <w:r w:rsidR="00DA76FE" w:rsidRPr="007450EF">
        <w:t xml:space="preserve">. </w:t>
      </w:r>
      <w:r w:rsidR="00270481" w:rsidRPr="007450EF">
        <w:t>§</w:t>
      </w:r>
      <w:r w:rsidR="00D65F34" w:rsidRPr="007450EF">
        <w:fldChar w:fldCharType="begin"/>
      </w:r>
      <w:r w:rsidR="00D65F34" w:rsidRPr="007450EF">
        <w:instrText xml:space="preserve"> REF _Ref143251462 \r \h </w:instrText>
      </w:r>
      <w:r w:rsidR="00BC5CA3" w:rsidRPr="007450EF">
        <w:instrText xml:space="preserve"> \* MERGEFORMAT </w:instrText>
      </w:r>
      <w:r w:rsidR="00D65F34" w:rsidRPr="007450EF">
        <w:fldChar w:fldCharType="separate"/>
      </w:r>
      <w:r w:rsidR="00FC00F4">
        <w:t>9</w:t>
      </w:r>
      <w:r w:rsidR="00D65F34" w:rsidRPr="007450EF">
        <w:fldChar w:fldCharType="end"/>
      </w:r>
      <w:r w:rsidR="00D65F34" w:rsidRPr="007450EF">
        <w:t xml:space="preserve"> du présent règlement</w:t>
      </w:r>
      <w:r w:rsidR="00740A66" w:rsidRPr="007450EF">
        <w:t>)</w:t>
      </w:r>
      <w:r w:rsidRPr="007450EF">
        <w:t>.</w:t>
      </w:r>
    </w:p>
    <w:p w14:paraId="355449D5" w14:textId="20A56614" w:rsidR="00C831E9" w:rsidRDefault="00C831E9" w:rsidP="00636FE1">
      <w:r w:rsidRPr="007450EF">
        <w:t xml:space="preserve">Le candidat </w:t>
      </w:r>
      <w:r w:rsidR="00DA76FE" w:rsidRPr="007450EF">
        <w:t xml:space="preserve">doit </w:t>
      </w:r>
      <w:r w:rsidRPr="007450EF">
        <w:t>vérifi</w:t>
      </w:r>
      <w:r w:rsidR="00DA76FE" w:rsidRPr="007450EF">
        <w:t>er que les alertes de la plate</w:t>
      </w:r>
      <w:r w:rsidRPr="007450EF">
        <w:t xml:space="preserve">forme ne sont pas filtrées </w:t>
      </w:r>
      <w:r w:rsidR="00DA76FE" w:rsidRPr="007450EF">
        <w:t xml:space="preserve">par le dispositif anti-spam de son </w:t>
      </w:r>
      <w:r w:rsidRPr="007450EF">
        <w:t>entreprise ou redirigé</w:t>
      </w:r>
      <w:r w:rsidR="00DA76FE" w:rsidRPr="007450EF">
        <w:t>e</w:t>
      </w:r>
      <w:r w:rsidRPr="007450EF">
        <w:t xml:space="preserve">s vers les </w:t>
      </w:r>
      <w:r w:rsidR="00740A66" w:rsidRPr="007450EF">
        <w:t>« </w:t>
      </w:r>
      <w:r w:rsidRPr="007450EF">
        <w:t>courriers indésirables</w:t>
      </w:r>
      <w:r w:rsidR="00740A66" w:rsidRPr="007450EF">
        <w:t> »</w:t>
      </w:r>
      <w:r w:rsidRPr="007450EF">
        <w:t xml:space="preserve"> (notamment, </w:t>
      </w:r>
      <w:hyperlink r:id="rId14" w:history="1">
        <w:r w:rsidR="00D65F34" w:rsidRPr="007450EF">
          <w:rPr>
            <w:rStyle w:val="Lienhypertexte"/>
          </w:rPr>
          <w:t>nepasrépondre@marches-publics.gouv.fr</w:t>
        </w:r>
      </w:hyperlink>
      <w:r w:rsidRPr="007450EF">
        <w:t>).</w:t>
      </w:r>
    </w:p>
    <w:p w14:paraId="7DA151DB" w14:textId="7A51EA92" w:rsidR="00704C59" w:rsidRPr="00704C59" w:rsidRDefault="00B72AB5" w:rsidP="00636FE1">
      <w:pPr>
        <w:pStyle w:val="Titre1"/>
      </w:pPr>
      <w:bookmarkStart w:id="106" w:name="_Toc143250927"/>
      <w:bookmarkStart w:id="107" w:name="_Toc187833041"/>
      <w:bookmarkStart w:id="108" w:name="_Toc211257297"/>
      <w:r>
        <w:t>C</w:t>
      </w:r>
      <w:r w:rsidR="007A594F">
        <w:t>ontenu obligatoire de la candidature et de l’offre</w:t>
      </w:r>
      <w:bookmarkEnd w:id="106"/>
      <w:bookmarkEnd w:id="107"/>
      <w:bookmarkEnd w:id="108"/>
    </w:p>
    <w:p w14:paraId="30CE4AD3" w14:textId="0B04F105" w:rsidR="00A62484" w:rsidRDefault="00A62484" w:rsidP="00DA76FE">
      <w:r w:rsidRPr="009910A9">
        <w:t xml:space="preserve">Le candidat </w:t>
      </w:r>
      <w:r w:rsidR="00D65F34">
        <w:t>doit</w:t>
      </w:r>
      <w:r w:rsidR="00D65F34" w:rsidRPr="009910A9">
        <w:t xml:space="preserve"> </w:t>
      </w:r>
      <w:r w:rsidRPr="009910A9">
        <w:t>fournir</w:t>
      </w:r>
      <w:r w:rsidR="00DA76FE">
        <w:t>,</w:t>
      </w:r>
      <w:r w:rsidRPr="009910A9">
        <w:t xml:space="preserve"> </w:t>
      </w:r>
      <w:r w:rsidR="00DA76FE" w:rsidRPr="00DA76FE">
        <w:rPr>
          <w:b/>
          <w:u w:val="single"/>
        </w:rPr>
        <w:t>pour chaque lot auquel il candidate</w:t>
      </w:r>
      <w:r w:rsidR="00DA76FE">
        <w:t>,</w:t>
      </w:r>
      <w:r w:rsidR="00DA76FE" w:rsidRPr="009910A9">
        <w:t xml:space="preserve"> </w:t>
      </w:r>
      <w:r w:rsidRPr="009910A9">
        <w:t xml:space="preserve">un dossier complet, lisible et en français, comprenant les pièces énoncées infra. </w:t>
      </w:r>
    </w:p>
    <w:p w14:paraId="75195BB0" w14:textId="25D5B4F2" w:rsidR="00704C59" w:rsidRPr="00C22D11" w:rsidRDefault="00704C59" w:rsidP="00DA76FE">
      <w:r w:rsidRPr="00C22D11">
        <w:t xml:space="preserve">Le </w:t>
      </w:r>
      <w:r w:rsidR="00DA76FE">
        <w:t>candidat</w:t>
      </w:r>
      <w:r w:rsidRPr="00C22D11">
        <w:t xml:space="preserve"> désigne</w:t>
      </w:r>
      <w:r w:rsidR="00DA76FE">
        <w:t>,</w:t>
      </w:r>
      <w:r w:rsidRPr="00C22D11">
        <w:t xml:space="preserve"> dans les documents transmis, la</w:t>
      </w:r>
      <w:r w:rsidR="00DA76FE">
        <w:t>(es)</w:t>
      </w:r>
      <w:r w:rsidRPr="00C22D11">
        <w:t xml:space="preserve"> personne</w:t>
      </w:r>
      <w:r w:rsidR="00DA76FE">
        <w:t>(s)</w:t>
      </w:r>
      <w:r w:rsidRPr="00C22D11">
        <w:t xml:space="preserve"> habilitée</w:t>
      </w:r>
      <w:r w:rsidR="00DA76FE">
        <w:t>(s)</w:t>
      </w:r>
      <w:r w:rsidRPr="00C22D11">
        <w:t xml:space="preserve"> à le représenter. Le</w:t>
      </w:r>
      <w:r w:rsidR="00DA76FE">
        <w:t>(s)</w:t>
      </w:r>
      <w:r w:rsidRPr="00C22D11">
        <w:t xml:space="preserve"> signataires doi</w:t>
      </w:r>
      <w:r w:rsidR="00DA76FE">
        <w:t>(</w:t>
      </w:r>
      <w:r w:rsidRPr="00C22D11">
        <w:t>ven</w:t>
      </w:r>
      <w:r w:rsidR="00DA76FE">
        <w:t>)</w:t>
      </w:r>
      <w:r w:rsidRPr="00C22D11">
        <w:t>t être habilité</w:t>
      </w:r>
      <w:r w:rsidR="00DA76FE">
        <w:t>(</w:t>
      </w:r>
      <w:r w:rsidRPr="00C22D11">
        <w:t>s</w:t>
      </w:r>
      <w:r w:rsidR="00DA76FE">
        <w:t>)</w:t>
      </w:r>
      <w:r w:rsidRPr="00C22D11">
        <w:t xml:space="preserve"> à engager l’entreprise.</w:t>
      </w:r>
    </w:p>
    <w:p w14:paraId="5CF43E34" w14:textId="7AD212C4" w:rsidR="00704C59" w:rsidRPr="00704C59" w:rsidRDefault="00704C59" w:rsidP="00636FE1">
      <w:pPr>
        <w:pStyle w:val="Titre2"/>
      </w:pPr>
      <w:bookmarkStart w:id="109" w:name="_Toc339962352"/>
      <w:bookmarkStart w:id="110" w:name="_Toc387997730"/>
      <w:bookmarkStart w:id="111" w:name="_Toc143250928"/>
      <w:bookmarkStart w:id="112" w:name="_Ref187067331"/>
      <w:bookmarkStart w:id="113" w:name="_Ref187138286"/>
      <w:bookmarkStart w:id="114" w:name="_Toc187833042"/>
      <w:bookmarkStart w:id="115" w:name="_Toc211257298"/>
      <w:r w:rsidRPr="00704C59">
        <w:t xml:space="preserve">Pièces à joindre </w:t>
      </w:r>
      <w:bookmarkEnd w:id="109"/>
      <w:r w:rsidRPr="00704C59">
        <w:t>au titre de la candidature</w:t>
      </w:r>
      <w:bookmarkEnd w:id="110"/>
      <w:bookmarkEnd w:id="111"/>
      <w:bookmarkEnd w:id="112"/>
      <w:bookmarkEnd w:id="113"/>
      <w:bookmarkEnd w:id="114"/>
      <w:bookmarkEnd w:id="115"/>
    </w:p>
    <w:p w14:paraId="12CA2B41" w14:textId="04713E51" w:rsidR="00704C59" w:rsidRPr="00F35F1C" w:rsidRDefault="00704C59" w:rsidP="00AF70ED">
      <w:pPr>
        <w:pStyle w:val="Paragraphedeliste"/>
        <w:numPr>
          <w:ilvl w:val="0"/>
          <w:numId w:val="1"/>
        </w:numPr>
        <w:rPr>
          <w:lang w:eastAsia="fr-FR"/>
        </w:rPr>
      </w:pPr>
      <w:r w:rsidRPr="00F35F1C">
        <w:rPr>
          <w:lang w:eastAsia="fr-FR"/>
        </w:rPr>
        <w:t xml:space="preserve">La </w:t>
      </w:r>
      <w:r w:rsidR="00B02A2B">
        <w:rPr>
          <w:lang w:eastAsia="fr-FR"/>
        </w:rPr>
        <w:t>Lettre de candidature -</w:t>
      </w:r>
      <w:r w:rsidRPr="00F35F1C">
        <w:rPr>
          <w:lang w:eastAsia="fr-FR"/>
        </w:rPr>
        <w:t xml:space="preserve"> Habilitation du mandataire par ses cotraitants (formulaire D</w:t>
      </w:r>
      <w:r w:rsidR="00FC3B53">
        <w:rPr>
          <w:lang w:eastAsia="fr-FR"/>
        </w:rPr>
        <w:t>C1 ou équivalent) ;</w:t>
      </w:r>
      <w:r w:rsidRPr="00F35F1C">
        <w:rPr>
          <w:lang w:eastAsia="fr-FR"/>
        </w:rPr>
        <w:t xml:space="preserve"> </w:t>
      </w:r>
    </w:p>
    <w:p w14:paraId="70EA128F" w14:textId="70A1B79A" w:rsidR="00704C59" w:rsidRDefault="00704C59" w:rsidP="00AF70ED">
      <w:pPr>
        <w:pStyle w:val="Paragraphedeliste"/>
        <w:numPr>
          <w:ilvl w:val="0"/>
          <w:numId w:val="1"/>
        </w:numPr>
        <w:rPr>
          <w:lang w:eastAsia="fr-FR"/>
        </w:rPr>
      </w:pPr>
      <w:r w:rsidRPr="00F35F1C">
        <w:rPr>
          <w:lang w:eastAsia="fr-FR"/>
        </w:rPr>
        <w:t xml:space="preserve">La Déclaration signée du candidat individuel ou du membre du groupement </w:t>
      </w:r>
      <w:r w:rsidR="00DA76FE">
        <w:rPr>
          <w:lang w:eastAsia="fr-FR"/>
        </w:rPr>
        <w:t>(formulaire DC</w:t>
      </w:r>
      <w:r w:rsidR="00FC3B53">
        <w:rPr>
          <w:lang w:eastAsia="fr-FR"/>
        </w:rPr>
        <w:t>2 ou équivalent) ;</w:t>
      </w:r>
    </w:p>
    <w:p w14:paraId="5ED6EFC2" w14:textId="68D5F5F0" w:rsidR="00A62484" w:rsidRPr="00431C18" w:rsidRDefault="00A62484" w:rsidP="00636FE1">
      <w:pPr>
        <w:rPr>
          <w:lang w:eastAsia="fr-FR"/>
        </w:rPr>
      </w:pPr>
      <w:r w:rsidRPr="00431C18">
        <w:rPr>
          <w:lang w:eastAsia="fr-FR"/>
        </w:rPr>
        <w:t>A c</w:t>
      </w:r>
      <w:r w:rsidR="00DA76FE">
        <w:rPr>
          <w:lang w:eastAsia="fr-FR"/>
        </w:rPr>
        <w:t>es deux formulaires (DC</w:t>
      </w:r>
      <w:r w:rsidRPr="00431C18">
        <w:rPr>
          <w:lang w:eastAsia="fr-FR"/>
        </w:rPr>
        <w:t xml:space="preserve">1 et DC2), le candidat peut substituer le e-DUME (Document Unique de Marché Européen au format électronique). </w:t>
      </w:r>
    </w:p>
    <w:p w14:paraId="76B8D065" w14:textId="142D2043" w:rsidR="00A62484" w:rsidRPr="00431C18" w:rsidRDefault="00A62484" w:rsidP="00636FE1">
      <w:pPr>
        <w:rPr>
          <w:lang w:eastAsia="fr-FR"/>
        </w:rPr>
      </w:pPr>
      <w:r w:rsidRPr="00431C18">
        <w:rPr>
          <w:lang w:eastAsia="fr-FR"/>
        </w:rPr>
        <w:t>Le e-Dume est un formulaire standard de l'Union Européenne pré-rempli sur la base du numéro SIRET du candidat. Il permet</w:t>
      </w:r>
      <w:r w:rsidR="00DA76FE">
        <w:rPr>
          <w:lang w:eastAsia="fr-FR"/>
        </w:rPr>
        <w:t xml:space="preserve"> de :</w:t>
      </w:r>
    </w:p>
    <w:p w14:paraId="2B1FBA9D" w14:textId="5B3AB7F7" w:rsidR="00A62484" w:rsidRPr="001D1579" w:rsidRDefault="00A62484" w:rsidP="001D1579">
      <w:pPr>
        <w:pStyle w:val="Puce1"/>
      </w:pPr>
      <w:r w:rsidRPr="001D1579">
        <w:lastRenderedPageBreak/>
        <w:t>Bénéficier d'une reprise des données légales du candidat (raison sociale, numéro de TVA intracommunautaire, adresse, mandataires sociaux), ainsi que des données concernant la taille du candidat et son chiffre d'affaires global,</w:t>
      </w:r>
    </w:p>
    <w:p w14:paraId="7B46DFB0" w14:textId="48D58D23" w:rsidR="00A62484" w:rsidRPr="001D1579" w:rsidRDefault="00A62484" w:rsidP="001D1579">
      <w:pPr>
        <w:pStyle w:val="Puce1"/>
      </w:pPr>
      <w:r w:rsidRPr="001D1579">
        <w:t>D'attester du respect de ses obligations sociales et fiscales grâce à une requête automatisée auprès des administrations concernées (DGFIP, ACOSS),</w:t>
      </w:r>
    </w:p>
    <w:p w14:paraId="69006E27" w14:textId="7BAA2E87" w:rsidR="00A62484" w:rsidRPr="001D1579" w:rsidRDefault="00A62484" w:rsidP="001D1579">
      <w:pPr>
        <w:pStyle w:val="Puce1"/>
      </w:pPr>
      <w:r w:rsidRPr="001D1579">
        <w:t>D'attester de sa souscription aux assurances appropriées et de l'inscription aux registres du commerce de l'Etat dans lequel il est établi.</w:t>
      </w:r>
    </w:p>
    <w:p w14:paraId="508EBAE3" w14:textId="61F2C904" w:rsidR="00A62484" w:rsidRPr="001D1579" w:rsidRDefault="00A62484" w:rsidP="001D1579">
      <w:pPr>
        <w:pStyle w:val="Puce1"/>
      </w:pPr>
      <w:r w:rsidRPr="001D1579">
        <w:t xml:space="preserve">Récupérer automatiquement les attestations à fournir par le candidat lors de la signature du marché s’il en est désigné attributaire. </w:t>
      </w:r>
    </w:p>
    <w:p w14:paraId="0EA485D0" w14:textId="21904065" w:rsidR="00A62484" w:rsidRPr="001D1579" w:rsidRDefault="00A62484" w:rsidP="001D1579">
      <w:pPr>
        <w:pStyle w:val="Puce1"/>
      </w:pPr>
      <w:r w:rsidRPr="001D1579">
        <w:t>Sa réutilisation sur des procédures de consultation ultérieures. </w:t>
      </w:r>
    </w:p>
    <w:p w14:paraId="58AE2CE4" w14:textId="0449DD5C" w:rsidR="00A62484" w:rsidRPr="00431C18" w:rsidRDefault="00A62484" w:rsidP="00636FE1">
      <w:pPr>
        <w:rPr>
          <w:lang w:eastAsia="fr-FR"/>
        </w:rPr>
      </w:pPr>
      <w:r w:rsidRPr="00431C18">
        <w:rPr>
          <w:lang w:eastAsia="fr-FR"/>
        </w:rPr>
        <w:t>Le candidat peut notamment</w:t>
      </w:r>
      <w:r w:rsidRPr="00431C18">
        <w:rPr>
          <w:sz w:val="20"/>
          <w:lang w:eastAsia="fr-FR"/>
        </w:rPr>
        <w:t xml:space="preserve"> </w:t>
      </w:r>
      <w:r w:rsidRPr="00431C18">
        <w:rPr>
          <w:lang w:eastAsia="fr-FR"/>
        </w:rPr>
        <w:t xml:space="preserve">créer son e-Dume via le portail web disponible sur Chorus Pro ou encore sur le site de l’Union européenne à l’adresse </w:t>
      </w:r>
      <w:hyperlink r:id="rId15" w:history="1">
        <w:r w:rsidRPr="00431C18">
          <w:rPr>
            <w:color w:val="0000FF"/>
            <w:u w:val="single"/>
            <w:lang w:eastAsia="fr-FR"/>
          </w:rPr>
          <w:t>https://ec.europa.eu/tools/espd/filter?lang=fr</w:t>
        </w:r>
      </w:hyperlink>
    </w:p>
    <w:p w14:paraId="2CFD06BD" w14:textId="77777777" w:rsidR="00704C59" w:rsidRPr="00F35F1C" w:rsidRDefault="00704C59" w:rsidP="00AF70ED">
      <w:pPr>
        <w:pStyle w:val="Paragraphedeliste"/>
        <w:numPr>
          <w:ilvl w:val="0"/>
          <w:numId w:val="1"/>
        </w:numPr>
        <w:rPr>
          <w:lang w:eastAsia="fr-FR"/>
        </w:rPr>
      </w:pPr>
      <w:r w:rsidRPr="00636FE1">
        <w:rPr>
          <w:snapToGrid w:val="0"/>
          <w:lang w:eastAsia="fr-FR"/>
        </w:rPr>
        <w:t>Si le candidat fait l’objet d’une procédure de redressement judiciaire ou d’une procédure étrangère équivalente, la copie des ju</w:t>
      </w:r>
      <w:r w:rsidR="00FC3B53" w:rsidRPr="00636FE1">
        <w:rPr>
          <w:snapToGrid w:val="0"/>
          <w:lang w:eastAsia="fr-FR"/>
        </w:rPr>
        <w:t>gements ;</w:t>
      </w:r>
    </w:p>
    <w:p w14:paraId="01F84752" w14:textId="77777777" w:rsidR="00704C59" w:rsidRPr="00F35F1C" w:rsidRDefault="00704C59" w:rsidP="00AF70ED">
      <w:pPr>
        <w:pStyle w:val="Paragraphedeliste"/>
        <w:numPr>
          <w:ilvl w:val="0"/>
          <w:numId w:val="1"/>
        </w:numPr>
        <w:rPr>
          <w:lang w:eastAsia="fr-FR"/>
        </w:rPr>
      </w:pPr>
      <w:r w:rsidRPr="00F35F1C">
        <w:rPr>
          <w:lang w:eastAsia="fr-FR"/>
        </w:rPr>
        <w:t>Si certaines prestations sont sous-traitées, le candidat doit présenter son sous-traitant</w:t>
      </w:r>
      <w:r w:rsidR="00FC3B53">
        <w:rPr>
          <w:lang w:eastAsia="fr-FR"/>
        </w:rPr>
        <w:t xml:space="preserve"> (formulaire DC4 ou équivalent).</w:t>
      </w:r>
    </w:p>
    <w:p w14:paraId="2CD4D348" w14:textId="5D0DAB93" w:rsidR="00704C59" w:rsidRPr="006A23BC" w:rsidRDefault="00DA76FE" w:rsidP="00AF70ED">
      <w:pPr>
        <w:pStyle w:val="Paragraphedeliste"/>
        <w:numPr>
          <w:ilvl w:val="0"/>
          <w:numId w:val="1"/>
        </w:numPr>
        <w:rPr>
          <w:lang w:eastAsia="fr-FR"/>
        </w:rPr>
      </w:pPr>
      <w:r>
        <w:rPr>
          <w:snapToGrid w:val="0"/>
          <w:lang w:eastAsia="fr-FR"/>
        </w:rPr>
        <w:t>Le</w:t>
      </w:r>
      <w:r w:rsidR="00704C59" w:rsidRPr="00636FE1">
        <w:rPr>
          <w:snapToGrid w:val="0"/>
          <w:lang w:eastAsia="fr-FR"/>
        </w:rPr>
        <w:t xml:space="preserve"> candidat fournit également un dossier de présentation comprenant (conformément à l’A</w:t>
      </w:r>
      <w:r w:rsidR="00704C59" w:rsidRPr="00636FE1">
        <w:rPr>
          <w:bCs/>
          <w:color w:val="000000"/>
          <w:shd w:val="clear" w:color="auto" w:fill="FFFFFF"/>
        </w:rPr>
        <w:t xml:space="preserve">rrêté du </w:t>
      </w:r>
      <w:r w:rsidR="006A23BC" w:rsidRPr="00636FE1">
        <w:rPr>
          <w:bCs/>
          <w:color w:val="000000"/>
          <w:shd w:val="clear" w:color="auto" w:fill="FFFFFF"/>
        </w:rPr>
        <w:t>2</w:t>
      </w:r>
      <w:r w:rsidR="00F16170" w:rsidRPr="00636FE1">
        <w:rPr>
          <w:bCs/>
          <w:color w:val="000000"/>
          <w:shd w:val="clear" w:color="auto" w:fill="FFFFFF"/>
        </w:rPr>
        <w:t>2 mars 2019</w:t>
      </w:r>
      <w:r w:rsidR="006A23BC" w:rsidRPr="00636FE1">
        <w:rPr>
          <w:bCs/>
          <w:color w:val="000000"/>
          <w:shd w:val="clear" w:color="auto" w:fill="FFFFFF"/>
        </w:rPr>
        <w:t xml:space="preserve"> </w:t>
      </w:r>
      <w:r w:rsidR="00704C59" w:rsidRPr="00636FE1">
        <w:rPr>
          <w:bCs/>
          <w:color w:val="000000"/>
          <w:shd w:val="clear" w:color="auto" w:fill="FFFFFF"/>
        </w:rPr>
        <w:t>susmentionné) :</w:t>
      </w:r>
    </w:p>
    <w:p w14:paraId="7BBA375D" w14:textId="77777777" w:rsidR="00704C59" w:rsidRPr="00F35F1C" w:rsidRDefault="00704C59" w:rsidP="001D1579">
      <w:pPr>
        <w:pStyle w:val="Puce1"/>
      </w:pPr>
      <w:r w:rsidRPr="00F35F1C">
        <w:t>La présentation des garanties financières :</w:t>
      </w:r>
    </w:p>
    <w:p w14:paraId="31EAE332" w14:textId="5467285B" w:rsidR="00704C59" w:rsidRPr="00F35F1C" w:rsidRDefault="00704C59" w:rsidP="00BF1231">
      <w:pPr>
        <w:pStyle w:val="Puce2"/>
      </w:pPr>
      <w:r w:rsidRPr="00F35F1C">
        <w:t>Communication du chiffre d’affaire</w:t>
      </w:r>
      <w:r w:rsidR="00DA76FE">
        <w:t>s</w:t>
      </w:r>
      <w:r w:rsidRPr="00F35F1C">
        <w:t xml:space="preserve"> global </w:t>
      </w:r>
      <w:r w:rsidRPr="00636FE1">
        <w:rPr>
          <w:u w:val="single"/>
        </w:rPr>
        <w:t>(HT)</w:t>
      </w:r>
      <w:r w:rsidRPr="00F35F1C">
        <w:t xml:space="preserve"> au cours des trois derniers exercices disponibles ;</w:t>
      </w:r>
    </w:p>
    <w:p w14:paraId="1B1ACB1C" w14:textId="77777777" w:rsidR="00704C59" w:rsidRPr="00F35F1C" w:rsidRDefault="00704C59" w:rsidP="00BF1231">
      <w:pPr>
        <w:pStyle w:val="Puce2"/>
      </w:pPr>
      <w:r w:rsidRPr="00F35F1C">
        <w:t>Communication du chiffre d’affaire</w:t>
      </w:r>
      <w:r w:rsidR="00E05FA4">
        <w:t>s</w:t>
      </w:r>
      <w:r w:rsidRPr="00F35F1C">
        <w:t xml:space="preserve"> concernant les prestations, objet </w:t>
      </w:r>
      <w:r w:rsidR="001619FB" w:rsidRPr="00F35F1C">
        <w:t>de l’accord-cadre</w:t>
      </w:r>
      <w:r w:rsidRPr="00F35F1C">
        <w:t>, au cours des trois derniers exercices disponibles ;</w:t>
      </w:r>
    </w:p>
    <w:p w14:paraId="7C2D8548" w14:textId="77777777" w:rsidR="00DA76FE" w:rsidRPr="00DA76FE" w:rsidRDefault="00DA76FE" w:rsidP="00DA76FE">
      <w:pPr>
        <w:pStyle w:val="Puce2"/>
      </w:pPr>
      <w:r w:rsidRPr="00DA76FE">
        <w:t>Le candidat doit fournir les bilans ou extraits de bilans, concernant les trois dernières années, des opérateurs économiques pour lesquels l’établissement des bilans est obligatoire en vertu de la loi.</w:t>
      </w:r>
    </w:p>
    <w:p w14:paraId="79264F57" w14:textId="7E25A88F" w:rsidR="00704C59" w:rsidRPr="00F35F1C" w:rsidRDefault="00704C59" w:rsidP="001D1579">
      <w:pPr>
        <w:pStyle w:val="Puce1"/>
      </w:pPr>
      <w:r w:rsidRPr="00740A66">
        <w:t xml:space="preserve">La </w:t>
      </w:r>
      <w:r w:rsidRPr="00F35F1C">
        <w:t>présentation des moye</w:t>
      </w:r>
      <w:r w:rsidR="00DA76FE">
        <w:t>ns techniques de l’entreprise :</w:t>
      </w:r>
    </w:p>
    <w:p w14:paraId="4DBEC426" w14:textId="00354B82" w:rsidR="00704C59" w:rsidRPr="00F35F1C" w:rsidRDefault="00704C59" w:rsidP="00636FE1">
      <w:pPr>
        <w:rPr>
          <w:snapToGrid w:val="0"/>
          <w:lang w:eastAsia="fr-FR"/>
        </w:rPr>
      </w:pPr>
      <w:r w:rsidRPr="00F35F1C">
        <w:rPr>
          <w:snapToGrid w:val="0"/>
          <w:lang w:eastAsia="fr-FR"/>
        </w:rPr>
        <w:t xml:space="preserve">Le </w:t>
      </w:r>
      <w:r w:rsidR="00DA76FE">
        <w:rPr>
          <w:snapToGrid w:val="0"/>
          <w:lang w:eastAsia="fr-FR"/>
        </w:rPr>
        <w:t>candidat</w:t>
      </w:r>
      <w:r w:rsidRPr="00F35F1C">
        <w:rPr>
          <w:snapToGrid w:val="0"/>
          <w:lang w:eastAsia="fr-FR"/>
        </w:rPr>
        <w:t xml:space="preserve"> </w:t>
      </w:r>
      <w:r w:rsidR="00D65F34">
        <w:rPr>
          <w:snapToGrid w:val="0"/>
          <w:lang w:eastAsia="fr-FR"/>
        </w:rPr>
        <w:t>doit</w:t>
      </w:r>
      <w:r w:rsidR="00D65F34" w:rsidRPr="00F35F1C">
        <w:rPr>
          <w:snapToGrid w:val="0"/>
          <w:lang w:eastAsia="fr-FR"/>
        </w:rPr>
        <w:t xml:space="preserve"> </w:t>
      </w:r>
      <w:r w:rsidRPr="00F35F1C">
        <w:rPr>
          <w:snapToGrid w:val="0"/>
          <w:lang w:eastAsia="fr-FR"/>
        </w:rPr>
        <w:t>produire :</w:t>
      </w:r>
    </w:p>
    <w:p w14:paraId="2A77D646" w14:textId="77777777" w:rsidR="00704C59" w:rsidRPr="00636FE1" w:rsidRDefault="0004648F" w:rsidP="00BF1231">
      <w:pPr>
        <w:pStyle w:val="Puce2"/>
        <w:rPr>
          <w:rFonts w:eastAsia="Times New Roman"/>
        </w:rPr>
      </w:pPr>
      <w:r w:rsidRPr="00636FE1">
        <w:rPr>
          <w:rFonts w:eastAsia="Times New Roman"/>
          <w:snapToGrid w:val="0"/>
          <w:spacing w:val="-4"/>
        </w:rPr>
        <w:t>U</w:t>
      </w:r>
      <w:r w:rsidR="00704C59" w:rsidRPr="00636FE1">
        <w:rPr>
          <w:rFonts w:eastAsia="Times New Roman"/>
          <w:snapToGrid w:val="0"/>
          <w:spacing w:val="-4"/>
        </w:rPr>
        <w:t xml:space="preserve">ne </w:t>
      </w:r>
      <w:r w:rsidR="00704C59" w:rsidRPr="00636FE1">
        <w:rPr>
          <w:shd w:val="clear" w:color="auto" w:fill="FFFFFF"/>
        </w:rPr>
        <w:t>déclaration indiquant les effectifs moyens annuels du candidat et l'importance du personnel d'encadrement pour chacune des trois dernières années ;</w:t>
      </w:r>
    </w:p>
    <w:p w14:paraId="5264078E" w14:textId="77777777" w:rsidR="00704C59" w:rsidRPr="00A62484" w:rsidRDefault="0004648F" w:rsidP="00BF1231">
      <w:pPr>
        <w:pStyle w:val="Puce2"/>
      </w:pPr>
      <w:r w:rsidRPr="00F35F1C">
        <w:t>U</w:t>
      </w:r>
      <w:r w:rsidR="00704C59" w:rsidRPr="00F35F1C">
        <w:t xml:space="preserve">ne déclaration indiquant l’outillage, le matériel et l’équipement technique dont le candidat dispose pour la réalisation de </w:t>
      </w:r>
      <w:r w:rsidR="0078204E" w:rsidRPr="00F35F1C">
        <w:t>prestations</w:t>
      </w:r>
      <w:r w:rsidR="00704C59" w:rsidRPr="00F35F1C">
        <w:t xml:space="preserve"> de même nature ;</w:t>
      </w:r>
    </w:p>
    <w:p w14:paraId="6282C167" w14:textId="6D631DE5" w:rsidR="00704C59" w:rsidRPr="00636FE1" w:rsidRDefault="0004648F" w:rsidP="00BF1231">
      <w:pPr>
        <w:pStyle w:val="Puce2"/>
        <w:rPr>
          <w:b/>
        </w:rPr>
      </w:pPr>
      <w:r w:rsidRPr="00A62484">
        <w:t>E</w:t>
      </w:r>
      <w:r w:rsidR="00704C59" w:rsidRPr="00A62484">
        <w:t xml:space="preserve">n matière de fournitures et services, une description </w:t>
      </w:r>
      <w:r w:rsidR="00704C59" w:rsidRPr="000515C7">
        <w:t>de l’équipement technique</w:t>
      </w:r>
      <w:r w:rsidR="00704C59" w:rsidRPr="00636FE1">
        <w:rPr>
          <w:strike/>
        </w:rPr>
        <w:t>,</w:t>
      </w:r>
      <w:r w:rsidR="00704C59" w:rsidRPr="00F35F1C">
        <w:t xml:space="preserve"> des mesures employées par l</w:t>
      </w:r>
      <w:r w:rsidR="00426EBE">
        <w:t>e candidat</w:t>
      </w:r>
      <w:r w:rsidR="00704C59" w:rsidRPr="00F35F1C">
        <w:t xml:space="preserve"> pour s’assurer de la qualité et des moyens d’étude et de recherche de son entreprise ;</w:t>
      </w:r>
    </w:p>
    <w:p w14:paraId="0B1138D8" w14:textId="4080DB72" w:rsidR="00704C59" w:rsidRPr="00F35F1C" w:rsidRDefault="00704C59" w:rsidP="001D1579">
      <w:pPr>
        <w:pStyle w:val="Puce1"/>
        <w:rPr>
          <w:snapToGrid w:val="0"/>
        </w:rPr>
      </w:pPr>
      <w:r w:rsidRPr="00A62484">
        <w:t>La</w:t>
      </w:r>
      <w:r w:rsidRPr="00A62484">
        <w:rPr>
          <w:snapToGrid w:val="0"/>
        </w:rPr>
        <w:t xml:space="preserve"> présentation des capacités</w:t>
      </w:r>
      <w:r w:rsidRPr="00F35F1C">
        <w:rPr>
          <w:snapToGrid w:val="0"/>
        </w:rPr>
        <w:t xml:space="preserve"> professionnelles de l’entreprise :</w:t>
      </w:r>
    </w:p>
    <w:p w14:paraId="2EBE7A81" w14:textId="31A51DE4" w:rsidR="00704C59" w:rsidRPr="00636FE1" w:rsidRDefault="00704C59" w:rsidP="00426EBE">
      <w:pPr>
        <w:pStyle w:val="Puce2"/>
        <w:rPr>
          <w:color w:val="000000"/>
          <w:shd w:val="clear" w:color="auto" w:fill="FFFFFF"/>
        </w:rPr>
      </w:pPr>
      <w:r w:rsidRPr="00F35F1C">
        <w:t xml:space="preserve">Le </w:t>
      </w:r>
      <w:r w:rsidR="00DA76FE">
        <w:t>candidat</w:t>
      </w:r>
      <w:r w:rsidRPr="00F35F1C">
        <w:t xml:space="preserve"> fourni</w:t>
      </w:r>
      <w:r w:rsidR="00D65F34">
        <w:t>t</w:t>
      </w:r>
      <w:r w:rsidRPr="00F35F1C">
        <w:t xml:space="preserve"> la liste des principales prestations effectuées au cours des trois dernières années, en indiquant le montant, la date et le destinataire public ou privé. Les prestations </w:t>
      </w:r>
      <w:r w:rsidRPr="00636FE1">
        <w:rPr>
          <w:color w:val="000000"/>
          <w:shd w:val="clear" w:color="auto" w:fill="FFFFFF"/>
        </w:rPr>
        <w:t>sont prouvées par des attestations du destinataire ou, à défaut, par une déclaration de l'opérateur économique</w:t>
      </w:r>
      <w:r w:rsidR="00426EBE">
        <w:rPr>
          <w:color w:val="000000"/>
          <w:shd w:val="clear" w:color="auto" w:fill="FFFFFF"/>
        </w:rPr>
        <w:t>.</w:t>
      </w:r>
    </w:p>
    <w:p w14:paraId="06019A24" w14:textId="7E6FD6E9" w:rsidR="00894583" w:rsidRPr="00F35F1C" w:rsidRDefault="00605629" w:rsidP="00636FE1">
      <w:r w:rsidRPr="00080A25">
        <w:t>Sont écartés les candidats dont la candidature a été jugée irrecevable au sens de l’</w:t>
      </w:r>
      <w:r w:rsidRPr="00F00A13">
        <w:t>article</w:t>
      </w:r>
      <w:r w:rsidRPr="00080A25">
        <w:t xml:space="preserve"> </w:t>
      </w:r>
      <w:r w:rsidR="00740A66">
        <w:t>R.</w:t>
      </w:r>
      <w:r>
        <w:t>2144-7 du code de la commande publique</w:t>
      </w:r>
      <w:r w:rsidRPr="00885792">
        <w:t xml:space="preserve"> </w:t>
      </w:r>
      <w:r w:rsidRPr="00080A25">
        <w:t>ou dont les capacités techniques, professionnelles et financières ont été jugées insuffisantes.</w:t>
      </w:r>
    </w:p>
    <w:p w14:paraId="068317D2" w14:textId="77777777" w:rsidR="00704C59" w:rsidRDefault="00704C59" w:rsidP="00636FE1">
      <w:pPr>
        <w:rPr>
          <w:lang w:eastAsia="fr-FR"/>
        </w:rPr>
      </w:pPr>
      <w:r w:rsidRPr="00837BAB">
        <w:rPr>
          <w:lang w:eastAsia="fr-FR"/>
        </w:rPr>
        <w:t>NOTA</w:t>
      </w:r>
    </w:p>
    <w:p w14:paraId="6E35845D" w14:textId="77777777" w:rsidR="0039280B" w:rsidRPr="0039280B" w:rsidRDefault="002171A9" w:rsidP="001D1579">
      <w:pPr>
        <w:pStyle w:val="Puce1"/>
      </w:pPr>
      <w:r w:rsidRPr="00DF1495">
        <w:lastRenderedPageBreak/>
        <w:t xml:space="preserve">Conformément </w:t>
      </w:r>
      <w:r>
        <w:t>aux articles R2143-13 et 14 du Code de la commande publique</w:t>
      </w:r>
      <w:r w:rsidR="0039280B" w:rsidRPr="00DF1495">
        <w:t>, les candidats ne sont pas tenus de fournir les documen</w:t>
      </w:r>
      <w:r w:rsidR="00173B5B">
        <w:t>ts et renseignements que la Cnam</w:t>
      </w:r>
      <w:r w:rsidR="0039280B" w:rsidRPr="00DF1495">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731A42FE" w14:textId="77777777" w:rsidR="00426EBE" w:rsidRPr="00426EBE" w:rsidRDefault="009A6BBE" w:rsidP="001D1579">
      <w:pPr>
        <w:pStyle w:val="Puce1"/>
        <w:rPr>
          <w:rFonts w:eastAsia="Times New Roman" w:cs="Calibri"/>
        </w:rPr>
      </w:pPr>
      <w:r>
        <w:t>Les formulaires DC1, DC2, DC4 sont disponibles à l’adresse suivante :</w:t>
      </w:r>
      <w:r w:rsidRPr="00636FE1">
        <w:rPr>
          <w:rFonts w:eastAsia="Times New Roman" w:cs="Calibri"/>
          <w:bCs/>
        </w:rPr>
        <w:t xml:space="preserve"> </w:t>
      </w:r>
    </w:p>
    <w:p w14:paraId="7CE21732" w14:textId="20BDBD52" w:rsidR="00426EBE" w:rsidRDefault="00412BD1" w:rsidP="00426EBE">
      <w:pPr>
        <w:pStyle w:val="Puce1"/>
        <w:numPr>
          <w:ilvl w:val="0"/>
          <w:numId w:val="0"/>
        </w:numPr>
        <w:ind w:left="765"/>
        <w:rPr>
          <w:rFonts w:eastAsia="Times New Roman" w:cs="Calibri"/>
        </w:rPr>
      </w:pPr>
      <w:hyperlink r:id="rId16" w:history="1">
        <w:r w:rsidR="00704C59" w:rsidRPr="00636FE1">
          <w:rPr>
            <w:rFonts w:eastAsia="Times New Roman" w:cs="Calibri"/>
            <w:color w:val="0000FF"/>
            <w:u w:val="single"/>
          </w:rPr>
          <w:t>http://www.economie.gouv.fr/daj/marches-publics</w:t>
        </w:r>
      </w:hyperlink>
      <w:r w:rsidR="00704C59" w:rsidRPr="00636FE1">
        <w:rPr>
          <w:rFonts w:eastAsia="Times New Roman" w:cs="Calibri"/>
        </w:rPr>
        <w:t xml:space="preserve"> – rubrique marchés publics ou </w:t>
      </w:r>
    </w:p>
    <w:p w14:paraId="1623E304" w14:textId="2A14B909" w:rsidR="00704C59" w:rsidRPr="00636FE1" w:rsidRDefault="00412BD1" w:rsidP="00426EBE">
      <w:pPr>
        <w:pStyle w:val="Puce1"/>
        <w:numPr>
          <w:ilvl w:val="0"/>
          <w:numId w:val="0"/>
        </w:numPr>
        <w:ind w:left="765"/>
        <w:rPr>
          <w:rFonts w:eastAsia="Times New Roman" w:cs="Calibri"/>
        </w:rPr>
      </w:pPr>
      <w:hyperlink r:id="rId17" w:history="1">
        <w:r w:rsidR="00704C59" w:rsidRPr="00636FE1">
          <w:rPr>
            <w:rFonts w:eastAsia="Times New Roman" w:cs="Calibri"/>
            <w:snapToGrid w:val="0"/>
            <w:color w:val="0000FF"/>
            <w:u w:val="single"/>
          </w:rPr>
          <w:t>http://www.economie.gouv.fr/daj/formulaires-declaration-candidat</w:t>
        </w:r>
      </w:hyperlink>
      <w:r w:rsidR="00704C59" w:rsidRPr="00636FE1">
        <w:rPr>
          <w:rFonts w:eastAsia="Times New Roman" w:cs="Calibri"/>
          <w:snapToGrid w:val="0"/>
        </w:rPr>
        <w:t>).</w:t>
      </w:r>
    </w:p>
    <w:p w14:paraId="79C8D469" w14:textId="77777777" w:rsidR="00712CFB" w:rsidRDefault="00712CFB" w:rsidP="00636FE1">
      <w:pPr>
        <w:rPr>
          <w:shd w:val="clear" w:color="auto" w:fill="FFFFFF"/>
        </w:rPr>
      </w:pPr>
      <w:r w:rsidRPr="00700A3C">
        <w:rPr>
          <w:shd w:val="clear" w:color="auto" w:fill="FFFFFF"/>
        </w:rPr>
        <w:t xml:space="preserve">Conformément à l’article </w:t>
      </w:r>
      <w:r>
        <w:rPr>
          <w:shd w:val="clear" w:color="auto" w:fill="FFFFFF"/>
        </w:rPr>
        <w:t>R2142-3 du code de la commande publique</w:t>
      </w:r>
      <w:r w:rsidRPr="00700A3C">
        <w:rPr>
          <w:shd w:val="clear" w:color="auto" w:fill="FFFFFF"/>
        </w:rPr>
        <w:t xml:space="preserv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7E86E2D7" w:rsidR="00712CFB" w:rsidRPr="00700A3C" w:rsidRDefault="00712CFB" w:rsidP="00636FE1">
      <w:pPr>
        <w:rPr>
          <w:shd w:val="clear" w:color="auto" w:fill="FFFFFF"/>
        </w:rPr>
      </w:pPr>
      <w:r w:rsidRPr="00700A3C">
        <w:rPr>
          <w:shd w:val="clear" w:color="auto" w:fill="FFFFFF"/>
        </w:rPr>
        <w:t xml:space="preserve">En application de l’article </w:t>
      </w:r>
      <w:r>
        <w:rPr>
          <w:shd w:val="clear" w:color="auto" w:fill="FFFFFF"/>
        </w:rPr>
        <w:t>R2143-12 du Code de la commande publique</w:t>
      </w:r>
      <w:r w:rsidRPr="00700A3C">
        <w:rPr>
          <w:shd w:val="clear" w:color="auto" w:fill="FFFFFF"/>
        </w:rPr>
        <w:t xml:space="preserve">, si le candidat s'appuie sur les capacités d'autres opérateurs économiques, il justifie des capacités de ce ou ces opérateurs économiques et apporte la preuve qu'il en disposera pour l'exécution </w:t>
      </w:r>
      <w:r w:rsidR="00B93848">
        <w:rPr>
          <w:shd w:val="clear" w:color="auto" w:fill="FFFFFF"/>
        </w:rPr>
        <w:t>de l’accord-cadre</w:t>
      </w:r>
      <w:r w:rsidRPr="00700A3C">
        <w:rPr>
          <w:shd w:val="clear" w:color="auto" w:fill="FFFFFF"/>
        </w:rPr>
        <w:t>. Cette preuve peut être apportée par tout moyen approprié. Le candidat produit les mêmes documents concernant cet opérateur économique que ceux q</w:t>
      </w:r>
      <w:r>
        <w:rPr>
          <w:shd w:val="clear" w:color="auto" w:fill="FFFFFF"/>
        </w:rPr>
        <w:t>ui lui sont exigés par la Cnam</w:t>
      </w:r>
      <w:r w:rsidRPr="00700A3C">
        <w:rPr>
          <w:shd w:val="clear" w:color="auto" w:fill="FFFFFF"/>
        </w:rPr>
        <w:t xml:space="preserve">. </w:t>
      </w:r>
    </w:p>
    <w:p w14:paraId="463218D6" w14:textId="72FD2218" w:rsidR="00712CFB" w:rsidRPr="00726E95" w:rsidRDefault="00712CFB" w:rsidP="00636FE1">
      <w:pPr>
        <w:rPr>
          <w:shd w:val="clear" w:color="auto" w:fill="FFFFFF"/>
        </w:rPr>
      </w:pPr>
      <w:r w:rsidRPr="0093453E">
        <w:rPr>
          <w:shd w:val="clear" w:color="auto" w:fill="FFFFFF"/>
        </w:rPr>
        <w:t>Si le candidat est objectivement dans l'impossibilité de produire, l'un des renseignements demandé</w:t>
      </w:r>
      <w:r w:rsidR="00D65F34" w:rsidRPr="0093453E">
        <w:rPr>
          <w:shd w:val="clear" w:color="auto" w:fill="FFFFFF"/>
        </w:rPr>
        <w:t>s</w:t>
      </w:r>
      <w:r w:rsidRPr="0093453E">
        <w:rPr>
          <w:shd w:val="clear" w:color="auto" w:fill="FFFFFF"/>
        </w:rPr>
        <w:t xml:space="preserve"> au titre de la présentation des garanties financières, il peut prouver sa capacité par tout autre document considéré comme équivalent par </w:t>
      </w:r>
      <w:r w:rsidR="00AB49B7" w:rsidRPr="0093453E">
        <w:rPr>
          <w:shd w:val="clear" w:color="auto" w:fill="FFFFFF"/>
        </w:rPr>
        <w:t>la Cnam</w:t>
      </w:r>
      <w:r w:rsidRPr="0093453E">
        <w:rPr>
          <w:shd w:val="clear" w:color="auto" w:fill="FFFFFF"/>
        </w:rPr>
        <w:t>.</w:t>
      </w:r>
    </w:p>
    <w:p w14:paraId="0AEFAB9A" w14:textId="77777777" w:rsidR="00712CFB" w:rsidRPr="00636FE1" w:rsidRDefault="00712CFB" w:rsidP="001D1579">
      <w:pPr>
        <w:pStyle w:val="Puce1"/>
        <w:rPr>
          <w:shd w:val="clear" w:color="auto" w:fill="FFFFFF"/>
        </w:rPr>
      </w:pPr>
      <w:r w:rsidRPr="00636FE1">
        <w:rPr>
          <w:shd w:val="clear" w:color="auto" w:fill="FFFFFF"/>
        </w:rPr>
        <w:t xml:space="preserve">Pour information, en vertu de l'article R2144-2 du Code de la commande publique, </w:t>
      </w:r>
      <w:r w:rsidRPr="0093453E">
        <w:rPr>
          <w:i/>
          <w:shd w:val="clear" w:color="auto" w:fill="FFFFFF"/>
        </w:rPr>
        <w:t>« 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 »</w:t>
      </w:r>
      <w:r w:rsidRPr="00636FE1">
        <w:rPr>
          <w:shd w:val="clear" w:color="auto" w:fill="FFFFFF"/>
        </w:rPr>
        <w:t>.</w:t>
      </w:r>
    </w:p>
    <w:p w14:paraId="2796EEF7" w14:textId="581EE3A1" w:rsidR="00712CFB" w:rsidRPr="00636FE1" w:rsidRDefault="00712CFB" w:rsidP="001D1579">
      <w:pPr>
        <w:pStyle w:val="Puce1"/>
        <w:rPr>
          <w:shd w:val="clear" w:color="auto" w:fill="FFFFFF"/>
        </w:rPr>
      </w:pPr>
      <w:r w:rsidRPr="00636FE1">
        <w:rPr>
          <w:shd w:val="clear" w:color="auto" w:fill="FFFFFF"/>
        </w:rPr>
        <w:t xml:space="preserve">De plus, selon l’article R2144-6 </w:t>
      </w:r>
      <w:r w:rsidR="0093453E">
        <w:rPr>
          <w:shd w:val="clear" w:color="auto" w:fill="FFFFFF"/>
        </w:rPr>
        <w:t>du Code de la commande publique :</w:t>
      </w:r>
      <w:r w:rsidRPr="00636FE1">
        <w:rPr>
          <w:shd w:val="clear" w:color="auto" w:fill="FFFFFF"/>
        </w:rPr>
        <w:t xml:space="preserve"> </w:t>
      </w:r>
      <w:r w:rsidRPr="0093453E">
        <w:rPr>
          <w:i/>
          <w:shd w:val="clear" w:color="auto" w:fill="FFFFFF"/>
        </w:rPr>
        <w:t>« L'acheteur peut demander au candidat de compléter ou d'expliquer les documents justificatifs et moyens de preuve fournis ou obtenus »</w:t>
      </w:r>
      <w:r w:rsidRPr="00636FE1">
        <w:rPr>
          <w:shd w:val="clear" w:color="auto" w:fill="FFFFFF"/>
        </w:rPr>
        <w:t>.</w:t>
      </w:r>
    </w:p>
    <w:p w14:paraId="645A4029" w14:textId="58059C21" w:rsidR="00712CFB" w:rsidRPr="00636FE1" w:rsidRDefault="00712CFB" w:rsidP="001D1579">
      <w:pPr>
        <w:pStyle w:val="Puce1"/>
        <w:rPr>
          <w:shd w:val="clear" w:color="auto" w:fill="FFFFFF"/>
        </w:rPr>
      </w:pPr>
      <w:r w:rsidRPr="00636FE1">
        <w:rPr>
          <w:shd w:val="clear" w:color="auto" w:fill="FFFFFF"/>
        </w:rPr>
        <w:t>Préalablement à la notification de l’accord-cadre, le candidat dont l’offre a été retenue doit également prouver la régularité de sa situation fiscale et sociale. Il dispose d’une liberté</w:t>
      </w:r>
      <w:r w:rsidR="0093453E">
        <w:rPr>
          <w:shd w:val="clear" w:color="auto" w:fill="FFFFFF"/>
        </w:rPr>
        <w:t xml:space="preserve"> de choix entre deux modalités :</w:t>
      </w:r>
    </w:p>
    <w:p w14:paraId="755C5B34" w14:textId="55EC9180" w:rsidR="00712CFB" w:rsidRPr="00700A3C" w:rsidRDefault="00712CFB" w:rsidP="00B93848">
      <w:pPr>
        <w:ind w:left="851"/>
        <w:rPr>
          <w:shd w:val="clear" w:color="auto" w:fill="FFFFFF"/>
        </w:rPr>
      </w:pPr>
      <w:r w:rsidRPr="00700A3C">
        <w:rPr>
          <w:shd w:val="clear" w:color="auto" w:fill="FFFFFF"/>
        </w:rPr>
        <w:t>1.</w:t>
      </w:r>
      <w:r w:rsidRPr="00700A3C">
        <w:rPr>
          <w:shd w:val="clear" w:color="auto" w:fill="FFFFFF"/>
        </w:rPr>
        <w:tab/>
        <w:t>Soit le candidat retenu produit l’état annuel des certificats, ou formulaire NOTI2, délivré par la direction générale des finances publiques (DGFiP)</w:t>
      </w:r>
      <w:r w:rsidR="00B93848">
        <w:rPr>
          <w:shd w:val="clear" w:color="auto" w:fill="FFFFFF"/>
        </w:rPr>
        <w:t> ;</w:t>
      </w:r>
    </w:p>
    <w:p w14:paraId="7323D2D2" w14:textId="10F99616" w:rsidR="00712CFB" w:rsidRPr="00700A3C" w:rsidRDefault="00712CFB" w:rsidP="00B93848">
      <w:pPr>
        <w:ind w:left="851"/>
        <w:rPr>
          <w:shd w:val="clear" w:color="auto" w:fill="FFFFFF"/>
        </w:rPr>
      </w:pPr>
      <w:r w:rsidRPr="00700A3C">
        <w:rPr>
          <w:shd w:val="clear" w:color="auto" w:fill="FFFFFF"/>
        </w:rPr>
        <w:t>2.</w:t>
      </w:r>
      <w:r w:rsidRPr="00700A3C">
        <w:rPr>
          <w:shd w:val="clear" w:color="auto" w:fill="FFFFFF"/>
        </w:rPr>
        <w:tab/>
        <w:t>Soit il fournit directement les deux attestations, fiscale (</w:t>
      </w:r>
      <w:hyperlink r:id="rId18" w:history="1">
        <w:r w:rsidR="00B93848" w:rsidRPr="00E13D41">
          <w:rPr>
            <w:rStyle w:val="Lienhypertexte"/>
            <w:shd w:val="clear" w:color="auto" w:fill="FFFFFF"/>
          </w:rPr>
          <w:t>http://www.impots.gouv.fr/</w:t>
        </w:r>
      </w:hyperlink>
      <w:r w:rsidRPr="00700A3C">
        <w:rPr>
          <w:shd w:val="clear" w:color="auto" w:fill="FFFFFF"/>
        </w:rPr>
        <w:t>) et sociale (</w:t>
      </w:r>
      <w:hyperlink r:id="rId19" w:history="1">
        <w:r w:rsidR="00B93848" w:rsidRPr="00E13D41">
          <w:rPr>
            <w:rStyle w:val="Lienhypertexte"/>
            <w:shd w:val="clear" w:color="auto" w:fill="FFFFFF"/>
          </w:rPr>
          <w:t>https://mon.urssaf.fr/</w:t>
        </w:r>
      </w:hyperlink>
      <w:r w:rsidRPr="00700A3C">
        <w:rPr>
          <w:shd w:val="clear" w:color="auto" w:fill="FFFFFF"/>
        </w:rPr>
        <w:t xml:space="preserve">; </w:t>
      </w:r>
      <w:hyperlink r:id="rId20" w:history="1">
        <w:r w:rsidR="00B93848" w:rsidRPr="00E13D41">
          <w:rPr>
            <w:rStyle w:val="Lienhypertexte"/>
            <w:shd w:val="clear" w:color="auto" w:fill="FFFFFF"/>
          </w:rPr>
          <w:t>http://www.msa-idf.fr/lfr/attestations-msa</w:t>
        </w:r>
      </w:hyperlink>
      <w:r w:rsidR="00230F9B">
        <w:rPr>
          <w:shd w:val="clear" w:color="auto" w:fill="FFFFFF"/>
        </w:rPr>
        <w:t>.</w:t>
      </w:r>
      <w:r w:rsidRPr="00700A3C">
        <w:rPr>
          <w:shd w:val="clear" w:color="auto" w:fill="FFFFFF"/>
        </w:rPr>
        <w:t xml:space="preserve"> Cette attestation est également disponible sur le portail multi-régimes </w:t>
      </w:r>
      <w:hyperlink r:id="rId21" w:history="1">
        <w:r w:rsidR="00B93848" w:rsidRPr="00E13D41">
          <w:rPr>
            <w:rStyle w:val="Lienhypertexte"/>
            <w:shd w:val="clear" w:color="auto" w:fill="FFFFFF"/>
          </w:rPr>
          <w:t>http://www.net-entreprises.fr</w:t>
        </w:r>
      </w:hyperlink>
      <w:r w:rsidRPr="00700A3C">
        <w:rPr>
          <w:shd w:val="clear" w:color="auto" w:fill="FFFFFF"/>
        </w:rPr>
        <w:t>).</w:t>
      </w:r>
    </w:p>
    <w:p w14:paraId="405BC916" w14:textId="4D987C0B" w:rsidR="00712CFB" w:rsidRPr="00700A3C" w:rsidRDefault="00712CFB" w:rsidP="00636FE1">
      <w:pPr>
        <w:rPr>
          <w:shd w:val="clear" w:color="auto" w:fill="FFFFFF"/>
        </w:rPr>
      </w:pPr>
      <w:r w:rsidRPr="00700A3C">
        <w:rPr>
          <w:shd w:val="clear" w:color="auto" w:fill="FFFFFF"/>
        </w:rPr>
        <w:t xml:space="preserve">Le candidat retenu </w:t>
      </w:r>
      <w:r w:rsidR="0093453E">
        <w:rPr>
          <w:shd w:val="clear" w:color="auto" w:fill="FFFFFF"/>
        </w:rPr>
        <w:t>doit</w:t>
      </w:r>
      <w:r w:rsidRPr="00700A3C">
        <w:rPr>
          <w:shd w:val="clear" w:color="auto" w:fill="FFFFFF"/>
        </w:rPr>
        <w:t xml:space="preserve"> également produire</w:t>
      </w:r>
      <w:r w:rsidR="0093453E">
        <w:rPr>
          <w:shd w:val="clear" w:color="auto" w:fill="FFFFFF"/>
        </w:rPr>
        <w:t>,</w:t>
      </w:r>
      <w:r w:rsidRPr="00700A3C">
        <w:rPr>
          <w:shd w:val="clear" w:color="auto" w:fill="FFFFFF"/>
        </w:rPr>
        <w:t xml:space="preserv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636FE1">
      <w:pPr>
        <w:rPr>
          <w:shd w:val="clear" w:color="auto" w:fill="FFFFFF"/>
        </w:rPr>
      </w:pPr>
      <w:r w:rsidRPr="00700A3C">
        <w:rPr>
          <w:shd w:val="clear" w:color="auto" w:fill="FFFFFF"/>
        </w:rPr>
        <w:t xml:space="preserve">Les cas d’interdiction de soumissionner sont prévus aux articles </w:t>
      </w:r>
      <w:r>
        <w:rPr>
          <w:shd w:val="clear" w:color="auto" w:fill="FFFFFF"/>
        </w:rPr>
        <w:t>L2141-1 à L2141-11 du Code de la commande publique</w:t>
      </w:r>
      <w:r w:rsidRPr="00700A3C">
        <w:rPr>
          <w:shd w:val="clear" w:color="auto" w:fill="FFFFFF"/>
        </w:rPr>
        <w:t>.</w:t>
      </w:r>
    </w:p>
    <w:p w14:paraId="16B08E0E" w14:textId="6D883E11" w:rsidR="00726E95" w:rsidRPr="00700A3C" w:rsidRDefault="00712CFB" w:rsidP="00636FE1">
      <w:pPr>
        <w:rPr>
          <w:shd w:val="clear" w:color="auto" w:fill="FFFFFF"/>
        </w:rPr>
      </w:pPr>
      <w:r w:rsidRPr="00700A3C">
        <w:rPr>
          <w:shd w:val="clear" w:color="auto" w:fill="FFFFFF"/>
        </w:rPr>
        <w:t xml:space="preserve">Conformément à </w:t>
      </w:r>
      <w:r>
        <w:rPr>
          <w:shd w:val="clear" w:color="auto" w:fill="FFFFFF"/>
        </w:rPr>
        <w:t>l’article R2144-7 du Code de la commande publique</w:t>
      </w:r>
      <w:r w:rsidR="00726E95">
        <w:rPr>
          <w:shd w:val="clear" w:color="auto" w:fill="FFFFFF"/>
        </w:rPr>
        <w:t xml:space="preserve">, </w:t>
      </w:r>
      <w:r w:rsidR="0093453E" w:rsidRPr="0093453E">
        <w:rPr>
          <w:i/>
          <w:shd w:val="clear" w:color="auto" w:fill="FFFFFF"/>
        </w:rPr>
        <w:t>« s</w:t>
      </w:r>
      <w:r w:rsidR="00726E95" w:rsidRPr="0093453E">
        <w:rPr>
          <w:i/>
          <w:shd w:val="clear" w:color="auto" w:fill="FFFFFF"/>
        </w:rPr>
        <w:t>i un candidat se trouve dans un cas d'interdiction de soumissionner, ne satisfait pas aux conditions de participation fixées par l'acheteur</w:t>
      </w:r>
      <w:r w:rsidR="00F71C4C" w:rsidRPr="0093453E">
        <w:rPr>
          <w:i/>
          <w:shd w:val="clear" w:color="auto" w:fill="FFFFFF"/>
        </w:rPr>
        <w:t xml:space="preserve">, produit, à l’appui de sa candidature, de faux renseignements ou documents, </w:t>
      </w:r>
      <w:r w:rsidR="00726E95" w:rsidRPr="0093453E">
        <w:rPr>
          <w:i/>
          <w:shd w:val="clear" w:color="auto" w:fill="FFFFFF"/>
        </w:rPr>
        <w:t xml:space="preserve">ou ne peut produire dans le délai imparti les documents justificatifs, les moyens de preuve, les compléments ou </w:t>
      </w:r>
      <w:r w:rsidR="00726E95" w:rsidRPr="0093453E">
        <w:rPr>
          <w:i/>
          <w:shd w:val="clear" w:color="auto" w:fill="FFFFFF"/>
        </w:rPr>
        <w:lastRenderedPageBreak/>
        <w:t xml:space="preserve">explications requis par l'acheteur, sa candidature est déclarée irrecevable et le candidat est éliminé. Dans ce cas, lorsque la vérification des candidatures intervient après la sélection des candidats ou le classement des offres, le candidat ou le </w:t>
      </w:r>
      <w:r w:rsidR="00DA76FE" w:rsidRPr="0093453E">
        <w:rPr>
          <w:i/>
          <w:shd w:val="clear" w:color="auto" w:fill="FFFFFF"/>
        </w:rPr>
        <w:t>candidat</w:t>
      </w:r>
      <w:r w:rsidR="00726E95" w:rsidRPr="0093453E">
        <w:rPr>
          <w:i/>
          <w:shd w:val="clear" w:color="auto" w:fill="FFFFFF"/>
        </w:rPr>
        <w:t xml:space="preserv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p>
    <w:p w14:paraId="0E4673CC" w14:textId="77777777" w:rsidR="00726E95" w:rsidRPr="00726E95" w:rsidRDefault="00712CFB" w:rsidP="00636FE1">
      <w:pPr>
        <w:rPr>
          <w:rFonts w:eastAsia="Times New Roman"/>
          <w:snapToGrid w:val="0"/>
          <w:lang w:eastAsia="fr-FR"/>
        </w:rPr>
      </w:pPr>
      <w:r w:rsidRPr="00700A3C">
        <w:rPr>
          <w:shd w:val="clear" w:color="auto" w:fill="FFFFFF"/>
        </w:rPr>
        <w:t xml:space="preserve">En cas d’inexactitude des documents et renseignements prévus aux articles </w:t>
      </w:r>
      <w:r>
        <w:rPr>
          <w:shd w:val="clear" w:color="auto" w:fill="FFFFFF"/>
        </w:rPr>
        <w:t>L2141-1 à L2141-11 du code de la commande publique</w:t>
      </w:r>
      <w:r w:rsidRPr="00700A3C">
        <w:rPr>
          <w:shd w:val="clear" w:color="auto" w:fill="FFFFFF"/>
        </w:rPr>
        <w:t xml:space="preserve"> ou du refus de produire les pièces prévues aux articles D. 8222-5 ou D. 8222-7 du nouveau Code du travail, l’accord-cadre peut être résilié aux torts du cocontractant et ce conformément à l’article </w:t>
      </w:r>
      <w:r>
        <w:rPr>
          <w:shd w:val="clear" w:color="auto" w:fill="FFFFFF"/>
        </w:rPr>
        <w:t>L2195-4 du Code de la commande publique</w:t>
      </w:r>
      <w:r w:rsidRPr="00700A3C">
        <w:rPr>
          <w:shd w:val="clear" w:color="auto" w:fill="FFFFFF"/>
        </w:rPr>
        <w:t>.</w:t>
      </w:r>
    </w:p>
    <w:p w14:paraId="3FD5223D" w14:textId="2A47BDE9" w:rsidR="00704C59" w:rsidRPr="00E27C2A" w:rsidRDefault="00704C59" w:rsidP="00636FE1">
      <w:pPr>
        <w:pStyle w:val="Titre2"/>
      </w:pPr>
      <w:bookmarkStart w:id="116" w:name="_Toc339962353"/>
      <w:bookmarkStart w:id="117" w:name="_Toc387997731"/>
      <w:bookmarkStart w:id="118" w:name="_Toc143250929"/>
      <w:bookmarkStart w:id="119" w:name="_Toc187833043"/>
      <w:bookmarkStart w:id="120" w:name="_Toc211257299"/>
      <w:r w:rsidRPr="00704C59">
        <w:t>Pièces à joindre au titre de l’offre</w:t>
      </w:r>
      <w:bookmarkEnd w:id="116"/>
      <w:bookmarkEnd w:id="117"/>
      <w:bookmarkEnd w:id="118"/>
      <w:bookmarkEnd w:id="119"/>
      <w:r w:rsidR="00F84B04">
        <w:t xml:space="preserve"> pour les lots 1 à 3</w:t>
      </w:r>
      <w:bookmarkEnd w:id="120"/>
    </w:p>
    <w:p w14:paraId="2B91E169" w14:textId="739641EC" w:rsidR="00CF7675" w:rsidRDefault="00CF7675" w:rsidP="00636FE1">
      <w:pPr>
        <w:rPr>
          <w:snapToGrid w:val="0"/>
          <w:lang w:eastAsia="fr-FR"/>
        </w:rPr>
      </w:pPr>
      <w:r w:rsidRPr="002427AA">
        <w:rPr>
          <w:snapToGrid w:val="0"/>
          <w:lang w:eastAsia="fr-FR"/>
        </w:rPr>
        <w:t xml:space="preserve">Dans l’hypothèse où le </w:t>
      </w:r>
      <w:r>
        <w:rPr>
          <w:snapToGrid w:val="0"/>
          <w:lang w:eastAsia="fr-FR"/>
        </w:rPr>
        <w:t>candidat</w:t>
      </w:r>
      <w:r w:rsidRPr="002427AA">
        <w:rPr>
          <w:snapToGrid w:val="0"/>
          <w:lang w:eastAsia="fr-FR"/>
        </w:rPr>
        <w:t xml:space="preserve"> répond à plusieurs lots, il </w:t>
      </w:r>
      <w:r>
        <w:rPr>
          <w:snapToGrid w:val="0"/>
          <w:lang w:eastAsia="fr-FR"/>
        </w:rPr>
        <w:t>doit</w:t>
      </w:r>
      <w:r w:rsidRPr="002427AA">
        <w:rPr>
          <w:snapToGrid w:val="0"/>
          <w:lang w:eastAsia="fr-FR"/>
        </w:rPr>
        <w:t xml:space="preserve"> présenter </w:t>
      </w:r>
      <w:r>
        <w:rPr>
          <w:snapToGrid w:val="0"/>
          <w:lang w:eastAsia="fr-FR"/>
        </w:rPr>
        <w:t>une offre pour chacun de ces</w:t>
      </w:r>
      <w:r w:rsidRPr="002427AA">
        <w:rPr>
          <w:snapToGrid w:val="0"/>
          <w:lang w:eastAsia="fr-FR"/>
        </w:rPr>
        <w:t xml:space="preserve"> lots indépendamment les uns des autres.</w:t>
      </w:r>
    </w:p>
    <w:p w14:paraId="6E8F62C9" w14:textId="6ED254C6" w:rsidR="0065713E" w:rsidRDefault="00260A3E" w:rsidP="00636FE1">
      <w:pPr>
        <w:rPr>
          <w:lang w:eastAsia="fr-FR"/>
        </w:rPr>
      </w:pPr>
      <w:r>
        <w:rPr>
          <w:lang w:eastAsia="fr-FR"/>
        </w:rPr>
        <w:t>Chaque</w:t>
      </w:r>
      <w:r w:rsidR="00704C59" w:rsidRPr="0030083B">
        <w:rPr>
          <w:lang w:eastAsia="fr-FR"/>
        </w:rPr>
        <w:t xml:space="preserve"> </w:t>
      </w:r>
      <w:r>
        <w:rPr>
          <w:snapToGrid w:val="0"/>
          <w:lang w:eastAsia="fr-FR"/>
        </w:rPr>
        <w:t>candidat</w:t>
      </w:r>
      <w:r w:rsidR="00704C59" w:rsidRPr="0030083B">
        <w:rPr>
          <w:snapToGrid w:val="0"/>
          <w:lang w:eastAsia="fr-FR"/>
        </w:rPr>
        <w:t xml:space="preserve"> </w:t>
      </w:r>
      <w:r>
        <w:rPr>
          <w:lang w:eastAsia="fr-FR"/>
        </w:rPr>
        <w:t>doi</w:t>
      </w:r>
      <w:r w:rsidR="00704C59" w:rsidRPr="0030083B">
        <w:rPr>
          <w:lang w:eastAsia="fr-FR"/>
        </w:rPr>
        <w:t>t fournir un dossier c</w:t>
      </w:r>
      <w:r w:rsidR="00393527">
        <w:rPr>
          <w:lang w:eastAsia="fr-FR"/>
        </w:rPr>
        <w:t>omprenant les pièces suivantes</w:t>
      </w:r>
      <w:r w:rsidR="00FC7EA3" w:rsidRPr="00FC7EA3">
        <w:t xml:space="preserve"> </w:t>
      </w:r>
      <w:r w:rsidR="00FC7EA3" w:rsidRPr="00FC7EA3">
        <w:rPr>
          <w:lang w:eastAsia="fr-FR"/>
        </w:rPr>
        <w:t>pour chaque lot pour lequel il soumissionne</w:t>
      </w:r>
      <w:r w:rsidR="000D3335">
        <w:rPr>
          <w:lang w:eastAsia="fr-FR"/>
        </w:rPr>
        <w:t>.</w:t>
      </w:r>
    </w:p>
    <w:p w14:paraId="11A2E8A5" w14:textId="77777777" w:rsidR="000414B8" w:rsidRPr="0030083B" w:rsidRDefault="000414B8" w:rsidP="000414B8">
      <w:pPr>
        <w:rPr>
          <w:snapToGrid w:val="0"/>
          <w:lang w:eastAsia="fr-FR"/>
        </w:rPr>
      </w:pPr>
      <w:r>
        <w:rPr>
          <w:snapToGrid w:val="0"/>
          <w:lang w:eastAsia="fr-FR"/>
        </w:rPr>
        <w:t>S</w:t>
      </w:r>
      <w:r w:rsidRPr="0030083B">
        <w:rPr>
          <w:snapToGrid w:val="0"/>
          <w:lang w:eastAsia="fr-FR"/>
        </w:rPr>
        <w:t xml:space="preserve">’agissant d’un appel d’offres </w:t>
      </w:r>
      <w:r w:rsidRPr="0030083B">
        <w:rPr>
          <w:snapToGrid w:val="0"/>
          <w:u w:val="single"/>
          <w:lang w:eastAsia="fr-FR"/>
        </w:rPr>
        <w:t>aucune négociation</w:t>
      </w:r>
      <w:r w:rsidRPr="0030083B">
        <w:rPr>
          <w:snapToGrid w:val="0"/>
          <w:lang w:eastAsia="fr-FR"/>
        </w:rPr>
        <w:t xml:space="preserve"> n’est permise.</w:t>
      </w:r>
      <w:r>
        <w:rPr>
          <w:snapToGrid w:val="0"/>
          <w:lang w:eastAsia="fr-FR"/>
        </w:rPr>
        <w:t xml:space="preserve"> Le</w:t>
      </w:r>
      <w:r w:rsidRPr="0030083B">
        <w:rPr>
          <w:snapToGrid w:val="0"/>
          <w:lang w:eastAsia="fr-FR"/>
        </w:rPr>
        <w:t xml:space="preserve"> </w:t>
      </w:r>
      <w:r>
        <w:rPr>
          <w:snapToGrid w:val="0"/>
          <w:lang w:eastAsia="fr-FR"/>
        </w:rPr>
        <w:t>candidat</w:t>
      </w:r>
      <w:r w:rsidRPr="0030083B">
        <w:rPr>
          <w:snapToGrid w:val="0"/>
          <w:lang w:eastAsia="fr-FR"/>
        </w:rPr>
        <w:t xml:space="preserve"> est invité </w:t>
      </w:r>
      <w:r>
        <w:rPr>
          <w:snapToGrid w:val="0"/>
          <w:lang w:eastAsia="fr-FR"/>
        </w:rPr>
        <w:t>à présenter</w:t>
      </w:r>
      <w:r w:rsidRPr="0030083B">
        <w:rPr>
          <w:snapToGrid w:val="0"/>
          <w:lang w:eastAsia="fr-FR"/>
        </w:rPr>
        <w:t xml:space="preserve"> </w:t>
      </w:r>
      <w:r>
        <w:rPr>
          <w:snapToGrid w:val="0"/>
          <w:lang w:eastAsia="fr-FR"/>
        </w:rPr>
        <w:t>sa meilleure offre.</w:t>
      </w:r>
    </w:p>
    <w:p w14:paraId="5EACD08A" w14:textId="4E1F5067" w:rsidR="008A35E1" w:rsidRPr="00636FE1" w:rsidRDefault="0065713E" w:rsidP="00AF70ED">
      <w:pPr>
        <w:pStyle w:val="Paragraphedeliste"/>
        <w:numPr>
          <w:ilvl w:val="0"/>
          <w:numId w:val="12"/>
        </w:numPr>
        <w:rPr>
          <w:snapToGrid w:val="0"/>
          <w:lang w:eastAsia="fr-FR"/>
        </w:rPr>
      </w:pPr>
      <w:r w:rsidRPr="00636FE1">
        <w:rPr>
          <w:snapToGrid w:val="0"/>
          <w:lang w:eastAsia="fr-FR"/>
        </w:rPr>
        <w:t>L’</w:t>
      </w:r>
      <w:r w:rsidRPr="003F269E">
        <w:rPr>
          <w:b/>
          <w:snapToGrid w:val="0"/>
          <w:lang w:eastAsia="fr-FR"/>
        </w:rPr>
        <w:t xml:space="preserve">Acte d’Engagement </w:t>
      </w:r>
      <w:r w:rsidRPr="00636FE1">
        <w:rPr>
          <w:snapToGrid w:val="0"/>
          <w:lang w:eastAsia="fr-FR"/>
        </w:rPr>
        <w:t xml:space="preserve">de l’accord-cadre </w:t>
      </w:r>
      <w:r w:rsidR="00260A3E" w:rsidRPr="00636FE1">
        <w:rPr>
          <w:snapToGrid w:val="0"/>
          <w:lang w:eastAsia="fr-FR"/>
        </w:rPr>
        <w:t xml:space="preserve">et </w:t>
      </w:r>
      <w:r w:rsidR="008D5797" w:rsidRPr="00636FE1">
        <w:rPr>
          <w:snapToGrid w:val="0"/>
          <w:lang w:eastAsia="fr-FR"/>
        </w:rPr>
        <w:t xml:space="preserve">son annexe </w:t>
      </w:r>
      <w:r w:rsidR="00CF7675" w:rsidRPr="00636FE1">
        <w:rPr>
          <w:snapToGrid w:val="0"/>
          <w:lang w:eastAsia="fr-FR"/>
        </w:rPr>
        <w:t>financière c</w:t>
      </w:r>
      <w:r w:rsidR="003F269E">
        <w:rPr>
          <w:snapToGrid w:val="0"/>
          <w:lang w:eastAsia="fr-FR"/>
        </w:rPr>
        <w:t>omplétée</w:t>
      </w:r>
      <w:r w:rsidR="003734D7">
        <w:rPr>
          <w:snapToGrid w:val="0"/>
          <w:lang w:eastAsia="fr-FR"/>
        </w:rPr>
        <w:t xml:space="preserve"> (bordereau de prix)</w:t>
      </w:r>
    </w:p>
    <w:p w14:paraId="26C91F9E" w14:textId="2EC8E339" w:rsidR="0065713E" w:rsidRDefault="0065713E" w:rsidP="00636FE1">
      <w:r w:rsidRPr="00DF1495">
        <w:t xml:space="preserve">L’offre </w:t>
      </w:r>
      <w:r w:rsidR="0093453E">
        <w:t>financière doit</w:t>
      </w:r>
      <w:r w:rsidRPr="00DF1495">
        <w:t xml:space="preserve"> être formulée en euro.</w:t>
      </w:r>
    </w:p>
    <w:p w14:paraId="6BC1D16E" w14:textId="041B95FB" w:rsidR="00AE7BA8" w:rsidRDefault="00AE7BA8" w:rsidP="00AE7BA8">
      <w:pPr>
        <w:pStyle w:val="Paragraphedeliste"/>
        <w:numPr>
          <w:ilvl w:val="0"/>
          <w:numId w:val="12"/>
        </w:numPr>
      </w:pPr>
      <w:r>
        <w:t>L</w:t>
      </w:r>
      <w:r w:rsidR="00A2763B">
        <w:t>e fichier « </w:t>
      </w:r>
      <w:r>
        <w:t>description des scenarii</w:t>
      </w:r>
      <w:r w:rsidR="00A2763B">
        <w:t> »</w:t>
      </w:r>
      <w:r>
        <w:t xml:space="preserve"> complété</w:t>
      </w:r>
    </w:p>
    <w:p w14:paraId="5485DB55" w14:textId="7181A88C" w:rsidR="00792918" w:rsidRDefault="006B18BE" w:rsidP="00AF70ED">
      <w:pPr>
        <w:pStyle w:val="Paragraphedeliste"/>
        <w:numPr>
          <w:ilvl w:val="0"/>
          <w:numId w:val="12"/>
        </w:numPr>
        <w:rPr>
          <w:snapToGrid w:val="0"/>
        </w:rPr>
      </w:pPr>
      <w:r w:rsidRPr="00792918">
        <w:rPr>
          <w:snapToGrid w:val="0"/>
          <w:lang w:eastAsia="fr-FR"/>
        </w:rPr>
        <w:t>Son offre technique détaillée établie conformément au CCTP et ses annexes</w:t>
      </w:r>
      <w:r w:rsidR="00792918">
        <w:rPr>
          <w:snapToGrid w:val="0"/>
          <w:lang w:eastAsia="fr-FR"/>
        </w:rPr>
        <w:t>, l</w:t>
      </w:r>
      <w:r w:rsidR="00792918" w:rsidRPr="00C0454E">
        <w:t>e</w:t>
      </w:r>
      <w:r w:rsidR="00792918" w:rsidRPr="00636FE1">
        <w:rPr>
          <w:snapToGrid w:val="0"/>
        </w:rPr>
        <w:t xml:space="preserve"> Plan d’Assurance Sécurité (PAS) renseigné</w:t>
      </w:r>
      <w:r w:rsidR="00792918">
        <w:rPr>
          <w:snapToGrid w:val="0"/>
        </w:rPr>
        <w:t>.</w:t>
      </w:r>
      <w:r w:rsidRPr="00792918">
        <w:rPr>
          <w:snapToGrid w:val="0"/>
          <w:lang w:eastAsia="fr-FR"/>
        </w:rPr>
        <w:t xml:space="preserve"> </w:t>
      </w:r>
    </w:p>
    <w:p w14:paraId="71783025" w14:textId="30656E63" w:rsidR="0065713E" w:rsidRPr="00DF1495" w:rsidRDefault="0065713E" w:rsidP="00636FE1">
      <w:pPr>
        <w:rPr>
          <w:snapToGrid w:val="0"/>
          <w:lang w:eastAsia="fr-FR"/>
        </w:rPr>
      </w:pPr>
      <w:r w:rsidRPr="00DF1495">
        <w:rPr>
          <w:snapToGrid w:val="0"/>
          <w:lang w:eastAsia="fr-FR"/>
        </w:rPr>
        <w:t>Le candidat fourni</w:t>
      </w:r>
      <w:r w:rsidR="0060187E">
        <w:rPr>
          <w:snapToGrid w:val="0"/>
          <w:lang w:eastAsia="fr-FR"/>
        </w:rPr>
        <w:t>t</w:t>
      </w:r>
      <w:r w:rsidRPr="00DF1495">
        <w:rPr>
          <w:snapToGrid w:val="0"/>
          <w:lang w:eastAsia="fr-FR"/>
        </w:rPr>
        <w:t xml:space="preserve"> tous les justificatifs permettant de vérifier l’exactitude des informations fournies.</w:t>
      </w:r>
    </w:p>
    <w:p w14:paraId="2ADBDFC6" w14:textId="77777777" w:rsidR="0065713E" w:rsidRPr="00636FE1" w:rsidRDefault="0065713E" w:rsidP="00AF70ED">
      <w:pPr>
        <w:pStyle w:val="Paragraphedeliste"/>
        <w:numPr>
          <w:ilvl w:val="0"/>
          <w:numId w:val="12"/>
        </w:numPr>
        <w:rPr>
          <w:snapToGrid w:val="0"/>
          <w:lang w:eastAsia="fr-FR"/>
        </w:rPr>
      </w:pPr>
      <w:r w:rsidRPr="00636FE1">
        <w:rPr>
          <w:snapToGrid w:val="0"/>
          <w:lang w:eastAsia="fr-FR"/>
        </w:rPr>
        <w:t>Tout autre document jugé utile par le candidat pour étayer son offre.</w:t>
      </w:r>
    </w:p>
    <w:p w14:paraId="58FEB6EE" w14:textId="444D52D1" w:rsidR="00704C59" w:rsidRPr="00704C59" w:rsidRDefault="00B72AB5" w:rsidP="00636FE1">
      <w:pPr>
        <w:pStyle w:val="Titre1"/>
      </w:pPr>
      <w:bookmarkStart w:id="121" w:name="_Toc143250931"/>
      <w:bookmarkStart w:id="122" w:name="_Toc187833047"/>
      <w:bookmarkStart w:id="123" w:name="_Toc211257300"/>
      <w:r>
        <w:t>C</w:t>
      </w:r>
      <w:r w:rsidR="007A594F">
        <w:t>onditions d’établissement et de remise des offres</w:t>
      </w:r>
      <w:bookmarkEnd w:id="121"/>
      <w:bookmarkEnd w:id="122"/>
      <w:bookmarkEnd w:id="123"/>
    </w:p>
    <w:p w14:paraId="3EBCB4CF" w14:textId="77777777" w:rsidR="00704C59" w:rsidRPr="00E27C2A" w:rsidRDefault="00704C59" w:rsidP="00636FE1">
      <w:pPr>
        <w:pStyle w:val="Titre2"/>
      </w:pPr>
      <w:bookmarkStart w:id="124" w:name="_Toc300836749"/>
      <w:bookmarkStart w:id="125" w:name="_Toc339962356"/>
      <w:bookmarkStart w:id="126" w:name="_Toc387997734"/>
      <w:bookmarkStart w:id="127" w:name="_Toc143250932"/>
      <w:bookmarkStart w:id="128" w:name="_Ref143252561"/>
      <w:bookmarkStart w:id="129" w:name="_Ref143252735"/>
      <w:bookmarkStart w:id="130" w:name="_Ref187142076"/>
      <w:bookmarkStart w:id="131" w:name="_Toc187833048"/>
      <w:bookmarkStart w:id="132" w:name="_Toc211257301"/>
      <w:bookmarkStart w:id="133" w:name="_Toc260399625"/>
      <w:r w:rsidRPr="00E27C2A">
        <w:t>Conditions de délai</w:t>
      </w:r>
      <w:bookmarkEnd w:id="124"/>
      <w:bookmarkEnd w:id="125"/>
      <w:bookmarkEnd w:id="126"/>
      <w:bookmarkEnd w:id="127"/>
      <w:bookmarkEnd w:id="128"/>
      <w:bookmarkEnd w:id="129"/>
      <w:bookmarkEnd w:id="130"/>
      <w:bookmarkEnd w:id="131"/>
      <w:bookmarkEnd w:id="132"/>
    </w:p>
    <w:p w14:paraId="687135B3" w14:textId="72EC2FE2" w:rsidR="00704C59" w:rsidRPr="00D60C44" w:rsidRDefault="00704C59" w:rsidP="00D60C44">
      <w:pPr>
        <w:jc w:val="center"/>
        <w:rPr>
          <w:b/>
          <w:lang w:eastAsia="fr-FR"/>
        </w:rPr>
      </w:pPr>
      <w:r w:rsidRPr="00D60C44">
        <w:rPr>
          <w:b/>
          <w:lang w:eastAsia="fr-FR"/>
        </w:rPr>
        <w:t>Date limite de remise des offres</w:t>
      </w:r>
      <w:r w:rsidR="00714FAC" w:rsidRPr="00D60C44">
        <w:rPr>
          <w:b/>
          <w:lang w:eastAsia="fr-FR"/>
        </w:rPr>
        <w:t> :</w:t>
      </w:r>
      <w:r w:rsidRPr="00D60C44">
        <w:rPr>
          <w:b/>
          <w:lang w:eastAsia="fr-FR"/>
        </w:rPr>
        <w:t xml:space="preserve"> </w:t>
      </w:r>
      <w:r w:rsidR="00412BD1">
        <w:rPr>
          <w:b/>
          <w:lang w:eastAsia="fr-FR"/>
        </w:rPr>
        <w:t>15</w:t>
      </w:r>
      <w:r w:rsidR="009D7D12">
        <w:rPr>
          <w:b/>
          <w:lang w:eastAsia="fr-FR"/>
        </w:rPr>
        <w:t>/</w:t>
      </w:r>
      <w:r w:rsidR="00412BD1">
        <w:rPr>
          <w:b/>
          <w:lang w:eastAsia="fr-FR"/>
        </w:rPr>
        <w:t>12</w:t>
      </w:r>
      <w:r w:rsidR="00714FAC" w:rsidRPr="003F2D93">
        <w:rPr>
          <w:b/>
          <w:lang w:eastAsia="fr-FR"/>
        </w:rPr>
        <w:t>/2025</w:t>
      </w:r>
    </w:p>
    <w:p w14:paraId="5A25FF53" w14:textId="1213497F" w:rsidR="00704C59" w:rsidRPr="00D60C44" w:rsidRDefault="00704C59" w:rsidP="00D60C44">
      <w:pPr>
        <w:jc w:val="center"/>
        <w:rPr>
          <w:b/>
          <w:lang w:eastAsia="fr-FR"/>
        </w:rPr>
      </w:pPr>
      <w:r w:rsidRPr="00D60C44">
        <w:rPr>
          <w:b/>
          <w:lang w:eastAsia="fr-FR"/>
        </w:rPr>
        <w:t>Heure limite de réception</w:t>
      </w:r>
      <w:r w:rsidR="00714FAC" w:rsidRPr="00D60C44">
        <w:rPr>
          <w:b/>
          <w:lang w:eastAsia="fr-FR"/>
        </w:rPr>
        <w:t> :</w:t>
      </w:r>
      <w:r w:rsidRPr="00D60C44">
        <w:rPr>
          <w:b/>
          <w:lang w:eastAsia="fr-FR"/>
        </w:rPr>
        <w:t xml:space="preserve"> </w:t>
      </w:r>
      <w:r w:rsidR="00714FAC" w:rsidRPr="003F2D93">
        <w:rPr>
          <w:b/>
          <w:lang w:eastAsia="fr-FR"/>
        </w:rPr>
        <w:t>12h00</w:t>
      </w:r>
    </w:p>
    <w:p w14:paraId="7EC0F12F" w14:textId="10E6C06E" w:rsidR="00704C59" w:rsidRPr="0030083B" w:rsidRDefault="00704C59" w:rsidP="00636FE1">
      <w:pPr>
        <w:rPr>
          <w:lang w:eastAsia="fr-FR"/>
        </w:rPr>
      </w:pPr>
      <w:r w:rsidRPr="0030083B">
        <w:rPr>
          <w:lang w:eastAsia="fr-FR"/>
        </w:rPr>
        <w:t>Les dossiers qui parviendraient après la date et/ou l’heure limite(s) ou ne respectant pas scrupuleusement les dispositions indiquées ci-dessous ne sont pas retenus.</w:t>
      </w:r>
    </w:p>
    <w:p w14:paraId="4AF196B4" w14:textId="77777777" w:rsidR="00704C59" w:rsidRPr="00E27C2A" w:rsidRDefault="00704C59" w:rsidP="00636FE1">
      <w:pPr>
        <w:pStyle w:val="Titre2"/>
      </w:pPr>
      <w:bookmarkStart w:id="134" w:name="_Toc339962357"/>
      <w:bookmarkStart w:id="135" w:name="_Toc387997735"/>
      <w:bookmarkStart w:id="136" w:name="_Toc143250933"/>
      <w:bookmarkStart w:id="137" w:name="_Toc187833049"/>
      <w:bookmarkStart w:id="138" w:name="_Toc211257302"/>
      <w:r w:rsidRPr="00E27C2A">
        <w:t xml:space="preserve">Transmission </w:t>
      </w:r>
      <w:bookmarkEnd w:id="134"/>
      <w:r w:rsidRPr="00E27C2A">
        <w:t>électronique</w:t>
      </w:r>
      <w:bookmarkEnd w:id="135"/>
      <w:bookmarkEnd w:id="136"/>
      <w:bookmarkEnd w:id="137"/>
      <w:bookmarkEnd w:id="138"/>
    </w:p>
    <w:p w14:paraId="312F5055" w14:textId="77777777" w:rsidR="00186A2E" w:rsidRPr="005D067D" w:rsidRDefault="00186A2E" w:rsidP="00636FE1">
      <w:pPr>
        <w:pStyle w:val="Titre3"/>
      </w:pPr>
      <w:bookmarkStart w:id="139" w:name="_Toc143250934"/>
      <w:bookmarkStart w:id="140" w:name="_Toc187833050"/>
      <w:bookmarkStart w:id="141" w:name="_Toc211257303"/>
      <w:r w:rsidRPr="005D067D">
        <w:t>Dépôt du dossier</w:t>
      </w:r>
      <w:bookmarkEnd w:id="139"/>
      <w:bookmarkEnd w:id="140"/>
      <w:bookmarkEnd w:id="141"/>
    </w:p>
    <w:bookmarkEnd w:id="133"/>
    <w:p w14:paraId="7F2997A7" w14:textId="362BB0E8" w:rsidR="00C831E9" w:rsidRDefault="00C831E9" w:rsidP="00636FE1">
      <w:pPr>
        <w:rPr>
          <w:lang w:eastAsia="fr-FR"/>
        </w:rPr>
      </w:pPr>
      <w:r w:rsidRPr="00732CCF">
        <w:rPr>
          <w:lang w:eastAsia="fr-FR"/>
        </w:rPr>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sidR="002A4208">
        <w:rPr>
          <w:lang w:eastAsia="fr-FR"/>
        </w:rPr>
        <w:t>des achats de l’État PLACE</w:t>
      </w:r>
      <w:r w:rsidRPr="00732CCF">
        <w:rPr>
          <w:lang w:eastAsia="fr-FR"/>
        </w:rPr>
        <w:t xml:space="preserve"> </w:t>
      </w:r>
      <w:r w:rsidR="002A4208">
        <w:rPr>
          <w:lang w:eastAsia="fr-FR"/>
        </w:rPr>
        <w:t>« </w:t>
      </w:r>
      <w:hyperlink r:id="rId22" w:history="1">
        <w:r w:rsidR="002A4208" w:rsidRPr="004612F9">
          <w:rPr>
            <w:rStyle w:val="Lienhypertexte"/>
            <w:lang w:eastAsia="fr-FR"/>
          </w:rPr>
          <w:t>https://www.marches-publics.gouv.fr</w:t>
        </w:r>
      </w:hyperlink>
      <w:r w:rsidR="002A4208">
        <w:rPr>
          <w:lang w:eastAsia="fr-FR"/>
        </w:rPr>
        <w:t xml:space="preserve"> » </w:t>
      </w:r>
    </w:p>
    <w:p w14:paraId="79ABEC82" w14:textId="77777777" w:rsidR="00C831E9" w:rsidRPr="005F6EAF" w:rsidRDefault="00C831E9" w:rsidP="00636FE1">
      <w:pPr>
        <w:rPr>
          <w:lang w:eastAsia="fr-FR"/>
        </w:rPr>
      </w:pPr>
      <w:r w:rsidRPr="005F6EAF">
        <w:rPr>
          <w:lang w:eastAsia="fr-FR"/>
        </w:rPr>
        <w:lastRenderedPageBreak/>
        <w:t>Un guide utilisateurs est à disposition sur le site, rubrique Aide, qui préci</w:t>
      </w:r>
      <w:r>
        <w:rPr>
          <w:lang w:eastAsia="fr-FR"/>
        </w:rPr>
        <w:t>se les conditions d'utilisation</w:t>
      </w:r>
      <w:r w:rsidRPr="005F6EAF">
        <w:rPr>
          <w:lang w:eastAsia="fr-FR"/>
        </w:rPr>
        <w:t xml:space="preserve"> de la plate-forme des achats de l'État, notamment les pré-requis techniques nécessaires au dépôt d'une offre dématérialisée.</w:t>
      </w:r>
    </w:p>
    <w:p w14:paraId="539D2765" w14:textId="4705C902" w:rsidR="00C831E9" w:rsidRPr="005F6EAF" w:rsidRDefault="00C831E9" w:rsidP="00636FE1">
      <w:r w:rsidRPr="005F6EAF">
        <w:rPr>
          <w:lang w:eastAsia="fr-FR"/>
        </w:rPr>
        <w:t>En outre, pour toutes demandes d’assistance technique, questions, ou tout problème rencontré, les candidats peuvent contacter l‘assistance technique du site</w:t>
      </w:r>
      <w:r w:rsidR="002A4208">
        <w:rPr>
          <w:lang w:eastAsia="fr-FR"/>
        </w:rPr>
        <w:t xml:space="preserve"> </w:t>
      </w:r>
      <w:hyperlink r:id="rId23" w:history="1">
        <w:r w:rsidR="002A4208" w:rsidRPr="004612F9">
          <w:rPr>
            <w:rStyle w:val="Lienhypertexte"/>
            <w:lang w:eastAsia="fr-FR"/>
          </w:rPr>
          <w:t>https://www.marches-publics.gouv.fr</w:t>
        </w:r>
      </w:hyperlink>
      <w:r w:rsidR="002A4208">
        <w:rPr>
          <w:lang w:eastAsia="fr-FR"/>
        </w:rPr>
        <w:t xml:space="preserve"> </w:t>
      </w:r>
      <w:r w:rsidRPr="005F6EAF">
        <w:t xml:space="preserve">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0414B8">
        <w:tc>
          <w:tcPr>
            <w:tcW w:w="1101" w:type="dxa"/>
            <w:shd w:val="clear" w:color="auto" w:fill="auto"/>
            <w:vAlign w:val="center"/>
          </w:tcPr>
          <w:p w14:paraId="4EFD2462" w14:textId="585AACEB" w:rsidR="00C831E9" w:rsidRPr="00134D5B" w:rsidRDefault="00EE37D5" w:rsidP="000414B8">
            <w:pPr>
              <w:spacing w:before="0" w:after="0"/>
            </w:pPr>
            <w:r w:rsidRPr="00134D5B">
              <w:rPr>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vAlign w:val="center"/>
          </w:tcPr>
          <w:p w14:paraId="6069A382" w14:textId="1B012B2D" w:rsidR="00C831E9" w:rsidRPr="002F7B03" w:rsidRDefault="00C831E9" w:rsidP="000414B8">
            <w:pPr>
              <w:spacing w:before="0" w:after="0"/>
            </w:pPr>
            <w:r w:rsidRPr="002F7B03">
              <w:t>« FAQ et support en ligne »</w:t>
            </w:r>
          </w:p>
        </w:tc>
      </w:tr>
    </w:tbl>
    <w:p w14:paraId="129418BE" w14:textId="3F24420B" w:rsidR="00C831E9" w:rsidRPr="005F6EAF" w:rsidRDefault="00C831E9" w:rsidP="00636FE1">
      <w:r w:rsidRPr="005F6EAF">
        <w:t>leur permettant</w:t>
      </w:r>
      <w:r w:rsidR="00E62F9C">
        <w:t xml:space="preserve"> </w:t>
      </w:r>
      <w:r w:rsidRPr="005F6EAF">
        <w:t xml:space="preserve">d’accéder : </w:t>
      </w:r>
    </w:p>
    <w:p w14:paraId="5685F73B" w14:textId="7F57ADE9" w:rsidR="00C831E9" w:rsidRPr="005F6EAF" w:rsidRDefault="001D1579" w:rsidP="001D1579">
      <w:pPr>
        <w:pStyle w:val="Puce1"/>
      </w:pPr>
      <w:r>
        <w:t>A</w:t>
      </w:r>
      <w:r w:rsidR="00C831E9" w:rsidRPr="005F6EAF">
        <w:t xml:space="preserve"> une foire aux questions, </w:t>
      </w:r>
    </w:p>
    <w:p w14:paraId="6C6A73D7" w14:textId="2425671E" w:rsidR="00C831E9" w:rsidRPr="005F6EAF" w:rsidRDefault="001D1579" w:rsidP="001D1579">
      <w:pPr>
        <w:pStyle w:val="Puce1"/>
      </w:pPr>
      <w:r>
        <w:t>A</w:t>
      </w:r>
      <w:r w:rsidR="00C831E9" w:rsidRPr="005F6EAF">
        <w:t>insi qu’à un formulaire afin de créer une demande</w:t>
      </w:r>
      <w:r w:rsidR="00C831E9">
        <w:t xml:space="preserve"> d’aide</w:t>
      </w:r>
      <w:r w:rsidR="00C831E9" w:rsidRPr="005F6EAF">
        <w:t xml:space="preserve"> en ligne. Ce formulaire permet de récupérer les informations de connexion et ainsi de pré-alimenter la demande,</w:t>
      </w:r>
    </w:p>
    <w:p w14:paraId="4AEADE0A" w14:textId="1E389950" w:rsidR="00C831E9" w:rsidRPr="005F6EAF" w:rsidRDefault="001D1579" w:rsidP="001D1579">
      <w:pPr>
        <w:pStyle w:val="Puce1"/>
        <w:rPr>
          <w:snapToGrid w:val="0"/>
        </w:rPr>
      </w:pPr>
      <w:r>
        <w:t>E</w:t>
      </w:r>
      <w:r w:rsidR="00C831E9" w:rsidRPr="005F6EAF">
        <w:t xml:space="preserve">t enfin à un support téléphonique, dont le numéro ne s’affiche que si une demande d’assistance en ligne a été créée au préalable. </w:t>
      </w:r>
      <w:r w:rsidR="00C831E9" w:rsidRPr="005F6EAF">
        <w:rPr>
          <w:snapToGrid w:val="0"/>
        </w:rPr>
        <w:t>L’assistance technique de la plateforme est ouverte de 9h00 à 19h00 du lundi au vendredi.</w:t>
      </w:r>
      <w:r>
        <w:rPr>
          <w:snapToGrid w:val="0"/>
        </w:rPr>
        <w:t xml:space="preserve"> </w:t>
      </w:r>
    </w:p>
    <w:p w14:paraId="2F5504DE" w14:textId="77777777" w:rsidR="00C831E9" w:rsidRPr="00732CCF" w:rsidRDefault="00C831E9" w:rsidP="00636FE1">
      <w:pPr>
        <w:rPr>
          <w:lang w:eastAsia="fr-FR"/>
        </w:rPr>
      </w:pPr>
      <w:r w:rsidRPr="00732CCF">
        <w:rPr>
          <w:lang w:eastAsia="fr-FR"/>
        </w:rPr>
        <w:t xml:space="preserve">Tout dépôt sur un autre site ou sur </w:t>
      </w:r>
      <w:r>
        <w:rPr>
          <w:lang w:eastAsia="fr-FR"/>
        </w:rPr>
        <w:t xml:space="preserve">une autre </w:t>
      </w:r>
      <w:r w:rsidRPr="00732CCF">
        <w:rPr>
          <w:lang w:eastAsia="fr-FR"/>
        </w:rPr>
        <w:t>adresse électronique est nul et non avenu.</w:t>
      </w:r>
    </w:p>
    <w:p w14:paraId="6BA88D51" w14:textId="77777777" w:rsidR="003D536E" w:rsidRDefault="003D536E" w:rsidP="00636FE1">
      <w:pPr>
        <w:rPr>
          <w:lang w:eastAsia="fr-FR"/>
        </w:rPr>
      </w:pPr>
      <w:r w:rsidRPr="003D536E">
        <w:rPr>
          <w:lang w:eastAsia="fr-FR"/>
        </w:rPr>
        <w:t>Excepté le cas de la copie de sauvegarde, l’envoi ou le dépôt de l’offre sur support papier ou sur support physique électronique n’est pas autorisé.</w:t>
      </w:r>
    </w:p>
    <w:p w14:paraId="3C424002" w14:textId="77777777" w:rsidR="00C831E9" w:rsidRDefault="00C831E9" w:rsidP="00636FE1">
      <w:pPr>
        <w:rPr>
          <w:lang w:eastAsia="fr-FR"/>
        </w:rPr>
      </w:pPr>
      <w:r w:rsidRPr="00732CCF">
        <w:rPr>
          <w:lang w:eastAsia="fr-FR"/>
        </w:rPr>
        <w:t xml:space="preserve">La transmission électronique </w:t>
      </w:r>
      <w:r w:rsidRPr="007779B3">
        <w:rPr>
          <w:lang w:eastAsia="fr-FR"/>
        </w:rPr>
        <w:t>se fait par l'envoi d'un seul dossier comprenant l'intégralité des documents exigés</w:t>
      </w:r>
      <w:r>
        <w:rPr>
          <w:lang w:eastAsia="fr-FR"/>
        </w:rPr>
        <w:t>.</w:t>
      </w:r>
      <w:r w:rsidRPr="00732CCF">
        <w:rPr>
          <w:lang w:eastAsia="fr-FR"/>
        </w:rPr>
        <w:t xml:space="preserve"> Le dépôt des dossiers donne lieu à un accusé de réception mentionnant la date et l’heure de réception.</w:t>
      </w:r>
    </w:p>
    <w:p w14:paraId="549E4FA3" w14:textId="6BE649D8" w:rsidR="00C831E9" w:rsidRPr="00AE154C" w:rsidRDefault="00C831E9" w:rsidP="00636FE1">
      <w:pPr>
        <w:rPr>
          <w:lang w:eastAsia="fr-FR"/>
        </w:rPr>
      </w:pPr>
      <w:r w:rsidRPr="007779B3">
        <w:rPr>
          <w:lang w:eastAsia="fr-FR"/>
        </w:rPr>
        <w:t>La taille de chaque fichier transmis ne doit pas dépasser 1</w:t>
      </w:r>
      <w:r w:rsidR="00714FAC">
        <w:rPr>
          <w:lang w:eastAsia="fr-FR"/>
        </w:rPr>
        <w:t xml:space="preserve"> </w:t>
      </w:r>
      <w:r w:rsidRPr="007779B3">
        <w:rPr>
          <w:lang w:eastAsia="fr-FR"/>
        </w:rPr>
        <w:t>giga-octets. Dans le cas d’un dossier volumineux, il est recommandé le découpage de son dossier en plusieurs fichiers inférieurs à 1</w:t>
      </w:r>
      <w:r w:rsidR="00714FAC">
        <w:rPr>
          <w:lang w:eastAsia="fr-FR"/>
        </w:rPr>
        <w:t xml:space="preserve"> </w:t>
      </w:r>
      <w:r w:rsidRPr="007779B3">
        <w:rPr>
          <w:lang w:eastAsia="fr-FR"/>
        </w:rPr>
        <w:t>giga-octets.</w:t>
      </w:r>
    </w:p>
    <w:p w14:paraId="586201EC" w14:textId="5D3F6ED8" w:rsidR="00C831E9" w:rsidRPr="00732CCF" w:rsidRDefault="00C831E9" w:rsidP="00636FE1">
      <w:pPr>
        <w:rPr>
          <w:lang w:eastAsia="fr-FR"/>
        </w:rPr>
      </w:pPr>
      <w:r w:rsidRPr="007779B3">
        <w:rPr>
          <w:lang w:eastAsia="fr-FR"/>
        </w:rPr>
        <w:t>Afin de faciliter le traitement et l’analyse des fichiers composants le dossier, il est recommandé d’éviter l’utilisation de caractère spécial dans le nommage des différentes pièces</w:t>
      </w:r>
      <w:r w:rsidR="00714FAC">
        <w:rPr>
          <w:lang w:eastAsia="fr-FR"/>
        </w:rPr>
        <w:t xml:space="preserve"> </w:t>
      </w:r>
      <w:r w:rsidR="00714FAC">
        <w:t>et de limiter le nombre de caractères à 80</w:t>
      </w:r>
      <w:r w:rsidRPr="007779B3">
        <w:rPr>
          <w:lang w:eastAsia="fr-FR"/>
        </w:rPr>
        <w:t>.</w:t>
      </w:r>
    </w:p>
    <w:p w14:paraId="42F08F2E" w14:textId="77777777" w:rsidR="00C831E9" w:rsidRDefault="00C831E9" w:rsidP="00636FE1">
      <w:pPr>
        <w:rPr>
          <w:lang w:eastAsia="fr-FR"/>
        </w:rPr>
      </w:pPr>
      <w:r w:rsidRPr="00732CCF">
        <w:rPr>
          <w:lang w:eastAsia="fr-FR"/>
        </w:rPr>
        <w:t>Le mode de transmission électronique sécurisé choisi par le candidat doit permettre à la Cnam d’ouvrir les pièces sans le concours de celui-ci, c’est à dire sans une intervention personnelle du candidat.</w:t>
      </w:r>
    </w:p>
    <w:p w14:paraId="21B1A663" w14:textId="77777777" w:rsidR="00C831E9" w:rsidRDefault="00C831E9" w:rsidP="00636FE1">
      <w:pPr>
        <w:rPr>
          <w:highlight w:val="yellow"/>
          <w:lang w:eastAsia="fr-FR"/>
        </w:rPr>
      </w:pPr>
      <w:r w:rsidRPr="00AC737C">
        <w:rPr>
          <w:lang w:eastAsia="fr-FR"/>
        </w:rPr>
        <w:t>Les candidats sont invités à tester la configuration de leur poste de travail et répondre à</w:t>
      </w:r>
      <w:r>
        <w:rPr>
          <w:lang w:eastAsia="fr-FR"/>
        </w:rPr>
        <w:t xml:space="preserve"> </w:t>
      </w:r>
      <w:r w:rsidRPr="00AC737C">
        <w:rPr>
          <w:lang w:eastAsia="fr-FR"/>
        </w:rPr>
        <w:t>une consultation test, afin de s'assurer du bon fonctionnement de l'environnement</w:t>
      </w:r>
      <w:r>
        <w:rPr>
          <w:lang w:eastAsia="fr-FR"/>
        </w:rPr>
        <w:t xml:space="preserve"> </w:t>
      </w:r>
      <w:r w:rsidRPr="00AC737C">
        <w:rPr>
          <w:lang w:eastAsia="fr-FR"/>
        </w:rPr>
        <w:t>informatique.</w:t>
      </w:r>
    </w:p>
    <w:p w14:paraId="3748F32A" w14:textId="77777777" w:rsidR="00C831E9" w:rsidRPr="005D067D" w:rsidRDefault="00C831E9" w:rsidP="00636FE1">
      <w:pPr>
        <w:pStyle w:val="Titre3"/>
      </w:pPr>
      <w:bookmarkStart w:id="142" w:name="_Toc143250935"/>
      <w:bookmarkStart w:id="143" w:name="_Toc187833051"/>
      <w:bookmarkStart w:id="144" w:name="_Toc211257304"/>
      <w:bookmarkStart w:id="145" w:name="_Toc387997736"/>
      <w:r w:rsidRPr="005D067D">
        <w:t>Horodatage</w:t>
      </w:r>
      <w:bookmarkEnd w:id="142"/>
      <w:bookmarkEnd w:id="143"/>
      <w:bookmarkEnd w:id="144"/>
    </w:p>
    <w:p w14:paraId="04A56BE0" w14:textId="77777777" w:rsidR="00C831E9" w:rsidRPr="009C235E" w:rsidRDefault="00C831E9" w:rsidP="00636FE1">
      <w:pPr>
        <w:rPr>
          <w:lang w:eastAsia="fr-FR"/>
        </w:rPr>
      </w:pPr>
      <w:r w:rsidRPr="009C235E">
        <w:rPr>
          <w:lang w:eastAsia="fr-FR"/>
        </w:rPr>
        <w:t>Les plis transmis par voie électronique sont horodatés.</w:t>
      </w:r>
    </w:p>
    <w:p w14:paraId="59282D24" w14:textId="6A91CAEA" w:rsidR="00C831E9" w:rsidRPr="009C235E" w:rsidRDefault="00C831E9" w:rsidP="00636FE1">
      <w:pPr>
        <w:rPr>
          <w:lang w:eastAsia="fr-FR"/>
        </w:rPr>
      </w:pPr>
      <w:r w:rsidRPr="009C235E">
        <w:rPr>
          <w:lang w:eastAsia="fr-FR"/>
        </w:rPr>
        <w:t xml:space="preserve">Chaque transmission </w:t>
      </w:r>
      <w:r w:rsidR="00714FAC">
        <w:rPr>
          <w:lang w:eastAsia="fr-FR"/>
        </w:rPr>
        <w:t>fait</w:t>
      </w:r>
      <w:r w:rsidRPr="009C235E">
        <w:rPr>
          <w:lang w:eastAsia="fr-FR"/>
        </w:rPr>
        <w:t xml:space="preserve"> l’objet d’une date certaine de réception et d’un accusé de réception électronique. Tout pli parvenu après la date et l’heure limite de dépôt </w:t>
      </w:r>
      <w:r w:rsidR="00714FAC">
        <w:rPr>
          <w:lang w:eastAsia="fr-FR"/>
        </w:rPr>
        <w:t>est</w:t>
      </w:r>
      <w:r w:rsidRPr="009C235E">
        <w:rPr>
          <w:lang w:eastAsia="fr-FR"/>
        </w:rPr>
        <w:t xml:space="preserve"> considéré comme hors délai. La date et l’heure limites de réception des plis électroniques sont indiquées en première page du présent document et à son </w:t>
      </w:r>
      <w:r w:rsidR="00270481">
        <w:rPr>
          <w:lang w:eastAsia="fr-FR"/>
        </w:rPr>
        <w:t>§</w:t>
      </w:r>
      <w:r w:rsidR="005D067D">
        <w:rPr>
          <w:lang w:eastAsia="fr-FR"/>
        </w:rPr>
        <w:fldChar w:fldCharType="begin"/>
      </w:r>
      <w:r w:rsidR="005D067D">
        <w:rPr>
          <w:lang w:eastAsia="fr-FR"/>
        </w:rPr>
        <w:instrText xml:space="preserve"> REF _Ref143252561 \r \h </w:instrText>
      </w:r>
      <w:r w:rsidR="005D067D">
        <w:rPr>
          <w:lang w:eastAsia="fr-FR"/>
        </w:rPr>
      </w:r>
      <w:r w:rsidR="005D067D">
        <w:rPr>
          <w:lang w:eastAsia="fr-FR"/>
        </w:rPr>
        <w:fldChar w:fldCharType="separate"/>
      </w:r>
      <w:r w:rsidR="00FC00F4">
        <w:rPr>
          <w:lang w:eastAsia="fr-FR"/>
        </w:rPr>
        <w:t>6.1</w:t>
      </w:r>
      <w:r w:rsidR="005D067D">
        <w:rPr>
          <w:lang w:eastAsia="fr-FR"/>
        </w:rPr>
        <w:fldChar w:fldCharType="end"/>
      </w:r>
      <w:r w:rsidRPr="009C235E">
        <w:rPr>
          <w:lang w:eastAsia="fr-FR"/>
        </w:rPr>
        <w:t>.</w:t>
      </w:r>
    </w:p>
    <w:p w14:paraId="7558A3D4" w14:textId="77777777" w:rsidR="00C831E9" w:rsidRPr="009C235E" w:rsidRDefault="00C831E9" w:rsidP="00636FE1">
      <w:pPr>
        <w:rPr>
          <w:lang w:eastAsia="fr-FR"/>
        </w:rPr>
      </w:pPr>
      <w:r w:rsidRPr="009C235E">
        <w:rPr>
          <w:lang w:eastAsia="fr-FR"/>
        </w:rPr>
        <w:t>Si une nouvelle offre est envoyée dans le délai imparti par voie électronique par le même candidat, celle-ci annule et remplace l'offre précédente.</w:t>
      </w:r>
    </w:p>
    <w:p w14:paraId="6491EF7A" w14:textId="351FA491" w:rsidR="00C831E9" w:rsidRPr="009C235E" w:rsidRDefault="00C831E9" w:rsidP="00636FE1">
      <w:pPr>
        <w:rPr>
          <w:lang w:eastAsia="fr-FR"/>
        </w:rPr>
      </w:pPr>
      <w:r w:rsidRPr="009C235E">
        <w:rPr>
          <w:lang w:eastAsia="fr-FR"/>
        </w:rPr>
        <w:t xml:space="preserve">Il est rappelé que la durée du chargement est fonction du débit de l’accès Internet du </w:t>
      </w:r>
      <w:r w:rsidR="00DA76FE">
        <w:rPr>
          <w:lang w:eastAsia="fr-FR"/>
        </w:rPr>
        <w:t>candidat</w:t>
      </w:r>
      <w:r w:rsidRPr="009C235E">
        <w:rPr>
          <w:lang w:eastAsia="fr-FR"/>
        </w:rPr>
        <w:t xml:space="preserve"> et de la taille des documents à transmettre. L’attention des </w:t>
      </w:r>
      <w:r w:rsidR="00DA76FE">
        <w:rPr>
          <w:lang w:eastAsia="fr-FR"/>
        </w:rPr>
        <w:t>candidat</w:t>
      </w:r>
      <w:r w:rsidRPr="009C235E">
        <w:rPr>
          <w:lang w:eastAsia="fr-FR"/>
        </w:rPr>
        <w:t>s est attirée sur le fait que seule la bonne fin de la transmission complète du dossier génère l’accusé de dépôt de pli électronique.</w:t>
      </w:r>
    </w:p>
    <w:p w14:paraId="4D9D1813" w14:textId="0CF5D90D" w:rsidR="00C831E9" w:rsidRPr="009C235E" w:rsidRDefault="00714FAC" w:rsidP="00636FE1">
      <w:pPr>
        <w:rPr>
          <w:lang w:eastAsia="fr-FR"/>
        </w:rPr>
      </w:pPr>
      <w:r>
        <w:rPr>
          <w:lang w:eastAsia="fr-FR"/>
        </w:rPr>
        <w:lastRenderedPageBreak/>
        <w:t>Le candidat doit également vérifier</w:t>
      </w:r>
      <w:r w:rsidR="00C831E9" w:rsidRPr="009C235E">
        <w:rPr>
          <w:lang w:eastAsia="fr-FR"/>
        </w:rPr>
        <w:t xml:space="preserve"> que les alertes de la plateforme ne sont pas filtrées par le dispositif anti-spam de l’entreprise ou redirigés vers les </w:t>
      </w:r>
      <w:r>
        <w:rPr>
          <w:lang w:eastAsia="fr-FR"/>
        </w:rPr>
        <w:t>« </w:t>
      </w:r>
      <w:r w:rsidR="00C831E9" w:rsidRPr="009C235E">
        <w:rPr>
          <w:lang w:eastAsia="fr-FR"/>
        </w:rPr>
        <w:t>courriers indésirables</w:t>
      </w:r>
      <w:r>
        <w:rPr>
          <w:lang w:eastAsia="fr-FR"/>
        </w:rPr>
        <w:t> »</w:t>
      </w:r>
      <w:r w:rsidR="00C831E9" w:rsidRPr="009C235E">
        <w:rPr>
          <w:lang w:eastAsia="fr-FR"/>
        </w:rPr>
        <w:t xml:space="preserve"> (notamment, </w:t>
      </w:r>
      <w:hyperlink r:id="rId25" w:history="1">
        <w:r w:rsidR="002F7B03" w:rsidRPr="00ED6428">
          <w:rPr>
            <w:rStyle w:val="Lienhypertexte"/>
            <w:rFonts w:eastAsia="Times New Roman" w:cs="Calibri"/>
            <w:lang w:eastAsia="fr-FR"/>
          </w:rPr>
          <w:t>nepasrépondre@marches-publics.gouv.fr</w:t>
        </w:r>
      </w:hyperlink>
      <w:r w:rsidR="00C831E9" w:rsidRPr="009C235E">
        <w:rPr>
          <w:lang w:eastAsia="fr-FR"/>
        </w:rPr>
        <w:t>).</w:t>
      </w:r>
    </w:p>
    <w:p w14:paraId="1EB17B4E" w14:textId="77777777" w:rsidR="00C831E9" w:rsidRDefault="00C831E9" w:rsidP="00636FE1">
      <w:pPr>
        <w:rPr>
          <w:lang w:eastAsia="fr-FR"/>
        </w:rPr>
      </w:pPr>
      <w:r w:rsidRPr="009C235E">
        <w:rPr>
          <w:lang w:eastAsia="fr-FR"/>
        </w:rPr>
        <w:t>Les frais d’accès au réseau sont à la charge de chaque candidat.</w:t>
      </w:r>
    </w:p>
    <w:p w14:paraId="19D4101E" w14:textId="77777777" w:rsidR="00C831E9" w:rsidRPr="005D067D" w:rsidRDefault="00C831E9" w:rsidP="00636FE1">
      <w:pPr>
        <w:pStyle w:val="Titre3"/>
      </w:pPr>
      <w:bookmarkStart w:id="146" w:name="_Toc143250936"/>
      <w:bookmarkStart w:id="147" w:name="_Toc187833052"/>
      <w:bookmarkStart w:id="148" w:name="_Toc211257305"/>
      <w:r w:rsidRPr="005D067D">
        <w:t>Contrôle de virus</w:t>
      </w:r>
      <w:bookmarkEnd w:id="146"/>
      <w:bookmarkEnd w:id="147"/>
      <w:bookmarkEnd w:id="148"/>
    </w:p>
    <w:p w14:paraId="777B0BE3" w14:textId="77777777" w:rsidR="00C831E9" w:rsidRPr="009C235E" w:rsidRDefault="00C831E9" w:rsidP="00636FE1">
      <w:pPr>
        <w:rPr>
          <w:lang w:eastAsia="fr-FR"/>
        </w:rPr>
      </w:pPr>
      <w:r w:rsidRPr="009C235E">
        <w:rPr>
          <w:lang w:eastAsia="fr-FR"/>
        </w:rPr>
        <w:t xml:space="preserve">Tout fichier constitutif de la candidature et de l’offre doit être traité préalablement à l’antivirus. </w:t>
      </w:r>
    </w:p>
    <w:p w14:paraId="4683FE1F" w14:textId="44E2E123" w:rsidR="00C831E9" w:rsidRPr="009C235E" w:rsidRDefault="00C831E9" w:rsidP="00636FE1">
      <w:pPr>
        <w:rPr>
          <w:lang w:eastAsia="fr-FR"/>
        </w:rPr>
      </w:pPr>
      <w:r w:rsidRPr="009C235E">
        <w:rPr>
          <w:lang w:eastAsia="fr-FR"/>
        </w:rPr>
        <w:t>En cas de dépôt d’une offre dans lequel un virus informatique est détecté par la Cnam, celui-ci n</w:t>
      </w:r>
      <w:r w:rsidR="00676DC3">
        <w:rPr>
          <w:lang w:eastAsia="fr-FR"/>
        </w:rPr>
        <w:t xml:space="preserve">’est </w:t>
      </w:r>
      <w:r w:rsidRPr="009C235E">
        <w:rPr>
          <w:lang w:eastAsia="fr-FR"/>
        </w:rPr>
        <w:t>pas ouvert. Ce document est dès lors réputé n’avoir jamais été reçu et entraîne l’irrecevabilité de la candidature et de l’offre, sauf dans le cas où une copie de sauvegarde a été transmise dans les délais et peut être utilisée en substitution.</w:t>
      </w:r>
    </w:p>
    <w:p w14:paraId="50B8D270" w14:textId="77777777" w:rsidR="00C831E9" w:rsidRDefault="00C831E9" w:rsidP="00636FE1">
      <w:pPr>
        <w:rPr>
          <w:lang w:eastAsia="fr-FR"/>
        </w:rPr>
      </w:pPr>
      <w:r w:rsidRPr="009C235E">
        <w:rPr>
          <w:lang w:eastAsia="fr-FR"/>
        </w:rPr>
        <w:t>En cas d’irrecevabilité de la candidature et de l’offre le candidat en est informé dans les conditions aux articles R2181-1, -3 et -4 du Code de la commande publique.</w:t>
      </w:r>
    </w:p>
    <w:p w14:paraId="5D6DF118" w14:textId="77777777" w:rsidR="00C831E9" w:rsidRPr="005D067D" w:rsidRDefault="00C831E9" w:rsidP="00636FE1">
      <w:pPr>
        <w:pStyle w:val="Titre3"/>
      </w:pPr>
      <w:bookmarkStart w:id="149" w:name="_Toc143250937"/>
      <w:bookmarkStart w:id="150" w:name="_Toc187833053"/>
      <w:bookmarkStart w:id="151" w:name="_Toc211257306"/>
      <w:r w:rsidRPr="005D067D">
        <w:t>Copie de sauvegarde</w:t>
      </w:r>
      <w:bookmarkEnd w:id="149"/>
      <w:bookmarkEnd w:id="150"/>
      <w:bookmarkEnd w:id="151"/>
    </w:p>
    <w:p w14:paraId="5DC720D3" w14:textId="77777777" w:rsidR="00C831E9" w:rsidRPr="009C235E" w:rsidRDefault="00C831E9" w:rsidP="00636FE1">
      <w:pPr>
        <w:rPr>
          <w:lang w:eastAsia="fr-FR"/>
        </w:rPr>
      </w:pPr>
      <w:r w:rsidRPr="009C235E">
        <w:rPr>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b/>
          <w:lang w:eastAsia="fr-FR"/>
        </w:rPr>
        <w:t>il est recommandé au candidat de doubler cet envoi par l’envoi d’une « copie de sauvegarde »</w:t>
      </w:r>
      <w:r w:rsidRPr="009C235E">
        <w:rPr>
          <w:lang w:eastAsia="fr-FR"/>
        </w:rPr>
        <w:t>.</w:t>
      </w:r>
    </w:p>
    <w:p w14:paraId="3B432933" w14:textId="59F72DEB" w:rsidR="00C831E9" w:rsidRPr="009C235E" w:rsidRDefault="00C831E9" w:rsidP="00636FE1">
      <w:pPr>
        <w:rPr>
          <w:lang w:eastAsia="fr-FR"/>
        </w:rPr>
      </w:pPr>
      <w:r w:rsidRPr="009C235E">
        <w:rPr>
          <w:lang w:eastAsia="fr-FR"/>
        </w:rPr>
        <w:t>Cette copie de sauvegarde reproduit l’intégralité du dossier original adressé à la personne publique. Elle peut être transmise sur support physique électronique (</w:t>
      </w:r>
      <w:r w:rsidR="002F7B03">
        <w:rPr>
          <w:lang w:eastAsia="fr-FR"/>
        </w:rPr>
        <w:t>clé USB</w:t>
      </w:r>
      <w:r w:rsidR="00676DC3">
        <w:rPr>
          <w:lang w:eastAsia="fr-FR"/>
        </w:rPr>
        <w:t>, etc.</w:t>
      </w:r>
      <w:r w:rsidRPr="009C235E">
        <w:rPr>
          <w:lang w:eastAsia="fr-FR"/>
        </w:rPr>
        <w:t>) ou sur support papier. Elle est adressée à l’adresse suivante, parallèlement à l’envoi dématérialisé du dossier, sous pli scellé et comporte obligatoirement la mention « </w:t>
      </w:r>
      <w:r w:rsidRPr="009C235E">
        <w:rPr>
          <w:i/>
          <w:lang w:eastAsia="fr-FR"/>
        </w:rPr>
        <w:t>copie de sauvegarde</w:t>
      </w:r>
      <w:r w:rsidRPr="009C235E">
        <w:rPr>
          <w:lang w:eastAsia="fr-FR"/>
        </w:rPr>
        <w:t xml:space="preserve"> ». </w:t>
      </w:r>
    </w:p>
    <w:p w14:paraId="1A906E9C" w14:textId="77FB69CC" w:rsidR="00C831E9" w:rsidRPr="009C235E" w:rsidRDefault="001F26C4"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Pr>
          <w:lang w:eastAsia="fr-FR"/>
        </w:rPr>
        <w:t>Cnam – DDSI</w:t>
      </w:r>
    </w:p>
    <w:p w14:paraId="31F00B6C" w14:textId="2DF3D158" w:rsidR="00C831E9" w:rsidRPr="009C235E" w:rsidRDefault="001F26C4"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Pr>
          <w:lang w:eastAsia="fr-FR"/>
        </w:rPr>
        <w:t xml:space="preserve">M. David Brayer Giroux ou </w:t>
      </w:r>
      <w:r w:rsidR="007D3FF9">
        <w:rPr>
          <w:lang w:eastAsia="fr-FR"/>
        </w:rPr>
        <w:t xml:space="preserve">Mme </w:t>
      </w:r>
      <w:r>
        <w:rPr>
          <w:lang w:eastAsia="fr-FR"/>
        </w:rPr>
        <w:t>Laurence Penot</w:t>
      </w:r>
      <w:r w:rsidR="007D3FF9">
        <w:rPr>
          <w:lang w:eastAsia="fr-FR"/>
        </w:rPr>
        <w:t xml:space="preserve"> - Bureau </w:t>
      </w:r>
      <w:r>
        <w:rPr>
          <w:lang w:eastAsia="fr-FR"/>
        </w:rPr>
        <w:t>B1 021</w:t>
      </w:r>
    </w:p>
    <w:p w14:paraId="60F30347" w14:textId="77777777" w:rsidR="00C831E9" w:rsidRPr="009C235E"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50, Avenue du Professeur André LEMIERRE</w:t>
      </w:r>
    </w:p>
    <w:p w14:paraId="65D19AD9" w14:textId="77777777" w:rsidR="00C831E9" w:rsidRPr="009C235E"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75986 PARIS CEDEX 20</w:t>
      </w:r>
    </w:p>
    <w:p w14:paraId="352E71CA" w14:textId="77777777" w:rsidR="00C831E9" w:rsidRPr="009C235E"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 NE PAS OUVRIR PAR LE COURRIER GENERAL »</w:t>
      </w:r>
    </w:p>
    <w:p w14:paraId="51D02EFE" w14:textId="18A0DF9E" w:rsidR="00C831E9" w:rsidRPr="009C235E"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 </w:t>
      </w:r>
      <w:r w:rsidR="00FA08A5">
        <w:rPr>
          <w:lang w:eastAsia="fr-FR"/>
        </w:rPr>
        <w:t xml:space="preserve">Assistance </w:t>
      </w:r>
      <w:r w:rsidR="009D7D12">
        <w:rPr>
          <w:lang w:eastAsia="fr-FR"/>
        </w:rPr>
        <w:t xml:space="preserve">technique </w:t>
      </w:r>
      <w:r w:rsidR="007E36C4" w:rsidRPr="00820E5E">
        <w:t xml:space="preserve">Assistance </w:t>
      </w:r>
      <w:r w:rsidR="007E36C4">
        <w:t xml:space="preserve">technique </w:t>
      </w:r>
      <w:r w:rsidR="007E36C4" w:rsidRPr="004E0234">
        <w:t>pour la construction et pour le maintien en conditions opérationnelles de l’infrastructure technique et applicative du Système d’Information de l’Assurance Maladie</w:t>
      </w:r>
      <w:r w:rsidRPr="009C235E">
        <w:rPr>
          <w:lang w:eastAsia="fr-FR"/>
        </w:rPr>
        <w:t> »</w:t>
      </w:r>
    </w:p>
    <w:p w14:paraId="3AA7B398" w14:textId="585ADE68" w:rsidR="00C831E9"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Consultation n°</w:t>
      </w:r>
      <w:r w:rsidR="009D7D12">
        <w:rPr>
          <w:lang w:eastAsia="fr-FR"/>
        </w:rPr>
        <w:t>2370</w:t>
      </w:r>
      <w:r w:rsidR="008109CB">
        <w:rPr>
          <w:lang w:eastAsia="fr-FR"/>
        </w:rPr>
        <w:t>.AC.</w:t>
      </w:r>
      <w:r w:rsidR="009D7D12">
        <w:rPr>
          <w:lang w:eastAsia="fr-FR"/>
        </w:rPr>
        <w:t>3075</w:t>
      </w:r>
    </w:p>
    <w:p w14:paraId="0792D82B" w14:textId="41CBE7EA" w:rsidR="001334F0" w:rsidRPr="009C235E" w:rsidRDefault="001334F0"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Pr>
          <w:lang w:eastAsia="fr-FR"/>
        </w:rPr>
        <w:t xml:space="preserve">LOT </w:t>
      </w:r>
      <w:r w:rsidR="007D3FF9" w:rsidRPr="00676DC3">
        <w:rPr>
          <w:color w:val="FF0000"/>
          <w:lang w:eastAsia="fr-FR"/>
        </w:rPr>
        <w:t>X</w:t>
      </w:r>
      <w:r w:rsidR="007D3FF9">
        <w:rPr>
          <w:lang w:eastAsia="fr-FR"/>
        </w:rPr>
        <w:t xml:space="preserve"> (</w:t>
      </w:r>
      <w:r w:rsidR="007D3FF9" w:rsidRPr="00676DC3">
        <w:rPr>
          <w:color w:val="FF0000"/>
          <w:lang w:eastAsia="fr-FR"/>
        </w:rPr>
        <w:t>à préciser par le candidat</w:t>
      </w:r>
      <w:r w:rsidR="007D3FF9">
        <w:rPr>
          <w:lang w:eastAsia="fr-FR"/>
        </w:rPr>
        <w:t>)</w:t>
      </w:r>
    </w:p>
    <w:p w14:paraId="4EA1A895" w14:textId="77777777" w:rsidR="00C831E9" w:rsidRPr="009C235E" w:rsidRDefault="00C831E9" w:rsidP="00676DC3">
      <w:pPr>
        <w:pBdr>
          <w:top w:val="single" w:sz="4" w:space="1" w:color="auto"/>
          <w:left w:val="single" w:sz="4" w:space="4" w:color="auto"/>
          <w:bottom w:val="single" w:sz="4" w:space="1" w:color="auto"/>
          <w:right w:val="single" w:sz="4" w:space="4" w:color="auto"/>
        </w:pBdr>
        <w:spacing w:before="0" w:after="0"/>
        <w:jc w:val="center"/>
        <w:rPr>
          <w:lang w:eastAsia="fr-FR"/>
        </w:rPr>
      </w:pPr>
      <w:r w:rsidRPr="009C235E">
        <w:rPr>
          <w:lang w:eastAsia="fr-FR"/>
        </w:rPr>
        <w:t>« Copie de sauvegarde »</w:t>
      </w:r>
    </w:p>
    <w:p w14:paraId="2ACD3838" w14:textId="22B90FA5" w:rsidR="00C831E9" w:rsidRPr="009C235E" w:rsidRDefault="00C831E9" w:rsidP="00636FE1">
      <w:pPr>
        <w:rPr>
          <w:lang w:eastAsia="fr-FR"/>
        </w:rPr>
      </w:pPr>
      <w:r w:rsidRPr="009C235E">
        <w:rPr>
          <w:lang w:eastAsia="fr-FR"/>
        </w:rPr>
        <w:t xml:space="preserve">Il est à noter que la «copie de sauvegarde» doit être remise ou parvenir à destination à l’adresse indiquée ci-dessus avant la date et heure limites mentionnées </w:t>
      </w:r>
      <w:r w:rsidR="00270481">
        <w:rPr>
          <w:lang w:eastAsia="fr-FR"/>
        </w:rPr>
        <w:t>au §</w:t>
      </w:r>
      <w:r w:rsidR="005D067D" w:rsidRPr="00740A66">
        <w:rPr>
          <w:lang w:eastAsia="fr-FR"/>
        </w:rPr>
        <w:fldChar w:fldCharType="begin"/>
      </w:r>
      <w:r w:rsidR="005D067D" w:rsidRPr="00740A66">
        <w:rPr>
          <w:lang w:eastAsia="fr-FR"/>
        </w:rPr>
        <w:instrText xml:space="preserve"> REF _Ref143252735 \r \h </w:instrText>
      </w:r>
      <w:r w:rsidR="00740A66">
        <w:rPr>
          <w:lang w:eastAsia="fr-FR"/>
        </w:rPr>
        <w:instrText xml:space="preserve"> \* MERGEFORMAT </w:instrText>
      </w:r>
      <w:r w:rsidR="005D067D" w:rsidRPr="00740A66">
        <w:rPr>
          <w:lang w:eastAsia="fr-FR"/>
        </w:rPr>
      </w:r>
      <w:r w:rsidR="005D067D" w:rsidRPr="00740A66">
        <w:rPr>
          <w:lang w:eastAsia="fr-FR"/>
        </w:rPr>
        <w:fldChar w:fldCharType="separate"/>
      </w:r>
      <w:r w:rsidR="00FC00F4">
        <w:rPr>
          <w:lang w:eastAsia="fr-FR"/>
        </w:rPr>
        <w:t>6.1</w:t>
      </w:r>
      <w:r w:rsidR="005D067D" w:rsidRPr="00740A66">
        <w:rPr>
          <w:lang w:eastAsia="fr-FR"/>
        </w:rPr>
        <w:fldChar w:fldCharType="end"/>
      </w:r>
      <w:r w:rsidR="005D067D">
        <w:rPr>
          <w:lang w:eastAsia="fr-FR"/>
        </w:rPr>
        <w:t xml:space="preserve"> </w:t>
      </w:r>
      <w:r w:rsidRPr="009C235E">
        <w:rPr>
          <w:lang w:eastAsia="fr-FR"/>
        </w:rPr>
        <w:t>du présent document.</w:t>
      </w:r>
    </w:p>
    <w:p w14:paraId="1DF278E3" w14:textId="77777777" w:rsidR="00C831E9" w:rsidRPr="009C235E" w:rsidRDefault="00C831E9" w:rsidP="00636FE1">
      <w:pPr>
        <w:rPr>
          <w:lang w:eastAsia="fr-FR"/>
        </w:rPr>
      </w:pPr>
      <w:r w:rsidRPr="009C235E">
        <w:rPr>
          <w:lang w:eastAsia="fr-FR"/>
        </w:rPr>
        <w:t>La « copie de sauvegarde » peut être :</w:t>
      </w:r>
    </w:p>
    <w:p w14:paraId="7A146D4F" w14:textId="624619A2" w:rsidR="00C831E9" w:rsidRPr="009C235E" w:rsidRDefault="00C831E9" w:rsidP="001D1579">
      <w:pPr>
        <w:pStyle w:val="Puce1"/>
      </w:pPr>
      <w:r w:rsidRPr="009C235E">
        <w:t>Soit remise contre récépissé à l’adresse mentionnée ci-dessus, heures d’ouverture du secrétariat : du lundi au vendredi de 9h/12h – 14h/16h,</w:t>
      </w:r>
    </w:p>
    <w:p w14:paraId="7CB26F86" w14:textId="01A841EC" w:rsidR="00C831E9" w:rsidRPr="009C235E" w:rsidRDefault="00C831E9" w:rsidP="001D1579">
      <w:pPr>
        <w:pStyle w:val="Puce1"/>
      </w:pPr>
      <w:r w:rsidRPr="009C235E">
        <w:t>Soit envoyée par la poste par pli recommandé avec accusé de réception également à l’adresse indiquée ci-dessus.</w:t>
      </w:r>
    </w:p>
    <w:p w14:paraId="646D6362" w14:textId="4B420AD4" w:rsidR="00C831E9" w:rsidRPr="009C235E" w:rsidRDefault="005D067D" w:rsidP="00636FE1">
      <w:pPr>
        <w:rPr>
          <w:lang w:eastAsia="fr-FR"/>
        </w:rPr>
      </w:pPr>
      <w:r>
        <w:rPr>
          <w:lang w:eastAsia="fr-FR"/>
        </w:rPr>
        <w:t>Elle n’est</w:t>
      </w:r>
      <w:r w:rsidR="00C831E9" w:rsidRPr="009C235E">
        <w:rPr>
          <w:lang w:eastAsia="fr-FR"/>
        </w:rPr>
        <w:t xml:space="preserve"> ouverte que dans les cas cités à l’article 2.II  de l’arrêté du 22 mars 20</w:t>
      </w:r>
      <w:r w:rsidR="00F41377">
        <w:rPr>
          <w:lang w:eastAsia="fr-FR"/>
        </w:rPr>
        <w:t>19</w:t>
      </w:r>
      <w:r w:rsidR="00C831E9" w:rsidRPr="009C235E">
        <w:rPr>
          <w:lang w:eastAsia="fr-FR"/>
        </w:rPr>
        <w:t xml:space="preserve"> précité (Annexe 6 du</w:t>
      </w:r>
      <w:r w:rsidR="00676DC3">
        <w:rPr>
          <w:lang w:eastAsia="fr-FR"/>
        </w:rPr>
        <w:t xml:space="preserve"> Code de la commande publique) :</w:t>
      </w:r>
    </w:p>
    <w:p w14:paraId="538AA29B" w14:textId="5EB6353D" w:rsidR="00C831E9" w:rsidRPr="00676DC3" w:rsidRDefault="00C831E9" w:rsidP="00636FE1">
      <w:pPr>
        <w:rPr>
          <w:i/>
          <w:lang w:eastAsia="fr-FR"/>
        </w:rPr>
      </w:pPr>
      <w:r w:rsidRPr="00676DC3">
        <w:rPr>
          <w:i/>
          <w:lang w:eastAsia="fr-FR"/>
        </w:rPr>
        <w:t xml:space="preserve">« La copie de sauvegarde est </w:t>
      </w:r>
      <w:r w:rsidR="00676DC3" w:rsidRPr="00676DC3">
        <w:rPr>
          <w:i/>
          <w:lang w:eastAsia="fr-FR"/>
        </w:rPr>
        <w:t>ouverte dans les cas suivants :</w:t>
      </w:r>
    </w:p>
    <w:p w14:paraId="088D05C1" w14:textId="77777777" w:rsidR="00C831E9" w:rsidRPr="00676DC3" w:rsidRDefault="00C831E9" w:rsidP="00636FE1">
      <w:pPr>
        <w:rPr>
          <w:i/>
          <w:lang w:eastAsia="fr-FR"/>
        </w:rPr>
      </w:pPr>
      <w:r w:rsidRPr="00676DC3">
        <w:rPr>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76DC3" w:rsidRDefault="00C831E9" w:rsidP="00636FE1">
      <w:pPr>
        <w:rPr>
          <w:i/>
          <w:lang w:eastAsia="fr-FR"/>
        </w:rPr>
      </w:pPr>
      <w:r w:rsidRPr="00676DC3">
        <w:rPr>
          <w:i/>
          <w:lang w:eastAsia="fr-FR"/>
        </w:rPr>
        <w:lastRenderedPageBreak/>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45D44E2D" w:rsidR="00C831E9" w:rsidRPr="009C235E" w:rsidRDefault="00C831E9" w:rsidP="00636FE1">
      <w:pPr>
        <w:rPr>
          <w:lang w:eastAsia="fr-FR"/>
        </w:rPr>
      </w:pPr>
      <w:r w:rsidRPr="009C235E">
        <w:rPr>
          <w:lang w:eastAsia="fr-FR"/>
        </w:rPr>
        <w:t xml:space="preserve">Si la </w:t>
      </w:r>
      <w:r w:rsidR="00676DC3">
        <w:rPr>
          <w:lang w:eastAsia="fr-FR"/>
        </w:rPr>
        <w:t>« </w:t>
      </w:r>
      <w:r w:rsidRPr="009C235E">
        <w:rPr>
          <w:lang w:eastAsia="fr-FR"/>
        </w:rPr>
        <w:t>copie de sauvegarde</w:t>
      </w:r>
      <w:r w:rsidR="00676DC3">
        <w:rPr>
          <w:lang w:eastAsia="fr-FR"/>
        </w:rPr>
        <w:t> »</w:t>
      </w:r>
      <w:r w:rsidRPr="009C235E">
        <w:rPr>
          <w:lang w:eastAsia="fr-FR"/>
        </w:rPr>
        <w:t xml:space="preserve"> n’est pas ouverte à l’issue de la procédure de passation, celle-ci </w:t>
      </w:r>
      <w:r w:rsidR="005D067D">
        <w:rPr>
          <w:lang w:eastAsia="fr-FR"/>
        </w:rPr>
        <w:t>est</w:t>
      </w:r>
      <w:r w:rsidR="005D067D" w:rsidRPr="009C235E">
        <w:rPr>
          <w:lang w:eastAsia="fr-FR"/>
        </w:rPr>
        <w:t xml:space="preserve"> </w:t>
      </w:r>
      <w:r w:rsidRPr="009C235E">
        <w:rPr>
          <w:lang w:eastAsia="fr-FR"/>
        </w:rPr>
        <w:t>détruite.</w:t>
      </w:r>
    </w:p>
    <w:p w14:paraId="3B344237" w14:textId="77777777" w:rsidR="00C831E9" w:rsidRPr="005D067D" w:rsidRDefault="00C831E9" w:rsidP="00636FE1">
      <w:pPr>
        <w:pStyle w:val="Titre3"/>
      </w:pPr>
      <w:bookmarkStart w:id="152" w:name="_Toc143250938"/>
      <w:bookmarkStart w:id="153" w:name="_Toc187833054"/>
      <w:bookmarkStart w:id="154" w:name="_Toc211257307"/>
      <w:r w:rsidRPr="005D067D">
        <w:t>Recommandations sur le format de transmission</w:t>
      </w:r>
      <w:bookmarkEnd w:id="152"/>
      <w:bookmarkEnd w:id="153"/>
      <w:bookmarkEnd w:id="154"/>
    </w:p>
    <w:p w14:paraId="5EDD06F4" w14:textId="77777777" w:rsidR="00C831E9" w:rsidRPr="009C235E" w:rsidRDefault="00C831E9" w:rsidP="00636FE1">
      <w:pPr>
        <w:rPr>
          <w:lang w:eastAsia="fr-FR"/>
        </w:rPr>
      </w:pPr>
      <w:r w:rsidRPr="009C235E">
        <w:rPr>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636FE1">
      <w:pPr>
        <w:rPr>
          <w:lang w:eastAsia="fr-FR"/>
        </w:rPr>
      </w:pPr>
      <w:r w:rsidRPr="009C235E">
        <w:rPr>
          <w:lang w:eastAsia="fr-FR"/>
        </w:rPr>
        <w:t>Word, Excel, PowerPoint ou Acrobate Reader XI dans les ver</w:t>
      </w:r>
      <w:r w:rsidR="002F7B03">
        <w:rPr>
          <w:lang w:eastAsia="fr-FR"/>
        </w:rPr>
        <w:t>sions pack office Microsoft 2016</w:t>
      </w:r>
      <w:r w:rsidRPr="009C235E">
        <w:rPr>
          <w:lang w:eastAsia="fr-FR"/>
        </w:rPr>
        <w:t xml:space="preserve"> ou versions antérieures.</w:t>
      </w:r>
    </w:p>
    <w:p w14:paraId="775B9A9C" w14:textId="39BFD050" w:rsidR="00C831E9" w:rsidRPr="009C235E" w:rsidRDefault="00C831E9" w:rsidP="00636FE1">
      <w:pPr>
        <w:rPr>
          <w:lang w:eastAsia="fr-FR"/>
        </w:rPr>
      </w:pPr>
      <w:r w:rsidRPr="009C235E">
        <w:rPr>
          <w:lang w:eastAsia="fr-FR"/>
        </w:rPr>
        <w:t xml:space="preserve">L’antivirus utilisé par </w:t>
      </w:r>
      <w:r w:rsidR="00AB49B7">
        <w:rPr>
          <w:lang w:eastAsia="fr-FR"/>
        </w:rPr>
        <w:t>la Cnam</w:t>
      </w:r>
      <w:r w:rsidRPr="009C235E">
        <w:rPr>
          <w:lang w:eastAsia="fr-FR"/>
        </w:rPr>
        <w:t xml:space="preserve"> est </w:t>
      </w:r>
      <w:r w:rsidR="005D067D">
        <w:rPr>
          <w:lang w:eastAsia="fr-FR"/>
        </w:rPr>
        <w:t>Tehtris</w:t>
      </w:r>
      <w:r w:rsidRPr="009C235E">
        <w:rPr>
          <w:lang w:eastAsia="fr-FR"/>
        </w:rPr>
        <w:t>.</w:t>
      </w:r>
    </w:p>
    <w:p w14:paraId="1047374E" w14:textId="7BCB59D1" w:rsidR="00C831E9" w:rsidRPr="009C235E" w:rsidRDefault="00C831E9" w:rsidP="00636FE1">
      <w:pPr>
        <w:rPr>
          <w:lang w:eastAsia="fr-FR"/>
        </w:rPr>
      </w:pPr>
      <w:r w:rsidRPr="009C235E">
        <w:rPr>
          <w:lang w:eastAsia="fr-FR"/>
        </w:rPr>
        <w:t xml:space="preserve">Le </w:t>
      </w:r>
      <w:r w:rsidR="005D067D">
        <w:rPr>
          <w:lang w:eastAsia="fr-FR"/>
        </w:rPr>
        <w:t>candidat</w:t>
      </w:r>
      <w:r w:rsidR="005D067D" w:rsidRPr="009C235E">
        <w:rPr>
          <w:lang w:eastAsia="fr-FR"/>
        </w:rPr>
        <w:t xml:space="preserve"> </w:t>
      </w:r>
      <w:r w:rsidRPr="009C235E">
        <w:rPr>
          <w:lang w:eastAsia="fr-FR"/>
        </w:rPr>
        <w:t>est invité à ne pas utiliser les « macros ».</w:t>
      </w:r>
    </w:p>
    <w:p w14:paraId="17215CB7" w14:textId="77777777" w:rsidR="00C831E9" w:rsidRPr="009C235E" w:rsidRDefault="00C831E9" w:rsidP="00636FE1">
      <w:pPr>
        <w:rPr>
          <w:lang w:eastAsia="fr-FR"/>
        </w:rPr>
      </w:pPr>
      <w:r w:rsidRPr="009C235E">
        <w:rPr>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77777777" w:rsidR="00C831E9" w:rsidRDefault="00C831E9" w:rsidP="00636FE1">
      <w:pPr>
        <w:rPr>
          <w:lang w:eastAsia="fr-FR"/>
        </w:rPr>
      </w:pPr>
      <w:bookmarkStart w:id="155" w:name="_Toc143250939"/>
      <w:r w:rsidRPr="009C235E">
        <w:rPr>
          <w:lang w:eastAsia="fr-FR"/>
        </w:rPr>
        <w:t>La Cnam se réserve le droit de convertir les formats (dans lesquels ont été encodés les fichiers transmis) au moment de l’archivage et ceci afin d’assurer leur lisibilité dans le moyen et long terme.</w:t>
      </w:r>
      <w:bookmarkEnd w:id="155"/>
    </w:p>
    <w:p w14:paraId="5F83F93F" w14:textId="71341535" w:rsidR="00C831E9" w:rsidRPr="009C235E" w:rsidRDefault="00676DC3" w:rsidP="00636FE1">
      <w:pPr>
        <w:rPr>
          <w:lang w:eastAsia="fr-FR"/>
        </w:rPr>
      </w:pPr>
      <w:r>
        <w:rPr>
          <w:lang w:eastAsia="fr-FR"/>
        </w:rPr>
        <w:t>NB : A</w:t>
      </w:r>
      <w:r w:rsidR="00C831E9">
        <w:rPr>
          <w:lang w:eastAsia="fr-FR"/>
        </w:rPr>
        <w:t xml:space="preserve">u moment de l’attribution, </w:t>
      </w:r>
      <w:r w:rsidR="00C831E9" w:rsidRPr="009C235E">
        <w:rPr>
          <w:lang w:eastAsia="fr-FR"/>
        </w:rPr>
        <w:t xml:space="preserve">la signature électronique </w:t>
      </w:r>
      <w:r>
        <w:rPr>
          <w:lang w:eastAsia="fr-FR"/>
        </w:rPr>
        <w:t>de l’accord-cadre</w:t>
      </w:r>
      <w:r w:rsidR="00C831E9">
        <w:rPr>
          <w:lang w:eastAsia="fr-FR"/>
        </w:rPr>
        <w:t xml:space="preserve"> en Pdf (</w:t>
      </w:r>
      <w:r w:rsidR="00990978">
        <w:rPr>
          <w:lang w:eastAsia="fr-FR"/>
        </w:rPr>
        <w:t>acte d’engagement</w:t>
      </w:r>
      <w:r w:rsidR="00C831E9">
        <w:rPr>
          <w:lang w:eastAsia="fr-FR"/>
        </w:rPr>
        <w:t>, acte de sous-traitance</w:t>
      </w:r>
      <w:r>
        <w:rPr>
          <w:lang w:eastAsia="fr-FR"/>
        </w:rPr>
        <w:t>, etc.</w:t>
      </w:r>
      <w:r w:rsidR="00C831E9">
        <w:rPr>
          <w:lang w:eastAsia="fr-FR"/>
        </w:rPr>
        <w:t xml:space="preserve">), au </w:t>
      </w:r>
      <w:r w:rsidR="00C831E9" w:rsidRPr="009C235E">
        <w:rPr>
          <w:lang w:eastAsia="fr-FR"/>
        </w:rPr>
        <w:t>format Pades</w:t>
      </w:r>
      <w:r w:rsidR="00C831E9">
        <w:rPr>
          <w:lang w:eastAsia="fr-FR"/>
        </w:rPr>
        <w:t>,</w:t>
      </w:r>
      <w:r w:rsidR="00C831E9" w:rsidRPr="009C235E">
        <w:rPr>
          <w:lang w:eastAsia="fr-FR"/>
        </w:rPr>
        <w:t xml:space="preserve"> </w:t>
      </w:r>
      <w:r w:rsidR="00C831E9">
        <w:rPr>
          <w:lang w:eastAsia="fr-FR"/>
        </w:rPr>
        <w:t>sera privilégiée (voir article suivant).</w:t>
      </w:r>
    </w:p>
    <w:p w14:paraId="64FDD00F" w14:textId="77777777" w:rsidR="00C831E9" w:rsidRPr="00230BA9" w:rsidRDefault="00C831E9" w:rsidP="00636FE1">
      <w:pPr>
        <w:pStyle w:val="Titre3"/>
      </w:pPr>
      <w:bookmarkStart w:id="156" w:name="_Toc143250940"/>
      <w:bookmarkStart w:id="157" w:name="_Ref143265958"/>
      <w:bookmarkStart w:id="158" w:name="_Toc187833055"/>
      <w:bookmarkStart w:id="159" w:name="_Toc211257308"/>
      <w:r w:rsidRPr="00230BA9">
        <w:t>Signature électronique</w:t>
      </w:r>
      <w:bookmarkEnd w:id="156"/>
      <w:bookmarkEnd w:id="157"/>
      <w:bookmarkEnd w:id="158"/>
      <w:bookmarkEnd w:id="159"/>
      <w:r w:rsidRPr="00230BA9">
        <w:t xml:space="preserve"> </w:t>
      </w:r>
    </w:p>
    <w:p w14:paraId="7823B80C" w14:textId="6547879B" w:rsidR="00C831E9" w:rsidRPr="009C235E" w:rsidRDefault="00C831E9" w:rsidP="00636FE1">
      <w:pPr>
        <w:rPr>
          <w:lang w:eastAsia="fr-FR"/>
        </w:rPr>
      </w:pPr>
      <w:bookmarkStart w:id="160" w:name="_Toc143250941"/>
      <w:r w:rsidRPr="009C235E">
        <w:rPr>
          <w:lang w:eastAsia="fr-FR"/>
        </w:rPr>
        <w:t xml:space="preserve">Pour rappel, la Cnam n’exige pas la signature de l’offre. L’offre remise électroniquement ne requiert donc pas de certificat de signature électronique et ne </w:t>
      </w:r>
      <w:r w:rsidR="00676DC3">
        <w:rPr>
          <w:lang w:eastAsia="fr-FR"/>
        </w:rPr>
        <w:t>peut</w:t>
      </w:r>
      <w:r w:rsidRPr="009C235E">
        <w:rPr>
          <w:lang w:eastAsia="fr-FR"/>
        </w:rPr>
        <w:t xml:space="preserve"> être rejetée pour défaut de signature ou signature incertaine</w:t>
      </w:r>
      <w:r w:rsidRPr="00230BA9">
        <w:rPr>
          <w:lang w:eastAsia="fr-FR"/>
        </w:rPr>
        <w:t xml:space="preserve"> </w:t>
      </w:r>
      <w:r w:rsidRPr="009C235E">
        <w:rPr>
          <w:lang w:eastAsia="fr-FR"/>
        </w:rPr>
        <w:t>(si le candidat souhaite tout de même utiliser un certificat de signature électronique, il se réfère aux indications ci-dessous).</w:t>
      </w:r>
      <w:bookmarkEnd w:id="160"/>
      <w:r w:rsidRPr="009C235E">
        <w:rPr>
          <w:lang w:eastAsia="fr-FR"/>
        </w:rPr>
        <w:t xml:space="preserve"> </w:t>
      </w:r>
    </w:p>
    <w:p w14:paraId="0D589415" w14:textId="33B3BD7E" w:rsidR="00C831E9" w:rsidRPr="005D067D" w:rsidRDefault="00C831E9" w:rsidP="00636FE1">
      <w:pPr>
        <w:rPr>
          <w:lang w:eastAsia="fr-FR"/>
        </w:rPr>
      </w:pPr>
      <w:r w:rsidRPr="005D067D">
        <w:rPr>
          <w:lang w:eastAsia="fr-FR"/>
        </w:rPr>
        <w:t xml:space="preserve">En revanche, à l’issue de la procédure, il </w:t>
      </w:r>
      <w:r w:rsidR="00676DC3">
        <w:rPr>
          <w:lang w:eastAsia="fr-FR"/>
        </w:rPr>
        <w:t>est</w:t>
      </w:r>
      <w:r w:rsidRPr="005D067D">
        <w:rPr>
          <w:lang w:eastAsia="fr-FR"/>
        </w:rPr>
        <w:t xml:space="preserve"> demandé à l’attributaire de signer électroniquement l’acte d’engagement et autres pièces désignées par l</w:t>
      </w:r>
      <w:r w:rsidR="00676DC3">
        <w:rPr>
          <w:lang w:eastAsia="fr-FR"/>
        </w:rPr>
        <w:t>a Cnam</w:t>
      </w:r>
      <w:r w:rsidRPr="005D067D">
        <w:rPr>
          <w:lang w:eastAsia="fr-FR"/>
        </w:rPr>
        <w:t xml:space="preserve">. La signature électronique de l’attributaire et du sous-traitant </w:t>
      </w:r>
      <w:r w:rsidR="00676DC3">
        <w:rPr>
          <w:lang w:eastAsia="fr-FR"/>
        </w:rPr>
        <w:t>est</w:t>
      </w:r>
      <w:r w:rsidRPr="005D067D">
        <w:rPr>
          <w:lang w:eastAsia="fr-FR"/>
        </w:rPr>
        <w:t xml:space="preserve"> également requise pour les actes de sous-traitance.</w:t>
      </w:r>
    </w:p>
    <w:p w14:paraId="1A359683" w14:textId="320B5419" w:rsidR="00C831E9" w:rsidRPr="005D067D" w:rsidRDefault="00C831E9" w:rsidP="00636FE1">
      <w:pPr>
        <w:rPr>
          <w:lang w:eastAsia="fr-FR"/>
        </w:rPr>
      </w:pPr>
      <w:r w:rsidRPr="005D067D">
        <w:rPr>
          <w:lang w:eastAsia="fr-FR"/>
        </w:rPr>
        <w:t xml:space="preserve">En cas d’impossibilité, ces pièces </w:t>
      </w:r>
      <w:r w:rsidR="005D067D">
        <w:rPr>
          <w:lang w:eastAsia="fr-FR"/>
        </w:rPr>
        <w:t>sont</w:t>
      </w:r>
      <w:r w:rsidR="005D067D" w:rsidRPr="005D067D">
        <w:rPr>
          <w:lang w:eastAsia="fr-FR"/>
        </w:rPr>
        <w:t xml:space="preserve"> </w:t>
      </w:r>
      <w:r w:rsidR="003D536E" w:rsidRPr="005D067D">
        <w:rPr>
          <w:lang w:eastAsia="fr-FR"/>
        </w:rPr>
        <w:t>rematérialisées et</w:t>
      </w:r>
      <w:r w:rsidRPr="005D067D">
        <w:rPr>
          <w:lang w:eastAsia="fr-FR"/>
        </w:rPr>
        <w:t xml:space="preserve"> signées manuscritement par l’ensemble des parties.</w:t>
      </w:r>
    </w:p>
    <w:p w14:paraId="14DBF1DD" w14:textId="448D7421" w:rsidR="00C831E9" w:rsidRPr="005D067D" w:rsidRDefault="00C831E9" w:rsidP="00636FE1">
      <w:pPr>
        <w:rPr>
          <w:lang w:eastAsia="fr-FR"/>
        </w:rPr>
      </w:pPr>
      <w:r w:rsidRPr="005D067D">
        <w:rPr>
          <w:lang w:eastAsia="fr-FR"/>
        </w:rPr>
        <w:t xml:space="preserve">Pour signer électroniquement, le signataire </w:t>
      </w:r>
      <w:r w:rsidR="00676DC3">
        <w:rPr>
          <w:lang w:eastAsia="fr-FR"/>
        </w:rPr>
        <w:t>doit</w:t>
      </w:r>
      <w:r w:rsidRPr="005D067D">
        <w:rPr>
          <w:lang w:eastAsia="fr-FR"/>
        </w:rPr>
        <w:t xml:space="preserve">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w:t>
      </w:r>
      <w:r w:rsidR="00676DC3">
        <w:rPr>
          <w:lang w:eastAsia="fr-FR"/>
        </w:rPr>
        <w:t>« </w:t>
      </w:r>
      <w:r w:rsidRPr="005D067D">
        <w:rPr>
          <w:lang w:eastAsia="fr-FR"/>
        </w:rPr>
        <w:t>eIDAS</w:t>
      </w:r>
      <w:r w:rsidR="00676DC3">
        <w:rPr>
          <w:lang w:eastAsia="fr-FR"/>
        </w:rPr>
        <w:t> »</w:t>
      </w:r>
      <w:r w:rsidRPr="005D067D">
        <w:rPr>
          <w:lang w:eastAsia="fr-FR"/>
        </w:rPr>
        <w:t>.</w:t>
      </w:r>
    </w:p>
    <w:p w14:paraId="54DA6FB2" w14:textId="77777777" w:rsidR="00C831E9" w:rsidRPr="005D067D" w:rsidRDefault="00C831E9" w:rsidP="001D1579">
      <w:pPr>
        <w:pStyle w:val="Puce1"/>
      </w:pPr>
      <w:r w:rsidRPr="005D067D">
        <w:t>Le niveau de signature requis est la signature électronique avancée reposant sur un certificat qualifié ou la signature électronique qualifiée.</w:t>
      </w:r>
    </w:p>
    <w:p w14:paraId="5AFBD348" w14:textId="77777777" w:rsidR="00C831E9" w:rsidRPr="005D067D" w:rsidRDefault="00C831E9" w:rsidP="001D1579">
      <w:pPr>
        <w:pStyle w:val="Puce1"/>
      </w:pPr>
      <w:r w:rsidRPr="005D067D">
        <w:t xml:space="preserve">Le certificat doit être lié à la personne, excluant par exemple l’utilisation du cachet électronique lié à la société. </w:t>
      </w:r>
    </w:p>
    <w:p w14:paraId="09E56646" w14:textId="77777777" w:rsidR="00C831E9" w:rsidRPr="005D067D" w:rsidRDefault="00C831E9" w:rsidP="001D1579">
      <w:pPr>
        <w:pStyle w:val="Puce1"/>
      </w:pPr>
      <w:r w:rsidRPr="005D067D">
        <w:t>Il doit être attaché à la personne disposant d’une délégation de pouvoir d’engager la société et de signer pour le compte de celle-ci.</w:t>
      </w:r>
    </w:p>
    <w:p w14:paraId="40913B3C" w14:textId="77777777" w:rsidR="00C831E9" w:rsidRPr="005D067D" w:rsidRDefault="00C831E9" w:rsidP="001D1579">
      <w:pPr>
        <w:pStyle w:val="Puce1"/>
      </w:pPr>
      <w:r w:rsidRPr="005D067D">
        <w:t xml:space="preserve">Il doit permettre de vérifier : </w:t>
      </w:r>
    </w:p>
    <w:p w14:paraId="1E9A424B" w14:textId="1550F658" w:rsidR="00C831E9" w:rsidRPr="005D067D" w:rsidRDefault="00676DC3" w:rsidP="00DB38EC">
      <w:pPr>
        <w:pStyle w:val="Puce2"/>
      </w:pPr>
      <w:r>
        <w:t>L’identité du signataire ;</w:t>
      </w:r>
    </w:p>
    <w:p w14:paraId="1EEDF464" w14:textId="77777777" w:rsidR="00C831E9" w:rsidRPr="005D067D" w:rsidRDefault="00C831E9" w:rsidP="00DB38EC">
      <w:pPr>
        <w:pStyle w:val="Puce2"/>
      </w:pPr>
      <w:r w:rsidRPr="005D067D">
        <w:lastRenderedPageBreak/>
        <w:t>L’appartenance du certificat du signataire à l’une des catégories de certificats mentionnées à ci-après ;</w:t>
      </w:r>
    </w:p>
    <w:p w14:paraId="29C55C33" w14:textId="760C4957" w:rsidR="00C831E9" w:rsidRPr="005D067D" w:rsidRDefault="00C831E9" w:rsidP="00DB38EC">
      <w:pPr>
        <w:pStyle w:val="Puce2"/>
      </w:pPr>
      <w:r w:rsidRPr="005D067D">
        <w:t xml:space="preserve">Le respect du format de signature mentionné </w:t>
      </w:r>
      <w:r w:rsidR="00990978">
        <w:t>à ci-après ;</w:t>
      </w:r>
    </w:p>
    <w:p w14:paraId="136EC907" w14:textId="22E52BDB" w:rsidR="00C831E9" w:rsidRPr="005D067D" w:rsidRDefault="00C831E9" w:rsidP="00DB38EC">
      <w:pPr>
        <w:pStyle w:val="Puce2"/>
      </w:pPr>
      <w:r w:rsidRPr="005D067D">
        <w:t>Le caractère non échu et non révoqué du certif</w:t>
      </w:r>
      <w:r w:rsidR="00990978">
        <w:t>icat à la date de la signature ;</w:t>
      </w:r>
    </w:p>
    <w:p w14:paraId="1C22C35F" w14:textId="773A1FAC" w:rsidR="00C831E9" w:rsidRPr="005D067D" w:rsidRDefault="00C831E9" w:rsidP="00DB38EC">
      <w:pPr>
        <w:pStyle w:val="Puce2"/>
      </w:pPr>
      <w:r w:rsidRPr="005D067D">
        <w:t>L’intégrité du document signé.</w:t>
      </w:r>
    </w:p>
    <w:p w14:paraId="7CADE554" w14:textId="7EFD6951" w:rsidR="00C831E9" w:rsidRPr="007A594F" w:rsidRDefault="00C831E9" w:rsidP="00636FE1">
      <w:pPr>
        <w:pStyle w:val="Titre4"/>
      </w:pPr>
      <w:bookmarkStart w:id="161" w:name="_Toc143250942"/>
      <w:r w:rsidRPr="007A594F">
        <w:t>Catégories de certificats de signatures électroniques concernés</w:t>
      </w:r>
      <w:bookmarkEnd w:id="161"/>
    </w:p>
    <w:p w14:paraId="3643D535" w14:textId="20444043" w:rsidR="00C831E9" w:rsidRPr="009C235E" w:rsidRDefault="00C831E9" w:rsidP="001D1579">
      <w:pPr>
        <w:pStyle w:val="Puce1"/>
      </w:pPr>
      <w:r w:rsidRPr="00636FE1">
        <w:rPr>
          <w:b/>
        </w:rPr>
        <w:t>1</w:t>
      </w:r>
      <w:r w:rsidRPr="00636FE1">
        <w:rPr>
          <w:b/>
          <w:vertAlign w:val="superscript"/>
        </w:rPr>
        <w:t>er</w:t>
      </w:r>
      <w:r w:rsidRPr="00636FE1">
        <w:rPr>
          <w:b/>
        </w:rPr>
        <w:t xml:space="preserve"> cas</w:t>
      </w:r>
      <w:r w:rsidR="005D067D">
        <w:t> :</w:t>
      </w:r>
      <w:r w:rsidRPr="009C235E">
        <w:t xml:space="preserve"> Certificat qualifié délivré par un prestataire de service de confiance qualifié répondant au</w:t>
      </w:r>
      <w:r w:rsidR="00990978">
        <w:t>x exigences du règlement (UE) « </w:t>
      </w:r>
      <w:r w:rsidRPr="009C235E">
        <w:t>eIDAS</w:t>
      </w:r>
      <w:r w:rsidR="00990978">
        <w:t> »</w:t>
      </w:r>
      <w:r w:rsidRPr="009C235E">
        <w:t>.</w:t>
      </w:r>
    </w:p>
    <w:p w14:paraId="6357184F" w14:textId="115A69B4" w:rsidR="00C831E9" w:rsidRPr="009C235E" w:rsidRDefault="00C831E9" w:rsidP="001D1579">
      <w:pPr>
        <w:pStyle w:val="Puce1"/>
      </w:pPr>
      <w:r w:rsidRPr="00636FE1">
        <w:rPr>
          <w:b/>
        </w:rPr>
        <w:t>2</w:t>
      </w:r>
      <w:r w:rsidRPr="00636FE1">
        <w:rPr>
          <w:b/>
          <w:vertAlign w:val="superscript"/>
        </w:rPr>
        <w:t>ème</w:t>
      </w:r>
      <w:r w:rsidRPr="00636FE1">
        <w:rPr>
          <w:b/>
        </w:rPr>
        <w:t xml:space="preserve"> cas</w:t>
      </w:r>
      <w:r w:rsidR="005D067D">
        <w:t> :</w:t>
      </w:r>
      <w:r w:rsidRPr="009C235E">
        <w:t xml:space="preserve"> Certificat délivré par une autorité de certification, française ou étrangère, qui répond aux exigences équivalentes à l'annexe I du règlement </w:t>
      </w:r>
      <w:r w:rsidR="00990978">
        <w:t>« </w:t>
      </w:r>
      <w:r w:rsidRPr="009C235E">
        <w:t>eIDAS</w:t>
      </w:r>
      <w:r w:rsidR="00990978">
        <w:t> »</w:t>
      </w:r>
      <w:r w:rsidRPr="009C235E">
        <w:t>.</w:t>
      </w:r>
    </w:p>
    <w:p w14:paraId="1F4C8889" w14:textId="77777777" w:rsidR="00C831E9" w:rsidRPr="009C235E" w:rsidRDefault="00C831E9" w:rsidP="001D1579">
      <w:pPr>
        <w:pStyle w:val="Puce1"/>
      </w:pPr>
      <w:r w:rsidRPr="00636FE1">
        <w:rPr>
          <w:b/>
        </w:rPr>
        <w:t>3</w:t>
      </w:r>
      <w:r w:rsidRPr="00636FE1">
        <w:rPr>
          <w:b/>
          <w:vertAlign w:val="superscript"/>
        </w:rPr>
        <w:t>ème</w:t>
      </w:r>
      <w:r w:rsidRPr="00636FE1">
        <w:rPr>
          <w:b/>
        </w:rPr>
        <w:t xml:space="preserve"> cas </w:t>
      </w:r>
      <w:r w:rsidRPr="009C235E">
        <w:t>: Les certificats qualifiés de signature électronique délivrés en application de l’arrêté du 15 juin 2012 abrogé au 1</w:t>
      </w:r>
      <w:r w:rsidRPr="00636FE1">
        <w:rPr>
          <w:vertAlign w:val="superscript"/>
        </w:rPr>
        <w:t>er</w:t>
      </w:r>
      <w:r w:rsidRPr="009C235E">
        <w:t xml:space="preserve"> octobre 2018, relatif à la signature électronique dans les marchés publics demeurent régis par ses dispositions jusqu'à leur expiration. </w:t>
      </w:r>
    </w:p>
    <w:p w14:paraId="561EB095" w14:textId="77777777" w:rsidR="00C831E9" w:rsidRPr="009C235E" w:rsidRDefault="00C831E9" w:rsidP="00636FE1">
      <w:pPr>
        <w:rPr>
          <w:lang w:eastAsia="fr-FR"/>
        </w:rPr>
      </w:pPr>
      <w:r w:rsidRPr="009C235E">
        <w:rPr>
          <w:lang w:eastAsia="fr-FR"/>
        </w:rPr>
        <w:t xml:space="preserve">Par conséquent, les certificats de signature conformes au RGS (Référentiel Général de Sécurité) ou équivalent, émis avant le 1er octobre 2018, demeurent valables jusqu’à leur date de fin de validité. </w:t>
      </w:r>
    </w:p>
    <w:p w14:paraId="72692289" w14:textId="77777777" w:rsidR="00C831E9" w:rsidRPr="009C235E" w:rsidRDefault="00C831E9" w:rsidP="00636FE1">
      <w:pPr>
        <w:rPr>
          <w:lang w:eastAsia="fr-FR"/>
        </w:rPr>
      </w:pPr>
      <w:r w:rsidRPr="009C235E">
        <w:rPr>
          <w:lang w:eastAsia="fr-FR"/>
        </w:rPr>
        <w:t xml:space="preserve">Liste des certificats de signature électronique commercialisés par des prestataires de services de confiance qualifiés : </w:t>
      </w:r>
    </w:p>
    <w:p w14:paraId="465EDCE0" w14:textId="3CD702B6" w:rsidR="00C831E9" w:rsidRPr="009C235E" w:rsidRDefault="00412BD1" w:rsidP="00636FE1">
      <w:pPr>
        <w:rPr>
          <w:rFonts w:cs="Calibri"/>
          <w:lang w:eastAsia="fr-FR"/>
        </w:rPr>
      </w:pPr>
      <w:hyperlink r:id="rId26" w:history="1">
        <w:r w:rsidR="00C831E9" w:rsidRPr="009C235E">
          <w:rPr>
            <w:rFonts w:cs="Calibri"/>
            <w:color w:val="0000FF"/>
            <w:u w:val="single"/>
            <w:lang w:eastAsia="fr-FR"/>
          </w:rPr>
          <w:t>https://www.ssi.gouv.fr/liste-produits-et-services-qualifies.</w:t>
        </w:r>
      </w:hyperlink>
    </w:p>
    <w:p w14:paraId="404C6800" w14:textId="1F8FE0DA" w:rsidR="00C831E9" w:rsidRPr="009C235E" w:rsidRDefault="00412BD1" w:rsidP="00636FE1">
      <w:pPr>
        <w:rPr>
          <w:rFonts w:cs="Calibri"/>
          <w:color w:val="0000FF"/>
          <w:u w:val="single"/>
        </w:rPr>
      </w:pPr>
      <w:hyperlink r:id="rId27" w:history="1">
        <w:r w:rsidR="00C831E9" w:rsidRPr="009C235E">
          <w:rPr>
            <w:rFonts w:cs="Calibri"/>
            <w:color w:val="0000FF"/>
            <w:u w:val="single"/>
          </w:rPr>
          <w:t>https://esignature.ec.europa.eu/efda/tl-browser/#/screen/tl/FR</w:t>
        </w:r>
      </w:hyperlink>
    </w:p>
    <w:p w14:paraId="4E3E8DAF" w14:textId="77777777" w:rsidR="00C831E9" w:rsidRPr="009C235E" w:rsidRDefault="00C831E9" w:rsidP="00636FE1">
      <w:pPr>
        <w:rPr>
          <w:lang w:eastAsia="fr-FR"/>
        </w:rPr>
      </w:pPr>
      <w:r w:rsidRPr="009C235E">
        <w:rPr>
          <w:lang w:eastAsia="fr-FR"/>
        </w:rPr>
        <w:t xml:space="preserve">Si le certificat de signature électronique n’est pas référencé sur une liste de confiance, le signataire s’assure que le certificat qu’il utilise est au moins conforme au niveau de sécurité préconisé, conformément </w:t>
      </w:r>
      <w:r>
        <w:rPr>
          <w:lang w:eastAsia="fr-FR"/>
        </w:rPr>
        <w:t>à l’annexe I du règlement « eIDAS</w:t>
      </w:r>
      <w:r w:rsidRPr="009C235E">
        <w:rPr>
          <w:lang w:eastAsia="fr-FR"/>
        </w:rPr>
        <w:t xml:space="preserve"> ». </w:t>
      </w:r>
    </w:p>
    <w:p w14:paraId="50CE4991" w14:textId="55BEBBA2" w:rsidR="00C831E9" w:rsidRPr="009C235E" w:rsidRDefault="00C831E9" w:rsidP="00636FE1">
      <w:pPr>
        <w:rPr>
          <w:lang w:eastAsia="fr-FR"/>
        </w:rPr>
      </w:pPr>
      <w:r w:rsidRPr="009C235E">
        <w:rPr>
          <w:lang w:eastAsia="fr-FR"/>
        </w:rPr>
        <w:t>Dans ce dernier cas, le signataire doit transmettre les justifi</w:t>
      </w:r>
      <w:r w:rsidR="00990978">
        <w:rPr>
          <w:lang w:eastAsia="fr-FR"/>
        </w:rPr>
        <w:t>catifs de conformité suivants :</w:t>
      </w:r>
    </w:p>
    <w:p w14:paraId="14E91519" w14:textId="245F5058" w:rsidR="00C831E9" w:rsidRPr="009C235E" w:rsidRDefault="00C831E9" w:rsidP="001D1579">
      <w:pPr>
        <w:pStyle w:val="Puce1"/>
      </w:pPr>
      <w:r w:rsidRPr="009C235E">
        <w:t>La procédure permettant la vérification de la qualité et du niveau de sécurité du certificat de signature utilisé (preuve de la qualification de l'Autorité de certification, la politique de certification</w:t>
      </w:r>
      <w:r w:rsidR="00990978">
        <w:t>, etc.</w:t>
      </w:r>
      <w:r w:rsidRPr="009C235E">
        <w:t>).</w:t>
      </w:r>
    </w:p>
    <w:p w14:paraId="4CDB1641" w14:textId="77777777" w:rsidR="00C831E9" w:rsidRPr="009C235E" w:rsidRDefault="00C831E9" w:rsidP="001D1579">
      <w:pPr>
        <w:pStyle w:val="Puce1"/>
      </w:pPr>
      <w:r w:rsidRPr="009C235E">
        <w:t>Le candidat fournit notamment les outils techniques de vérification du certificat (chaîne de certification complète jusqu’à l’A</w:t>
      </w:r>
      <w:r>
        <w:t>utorité de Certification</w:t>
      </w:r>
      <w:r w:rsidRPr="009C235E">
        <w:t xml:space="preserve"> racine, adresse de téléchargement de la dernière mise à jour de la liste de révocation). </w:t>
      </w:r>
    </w:p>
    <w:p w14:paraId="0BF1A1F8" w14:textId="77777777" w:rsidR="00C831E9" w:rsidRPr="009C235E" w:rsidRDefault="00C831E9" w:rsidP="001D1579">
      <w:pPr>
        <w:pStyle w:val="Puce1"/>
      </w:pPr>
      <w:r w:rsidRPr="009C235E">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4FDF5F37" w14:textId="1C835B55" w:rsidR="00C831E9" w:rsidRPr="005D067D" w:rsidRDefault="00C831E9" w:rsidP="00636FE1">
      <w:pPr>
        <w:pStyle w:val="Titre4"/>
      </w:pPr>
      <w:bookmarkStart w:id="162" w:name="_Toc143250943"/>
      <w:r w:rsidRPr="005D067D">
        <w:t>Formats de signature</w:t>
      </w:r>
      <w:bookmarkEnd w:id="162"/>
    </w:p>
    <w:p w14:paraId="47549CB1" w14:textId="77777777" w:rsidR="00C831E9" w:rsidRDefault="00C831E9" w:rsidP="00636FE1">
      <w:pPr>
        <w:rPr>
          <w:lang w:eastAsia="fr-FR"/>
        </w:rPr>
      </w:pPr>
      <w:r w:rsidRPr="009C235E">
        <w:rPr>
          <w:lang w:eastAsia="fr-FR"/>
        </w:rPr>
        <w:t>Les formats de signature acceptés sont PAdES, CAdES et XAdES.</w:t>
      </w:r>
    </w:p>
    <w:p w14:paraId="140C18BB" w14:textId="63A2ADBF" w:rsidR="00C831E9" w:rsidRPr="009C235E" w:rsidRDefault="00C831E9" w:rsidP="00636FE1">
      <w:pPr>
        <w:rPr>
          <w:lang w:eastAsia="fr-FR"/>
        </w:rPr>
      </w:pPr>
      <w:r w:rsidRPr="009C235E">
        <w:rPr>
          <w:lang w:eastAsia="fr-FR"/>
        </w:rPr>
        <w:t xml:space="preserve">Cependant, la signature électronique </w:t>
      </w:r>
      <w:r>
        <w:rPr>
          <w:lang w:eastAsia="fr-FR"/>
        </w:rPr>
        <w:t xml:space="preserve">au </w:t>
      </w:r>
      <w:r w:rsidRPr="009C235E">
        <w:rPr>
          <w:lang w:eastAsia="fr-FR"/>
        </w:rPr>
        <w:t xml:space="preserve">format Pades </w:t>
      </w:r>
      <w:r w:rsidR="00990978">
        <w:rPr>
          <w:lang w:eastAsia="fr-FR"/>
        </w:rPr>
        <w:t>de l’accord-cadre</w:t>
      </w:r>
      <w:r>
        <w:rPr>
          <w:lang w:eastAsia="fr-FR"/>
        </w:rPr>
        <w:t xml:space="preserve"> en Pdf (</w:t>
      </w:r>
      <w:r w:rsidR="00990978">
        <w:rPr>
          <w:lang w:eastAsia="fr-FR"/>
        </w:rPr>
        <w:t>acte d’ebgagement</w:t>
      </w:r>
      <w:r>
        <w:rPr>
          <w:lang w:eastAsia="fr-FR"/>
        </w:rPr>
        <w:t>, acte de sous-traitance</w:t>
      </w:r>
      <w:r w:rsidR="00990978">
        <w:rPr>
          <w:lang w:eastAsia="fr-FR"/>
        </w:rPr>
        <w:t>, etc.</w:t>
      </w:r>
      <w:r>
        <w:rPr>
          <w:lang w:eastAsia="fr-FR"/>
        </w:rPr>
        <w:t xml:space="preserve">) </w:t>
      </w:r>
      <w:r w:rsidR="00990978">
        <w:rPr>
          <w:lang w:eastAsia="fr-FR"/>
        </w:rPr>
        <w:t>est</w:t>
      </w:r>
      <w:r w:rsidRPr="009C235E">
        <w:rPr>
          <w:lang w:eastAsia="fr-FR"/>
        </w:rPr>
        <w:t xml:space="preserve"> privilégiée. </w:t>
      </w:r>
    </w:p>
    <w:p w14:paraId="2F1D7D06" w14:textId="77777777" w:rsidR="00C831E9" w:rsidRPr="005D067D" w:rsidRDefault="00C831E9" w:rsidP="00636FE1">
      <w:pPr>
        <w:rPr>
          <w:lang w:eastAsia="fr-FR"/>
        </w:rPr>
      </w:pPr>
      <w:r w:rsidRPr="005D067D">
        <w:rPr>
          <w:lang w:eastAsia="fr-FR"/>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195226C6" w14:textId="77777777" w:rsidR="00C831E9" w:rsidRDefault="00C831E9" w:rsidP="00636FE1">
      <w:pPr>
        <w:rPr>
          <w:lang w:eastAsia="fr-FR"/>
        </w:rPr>
      </w:pPr>
      <w:r w:rsidRPr="009C235E">
        <w:rPr>
          <w:lang w:eastAsia="fr-FR"/>
        </w:rPr>
        <w:t>Les frais éventuels d’acquisition du certificat de signature sont à la charge des candidats.</w:t>
      </w:r>
    </w:p>
    <w:p w14:paraId="7FA63A5D" w14:textId="6952A199" w:rsidR="00704C59" w:rsidRPr="00704C59" w:rsidRDefault="00704C59" w:rsidP="00636FE1">
      <w:pPr>
        <w:pStyle w:val="Titre1"/>
      </w:pPr>
      <w:bookmarkStart w:id="163" w:name="_Toc143250944"/>
      <w:bookmarkStart w:id="164" w:name="_Toc187833056"/>
      <w:bookmarkStart w:id="165" w:name="_Toc211257309"/>
      <w:r w:rsidRPr="00704C59">
        <w:lastRenderedPageBreak/>
        <w:t>E</w:t>
      </w:r>
      <w:r w:rsidR="007A594F">
        <w:t>valuation des candidatures</w:t>
      </w:r>
      <w:bookmarkEnd w:id="145"/>
      <w:bookmarkEnd w:id="163"/>
      <w:bookmarkEnd w:id="164"/>
      <w:bookmarkEnd w:id="165"/>
      <w:r w:rsidRPr="00704C59">
        <w:t xml:space="preserve"> </w:t>
      </w:r>
    </w:p>
    <w:p w14:paraId="271A0A15" w14:textId="77777777" w:rsidR="006A772C" w:rsidRPr="00DF1495" w:rsidRDefault="006A772C" w:rsidP="00636FE1">
      <w:pPr>
        <w:rPr>
          <w:lang w:eastAsia="fr-FR"/>
        </w:rPr>
      </w:pPr>
      <w:r w:rsidRPr="00A515D1">
        <w:rPr>
          <w:lang w:eastAsia="fr-FR"/>
        </w:rPr>
        <w:t xml:space="preserve">L’évaluation des candidatures sera effectuée dans les conditions prévues aux </w:t>
      </w:r>
      <w:r>
        <w:rPr>
          <w:lang w:eastAsia="fr-FR"/>
        </w:rPr>
        <w:t>articles R2142-1 à R2144-7 du code de la commande publique</w:t>
      </w:r>
      <w:r w:rsidRPr="00DF1495">
        <w:rPr>
          <w:lang w:eastAsia="fr-FR"/>
        </w:rPr>
        <w:t>.</w:t>
      </w:r>
    </w:p>
    <w:p w14:paraId="2D018AB1" w14:textId="2D05EE6F" w:rsidR="006A128C" w:rsidRPr="00F1008E" w:rsidRDefault="006A128C" w:rsidP="00636FE1">
      <w:pPr>
        <w:rPr>
          <w:lang w:eastAsia="fr-FR"/>
        </w:rPr>
      </w:pPr>
      <w:r w:rsidRPr="00DF1495">
        <w:rPr>
          <w:lang w:eastAsia="fr-FR"/>
        </w:rPr>
        <w:t xml:space="preserve">Le candidat </w:t>
      </w:r>
      <w:r w:rsidR="00CE71BF">
        <w:rPr>
          <w:lang w:eastAsia="fr-FR"/>
        </w:rPr>
        <w:t>doit</w:t>
      </w:r>
      <w:r w:rsidR="00CE71BF" w:rsidRPr="00DF1495">
        <w:rPr>
          <w:lang w:eastAsia="fr-FR"/>
        </w:rPr>
        <w:t xml:space="preserve"> </w:t>
      </w:r>
      <w:r w:rsidRPr="00DF1495">
        <w:rPr>
          <w:lang w:eastAsia="fr-FR"/>
        </w:rPr>
        <w:t xml:space="preserve">produire les éléments demandés à l’article </w:t>
      </w:r>
      <w:r w:rsidR="00990978">
        <w:rPr>
          <w:lang w:eastAsia="fr-FR"/>
        </w:rPr>
        <w:fldChar w:fldCharType="begin"/>
      </w:r>
      <w:r w:rsidR="00990978">
        <w:rPr>
          <w:lang w:eastAsia="fr-FR"/>
        </w:rPr>
        <w:instrText xml:space="preserve"> REF _Ref187138286 \r \h </w:instrText>
      </w:r>
      <w:r w:rsidR="00990978">
        <w:rPr>
          <w:lang w:eastAsia="fr-FR"/>
        </w:rPr>
      </w:r>
      <w:r w:rsidR="00990978">
        <w:rPr>
          <w:lang w:eastAsia="fr-FR"/>
        </w:rPr>
        <w:fldChar w:fldCharType="separate"/>
      </w:r>
      <w:r w:rsidR="00FC00F4">
        <w:rPr>
          <w:lang w:eastAsia="fr-FR"/>
        </w:rPr>
        <w:t>5.1</w:t>
      </w:r>
      <w:r w:rsidR="00990978">
        <w:rPr>
          <w:lang w:eastAsia="fr-FR"/>
        </w:rPr>
        <w:fldChar w:fldCharType="end"/>
      </w:r>
      <w:r w:rsidRPr="00DF1495">
        <w:rPr>
          <w:lang w:eastAsia="fr-FR"/>
        </w:rPr>
        <w:t xml:space="preserve"> du présent règlement de la consultation. </w:t>
      </w:r>
    </w:p>
    <w:p w14:paraId="2F327195" w14:textId="1CFCF7B6" w:rsidR="006A128C" w:rsidRPr="00F1008E" w:rsidRDefault="006A128C" w:rsidP="00636FE1">
      <w:pPr>
        <w:rPr>
          <w:lang w:eastAsia="fr-FR"/>
        </w:rPr>
      </w:pPr>
      <w:r w:rsidRPr="00DF1495">
        <w:rPr>
          <w:lang w:eastAsia="fr-FR"/>
        </w:rPr>
        <w:t xml:space="preserve">Après examen des candidatures d’après ces éléments, </w:t>
      </w:r>
      <w:r w:rsidRPr="008A69CB">
        <w:rPr>
          <w:lang w:eastAsia="fr-FR"/>
        </w:rPr>
        <w:t>sont éliminés</w:t>
      </w:r>
      <w:r w:rsidRPr="00DF1495">
        <w:rPr>
          <w:lang w:eastAsia="fr-FR"/>
        </w:rPr>
        <w:t xml:space="preserve"> les candidats dont les garanties sont insuffisantes au regard des critères visés ci-dessous :</w:t>
      </w:r>
    </w:p>
    <w:p w14:paraId="3D3C2D55" w14:textId="77777777" w:rsidR="006A128C" w:rsidRPr="00636FE1" w:rsidRDefault="006A128C" w:rsidP="001D1579">
      <w:pPr>
        <w:pStyle w:val="Puce1"/>
        <w:rPr>
          <w:rFonts w:eastAsia="Times New Roman"/>
        </w:rPr>
      </w:pPr>
      <w:r w:rsidRPr="00636FE1">
        <w:rPr>
          <w:rFonts w:eastAsia="Times New Roman"/>
          <w:b/>
          <w:bCs/>
        </w:rPr>
        <w:t xml:space="preserve">Capacité professionnelle </w:t>
      </w:r>
      <w:r w:rsidRPr="00636FE1">
        <w:rPr>
          <w:rFonts w:eastAsia="Times New Roman"/>
          <w:bCs/>
        </w:rPr>
        <w:t>appréciées</w:t>
      </w:r>
      <w:r w:rsidRPr="00DF1495">
        <w:t xml:space="preserve">, notamment, sur la base des principales fournitures et principaux services, en rapport avec l’objet </w:t>
      </w:r>
      <w:r>
        <w:t>de l’accord-cadre</w:t>
      </w:r>
      <w:r w:rsidRPr="00DF1495">
        <w:t>, effectués au cours des trois dernières années</w:t>
      </w:r>
      <w:r w:rsidRPr="00636FE1">
        <w:rPr>
          <w:rFonts w:eastAsia="Times New Roman"/>
          <w:bCs/>
        </w:rPr>
        <w:t>.</w:t>
      </w:r>
    </w:p>
    <w:p w14:paraId="48A3E54D" w14:textId="77777777" w:rsidR="006A128C" w:rsidRPr="00DF1495" w:rsidRDefault="006A128C" w:rsidP="001D1579">
      <w:pPr>
        <w:pStyle w:val="Puce1"/>
      </w:pPr>
      <w:r w:rsidRPr="00636FE1">
        <w:rPr>
          <w:b/>
        </w:rPr>
        <w:t xml:space="preserve">Capacités techniques </w:t>
      </w:r>
      <w:r w:rsidRPr="00DF1495">
        <w:t>appréciées notamment sur la base des effectifs moyens annuels.</w:t>
      </w:r>
    </w:p>
    <w:p w14:paraId="52A0A97E" w14:textId="3573C78C" w:rsidR="006A128C" w:rsidRPr="00636FE1" w:rsidRDefault="006A128C" w:rsidP="001D1579">
      <w:pPr>
        <w:pStyle w:val="Puce1"/>
        <w:rPr>
          <w:rFonts w:eastAsia="Times New Roman"/>
        </w:rPr>
      </w:pPr>
      <w:r w:rsidRPr="00636FE1">
        <w:rPr>
          <w:rFonts w:eastAsia="Times New Roman"/>
          <w:b/>
          <w:bCs/>
        </w:rPr>
        <w:t xml:space="preserve">Capacité économique et financière </w:t>
      </w:r>
      <w:r w:rsidRPr="00636FE1">
        <w:rPr>
          <w:rFonts w:eastAsia="Times New Roman"/>
          <w:bCs/>
        </w:rPr>
        <w:t xml:space="preserve">appréciées notamment sur la base du chiffre d’affaires annuel et du </w:t>
      </w:r>
      <w:r w:rsidRPr="00DF1495">
        <w:t>chiffre d'affaires relatif aux prestations objet d</w:t>
      </w:r>
      <w:r>
        <w:t>e l’accord-cadre</w:t>
      </w:r>
      <w:r w:rsidRPr="00DF1495">
        <w:t xml:space="preserve"> et de leur évolution sur les trois derniers exercices disponibles</w:t>
      </w:r>
      <w:r w:rsidRPr="00636FE1">
        <w:rPr>
          <w:rFonts w:eastAsia="Times New Roman"/>
          <w:bCs/>
        </w:rPr>
        <w:t>.</w:t>
      </w:r>
    </w:p>
    <w:p w14:paraId="35BB185B" w14:textId="214C0912" w:rsidR="00FA08A5" w:rsidRDefault="00FA08A5" w:rsidP="00636FE1">
      <w:pPr>
        <w:rPr>
          <w:lang w:eastAsia="fr-FR"/>
        </w:rPr>
      </w:pPr>
      <w:r w:rsidRPr="00961161">
        <w:rPr>
          <w:lang w:eastAsia="fr-FR"/>
        </w:rPr>
        <w:t>Le chiffre d’affaires annuel sur les trois derniers exercices disponibles doit atteindre le seuil minimum suivant</w:t>
      </w:r>
      <w:r w:rsidR="00037E4C">
        <w:rPr>
          <w:lang w:eastAsia="fr-FR"/>
        </w:rPr>
        <w:t> </w:t>
      </w:r>
      <w:r w:rsidRPr="00961161">
        <w:rPr>
          <w:lang w:eastAsia="fr-FR"/>
        </w:rPr>
        <w:t>:</w:t>
      </w:r>
    </w:p>
    <w:tbl>
      <w:tblPr>
        <w:tblStyle w:val="Grilledutableau"/>
        <w:tblW w:w="0" w:type="auto"/>
        <w:tblLayout w:type="fixed"/>
        <w:tblLook w:val="04A0" w:firstRow="1" w:lastRow="0" w:firstColumn="1" w:lastColumn="0" w:noHBand="0" w:noVBand="1"/>
      </w:tblPr>
      <w:tblGrid>
        <w:gridCol w:w="992"/>
        <w:gridCol w:w="1130"/>
      </w:tblGrid>
      <w:tr w:rsidR="004303BB" w:rsidRPr="00265806" w14:paraId="494DD86E" w14:textId="77777777" w:rsidTr="0014554C">
        <w:tc>
          <w:tcPr>
            <w:tcW w:w="992" w:type="dxa"/>
            <w:shd w:val="clear" w:color="auto" w:fill="44546A" w:themeFill="text2"/>
          </w:tcPr>
          <w:p w14:paraId="56CAD975" w14:textId="77777777" w:rsidR="004303BB" w:rsidRPr="00265806" w:rsidRDefault="004303BB" w:rsidP="008B4C9C">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1</w:t>
            </w:r>
          </w:p>
        </w:tc>
        <w:tc>
          <w:tcPr>
            <w:tcW w:w="1130" w:type="dxa"/>
            <w:tcBorders>
              <w:top w:val="single" w:sz="4" w:space="0" w:color="auto"/>
              <w:left w:val="nil"/>
              <w:bottom w:val="single" w:sz="4" w:space="0" w:color="auto"/>
              <w:right w:val="single" w:sz="4" w:space="0" w:color="auto"/>
            </w:tcBorders>
            <w:shd w:val="clear" w:color="auto" w:fill="auto"/>
            <w:vAlign w:val="center"/>
          </w:tcPr>
          <w:p w14:paraId="3F054C53" w14:textId="0147BBED" w:rsidR="004303BB" w:rsidRPr="00265806" w:rsidRDefault="00234019" w:rsidP="008B4C9C">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 xml:space="preserve">44 </w:t>
            </w:r>
            <w:r w:rsidR="004303BB" w:rsidRPr="00265806">
              <w:rPr>
                <w:rFonts w:asciiTheme="minorHAnsi" w:hAnsiTheme="minorHAnsi"/>
                <w:sz w:val="20"/>
                <w:szCs w:val="20"/>
                <w:lang w:eastAsia="fr-FR"/>
              </w:rPr>
              <w:t>M€HT</w:t>
            </w:r>
          </w:p>
        </w:tc>
      </w:tr>
      <w:tr w:rsidR="004303BB" w:rsidRPr="00265806" w14:paraId="43C674DC" w14:textId="77777777" w:rsidTr="0014554C">
        <w:tc>
          <w:tcPr>
            <w:tcW w:w="992" w:type="dxa"/>
            <w:shd w:val="clear" w:color="auto" w:fill="44546A" w:themeFill="text2"/>
          </w:tcPr>
          <w:p w14:paraId="4A74CA5A" w14:textId="77777777" w:rsidR="004303BB" w:rsidRPr="00265806" w:rsidRDefault="004303BB" w:rsidP="008B4C9C">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2</w:t>
            </w:r>
          </w:p>
        </w:tc>
        <w:tc>
          <w:tcPr>
            <w:tcW w:w="1130" w:type="dxa"/>
            <w:tcBorders>
              <w:top w:val="single" w:sz="4" w:space="0" w:color="auto"/>
              <w:left w:val="nil"/>
              <w:bottom w:val="single" w:sz="4" w:space="0" w:color="auto"/>
              <w:right w:val="single" w:sz="4" w:space="0" w:color="auto"/>
            </w:tcBorders>
            <w:shd w:val="clear" w:color="auto" w:fill="auto"/>
            <w:vAlign w:val="center"/>
          </w:tcPr>
          <w:p w14:paraId="7D83C917" w14:textId="66C7E5AB" w:rsidR="004303BB" w:rsidRPr="00265806" w:rsidRDefault="00234019" w:rsidP="008B4C9C">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7</w:t>
            </w:r>
            <w:r w:rsidR="003D5891" w:rsidRPr="00265806">
              <w:rPr>
                <w:rFonts w:asciiTheme="minorHAnsi" w:hAnsiTheme="minorHAnsi"/>
                <w:sz w:val="20"/>
                <w:szCs w:val="20"/>
                <w:lang w:eastAsia="fr-FR"/>
              </w:rPr>
              <w:t>6</w:t>
            </w:r>
            <w:r w:rsidRPr="00265806">
              <w:rPr>
                <w:rFonts w:asciiTheme="minorHAnsi" w:hAnsiTheme="minorHAnsi"/>
                <w:sz w:val="20"/>
                <w:szCs w:val="20"/>
                <w:lang w:eastAsia="fr-FR"/>
              </w:rPr>
              <w:t xml:space="preserve"> </w:t>
            </w:r>
            <w:r w:rsidR="004303BB" w:rsidRPr="00265806">
              <w:rPr>
                <w:rFonts w:asciiTheme="minorHAnsi" w:hAnsiTheme="minorHAnsi"/>
                <w:sz w:val="20"/>
                <w:szCs w:val="20"/>
                <w:lang w:eastAsia="fr-FR"/>
              </w:rPr>
              <w:t>M€HT</w:t>
            </w:r>
          </w:p>
        </w:tc>
      </w:tr>
      <w:tr w:rsidR="004303BB" w:rsidRPr="008C32C9" w14:paraId="6CDD6BFB" w14:textId="77777777" w:rsidTr="0014554C">
        <w:tc>
          <w:tcPr>
            <w:tcW w:w="992" w:type="dxa"/>
            <w:shd w:val="clear" w:color="auto" w:fill="44546A" w:themeFill="text2"/>
          </w:tcPr>
          <w:p w14:paraId="2F7DFF5A" w14:textId="77777777" w:rsidR="004303BB" w:rsidRPr="00265806" w:rsidRDefault="004303BB" w:rsidP="008B4C9C">
            <w:pPr>
              <w:spacing w:before="0" w:after="0"/>
              <w:rPr>
                <w:rFonts w:asciiTheme="minorHAnsi" w:hAnsiTheme="minorHAnsi"/>
                <w:b/>
                <w:color w:val="FFFFFF" w:themeColor="background1"/>
                <w:sz w:val="20"/>
                <w:szCs w:val="20"/>
                <w:lang w:eastAsia="fr-FR"/>
              </w:rPr>
            </w:pPr>
            <w:r w:rsidRPr="00265806">
              <w:rPr>
                <w:rFonts w:asciiTheme="minorHAnsi" w:hAnsiTheme="minorHAnsi"/>
                <w:b/>
                <w:color w:val="FFFFFF" w:themeColor="background1"/>
                <w:sz w:val="20"/>
                <w:szCs w:val="20"/>
                <w:lang w:eastAsia="fr-FR"/>
              </w:rPr>
              <w:t>Lot 3</w:t>
            </w:r>
          </w:p>
        </w:tc>
        <w:tc>
          <w:tcPr>
            <w:tcW w:w="1130" w:type="dxa"/>
            <w:tcBorders>
              <w:top w:val="single" w:sz="4" w:space="0" w:color="auto"/>
              <w:left w:val="nil"/>
              <w:bottom w:val="single" w:sz="4" w:space="0" w:color="auto"/>
              <w:right w:val="single" w:sz="4" w:space="0" w:color="auto"/>
            </w:tcBorders>
            <w:shd w:val="clear" w:color="auto" w:fill="auto"/>
            <w:vAlign w:val="center"/>
          </w:tcPr>
          <w:p w14:paraId="0FB9FAF6" w14:textId="1DC2B334" w:rsidR="004303BB" w:rsidRPr="008C32C9" w:rsidRDefault="003D5891" w:rsidP="008B4C9C">
            <w:pPr>
              <w:spacing w:before="0" w:after="0"/>
              <w:jc w:val="right"/>
              <w:rPr>
                <w:rFonts w:asciiTheme="minorHAnsi" w:hAnsiTheme="minorHAnsi"/>
                <w:sz w:val="20"/>
                <w:szCs w:val="20"/>
                <w:lang w:eastAsia="fr-FR"/>
              </w:rPr>
            </w:pPr>
            <w:r w:rsidRPr="00265806">
              <w:rPr>
                <w:rFonts w:asciiTheme="minorHAnsi" w:hAnsiTheme="minorHAnsi"/>
                <w:sz w:val="20"/>
                <w:szCs w:val="20"/>
                <w:lang w:eastAsia="fr-FR"/>
              </w:rPr>
              <w:t>6</w:t>
            </w:r>
            <w:r w:rsidR="00234019" w:rsidRPr="00265806">
              <w:rPr>
                <w:rFonts w:asciiTheme="minorHAnsi" w:hAnsiTheme="minorHAnsi"/>
                <w:sz w:val="20"/>
                <w:szCs w:val="20"/>
                <w:lang w:eastAsia="fr-FR"/>
              </w:rPr>
              <w:t xml:space="preserve"> </w:t>
            </w:r>
            <w:r w:rsidR="004303BB" w:rsidRPr="00265806">
              <w:rPr>
                <w:rFonts w:asciiTheme="minorHAnsi" w:hAnsiTheme="minorHAnsi"/>
                <w:sz w:val="20"/>
                <w:szCs w:val="20"/>
                <w:lang w:eastAsia="fr-FR"/>
              </w:rPr>
              <w:t>M€HT</w:t>
            </w:r>
          </w:p>
        </w:tc>
      </w:tr>
    </w:tbl>
    <w:p w14:paraId="78931D8A" w14:textId="16B19055" w:rsidR="00704C59" w:rsidRPr="00704C59" w:rsidRDefault="00704C59" w:rsidP="00F26548">
      <w:pPr>
        <w:pStyle w:val="Titre1"/>
        <w:ind w:left="431" w:hanging="431"/>
      </w:pPr>
      <w:bookmarkStart w:id="166" w:name="_Toc339962359"/>
      <w:bookmarkStart w:id="167" w:name="_Toc387997737"/>
      <w:bookmarkStart w:id="168" w:name="_Toc143250945"/>
      <w:bookmarkStart w:id="169" w:name="_Toc187833057"/>
      <w:bookmarkStart w:id="170" w:name="_Toc211257310"/>
      <w:r w:rsidRPr="00704C59">
        <w:t>J</w:t>
      </w:r>
      <w:r w:rsidR="007A594F">
        <w:t>ugement des offres</w:t>
      </w:r>
      <w:bookmarkEnd w:id="166"/>
      <w:bookmarkEnd w:id="167"/>
      <w:bookmarkEnd w:id="168"/>
      <w:bookmarkEnd w:id="169"/>
      <w:bookmarkEnd w:id="170"/>
    </w:p>
    <w:p w14:paraId="3EE11E02" w14:textId="77777777" w:rsidR="00F3541E" w:rsidRPr="00E27C2A" w:rsidRDefault="00F3541E" w:rsidP="00636FE1">
      <w:pPr>
        <w:pStyle w:val="Titre2"/>
      </w:pPr>
      <w:bookmarkStart w:id="171" w:name="_Toc441836696"/>
      <w:bookmarkStart w:id="172" w:name="_Toc454891505"/>
      <w:bookmarkStart w:id="173" w:name="_Toc143250946"/>
      <w:bookmarkStart w:id="174" w:name="_Toc187833058"/>
      <w:bookmarkStart w:id="175" w:name="_Toc211257311"/>
      <w:bookmarkStart w:id="176" w:name="_Toc387997738"/>
      <w:r w:rsidRPr="00E27C2A">
        <w:t>Conditions générales</w:t>
      </w:r>
      <w:bookmarkEnd w:id="171"/>
      <w:bookmarkEnd w:id="172"/>
      <w:bookmarkEnd w:id="173"/>
      <w:bookmarkEnd w:id="174"/>
      <w:bookmarkEnd w:id="175"/>
    </w:p>
    <w:p w14:paraId="5D491BB3" w14:textId="77777777" w:rsidR="00F3541E" w:rsidRDefault="00F3541E" w:rsidP="00636FE1">
      <w:pPr>
        <w:rPr>
          <w:lang w:eastAsia="fr-FR"/>
        </w:rPr>
      </w:pPr>
      <w:r w:rsidRPr="00DF1495">
        <w:rPr>
          <w:lang w:eastAsia="fr-FR"/>
        </w:rPr>
        <w:t xml:space="preserve">Le jugement des offres est effectué dans les conditions prévues aux articles </w:t>
      </w:r>
      <w:r w:rsidR="006A772C">
        <w:rPr>
          <w:lang w:eastAsia="fr-FR"/>
        </w:rPr>
        <w:t>R2152-1 et suivants du code de la commande publique</w:t>
      </w:r>
      <w:r>
        <w:rPr>
          <w:lang w:eastAsia="fr-FR"/>
        </w:rPr>
        <w:t xml:space="preserve">. </w:t>
      </w:r>
    </w:p>
    <w:p w14:paraId="58B88E39" w14:textId="77777777" w:rsidR="006A772C" w:rsidRDefault="006A772C" w:rsidP="00636FE1">
      <w:pPr>
        <w:rPr>
          <w:lang w:eastAsia="fr-FR"/>
        </w:rPr>
      </w:pPr>
      <w:r w:rsidRPr="008A69CB">
        <w:rPr>
          <w:lang w:eastAsia="fr-FR"/>
        </w:rPr>
        <w:t xml:space="preserve">Conformément à l’article </w:t>
      </w:r>
      <w:r>
        <w:rPr>
          <w:lang w:eastAsia="fr-FR"/>
        </w:rPr>
        <w:t>L2152-1 du code de la commande publique,</w:t>
      </w:r>
      <w:r w:rsidR="00F3541E" w:rsidRPr="008A69CB">
        <w:rPr>
          <w:lang w:eastAsia="fr-FR"/>
        </w:rPr>
        <w:t xml:space="preserve"> les offres irrégulières, inappropriées ou inacceptables sont</w:t>
      </w:r>
      <w:r w:rsidR="00173B5B">
        <w:rPr>
          <w:lang w:eastAsia="fr-FR"/>
        </w:rPr>
        <w:t xml:space="preserve"> éliminées. </w:t>
      </w:r>
    </w:p>
    <w:p w14:paraId="3B3505A3" w14:textId="2D399583" w:rsidR="00B4129E" w:rsidRDefault="006A772C" w:rsidP="00636FE1">
      <w:pPr>
        <w:rPr>
          <w:lang w:eastAsia="fr-FR"/>
        </w:rPr>
      </w:pPr>
      <w:r>
        <w:rPr>
          <w:lang w:eastAsia="fr-FR"/>
        </w:rPr>
        <w:t xml:space="preserve">Conformément à l’article R2152-2 du code de la commande publique, </w:t>
      </w:r>
      <w:r w:rsidR="00173B5B">
        <w:rPr>
          <w:lang w:eastAsia="fr-FR"/>
        </w:rPr>
        <w:t>la Cnam</w:t>
      </w:r>
      <w:r w:rsidR="00F3541E" w:rsidRPr="008A69CB">
        <w:rPr>
          <w:lang w:eastAsia="fr-FR"/>
        </w:rPr>
        <w:t xml:space="preserve"> peut autoriser tous les </w:t>
      </w:r>
      <w:r w:rsidR="00DA76FE">
        <w:rPr>
          <w:lang w:eastAsia="fr-FR"/>
        </w:rPr>
        <w:t>candidat</w:t>
      </w:r>
      <w:r w:rsidR="00F3541E" w:rsidRPr="008A69CB">
        <w:rPr>
          <w:lang w:eastAsia="fr-FR"/>
        </w:rPr>
        <w:t>s concernés à régulariser les offres irrégulières</w:t>
      </w:r>
      <w:r w:rsidR="00605629">
        <w:rPr>
          <w:lang w:eastAsia="fr-FR"/>
        </w:rPr>
        <w:t xml:space="preserve"> </w:t>
      </w:r>
      <w:r w:rsidR="00F3541E" w:rsidRPr="008A69CB">
        <w:rPr>
          <w:lang w:eastAsia="fr-FR"/>
        </w:rPr>
        <w:t>dans un délai approprié, à condition qu'elles ne soient pas anormalement basses.</w:t>
      </w:r>
      <w:r w:rsidR="00B4129E" w:rsidRPr="00B4129E">
        <w:rPr>
          <w:lang w:eastAsia="fr-FR"/>
        </w:rPr>
        <w:t xml:space="preserve"> </w:t>
      </w:r>
      <w:r w:rsidR="00B4129E">
        <w:rPr>
          <w:lang w:eastAsia="fr-FR"/>
        </w:rPr>
        <w:t>La régularisation des offres irrégulières ne peut avoir pour effet d’en modifier des caractéristiques substantielles.</w:t>
      </w:r>
    </w:p>
    <w:p w14:paraId="7C260B63" w14:textId="77777777" w:rsidR="00F3541E" w:rsidRPr="00DF1495" w:rsidRDefault="00173B5B" w:rsidP="00636FE1">
      <w:pPr>
        <w:rPr>
          <w:lang w:eastAsia="fr-FR"/>
        </w:rPr>
      </w:pPr>
      <w:r>
        <w:rPr>
          <w:lang w:eastAsia="fr-FR"/>
        </w:rPr>
        <w:t>La Cnam</w:t>
      </w:r>
      <w:r w:rsidR="00F3541E" w:rsidRPr="00DF1495">
        <w:rPr>
          <w:lang w:eastAsia="fr-FR"/>
        </w:rPr>
        <w:t xml:space="preserve"> choisit l’offre qu’</w:t>
      </w:r>
      <w:r w:rsidR="00F3541E">
        <w:rPr>
          <w:lang w:eastAsia="fr-FR"/>
        </w:rPr>
        <w:t>elle</w:t>
      </w:r>
      <w:r w:rsidR="00F3541E" w:rsidRPr="00DF1495">
        <w:rPr>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636FE1">
      <w:pPr>
        <w:pStyle w:val="Titre2"/>
      </w:pPr>
      <w:bookmarkStart w:id="177" w:name="_Toc143250947"/>
      <w:bookmarkStart w:id="178" w:name="_Toc187833059"/>
      <w:bookmarkStart w:id="179" w:name="_Toc211257312"/>
      <w:r w:rsidRPr="00E27C2A">
        <w:t>Critères de jugement des offres</w:t>
      </w:r>
      <w:bookmarkEnd w:id="177"/>
      <w:bookmarkEnd w:id="178"/>
      <w:bookmarkEnd w:id="179"/>
      <w:r w:rsidRPr="00E27C2A">
        <w:t xml:space="preserve"> </w:t>
      </w:r>
    </w:p>
    <w:p w14:paraId="15D455C9" w14:textId="47053019" w:rsidR="00C2673C" w:rsidRDefault="00C2673C" w:rsidP="00C2673C">
      <w:pPr>
        <w:pStyle w:val="Titre3"/>
      </w:pPr>
      <w:bookmarkStart w:id="180" w:name="_Toc187833060"/>
      <w:bookmarkStart w:id="181" w:name="_Toc211257313"/>
      <w:r>
        <w:t>Lot</w:t>
      </w:r>
      <w:bookmarkEnd w:id="180"/>
      <w:r w:rsidR="003126D2">
        <w:t xml:space="preserve"> 1</w:t>
      </w:r>
      <w:bookmarkEnd w:id="181"/>
    </w:p>
    <w:tbl>
      <w:tblPr>
        <w:tblW w:w="10349" w:type="dxa"/>
        <w:jc w:val="center"/>
        <w:shd w:val="clear" w:color="auto" w:fill="FFFFFF"/>
        <w:tblCellMar>
          <w:left w:w="70" w:type="dxa"/>
          <w:right w:w="70" w:type="dxa"/>
        </w:tblCellMar>
        <w:tblLook w:val="0000" w:firstRow="0" w:lastRow="0" w:firstColumn="0" w:lastColumn="0" w:noHBand="0" w:noVBand="0"/>
      </w:tblPr>
      <w:tblGrid>
        <w:gridCol w:w="1942"/>
        <w:gridCol w:w="6891"/>
        <w:gridCol w:w="1516"/>
      </w:tblGrid>
      <w:tr w:rsidR="00F74A73" w:rsidRPr="00C45B61" w14:paraId="65D41A2A"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333399"/>
            <w:vAlign w:val="center"/>
          </w:tcPr>
          <w:p w14:paraId="5CAB48FA" w14:textId="77777777" w:rsidR="00F74A73" w:rsidRPr="00C45B61" w:rsidRDefault="00F74A73" w:rsidP="00F84B04">
            <w:pPr>
              <w:jc w:val="center"/>
              <w:rPr>
                <w:b/>
                <w:bCs/>
                <w:caps/>
                <w:color w:val="FFFFFF"/>
              </w:rPr>
            </w:pPr>
            <w:r w:rsidRPr="00C45B61">
              <w:rPr>
                <w:b/>
                <w:bCs/>
                <w:caps/>
                <w:color w:val="FFFFFF"/>
              </w:rPr>
              <w:t>Critère</w:t>
            </w:r>
          </w:p>
        </w:tc>
        <w:tc>
          <w:tcPr>
            <w:tcW w:w="6891" w:type="dxa"/>
            <w:tcBorders>
              <w:top w:val="single" w:sz="4" w:space="0" w:color="auto"/>
              <w:left w:val="single" w:sz="4" w:space="0" w:color="auto"/>
              <w:bottom w:val="single" w:sz="4" w:space="0" w:color="auto"/>
              <w:right w:val="single" w:sz="4" w:space="0" w:color="auto"/>
            </w:tcBorders>
            <w:shd w:val="clear" w:color="auto" w:fill="333399"/>
            <w:vAlign w:val="center"/>
          </w:tcPr>
          <w:p w14:paraId="321B83E6" w14:textId="77777777" w:rsidR="00F74A73" w:rsidRPr="00C45B61" w:rsidRDefault="00F74A73" w:rsidP="00F84B04">
            <w:pPr>
              <w:jc w:val="center"/>
              <w:rPr>
                <w:b/>
                <w:bCs/>
                <w:caps/>
                <w:color w:val="FFFFFF"/>
              </w:rPr>
            </w:pPr>
            <w:r w:rsidRPr="00C45B61">
              <w:rPr>
                <w:b/>
                <w:bCs/>
                <w:caps/>
                <w:color w:val="FFFFFF"/>
              </w:rPr>
              <w:t>Intitulé</w:t>
            </w:r>
          </w:p>
        </w:tc>
        <w:tc>
          <w:tcPr>
            <w:tcW w:w="1516" w:type="dxa"/>
            <w:tcBorders>
              <w:top w:val="single" w:sz="4" w:space="0" w:color="auto"/>
              <w:left w:val="nil"/>
              <w:bottom w:val="single" w:sz="4" w:space="0" w:color="auto"/>
              <w:right w:val="single" w:sz="4" w:space="0" w:color="auto"/>
            </w:tcBorders>
            <w:shd w:val="clear" w:color="auto" w:fill="333399"/>
            <w:noWrap/>
            <w:vAlign w:val="center"/>
          </w:tcPr>
          <w:p w14:paraId="649FE9AA" w14:textId="77777777" w:rsidR="00F74A73" w:rsidRPr="00C45B61" w:rsidRDefault="00F74A73" w:rsidP="00F84B04">
            <w:pPr>
              <w:jc w:val="center"/>
              <w:rPr>
                <w:b/>
                <w:caps/>
                <w:color w:val="FFFFFF"/>
              </w:rPr>
            </w:pPr>
            <w:r w:rsidRPr="00C45B61">
              <w:rPr>
                <w:b/>
                <w:caps/>
                <w:color w:val="FFFFFF"/>
              </w:rPr>
              <w:t>Pondération</w:t>
            </w:r>
          </w:p>
        </w:tc>
      </w:tr>
      <w:tr w:rsidR="00F74A73" w:rsidRPr="00C45B61" w14:paraId="5C80B7EB"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4FC9D52" w14:textId="77777777" w:rsidR="00F74A73" w:rsidRPr="00C45B61" w:rsidRDefault="00F74A73" w:rsidP="00F84B04">
            <w:pPr>
              <w:jc w:val="center"/>
              <w:rPr>
                <w:b/>
                <w:bCs/>
                <w:smallCaps/>
              </w:rPr>
            </w:pPr>
            <w:r w:rsidRPr="00C45B61">
              <w:rPr>
                <w:b/>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2C0105" w14:textId="77777777" w:rsidR="00F74A73" w:rsidRPr="00C45B61" w:rsidRDefault="00F74A73" w:rsidP="00F84B04">
            <w:pPr>
              <w:rPr>
                <w:b/>
                <w:bCs/>
                <w:smallCaps/>
              </w:rPr>
            </w:pPr>
            <w:r w:rsidRPr="00C45B61">
              <w:rPr>
                <w:b/>
                <w:bCs/>
                <w:smallCaps/>
              </w:rPr>
              <w:t>Organisation générale et pilotage du marché</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52FF96E" w14:textId="7C073F6D" w:rsidR="00F74A73" w:rsidRPr="00C45B61" w:rsidRDefault="00F74A73" w:rsidP="00F74A73">
            <w:pPr>
              <w:jc w:val="center"/>
              <w:rPr>
                <w:b/>
                <w:smallCaps/>
              </w:rPr>
            </w:pPr>
            <w:r>
              <w:rPr>
                <w:b/>
                <w:smallCaps/>
              </w:rPr>
              <w:t>10</w:t>
            </w:r>
            <w:r w:rsidRPr="00C45B61">
              <w:rPr>
                <w:b/>
                <w:smallCaps/>
              </w:rPr>
              <w:t>%</w:t>
            </w:r>
          </w:p>
        </w:tc>
      </w:tr>
      <w:tr w:rsidR="00F74A73" w:rsidRPr="00234C5A" w14:paraId="68DE5A12"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511C8CBC" w14:textId="77777777" w:rsidR="00F74A73" w:rsidRPr="00234C5A" w:rsidRDefault="00F74A73" w:rsidP="00F84B04">
            <w:pPr>
              <w:rPr>
                <w:b/>
                <w:bCs/>
                <w:smallCaps/>
                <w:color w:val="1F497D"/>
              </w:rPr>
            </w:pPr>
            <w:r w:rsidRPr="00234C5A">
              <w:rPr>
                <w:b/>
                <w:bCs/>
                <w:smallCaps/>
                <w:color w:val="1F497D"/>
              </w:rPr>
              <w:t>Sous-critère 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F4FE462" w14:textId="77777777" w:rsidR="00F74A73" w:rsidRPr="00234C5A" w:rsidRDefault="00F74A73" w:rsidP="00F84B04">
            <w:pPr>
              <w:rPr>
                <w:b/>
                <w:bCs/>
                <w:smallCaps/>
                <w:color w:val="1F497D"/>
              </w:rPr>
            </w:pPr>
            <w:r w:rsidRPr="00234C5A">
              <w:rPr>
                <w:b/>
                <w:color w:val="1F497D"/>
              </w:rPr>
              <w:t>Organisation générale mise en place pour le marché et la méthode de pilotage globale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6F96682" w14:textId="77777777" w:rsidR="00F74A73" w:rsidRPr="00DE007D" w:rsidRDefault="00F74A73" w:rsidP="00F84B04">
            <w:pPr>
              <w:jc w:val="center"/>
              <w:rPr>
                <w:b/>
                <w:smallCaps/>
                <w:color w:val="1F497D"/>
                <w:highlight w:val="yellow"/>
              </w:rPr>
            </w:pPr>
            <w:r>
              <w:rPr>
                <w:b/>
                <w:smallCaps/>
                <w:color w:val="1F497D"/>
              </w:rPr>
              <w:t>40</w:t>
            </w:r>
            <w:r w:rsidRPr="00B117E6">
              <w:rPr>
                <w:b/>
                <w:smallCaps/>
                <w:color w:val="1F497D"/>
              </w:rPr>
              <w:t>%</w:t>
            </w:r>
          </w:p>
        </w:tc>
      </w:tr>
      <w:tr w:rsidR="00F74A73" w:rsidRPr="00C45B61" w14:paraId="1EFA124D"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3532645E" w14:textId="77777777" w:rsidR="00F74A73" w:rsidRPr="00C45B61" w:rsidRDefault="00F74A73" w:rsidP="00F84B04">
            <w:pPr>
              <w:jc w:val="right"/>
              <w:rPr>
                <w:bCs/>
                <w:smallCaps/>
              </w:rPr>
            </w:pPr>
            <w:r w:rsidRPr="00C45B61">
              <w:rPr>
                <w:bCs/>
                <w:smallCaps/>
              </w:rPr>
              <w:lastRenderedPageBreak/>
              <w:t>1.1.1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69413F57" w14:textId="77777777" w:rsidR="00F74A73" w:rsidRPr="00C45B61" w:rsidRDefault="00F74A73" w:rsidP="00F84B04">
            <w:r w:rsidRPr="00C45B61">
              <w:t>Description de l’organisation générale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0727DA9B" w14:textId="77777777" w:rsidR="00F74A73" w:rsidRPr="00C45B61" w:rsidRDefault="00F74A73" w:rsidP="00F84B04">
            <w:pPr>
              <w:jc w:val="center"/>
              <w:rPr>
                <w:smallCaps/>
              </w:rPr>
            </w:pPr>
            <w:r>
              <w:rPr>
                <w:smallCaps/>
              </w:rPr>
              <w:t>30%</w:t>
            </w:r>
          </w:p>
        </w:tc>
      </w:tr>
      <w:tr w:rsidR="00F74A73" w:rsidRPr="00C45B61" w14:paraId="19DD9253"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7A9CCAF7" w14:textId="77777777" w:rsidR="00F74A73" w:rsidRPr="00C45B61" w:rsidRDefault="00F74A73" w:rsidP="00F84B04">
            <w:pPr>
              <w:jc w:val="right"/>
              <w:rPr>
                <w:bCs/>
                <w:smallCaps/>
              </w:rPr>
            </w:pPr>
            <w:r w:rsidRPr="00C45B61">
              <w:rPr>
                <w:bCs/>
                <w:smallCaps/>
              </w:rPr>
              <w:t>1.1.2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6C23725E" w14:textId="77777777" w:rsidR="00F74A73" w:rsidRPr="00C45B61" w:rsidRDefault="00F74A73" w:rsidP="00F84B04">
            <w:r>
              <w:t>Méthode</w:t>
            </w:r>
            <w:r w:rsidRPr="00C45B61">
              <w:t xml:space="preserve"> de pilotage, moyens et outils de suivi</w:t>
            </w:r>
            <w:r>
              <w:t xml:space="preserve"> du marché et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6E77E1B" w14:textId="77777777" w:rsidR="00F74A73" w:rsidRPr="00C45B61" w:rsidRDefault="00F74A73" w:rsidP="00F84B04">
            <w:pPr>
              <w:jc w:val="center"/>
              <w:rPr>
                <w:smallCaps/>
              </w:rPr>
            </w:pPr>
            <w:r>
              <w:rPr>
                <w:smallCaps/>
              </w:rPr>
              <w:t>70%</w:t>
            </w:r>
          </w:p>
        </w:tc>
      </w:tr>
      <w:tr w:rsidR="00F74A73" w:rsidRPr="00234C5A" w14:paraId="05C0E082"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4433CB0" w14:textId="77777777" w:rsidR="00F74A73" w:rsidRPr="00234C5A" w:rsidRDefault="00F74A73" w:rsidP="00F84B04">
            <w:pPr>
              <w:rPr>
                <w:b/>
                <w:bCs/>
                <w:smallCaps/>
                <w:color w:val="1F497D"/>
              </w:rPr>
            </w:pPr>
            <w:r w:rsidRPr="00234C5A">
              <w:rPr>
                <w:b/>
                <w:bCs/>
                <w:smallCaps/>
                <w:color w:val="1F497D"/>
              </w:rPr>
              <w:t>Sous-critère 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027C112B" w14:textId="77777777" w:rsidR="00F74A73" w:rsidRPr="00234C5A" w:rsidRDefault="00F74A73" w:rsidP="00F84B04">
            <w:pPr>
              <w:rPr>
                <w:b/>
                <w:color w:val="1F497D"/>
              </w:rPr>
            </w:pPr>
            <w:r w:rsidRPr="00234C5A">
              <w:rPr>
                <w:b/>
                <w:color w:val="1F497D"/>
              </w:rPr>
              <w:t>Processus Qualité</w:t>
            </w:r>
          </w:p>
        </w:tc>
        <w:tc>
          <w:tcPr>
            <w:tcW w:w="1516" w:type="dxa"/>
            <w:tcBorders>
              <w:top w:val="single" w:sz="4" w:space="0" w:color="auto"/>
              <w:left w:val="nil"/>
              <w:bottom w:val="single" w:sz="4" w:space="0" w:color="auto"/>
              <w:right w:val="single" w:sz="4" w:space="0" w:color="auto"/>
            </w:tcBorders>
            <w:shd w:val="clear" w:color="auto" w:fill="auto"/>
            <w:noWrap/>
            <w:vAlign w:val="center"/>
          </w:tcPr>
          <w:p w14:paraId="6CAB614E" w14:textId="77777777" w:rsidR="00F74A73" w:rsidRPr="00234C5A" w:rsidRDefault="00F74A73" w:rsidP="00F84B04">
            <w:pPr>
              <w:jc w:val="center"/>
              <w:rPr>
                <w:b/>
                <w:smallCaps/>
                <w:color w:val="1F497D"/>
              </w:rPr>
            </w:pPr>
            <w:r>
              <w:rPr>
                <w:b/>
                <w:smallCaps/>
                <w:color w:val="1F497D"/>
              </w:rPr>
              <w:t>55</w:t>
            </w:r>
            <w:r w:rsidRPr="00B117E6">
              <w:rPr>
                <w:b/>
                <w:smallCaps/>
                <w:color w:val="1F497D"/>
              </w:rPr>
              <w:t>%</w:t>
            </w:r>
          </w:p>
        </w:tc>
      </w:tr>
      <w:tr w:rsidR="00F74A73" w:rsidRPr="00C45B61" w14:paraId="4BDA8E68"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5371864F" w14:textId="77777777" w:rsidR="00F74A73" w:rsidRPr="00C45B61" w:rsidRDefault="00F74A73" w:rsidP="00F84B04">
            <w:pPr>
              <w:jc w:val="right"/>
              <w:rPr>
                <w:bCs/>
                <w:smallCaps/>
              </w:rPr>
            </w:pPr>
            <w:r w:rsidRPr="00C45B61">
              <w:rPr>
                <w:bCs/>
                <w:smallCaps/>
              </w:rPr>
              <w:t>1.2.1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53A6F8C" w14:textId="77777777" w:rsidR="00F74A73" w:rsidRPr="00C45B61" w:rsidRDefault="00F74A73" w:rsidP="00F84B04">
            <w:pPr>
              <w:tabs>
                <w:tab w:val="left" w:pos="4068"/>
                <w:tab w:val="left" w:pos="7275"/>
                <w:tab w:val="left" w:pos="8261"/>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Pertinence des indicateurs qualité et des engagements proposés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6DD62872" w14:textId="77777777" w:rsidR="00F74A73" w:rsidRPr="00C45B61" w:rsidRDefault="00F74A73" w:rsidP="00F84B04">
            <w:pPr>
              <w:jc w:val="center"/>
              <w:rPr>
                <w:smallCaps/>
              </w:rPr>
            </w:pPr>
            <w:r>
              <w:rPr>
                <w:smallCaps/>
              </w:rPr>
              <w:t>40%</w:t>
            </w:r>
          </w:p>
        </w:tc>
      </w:tr>
      <w:tr w:rsidR="00F74A73" w:rsidRPr="00C45B61" w14:paraId="146EC6C9"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A960253" w14:textId="77777777" w:rsidR="00F74A73" w:rsidRPr="00C45B61" w:rsidRDefault="00F74A73" w:rsidP="00F84B04">
            <w:pPr>
              <w:jc w:val="right"/>
              <w:rPr>
                <w:bCs/>
                <w:smallCaps/>
              </w:rPr>
            </w:pPr>
            <w:r w:rsidRPr="00C45B61">
              <w:rPr>
                <w:bCs/>
                <w:smallCaps/>
              </w:rPr>
              <w:t>1.2.2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07E3FC21" w14:textId="77777777" w:rsidR="00F74A73" w:rsidRPr="00C45B61" w:rsidRDefault="00F74A73" w:rsidP="00F84B04">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Pr>
                <w:rFonts w:eastAsia="Times New Roman"/>
                <w:spacing w:val="-5"/>
                <w:lang w:eastAsia="fr-FR"/>
              </w:rPr>
              <w:t>Pertinence du contenu du</w:t>
            </w:r>
            <w:r w:rsidRPr="00C45B61">
              <w:rPr>
                <w:rFonts w:eastAsia="Times New Roman"/>
                <w:spacing w:val="-5"/>
                <w:lang w:eastAsia="fr-FR"/>
              </w:rPr>
              <w:t xml:space="preserve"> </w:t>
            </w:r>
            <w:r>
              <w:rPr>
                <w:rFonts w:eastAsia="Times New Roman"/>
                <w:spacing w:val="-5"/>
                <w:lang w:eastAsia="fr-FR"/>
              </w:rPr>
              <w:t>Plan d’Assurance Qualité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504C2686" w14:textId="77777777" w:rsidR="00F74A73" w:rsidRPr="00C45B61" w:rsidRDefault="00F74A73" w:rsidP="00F84B04">
            <w:pPr>
              <w:jc w:val="center"/>
              <w:rPr>
                <w:smallCaps/>
              </w:rPr>
            </w:pPr>
            <w:r>
              <w:rPr>
                <w:smallCaps/>
              </w:rPr>
              <w:t>40%</w:t>
            </w:r>
          </w:p>
        </w:tc>
      </w:tr>
      <w:tr w:rsidR="00F74A73" w:rsidRPr="00C45B61" w14:paraId="33CEBB93"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78CCDA44" w14:textId="77777777" w:rsidR="00F74A73" w:rsidRPr="00C45B61" w:rsidRDefault="00F74A73" w:rsidP="00F84B04">
            <w:pPr>
              <w:jc w:val="right"/>
              <w:rPr>
                <w:bCs/>
                <w:smallCaps/>
              </w:rPr>
            </w:pPr>
            <w:r w:rsidRPr="00C45B61">
              <w:rPr>
                <w:bCs/>
                <w:smallCaps/>
              </w:rPr>
              <w:t>1.2.3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65DE6D52" w14:textId="77777777" w:rsidR="00F74A73" w:rsidRPr="00C45B61" w:rsidRDefault="00F74A73" w:rsidP="00F84B04">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Qualité des documents type à présenter en comitologie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114BE21" w14:textId="77777777" w:rsidR="00F74A73" w:rsidRPr="00C45B61" w:rsidRDefault="00F74A73" w:rsidP="00F84B04">
            <w:pPr>
              <w:jc w:val="center"/>
              <w:rPr>
                <w:smallCaps/>
              </w:rPr>
            </w:pPr>
            <w:r>
              <w:rPr>
                <w:smallCaps/>
              </w:rPr>
              <w:t>20%</w:t>
            </w:r>
          </w:p>
        </w:tc>
      </w:tr>
      <w:tr w:rsidR="00F74A73" w:rsidRPr="00234C5A" w14:paraId="76800C42"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CFECA1A" w14:textId="77777777" w:rsidR="00F74A73" w:rsidRPr="00234C5A" w:rsidRDefault="00F74A73" w:rsidP="00F84B04">
            <w:pPr>
              <w:rPr>
                <w:b/>
                <w:bCs/>
                <w:smallCaps/>
                <w:color w:val="1F497D"/>
              </w:rPr>
            </w:pPr>
            <w:r w:rsidRPr="00234C5A">
              <w:rPr>
                <w:b/>
                <w:bCs/>
                <w:smallCaps/>
                <w:color w:val="1F497D"/>
              </w:rPr>
              <w:t>Sous-critère 1.3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59BF6CC" w14:textId="77777777" w:rsidR="00F74A73" w:rsidRPr="004D3434" w:rsidRDefault="00F74A73" w:rsidP="00F84B04">
            <w:pPr>
              <w:rPr>
                <w:b/>
                <w:color w:val="1F497D"/>
              </w:rPr>
            </w:pPr>
            <w:r w:rsidRPr="002A7F97">
              <w:rPr>
                <w:b/>
                <w:color w:val="1F497D"/>
              </w:rPr>
              <w:t xml:space="preserve">Méthodologie proposée pour </w:t>
            </w:r>
            <w:r w:rsidRPr="004D3434">
              <w:rPr>
                <w:b/>
                <w:color w:val="1F497D"/>
              </w:rPr>
              <w:t>réaliser un PCA et un PRA concernant les activités confiées par la Cnam</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B57E884" w14:textId="77777777" w:rsidR="00F74A73" w:rsidRPr="00234C5A" w:rsidRDefault="00F74A73" w:rsidP="00F84B04">
            <w:pPr>
              <w:jc w:val="center"/>
              <w:rPr>
                <w:b/>
                <w:smallCaps/>
                <w:color w:val="1F497D"/>
              </w:rPr>
            </w:pPr>
            <w:r w:rsidRPr="00B117E6">
              <w:rPr>
                <w:b/>
                <w:smallCaps/>
                <w:color w:val="1F497D"/>
              </w:rPr>
              <w:t>5%</w:t>
            </w:r>
          </w:p>
        </w:tc>
      </w:tr>
      <w:tr w:rsidR="00F74A73" w:rsidRPr="00C45B61" w14:paraId="57489242"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9632701" w14:textId="77777777" w:rsidR="00F74A73" w:rsidRPr="00C45B61" w:rsidRDefault="00F74A73" w:rsidP="00F84B04">
            <w:pPr>
              <w:jc w:val="center"/>
              <w:rPr>
                <w:b/>
                <w:bCs/>
                <w:smallCaps/>
              </w:rPr>
            </w:pPr>
            <w:r w:rsidRPr="00C45B61">
              <w:rPr>
                <w:b/>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BDC21E9" w14:textId="77777777" w:rsidR="00F74A73" w:rsidRPr="00C45B61" w:rsidRDefault="00F74A73" w:rsidP="00F84B04">
            <w:pPr>
              <w:rPr>
                <w:b/>
                <w:bCs/>
                <w:smallCaps/>
              </w:rPr>
            </w:pPr>
            <w:r w:rsidRPr="00C45B61">
              <w:rPr>
                <w:b/>
                <w:bCs/>
                <w:smallCaps/>
              </w:rPr>
              <w:t>Méthodologie proposée pour la réalisation des prestations</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70DCB9A" w14:textId="5ABC9CAE" w:rsidR="00F74A73" w:rsidRPr="00C45B61" w:rsidRDefault="00F74A73" w:rsidP="00F74A73">
            <w:pPr>
              <w:jc w:val="center"/>
              <w:rPr>
                <w:b/>
                <w:smallCaps/>
              </w:rPr>
            </w:pPr>
            <w:r>
              <w:rPr>
                <w:b/>
                <w:smallCaps/>
              </w:rPr>
              <w:t>40</w:t>
            </w:r>
            <w:r w:rsidRPr="00C45B61">
              <w:rPr>
                <w:b/>
                <w:smallCaps/>
              </w:rPr>
              <w:t>%</w:t>
            </w:r>
          </w:p>
        </w:tc>
      </w:tr>
      <w:tr w:rsidR="00F74A73" w:rsidRPr="00234C5A" w14:paraId="4B646D2C"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61FDA7A" w14:textId="77777777" w:rsidR="00F74A73" w:rsidRPr="00234C5A" w:rsidRDefault="00F74A73" w:rsidP="00F84B04">
            <w:pPr>
              <w:rPr>
                <w:b/>
                <w:bCs/>
                <w:smallCaps/>
                <w:color w:val="1F497D"/>
              </w:rPr>
            </w:pPr>
            <w:r w:rsidRPr="00234C5A">
              <w:rPr>
                <w:b/>
                <w:bCs/>
                <w:smallCaps/>
                <w:color w:val="1F497D"/>
              </w:rPr>
              <w:t>Sous-critère 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F0D2E65" w14:textId="77777777" w:rsidR="00F74A73" w:rsidRPr="00234C5A" w:rsidRDefault="00F74A73" w:rsidP="00F84B04">
            <w:pPr>
              <w:rPr>
                <w:b/>
                <w:color w:val="1F497D"/>
              </w:rPr>
            </w:pPr>
            <w:r w:rsidRPr="00234C5A">
              <w:rPr>
                <w:b/>
                <w:color w:val="1F497D"/>
              </w:rPr>
              <w:t>Gestion de la connaissance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17B9BBC0" w14:textId="77777777" w:rsidR="00F74A73" w:rsidRPr="00234C5A" w:rsidRDefault="00F74A73" w:rsidP="00F84B04">
            <w:pPr>
              <w:jc w:val="center"/>
              <w:rPr>
                <w:b/>
                <w:smallCaps/>
                <w:color w:val="1F497D"/>
              </w:rPr>
            </w:pPr>
            <w:r>
              <w:rPr>
                <w:b/>
                <w:smallCaps/>
                <w:color w:val="1F497D"/>
              </w:rPr>
              <w:t>3</w:t>
            </w:r>
            <w:r w:rsidRPr="00234C5A">
              <w:rPr>
                <w:b/>
                <w:smallCaps/>
                <w:color w:val="1F497D"/>
              </w:rPr>
              <w:t>0%</w:t>
            </w:r>
          </w:p>
        </w:tc>
      </w:tr>
      <w:tr w:rsidR="00F74A73" w:rsidRPr="00C45B61" w14:paraId="5CF4428D"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6BD0234" w14:textId="77777777" w:rsidR="00F74A73" w:rsidRPr="00C45B61" w:rsidRDefault="00F74A73" w:rsidP="00F84B04">
            <w:pPr>
              <w:jc w:val="right"/>
              <w:rPr>
                <w:bCs/>
                <w:smallCaps/>
              </w:rPr>
            </w:pPr>
            <w:r w:rsidRPr="00C45B61">
              <w:rPr>
                <w:bCs/>
                <w:smallCaps/>
              </w:rPr>
              <w:t>2.</w:t>
            </w:r>
            <w:r>
              <w:rPr>
                <w:bCs/>
                <w:smallCaps/>
              </w:rPr>
              <w:t>1</w:t>
            </w:r>
            <w:r w:rsidRPr="00C45B61">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C0A8131" w14:textId="77777777" w:rsidR="00F74A73" w:rsidRPr="00C45B61" w:rsidRDefault="00F74A73" w:rsidP="00F84B04">
            <w:r w:rsidRPr="00C45B61">
              <w:t xml:space="preserve">Méthodologie proposée pour la phase de </w:t>
            </w:r>
            <w:r>
              <w:t>de lancement du marché</w:t>
            </w:r>
            <w:r w:rsidRPr="00C45B61">
              <w:t xml:space="preserve"> </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3A0B421E" w14:textId="77777777" w:rsidR="00F74A73" w:rsidRPr="00C45B61" w:rsidRDefault="00F74A73" w:rsidP="00F84B04">
            <w:pPr>
              <w:jc w:val="center"/>
              <w:rPr>
                <w:smallCaps/>
              </w:rPr>
            </w:pPr>
            <w:r>
              <w:rPr>
                <w:smallCaps/>
              </w:rPr>
              <w:t>30%</w:t>
            </w:r>
          </w:p>
        </w:tc>
      </w:tr>
      <w:tr w:rsidR="00F74A73" w:rsidRPr="00C45B61" w14:paraId="27802E4C"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1AA0A45" w14:textId="77777777" w:rsidR="00F74A73" w:rsidRPr="00C45B61" w:rsidRDefault="00F74A73" w:rsidP="00F84B04">
            <w:pPr>
              <w:jc w:val="right"/>
              <w:rPr>
                <w:bCs/>
                <w:smallCaps/>
              </w:rPr>
            </w:pPr>
            <w:r w:rsidRPr="00C45B61">
              <w:rPr>
                <w:bCs/>
                <w:smallCaps/>
              </w:rPr>
              <w:t>2.</w:t>
            </w:r>
            <w:r>
              <w:rPr>
                <w:bCs/>
                <w:smallCaps/>
              </w:rPr>
              <w:t>1</w:t>
            </w:r>
            <w:r w:rsidRPr="00C45B61">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358B3E3" w14:textId="77777777" w:rsidR="00F74A73" w:rsidRPr="00C45B61" w:rsidRDefault="00F74A73" w:rsidP="00F84B04">
            <w:r w:rsidRPr="00C45B61">
              <w:t xml:space="preserve">Méthodologie proposée pour la phase de </w:t>
            </w:r>
            <w:r>
              <w:t>transfert de connaissances intégrant la réversibilité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CF9D57E" w14:textId="77777777" w:rsidR="00F74A73" w:rsidRPr="00C45B61" w:rsidRDefault="00F74A73" w:rsidP="00F84B04">
            <w:pPr>
              <w:jc w:val="center"/>
              <w:rPr>
                <w:smallCaps/>
              </w:rPr>
            </w:pPr>
            <w:r>
              <w:rPr>
                <w:smallCaps/>
              </w:rPr>
              <w:t>30%</w:t>
            </w:r>
          </w:p>
        </w:tc>
      </w:tr>
      <w:tr w:rsidR="00F74A73" w:rsidRPr="00C45B61" w14:paraId="21D840D5"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CE62F" w14:textId="77777777" w:rsidR="00F74A73" w:rsidRPr="005F567E" w:rsidRDefault="00F74A73" w:rsidP="00F84B04">
            <w:pPr>
              <w:jc w:val="right"/>
              <w:rPr>
                <w:bCs/>
                <w:smallCaps/>
              </w:rPr>
            </w:pPr>
            <w:r w:rsidRPr="005F567E">
              <w:rPr>
                <w:bCs/>
                <w:smallCaps/>
              </w:rPr>
              <w:t>2.</w:t>
            </w:r>
            <w:r>
              <w:rPr>
                <w:bCs/>
                <w:smallCaps/>
              </w:rPr>
              <w:t>1</w:t>
            </w:r>
            <w:r w:rsidRPr="005F567E">
              <w:rPr>
                <w:bCs/>
                <w:smallCaps/>
              </w:rPr>
              <w:t>.3</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78B58" w14:textId="77777777" w:rsidR="00F74A73" w:rsidRPr="005F567E" w:rsidRDefault="00F74A73" w:rsidP="00F84B04">
            <w:r w:rsidRPr="00C45B61">
              <w:t xml:space="preserve">Méthodologie proposée </w:t>
            </w:r>
            <w:r>
              <w:t>pour le m</w:t>
            </w:r>
            <w:r w:rsidRPr="005F567E">
              <w:t xml:space="preserve">aintien de la base de connaissance et de la compétence </w:t>
            </w:r>
            <w:r>
              <w:t xml:space="preserve">(technique, fonctionnelle, du contexte Cnam) </w:t>
            </w:r>
            <w:r w:rsidRPr="005F567E">
              <w:t>des équipes du titulaire</w:t>
            </w:r>
            <w:r>
              <w:t xml:space="preserve"> et des sous-traitants</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2DC96299" w14:textId="77777777" w:rsidR="00F74A73" w:rsidRDefault="00F74A73" w:rsidP="00F84B04">
            <w:pPr>
              <w:jc w:val="center"/>
              <w:rPr>
                <w:smallCaps/>
                <w:color w:val="1F497D"/>
              </w:rPr>
            </w:pPr>
            <w:r>
              <w:rPr>
                <w:smallCaps/>
                <w:color w:val="1F497D"/>
              </w:rPr>
              <w:t>40%</w:t>
            </w:r>
          </w:p>
        </w:tc>
      </w:tr>
      <w:tr w:rsidR="00F74A73" w:rsidRPr="00234C5A" w14:paraId="4BA27BD9"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BE1AB" w14:textId="77777777" w:rsidR="00F74A73" w:rsidRPr="00234C5A" w:rsidRDefault="00F74A73" w:rsidP="00F84B04">
            <w:pPr>
              <w:rPr>
                <w:b/>
                <w:bCs/>
                <w:smallCaps/>
                <w:color w:val="1F497D"/>
              </w:rPr>
            </w:pPr>
            <w:r w:rsidRPr="00234C5A">
              <w:rPr>
                <w:b/>
                <w:bCs/>
                <w:smallCaps/>
                <w:color w:val="1F497D"/>
              </w:rPr>
              <w:t>sous-critère 2.2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D1462" w14:textId="77777777" w:rsidR="00F74A73" w:rsidRPr="00234C5A" w:rsidRDefault="00F74A73" w:rsidP="00F84B04">
            <w:pPr>
              <w:rPr>
                <w:b/>
                <w:color w:val="1F497D"/>
              </w:rPr>
            </w:pPr>
            <w:r w:rsidRPr="00234C5A">
              <w:rPr>
                <w:b/>
                <w:color w:val="1F497D"/>
              </w:rPr>
              <w:t>Méthodo</w:t>
            </w:r>
            <w:r>
              <w:rPr>
                <w:b/>
                <w:color w:val="1F497D"/>
              </w:rPr>
              <w:t>logie de</w:t>
            </w:r>
            <w:r w:rsidRPr="00234C5A">
              <w:rPr>
                <w:b/>
                <w:color w:val="1F497D"/>
              </w:rPr>
              <w:t xml:space="preserve"> passage </w:t>
            </w:r>
            <w:r>
              <w:rPr>
                <w:b/>
                <w:color w:val="1F497D"/>
              </w:rPr>
              <w:t>en centre de compétence et centre de service</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6C13B8B9" w14:textId="17558DCC" w:rsidR="00F74A73" w:rsidRPr="00234C5A" w:rsidRDefault="00F74A73" w:rsidP="00F84B04">
            <w:pPr>
              <w:jc w:val="center"/>
              <w:rPr>
                <w:b/>
                <w:smallCaps/>
                <w:color w:val="1F497D"/>
              </w:rPr>
            </w:pPr>
            <w:r>
              <w:rPr>
                <w:b/>
                <w:smallCaps/>
                <w:color w:val="1F497D"/>
              </w:rPr>
              <w:t>30%</w:t>
            </w:r>
          </w:p>
        </w:tc>
      </w:tr>
      <w:tr w:rsidR="00F74A73" w:rsidRPr="005F567E" w14:paraId="34A9BC59"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61829" w14:textId="77777777" w:rsidR="00F74A73" w:rsidRPr="005F567E" w:rsidRDefault="00F74A73" w:rsidP="00F84B04">
            <w:pPr>
              <w:jc w:val="right"/>
              <w:rPr>
                <w:bCs/>
                <w:smallCaps/>
              </w:rPr>
            </w:pPr>
            <w:r w:rsidRPr="005F567E">
              <w:rPr>
                <w:bCs/>
                <w:smallCaps/>
              </w:rPr>
              <w:t>2.2.</w:t>
            </w:r>
            <w:r>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89BF0D" w14:textId="77777777" w:rsidR="00F74A73" w:rsidRPr="0033686B" w:rsidRDefault="00F74A73" w:rsidP="00F84B04">
            <w:r w:rsidRPr="0033686B">
              <w:t>Approche technique et organisationnelle proposée en réponse au scénario 1</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43732D9D" w14:textId="77777777" w:rsidR="00F74A73" w:rsidRPr="005F567E" w:rsidRDefault="00F74A73" w:rsidP="00F84B04">
            <w:pPr>
              <w:jc w:val="center"/>
              <w:rPr>
                <w:smallCaps/>
              </w:rPr>
            </w:pPr>
            <w:r>
              <w:rPr>
                <w:smallCaps/>
              </w:rPr>
              <w:t>30%</w:t>
            </w:r>
          </w:p>
        </w:tc>
      </w:tr>
      <w:tr w:rsidR="00F74A73" w:rsidRPr="005F567E" w14:paraId="6F6FB17D"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B73C7" w14:textId="77777777" w:rsidR="00F74A73" w:rsidRPr="005F567E" w:rsidRDefault="00F74A73" w:rsidP="00F84B04">
            <w:pPr>
              <w:jc w:val="right"/>
              <w:rPr>
                <w:bCs/>
                <w:smallCaps/>
              </w:rPr>
            </w:pPr>
            <w:r w:rsidRPr="005F567E">
              <w:rPr>
                <w:bCs/>
                <w:smallCaps/>
              </w:rPr>
              <w:t>2.2.</w:t>
            </w:r>
            <w:r>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58424" w14:textId="77777777" w:rsidR="00F74A73" w:rsidRPr="0033686B" w:rsidRDefault="00F74A73" w:rsidP="00F84B04">
            <w:r w:rsidRPr="0033686B">
              <w:t>Approche technique et organisationnelle proposée en réponse au scénario 2</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172B33D2" w14:textId="77777777" w:rsidR="00F74A73" w:rsidRDefault="00F74A73" w:rsidP="00F84B04">
            <w:pPr>
              <w:jc w:val="center"/>
              <w:rPr>
                <w:smallCaps/>
              </w:rPr>
            </w:pPr>
            <w:r>
              <w:rPr>
                <w:smallCaps/>
              </w:rPr>
              <w:t>30%</w:t>
            </w:r>
          </w:p>
        </w:tc>
      </w:tr>
      <w:tr w:rsidR="00F74A73" w:rsidRPr="005F567E" w14:paraId="238A3955"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8FD13" w14:textId="77777777" w:rsidR="00F74A73" w:rsidRPr="005F567E" w:rsidRDefault="00F74A73" w:rsidP="00F84B04">
            <w:pPr>
              <w:jc w:val="right"/>
              <w:rPr>
                <w:bCs/>
                <w:smallCaps/>
              </w:rPr>
            </w:pPr>
            <w:r w:rsidRPr="005F567E">
              <w:rPr>
                <w:bCs/>
                <w:smallCaps/>
              </w:rPr>
              <w:t>2.2.</w:t>
            </w:r>
            <w:r>
              <w:rPr>
                <w:bCs/>
                <w:smallCaps/>
              </w:rPr>
              <w:t>3</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194B3" w14:textId="77777777" w:rsidR="00F74A73" w:rsidRPr="0033686B" w:rsidRDefault="00F74A73" w:rsidP="00F84B04">
            <w:r w:rsidRPr="0033686B">
              <w:t>Approche technique et organisationnelle proposée en réponse au scénario 3</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168265DB" w14:textId="77777777" w:rsidR="00F74A73" w:rsidRDefault="00F74A73" w:rsidP="00F84B04">
            <w:pPr>
              <w:jc w:val="center"/>
              <w:rPr>
                <w:smallCaps/>
              </w:rPr>
            </w:pPr>
            <w:r>
              <w:rPr>
                <w:smallCaps/>
              </w:rPr>
              <w:t>30%</w:t>
            </w:r>
          </w:p>
        </w:tc>
      </w:tr>
      <w:tr w:rsidR="00F74A73" w:rsidRPr="005F567E" w14:paraId="012D0F49"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64341" w14:textId="77777777" w:rsidR="00F74A73" w:rsidRPr="005F567E" w:rsidRDefault="00F74A73" w:rsidP="00F84B04">
            <w:pPr>
              <w:jc w:val="right"/>
              <w:rPr>
                <w:bCs/>
                <w:smallCaps/>
              </w:rPr>
            </w:pPr>
            <w:r w:rsidRPr="005F567E">
              <w:rPr>
                <w:bCs/>
                <w:smallCaps/>
              </w:rPr>
              <w:t>2.2.</w:t>
            </w:r>
            <w:r>
              <w:rPr>
                <w:bCs/>
                <w:smallCaps/>
              </w:rPr>
              <w:t>4</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ED221" w14:textId="77777777" w:rsidR="00F74A73" w:rsidRPr="005F567E" w:rsidRDefault="00F74A73" w:rsidP="00F84B04">
            <w:r>
              <w:t xml:space="preserve">Dispositif proposé pour permettre l’accroissement de 10% de la </w:t>
            </w:r>
            <w:r w:rsidRPr="005F567E">
              <w:t xml:space="preserve">capacité </w:t>
            </w:r>
            <w:r>
              <w:t>d’un CDC ou CDS avec 1 mois de prévenance</w:t>
            </w:r>
            <w:r w:rsidRPr="005F567E">
              <w:t xml:space="preserve"> </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08A01AB4" w14:textId="77777777" w:rsidR="00F74A73" w:rsidRPr="005F567E" w:rsidRDefault="00F74A73" w:rsidP="00F84B04">
            <w:pPr>
              <w:jc w:val="center"/>
              <w:rPr>
                <w:smallCaps/>
              </w:rPr>
            </w:pPr>
            <w:r>
              <w:rPr>
                <w:smallCaps/>
              </w:rPr>
              <w:t>10%</w:t>
            </w:r>
          </w:p>
        </w:tc>
      </w:tr>
      <w:tr w:rsidR="00F74A73" w:rsidRPr="00234C5A" w14:paraId="775EA366"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38B01739" w14:textId="77777777" w:rsidR="00F74A73" w:rsidRPr="00234C5A" w:rsidRDefault="00F74A73" w:rsidP="00F84B04">
            <w:pPr>
              <w:rPr>
                <w:b/>
                <w:bCs/>
                <w:smallCaps/>
                <w:color w:val="1F497D"/>
              </w:rPr>
            </w:pPr>
            <w:r w:rsidRPr="00234C5A">
              <w:rPr>
                <w:b/>
                <w:bCs/>
                <w:smallCaps/>
                <w:color w:val="1F497D"/>
              </w:rPr>
              <w:t>Sous-critère 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677A5EC" w14:textId="77777777" w:rsidR="00F74A73" w:rsidRPr="00234C5A" w:rsidRDefault="00F74A73" w:rsidP="00F84B04">
            <w:pPr>
              <w:rPr>
                <w:b/>
                <w:color w:val="1F497D"/>
              </w:rPr>
            </w:pPr>
            <w:r w:rsidRPr="00234C5A">
              <w:rPr>
                <w:b/>
                <w:color w:val="1F497D"/>
              </w:rPr>
              <w:t>Optimisation des moyens et ressources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7252739" w14:textId="30AF168A" w:rsidR="00F74A73" w:rsidRPr="00234C5A" w:rsidRDefault="00F74A73" w:rsidP="00F84B04">
            <w:pPr>
              <w:jc w:val="center"/>
              <w:rPr>
                <w:b/>
                <w:smallCaps/>
                <w:color w:val="1F497D"/>
              </w:rPr>
            </w:pPr>
            <w:r>
              <w:rPr>
                <w:b/>
                <w:smallCaps/>
                <w:color w:val="1F497D"/>
              </w:rPr>
              <w:t>4</w:t>
            </w:r>
            <w:r w:rsidRPr="00F74A73">
              <w:rPr>
                <w:b/>
                <w:smallCaps/>
                <w:color w:val="1F497D"/>
              </w:rPr>
              <w:t>0%</w:t>
            </w:r>
          </w:p>
        </w:tc>
      </w:tr>
      <w:tr w:rsidR="00F74A73" w:rsidRPr="00C45B61" w14:paraId="428E2EAB"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04AF7D44" w14:textId="77777777" w:rsidR="00F74A73" w:rsidRPr="00234C5A" w:rsidRDefault="00F74A73" w:rsidP="00F84B04">
            <w:pPr>
              <w:jc w:val="right"/>
              <w:rPr>
                <w:bCs/>
                <w:smallCaps/>
              </w:rPr>
            </w:pPr>
            <w:r w:rsidRPr="00234C5A">
              <w:rPr>
                <w:bCs/>
                <w:smallCaps/>
              </w:rPr>
              <w:t>2.3.1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B653AE5" w14:textId="77777777" w:rsidR="00F74A73" w:rsidRPr="00134BFF" w:rsidRDefault="00F74A73" w:rsidP="00F84B04">
            <w:r>
              <w:t>Dispositif proposé pour assurer une forte réactivité dans la satisfaction des besoins entre l’expression dudit besoin et l’émission par la Cnam d’un bon de commande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55914EF0" w14:textId="77777777" w:rsidR="00F74A73" w:rsidRPr="00A00910" w:rsidRDefault="00F74A73" w:rsidP="00F84B04">
            <w:pPr>
              <w:jc w:val="center"/>
              <w:rPr>
                <w:smallCaps/>
              </w:rPr>
            </w:pPr>
            <w:r w:rsidRPr="00A00910">
              <w:rPr>
                <w:smallCaps/>
              </w:rPr>
              <w:t>50%</w:t>
            </w:r>
          </w:p>
        </w:tc>
      </w:tr>
      <w:tr w:rsidR="00F74A73" w:rsidRPr="00C45B61" w14:paraId="588BCC0D"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3A13C06" w14:textId="77777777" w:rsidR="00F74A73" w:rsidRPr="00234C5A" w:rsidRDefault="00F74A73" w:rsidP="00F84B04">
            <w:pPr>
              <w:jc w:val="right"/>
              <w:rPr>
                <w:bCs/>
                <w:smallCaps/>
              </w:rPr>
            </w:pPr>
            <w:r w:rsidRPr="00234C5A">
              <w:rPr>
                <w:bCs/>
                <w:smallCaps/>
              </w:rPr>
              <w:t>2.3.2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B888D38" w14:textId="77777777" w:rsidR="00F74A73" w:rsidRDefault="00F74A73" w:rsidP="00F84B04">
            <w:r>
              <w:t>Dispositif proposé</w:t>
            </w:r>
            <w:r w:rsidRPr="00C45B61">
              <w:t xml:space="preserve"> pour</w:t>
            </w:r>
            <w:r>
              <w:t xml:space="preserve"> la phase d’exécution des commandes (préparation en amont ou ad hoc d’intervenants acculturés à l’environnement SI assurance maladie)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009E6B6C" w14:textId="77777777" w:rsidR="00F74A73" w:rsidRPr="00A00910" w:rsidRDefault="00F74A73" w:rsidP="00F84B04">
            <w:pPr>
              <w:jc w:val="center"/>
              <w:rPr>
                <w:smallCaps/>
              </w:rPr>
            </w:pPr>
            <w:r w:rsidRPr="00A00910">
              <w:rPr>
                <w:smallCaps/>
              </w:rPr>
              <w:t>50%</w:t>
            </w:r>
          </w:p>
        </w:tc>
      </w:tr>
      <w:tr w:rsidR="00F74A73" w:rsidRPr="00C45B61" w14:paraId="41E7107A"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061FE2F2" w14:textId="77777777" w:rsidR="00F74A73" w:rsidRPr="006E4068" w:rsidRDefault="00F74A73" w:rsidP="00F84B04">
            <w:pPr>
              <w:jc w:val="center"/>
              <w:rPr>
                <w:b/>
                <w:bCs/>
                <w:smallCaps/>
              </w:rPr>
            </w:pPr>
            <w:r w:rsidRPr="006E4068">
              <w:rPr>
                <w:b/>
                <w:bCs/>
                <w:smallCaps/>
              </w:rPr>
              <w:lastRenderedPageBreak/>
              <w:t>3</w:t>
            </w:r>
          </w:p>
        </w:tc>
        <w:tc>
          <w:tcPr>
            <w:tcW w:w="6891"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10522327" w14:textId="77777777" w:rsidR="00F74A73" w:rsidRPr="006E4068" w:rsidRDefault="00F74A73" w:rsidP="00F84B04">
            <w:pPr>
              <w:rPr>
                <w:b/>
                <w:bCs/>
                <w:smallCaps/>
              </w:rPr>
            </w:pPr>
            <w:r w:rsidRPr="006E4068">
              <w:rPr>
                <w:b/>
                <w:bCs/>
                <w:smallCaps/>
              </w:rPr>
              <w:t xml:space="preserve">Coût </w:t>
            </w:r>
          </w:p>
        </w:tc>
        <w:tc>
          <w:tcPr>
            <w:tcW w:w="1516"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A1B3C5A" w14:textId="7ABF4D71" w:rsidR="00F74A73" w:rsidRPr="006E4068" w:rsidRDefault="00F74A73" w:rsidP="00F84B04">
            <w:pPr>
              <w:jc w:val="center"/>
              <w:rPr>
                <w:b/>
                <w:bCs/>
                <w:smallCaps/>
              </w:rPr>
            </w:pPr>
            <w:r w:rsidRPr="006E4068">
              <w:rPr>
                <w:b/>
                <w:bCs/>
                <w:smallCaps/>
              </w:rPr>
              <w:t>50%</w:t>
            </w:r>
          </w:p>
        </w:tc>
      </w:tr>
      <w:tr w:rsidR="00F74A73" w:rsidRPr="00C45B61" w14:paraId="1D21DF9F" w14:textId="77777777" w:rsidTr="00F84B04">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auto"/>
            <w:vAlign w:val="center"/>
          </w:tcPr>
          <w:p w14:paraId="586FF29C" w14:textId="58997804" w:rsidR="00F74A73" w:rsidRPr="006E4068" w:rsidRDefault="00F74A73" w:rsidP="00F84B04">
            <w:pPr>
              <w:rPr>
                <w:b/>
                <w:bCs/>
                <w:smallCaps/>
                <w:color w:val="1F497D"/>
              </w:rPr>
            </w:pPr>
          </w:p>
        </w:tc>
        <w:tc>
          <w:tcPr>
            <w:tcW w:w="6891" w:type="dxa"/>
            <w:tcBorders>
              <w:top w:val="single" w:sz="4" w:space="0" w:color="auto"/>
              <w:left w:val="single" w:sz="4" w:space="0" w:color="auto"/>
              <w:bottom w:val="single" w:sz="4" w:space="0" w:color="auto"/>
              <w:right w:val="single" w:sz="4" w:space="0" w:color="000000"/>
            </w:tcBorders>
            <w:shd w:val="clear" w:color="auto" w:fill="auto"/>
            <w:vAlign w:val="center"/>
          </w:tcPr>
          <w:p w14:paraId="59BB1FCA" w14:textId="09A9F329" w:rsidR="00F74A73" w:rsidRPr="00D70AB2" w:rsidRDefault="00F74A73" w:rsidP="00A2763B">
            <w:pPr>
              <w:rPr>
                <w:rFonts w:asciiTheme="minorHAnsi" w:hAnsiTheme="minorHAnsi" w:cstheme="minorHAnsi"/>
                <w:b/>
                <w:bCs/>
                <w:smallCaps/>
                <w:color w:val="1F497D"/>
              </w:rPr>
            </w:pPr>
            <w:r w:rsidRPr="00A2763B">
              <w:rPr>
                <w:b/>
                <w:color w:val="1F497D"/>
              </w:rPr>
              <w:t xml:space="preserve">Coût total estimé (simulation des UO sur la durée totale du marché + </w:t>
            </w:r>
            <w:r w:rsidR="00AE7BA8" w:rsidRPr="00A2763B">
              <w:rPr>
                <w:b/>
                <w:color w:val="1F497D"/>
              </w:rPr>
              <w:t>C</w:t>
            </w:r>
            <w:r w:rsidR="00A2763B">
              <w:rPr>
                <w:b/>
                <w:color w:val="1F497D"/>
              </w:rPr>
              <w:t xml:space="preserve">oût scenarii (mise en place du </w:t>
            </w:r>
            <w:r w:rsidR="00AE7BA8" w:rsidRPr="00A2763B">
              <w:rPr>
                <w:b/>
                <w:color w:val="1F497D"/>
              </w:rPr>
              <w:t>CDC/CDS)+</w:t>
            </w:r>
            <w:r w:rsidR="00A2763B">
              <w:rPr>
                <w:b/>
                <w:color w:val="1F497D"/>
              </w:rPr>
              <w:t xml:space="preserve"> coût des</w:t>
            </w:r>
            <w:r w:rsidR="00AE7BA8" w:rsidRPr="00A2763B">
              <w:rPr>
                <w:b/>
                <w:color w:val="1F497D"/>
              </w:rPr>
              <w:t xml:space="preserve"> UO </w:t>
            </w:r>
            <w:r w:rsidR="00A2763B">
              <w:rPr>
                <w:b/>
                <w:color w:val="1F497D"/>
              </w:rPr>
              <w:t>en</w:t>
            </w:r>
            <w:r w:rsidR="00AE7BA8" w:rsidRPr="00A2763B">
              <w:rPr>
                <w:b/>
                <w:color w:val="1F497D"/>
              </w:rPr>
              <w:t xml:space="preserve"> CDC/CDS </w:t>
            </w:r>
            <w:r w:rsidR="00A2763B">
              <w:rPr>
                <w:b/>
                <w:color w:val="1F497D"/>
              </w:rPr>
              <w:t>sur la durée totale du marché</w:t>
            </w:r>
            <w:r w:rsidR="00AE7BA8" w:rsidRPr="00A2763B">
              <w:rPr>
                <w:b/>
                <w:color w:val="1F497D"/>
              </w:rPr>
              <w:t xml:space="preserve">) + </w:t>
            </w:r>
            <w:r w:rsidRPr="00A2763B">
              <w:rPr>
                <w:b/>
                <w:color w:val="1F497D"/>
              </w:rPr>
              <w:t>part forfaitaire + tranche optionnelle)</w:t>
            </w:r>
          </w:p>
        </w:tc>
        <w:tc>
          <w:tcPr>
            <w:tcW w:w="1516" w:type="dxa"/>
            <w:tcBorders>
              <w:top w:val="single" w:sz="4" w:space="0" w:color="auto"/>
              <w:left w:val="nil"/>
              <w:bottom w:val="single" w:sz="4" w:space="0" w:color="auto"/>
              <w:right w:val="single" w:sz="4" w:space="0" w:color="auto"/>
            </w:tcBorders>
            <w:shd w:val="clear" w:color="auto" w:fill="auto"/>
            <w:vAlign w:val="center"/>
          </w:tcPr>
          <w:p w14:paraId="7ABF6F68" w14:textId="58AC5146" w:rsidR="00F74A73" w:rsidRPr="006E4068" w:rsidRDefault="00F74A73" w:rsidP="00F84B04">
            <w:pPr>
              <w:jc w:val="center"/>
              <w:rPr>
                <w:b/>
                <w:bCs/>
                <w:smallCaps/>
              </w:rPr>
            </w:pPr>
          </w:p>
        </w:tc>
      </w:tr>
    </w:tbl>
    <w:p w14:paraId="0FEBB071" w14:textId="3A6824A7" w:rsidR="00547801" w:rsidRDefault="00547801" w:rsidP="00547801">
      <w:pPr>
        <w:pStyle w:val="Titre3"/>
      </w:pPr>
      <w:bookmarkStart w:id="182" w:name="_Toc187833061"/>
      <w:bookmarkStart w:id="183" w:name="_Toc211257314"/>
      <w:r>
        <w:t xml:space="preserve">Lot </w:t>
      </w:r>
      <w:bookmarkEnd w:id="182"/>
      <w:r w:rsidR="003126D2">
        <w:t>2</w:t>
      </w:r>
      <w:bookmarkEnd w:id="183"/>
    </w:p>
    <w:tbl>
      <w:tblPr>
        <w:tblW w:w="10349" w:type="dxa"/>
        <w:jc w:val="center"/>
        <w:shd w:val="clear" w:color="auto" w:fill="FFFFFF"/>
        <w:tblCellMar>
          <w:left w:w="70" w:type="dxa"/>
          <w:right w:w="70" w:type="dxa"/>
        </w:tblCellMar>
        <w:tblLook w:val="0000" w:firstRow="0" w:lastRow="0" w:firstColumn="0" w:lastColumn="0" w:noHBand="0" w:noVBand="0"/>
      </w:tblPr>
      <w:tblGrid>
        <w:gridCol w:w="1942"/>
        <w:gridCol w:w="6891"/>
        <w:gridCol w:w="1516"/>
      </w:tblGrid>
      <w:tr w:rsidR="007F65B1" w:rsidRPr="00C45B61" w14:paraId="3E4F09E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333399"/>
            <w:vAlign w:val="center"/>
          </w:tcPr>
          <w:p w14:paraId="46AD2D42" w14:textId="77777777" w:rsidR="007F65B1" w:rsidRPr="00C45B61" w:rsidRDefault="007F65B1" w:rsidP="00B526E5">
            <w:pPr>
              <w:jc w:val="center"/>
              <w:rPr>
                <w:b/>
                <w:bCs/>
                <w:caps/>
                <w:color w:val="FFFFFF"/>
              </w:rPr>
            </w:pPr>
            <w:r w:rsidRPr="00C45B61">
              <w:rPr>
                <w:b/>
                <w:bCs/>
                <w:caps/>
                <w:color w:val="FFFFFF"/>
              </w:rPr>
              <w:t>Critère</w:t>
            </w:r>
          </w:p>
        </w:tc>
        <w:tc>
          <w:tcPr>
            <w:tcW w:w="6891" w:type="dxa"/>
            <w:tcBorders>
              <w:top w:val="single" w:sz="4" w:space="0" w:color="auto"/>
              <w:left w:val="single" w:sz="4" w:space="0" w:color="auto"/>
              <w:bottom w:val="single" w:sz="4" w:space="0" w:color="auto"/>
              <w:right w:val="single" w:sz="4" w:space="0" w:color="auto"/>
            </w:tcBorders>
            <w:shd w:val="clear" w:color="auto" w:fill="333399"/>
            <w:vAlign w:val="center"/>
          </w:tcPr>
          <w:p w14:paraId="7CAE28CC" w14:textId="77777777" w:rsidR="007F65B1" w:rsidRPr="00C45B61" w:rsidRDefault="007F65B1" w:rsidP="00B526E5">
            <w:pPr>
              <w:jc w:val="center"/>
              <w:rPr>
                <w:b/>
                <w:bCs/>
                <w:caps/>
                <w:color w:val="FFFFFF"/>
              </w:rPr>
            </w:pPr>
            <w:r w:rsidRPr="00C45B61">
              <w:rPr>
                <w:b/>
                <w:bCs/>
                <w:caps/>
                <w:color w:val="FFFFFF"/>
              </w:rPr>
              <w:t>Intitulé</w:t>
            </w:r>
          </w:p>
        </w:tc>
        <w:tc>
          <w:tcPr>
            <w:tcW w:w="1516" w:type="dxa"/>
            <w:tcBorders>
              <w:top w:val="single" w:sz="4" w:space="0" w:color="auto"/>
              <w:left w:val="nil"/>
              <w:bottom w:val="single" w:sz="4" w:space="0" w:color="auto"/>
              <w:right w:val="single" w:sz="4" w:space="0" w:color="auto"/>
            </w:tcBorders>
            <w:shd w:val="clear" w:color="auto" w:fill="333399"/>
            <w:noWrap/>
            <w:vAlign w:val="center"/>
          </w:tcPr>
          <w:p w14:paraId="4060028F" w14:textId="77777777" w:rsidR="007F65B1" w:rsidRPr="00C45B61" w:rsidRDefault="007F65B1" w:rsidP="00B526E5">
            <w:pPr>
              <w:jc w:val="center"/>
              <w:rPr>
                <w:b/>
                <w:caps/>
                <w:color w:val="FFFFFF"/>
              </w:rPr>
            </w:pPr>
            <w:r w:rsidRPr="00C45B61">
              <w:rPr>
                <w:b/>
                <w:caps/>
                <w:color w:val="FFFFFF"/>
              </w:rPr>
              <w:t>Pondération</w:t>
            </w:r>
          </w:p>
        </w:tc>
      </w:tr>
      <w:tr w:rsidR="007F65B1" w:rsidRPr="00C45B61" w14:paraId="22AAC656"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93AE616" w14:textId="77777777" w:rsidR="007F65B1" w:rsidRPr="00C45B61" w:rsidRDefault="007F65B1" w:rsidP="00B526E5">
            <w:pPr>
              <w:jc w:val="center"/>
              <w:rPr>
                <w:b/>
                <w:bCs/>
                <w:smallCaps/>
              </w:rPr>
            </w:pPr>
            <w:r w:rsidRPr="00C45B61">
              <w:rPr>
                <w:b/>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399C2AA" w14:textId="77777777" w:rsidR="007F65B1" w:rsidRPr="00C45B61" w:rsidRDefault="007F65B1" w:rsidP="00B526E5">
            <w:pPr>
              <w:rPr>
                <w:b/>
                <w:bCs/>
                <w:smallCaps/>
              </w:rPr>
            </w:pPr>
            <w:r w:rsidRPr="00C45B61">
              <w:rPr>
                <w:b/>
                <w:bCs/>
                <w:smallCaps/>
              </w:rPr>
              <w:t>Organisation générale et pilotage du marché</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CDEA86" w14:textId="77777777" w:rsidR="007F65B1" w:rsidRPr="00C45B61" w:rsidRDefault="007F65B1" w:rsidP="00B526E5">
            <w:pPr>
              <w:jc w:val="center"/>
              <w:rPr>
                <w:b/>
                <w:smallCaps/>
              </w:rPr>
            </w:pPr>
            <w:r>
              <w:rPr>
                <w:b/>
                <w:smallCaps/>
              </w:rPr>
              <w:t>15</w:t>
            </w:r>
            <w:r w:rsidRPr="00C45B61">
              <w:rPr>
                <w:b/>
                <w:smallCaps/>
              </w:rPr>
              <w:t>%</w:t>
            </w:r>
          </w:p>
        </w:tc>
      </w:tr>
      <w:tr w:rsidR="007F65B1" w:rsidRPr="00234C5A" w14:paraId="6C0E898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0C8798CD" w14:textId="77777777" w:rsidR="007F65B1" w:rsidRPr="00234C5A" w:rsidRDefault="007F65B1" w:rsidP="00B526E5">
            <w:pPr>
              <w:rPr>
                <w:b/>
                <w:bCs/>
                <w:smallCaps/>
                <w:color w:val="1F497D"/>
              </w:rPr>
            </w:pPr>
            <w:r w:rsidRPr="00234C5A">
              <w:rPr>
                <w:b/>
                <w:bCs/>
                <w:smallCaps/>
                <w:color w:val="1F497D"/>
              </w:rPr>
              <w:t>Sous-critère 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8FDB5DB" w14:textId="77777777" w:rsidR="007F65B1" w:rsidRPr="00234C5A" w:rsidRDefault="007F65B1" w:rsidP="00B526E5">
            <w:pPr>
              <w:rPr>
                <w:b/>
                <w:bCs/>
                <w:smallCaps/>
                <w:color w:val="1F497D"/>
              </w:rPr>
            </w:pPr>
            <w:r w:rsidRPr="00234C5A">
              <w:rPr>
                <w:b/>
                <w:color w:val="1F497D"/>
              </w:rPr>
              <w:t>Organisation générale mise en place pour le marché et la méthode de pilotage globale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836740A" w14:textId="77777777" w:rsidR="007F65B1" w:rsidRPr="00DE007D" w:rsidRDefault="007F65B1" w:rsidP="00B526E5">
            <w:pPr>
              <w:jc w:val="center"/>
              <w:rPr>
                <w:b/>
                <w:smallCaps/>
                <w:color w:val="1F497D"/>
                <w:highlight w:val="yellow"/>
              </w:rPr>
            </w:pPr>
            <w:r>
              <w:rPr>
                <w:b/>
                <w:smallCaps/>
                <w:color w:val="1F497D"/>
              </w:rPr>
              <w:t>40</w:t>
            </w:r>
            <w:r w:rsidRPr="00B117E6">
              <w:rPr>
                <w:b/>
                <w:smallCaps/>
                <w:color w:val="1F497D"/>
              </w:rPr>
              <w:t>%</w:t>
            </w:r>
          </w:p>
        </w:tc>
      </w:tr>
      <w:tr w:rsidR="007F65B1" w:rsidRPr="00C45B61" w14:paraId="09B249C9"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04BF27D0" w14:textId="77777777" w:rsidR="007F65B1" w:rsidRPr="00C45B61" w:rsidRDefault="007F65B1" w:rsidP="00B526E5">
            <w:pPr>
              <w:jc w:val="right"/>
              <w:rPr>
                <w:bCs/>
                <w:smallCaps/>
              </w:rPr>
            </w:pPr>
            <w:r w:rsidRPr="00C45B61">
              <w:rPr>
                <w:bCs/>
                <w:smallCaps/>
              </w:rPr>
              <w:t>1.1.1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466FE5A" w14:textId="77777777" w:rsidR="007F65B1" w:rsidRPr="00C45B61" w:rsidRDefault="007F65B1" w:rsidP="00B526E5">
            <w:r w:rsidRPr="00C45B61">
              <w:t>Description de l’organisation générale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6E38877A" w14:textId="77777777" w:rsidR="007F65B1" w:rsidRPr="00C45B61" w:rsidRDefault="007F65B1" w:rsidP="00B526E5">
            <w:pPr>
              <w:jc w:val="center"/>
              <w:rPr>
                <w:smallCaps/>
              </w:rPr>
            </w:pPr>
            <w:r>
              <w:rPr>
                <w:smallCaps/>
              </w:rPr>
              <w:t>30%</w:t>
            </w:r>
          </w:p>
        </w:tc>
      </w:tr>
      <w:tr w:rsidR="007F65B1" w:rsidRPr="00C45B61" w14:paraId="33E45B55"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7C55E3E" w14:textId="77777777" w:rsidR="007F65B1" w:rsidRPr="00C45B61" w:rsidRDefault="007F65B1" w:rsidP="00B526E5">
            <w:pPr>
              <w:jc w:val="right"/>
              <w:rPr>
                <w:bCs/>
                <w:smallCaps/>
              </w:rPr>
            </w:pPr>
            <w:r w:rsidRPr="00C45B61">
              <w:rPr>
                <w:bCs/>
                <w:smallCaps/>
              </w:rPr>
              <w:t>1.1.2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09BD292C" w14:textId="77777777" w:rsidR="007F65B1" w:rsidRPr="00C45B61" w:rsidRDefault="007F65B1" w:rsidP="00B526E5">
            <w:r>
              <w:t>Méthode</w:t>
            </w:r>
            <w:r w:rsidRPr="00C45B61">
              <w:t xml:space="preserve"> de pilotage, moyens et outils de suivi</w:t>
            </w:r>
            <w:r>
              <w:t xml:space="preserve"> du marché et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38E13CC0" w14:textId="77777777" w:rsidR="007F65B1" w:rsidRPr="00C45B61" w:rsidRDefault="007F65B1" w:rsidP="00B526E5">
            <w:pPr>
              <w:jc w:val="center"/>
              <w:rPr>
                <w:smallCaps/>
              </w:rPr>
            </w:pPr>
            <w:r>
              <w:rPr>
                <w:smallCaps/>
              </w:rPr>
              <w:t>70%</w:t>
            </w:r>
          </w:p>
        </w:tc>
      </w:tr>
      <w:tr w:rsidR="007F65B1" w:rsidRPr="00234C5A" w14:paraId="2D2356FB"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5A908D97" w14:textId="77777777" w:rsidR="007F65B1" w:rsidRPr="00234C5A" w:rsidRDefault="007F65B1" w:rsidP="00B526E5">
            <w:pPr>
              <w:rPr>
                <w:b/>
                <w:bCs/>
                <w:smallCaps/>
                <w:color w:val="1F497D"/>
              </w:rPr>
            </w:pPr>
            <w:r w:rsidRPr="00234C5A">
              <w:rPr>
                <w:b/>
                <w:bCs/>
                <w:smallCaps/>
                <w:color w:val="1F497D"/>
              </w:rPr>
              <w:t>Sous-critère 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694BF28" w14:textId="77777777" w:rsidR="007F65B1" w:rsidRPr="00234C5A" w:rsidRDefault="007F65B1" w:rsidP="00B526E5">
            <w:pPr>
              <w:rPr>
                <w:b/>
                <w:color w:val="1F497D"/>
              </w:rPr>
            </w:pPr>
            <w:r w:rsidRPr="00234C5A">
              <w:rPr>
                <w:b/>
                <w:color w:val="1F497D"/>
              </w:rPr>
              <w:t>Processus Qualité</w:t>
            </w:r>
          </w:p>
        </w:tc>
        <w:tc>
          <w:tcPr>
            <w:tcW w:w="1516" w:type="dxa"/>
            <w:tcBorders>
              <w:top w:val="single" w:sz="4" w:space="0" w:color="auto"/>
              <w:left w:val="nil"/>
              <w:bottom w:val="single" w:sz="4" w:space="0" w:color="auto"/>
              <w:right w:val="single" w:sz="4" w:space="0" w:color="auto"/>
            </w:tcBorders>
            <w:shd w:val="clear" w:color="auto" w:fill="auto"/>
            <w:noWrap/>
            <w:vAlign w:val="center"/>
          </w:tcPr>
          <w:p w14:paraId="4376518D" w14:textId="77777777" w:rsidR="007F65B1" w:rsidRPr="00234C5A" w:rsidRDefault="007F65B1" w:rsidP="00B526E5">
            <w:pPr>
              <w:jc w:val="center"/>
              <w:rPr>
                <w:b/>
                <w:smallCaps/>
                <w:color w:val="1F497D"/>
              </w:rPr>
            </w:pPr>
            <w:r>
              <w:rPr>
                <w:b/>
                <w:smallCaps/>
                <w:color w:val="1F497D"/>
              </w:rPr>
              <w:t>55</w:t>
            </w:r>
            <w:r w:rsidRPr="00B117E6">
              <w:rPr>
                <w:b/>
                <w:smallCaps/>
                <w:color w:val="1F497D"/>
              </w:rPr>
              <w:t>%</w:t>
            </w:r>
          </w:p>
        </w:tc>
      </w:tr>
      <w:tr w:rsidR="007F65B1" w:rsidRPr="00C45B61" w14:paraId="5BDAE3A1"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3FCC9CF9" w14:textId="77777777" w:rsidR="007F65B1" w:rsidRPr="00C45B61" w:rsidRDefault="007F65B1" w:rsidP="00B526E5">
            <w:pPr>
              <w:jc w:val="right"/>
              <w:rPr>
                <w:bCs/>
                <w:smallCaps/>
              </w:rPr>
            </w:pPr>
            <w:r w:rsidRPr="00C45B61">
              <w:rPr>
                <w:bCs/>
                <w:smallCaps/>
              </w:rPr>
              <w:t>1.2.1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27AEC25E" w14:textId="77777777" w:rsidR="007F65B1" w:rsidRPr="00C45B61" w:rsidRDefault="007F65B1" w:rsidP="00B526E5">
            <w:pPr>
              <w:tabs>
                <w:tab w:val="left" w:pos="4068"/>
                <w:tab w:val="left" w:pos="7275"/>
                <w:tab w:val="left" w:pos="8261"/>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Pertinence des indicateurs qualité et des engagements proposés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66355AE" w14:textId="77777777" w:rsidR="007F65B1" w:rsidRPr="00C45B61" w:rsidRDefault="007F65B1" w:rsidP="00B526E5">
            <w:pPr>
              <w:jc w:val="center"/>
              <w:rPr>
                <w:smallCaps/>
              </w:rPr>
            </w:pPr>
            <w:r>
              <w:rPr>
                <w:smallCaps/>
              </w:rPr>
              <w:t>40%</w:t>
            </w:r>
          </w:p>
        </w:tc>
      </w:tr>
      <w:tr w:rsidR="007F65B1" w:rsidRPr="00C45B61" w14:paraId="1F421C87"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775B7538" w14:textId="77777777" w:rsidR="007F65B1" w:rsidRPr="00C45B61" w:rsidRDefault="007F65B1" w:rsidP="00B526E5">
            <w:pPr>
              <w:jc w:val="right"/>
              <w:rPr>
                <w:bCs/>
                <w:smallCaps/>
              </w:rPr>
            </w:pPr>
            <w:r w:rsidRPr="00C45B61">
              <w:rPr>
                <w:bCs/>
                <w:smallCaps/>
              </w:rPr>
              <w:t>1.2.2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0AACEE77" w14:textId="77777777" w:rsidR="007F65B1" w:rsidRPr="00C45B61" w:rsidRDefault="007F65B1" w:rsidP="00B526E5">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Pr>
                <w:rFonts w:eastAsia="Times New Roman"/>
                <w:spacing w:val="-5"/>
                <w:lang w:eastAsia="fr-FR"/>
              </w:rPr>
              <w:t>Pertinence du contenu du</w:t>
            </w:r>
            <w:r w:rsidRPr="00C45B61">
              <w:rPr>
                <w:rFonts w:eastAsia="Times New Roman"/>
                <w:spacing w:val="-5"/>
                <w:lang w:eastAsia="fr-FR"/>
              </w:rPr>
              <w:t xml:space="preserve"> </w:t>
            </w:r>
            <w:r>
              <w:rPr>
                <w:rFonts w:eastAsia="Times New Roman"/>
                <w:spacing w:val="-5"/>
                <w:lang w:eastAsia="fr-FR"/>
              </w:rPr>
              <w:t>Plan d’Assurance Qualité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7450E4B" w14:textId="77777777" w:rsidR="007F65B1" w:rsidRPr="00C45B61" w:rsidRDefault="007F65B1" w:rsidP="00B526E5">
            <w:pPr>
              <w:jc w:val="center"/>
              <w:rPr>
                <w:smallCaps/>
              </w:rPr>
            </w:pPr>
            <w:r>
              <w:rPr>
                <w:smallCaps/>
              </w:rPr>
              <w:t>40%</w:t>
            </w:r>
          </w:p>
        </w:tc>
      </w:tr>
      <w:tr w:rsidR="007F65B1" w:rsidRPr="00C45B61" w14:paraId="4A650B1C"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464D333F" w14:textId="77777777" w:rsidR="007F65B1" w:rsidRPr="00C45B61" w:rsidRDefault="007F65B1" w:rsidP="00B526E5">
            <w:pPr>
              <w:jc w:val="right"/>
              <w:rPr>
                <w:bCs/>
                <w:smallCaps/>
              </w:rPr>
            </w:pPr>
            <w:r w:rsidRPr="00C45B61">
              <w:rPr>
                <w:bCs/>
                <w:smallCaps/>
              </w:rPr>
              <w:t>1.2.3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AB3C750" w14:textId="77777777" w:rsidR="007F65B1" w:rsidRPr="00C45B61" w:rsidRDefault="007F65B1" w:rsidP="00B526E5">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Qualité des documents type à présenter en comitologie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DF21037" w14:textId="77777777" w:rsidR="007F65B1" w:rsidRPr="00C45B61" w:rsidRDefault="007F65B1" w:rsidP="00B526E5">
            <w:pPr>
              <w:jc w:val="center"/>
              <w:rPr>
                <w:smallCaps/>
              </w:rPr>
            </w:pPr>
            <w:r>
              <w:rPr>
                <w:smallCaps/>
              </w:rPr>
              <w:t>20%</w:t>
            </w:r>
          </w:p>
        </w:tc>
      </w:tr>
      <w:tr w:rsidR="007F65B1" w:rsidRPr="00234C5A" w14:paraId="41BFEE59"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1681833" w14:textId="77777777" w:rsidR="007F65B1" w:rsidRPr="00234C5A" w:rsidRDefault="007F65B1" w:rsidP="00B526E5">
            <w:pPr>
              <w:rPr>
                <w:b/>
                <w:bCs/>
                <w:smallCaps/>
                <w:color w:val="1F497D"/>
              </w:rPr>
            </w:pPr>
            <w:r w:rsidRPr="00234C5A">
              <w:rPr>
                <w:b/>
                <w:bCs/>
                <w:smallCaps/>
                <w:color w:val="1F497D"/>
              </w:rPr>
              <w:t>Sous-critère 1.3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1752D00" w14:textId="77777777" w:rsidR="007F65B1" w:rsidRPr="004D3434" w:rsidRDefault="007F65B1" w:rsidP="00B526E5">
            <w:pPr>
              <w:rPr>
                <w:b/>
                <w:color w:val="1F497D"/>
              </w:rPr>
            </w:pPr>
            <w:r w:rsidRPr="002A7F97">
              <w:rPr>
                <w:b/>
                <w:color w:val="1F497D"/>
              </w:rPr>
              <w:t xml:space="preserve">Méthodologie proposée pour </w:t>
            </w:r>
            <w:r w:rsidRPr="004D3434">
              <w:rPr>
                <w:b/>
                <w:color w:val="1F497D"/>
              </w:rPr>
              <w:t>réaliser un PCA et un PRA concernant les activités confiées par la Cnam</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74C35FC" w14:textId="77777777" w:rsidR="007F65B1" w:rsidRPr="00234C5A" w:rsidRDefault="007F65B1" w:rsidP="00B526E5">
            <w:pPr>
              <w:jc w:val="center"/>
              <w:rPr>
                <w:b/>
                <w:smallCaps/>
                <w:color w:val="1F497D"/>
              </w:rPr>
            </w:pPr>
            <w:r w:rsidRPr="00B117E6">
              <w:rPr>
                <w:b/>
                <w:smallCaps/>
                <w:color w:val="1F497D"/>
              </w:rPr>
              <w:t>5%</w:t>
            </w:r>
          </w:p>
        </w:tc>
      </w:tr>
      <w:tr w:rsidR="007F65B1" w:rsidRPr="00C45B61" w14:paraId="4A2BA3DC"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B279216" w14:textId="77777777" w:rsidR="007F65B1" w:rsidRPr="00C45B61" w:rsidRDefault="007F65B1" w:rsidP="00B526E5">
            <w:pPr>
              <w:jc w:val="center"/>
              <w:rPr>
                <w:b/>
                <w:bCs/>
                <w:smallCaps/>
              </w:rPr>
            </w:pPr>
            <w:r w:rsidRPr="00C45B61">
              <w:rPr>
                <w:b/>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81C5A51" w14:textId="77777777" w:rsidR="007F65B1" w:rsidRPr="00C45B61" w:rsidRDefault="007F65B1" w:rsidP="00B526E5">
            <w:pPr>
              <w:rPr>
                <w:b/>
                <w:bCs/>
                <w:smallCaps/>
              </w:rPr>
            </w:pPr>
            <w:r w:rsidRPr="00C45B61">
              <w:rPr>
                <w:b/>
                <w:bCs/>
                <w:smallCaps/>
              </w:rPr>
              <w:t>Méthodologie proposée pour la réalisation des prestations</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C1A6E0" w14:textId="77777777" w:rsidR="007F65B1" w:rsidRPr="00C45B61" w:rsidRDefault="007F65B1" w:rsidP="00B526E5">
            <w:pPr>
              <w:jc w:val="center"/>
              <w:rPr>
                <w:b/>
                <w:smallCaps/>
              </w:rPr>
            </w:pPr>
            <w:r>
              <w:rPr>
                <w:b/>
                <w:smallCaps/>
              </w:rPr>
              <w:t>45</w:t>
            </w:r>
            <w:r w:rsidRPr="00C45B61">
              <w:rPr>
                <w:b/>
                <w:smallCaps/>
              </w:rPr>
              <w:t>%</w:t>
            </w:r>
          </w:p>
        </w:tc>
      </w:tr>
      <w:tr w:rsidR="007F65B1" w:rsidRPr="00234C5A" w14:paraId="4EDBE170"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073A0984" w14:textId="77777777" w:rsidR="007F65B1" w:rsidRPr="00234C5A" w:rsidRDefault="007F65B1" w:rsidP="00B526E5">
            <w:pPr>
              <w:rPr>
                <w:b/>
                <w:bCs/>
                <w:smallCaps/>
                <w:color w:val="1F497D"/>
              </w:rPr>
            </w:pPr>
            <w:r w:rsidRPr="00234C5A">
              <w:rPr>
                <w:b/>
                <w:bCs/>
                <w:smallCaps/>
                <w:color w:val="1F497D"/>
              </w:rPr>
              <w:t>Sous-critère 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88BB138" w14:textId="77777777" w:rsidR="007F65B1" w:rsidRPr="00234C5A" w:rsidRDefault="007F65B1" w:rsidP="00B526E5">
            <w:pPr>
              <w:rPr>
                <w:b/>
                <w:color w:val="1F497D"/>
              </w:rPr>
            </w:pPr>
            <w:r w:rsidRPr="00234C5A">
              <w:rPr>
                <w:b/>
                <w:color w:val="1F497D"/>
              </w:rPr>
              <w:t>Gestion de la connaissance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021A87E4" w14:textId="77777777" w:rsidR="007F65B1" w:rsidRPr="00234C5A" w:rsidRDefault="007F65B1" w:rsidP="00B526E5">
            <w:pPr>
              <w:jc w:val="center"/>
              <w:rPr>
                <w:b/>
                <w:smallCaps/>
                <w:color w:val="1F497D"/>
              </w:rPr>
            </w:pPr>
            <w:r>
              <w:rPr>
                <w:b/>
                <w:smallCaps/>
                <w:color w:val="1F497D"/>
              </w:rPr>
              <w:t>3</w:t>
            </w:r>
            <w:r w:rsidRPr="00234C5A">
              <w:rPr>
                <w:b/>
                <w:smallCaps/>
                <w:color w:val="1F497D"/>
              </w:rPr>
              <w:t>0%</w:t>
            </w:r>
          </w:p>
        </w:tc>
      </w:tr>
      <w:tr w:rsidR="007F65B1" w:rsidRPr="00C45B61" w14:paraId="23F4D03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4645496" w14:textId="77777777" w:rsidR="007F65B1" w:rsidRPr="00C45B61" w:rsidRDefault="007F65B1" w:rsidP="00B526E5">
            <w:pPr>
              <w:jc w:val="right"/>
              <w:rPr>
                <w:bCs/>
                <w:smallCaps/>
              </w:rPr>
            </w:pPr>
            <w:r w:rsidRPr="00C45B61">
              <w:rPr>
                <w:bCs/>
                <w:smallCaps/>
              </w:rPr>
              <w:t>2.</w:t>
            </w:r>
            <w:r>
              <w:rPr>
                <w:bCs/>
                <w:smallCaps/>
              </w:rPr>
              <w:t>1</w:t>
            </w:r>
            <w:r w:rsidRPr="00C45B61">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80DF999" w14:textId="77777777" w:rsidR="007F65B1" w:rsidRPr="00C45B61" w:rsidRDefault="007F65B1" w:rsidP="00B526E5">
            <w:r w:rsidRPr="00C45B61">
              <w:t xml:space="preserve">Méthodologie proposée pour la phase de </w:t>
            </w:r>
            <w:r>
              <w:t>de lancement du marché</w:t>
            </w:r>
            <w:r w:rsidRPr="00C45B61">
              <w:t xml:space="preserve"> </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B2D4D21" w14:textId="77777777" w:rsidR="007F65B1" w:rsidRPr="00C45B61" w:rsidRDefault="007F65B1" w:rsidP="00B526E5">
            <w:pPr>
              <w:jc w:val="center"/>
              <w:rPr>
                <w:smallCaps/>
              </w:rPr>
            </w:pPr>
            <w:r>
              <w:rPr>
                <w:smallCaps/>
              </w:rPr>
              <w:t>30%</w:t>
            </w:r>
          </w:p>
        </w:tc>
      </w:tr>
      <w:tr w:rsidR="007F65B1" w:rsidRPr="00C45B61" w14:paraId="4A5A42DE"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01E4B709" w14:textId="77777777" w:rsidR="007F65B1" w:rsidRPr="00C45B61" w:rsidRDefault="007F65B1" w:rsidP="00B526E5">
            <w:pPr>
              <w:jc w:val="right"/>
              <w:rPr>
                <w:bCs/>
                <w:smallCaps/>
              </w:rPr>
            </w:pPr>
            <w:r w:rsidRPr="00C45B61">
              <w:rPr>
                <w:bCs/>
                <w:smallCaps/>
              </w:rPr>
              <w:t>2.</w:t>
            </w:r>
            <w:r>
              <w:rPr>
                <w:bCs/>
                <w:smallCaps/>
              </w:rPr>
              <w:t>1</w:t>
            </w:r>
            <w:r w:rsidRPr="00C45B61">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E4E7AB5" w14:textId="77777777" w:rsidR="007F65B1" w:rsidRPr="00C45B61" w:rsidRDefault="007F65B1" w:rsidP="00B526E5">
            <w:r w:rsidRPr="00C45B61">
              <w:t xml:space="preserve">Méthodologie proposée pour la phase de </w:t>
            </w:r>
            <w:r>
              <w:t>transfert de connaissances intégrant la réversibilité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63C65290" w14:textId="77777777" w:rsidR="007F65B1" w:rsidRPr="00C45B61" w:rsidRDefault="007F65B1" w:rsidP="00B526E5">
            <w:pPr>
              <w:jc w:val="center"/>
              <w:rPr>
                <w:smallCaps/>
              </w:rPr>
            </w:pPr>
            <w:r>
              <w:rPr>
                <w:smallCaps/>
              </w:rPr>
              <w:t>30%</w:t>
            </w:r>
          </w:p>
        </w:tc>
      </w:tr>
      <w:tr w:rsidR="007F65B1" w:rsidRPr="00C45B61" w14:paraId="14CC254F"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40F5A" w14:textId="77777777" w:rsidR="007F65B1" w:rsidRPr="005F567E" w:rsidRDefault="007F65B1" w:rsidP="00B526E5">
            <w:pPr>
              <w:jc w:val="right"/>
              <w:rPr>
                <w:bCs/>
                <w:smallCaps/>
              </w:rPr>
            </w:pPr>
            <w:r w:rsidRPr="005F567E">
              <w:rPr>
                <w:bCs/>
                <w:smallCaps/>
              </w:rPr>
              <w:t>2.</w:t>
            </w:r>
            <w:r>
              <w:rPr>
                <w:bCs/>
                <w:smallCaps/>
              </w:rPr>
              <w:t>1</w:t>
            </w:r>
            <w:r w:rsidRPr="005F567E">
              <w:rPr>
                <w:bCs/>
                <w:smallCaps/>
              </w:rPr>
              <w:t>.3</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D94DD" w14:textId="77777777" w:rsidR="007F65B1" w:rsidRPr="005F567E" w:rsidRDefault="007F65B1" w:rsidP="00B526E5">
            <w:r w:rsidRPr="00C45B61">
              <w:t xml:space="preserve">Méthodologie proposée </w:t>
            </w:r>
            <w:r>
              <w:t>pour le m</w:t>
            </w:r>
            <w:r w:rsidRPr="005F567E">
              <w:t xml:space="preserve">aintien de la base de connaissance et de la compétence </w:t>
            </w:r>
            <w:r>
              <w:t xml:space="preserve">(technique, fonctionnelle, du contexte Cnam) </w:t>
            </w:r>
            <w:r w:rsidRPr="005F567E">
              <w:t>des équipes du titulaire</w:t>
            </w:r>
            <w:r>
              <w:t xml:space="preserve"> et des sous-traitants</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3994995C" w14:textId="77777777" w:rsidR="007F65B1" w:rsidRDefault="007F65B1" w:rsidP="00B526E5">
            <w:pPr>
              <w:jc w:val="center"/>
              <w:rPr>
                <w:smallCaps/>
                <w:color w:val="1F497D"/>
              </w:rPr>
            </w:pPr>
            <w:r>
              <w:rPr>
                <w:smallCaps/>
                <w:color w:val="1F497D"/>
              </w:rPr>
              <w:t>40%</w:t>
            </w:r>
          </w:p>
        </w:tc>
      </w:tr>
      <w:tr w:rsidR="007F65B1" w:rsidRPr="00234C5A" w14:paraId="2A9C5A0B"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FF4BA" w14:textId="77777777" w:rsidR="007F65B1" w:rsidRPr="00234C5A" w:rsidRDefault="007F65B1" w:rsidP="00B526E5">
            <w:pPr>
              <w:rPr>
                <w:b/>
                <w:bCs/>
                <w:smallCaps/>
                <w:color w:val="1F497D"/>
              </w:rPr>
            </w:pPr>
            <w:r w:rsidRPr="00234C5A">
              <w:rPr>
                <w:b/>
                <w:bCs/>
                <w:smallCaps/>
                <w:color w:val="1F497D"/>
              </w:rPr>
              <w:t>sous-critère 2.2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C8A24" w14:textId="77777777" w:rsidR="007F65B1" w:rsidRPr="00234C5A" w:rsidRDefault="007F65B1" w:rsidP="00B526E5">
            <w:pPr>
              <w:rPr>
                <w:b/>
                <w:color w:val="1F497D"/>
              </w:rPr>
            </w:pPr>
            <w:r w:rsidRPr="00234C5A">
              <w:rPr>
                <w:b/>
                <w:color w:val="1F497D"/>
              </w:rPr>
              <w:t>Méthodo</w:t>
            </w:r>
            <w:r>
              <w:rPr>
                <w:b/>
                <w:color w:val="1F497D"/>
              </w:rPr>
              <w:t>logie de</w:t>
            </w:r>
            <w:r w:rsidRPr="00234C5A">
              <w:rPr>
                <w:b/>
                <w:color w:val="1F497D"/>
              </w:rPr>
              <w:t xml:space="preserve"> passage </w:t>
            </w:r>
            <w:r>
              <w:rPr>
                <w:b/>
                <w:color w:val="1F497D"/>
              </w:rPr>
              <w:t>en centre de compétence et centre de service</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0AEC699D" w14:textId="77777777" w:rsidR="007F65B1" w:rsidRPr="00234C5A" w:rsidRDefault="007F65B1" w:rsidP="00B526E5">
            <w:pPr>
              <w:jc w:val="center"/>
              <w:rPr>
                <w:b/>
                <w:smallCaps/>
                <w:color w:val="1F497D"/>
              </w:rPr>
            </w:pPr>
            <w:r>
              <w:rPr>
                <w:b/>
                <w:smallCaps/>
                <w:color w:val="1F497D"/>
              </w:rPr>
              <w:t>40%</w:t>
            </w:r>
          </w:p>
        </w:tc>
      </w:tr>
      <w:tr w:rsidR="007F65B1" w:rsidRPr="005F567E" w14:paraId="6A6E93B5"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71FB4" w14:textId="77777777" w:rsidR="007F65B1" w:rsidRPr="005F567E" w:rsidRDefault="007F65B1" w:rsidP="00B526E5">
            <w:pPr>
              <w:jc w:val="right"/>
              <w:rPr>
                <w:bCs/>
                <w:smallCaps/>
              </w:rPr>
            </w:pPr>
            <w:r w:rsidRPr="005F567E">
              <w:rPr>
                <w:bCs/>
                <w:smallCaps/>
              </w:rPr>
              <w:t>2.2.</w:t>
            </w:r>
            <w:r>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80FB7" w14:textId="77777777" w:rsidR="007F65B1" w:rsidRPr="0033686B" w:rsidRDefault="007F65B1" w:rsidP="00B526E5">
            <w:r w:rsidRPr="0033686B">
              <w:t>Approche technique et organisationnelle proposée en réponse au scénario 1</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420F925B" w14:textId="77777777" w:rsidR="007F65B1" w:rsidRPr="005F567E" w:rsidRDefault="007F65B1" w:rsidP="00B526E5">
            <w:pPr>
              <w:jc w:val="center"/>
              <w:rPr>
                <w:smallCaps/>
              </w:rPr>
            </w:pPr>
            <w:r>
              <w:rPr>
                <w:smallCaps/>
              </w:rPr>
              <w:t>30%</w:t>
            </w:r>
          </w:p>
        </w:tc>
      </w:tr>
      <w:tr w:rsidR="007F65B1" w:rsidRPr="005F567E" w14:paraId="4A06D69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5811D" w14:textId="77777777" w:rsidR="007F65B1" w:rsidRPr="005F567E" w:rsidRDefault="007F65B1" w:rsidP="00B526E5">
            <w:pPr>
              <w:jc w:val="right"/>
              <w:rPr>
                <w:bCs/>
                <w:smallCaps/>
              </w:rPr>
            </w:pPr>
            <w:r w:rsidRPr="005F567E">
              <w:rPr>
                <w:bCs/>
                <w:smallCaps/>
              </w:rPr>
              <w:t>2.2.</w:t>
            </w:r>
            <w:r>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700C3" w14:textId="77777777" w:rsidR="007F65B1" w:rsidRPr="0033686B" w:rsidRDefault="007F65B1" w:rsidP="00B526E5">
            <w:r w:rsidRPr="0033686B">
              <w:t>Approche technique et organisationnelle proposée en réponse au scénario 2</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6F4520C3" w14:textId="77777777" w:rsidR="007F65B1" w:rsidRDefault="007F65B1" w:rsidP="00B526E5">
            <w:pPr>
              <w:jc w:val="center"/>
              <w:rPr>
                <w:smallCaps/>
              </w:rPr>
            </w:pPr>
            <w:r>
              <w:rPr>
                <w:smallCaps/>
              </w:rPr>
              <w:t>30%</w:t>
            </w:r>
          </w:p>
        </w:tc>
      </w:tr>
      <w:tr w:rsidR="007F65B1" w:rsidRPr="005F567E" w14:paraId="2BFBCAFC"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27117" w14:textId="77777777" w:rsidR="007F65B1" w:rsidRPr="005F567E" w:rsidRDefault="007F65B1" w:rsidP="00B526E5">
            <w:pPr>
              <w:jc w:val="right"/>
              <w:rPr>
                <w:bCs/>
                <w:smallCaps/>
              </w:rPr>
            </w:pPr>
            <w:r w:rsidRPr="005F567E">
              <w:rPr>
                <w:bCs/>
                <w:smallCaps/>
              </w:rPr>
              <w:lastRenderedPageBreak/>
              <w:t>2.2.</w:t>
            </w:r>
            <w:r>
              <w:rPr>
                <w:bCs/>
                <w:smallCaps/>
              </w:rPr>
              <w:t>3</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2EDB" w14:textId="77777777" w:rsidR="007F65B1" w:rsidRPr="0033686B" w:rsidRDefault="007F65B1" w:rsidP="00B526E5">
            <w:r w:rsidRPr="0033686B">
              <w:t>Approche technique et organisationnelle proposée en réponse au scénario 3</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79A78DE7" w14:textId="77777777" w:rsidR="007F65B1" w:rsidRDefault="007F65B1" w:rsidP="00B526E5">
            <w:pPr>
              <w:jc w:val="center"/>
              <w:rPr>
                <w:smallCaps/>
              </w:rPr>
            </w:pPr>
            <w:r>
              <w:rPr>
                <w:smallCaps/>
              </w:rPr>
              <w:t>30%</w:t>
            </w:r>
          </w:p>
        </w:tc>
        <w:bookmarkStart w:id="184" w:name="_GoBack"/>
        <w:bookmarkEnd w:id="184"/>
      </w:tr>
      <w:tr w:rsidR="007F65B1" w:rsidRPr="005F567E" w14:paraId="09606E6F"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A6E6F5" w14:textId="77777777" w:rsidR="007F65B1" w:rsidRPr="005F567E" w:rsidRDefault="007F65B1" w:rsidP="00B526E5">
            <w:pPr>
              <w:jc w:val="right"/>
              <w:rPr>
                <w:bCs/>
                <w:smallCaps/>
              </w:rPr>
            </w:pPr>
            <w:r w:rsidRPr="005F567E">
              <w:rPr>
                <w:bCs/>
                <w:smallCaps/>
              </w:rPr>
              <w:t>2.2.</w:t>
            </w:r>
            <w:r>
              <w:rPr>
                <w:bCs/>
                <w:smallCaps/>
              </w:rPr>
              <w:t>4</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F734CD" w14:textId="77777777" w:rsidR="007F65B1" w:rsidRPr="005F567E" w:rsidRDefault="007F65B1" w:rsidP="00B526E5">
            <w:r>
              <w:t xml:space="preserve">Dispositif proposé pour permettre l’accroissement de 10% de la </w:t>
            </w:r>
            <w:r w:rsidRPr="005F567E">
              <w:t xml:space="preserve">capacité </w:t>
            </w:r>
            <w:r>
              <w:t>d’un CDC ou CDS avec 1 mois de prévenance</w:t>
            </w:r>
            <w:r w:rsidRPr="005F567E">
              <w:t xml:space="preserve"> </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0CB15040" w14:textId="77777777" w:rsidR="007F65B1" w:rsidRPr="005F567E" w:rsidRDefault="007F65B1" w:rsidP="00B526E5">
            <w:pPr>
              <w:jc w:val="center"/>
              <w:rPr>
                <w:smallCaps/>
              </w:rPr>
            </w:pPr>
            <w:r>
              <w:rPr>
                <w:smallCaps/>
              </w:rPr>
              <w:t>10%</w:t>
            </w:r>
          </w:p>
        </w:tc>
      </w:tr>
      <w:tr w:rsidR="007F65B1" w:rsidRPr="00234C5A" w14:paraId="7FFC78AB"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5379613B" w14:textId="77777777" w:rsidR="007F65B1" w:rsidRPr="00234C5A" w:rsidRDefault="007F65B1" w:rsidP="00B526E5">
            <w:pPr>
              <w:rPr>
                <w:b/>
                <w:bCs/>
                <w:smallCaps/>
                <w:color w:val="1F497D"/>
              </w:rPr>
            </w:pPr>
            <w:r w:rsidRPr="00234C5A">
              <w:rPr>
                <w:b/>
                <w:bCs/>
                <w:smallCaps/>
                <w:color w:val="1F497D"/>
              </w:rPr>
              <w:t>Sous-critère 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293E428" w14:textId="77777777" w:rsidR="007F65B1" w:rsidRPr="00234C5A" w:rsidRDefault="007F65B1" w:rsidP="00B526E5">
            <w:pPr>
              <w:rPr>
                <w:b/>
                <w:color w:val="1F497D"/>
              </w:rPr>
            </w:pPr>
            <w:r w:rsidRPr="00234C5A">
              <w:rPr>
                <w:b/>
                <w:color w:val="1F497D"/>
              </w:rPr>
              <w:t>Optimisation des moyens et ressources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EA4B690" w14:textId="77777777" w:rsidR="007F65B1" w:rsidRPr="00234C5A" w:rsidRDefault="007F65B1" w:rsidP="00B526E5">
            <w:pPr>
              <w:jc w:val="center"/>
              <w:rPr>
                <w:b/>
                <w:smallCaps/>
                <w:color w:val="1F497D"/>
              </w:rPr>
            </w:pPr>
            <w:r w:rsidRPr="00265806">
              <w:rPr>
                <w:b/>
                <w:smallCaps/>
              </w:rPr>
              <w:t>30%</w:t>
            </w:r>
          </w:p>
        </w:tc>
      </w:tr>
      <w:tr w:rsidR="007F65B1" w:rsidRPr="00C45B61" w14:paraId="1B78836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3AE2778" w14:textId="77777777" w:rsidR="007F65B1" w:rsidRPr="00234C5A" w:rsidRDefault="007F65B1" w:rsidP="00B526E5">
            <w:pPr>
              <w:jc w:val="right"/>
              <w:rPr>
                <w:bCs/>
                <w:smallCaps/>
              </w:rPr>
            </w:pPr>
            <w:r w:rsidRPr="00234C5A">
              <w:rPr>
                <w:bCs/>
                <w:smallCaps/>
              </w:rPr>
              <w:t>2.3.1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B2CD713" w14:textId="77777777" w:rsidR="007F65B1" w:rsidRPr="00134BFF" w:rsidRDefault="007F65B1" w:rsidP="00B526E5">
            <w:r>
              <w:t>Dispositif proposé pour assurer une forte réactivité dans la satisfaction des besoins entre l’expression dudit besoin et l’émission par la Cnam d’un bon de commande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243BB63" w14:textId="77777777" w:rsidR="007F65B1" w:rsidRPr="00A00910" w:rsidRDefault="007F65B1" w:rsidP="00B526E5">
            <w:pPr>
              <w:jc w:val="center"/>
              <w:rPr>
                <w:smallCaps/>
              </w:rPr>
            </w:pPr>
            <w:r w:rsidRPr="00A00910">
              <w:rPr>
                <w:smallCaps/>
              </w:rPr>
              <w:t>50%</w:t>
            </w:r>
          </w:p>
        </w:tc>
      </w:tr>
      <w:tr w:rsidR="007F65B1" w:rsidRPr="00C45B61" w14:paraId="2C81CDB3"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795505D6" w14:textId="77777777" w:rsidR="007F65B1" w:rsidRPr="00234C5A" w:rsidRDefault="007F65B1" w:rsidP="00B526E5">
            <w:pPr>
              <w:jc w:val="right"/>
              <w:rPr>
                <w:bCs/>
                <w:smallCaps/>
              </w:rPr>
            </w:pPr>
            <w:r w:rsidRPr="00234C5A">
              <w:rPr>
                <w:bCs/>
                <w:smallCaps/>
              </w:rPr>
              <w:t>2.3.2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DCDEEA2" w14:textId="77777777" w:rsidR="007F65B1" w:rsidRDefault="007F65B1" w:rsidP="00B526E5">
            <w:r>
              <w:t>Dispositif proposé</w:t>
            </w:r>
            <w:r w:rsidRPr="00C45B61">
              <w:t xml:space="preserve"> pour</w:t>
            </w:r>
            <w:r>
              <w:t xml:space="preserve"> la phase d’exécution des commandes (préparation en amont ou ad hoc d’intervenants acculturés à l’environnement SI assurance maladie)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0489B7C" w14:textId="77777777" w:rsidR="007F65B1" w:rsidRPr="00A00910" w:rsidRDefault="007F65B1" w:rsidP="00B526E5">
            <w:pPr>
              <w:jc w:val="center"/>
              <w:rPr>
                <w:smallCaps/>
              </w:rPr>
            </w:pPr>
            <w:r w:rsidRPr="00A00910">
              <w:rPr>
                <w:smallCaps/>
              </w:rPr>
              <w:t>50%</w:t>
            </w:r>
          </w:p>
        </w:tc>
      </w:tr>
      <w:tr w:rsidR="007F65B1" w:rsidRPr="00265806" w14:paraId="0F767974"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45C04827" w14:textId="77777777" w:rsidR="007F65B1" w:rsidRPr="00265806" w:rsidRDefault="007F65B1" w:rsidP="00B526E5">
            <w:pPr>
              <w:jc w:val="center"/>
              <w:rPr>
                <w:b/>
                <w:bCs/>
                <w:smallCaps/>
              </w:rPr>
            </w:pPr>
            <w:r w:rsidRPr="00265806">
              <w:rPr>
                <w:b/>
                <w:bCs/>
                <w:smallCaps/>
              </w:rPr>
              <w:t>3</w:t>
            </w:r>
          </w:p>
        </w:tc>
        <w:tc>
          <w:tcPr>
            <w:tcW w:w="6891"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7C9CE9D0" w14:textId="77777777" w:rsidR="007F65B1" w:rsidRPr="00265806" w:rsidRDefault="007F65B1" w:rsidP="00B526E5">
            <w:pPr>
              <w:rPr>
                <w:b/>
                <w:bCs/>
                <w:smallCaps/>
              </w:rPr>
            </w:pPr>
            <w:r w:rsidRPr="00265806">
              <w:rPr>
                <w:b/>
                <w:bCs/>
                <w:smallCaps/>
              </w:rPr>
              <w:t xml:space="preserve">Coût </w:t>
            </w:r>
          </w:p>
        </w:tc>
        <w:tc>
          <w:tcPr>
            <w:tcW w:w="1516"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2AC2D51D" w14:textId="77777777" w:rsidR="007F65B1" w:rsidRPr="00265806" w:rsidRDefault="007F65B1" w:rsidP="00B526E5">
            <w:pPr>
              <w:jc w:val="center"/>
              <w:rPr>
                <w:b/>
                <w:bCs/>
                <w:smallCaps/>
              </w:rPr>
            </w:pPr>
            <w:r w:rsidRPr="00265806">
              <w:rPr>
                <w:b/>
                <w:bCs/>
                <w:smallCaps/>
              </w:rPr>
              <w:t>40%</w:t>
            </w:r>
          </w:p>
        </w:tc>
      </w:tr>
      <w:tr w:rsidR="007F65B1" w:rsidRPr="00265806" w14:paraId="1C0B2A67"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auto"/>
            <w:vAlign w:val="center"/>
          </w:tcPr>
          <w:p w14:paraId="4F1E084B" w14:textId="2A3F9E16" w:rsidR="007F65B1" w:rsidRPr="00265806" w:rsidRDefault="007F65B1" w:rsidP="00B526E5">
            <w:pPr>
              <w:rPr>
                <w:b/>
                <w:bCs/>
                <w:smallCaps/>
                <w:color w:val="1F497D"/>
              </w:rPr>
            </w:pPr>
          </w:p>
        </w:tc>
        <w:tc>
          <w:tcPr>
            <w:tcW w:w="6891" w:type="dxa"/>
            <w:tcBorders>
              <w:top w:val="single" w:sz="4" w:space="0" w:color="auto"/>
              <w:left w:val="single" w:sz="4" w:space="0" w:color="auto"/>
              <w:bottom w:val="single" w:sz="4" w:space="0" w:color="auto"/>
              <w:right w:val="single" w:sz="4" w:space="0" w:color="000000"/>
            </w:tcBorders>
            <w:shd w:val="clear" w:color="auto" w:fill="auto"/>
            <w:vAlign w:val="center"/>
          </w:tcPr>
          <w:p w14:paraId="4E310514" w14:textId="68C7C968" w:rsidR="007F65B1" w:rsidRPr="00265806" w:rsidRDefault="007F65B1" w:rsidP="00A2763B">
            <w:pPr>
              <w:rPr>
                <w:b/>
                <w:bCs/>
                <w:smallCaps/>
                <w:color w:val="1F497D"/>
              </w:rPr>
            </w:pPr>
            <w:r w:rsidRPr="00265806">
              <w:rPr>
                <w:b/>
                <w:bCs/>
                <w:smallCaps/>
                <w:color w:val="1F497D"/>
              </w:rPr>
              <w:t xml:space="preserve">Coût total estimé (simulation des UO sur la durée totale du marché + </w:t>
            </w:r>
            <w:r w:rsidR="00A2763B">
              <w:rPr>
                <w:b/>
                <w:bCs/>
                <w:smallCaps/>
                <w:color w:val="1F497D"/>
              </w:rPr>
              <w:t>coût scenarii</w:t>
            </w:r>
            <w:r w:rsidR="000F7C3C" w:rsidRPr="000F7C3C">
              <w:rPr>
                <w:b/>
                <w:bCs/>
                <w:smallCaps/>
                <w:color w:val="1F497D"/>
              </w:rPr>
              <w:t xml:space="preserve"> (</w:t>
            </w:r>
            <w:r w:rsidR="00A2763B">
              <w:rPr>
                <w:b/>
                <w:bCs/>
                <w:smallCaps/>
                <w:color w:val="1F497D"/>
              </w:rPr>
              <w:t>mise en place du</w:t>
            </w:r>
            <w:r w:rsidR="000F7C3C" w:rsidRPr="000F7C3C">
              <w:rPr>
                <w:b/>
                <w:bCs/>
                <w:smallCaps/>
                <w:color w:val="1F497D"/>
              </w:rPr>
              <w:t xml:space="preserve"> CDC/CDS)</w:t>
            </w:r>
            <w:r w:rsidR="00A2763B">
              <w:rPr>
                <w:b/>
                <w:bCs/>
                <w:smallCaps/>
                <w:color w:val="1F497D"/>
              </w:rPr>
              <w:t xml:space="preserve"> </w:t>
            </w:r>
            <w:r w:rsidR="000F7C3C" w:rsidRPr="000F7C3C">
              <w:rPr>
                <w:b/>
                <w:bCs/>
                <w:smallCaps/>
                <w:color w:val="1F497D"/>
              </w:rPr>
              <w:t>+</w:t>
            </w:r>
            <w:r w:rsidR="00A2763B">
              <w:rPr>
                <w:b/>
                <w:bCs/>
                <w:smallCaps/>
                <w:color w:val="1F497D"/>
              </w:rPr>
              <w:t xml:space="preserve"> coût des</w:t>
            </w:r>
            <w:r w:rsidR="000F7C3C" w:rsidRPr="000F7C3C">
              <w:rPr>
                <w:b/>
                <w:bCs/>
                <w:smallCaps/>
                <w:color w:val="1F497D"/>
              </w:rPr>
              <w:t xml:space="preserve"> UO </w:t>
            </w:r>
            <w:r w:rsidR="00A2763B">
              <w:rPr>
                <w:b/>
                <w:bCs/>
                <w:smallCaps/>
                <w:color w:val="1F497D"/>
              </w:rPr>
              <w:t>en</w:t>
            </w:r>
            <w:r w:rsidR="000F7C3C" w:rsidRPr="000F7C3C">
              <w:rPr>
                <w:b/>
                <w:bCs/>
                <w:smallCaps/>
                <w:color w:val="1F497D"/>
              </w:rPr>
              <w:t xml:space="preserve"> CDC/CDS </w:t>
            </w:r>
            <w:r w:rsidR="00A2763B">
              <w:rPr>
                <w:b/>
                <w:bCs/>
                <w:smallCaps/>
                <w:color w:val="1F497D"/>
              </w:rPr>
              <w:t>sur la durée totale du marché</w:t>
            </w:r>
            <w:r w:rsidR="000F7C3C" w:rsidRPr="000F7C3C">
              <w:rPr>
                <w:b/>
                <w:bCs/>
                <w:smallCaps/>
                <w:color w:val="1F497D"/>
              </w:rPr>
              <w:t>)</w:t>
            </w:r>
            <w:r w:rsidR="000F7C3C">
              <w:rPr>
                <w:b/>
                <w:bCs/>
                <w:smallCaps/>
                <w:color w:val="1F497D"/>
              </w:rPr>
              <w:t xml:space="preserve"> + </w:t>
            </w:r>
            <w:r w:rsidRPr="00265806">
              <w:rPr>
                <w:b/>
                <w:bCs/>
                <w:smallCaps/>
                <w:color w:val="1F497D"/>
              </w:rPr>
              <w:t>part forfaitaire + tranche optionnelle)</w:t>
            </w:r>
          </w:p>
        </w:tc>
        <w:tc>
          <w:tcPr>
            <w:tcW w:w="1516" w:type="dxa"/>
            <w:tcBorders>
              <w:top w:val="single" w:sz="4" w:space="0" w:color="auto"/>
              <w:left w:val="nil"/>
              <w:bottom w:val="single" w:sz="4" w:space="0" w:color="auto"/>
              <w:right w:val="single" w:sz="4" w:space="0" w:color="auto"/>
            </w:tcBorders>
            <w:shd w:val="clear" w:color="auto" w:fill="auto"/>
            <w:vAlign w:val="center"/>
          </w:tcPr>
          <w:p w14:paraId="499CB651" w14:textId="4E5173B0" w:rsidR="007F65B1" w:rsidRPr="00265806" w:rsidRDefault="007F65B1" w:rsidP="00B526E5">
            <w:pPr>
              <w:jc w:val="center"/>
              <w:rPr>
                <w:b/>
                <w:bCs/>
                <w:smallCaps/>
              </w:rPr>
            </w:pPr>
          </w:p>
        </w:tc>
      </w:tr>
    </w:tbl>
    <w:p w14:paraId="0B7E1E3E" w14:textId="6700CA55" w:rsidR="00547801" w:rsidRDefault="00547801" w:rsidP="00636FE1"/>
    <w:p w14:paraId="0F82BC37" w14:textId="223024CA" w:rsidR="00547801" w:rsidRDefault="00547801" w:rsidP="00547801">
      <w:pPr>
        <w:pStyle w:val="Titre3"/>
      </w:pPr>
      <w:bookmarkStart w:id="185" w:name="_Toc187833062"/>
      <w:bookmarkStart w:id="186" w:name="_Toc211257315"/>
      <w:r>
        <w:t xml:space="preserve">Lot </w:t>
      </w:r>
      <w:bookmarkEnd w:id="185"/>
      <w:r w:rsidR="003126D2">
        <w:t>3</w:t>
      </w:r>
      <w:bookmarkEnd w:id="186"/>
    </w:p>
    <w:tbl>
      <w:tblPr>
        <w:tblW w:w="10349" w:type="dxa"/>
        <w:jc w:val="center"/>
        <w:shd w:val="clear" w:color="auto" w:fill="FFFFFF"/>
        <w:tblCellMar>
          <w:left w:w="70" w:type="dxa"/>
          <w:right w:w="70" w:type="dxa"/>
        </w:tblCellMar>
        <w:tblLook w:val="0000" w:firstRow="0" w:lastRow="0" w:firstColumn="0" w:lastColumn="0" w:noHBand="0" w:noVBand="0"/>
      </w:tblPr>
      <w:tblGrid>
        <w:gridCol w:w="1942"/>
        <w:gridCol w:w="6891"/>
        <w:gridCol w:w="1516"/>
      </w:tblGrid>
      <w:tr w:rsidR="007F65B1" w:rsidRPr="00C45B61" w14:paraId="2C9EAEB5"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333399"/>
            <w:vAlign w:val="center"/>
          </w:tcPr>
          <w:p w14:paraId="7AE16553" w14:textId="77777777" w:rsidR="007F65B1" w:rsidRPr="00C45B61" w:rsidRDefault="007F65B1" w:rsidP="00B526E5">
            <w:pPr>
              <w:jc w:val="center"/>
              <w:rPr>
                <w:b/>
                <w:bCs/>
                <w:caps/>
                <w:color w:val="FFFFFF"/>
              </w:rPr>
            </w:pPr>
            <w:r w:rsidRPr="00C45B61">
              <w:rPr>
                <w:b/>
                <w:bCs/>
                <w:caps/>
                <w:color w:val="FFFFFF"/>
              </w:rPr>
              <w:t>Critère</w:t>
            </w:r>
          </w:p>
        </w:tc>
        <w:tc>
          <w:tcPr>
            <w:tcW w:w="6891" w:type="dxa"/>
            <w:tcBorders>
              <w:top w:val="single" w:sz="4" w:space="0" w:color="auto"/>
              <w:left w:val="single" w:sz="4" w:space="0" w:color="auto"/>
              <w:bottom w:val="single" w:sz="4" w:space="0" w:color="auto"/>
              <w:right w:val="single" w:sz="4" w:space="0" w:color="auto"/>
            </w:tcBorders>
            <w:shd w:val="clear" w:color="auto" w:fill="333399"/>
            <w:vAlign w:val="center"/>
          </w:tcPr>
          <w:p w14:paraId="33F910A6" w14:textId="77777777" w:rsidR="007F65B1" w:rsidRPr="00C45B61" w:rsidRDefault="007F65B1" w:rsidP="00B526E5">
            <w:pPr>
              <w:jc w:val="center"/>
              <w:rPr>
                <w:b/>
                <w:bCs/>
                <w:caps/>
                <w:color w:val="FFFFFF"/>
              </w:rPr>
            </w:pPr>
            <w:r w:rsidRPr="00C45B61">
              <w:rPr>
                <w:b/>
                <w:bCs/>
                <w:caps/>
                <w:color w:val="FFFFFF"/>
              </w:rPr>
              <w:t>Intitulé</w:t>
            </w:r>
          </w:p>
        </w:tc>
        <w:tc>
          <w:tcPr>
            <w:tcW w:w="1516" w:type="dxa"/>
            <w:tcBorders>
              <w:top w:val="single" w:sz="4" w:space="0" w:color="auto"/>
              <w:left w:val="nil"/>
              <w:bottom w:val="single" w:sz="4" w:space="0" w:color="auto"/>
              <w:right w:val="single" w:sz="4" w:space="0" w:color="auto"/>
            </w:tcBorders>
            <w:shd w:val="clear" w:color="auto" w:fill="333399"/>
            <w:noWrap/>
            <w:vAlign w:val="center"/>
          </w:tcPr>
          <w:p w14:paraId="75006E91" w14:textId="77777777" w:rsidR="007F65B1" w:rsidRPr="00C45B61" w:rsidRDefault="007F65B1" w:rsidP="00B526E5">
            <w:pPr>
              <w:jc w:val="center"/>
              <w:rPr>
                <w:b/>
                <w:caps/>
                <w:color w:val="FFFFFF"/>
              </w:rPr>
            </w:pPr>
            <w:r w:rsidRPr="00C45B61">
              <w:rPr>
                <w:b/>
                <w:caps/>
                <w:color w:val="FFFFFF"/>
              </w:rPr>
              <w:t>Pondération</w:t>
            </w:r>
          </w:p>
        </w:tc>
      </w:tr>
      <w:tr w:rsidR="007F65B1" w:rsidRPr="00C45B61" w14:paraId="520D781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EA11D4F" w14:textId="77777777" w:rsidR="007F65B1" w:rsidRPr="00C45B61" w:rsidRDefault="007F65B1" w:rsidP="00B526E5">
            <w:pPr>
              <w:jc w:val="center"/>
              <w:rPr>
                <w:b/>
                <w:bCs/>
                <w:smallCaps/>
              </w:rPr>
            </w:pPr>
            <w:r w:rsidRPr="00C45B61">
              <w:rPr>
                <w:b/>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5EE4B72" w14:textId="77777777" w:rsidR="007F65B1" w:rsidRPr="00C45B61" w:rsidRDefault="007F65B1" w:rsidP="00B526E5">
            <w:pPr>
              <w:rPr>
                <w:b/>
                <w:bCs/>
                <w:smallCaps/>
              </w:rPr>
            </w:pPr>
            <w:r w:rsidRPr="00C45B61">
              <w:rPr>
                <w:b/>
                <w:bCs/>
                <w:smallCaps/>
              </w:rPr>
              <w:t>Organisation générale et pilotage du marché</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1D135E6" w14:textId="77777777" w:rsidR="007F65B1" w:rsidRPr="00C45B61" w:rsidRDefault="007F65B1" w:rsidP="00B526E5">
            <w:pPr>
              <w:jc w:val="center"/>
              <w:rPr>
                <w:b/>
                <w:smallCaps/>
              </w:rPr>
            </w:pPr>
            <w:r>
              <w:rPr>
                <w:b/>
                <w:smallCaps/>
              </w:rPr>
              <w:t>15</w:t>
            </w:r>
            <w:r w:rsidRPr="00C45B61">
              <w:rPr>
                <w:b/>
                <w:smallCaps/>
              </w:rPr>
              <w:t>%</w:t>
            </w:r>
          </w:p>
        </w:tc>
      </w:tr>
      <w:tr w:rsidR="007F65B1" w:rsidRPr="00234C5A" w14:paraId="3259281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9C50BC2" w14:textId="77777777" w:rsidR="007F65B1" w:rsidRPr="00234C5A" w:rsidRDefault="007F65B1" w:rsidP="00B526E5">
            <w:pPr>
              <w:rPr>
                <w:b/>
                <w:bCs/>
                <w:smallCaps/>
                <w:color w:val="1F497D"/>
              </w:rPr>
            </w:pPr>
            <w:r w:rsidRPr="00234C5A">
              <w:rPr>
                <w:b/>
                <w:bCs/>
                <w:smallCaps/>
                <w:color w:val="1F497D"/>
              </w:rPr>
              <w:t>Sous-critère 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760F68E" w14:textId="77777777" w:rsidR="007F65B1" w:rsidRPr="00234C5A" w:rsidRDefault="007F65B1" w:rsidP="00B526E5">
            <w:pPr>
              <w:rPr>
                <w:b/>
                <w:bCs/>
                <w:smallCaps/>
                <w:color w:val="1F497D"/>
              </w:rPr>
            </w:pPr>
            <w:r w:rsidRPr="00234C5A">
              <w:rPr>
                <w:b/>
                <w:color w:val="1F497D"/>
              </w:rPr>
              <w:t>Organisation générale mise en place pour le marché et la méthode de pilotage globale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6DDF80B2" w14:textId="77777777" w:rsidR="007F65B1" w:rsidRPr="00DE007D" w:rsidRDefault="007F65B1" w:rsidP="00B526E5">
            <w:pPr>
              <w:jc w:val="center"/>
              <w:rPr>
                <w:b/>
                <w:smallCaps/>
                <w:color w:val="1F497D"/>
                <w:highlight w:val="yellow"/>
              </w:rPr>
            </w:pPr>
            <w:r>
              <w:rPr>
                <w:b/>
                <w:smallCaps/>
                <w:color w:val="1F497D"/>
              </w:rPr>
              <w:t>40</w:t>
            </w:r>
            <w:r w:rsidRPr="00B117E6">
              <w:rPr>
                <w:b/>
                <w:smallCaps/>
                <w:color w:val="1F497D"/>
              </w:rPr>
              <w:t>%</w:t>
            </w:r>
          </w:p>
        </w:tc>
      </w:tr>
      <w:tr w:rsidR="007F65B1" w:rsidRPr="00C45B61" w14:paraId="5205BA9A"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1631AAD" w14:textId="77777777" w:rsidR="007F65B1" w:rsidRPr="00C45B61" w:rsidRDefault="007F65B1" w:rsidP="00B526E5">
            <w:pPr>
              <w:jc w:val="right"/>
              <w:rPr>
                <w:bCs/>
                <w:smallCaps/>
              </w:rPr>
            </w:pPr>
            <w:r w:rsidRPr="00C45B61">
              <w:rPr>
                <w:bCs/>
                <w:smallCaps/>
              </w:rPr>
              <w:t>1.1.1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203140B" w14:textId="77777777" w:rsidR="007F65B1" w:rsidRPr="00C45B61" w:rsidRDefault="007F65B1" w:rsidP="00B526E5">
            <w:r w:rsidRPr="00C45B61">
              <w:t>Description de l’organisation générale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B24E8D9" w14:textId="77777777" w:rsidR="007F65B1" w:rsidRPr="00C45B61" w:rsidRDefault="007F65B1" w:rsidP="00B526E5">
            <w:pPr>
              <w:jc w:val="center"/>
              <w:rPr>
                <w:smallCaps/>
              </w:rPr>
            </w:pPr>
            <w:r>
              <w:rPr>
                <w:smallCaps/>
              </w:rPr>
              <w:t>30%</w:t>
            </w:r>
          </w:p>
        </w:tc>
      </w:tr>
      <w:tr w:rsidR="007F65B1" w:rsidRPr="00C45B61" w14:paraId="0EECAD7B"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40D483D5" w14:textId="77777777" w:rsidR="007F65B1" w:rsidRPr="00C45B61" w:rsidRDefault="007F65B1" w:rsidP="00B526E5">
            <w:pPr>
              <w:jc w:val="right"/>
              <w:rPr>
                <w:bCs/>
                <w:smallCaps/>
              </w:rPr>
            </w:pPr>
            <w:r w:rsidRPr="00C45B61">
              <w:rPr>
                <w:bCs/>
                <w:smallCaps/>
              </w:rPr>
              <w:t>1.1.2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3D24CB5" w14:textId="77777777" w:rsidR="007F65B1" w:rsidRPr="00C45B61" w:rsidRDefault="007F65B1" w:rsidP="00B526E5">
            <w:r>
              <w:t>Méthode</w:t>
            </w:r>
            <w:r w:rsidRPr="00C45B61">
              <w:t xml:space="preserve"> de pilotage, moyens et outils de suivi</w:t>
            </w:r>
            <w:r>
              <w:t xml:space="preserve"> du marché et des prestations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25D59CCA" w14:textId="77777777" w:rsidR="007F65B1" w:rsidRPr="00C45B61" w:rsidRDefault="007F65B1" w:rsidP="00B526E5">
            <w:pPr>
              <w:jc w:val="center"/>
              <w:rPr>
                <w:smallCaps/>
              </w:rPr>
            </w:pPr>
            <w:r>
              <w:rPr>
                <w:smallCaps/>
              </w:rPr>
              <w:t>70%</w:t>
            </w:r>
          </w:p>
        </w:tc>
      </w:tr>
      <w:tr w:rsidR="007F65B1" w:rsidRPr="00234C5A" w14:paraId="299C29BE"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8C7EEB9" w14:textId="77777777" w:rsidR="007F65B1" w:rsidRPr="00234C5A" w:rsidRDefault="007F65B1" w:rsidP="00B526E5">
            <w:pPr>
              <w:rPr>
                <w:b/>
                <w:bCs/>
                <w:smallCaps/>
                <w:color w:val="1F497D"/>
              </w:rPr>
            </w:pPr>
            <w:r w:rsidRPr="00234C5A">
              <w:rPr>
                <w:b/>
                <w:bCs/>
                <w:smallCaps/>
                <w:color w:val="1F497D"/>
              </w:rPr>
              <w:t>Sous-critère 1.2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91DFB0A" w14:textId="77777777" w:rsidR="007F65B1" w:rsidRPr="00234C5A" w:rsidRDefault="007F65B1" w:rsidP="00B526E5">
            <w:pPr>
              <w:rPr>
                <w:b/>
                <w:color w:val="1F497D"/>
              </w:rPr>
            </w:pPr>
            <w:r w:rsidRPr="00234C5A">
              <w:rPr>
                <w:b/>
                <w:color w:val="1F497D"/>
              </w:rPr>
              <w:t>Processus Qualité</w:t>
            </w:r>
          </w:p>
        </w:tc>
        <w:tc>
          <w:tcPr>
            <w:tcW w:w="1516" w:type="dxa"/>
            <w:tcBorders>
              <w:top w:val="single" w:sz="4" w:space="0" w:color="auto"/>
              <w:left w:val="nil"/>
              <w:bottom w:val="single" w:sz="4" w:space="0" w:color="auto"/>
              <w:right w:val="single" w:sz="4" w:space="0" w:color="auto"/>
            </w:tcBorders>
            <w:shd w:val="clear" w:color="auto" w:fill="auto"/>
            <w:noWrap/>
            <w:vAlign w:val="center"/>
          </w:tcPr>
          <w:p w14:paraId="2E345B37" w14:textId="77777777" w:rsidR="007F65B1" w:rsidRPr="00234C5A" w:rsidRDefault="007F65B1" w:rsidP="00B526E5">
            <w:pPr>
              <w:jc w:val="center"/>
              <w:rPr>
                <w:b/>
                <w:smallCaps/>
                <w:color w:val="1F497D"/>
              </w:rPr>
            </w:pPr>
            <w:r>
              <w:rPr>
                <w:b/>
                <w:smallCaps/>
                <w:color w:val="1F497D"/>
              </w:rPr>
              <w:t>55</w:t>
            </w:r>
            <w:r w:rsidRPr="00B117E6">
              <w:rPr>
                <w:b/>
                <w:smallCaps/>
                <w:color w:val="1F497D"/>
              </w:rPr>
              <w:t>%</w:t>
            </w:r>
          </w:p>
        </w:tc>
      </w:tr>
      <w:tr w:rsidR="007F65B1" w:rsidRPr="00C45B61" w14:paraId="622F4D8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6FA32EA" w14:textId="77777777" w:rsidR="007F65B1" w:rsidRPr="00C45B61" w:rsidRDefault="007F65B1" w:rsidP="00B526E5">
            <w:pPr>
              <w:jc w:val="right"/>
              <w:rPr>
                <w:bCs/>
                <w:smallCaps/>
              </w:rPr>
            </w:pPr>
            <w:r w:rsidRPr="00C45B61">
              <w:rPr>
                <w:bCs/>
                <w:smallCaps/>
              </w:rPr>
              <w:t>1.2.1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2780337F" w14:textId="77777777" w:rsidR="007F65B1" w:rsidRPr="00C45B61" w:rsidRDefault="007F65B1" w:rsidP="00B526E5">
            <w:pPr>
              <w:tabs>
                <w:tab w:val="left" w:pos="4068"/>
                <w:tab w:val="left" w:pos="7275"/>
                <w:tab w:val="left" w:pos="8261"/>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Pertinence des indicateurs qualité et des engagements proposés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7C44459B" w14:textId="77777777" w:rsidR="007F65B1" w:rsidRPr="00C45B61" w:rsidRDefault="007F65B1" w:rsidP="00B526E5">
            <w:pPr>
              <w:jc w:val="center"/>
              <w:rPr>
                <w:smallCaps/>
              </w:rPr>
            </w:pPr>
            <w:r>
              <w:rPr>
                <w:smallCaps/>
              </w:rPr>
              <w:t>40%</w:t>
            </w:r>
          </w:p>
        </w:tc>
      </w:tr>
      <w:tr w:rsidR="007F65B1" w:rsidRPr="00C45B61" w14:paraId="03C20105"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4BBE4EEB" w14:textId="77777777" w:rsidR="007F65B1" w:rsidRPr="00C45B61" w:rsidRDefault="007F65B1" w:rsidP="00B526E5">
            <w:pPr>
              <w:jc w:val="right"/>
              <w:rPr>
                <w:bCs/>
                <w:smallCaps/>
              </w:rPr>
            </w:pPr>
            <w:r w:rsidRPr="00C45B61">
              <w:rPr>
                <w:bCs/>
                <w:smallCaps/>
              </w:rPr>
              <w:t>1.2.2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EE67884" w14:textId="77777777" w:rsidR="007F65B1" w:rsidRPr="00C45B61" w:rsidRDefault="007F65B1" w:rsidP="00B526E5">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Pr>
                <w:rFonts w:eastAsia="Times New Roman"/>
                <w:spacing w:val="-5"/>
                <w:lang w:eastAsia="fr-FR"/>
              </w:rPr>
              <w:t>Pertinence du contenu du</w:t>
            </w:r>
            <w:r w:rsidRPr="00C45B61">
              <w:rPr>
                <w:rFonts w:eastAsia="Times New Roman"/>
                <w:spacing w:val="-5"/>
                <w:lang w:eastAsia="fr-FR"/>
              </w:rPr>
              <w:t xml:space="preserve"> </w:t>
            </w:r>
            <w:r>
              <w:rPr>
                <w:rFonts w:eastAsia="Times New Roman"/>
                <w:spacing w:val="-5"/>
                <w:lang w:eastAsia="fr-FR"/>
              </w:rPr>
              <w:t>Plan d’Assurance Qualité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4AAA566A" w14:textId="77777777" w:rsidR="007F65B1" w:rsidRPr="00C45B61" w:rsidRDefault="007F65B1" w:rsidP="00B526E5">
            <w:pPr>
              <w:jc w:val="center"/>
              <w:rPr>
                <w:smallCaps/>
              </w:rPr>
            </w:pPr>
            <w:r>
              <w:rPr>
                <w:smallCaps/>
              </w:rPr>
              <w:t>40%</w:t>
            </w:r>
          </w:p>
        </w:tc>
      </w:tr>
      <w:tr w:rsidR="007F65B1" w:rsidRPr="00C45B61" w14:paraId="5AF66033"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44ADCE7E" w14:textId="77777777" w:rsidR="007F65B1" w:rsidRPr="00C45B61" w:rsidRDefault="007F65B1" w:rsidP="00B526E5">
            <w:pPr>
              <w:jc w:val="right"/>
              <w:rPr>
                <w:bCs/>
                <w:smallCaps/>
              </w:rPr>
            </w:pPr>
            <w:r w:rsidRPr="00C45B61">
              <w:rPr>
                <w:bCs/>
                <w:smallCaps/>
              </w:rPr>
              <w:t>1.2.3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AD7A205" w14:textId="77777777" w:rsidR="007F65B1" w:rsidRPr="00C45B61" w:rsidRDefault="007F65B1" w:rsidP="00B526E5">
            <w:pPr>
              <w:tabs>
                <w:tab w:val="left" w:pos="0"/>
              </w:tabs>
              <w:overflowPunct w:val="0"/>
              <w:autoSpaceDE w:val="0"/>
              <w:autoSpaceDN w:val="0"/>
              <w:adjustRightInd w:val="0"/>
              <w:textAlignment w:val="baseline"/>
              <w:rPr>
                <w:rFonts w:ascii="Verdana" w:eastAsia="Times New Roman" w:hAnsi="Verdana" w:cs="Verdana"/>
                <w:spacing w:val="-5"/>
                <w:sz w:val="20"/>
                <w:szCs w:val="20"/>
                <w:lang w:eastAsia="fr-FR"/>
              </w:rPr>
            </w:pPr>
            <w:r w:rsidRPr="00C45B61">
              <w:rPr>
                <w:rFonts w:eastAsia="Times New Roman"/>
                <w:spacing w:val="-5"/>
                <w:lang w:eastAsia="fr-FR"/>
              </w:rPr>
              <w:t>Qualité des documents type à présenter en comitologie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1D6F8963" w14:textId="77777777" w:rsidR="007F65B1" w:rsidRPr="00C45B61" w:rsidRDefault="007F65B1" w:rsidP="00B526E5">
            <w:pPr>
              <w:jc w:val="center"/>
              <w:rPr>
                <w:smallCaps/>
              </w:rPr>
            </w:pPr>
            <w:r>
              <w:rPr>
                <w:smallCaps/>
              </w:rPr>
              <w:t>20%</w:t>
            </w:r>
          </w:p>
        </w:tc>
      </w:tr>
      <w:tr w:rsidR="007F65B1" w:rsidRPr="00234C5A" w14:paraId="3E81327B"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38D55813" w14:textId="77777777" w:rsidR="007F65B1" w:rsidRPr="00234C5A" w:rsidRDefault="007F65B1" w:rsidP="00B526E5">
            <w:pPr>
              <w:rPr>
                <w:b/>
                <w:bCs/>
                <w:smallCaps/>
                <w:color w:val="1F497D"/>
              </w:rPr>
            </w:pPr>
            <w:r w:rsidRPr="00234C5A">
              <w:rPr>
                <w:b/>
                <w:bCs/>
                <w:smallCaps/>
                <w:color w:val="1F497D"/>
              </w:rPr>
              <w:t>Sous-critère 1.3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6BA098AE" w14:textId="77777777" w:rsidR="007F65B1" w:rsidRPr="004D3434" w:rsidRDefault="007F65B1" w:rsidP="00B526E5">
            <w:pPr>
              <w:rPr>
                <w:b/>
                <w:color w:val="1F497D"/>
              </w:rPr>
            </w:pPr>
            <w:r w:rsidRPr="002A7F97">
              <w:rPr>
                <w:b/>
                <w:color w:val="1F497D"/>
              </w:rPr>
              <w:t xml:space="preserve">Méthodologie proposée pour </w:t>
            </w:r>
            <w:r w:rsidRPr="004D3434">
              <w:rPr>
                <w:b/>
                <w:color w:val="1F497D"/>
              </w:rPr>
              <w:t>réaliser un PCA et un PRA concernant les activités confiées par la Cnam</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0B0E4BDE" w14:textId="77777777" w:rsidR="007F65B1" w:rsidRPr="00234C5A" w:rsidRDefault="007F65B1" w:rsidP="00B526E5">
            <w:pPr>
              <w:jc w:val="center"/>
              <w:rPr>
                <w:b/>
                <w:smallCaps/>
                <w:color w:val="1F497D"/>
              </w:rPr>
            </w:pPr>
            <w:r w:rsidRPr="00B117E6">
              <w:rPr>
                <w:b/>
                <w:smallCaps/>
                <w:color w:val="1F497D"/>
              </w:rPr>
              <w:t>5%</w:t>
            </w:r>
          </w:p>
        </w:tc>
      </w:tr>
      <w:tr w:rsidR="007F65B1" w:rsidRPr="00C45B61" w14:paraId="7E0EE6D0"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D7A6050" w14:textId="77777777" w:rsidR="007F65B1" w:rsidRPr="00C45B61" w:rsidRDefault="007F65B1" w:rsidP="00B526E5">
            <w:pPr>
              <w:jc w:val="center"/>
              <w:rPr>
                <w:b/>
                <w:bCs/>
                <w:smallCaps/>
              </w:rPr>
            </w:pPr>
            <w:r w:rsidRPr="00C45B61">
              <w:rPr>
                <w:b/>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ACDCFC7" w14:textId="77777777" w:rsidR="007F65B1" w:rsidRPr="00C45B61" w:rsidRDefault="007F65B1" w:rsidP="00B526E5">
            <w:pPr>
              <w:rPr>
                <w:b/>
                <w:bCs/>
                <w:smallCaps/>
              </w:rPr>
            </w:pPr>
            <w:r w:rsidRPr="00C45B61">
              <w:rPr>
                <w:b/>
                <w:bCs/>
                <w:smallCaps/>
              </w:rPr>
              <w:t>Méthodologie proposée pour la réalisation des prestations</w:t>
            </w:r>
          </w:p>
        </w:tc>
        <w:tc>
          <w:tcPr>
            <w:tcW w:w="1516"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4A8E2BB" w14:textId="77777777" w:rsidR="007F65B1" w:rsidRPr="00C45B61" w:rsidRDefault="007F65B1" w:rsidP="00B526E5">
            <w:pPr>
              <w:jc w:val="center"/>
              <w:rPr>
                <w:b/>
                <w:smallCaps/>
              </w:rPr>
            </w:pPr>
            <w:r>
              <w:rPr>
                <w:b/>
                <w:smallCaps/>
              </w:rPr>
              <w:t>45</w:t>
            </w:r>
            <w:r w:rsidRPr="00C45B61">
              <w:rPr>
                <w:b/>
                <w:smallCaps/>
              </w:rPr>
              <w:t>%</w:t>
            </w:r>
          </w:p>
        </w:tc>
      </w:tr>
      <w:tr w:rsidR="007F65B1" w:rsidRPr="00234C5A" w14:paraId="1E1E74E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CB9B353" w14:textId="77777777" w:rsidR="007F65B1" w:rsidRPr="00234C5A" w:rsidRDefault="007F65B1" w:rsidP="00B526E5">
            <w:pPr>
              <w:rPr>
                <w:b/>
                <w:bCs/>
                <w:smallCaps/>
                <w:color w:val="1F497D"/>
              </w:rPr>
            </w:pPr>
            <w:r w:rsidRPr="00234C5A">
              <w:rPr>
                <w:b/>
                <w:bCs/>
                <w:smallCaps/>
                <w:color w:val="1F497D"/>
              </w:rPr>
              <w:t>Sous-critère 2.1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B213113" w14:textId="77777777" w:rsidR="007F65B1" w:rsidRPr="00234C5A" w:rsidRDefault="007F65B1" w:rsidP="00B526E5">
            <w:pPr>
              <w:rPr>
                <w:b/>
                <w:color w:val="1F497D"/>
              </w:rPr>
            </w:pPr>
            <w:r w:rsidRPr="00234C5A">
              <w:rPr>
                <w:b/>
                <w:color w:val="1F497D"/>
              </w:rPr>
              <w:t>Gestion de la connaissance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63646909" w14:textId="77777777" w:rsidR="007F65B1" w:rsidRPr="00234C5A" w:rsidRDefault="007F65B1" w:rsidP="00B526E5">
            <w:pPr>
              <w:jc w:val="center"/>
              <w:rPr>
                <w:b/>
                <w:smallCaps/>
                <w:color w:val="1F497D"/>
              </w:rPr>
            </w:pPr>
            <w:r>
              <w:rPr>
                <w:b/>
                <w:smallCaps/>
                <w:color w:val="1F497D"/>
              </w:rPr>
              <w:t>3</w:t>
            </w:r>
            <w:r w:rsidRPr="00234C5A">
              <w:rPr>
                <w:b/>
                <w:smallCaps/>
                <w:color w:val="1F497D"/>
              </w:rPr>
              <w:t>0%</w:t>
            </w:r>
          </w:p>
        </w:tc>
      </w:tr>
      <w:tr w:rsidR="007F65B1" w:rsidRPr="00C45B61" w14:paraId="0F508F41"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1176CA30" w14:textId="77777777" w:rsidR="007F65B1" w:rsidRPr="00C45B61" w:rsidRDefault="007F65B1" w:rsidP="00B526E5">
            <w:pPr>
              <w:jc w:val="right"/>
              <w:rPr>
                <w:bCs/>
                <w:smallCaps/>
              </w:rPr>
            </w:pPr>
            <w:r w:rsidRPr="00C45B61">
              <w:rPr>
                <w:bCs/>
                <w:smallCaps/>
              </w:rPr>
              <w:lastRenderedPageBreak/>
              <w:t>2.</w:t>
            </w:r>
            <w:r>
              <w:rPr>
                <w:bCs/>
                <w:smallCaps/>
              </w:rPr>
              <w:t>1</w:t>
            </w:r>
            <w:r w:rsidRPr="00C45B61">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15373CE0" w14:textId="77777777" w:rsidR="007F65B1" w:rsidRPr="00C45B61" w:rsidRDefault="007F65B1" w:rsidP="00B526E5">
            <w:r w:rsidRPr="00C45B61">
              <w:t xml:space="preserve">Méthodologie proposée pour la phase de </w:t>
            </w:r>
            <w:r>
              <w:t>de lancement du marché</w:t>
            </w:r>
            <w:r w:rsidRPr="00C45B61">
              <w:t xml:space="preserve"> </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03272203" w14:textId="77777777" w:rsidR="007F65B1" w:rsidRPr="00C45B61" w:rsidRDefault="007F65B1" w:rsidP="00B526E5">
            <w:pPr>
              <w:jc w:val="center"/>
              <w:rPr>
                <w:smallCaps/>
              </w:rPr>
            </w:pPr>
            <w:r>
              <w:rPr>
                <w:smallCaps/>
              </w:rPr>
              <w:t>30%</w:t>
            </w:r>
          </w:p>
        </w:tc>
      </w:tr>
      <w:tr w:rsidR="007F65B1" w:rsidRPr="00C45B61" w14:paraId="48FD7CE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0947301" w14:textId="77777777" w:rsidR="007F65B1" w:rsidRPr="00C45B61" w:rsidRDefault="007F65B1" w:rsidP="00B526E5">
            <w:pPr>
              <w:jc w:val="right"/>
              <w:rPr>
                <w:bCs/>
                <w:smallCaps/>
              </w:rPr>
            </w:pPr>
            <w:r w:rsidRPr="00C45B61">
              <w:rPr>
                <w:bCs/>
                <w:smallCaps/>
              </w:rPr>
              <w:t>2.</w:t>
            </w:r>
            <w:r>
              <w:rPr>
                <w:bCs/>
                <w:smallCaps/>
              </w:rPr>
              <w:t>1</w:t>
            </w:r>
            <w:r w:rsidRPr="00C45B61">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7A0CB54B" w14:textId="77777777" w:rsidR="007F65B1" w:rsidRPr="00C45B61" w:rsidRDefault="007F65B1" w:rsidP="00B526E5">
            <w:r w:rsidRPr="00C45B61">
              <w:t xml:space="preserve">Méthodologie proposée pour la phase de </w:t>
            </w:r>
            <w:r>
              <w:t>transfert de connaissances intégrant la réversibilité</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5493E678" w14:textId="77777777" w:rsidR="007F65B1" w:rsidRPr="00C45B61" w:rsidRDefault="007F65B1" w:rsidP="00B526E5">
            <w:pPr>
              <w:jc w:val="center"/>
              <w:rPr>
                <w:smallCaps/>
              </w:rPr>
            </w:pPr>
            <w:r>
              <w:rPr>
                <w:smallCaps/>
              </w:rPr>
              <w:t>30%</w:t>
            </w:r>
          </w:p>
        </w:tc>
      </w:tr>
      <w:tr w:rsidR="007F65B1" w:rsidRPr="00C45B61" w14:paraId="05322EC8"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DBF07" w14:textId="77777777" w:rsidR="007F65B1" w:rsidRPr="005F567E" w:rsidRDefault="007F65B1" w:rsidP="00B526E5">
            <w:pPr>
              <w:jc w:val="right"/>
              <w:rPr>
                <w:bCs/>
                <w:smallCaps/>
              </w:rPr>
            </w:pPr>
            <w:r w:rsidRPr="005F567E">
              <w:rPr>
                <w:bCs/>
                <w:smallCaps/>
              </w:rPr>
              <w:t>2.</w:t>
            </w:r>
            <w:r>
              <w:rPr>
                <w:bCs/>
                <w:smallCaps/>
              </w:rPr>
              <w:t>1</w:t>
            </w:r>
            <w:r w:rsidRPr="005F567E">
              <w:rPr>
                <w:bCs/>
                <w:smallCaps/>
              </w:rPr>
              <w:t>.3</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634DB" w14:textId="77777777" w:rsidR="007F65B1" w:rsidRPr="005F567E" w:rsidRDefault="007F65B1" w:rsidP="00B526E5">
            <w:r w:rsidRPr="00C45B61">
              <w:t xml:space="preserve">Méthodologie proposée </w:t>
            </w:r>
            <w:r>
              <w:t>pour le m</w:t>
            </w:r>
            <w:r w:rsidRPr="005F567E">
              <w:t xml:space="preserve">aintien de la base de connaissance et de la compétence </w:t>
            </w:r>
            <w:r>
              <w:t xml:space="preserve">(technique, fonctionnelle, du contexte Cnam) </w:t>
            </w:r>
            <w:r w:rsidRPr="005F567E">
              <w:t>des équipes du titulaire</w:t>
            </w:r>
            <w:r>
              <w:t xml:space="preserve"> et des sous-traitants</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42A669B5" w14:textId="77777777" w:rsidR="007F65B1" w:rsidRDefault="007F65B1" w:rsidP="00B526E5">
            <w:pPr>
              <w:jc w:val="center"/>
              <w:rPr>
                <w:smallCaps/>
                <w:color w:val="1F497D"/>
              </w:rPr>
            </w:pPr>
            <w:r>
              <w:rPr>
                <w:smallCaps/>
                <w:color w:val="1F497D"/>
              </w:rPr>
              <w:t>40%</w:t>
            </w:r>
          </w:p>
        </w:tc>
      </w:tr>
      <w:tr w:rsidR="007F65B1" w:rsidRPr="00234C5A" w14:paraId="7F47085D"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962F4" w14:textId="77777777" w:rsidR="007F65B1" w:rsidRPr="00234C5A" w:rsidRDefault="007F65B1" w:rsidP="00B526E5">
            <w:pPr>
              <w:rPr>
                <w:b/>
                <w:bCs/>
                <w:smallCaps/>
                <w:color w:val="1F497D"/>
              </w:rPr>
            </w:pPr>
            <w:r w:rsidRPr="00234C5A">
              <w:rPr>
                <w:b/>
                <w:bCs/>
                <w:smallCaps/>
                <w:color w:val="1F497D"/>
              </w:rPr>
              <w:t>sous-critère 2.2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6229A" w14:textId="77777777" w:rsidR="007F65B1" w:rsidRPr="00234C5A" w:rsidRDefault="007F65B1" w:rsidP="00B526E5">
            <w:pPr>
              <w:rPr>
                <w:b/>
                <w:color w:val="1F497D"/>
              </w:rPr>
            </w:pPr>
            <w:r w:rsidRPr="00234C5A">
              <w:rPr>
                <w:b/>
                <w:color w:val="1F497D"/>
              </w:rPr>
              <w:t>Méthodo</w:t>
            </w:r>
            <w:r>
              <w:rPr>
                <w:b/>
                <w:color w:val="1F497D"/>
              </w:rPr>
              <w:t>logie de</w:t>
            </w:r>
            <w:r w:rsidRPr="00234C5A">
              <w:rPr>
                <w:b/>
                <w:color w:val="1F497D"/>
              </w:rPr>
              <w:t xml:space="preserve"> passage </w:t>
            </w:r>
            <w:r>
              <w:rPr>
                <w:b/>
                <w:color w:val="1F497D"/>
              </w:rPr>
              <w:t>en centre de compétence et centre de service</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37BA4071" w14:textId="77777777" w:rsidR="007F65B1" w:rsidRPr="00234C5A" w:rsidRDefault="007F65B1" w:rsidP="00B526E5">
            <w:pPr>
              <w:jc w:val="center"/>
              <w:rPr>
                <w:b/>
                <w:smallCaps/>
                <w:color w:val="1F497D"/>
              </w:rPr>
            </w:pPr>
            <w:r>
              <w:rPr>
                <w:b/>
                <w:smallCaps/>
                <w:color w:val="1F497D"/>
              </w:rPr>
              <w:t>40%</w:t>
            </w:r>
          </w:p>
        </w:tc>
      </w:tr>
      <w:tr w:rsidR="007F65B1" w:rsidRPr="005F567E" w14:paraId="4C46D325"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8C567" w14:textId="77777777" w:rsidR="007F65B1" w:rsidRPr="005F567E" w:rsidRDefault="007F65B1" w:rsidP="00B526E5">
            <w:pPr>
              <w:jc w:val="right"/>
              <w:rPr>
                <w:bCs/>
                <w:smallCaps/>
              </w:rPr>
            </w:pPr>
            <w:r w:rsidRPr="005F567E">
              <w:rPr>
                <w:bCs/>
                <w:smallCaps/>
              </w:rPr>
              <w:t>2.2.</w:t>
            </w:r>
            <w:r>
              <w:rPr>
                <w:bCs/>
                <w:smallCaps/>
              </w:rPr>
              <w:t>1</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9F6BB" w14:textId="3A2471C0" w:rsidR="007F65B1" w:rsidRPr="0033686B" w:rsidRDefault="007F65B1" w:rsidP="00B526E5">
            <w:r w:rsidRPr="0033686B">
              <w:t>Approche technique et organisationnelle p</w:t>
            </w:r>
            <w:r>
              <w:t xml:space="preserve">roposée en réponse au scénario </w:t>
            </w:r>
            <w:r w:rsidR="0021285D">
              <w:t>3</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3E5B3681" w14:textId="77777777" w:rsidR="007F65B1" w:rsidRPr="005F567E" w:rsidRDefault="007F65B1" w:rsidP="00B526E5">
            <w:pPr>
              <w:jc w:val="center"/>
              <w:rPr>
                <w:smallCaps/>
              </w:rPr>
            </w:pPr>
            <w:r>
              <w:rPr>
                <w:smallCaps/>
              </w:rPr>
              <w:t>90%</w:t>
            </w:r>
          </w:p>
        </w:tc>
      </w:tr>
      <w:tr w:rsidR="007F65B1" w:rsidRPr="005F567E" w14:paraId="6D06336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F1BF1" w14:textId="645007B3" w:rsidR="007F65B1" w:rsidRPr="005F567E" w:rsidRDefault="007F65B1" w:rsidP="00E45156">
            <w:pPr>
              <w:jc w:val="right"/>
              <w:rPr>
                <w:bCs/>
                <w:smallCaps/>
              </w:rPr>
            </w:pPr>
            <w:r w:rsidRPr="005F567E">
              <w:rPr>
                <w:bCs/>
                <w:smallCaps/>
              </w:rPr>
              <w:t>2.2.</w:t>
            </w:r>
            <w:r w:rsidR="00E45156">
              <w:rPr>
                <w:bCs/>
                <w:smallCaps/>
              </w:rPr>
              <w:t>2</w:t>
            </w:r>
          </w:p>
        </w:tc>
        <w:tc>
          <w:tcPr>
            <w:tcW w:w="68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FBCCC" w14:textId="77777777" w:rsidR="007F65B1" w:rsidRPr="005F567E" w:rsidRDefault="007F65B1" w:rsidP="00B526E5">
            <w:r>
              <w:t xml:space="preserve">Dispositif proposé pour permettre l’accroissement de 10% de la </w:t>
            </w:r>
            <w:r w:rsidRPr="005F567E">
              <w:t xml:space="preserve">capacité </w:t>
            </w:r>
            <w:r>
              <w:t>d’un CDC ou CDS avec 1 mois de prévenance</w:t>
            </w:r>
            <w:r w:rsidRPr="005F567E">
              <w:t xml:space="preserve"> </w:t>
            </w:r>
          </w:p>
        </w:tc>
        <w:tc>
          <w:tcPr>
            <w:tcW w:w="1516" w:type="dxa"/>
            <w:tcBorders>
              <w:top w:val="single" w:sz="4" w:space="0" w:color="auto"/>
              <w:left w:val="nil"/>
              <w:bottom w:val="single" w:sz="4" w:space="0" w:color="auto"/>
              <w:right w:val="single" w:sz="4" w:space="0" w:color="auto"/>
            </w:tcBorders>
            <w:shd w:val="clear" w:color="auto" w:fill="FFFFFF" w:themeFill="background1"/>
            <w:noWrap/>
            <w:vAlign w:val="center"/>
          </w:tcPr>
          <w:p w14:paraId="677ACC8D" w14:textId="77777777" w:rsidR="007F65B1" w:rsidRPr="005F567E" w:rsidRDefault="007F65B1" w:rsidP="00B526E5">
            <w:pPr>
              <w:jc w:val="center"/>
              <w:rPr>
                <w:smallCaps/>
              </w:rPr>
            </w:pPr>
            <w:r>
              <w:rPr>
                <w:smallCaps/>
              </w:rPr>
              <w:t>10%</w:t>
            </w:r>
          </w:p>
        </w:tc>
      </w:tr>
      <w:tr w:rsidR="007F65B1" w:rsidRPr="00234C5A" w14:paraId="4912943E"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21EE219A" w14:textId="77777777" w:rsidR="007F65B1" w:rsidRPr="00234C5A" w:rsidRDefault="007F65B1" w:rsidP="00B526E5">
            <w:pPr>
              <w:rPr>
                <w:b/>
                <w:bCs/>
                <w:smallCaps/>
                <w:color w:val="1F497D"/>
              </w:rPr>
            </w:pPr>
            <w:r w:rsidRPr="00234C5A">
              <w:rPr>
                <w:b/>
                <w:bCs/>
                <w:smallCaps/>
                <w:color w:val="1F497D"/>
              </w:rPr>
              <w:t>Sous-critère 2.3</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478BD31B" w14:textId="77777777" w:rsidR="007F65B1" w:rsidRPr="00234C5A" w:rsidRDefault="007F65B1" w:rsidP="00B526E5">
            <w:pPr>
              <w:rPr>
                <w:b/>
                <w:color w:val="1F497D"/>
              </w:rPr>
            </w:pPr>
            <w:r w:rsidRPr="00234C5A">
              <w:rPr>
                <w:b/>
                <w:color w:val="1F497D"/>
              </w:rPr>
              <w:t>Optimisation des moyens et ressources</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5A2E9B8F" w14:textId="77777777" w:rsidR="007F65B1" w:rsidRPr="00234C5A" w:rsidRDefault="007F65B1" w:rsidP="00B526E5">
            <w:pPr>
              <w:jc w:val="center"/>
              <w:rPr>
                <w:b/>
                <w:smallCaps/>
                <w:color w:val="1F497D"/>
              </w:rPr>
            </w:pPr>
            <w:r w:rsidRPr="00265806">
              <w:rPr>
                <w:b/>
                <w:smallCaps/>
              </w:rPr>
              <w:t>30%</w:t>
            </w:r>
          </w:p>
        </w:tc>
      </w:tr>
      <w:tr w:rsidR="007F65B1" w:rsidRPr="00C45B61" w14:paraId="10101512"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68CDD973" w14:textId="77777777" w:rsidR="007F65B1" w:rsidRPr="00234C5A" w:rsidRDefault="007F65B1" w:rsidP="00B526E5">
            <w:pPr>
              <w:jc w:val="right"/>
              <w:rPr>
                <w:bCs/>
                <w:smallCaps/>
              </w:rPr>
            </w:pPr>
            <w:r w:rsidRPr="00234C5A">
              <w:rPr>
                <w:bCs/>
                <w:smallCaps/>
              </w:rPr>
              <w:t>2.3.1</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3C1C0332" w14:textId="77777777" w:rsidR="007F65B1" w:rsidRPr="00134BFF" w:rsidRDefault="007F65B1" w:rsidP="00B526E5">
            <w:r>
              <w:t>Dispositif proposé pour assurer une forte réactivité dans la satisfaction des besoins entre l’expression dudit besoin et l’émission par la Cnam d’un bon de commande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19B356A7" w14:textId="77777777" w:rsidR="007F65B1" w:rsidRPr="00A00910" w:rsidRDefault="007F65B1" w:rsidP="00B526E5">
            <w:pPr>
              <w:jc w:val="center"/>
              <w:rPr>
                <w:smallCaps/>
              </w:rPr>
            </w:pPr>
            <w:r w:rsidRPr="00A00910">
              <w:rPr>
                <w:smallCaps/>
              </w:rPr>
              <w:t>50%</w:t>
            </w:r>
          </w:p>
        </w:tc>
      </w:tr>
      <w:tr w:rsidR="007F65B1" w:rsidRPr="00C45B61" w14:paraId="37D98457"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auto"/>
            </w:tcBorders>
            <w:shd w:val="clear" w:color="auto" w:fill="FFFFFF"/>
            <w:vAlign w:val="center"/>
          </w:tcPr>
          <w:p w14:paraId="54050331" w14:textId="77777777" w:rsidR="007F65B1" w:rsidRPr="00234C5A" w:rsidRDefault="007F65B1" w:rsidP="00B526E5">
            <w:pPr>
              <w:jc w:val="right"/>
              <w:rPr>
                <w:bCs/>
                <w:smallCaps/>
              </w:rPr>
            </w:pPr>
            <w:r w:rsidRPr="00234C5A">
              <w:rPr>
                <w:bCs/>
                <w:smallCaps/>
              </w:rPr>
              <w:t>2.3.2</w:t>
            </w:r>
          </w:p>
        </w:tc>
        <w:tc>
          <w:tcPr>
            <w:tcW w:w="6891" w:type="dxa"/>
            <w:tcBorders>
              <w:top w:val="single" w:sz="4" w:space="0" w:color="auto"/>
              <w:left w:val="single" w:sz="4" w:space="0" w:color="auto"/>
              <w:bottom w:val="single" w:sz="4" w:space="0" w:color="auto"/>
              <w:right w:val="single" w:sz="4" w:space="0" w:color="auto"/>
            </w:tcBorders>
            <w:shd w:val="clear" w:color="auto" w:fill="FFFFFF"/>
            <w:vAlign w:val="center"/>
          </w:tcPr>
          <w:p w14:paraId="5F585CB8" w14:textId="77777777" w:rsidR="007F65B1" w:rsidRDefault="007F65B1" w:rsidP="00B526E5">
            <w:r>
              <w:t>Dispositif proposé</w:t>
            </w:r>
            <w:r w:rsidRPr="00C45B61">
              <w:t xml:space="preserve"> pour</w:t>
            </w:r>
            <w:r>
              <w:t xml:space="preserve"> la phase d’exécution des commandes (préparation en amont ou ad hoc d’intervenants acculturés à l’environnement SI assurance maladie)</w:t>
            </w:r>
          </w:p>
        </w:tc>
        <w:tc>
          <w:tcPr>
            <w:tcW w:w="1516" w:type="dxa"/>
            <w:tcBorders>
              <w:top w:val="single" w:sz="4" w:space="0" w:color="auto"/>
              <w:left w:val="nil"/>
              <w:bottom w:val="single" w:sz="4" w:space="0" w:color="auto"/>
              <w:right w:val="single" w:sz="4" w:space="0" w:color="auto"/>
            </w:tcBorders>
            <w:shd w:val="clear" w:color="auto" w:fill="FFFFFF"/>
            <w:noWrap/>
            <w:vAlign w:val="center"/>
          </w:tcPr>
          <w:p w14:paraId="5BE9EA97" w14:textId="77777777" w:rsidR="007F65B1" w:rsidRPr="00A00910" w:rsidRDefault="007F65B1" w:rsidP="00B526E5">
            <w:pPr>
              <w:jc w:val="center"/>
              <w:rPr>
                <w:smallCaps/>
              </w:rPr>
            </w:pPr>
            <w:r w:rsidRPr="00A00910">
              <w:rPr>
                <w:smallCaps/>
              </w:rPr>
              <w:t>50%</w:t>
            </w:r>
          </w:p>
        </w:tc>
      </w:tr>
      <w:tr w:rsidR="007F65B1" w:rsidRPr="00265806" w14:paraId="2BEDEFC0"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1501C641" w14:textId="77777777" w:rsidR="007F65B1" w:rsidRPr="00265806" w:rsidRDefault="007F65B1" w:rsidP="00B526E5">
            <w:pPr>
              <w:jc w:val="center"/>
              <w:rPr>
                <w:b/>
                <w:bCs/>
                <w:smallCaps/>
              </w:rPr>
            </w:pPr>
            <w:r w:rsidRPr="00265806">
              <w:rPr>
                <w:b/>
                <w:bCs/>
                <w:smallCaps/>
              </w:rPr>
              <w:t>3</w:t>
            </w:r>
          </w:p>
        </w:tc>
        <w:tc>
          <w:tcPr>
            <w:tcW w:w="6891"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001F6563" w14:textId="77777777" w:rsidR="007F65B1" w:rsidRPr="00265806" w:rsidRDefault="007F65B1" w:rsidP="00B526E5">
            <w:pPr>
              <w:rPr>
                <w:b/>
                <w:bCs/>
                <w:smallCaps/>
              </w:rPr>
            </w:pPr>
            <w:r w:rsidRPr="00265806">
              <w:rPr>
                <w:b/>
                <w:bCs/>
                <w:smallCaps/>
              </w:rPr>
              <w:t xml:space="preserve">Coût </w:t>
            </w:r>
          </w:p>
        </w:tc>
        <w:tc>
          <w:tcPr>
            <w:tcW w:w="1516"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4F813C2A" w14:textId="77777777" w:rsidR="007F65B1" w:rsidRPr="00265806" w:rsidRDefault="007F65B1" w:rsidP="00B526E5">
            <w:pPr>
              <w:jc w:val="center"/>
              <w:rPr>
                <w:b/>
                <w:bCs/>
                <w:smallCaps/>
              </w:rPr>
            </w:pPr>
            <w:r w:rsidRPr="00265806">
              <w:rPr>
                <w:b/>
                <w:bCs/>
                <w:smallCaps/>
              </w:rPr>
              <w:t>40%</w:t>
            </w:r>
          </w:p>
        </w:tc>
      </w:tr>
      <w:tr w:rsidR="007F65B1" w:rsidRPr="00265806" w14:paraId="43243566" w14:textId="77777777" w:rsidTr="00B526E5">
        <w:trPr>
          <w:trHeight w:val="510"/>
          <w:jc w:val="center"/>
        </w:trPr>
        <w:tc>
          <w:tcPr>
            <w:tcW w:w="1942" w:type="dxa"/>
            <w:tcBorders>
              <w:top w:val="single" w:sz="4" w:space="0" w:color="auto"/>
              <w:left w:val="single" w:sz="4" w:space="0" w:color="auto"/>
              <w:bottom w:val="single" w:sz="4" w:space="0" w:color="auto"/>
              <w:right w:val="single" w:sz="4" w:space="0" w:color="000000"/>
            </w:tcBorders>
            <w:shd w:val="clear" w:color="auto" w:fill="auto"/>
            <w:vAlign w:val="center"/>
          </w:tcPr>
          <w:p w14:paraId="62136E77" w14:textId="3472C28B" w:rsidR="007F65B1" w:rsidRPr="00265806" w:rsidRDefault="007F65B1" w:rsidP="00B526E5">
            <w:pPr>
              <w:rPr>
                <w:b/>
                <w:bCs/>
                <w:smallCaps/>
                <w:color w:val="1F497D"/>
              </w:rPr>
            </w:pPr>
          </w:p>
        </w:tc>
        <w:tc>
          <w:tcPr>
            <w:tcW w:w="6891" w:type="dxa"/>
            <w:tcBorders>
              <w:top w:val="single" w:sz="4" w:space="0" w:color="auto"/>
              <w:left w:val="single" w:sz="4" w:space="0" w:color="auto"/>
              <w:bottom w:val="single" w:sz="4" w:space="0" w:color="auto"/>
              <w:right w:val="single" w:sz="4" w:space="0" w:color="000000"/>
            </w:tcBorders>
            <w:shd w:val="clear" w:color="auto" w:fill="auto"/>
            <w:vAlign w:val="center"/>
          </w:tcPr>
          <w:p w14:paraId="1E81C3A5" w14:textId="7A391747" w:rsidR="007F65B1" w:rsidRPr="00265806" w:rsidRDefault="007F65B1" w:rsidP="0046235B">
            <w:pPr>
              <w:rPr>
                <w:b/>
                <w:bCs/>
                <w:smallCaps/>
                <w:color w:val="1F497D"/>
              </w:rPr>
            </w:pPr>
            <w:r w:rsidRPr="00265806">
              <w:rPr>
                <w:b/>
                <w:bCs/>
                <w:smallCaps/>
                <w:color w:val="1F497D"/>
              </w:rPr>
              <w:t xml:space="preserve">Coût total estimé (simulation des UO sur la durée totale du marché + </w:t>
            </w:r>
            <w:r w:rsidR="00A2763B">
              <w:rPr>
                <w:b/>
                <w:bCs/>
                <w:smallCaps/>
                <w:color w:val="1F497D"/>
              </w:rPr>
              <w:t>coût scenari</w:t>
            </w:r>
            <w:r w:rsidR="0046235B">
              <w:rPr>
                <w:b/>
                <w:bCs/>
                <w:smallCaps/>
                <w:color w:val="1F497D"/>
              </w:rPr>
              <w:t>o</w:t>
            </w:r>
            <w:r w:rsidR="000F7C3C" w:rsidRPr="000F7C3C">
              <w:rPr>
                <w:b/>
                <w:bCs/>
                <w:smallCaps/>
                <w:color w:val="1F497D"/>
              </w:rPr>
              <w:t xml:space="preserve"> (</w:t>
            </w:r>
            <w:r w:rsidR="00A2763B">
              <w:rPr>
                <w:b/>
                <w:bCs/>
                <w:smallCaps/>
                <w:color w:val="1F497D"/>
              </w:rPr>
              <w:t>mise en place du</w:t>
            </w:r>
            <w:r w:rsidR="000F7C3C" w:rsidRPr="000F7C3C">
              <w:rPr>
                <w:b/>
                <w:bCs/>
                <w:smallCaps/>
                <w:color w:val="1F497D"/>
              </w:rPr>
              <w:t xml:space="preserve"> CDC/CDS)</w:t>
            </w:r>
            <w:r w:rsidR="00A2763B">
              <w:rPr>
                <w:b/>
                <w:bCs/>
                <w:smallCaps/>
                <w:color w:val="1F497D"/>
              </w:rPr>
              <w:t xml:space="preserve"> </w:t>
            </w:r>
            <w:r w:rsidR="000F7C3C" w:rsidRPr="000F7C3C">
              <w:rPr>
                <w:b/>
                <w:bCs/>
                <w:smallCaps/>
                <w:color w:val="1F497D"/>
              </w:rPr>
              <w:t>+</w:t>
            </w:r>
            <w:r w:rsidR="00A2763B">
              <w:rPr>
                <w:b/>
                <w:bCs/>
                <w:smallCaps/>
                <w:color w:val="1F497D"/>
              </w:rPr>
              <w:t xml:space="preserve"> coût des</w:t>
            </w:r>
            <w:r w:rsidR="000F7C3C" w:rsidRPr="000F7C3C">
              <w:rPr>
                <w:b/>
                <w:bCs/>
                <w:smallCaps/>
                <w:color w:val="1F497D"/>
              </w:rPr>
              <w:t xml:space="preserve"> UO </w:t>
            </w:r>
            <w:r w:rsidR="00A2763B">
              <w:rPr>
                <w:b/>
                <w:bCs/>
                <w:smallCaps/>
                <w:color w:val="1F497D"/>
              </w:rPr>
              <w:t>en</w:t>
            </w:r>
            <w:r w:rsidR="000F7C3C" w:rsidRPr="000F7C3C">
              <w:rPr>
                <w:b/>
                <w:bCs/>
                <w:smallCaps/>
                <w:color w:val="1F497D"/>
              </w:rPr>
              <w:t xml:space="preserve"> CDC/CDS </w:t>
            </w:r>
            <w:r w:rsidR="00A2763B">
              <w:rPr>
                <w:b/>
                <w:bCs/>
                <w:smallCaps/>
                <w:color w:val="1F497D"/>
              </w:rPr>
              <w:t>sur la durée totale du marché</w:t>
            </w:r>
            <w:r w:rsidR="000F7C3C" w:rsidRPr="000F7C3C">
              <w:rPr>
                <w:b/>
                <w:bCs/>
                <w:smallCaps/>
                <w:color w:val="1F497D"/>
              </w:rPr>
              <w:t>)</w:t>
            </w:r>
            <w:r w:rsidR="000F7C3C">
              <w:rPr>
                <w:b/>
                <w:bCs/>
                <w:smallCaps/>
                <w:color w:val="1F497D"/>
              </w:rPr>
              <w:t xml:space="preserve"> + </w:t>
            </w:r>
            <w:r w:rsidRPr="00265806">
              <w:rPr>
                <w:b/>
                <w:bCs/>
                <w:smallCaps/>
                <w:color w:val="1F497D"/>
              </w:rPr>
              <w:t>part forfaitaire + tranche optionnelle)</w:t>
            </w:r>
          </w:p>
        </w:tc>
        <w:tc>
          <w:tcPr>
            <w:tcW w:w="1516" w:type="dxa"/>
            <w:tcBorders>
              <w:top w:val="single" w:sz="4" w:space="0" w:color="auto"/>
              <w:left w:val="nil"/>
              <w:bottom w:val="single" w:sz="4" w:space="0" w:color="auto"/>
              <w:right w:val="single" w:sz="4" w:space="0" w:color="auto"/>
            </w:tcBorders>
            <w:shd w:val="clear" w:color="auto" w:fill="auto"/>
            <w:vAlign w:val="center"/>
          </w:tcPr>
          <w:p w14:paraId="733B4071" w14:textId="77223790" w:rsidR="007F65B1" w:rsidRPr="00265806" w:rsidRDefault="007F65B1" w:rsidP="00B526E5">
            <w:pPr>
              <w:jc w:val="center"/>
              <w:rPr>
                <w:b/>
                <w:bCs/>
                <w:smallCaps/>
              </w:rPr>
            </w:pPr>
          </w:p>
        </w:tc>
      </w:tr>
    </w:tbl>
    <w:p w14:paraId="35F3D0A9" w14:textId="77777777" w:rsidR="00F3541E" w:rsidRDefault="00F3541E" w:rsidP="00636FE1">
      <w:pPr>
        <w:pStyle w:val="Titre2"/>
      </w:pPr>
      <w:bookmarkStart w:id="187" w:name="_Toc441836698"/>
      <w:bookmarkStart w:id="188" w:name="_Toc450048459"/>
      <w:bookmarkStart w:id="189" w:name="_Toc143250948"/>
      <w:bookmarkStart w:id="190" w:name="_Toc187833065"/>
      <w:bookmarkStart w:id="191" w:name="_Toc211257316"/>
      <w:r w:rsidRPr="002E22AB">
        <w:t>Modalités de notation</w:t>
      </w:r>
      <w:bookmarkEnd w:id="187"/>
      <w:bookmarkEnd w:id="188"/>
      <w:bookmarkEnd w:id="189"/>
      <w:bookmarkEnd w:id="190"/>
      <w:bookmarkEnd w:id="191"/>
    </w:p>
    <w:p w14:paraId="7EBF957B" w14:textId="77777777" w:rsidR="00243F56" w:rsidRPr="00CE71BF" w:rsidRDefault="00243F56" w:rsidP="00243F56">
      <w:pPr>
        <w:pStyle w:val="Titre4"/>
      </w:pPr>
      <w:r w:rsidRPr="00CE71BF">
        <w:t>Critère « Valeur technique de l’offre »</w:t>
      </w:r>
    </w:p>
    <w:p w14:paraId="4C3071F3" w14:textId="4BB256D2" w:rsidR="00F26548" w:rsidRDefault="00F26548" w:rsidP="00F26548">
      <w:pPr>
        <w:rPr>
          <w:lang w:eastAsia="fr-FR"/>
        </w:rPr>
      </w:pPr>
      <w:r w:rsidRPr="00EF6F7B">
        <w:rPr>
          <w:lang w:eastAsia="fr-FR"/>
        </w:rPr>
        <w:t xml:space="preserve">Au niveau de chaque sous-critère annoncé avec le niveau de pondération le plus fin (ex : </w:t>
      </w:r>
      <w:r w:rsidRPr="00EF6F7B">
        <w:rPr>
          <w:i/>
          <w:lang w:eastAsia="fr-FR"/>
        </w:rPr>
        <w:t xml:space="preserve">1.1.1 – </w:t>
      </w:r>
      <w:r w:rsidR="00EF6F7B" w:rsidRPr="00EF6F7B">
        <w:rPr>
          <w:i/>
          <w:lang w:eastAsia="fr-FR"/>
        </w:rPr>
        <w:t>Pertinence de l’analyse des enjeux et de la complexité des prestations à réaliser au regard du contexte général et du besoin exprimé</w:t>
      </w:r>
      <w:r w:rsidRPr="00C27847">
        <w:rPr>
          <w:lang w:eastAsia="fr-FR"/>
        </w:rPr>
        <w:t>), un ou plusieurs items sont évalués</w:t>
      </w:r>
      <w:r>
        <w:rPr>
          <w:lang w:eastAsia="fr-FR"/>
        </w:rPr>
        <w:t>,</w:t>
      </w:r>
      <w:r w:rsidRPr="00C27847">
        <w:rPr>
          <w:lang w:eastAsia="fr-FR"/>
        </w:rPr>
        <w:t xml:space="preserve"> chacun sur la base d’un barème commun. </w:t>
      </w:r>
    </w:p>
    <w:tbl>
      <w:tblPr>
        <w:tblW w:w="8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01"/>
        <w:gridCol w:w="5744"/>
      </w:tblGrid>
      <w:tr w:rsidR="00F26548" w:rsidRPr="00961161" w14:paraId="7157AD2A" w14:textId="77777777" w:rsidTr="00A219FE">
        <w:trPr>
          <w:trHeight w:val="510"/>
          <w:jc w:val="center"/>
        </w:trPr>
        <w:tc>
          <w:tcPr>
            <w:tcW w:w="1212" w:type="dxa"/>
            <w:shd w:val="clear" w:color="auto" w:fill="FF0000"/>
            <w:noWrap/>
            <w:vAlign w:val="center"/>
          </w:tcPr>
          <w:p w14:paraId="799043DA" w14:textId="77777777" w:rsidR="00F26548" w:rsidRPr="00961161" w:rsidRDefault="00F26548" w:rsidP="00A219FE">
            <w:pPr>
              <w:spacing w:before="0" w:after="0"/>
              <w:jc w:val="center"/>
              <w:rPr>
                <w:sz w:val="20"/>
              </w:rPr>
            </w:pPr>
            <w:r w:rsidRPr="00961161">
              <w:rPr>
                <w:sz w:val="20"/>
              </w:rPr>
              <w:t>1</w:t>
            </w:r>
          </w:p>
        </w:tc>
        <w:tc>
          <w:tcPr>
            <w:tcW w:w="1701" w:type="dxa"/>
            <w:shd w:val="clear" w:color="auto" w:fill="FF0000"/>
            <w:vAlign w:val="center"/>
          </w:tcPr>
          <w:p w14:paraId="2E87F476" w14:textId="77777777" w:rsidR="00F26548" w:rsidRPr="00961161" w:rsidRDefault="00F26548" w:rsidP="00A219FE">
            <w:pPr>
              <w:spacing w:before="0" w:after="0"/>
              <w:jc w:val="center"/>
              <w:rPr>
                <w:sz w:val="20"/>
              </w:rPr>
            </w:pPr>
            <w:r w:rsidRPr="00961161">
              <w:rPr>
                <w:sz w:val="20"/>
              </w:rPr>
              <w:t>Très insuffisant</w:t>
            </w:r>
          </w:p>
        </w:tc>
        <w:tc>
          <w:tcPr>
            <w:tcW w:w="5744" w:type="dxa"/>
            <w:shd w:val="clear" w:color="auto" w:fill="FF0000"/>
            <w:vAlign w:val="center"/>
          </w:tcPr>
          <w:p w14:paraId="30BA2CDB" w14:textId="77777777" w:rsidR="00F26548" w:rsidRPr="00961161" w:rsidRDefault="00F26548" w:rsidP="00A219FE">
            <w:pPr>
              <w:spacing w:before="0" w:after="0"/>
              <w:rPr>
                <w:sz w:val="20"/>
              </w:rPr>
            </w:pPr>
            <w:r w:rsidRPr="00961161">
              <w:rPr>
                <w:sz w:val="20"/>
              </w:rPr>
              <w:t>L’offre proposée répond de manière très insuffisante au besoin et/ou manque d'éléments d'appréciation</w:t>
            </w:r>
          </w:p>
        </w:tc>
      </w:tr>
      <w:tr w:rsidR="00F26548" w:rsidRPr="00961161" w14:paraId="09A53447" w14:textId="77777777" w:rsidTr="00A219FE">
        <w:trPr>
          <w:trHeight w:val="510"/>
          <w:jc w:val="center"/>
        </w:trPr>
        <w:tc>
          <w:tcPr>
            <w:tcW w:w="1212" w:type="dxa"/>
            <w:shd w:val="clear" w:color="auto" w:fill="FFC000"/>
            <w:noWrap/>
            <w:vAlign w:val="center"/>
          </w:tcPr>
          <w:p w14:paraId="4B9B1BC5" w14:textId="77777777" w:rsidR="00F26548" w:rsidRPr="00961161" w:rsidRDefault="00F26548" w:rsidP="00A219FE">
            <w:pPr>
              <w:spacing w:before="0" w:after="0"/>
              <w:jc w:val="center"/>
              <w:rPr>
                <w:sz w:val="20"/>
              </w:rPr>
            </w:pPr>
            <w:r w:rsidRPr="00961161">
              <w:rPr>
                <w:sz w:val="20"/>
              </w:rPr>
              <w:t>2</w:t>
            </w:r>
          </w:p>
        </w:tc>
        <w:tc>
          <w:tcPr>
            <w:tcW w:w="1701" w:type="dxa"/>
            <w:shd w:val="clear" w:color="auto" w:fill="FFC000"/>
            <w:vAlign w:val="center"/>
          </w:tcPr>
          <w:p w14:paraId="1885239E" w14:textId="77777777" w:rsidR="00F26548" w:rsidRPr="00961161" w:rsidRDefault="00F26548" w:rsidP="00A219FE">
            <w:pPr>
              <w:spacing w:before="0" w:after="0"/>
              <w:jc w:val="center"/>
              <w:rPr>
                <w:sz w:val="20"/>
              </w:rPr>
            </w:pPr>
            <w:r w:rsidRPr="00961161">
              <w:rPr>
                <w:sz w:val="20"/>
              </w:rPr>
              <w:t>Insuffisant</w:t>
            </w:r>
          </w:p>
        </w:tc>
        <w:tc>
          <w:tcPr>
            <w:tcW w:w="5744" w:type="dxa"/>
            <w:shd w:val="clear" w:color="auto" w:fill="FFC000"/>
            <w:vAlign w:val="center"/>
          </w:tcPr>
          <w:p w14:paraId="46B43013" w14:textId="77777777" w:rsidR="00F26548" w:rsidRPr="00961161" w:rsidRDefault="00F26548" w:rsidP="00A219FE">
            <w:pPr>
              <w:spacing w:before="0" w:after="0"/>
              <w:rPr>
                <w:sz w:val="20"/>
              </w:rPr>
            </w:pPr>
            <w:r w:rsidRPr="00961161">
              <w:rPr>
                <w:sz w:val="20"/>
              </w:rPr>
              <w:t>L’offre proposée ne répond que partiellement au besoin, les observations sont nombreuses et/ou importantes</w:t>
            </w:r>
          </w:p>
        </w:tc>
      </w:tr>
      <w:tr w:rsidR="00F26548" w:rsidRPr="00961161" w14:paraId="06E4FA2A" w14:textId="77777777" w:rsidTr="00A219FE">
        <w:trPr>
          <w:trHeight w:val="510"/>
          <w:jc w:val="center"/>
        </w:trPr>
        <w:tc>
          <w:tcPr>
            <w:tcW w:w="1212" w:type="dxa"/>
            <w:shd w:val="clear" w:color="auto" w:fill="FFFF00"/>
            <w:noWrap/>
            <w:vAlign w:val="center"/>
          </w:tcPr>
          <w:p w14:paraId="21D3466F" w14:textId="77777777" w:rsidR="00F26548" w:rsidRPr="00961161" w:rsidRDefault="00F26548" w:rsidP="00A219FE">
            <w:pPr>
              <w:spacing w:before="0" w:after="0"/>
              <w:jc w:val="center"/>
              <w:rPr>
                <w:sz w:val="20"/>
              </w:rPr>
            </w:pPr>
            <w:r w:rsidRPr="00961161">
              <w:rPr>
                <w:sz w:val="20"/>
              </w:rPr>
              <w:t>3</w:t>
            </w:r>
          </w:p>
        </w:tc>
        <w:tc>
          <w:tcPr>
            <w:tcW w:w="1701" w:type="dxa"/>
            <w:shd w:val="clear" w:color="auto" w:fill="FFFF00"/>
            <w:vAlign w:val="center"/>
          </w:tcPr>
          <w:p w14:paraId="4141E478" w14:textId="77777777" w:rsidR="00F26548" w:rsidRPr="00961161" w:rsidRDefault="00F26548" w:rsidP="00A219FE">
            <w:pPr>
              <w:spacing w:before="0" w:after="0"/>
              <w:jc w:val="center"/>
              <w:rPr>
                <w:sz w:val="20"/>
              </w:rPr>
            </w:pPr>
            <w:r w:rsidRPr="00961161">
              <w:rPr>
                <w:sz w:val="20"/>
              </w:rPr>
              <w:t>Satisfaisant</w:t>
            </w:r>
          </w:p>
        </w:tc>
        <w:tc>
          <w:tcPr>
            <w:tcW w:w="5744" w:type="dxa"/>
            <w:shd w:val="clear" w:color="auto" w:fill="FFFF00"/>
            <w:vAlign w:val="center"/>
          </w:tcPr>
          <w:p w14:paraId="17E6A8C3" w14:textId="77777777" w:rsidR="00F26548" w:rsidRPr="00961161" w:rsidRDefault="00F26548" w:rsidP="00A219FE">
            <w:pPr>
              <w:spacing w:before="0" w:after="0"/>
              <w:rPr>
                <w:sz w:val="20"/>
              </w:rPr>
            </w:pPr>
            <w:r w:rsidRPr="00961161">
              <w:rPr>
                <w:sz w:val="20"/>
              </w:rPr>
              <w:t>L’offre proposée répond de manière cohérente au besoin</w:t>
            </w:r>
          </w:p>
        </w:tc>
      </w:tr>
      <w:tr w:rsidR="00F26548" w:rsidRPr="00961161" w14:paraId="2F2DFA9C" w14:textId="77777777" w:rsidTr="00A219FE">
        <w:trPr>
          <w:trHeight w:val="510"/>
          <w:jc w:val="center"/>
        </w:trPr>
        <w:tc>
          <w:tcPr>
            <w:tcW w:w="1212" w:type="dxa"/>
            <w:shd w:val="clear" w:color="auto" w:fill="00B050"/>
            <w:noWrap/>
            <w:vAlign w:val="center"/>
          </w:tcPr>
          <w:p w14:paraId="195DCF03" w14:textId="77777777" w:rsidR="00F26548" w:rsidRPr="00961161" w:rsidRDefault="00F26548" w:rsidP="00A219FE">
            <w:pPr>
              <w:spacing w:before="0" w:after="0"/>
              <w:jc w:val="center"/>
              <w:rPr>
                <w:sz w:val="20"/>
              </w:rPr>
            </w:pPr>
            <w:r w:rsidRPr="00961161">
              <w:rPr>
                <w:sz w:val="20"/>
              </w:rPr>
              <w:t>4</w:t>
            </w:r>
          </w:p>
        </w:tc>
        <w:tc>
          <w:tcPr>
            <w:tcW w:w="1701" w:type="dxa"/>
            <w:shd w:val="clear" w:color="auto" w:fill="00B050"/>
            <w:vAlign w:val="center"/>
          </w:tcPr>
          <w:p w14:paraId="3EDB70F2" w14:textId="77777777" w:rsidR="00F26548" w:rsidRPr="00961161" w:rsidRDefault="00F26548" w:rsidP="00A219FE">
            <w:pPr>
              <w:spacing w:before="0" w:after="0"/>
              <w:jc w:val="center"/>
              <w:rPr>
                <w:sz w:val="20"/>
              </w:rPr>
            </w:pPr>
            <w:r w:rsidRPr="00961161">
              <w:rPr>
                <w:sz w:val="20"/>
              </w:rPr>
              <w:t>Très satisfaisant</w:t>
            </w:r>
          </w:p>
        </w:tc>
        <w:tc>
          <w:tcPr>
            <w:tcW w:w="5744" w:type="dxa"/>
            <w:shd w:val="clear" w:color="auto" w:fill="00B050"/>
            <w:vAlign w:val="center"/>
          </w:tcPr>
          <w:p w14:paraId="0388B901" w14:textId="77777777" w:rsidR="00F26548" w:rsidRPr="00961161" w:rsidRDefault="00F26548" w:rsidP="00A219FE">
            <w:pPr>
              <w:spacing w:before="0" w:after="0"/>
              <w:rPr>
                <w:sz w:val="20"/>
              </w:rPr>
            </w:pPr>
            <w:r w:rsidRPr="00961161">
              <w:rPr>
                <w:sz w:val="20"/>
              </w:rPr>
              <w:t>L’offre proposée répond de manière très pertinente au besoin, standard élevé, plus-value fonctionnelle ou technique</w:t>
            </w:r>
          </w:p>
        </w:tc>
      </w:tr>
    </w:tbl>
    <w:p w14:paraId="11F402B3" w14:textId="77777777" w:rsidR="00F26548" w:rsidRPr="00C27847" w:rsidRDefault="00F26548" w:rsidP="00F26548">
      <w:pPr>
        <w:rPr>
          <w:lang w:eastAsia="fr-FR"/>
        </w:rPr>
      </w:pPr>
      <w:r w:rsidRPr="00C27847">
        <w:rPr>
          <w:lang w:eastAsia="fr-FR"/>
        </w:rPr>
        <w:t>Ces évaluations ne font pas l’objet d’une nouvelle pondération et sont additionnées au niveau du sous-critère concerné.</w:t>
      </w:r>
    </w:p>
    <w:p w14:paraId="59184034" w14:textId="77777777" w:rsidR="00F26548" w:rsidRPr="00C27847" w:rsidRDefault="00F26548" w:rsidP="00F26548">
      <w:pPr>
        <w:rPr>
          <w:lang w:eastAsia="fr-FR"/>
        </w:rPr>
      </w:pPr>
      <w:r w:rsidRPr="00C27847">
        <w:rPr>
          <w:lang w:eastAsia="fr-FR"/>
        </w:rPr>
        <w:lastRenderedPageBreak/>
        <w:t>La note du sous-critère est obtenue selon la méthode qui suit.</w:t>
      </w:r>
    </w:p>
    <w:p w14:paraId="1263E70E" w14:textId="77777777" w:rsidR="00F26548" w:rsidRPr="00C27847" w:rsidRDefault="00F26548" w:rsidP="00F26548">
      <w:pPr>
        <w:rPr>
          <w:lang w:eastAsia="fr-FR"/>
        </w:rPr>
      </w:pPr>
      <w:r w:rsidRPr="00C27847">
        <w:rPr>
          <w:lang w:eastAsia="fr-FR"/>
        </w:rPr>
        <w:t>L’offre correspondant à la somme la plus élevée obtient la note de 20/20. Les autres offres sont notées selon l’application de la formule suivante :</w:t>
      </w:r>
    </w:p>
    <w:p w14:paraId="1DA3C799" w14:textId="77777777" w:rsidR="00F26548" w:rsidRPr="00C27847" w:rsidRDefault="00F26548" w:rsidP="00F26548">
      <w:pPr>
        <w:pBdr>
          <w:top w:val="single" w:sz="4" w:space="1" w:color="auto"/>
          <w:left w:val="single" w:sz="4" w:space="4" w:color="auto"/>
          <w:bottom w:val="single" w:sz="4" w:space="1" w:color="auto"/>
          <w:right w:val="single" w:sz="4" w:space="4" w:color="auto"/>
        </w:pBdr>
        <w:jc w:val="center"/>
        <w:rPr>
          <w:lang w:eastAsia="fr-FR"/>
        </w:rPr>
      </w:pPr>
      <w:r w:rsidRPr="00C27847">
        <w:rPr>
          <w:lang w:eastAsia="fr-FR"/>
        </w:rPr>
        <w:t>Note = 20 x Somme de l’offre notée / somme la plus élevée</w:t>
      </w:r>
    </w:p>
    <w:p w14:paraId="6EE38B8D" w14:textId="3076AE26" w:rsidR="00243F56" w:rsidRPr="008B11F7" w:rsidRDefault="00243F56" w:rsidP="00243F56">
      <w:pPr>
        <w:pStyle w:val="Titre4"/>
      </w:pPr>
      <w:r w:rsidRPr="008B11F7">
        <w:t>Critère « </w:t>
      </w:r>
      <w:r w:rsidR="00AA3F78">
        <w:t>Coût</w:t>
      </w:r>
      <w:r w:rsidR="00AA3F78" w:rsidRPr="008B11F7">
        <w:t> </w:t>
      </w:r>
      <w:r w:rsidRPr="008B11F7">
        <w:t>»</w:t>
      </w:r>
    </w:p>
    <w:p w14:paraId="33BAD2BE" w14:textId="58B20BA7" w:rsidR="00B82BBA" w:rsidRDefault="00F26548" w:rsidP="00F26548">
      <w:r>
        <w:t>La Cnam</w:t>
      </w:r>
      <w:r w:rsidRPr="00F35F1C">
        <w:t xml:space="preserve"> accorde la note de 20/20 à l’offre financièrement la plus basse</w:t>
      </w:r>
      <w:r>
        <w:t xml:space="preserve"> calculée </w:t>
      </w:r>
      <w:r w:rsidRPr="003E6B85">
        <w:t>sur la base du montant global des prestations forfaitaires et d’une simulation de commandes</w:t>
      </w:r>
      <w:r w:rsidR="00AA3F78" w:rsidRPr="0037510A">
        <w:t xml:space="preserve">, sur la durée </w:t>
      </w:r>
      <w:r w:rsidR="0037510A">
        <w:t xml:space="preserve">maximale </w:t>
      </w:r>
      <w:r w:rsidR="00AA3F78" w:rsidRPr="0037510A">
        <w:t>de l’accord-cadre</w:t>
      </w:r>
      <w:r w:rsidR="00B82BBA" w:rsidRPr="0037510A">
        <w:t> :</w:t>
      </w:r>
    </w:p>
    <w:p w14:paraId="7244AAE1" w14:textId="43DF863A" w:rsidR="00B82BBA" w:rsidRDefault="00B82BBA" w:rsidP="00B82BBA">
      <w:pPr>
        <w:pStyle w:val="Puce1"/>
      </w:pPr>
      <w:r>
        <w:t>Le montant global des prestations forfaitaires tient compte du montant des tranches optionnelles, du montant des forfaits activés pour le lot considéré et d’une simulation s’agissant du MCO complémentaire.</w:t>
      </w:r>
      <w:r w:rsidR="00034DC1">
        <w:t xml:space="preserve"> La simulation est déterminée avant la date limite de réception des offres, ce qui pourra être démontré par tout moyen permettant de donner une date certaine.</w:t>
      </w:r>
    </w:p>
    <w:p w14:paraId="7DF764A4" w14:textId="46244B03" w:rsidR="00F26548" w:rsidRPr="00F35F1C" w:rsidRDefault="00745305" w:rsidP="00B82BBA">
      <w:pPr>
        <w:pStyle w:val="Puce1"/>
      </w:pPr>
      <w:r>
        <w:t xml:space="preserve">Le détail de la simulation de commande n’est pas communiqué dans le présent dossier de consultation des entreprises. </w:t>
      </w:r>
      <w:r w:rsidR="00034DC1">
        <w:t>La simulation est déterminée avant la date limite de réception des offres, ce qui pourra être démontré par tout moyen permettant de donner une date certaine.</w:t>
      </w:r>
    </w:p>
    <w:p w14:paraId="16DCD92C" w14:textId="77777777" w:rsidR="00F26548" w:rsidRPr="00F35F1C" w:rsidRDefault="00F26548" w:rsidP="00F26548">
      <w:r w:rsidRPr="00F35F1C">
        <w:t>Les autres offres sont notées selon l’application de la formule suivante :</w:t>
      </w:r>
    </w:p>
    <w:p w14:paraId="08C14998" w14:textId="77777777" w:rsidR="00F26548" w:rsidRPr="00F35F1C" w:rsidRDefault="00F26548" w:rsidP="00F26548">
      <w:pPr>
        <w:pBdr>
          <w:top w:val="single" w:sz="4" w:space="1" w:color="auto"/>
          <w:left w:val="single" w:sz="4" w:space="4" w:color="auto"/>
          <w:bottom w:val="single" w:sz="4" w:space="1" w:color="auto"/>
          <w:right w:val="single" w:sz="4" w:space="4" w:color="auto"/>
        </w:pBdr>
        <w:jc w:val="center"/>
        <w:rPr>
          <w:lang w:eastAsia="fr-FR"/>
        </w:rPr>
      </w:pPr>
      <w:r w:rsidRPr="00F35F1C">
        <w:rPr>
          <w:lang w:eastAsia="fr-FR"/>
        </w:rPr>
        <w:t xml:space="preserve">Note = 20 x Montant de l'offre la plus </w:t>
      </w:r>
      <w:r>
        <w:rPr>
          <w:lang w:eastAsia="fr-FR"/>
        </w:rPr>
        <w:t>basse</w:t>
      </w:r>
      <w:r w:rsidRPr="00F35F1C">
        <w:rPr>
          <w:lang w:eastAsia="fr-FR"/>
        </w:rPr>
        <w:t xml:space="preserve"> / Montant de l'offre notée</w:t>
      </w:r>
    </w:p>
    <w:p w14:paraId="471B2C56" w14:textId="77777777" w:rsidR="00243F56" w:rsidRPr="008B11F7" w:rsidRDefault="00243F56" w:rsidP="00243F56">
      <w:pPr>
        <w:pStyle w:val="Titre4"/>
      </w:pPr>
      <w:r w:rsidRPr="008B11F7">
        <w:t>Constitution de la note finale</w:t>
      </w:r>
    </w:p>
    <w:p w14:paraId="2BC4B437" w14:textId="3D01A1F9" w:rsidR="00F26548" w:rsidRDefault="00F26548" w:rsidP="00F26548">
      <w:pPr>
        <w:rPr>
          <w:lang w:eastAsia="fr-FR"/>
        </w:rPr>
      </w:pPr>
      <w:r w:rsidRPr="00A515D1">
        <w:rPr>
          <w:lang w:eastAsia="fr-FR"/>
        </w:rPr>
        <w:t>La note finale est obtenue par application successive des pondérations aux notes obtenues tel que précisé ci-dessus.</w:t>
      </w:r>
    </w:p>
    <w:p w14:paraId="42B2A5AD" w14:textId="2562612D" w:rsidR="00F26548" w:rsidRDefault="00F26548" w:rsidP="00F26548">
      <w:r>
        <w:t>L</w:t>
      </w:r>
      <w:r w:rsidRPr="00F35F1C">
        <w:t>e candidat ayant obtenu la note la plus élevée</w:t>
      </w:r>
      <w:r>
        <w:t xml:space="preserve"> est classé premier et déclaré attributaire</w:t>
      </w:r>
      <w:r w:rsidRPr="00F35F1C">
        <w:t xml:space="preserve">. </w:t>
      </w:r>
    </w:p>
    <w:p w14:paraId="1F0D7F2D" w14:textId="04982B0A" w:rsidR="00704C59" w:rsidRPr="00704C59" w:rsidRDefault="00704C59" w:rsidP="00636FE1">
      <w:pPr>
        <w:pStyle w:val="Titre1"/>
      </w:pPr>
      <w:bookmarkStart w:id="192" w:name="_Toc143250952"/>
      <w:bookmarkStart w:id="193" w:name="_Ref143251462"/>
      <w:bookmarkStart w:id="194" w:name="_Toc187833069"/>
      <w:bookmarkStart w:id="195" w:name="_Toc211257317"/>
      <w:r w:rsidRPr="00704C59">
        <w:t>M</w:t>
      </w:r>
      <w:r w:rsidR="007A594F">
        <w:t>odifictions de détail au dossier de consultation</w:t>
      </w:r>
      <w:bookmarkEnd w:id="176"/>
      <w:bookmarkEnd w:id="192"/>
      <w:bookmarkEnd w:id="193"/>
      <w:bookmarkEnd w:id="194"/>
      <w:bookmarkEnd w:id="195"/>
    </w:p>
    <w:p w14:paraId="63D4AC93" w14:textId="1FCBBB3C" w:rsidR="00704C59" w:rsidRPr="006E5A36" w:rsidRDefault="00750357" w:rsidP="00636FE1">
      <w:r w:rsidRPr="00750357">
        <w:t xml:space="preserve">Les </w:t>
      </w:r>
      <w:r w:rsidR="00DA76FE">
        <w:t>candidat</w:t>
      </w:r>
      <w:r w:rsidRPr="00750357">
        <w:t xml:space="preserve">s peuvent demander toutes les précisions qu’ils jugent utiles à l’établissement de leur offre par le biais de la plateforme de dématérialisation avant le dixième jour précédant la date limite de réception des offres figurant à l’article </w:t>
      </w:r>
      <w:r w:rsidR="00F26548">
        <w:fldChar w:fldCharType="begin"/>
      </w:r>
      <w:r w:rsidR="00F26548">
        <w:instrText xml:space="preserve"> REF _Ref187142076 \r \h </w:instrText>
      </w:r>
      <w:r w:rsidR="00F26548">
        <w:fldChar w:fldCharType="separate"/>
      </w:r>
      <w:r w:rsidR="00FC00F4">
        <w:t>6.1</w:t>
      </w:r>
      <w:r w:rsidR="00F26548">
        <w:fldChar w:fldCharType="end"/>
      </w:r>
      <w:r w:rsidRPr="00750357">
        <w:t xml:space="preserve"> du présent document.</w:t>
      </w:r>
      <w:r w:rsidR="00704C59" w:rsidRPr="006E5A36">
        <w:t xml:space="preserve"> </w:t>
      </w:r>
    </w:p>
    <w:p w14:paraId="70ED6B53" w14:textId="06251E1C" w:rsidR="00704C59" w:rsidRPr="006E5A36" w:rsidRDefault="00704C59" w:rsidP="00636FE1">
      <w:r w:rsidRPr="006E5A36">
        <w:t xml:space="preserve">Les questions doivent ainsi être posées sur la plateforme </w:t>
      </w:r>
      <w:hyperlink r:id="rId28" w:history="1">
        <w:r w:rsidR="00362D0E" w:rsidRPr="00837A93">
          <w:rPr>
            <w:rStyle w:val="Lienhypertexte"/>
            <w:rFonts w:cs="Calibri"/>
            <w:b/>
          </w:rPr>
          <w:t>www.marches-publics.gouv.fr</w:t>
        </w:r>
      </w:hyperlink>
      <w:r w:rsidR="00F26548">
        <w:rPr>
          <w:rStyle w:val="Lienhypertexte"/>
          <w:rFonts w:cs="Calibri"/>
          <w:b/>
        </w:rPr>
        <w:t>.</w:t>
      </w:r>
    </w:p>
    <w:p w14:paraId="5F3B4CE1" w14:textId="40E89947" w:rsidR="009B3443" w:rsidRPr="009B3443" w:rsidRDefault="009B3443" w:rsidP="00636FE1">
      <w:r w:rsidRPr="009B3443">
        <w:t xml:space="preserve">Conformément </w:t>
      </w:r>
      <w:r w:rsidR="005E2FF8">
        <w:t xml:space="preserve">à </w:t>
      </w:r>
      <w:r w:rsidRPr="009B3443">
        <w:t xml:space="preserve">l’article </w:t>
      </w:r>
      <w:r w:rsidR="005E2FF8">
        <w:t>R2132-6 du Code de la commande publique</w:t>
      </w:r>
      <w:r w:rsidRPr="009B3443">
        <w:t>, une réponse commune est adressée au plus tard 6 jours</w:t>
      </w:r>
      <w:r w:rsidR="00AF2EC5">
        <w:t xml:space="preserve"> </w:t>
      </w:r>
      <w:r w:rsidRPr="009B3443">
        <w:t xml:space="preserve">avant la date limite fixée pour la réception des dossiers à tous les </w:t>
      </w:r>
      <w:r w:rsidR="00DA76FE">
        <w:t>candidat</w:t>
      </w:r>
      <w:r w:rsidRPr="009B3443">
        <w:t>s s’il s’agit de compléments nécessaires à l’établissement de leurs dossiers.</w:t>
      </w:r>
    </w:p>
    <w:p w14:paraId="01014C27" w14:textId="64675287" w:rsidR="009B3443" w:rsidRPr="006E5A36" w:rsidRDefault="00173B5B" w:rsidP="00636FE1">
      <w:r>
        <w:t>La Cnam</w:t>
      </w:r>
      <w:r w:rsidR="00704C59" w:rsidRPr="006E5A36">
        <w:t xml:space="preserve"> se réserve le droit d’apporter au plus tard 6 jours avant la date limite fixée pour la réception des dossiers, des modifications de détail au dossier de consultation. Les candidats doivent alors répondre sur la base du dossier modifié sans pouvoir lever aucune réclamation à ce sujet. Si, pendant l’étude du dossier par les </w:t>
      </w:r>
      <w:r w:rsidR="00DA76FE">
        <w:t>candidat</w:t>
      </w:r>
      <w:r w:rsidR="00704C59" w:rsidRPr="006E5A36">
        <w:t>s, la date limite de réception des dossiers est reportée, les dispositions précédentes sont applicables en fonction de cette nouvelle date.</w:t>
      </w:r>
    </w:p>
    <w:p w14:paraId="29D323AD" w14:textId="16E98A23" w:rsidR="00704C59" w:rsidRPr="00704C59" w:rsidRDefault="00704C59" w:rsidP="00636FE1">
      <w:pPr>
        <w:pStyle w:val="Titre1"/>
      </w:pPr>
      <w:bookmarkStart w:id="196" w:name="_Toc387997739"/>
      <w:bookmarkStart w:id="197" w:name="_Toc143250953"/>
      <w:bookmarkStart w:id="198" w:name="_Toc187833070"/>
      <w:bookmarkStart w:id="199" w:name="_Toc211257318"/>
      <w:r w:rsidRPr="00704C59">
        <w:t>I</w:t>
      </w:r>
      <w:r w:rsidR="00636FE1">
        <w:t>nstances et voies de recours</w:t>
      </w:r>
      <w:bookmarkEnd w:id="196"/>
      <w:bookmarkEnd w:id="197"/>
      <w:bookmarkEnd w:id="198"/>
      <w:bookmarkEnd w:id="199"/>
    </w:p>
    <w:p w14:paraId="240C5D79" w14:textId="296AC4F1" w:rsidR="00E8367F" w:rsidRPr="006E5A36" w:rsidRDefault="00E8367F" w:rsidP="00636FE1">
      <w:pPr>
        <w:rPr>
          <w:lang w:eastAsia="fr-FR"/>
        </w:rPr>
      </w:pPr>
      <w:bookmarkStart w:id="200" w:name="_Toc211139589"/>
      <w:bookmarkStart w:id="201" w:name="_Toc339962364"/>
      <w:bookmarkStart w:id="202" w:name="_Toc387997740"/>
      <w:bookmarkStart w:id="203" w:name="_Toc391475849"/>
      <w:r w:rsidRPr="006E5A36">
        <w:rPr>
          <w:lang w:eastAsia="fr-FR"/>
        </w:rPr>
        <w:t xml:space="preserve">Les </w:t>
      </w:r>
      <w:r w:rsidR="00AF2EC5">
        <w:rPr>
          <w:lang w:eastAsia="fr-FR"/>
        </w:rPr>
        <w:t>candidats</w:t>
      </w:r>
      <w:r w:rsidRPr="006E5A36">
        <w:rPr>
          <w:lang w:eastAsia="fr-FR"/>
        </w:rPr>
        <w:t xml:space="preserve"> peuvent également obtenir des informations concernant l’introduction des recours auprès du Tribunal administratif de Paris.</w:t>
      </w:r>
    </w:p>
    <w:p w14:paraId="45D5CB33" w14:textId="77777777" w:rsidR="00AF2EC5" w:rsidRPr="006E5A36" w:rsidRDefault="00AF2EC5" w:rsidP="00AF2EC5">
      <w:bookmarkStart w:id="204" w:name="_Toc387997742"/>
      <w:bookmarkStart w:id="205" w:name="_Toc5115046"/>
      <w:bookmarkStart w:id="206" w:name="_Toc143250954"/>
      <w:bookmarkEnd w:id="200"/>
      <w:bookmarkEnd w:id="201"/>
      <w:bookmarkEnd w:id="202"/>
      <w:bookmarkEnd w:id="203"/>
      <w:r w:rsidRPr="006E5A36">
        <w:lastRenderedPageBreak/>
        <w:t>Adresse :</w:t>
      </w:r>
    </w:p>
    <w:p w14:paraId="35E136C6" w14:textId="77777777" w:rsidR="00AF2EC5" w:rsidRPr="006E5A36" w:rsidRDefault="00AF2EC5" w:rsidP="00AF2EC5">
      <w:pPr>
        <w:spacing w:before="0" w:after="0"/>
        <w:ind w:left="284"/>
      </w:pPr>
      <w:r w:rsidRPr="006E5A36">
        <w:t xml:space="preserve">Tribunal administratif de Paris </w:t>
      </w:r>
    </w:p>
    <w:p w14:paraId="1BFF1C34" w14:textId="77777777" w:rsidR="00AF2EC5" w:rsidRPr="006E5A36" w:rsidRDefault="00AF2EC5" w:rsidP="00AF2EC5">
      <w:pPr>
        <w:spacing w:before="0" w:after="0"/>
        <w:ind w:left="284"/>
      </w:pPr>
      <w:r w:rsidRPr="006E5A36">
        <w:t>7, rue de Jouy</w:t>
      </w:r>
    </w:p>
    <w:p w14:paraId="24E9BB4D" w14:textId="77777777" w:rsidR="00AF2EC5" w:rsidRPr="006E5A36" w:rsidRDefault="00AF2EC5" w:rsidP="00AF2EC5">
      <w:pPr>
        <w:spacing w:before="0" w:after="0"/>
        <w:ind w:left="284"/>
      </w:pPr>
      <w:r w:rsidRPr="006E5A36">
        <w:t>75181 PARIS Cedex 04</w:t>
      </w:r>
    </w:p>
    <w:p w14:paraId="35C34C98" w14:textId="77777777" w:rsidR="00AF2EC5" w:rsidRPr="006E5A36" w:rsidRDefault="00AF2EC5" w:rsidP="00AF2EC5">
      <w:pPr>
        <w:spacing w:before="0" w:after="0"/>
      </w:pPr>
    </w:p>
    <w:p w14:paraId="205E31F8" w14:textId="77777777" w:rsidR="00AF2EC5" w:rsidRPr="006E5A36" w:rsidRDefault="00AF2EC5" w:rsidP="00AF2EC5">
      <w:pPr>
        <w:spacing w:before="0" w:after="0"/>
        <w:ind w:left="284"/>
      </w:pPr>
      <w:r w:rsidRPr="006E5A36">
        <w:t>Téléphone : 01 44 59 44 00</w:t>
      </w:r>
    </w:p>
    <w:p w14:paraId="58AFCD43" w14:textId="77777777" w:rsidR="00AF2EC5" w:rsidRPr="006E5A36" w:rsidRDefault="00AF2EC5" w:rsidP="00AF2EC5">
      <w:pPr>
        <w:spacing w:before="0" w:after="0"/>
        <w:ind w:left="284"/>
      </w:pPr>
      <w:r w:rsidRPr="006E5A36">
        <w:t>Télécopieur : 01 44 59 46 46</w:t>
      </w:r>
    </w:p>
    <w:p w14:paraId="6B6258D5" w14:textId="06916BAB" w:rsidR="00AF2EC5" w:rsidRDefault="00AF2EC5" w:rsidP="00AF2EC5">
      <w:pPr>
        <w:spacing w:before="0" w:after="0"/>
        <w:ind w:left="284"/>
        <w:rPr>
          <w:rStyle w:val="Lienhypertexte"/>
        </w:rPr>
      </w:pPr>
      <w:r w:rsidRPr="006E5A36">
        <w:t>Email :</w:t>
      </w:r>
      <w:r w:rsidRPr="006E5A36">
        <w:rPr>
          <w:color w:val="FF0000"/>
        </w:rPr>
        <w:t xml:space="preserve"> </w:t>
      </w:r>
      <w:hyperlink r:id="rId29" w:history="1">
        <w:r w:rsidRPr="006E5A36">
          <w:rPr>
            <w:rStyle w:val="Lienhypertexte"/>
          </w:rPr>
          <w:t>greffe.ta-paris@juradm.fr</w:t>
        </w:r>
      </w:hyperlink>
    </w:p>
    <w:p w14:paraId="78AE170E" w14:textId="6BBA40A5" w:rsidR="002938C3" w:rsidRPr="002938C3" w:rsidRDefault="002938C3" w:rsidP="00636FE1">
      <w:pPr>
        <w:pStyle w:val="Titre1"/>
      </w:pPr>
      <w:bookmarkStart w:id="207" w:name="_Toc187833071"/>
      <w:bookmarkStart w:id="208" w:name="_Toc211257319"/>
      <w:r w:rsidRPr="002938C3">
        <w:t>C</w:t>
      </w:r>
      <w:r w:rsidR="00636FE1">
        <w:t>onflits d’intérêt</w:t>
      </w:r>
      <w:bookmarkEnd w:id="204"/>
      <w:bookmarkEnd w:id="205"/>
      <w:bookmarkEnd w:id="206"/>
      <w:bookmarkEnd w:id="207"/>
      <w:bookmarkEnd w:id="208"/>
    </w:p>
    <w:p w14:paraId="49B767B3" w14:textId="3E2708FE" w:rsidR="002938C3" w:rsidRPr="002938C3" w:rsidRDefault="002938C3" w:rsidP="00636FE1">
      <w:pPr>
        <w:rPr>
          <w:b/>
          <w:bCs/>
          <w:caps/>
        </w:rPr>
      </w:pPr>
      <w:r w:rsidRPr="002938C3">
        <w:t xml:space="preserve">Dans l’hypothèse où un candidat est Titulaire d’un accord-cadre ou d’un marché de la Cnam dont l’exécution supposerait un conflit d’intérêt, il </w:t>
      </w:r>
      <w:r w:rsidR="00AF2EC5">
        <w:t>doit</w:t>
      </w:r>
      <w:r w:rsidRPr="002938C3">
        <w:t xml:space="preserve"> justifier à la Cnam l’inexistence de ce conflit d’intérêt. Ainsi, une entreprise qui serait par ailleurs, Titulaire d'un marché, ou d'un accord-cadre</w:t>
      </w:r>
      <w:r w:rsidR="005A4537">
        <w:t>, éventuellement</w:t>
      </w:r>
      <w:r w:rsidRPr="002938C3">
        <w:t xml:space="preserve"> soumis à remise en concurrence périodique, en matière </w:t>
      </w:r>
      <w:r w:rsidR="005A4537">
        <w:t>d’assistance à maîtrise d’ouvrage</w:t>
      </w:r>
      <w:r w:rsidR="005A4537" w:rsidRPr="002938C3">
        <w:t xml:space="preserve"> </w:t>
      </w:r>
      <w:r w:rsidRPr="002938C3">
        <w:t xml:space="preserve">par exemple, </w:t>
      </w:r>
      <w:r w:rsidR="005A4537">
        <w:t>doit</w:t>
      </w:r>
      <w:r w:rsidR="005A4537" w:rsidRPr="002938C3">
        <w:t xml:space="preserve"> </w:t>
      </w:r>
      <w:r w:rsidRPr="002938C3">
        <w:t xml:space="preserve">prouver </w:t>
      </w:r>
      <w:r w:rsidRPr="005A4537">
        <w:rPr>
          <w:u w:val="single"/>
        </w:rPr>
        <w:t>a priori</w:t>
      </w:r>
      <w:r w:rsidRPr="002938C3">
        <w:t xml:space="preserve">, qu'elle peut devenir Titulaire </w:t>
      </w:r>
      <w:r w:rsidR="005A4537">
        <w:t xml:space="preserve">(seul ou en groupement) </w:t>
      </w:r>
      <w:r w:rsidRPr="002938C3">
        <w:t xml:space="preserve">de l’accord-cadre </w:t>
      </w:r>
      <w:r w:rsidR="005A4537">
        <w:t>ou sous-traitant</w:t>
      </w:r>
      <w:r w:rsidRPr="002938C3">
        <w:t>, sans que cela créé une distorsion de concurrence.</w:t>
      </w:r>
    </w:p>
    <w:p w14:paraId="1C12225C" w14:textId="31192773" w:rsidR="002938C3" w:rsidRPr="002938C3" w:rsidRDefault="002938C3" w:rsidP="00636FE1">
      <w:r w:rsidRPr="002938C3">
        <w:t>Pour cela, les candidats doi</w:t>
      </w:r>
      <w:r w:rsidR="00AF2EC5">
        <w:t>vent justifier dans leur offre d</w:t>
      </w:r>
      <w:r w:rsidRPr="002938C3">
        <w:t>es méthodes et mesures mises en œuvre pour garantir l’absence de conflit d’intérêt.</w:t>
      </w:r>
    </w:p>
    <w:p w14:paraId="7EBCDF36" w14:textId="0B3470D0" w:rsidR="002938C3" w:rsidRPr="002938C3" w:rsidRDefault="002938C3" w:rsidP="00636FE1">
      <w:r w:rsidRPr="002938C3">
        <w:t>La</w:t>
      </w:r>
      <w:r w:rsidR="00AF2EC5">
        <w:t xml:space="preserve"> Cnam veille</w:t>
      </w:r>
      <w:r w:rsidRPr="002938C3">
        <w:t xml:space="preserve">, sur la base des informations contenues dans l’offre du Titulaire, à ce que celui-ci ne soit pas en situation de conflits d’intérêts. </w:t>
      </w:r>
    </w:p>
    <w:p w14:paraId="2ECC18DF" w14:textId="2B67151F" w:rsidR="002938C3" w:rsidRDefault="002938C3" w:rsidP="00636FE1">
      <w:r w:rsidRPr="002938C3">
        <w:t>Il est entendu que la Cnam reste seule juge de la pertinence des arguments avancés.</w:t>
      </w:r>
      <w:bookmarkStart w:id="209" w:name="_Toc205265354"/>
      <w:bookmarkStart w:id="210" w:name="_Toc329852025"/>
      <w:bookmarkStart w:id="211" w:name="_Toc350865555"/>
      <w:bookmarkEnd w:id="209"/>
      <w:bookmarkEnd w:id="210"/>
      <w:bookmarkEnd w:id="211"/>
    </w:p>
    <w:p w14:paraId="374AB596" w14:textId="266911D1" w:rsidR="00D94CC0" w:rsidRDefault="00D94CC0" w:rsidP="00D94CC0">
      <w:r>
        <w:br w:type="page"/>
      </w:r>
    </w:p>
    <w:p w14:paraId="6BA9EFB5" w14:textId="632FFB82" w:rsidR="00FA08A5" w:rsidRDefault="00636FE1" w:rsidP="00D94CC0">
      <w:pPr>
        <w:pStyle w:val="Titre1"/>
        <w:numPr>
          <w:ilvl w:val="0"/>
          <w:numId w:val="0"/>
        </w:numPr>
        <w:ind w:left="432" w:hanging="432"/>
      </w:pPr>
      <w:bookmarkStart w:id="212" w:name="_Toc187833072"/>
      <w:bookmarkStart w:id="213" w:name="_Toc211257320"/>
      <w:r>
        <w:lastRenderedPageBreak/>
        <w:t>Annexe</w:t>
      </w:r>
      <w:bookmarkEnd w:id="212"/>
      <w:bookmarkEnd w:id="213"/>
    </w:p>
    <w:p w14:paraId="0829D220" w14:textId="257487B8" w:rsidR="00B408F8" w:rsidRDefault="00B408F8" w:rsidP="00636FE1">
      <w:pPr>
        <w:rPr>
          <w:u w:val="single"/>
          <w:lang w:eastAsia="fr-FR"/>
        </w:rPr>
      </w:pPr>
      <w:r>
        <w:rPr>
          <w:u w:val="single"/>
          <w:lang w:eastAsia="fr-FR"/>
        </w:rPr>
        <w:t>Commune à tous les lots :</w:t>
      </w:r>
    </w:p>
    <w:p w14:paraId="78791913" w14:textId="4E04D4DB" w:rsidR="00B408F8" w:rsidRDefault="00B408F8" w:rsidP="00B408F8">
      <w:pPr>
        <w:pStyle w:val="Puce1"/>
      </w:pPr>
      <w:r>
        <w:t>Engagement de confidentialité</w:t>
      </w:r>
    </w:p>
    <w:p w14:paraId="34470A8D" w14:textId="54A7A797" w:rsidR="00B408F8" w:rsidRDefault="00B408F8" w:rsidP="00B408F8">
      <w:pPr>
        <w:pStyle w:val="Pucedoigt"/>
        <w:rPr>
          <w:lang w:eastAsia="fr-FR"/>
        </w:rPr>
      </w:pPr>
      <w:r>
        <w:rPr>
          <w:lang w:eastAsia="fr-FR"/>
        </w:rPr>
        <w:t>Fichier « </w:t>
      </w:r>
      <w:r w:rsidR="003126D2">
        <w:rPr>
          <w:lang w:eastAsia="fr-FR"/>
        </w:rPr>
        <w:t>2370</w:t>
      </w:r>
      <w:r w:rsidRPr="00B408F8">
        <w:rPr>
          <w:lang w:eastAsia="fr-FR"/>
        </w:rPr>
        <w:t>.AC.</w:t>
      </w:r>
      <w:r w:rsidR="003126D2">
        <w:rPr>
          <w:lang w:eastAsia="fr-FR"/>
        </w:rPr>
        <w:t>3075</w:t>
      </w:r>
      <w:r w:rsidRPr="00B408F8">
        <w:rPr>
          <w:lang w:eastAsia="fr-FR"/>
        </w:rPr>
        <w:t>_</w:t>
      </w:r>
      <w:r w:rsidR="003126D2">
        <w:rPr>
          <w:lang w:eastAsia="fr-FR"/>
        </w:rPr>
        <w:t>AT</w:t>
      </w:r>
      <w:r w:rsidRPr="00B408F8">
        <w:rPr>
          <w:lang w:eastAsia="fr-FR"/>
        </w:rPr>
        <w:t>_RC_Annexe_Engagement de confidentialité</w:t>
      </w:r>
      <w:r>
        <w:rPr>
          <w:lang w:eastAsia="fr-FR"/>
        </w:rPr>
        <w:t>.docx »</w:t>
      </w:r>
    </w:p>
    <w:sectPr w:rsidR="00B408F8" w:rsidSect="00CC7D1D">
      <w:headerReference w:type="default" r:id="rId30"/>
      <w:footerReference w:type="defaul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55DF0" w14:textId="77777777" w:rsidR="00AA53B9" w:rsidRDefault="00AA53B9" w:rsidP="00636FE1">
      <w:r>
        <w:separator/>
      </w:r>
    </w:p>
  </w:endnote>
  <w:endnote w:type="continuationSeparator" w:id="0">
    <w:p w14:paraId="72C4D06B" w14:textId="77777777" w:rsidR="00AA53B9" w:rsidRDefault="00AA53B9" w:rsidP="00636FE1">
      <w:r>
        <w:continuationSeparator/>
      </w:r>
    </w:p>
  </w:endnote>
  <w:endnote w:type="continuationNotice" w:id="1">
    <w:p w14:paraId="5D00CB8C" w14:textId="77777777" w:rsidR="00AA53B9" w:rsidRDefault="00AA53B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B6FFE" w14:textId="1C0D9ECB" w:rsidR="00AE7BA8" w:rsidRPr="00636FE1" w:rsidRDefault="00AE7BA8" w:rsidP="00636FE1">
    <w:pPr>
      <w:pStyle w:val="Pieddepage"/>
      <w:pBdr>
        <w:top w:val="single" w:sz="4" w:space="1" w:color="auto"/>
      </w:pBdr>
      <w:tabs>
        <w:tab w:val="clear" w:pos="4536"/>
        <w:tab w:val="center" w:pos="9072"/>
      </w:tabs>
      <w:spacing w:before="0"/>
      <w:rPr>
        <w:rFonts w:asciiTheme="minorHAnsi" w:hAnsiTheme="minorHAnsi"/>
        <w:i/>
        <w:sz w:val="18"/>
        <w:szCs w:val="18"/>
      </w:rPr>
    </w:pPr>
    <w:r w:rsidRPr="00636FE1">
      <w:rPr>
        <w:rFonts w:asciiTheme="minorHAnsi" w:hAnsiTheme="minorHAnsi"/>
        <w:i/>
        <w:sz w:val="18"/>
        <w:szCs w:val="18"/>
      </w:rPr>
      <w:t>Règlement de la consultation</w:t>
    </w:r>
    <w:r>
      <w:rPr>
        <w:rFonts w:asciiTheme="minorHAnsi" w:hAnsiTheme="minorHAnsi"/>
        <w:i/>
        <w:sz w:val="18"/>
        <w:szCs w:val="18"/>
      </w:rPr>
      <w:t xml:space="preserve"> - </w:t>
    </w:r>
    <w:r w:rsidRPr="00636FE1">
      <w:rPr>
        <w:rFonts w:asciiTheme="minorHAnsi" w:hAnsiTheme="minorHAnsi"/>
        <w:i/>
        <w:sz w:val="18"/>
        <w:szCs w:val="18"/>
      </w:rPr>
      <w:t>Procédure n°</w:t>
    </w:r>
    <w:r>
      <w:rPr>
        <w:rFonts w:asciiTheme="minorHAnsi" w:hAnsiTheme="minorHAnsi"/>
        <w:i/>
        <w:sz w:val="18"/>
        <w:szCs w:val="18"/>
      </w:rPr>
      <w:t>2370</w:t>
    </w:r>
    <w:r w:rsidRPr="00636FE1">
      <w:rPr>
        <w:rFonts w:asciiTheme="minorHAnsi" w:hAnsiTheme="minorHAnsi"/>
        <w:i/>
        <w:sz w:val="18"/>
        <w:szCs w:val="18"/>
      </w:rPr>
      <w:t>.AC.</w:t>
    </w:r>
    <w:r>
      <w:rPr>
        <w:rFonts w:asciiTheme="minorHAnsi" w:hAnsiTheme="minorHAnsi"/>
        <w:i/>
        <w:sz w:val="18"/>
        <w:szCs w:val="18"/>
      </w:rPr>
      <w:t>3075</w:t>
    </w:r>
    <w:r w:rsidRPr="00636FE1">
      <w:rPr>
        <w:rFonts w:asciiTheme="minorHAnsi" w:hAnsiTheme="minorHAnsi"/>
        <w:i/>
        <w:sz w:val="18"/>
        <w:szCs w:val="18"/>
      </w:rPr>
      <w:tab/>
      <w:t xml:space="preserve">Page </w:t>
    </w:r>
    <w:r w:rsidRPr="00636FE1">
      <w:rPr>
        <w:rFonts w:asciiTheme="minorHAnsi" w:hAnsiTheme="minorHAnsi"/>
        <w:i/>
        <w:sz w:val="18"/>
        <w:szCs w:val="18"/>
      </w:rPr>
      <w:fldChar w:fldCharType="begin"/>
    </w:r>
    <w:r w:rsidRPr="00636FE1">
      <w:rPr>
        <w:rFonts w:asciiTheme="minorHAnsi" w:hAnsiTheme="minorHAnsi"/>
        <w:i/>
        <w:sz w:val="18"/>
        <w:szCs w:val="18"/>
      </w:rPr>
      <w:instrText>PAGE  \* Arabic  \* MERGEFORMAT</w:instrText>
    </w:r>
    <w:r w:rsidRPr="00636FE1">
      <w:rPr>
        <w:rFonts w:asciiTheme="minorHAnsi" w:hAnsiTheme="minorHAnsi"/>
        <w:i/>
        <w:sz w:val="18"/>
        <w:szCs w:val="18"/>
      </w:rPr>
      <w:fldChar w:fldCharType="separate"/>
    </w:r>
    <w:r w:rsidR="00412BD1">
      <w:rPr>
        <w:rFonts w:asciiTheme="minorHAnsi" w:hAnsiTheme="minorHAnsi"/>
        <w:i/>
        <w:noProof/>
        <w:sz w:val="18"/>
        <w:szCs w:val="18"/>
      </w:rPr>
      <w:t>20</w:t>
    </w:r>
    <w:r w:rsidRPr="00636FE1">
      <w:rPr>
        <w:rFonts w:asciiTheme="minorHAnsi" w:hAnsiTheme="minorHAnsi"/>
        <w:i/>
        <w:sz w:val="18"/>
        <w:szCs w:val="18"/>
      </w:rPr>
      <w:fldChar w:fldCharType="end"/>
    </w:r>
    <w:r w:rsidRPr="00636FE1">
      <w:rPr>
        <w:rFonts w:asciiTheme="minorHAnsi" w:hAnsiTheme="minorHAnsi"/>
        <w:i/>
        <w:sz w:val="18"/>
        <w:szCs w:val="18"/>
      </w:rPr>
      <w:t xml:space="preserve"> sur </w:t>
    </w:r>
    <w:r w:rsidRPr="00636FE1">
      <w:rPr>
        <w:rFonts w:asciiTheme="minorHAnsi" w:hAnsiTheme="minorHAnsi"/>
        <w:i/>
        <w:sz w:val="18"/>
        <w:szCs w:val="18"/>
      </w:rPr>
      <w:fldChar w:fldCharType="begin"/>
    </w:r>
    <w:r w:rsidRPr="00636FE1">
      <w:rPr>
        <w:rFonts w:asciiTheme="minorHAnsi" w:hAnsiTheme="minorHAnsi"/>
        <w:i/>
        <w:sz w:val="18"/>
        <w:szCs w:val="18"/>
      </w:rPr>
      <w:instrText>NUMPAGES  \* Arabic  \* MERGEFORMAT</w:instrText>
    </w:r>
    <w:r w:rsidRPr="00636FE1">
      <w:rPr>
        <w:rFonts w:asciiTheme="minorHAnsi" w:hAnsiTheme="minorHAnsi"/>
        <w:i/>
        <w:sz w:val="18"/>
        <w:szCs w:val="18"/>
      </w:rPr>
      <w:fldChar w:fldCharType="separate"/>
    </w:r>
    <w:r w:rsidR="00412BD1">
      <w:rPr>
        <w:rFonts w:asciiTheme="minorHAnsi" w:hAnsiTheme="minorHAnsi"/>
        <w:i/>
        <w:noProof/>
        <w:sz w:val="18"/>
        <w:szCs w:val="18"/>
      </w:rPr>
      <w:t>24</w:t>
    </w:r>
    <w:r w:rsidRPr="00636FE1">
      <w:rPr>
        <w:rFonts w:asciiTheme="minorHAnsi" w:hAnsiTheme="minorHAnsi"/>
        <w:i/>
        <w:sz w:val="18"/>
        <w:szCs w:val="18"/>
      </w:rPr>
      <w:fldChar w:fldCharType="end"/>
    </w:r>
  </w:p>
  <w:p w14:paraId="34DD69A2" w14:textId="34975AF0" w:rsidR="00AE7BA8" w:rsidRPr="00636FE1" w:rsidRDefault="00AE7BA8" w:rsidP="00636FE1">
    <w:pPr>
      <w:pStyle w:val="Pieddepage"/>
      <w:spacing w:before="0"/>
      <w:rPr>
        <w:rFonts w:asciiTheme="minorHAnsi" w:hAnsiTheme="minorHAnsi"/>
        <w:i/>
        <w:sz w:val="18"/>
        <w:szCs w:val="18"/>
      </w:rPr>
    </w:pPr>
    <w:r>
      <w:rPr>
        <w:rFonts w:asciiTheme="minorHAnsi" w:hAnsiTheme="minorHAnsi"/>
        <w:i/>
        <w:sz w:val="18"/>
        <w:szCs w:val="18"/>
      </w:rPr>
      <w:t xml:space="preserve">Assistance technique </w:t>
    </w:r>
    <w:r w:rsidRPr="00321945">
      <w:rPr>
        <w:rFonts w:asciiTheme="minorHAnsi" w:hAnsiTheme="minorHAnsi"/>
        <w:i/>
        <w:sz w:val="18"/>
        <w:szCs w:val="18"/>
      </w:rPr>
      <w:t>pour la construction et pour le maintien en conditions opérationnelles de l’infrastructure technique et applicative du système d’information</w:t>
    </w:r>
    <w:r>
      <w:rPr>
        <w:rFonts w:asciiTheme="minorHAnsi" w:hAnsiTheme="minorHAnsi"/>
        <w:i/>
        <w:sz w:val="18"/>
        <w:szCs w:val="18"/>
      </w:rPr>
      <w:t xml:space="preserve"> – 3 lots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A50B7" w14:textId="77777777" w:rsidR="00AA53B9" w:rsidRDefault="00AA53B9" w:rsidP="00636FE1">
      <w:r>
        <w:separator/>
      </w:r>
    </w:p>
  </w:footnote>
  <w:footnote w:type="continuationSeparator" w:id="0">
    <w:p w14:paraId="01C73E82" w14:textId="77777777" w:rsidR="00AA53B9" w:rsidRDefault="00AA53B9" w:rsidP="00636FE1">
      <w:r>
        <w:continuationSeparator/>
      </w:r>
    </w:p>
  </w:footnote>
  <w:footnote w:type="continuationNotice" w:id="1">
    <w:p w14:paraId="7DE7C34B" w14:textId="77777777" w:rsidR="00AA53B9" w:rsidRDefault="00AA53B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31A01686" w:rsidR="00AE7BA8" w:rsidRPr="00636FE1" w:rsidRDefault="00AE7BA8" w:rsidP="00636FE1">
    <w:pPr>
      <w:pStyle w:val="En-tete"/>
    </w:pPr>
    <w:r w:rsidRPr="00636FE1">
      <w:t>Caisse Nationale d’Assurance Maladie</w:t>
    </w:r>
    <w:r w:rsidRPr="00636FE1">
      <w:tab/>
    </w:r>
    <w:r>
      <w:t>15/01/2025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35583"/>
    <w:multiLevelType w:val="hybridMultilevel"/>
    <w:tmpl w:val="3FB2E9E8"/>
    <w:lvl w:ilvl="0" w:tplc="1A34B7B2">
      <w:start w:val="1"/>
      <w:numFmt w:val="bullet"/>
      <w:pStyle w:val="Puce1"/>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 w15:restartNumberingAfterBreak="0">
    <w:nsid w:val="195757D2"/>
    <w:multiLevelType w:val="multilevel"/>
    <w:tmpl w:val="67E08E7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556170"/>
    <w:multiLevelType w:val="hybridMultilevel"/>
    <w:tmpl w:val="356E0D34"/>
    <w:lvl w:ilvl="0" w:tplc="B96CD9DA">
      <w:numFmt w:val="bullet"/>
      <w:lvlText w:val="-"/>
      <w:lvlJc w:val="left"/>
      <w:pPr>
        <w:ind w:left="720" w:hanging="360"/>
      </w:pPr>
      <w:rPr>
        <w:rFonts w:ascii="Calibri" w:eastAsia="Calibri" w:hAnsi="Calibri" w:cs="Calibri" w:hint="default"/>
      </w:rPr>
    </w:lvl>
    <w:lvl w:ilvl="1" w:tplc="DD26887C">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7"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8"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6545521B"/>
    <w:multiLevelType w:val="hybridMultilevel"/>
    <w:tmpl w:val="3FF2A120"/>
    <w:lvl w:ilvl="0" w:tplc="B1885706">
      <w:start w:val="1"/>
      <w:numFmt w:val="bullet"/>
      <w:pStyle w:val="Pucedoig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4D0F07"/>
    <w:multiLevelType w:val="multilevel"/>
    <w:tmpl w:val="67E08E7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712320FD"/>
    <w:multiLevelType w:val="multilevel"/>
    <w:tmpl w:val="67E08E7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7979719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3"/>
  </w:num>
  <w:num w:numId="5">
    <w:abstractNumId w:val="3"/>
  </w:num>
  <w:num w:numId="6">
    <w:abstractNumId w:val="8"/>
  </w:num>
  <w:num w:numId="7">
    <w:abstractNumId w:val="5"/>
  </w:num>
  <w:num w:numId="8">
    <w:abstractNumId w:val="4"/>
  </w:num>
  <w:num w:numId="9">
    <w:abstractNumId w:val="0"/>
  </w:num>
  <w:num w:numId="10">
    <w:abstractNumId w:val="10"/>
  </w:num>
  <w:num w:numId="11">
    <w:abstractNumId w:val="1"/>
  </w:num>
  <w:num w:numId="12">
    <w:abstractNumId w:val="11"/>
  </w:num>
  <w:num w:numId="13">
    <w:abstractNumId w:val="12"/>
  </w:num>
  <w:num w:numId="14">
    <w:abstractNumId w:val="9"/>
  </w:num>
  <w:num w:numId="15">
    <w:abstractNumId w:val="9"/>
  </w:num>
  <w:num w:numId="16">
    <w:abstractNumId w:val="9"/>
  </w:num>
  <w:num w:numId="17">
    <w:abstractNumId w:val="9"/>
  </w:num>
  <w:num w:numId="18">
    <w:abstractNumId w:val="12"/>
  </w:num>
  <w:num w:numId="1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5FD4"/>
    <w:rsid w:val="000113B1"/>
    <w:rsid w:val="00011D2B"/>
    <w:rsid w:val="0002201C"/>
    <w:rsid w:val="00025CA3"/>
    <w:rsid w:val="00033D00"/>
    <w:rsid w:val="00033FDC"/>
    <w:rsid w:val="0003470F"/>
    <w:rsid w:val="00034DC1"/>
    <w:rsid w:val="00037E4C"/>
    <w:rsid w:val="000414B8"/>
    <w:rsid w:val="000449B5"/>
    <w:rsid w:val="0004648F"/>
    <w:rsid w:val="000515C7"/>
    <w:rsid w:val="0005186E"/>
    <w:rsid w:val="00051A9A"/>
    <w:rsid w:val="0005319D"/>
    <w:rsid w:val="00053747"/>
    <w:rsid w:val="000572FE"/>
    <w:rsid w:val="00060320"/>
    <w:rsid w:val="000608E6"/>
    <w:rsid w:val="0006448B"/>
    <w:rsid w:val="00074D0A"/>
    <w:rsid w:val="000816DF"/>
    <w:rsid w:val="000823E4"/>
    <w:rsid w:val="00085317"/>
    <w:rsid w:val="00085A2B"/>
    <w:rsid w:val="00090E0D"/>
    <w:rsid w:val="00091B64"/>
    <w:rsid w:val="000940F2"/>
    <w:rsid w:val="000A0D4C"/>
    <w:rsid w:val="000A2DE8"/>
    <w:rsid w:val="000A376E"/>
    <w:rsid w:val="000A5A97"/>
    <w:rsid w:val="000A677B"/>
    <w:rsid w:val="000B2D66"/>
    <w:rsid w:val="000B3B33"/>
    <w:rsid w:val="000B4D4A"/>
    <w:rsid w:val="000B5C1C"/>
    <w:rsid w:val="000B5C43"/>
    <w:rsid w:val="000B6855"/>
    <w:rsid w:val="000B7A16"/>
    <w:rsid w:val="000C0F56"/>
    <w:rsid w:val="000C17F0"/>
    <w:rsid w:val="000C67B0"/>
    <w:rsid w:val="000D0528"/>
    <w:rsid w:val="000D2180"/>
    <w:rsid w:val="000D2B32"/>
    <w:rsid w:val="000D3335"/>
    <w:rsid w:val="000D50FD"/>
    <w:rsid w:val="000D57A6"/>
    <w:rsid w:val="000D6C75"/>
    <w:rsid w:val="000E4A1E"/>
    <w:rsid w:val="000F7110"/>
    <w:rsid w:val="000F7C3C"/>
    <w:rsid w:val="00110858"/>
    <w:rsid w:val="00110C46"/>
    <w:rsid w:val="00116474"/>
    <w:rsid w:val="00116669"/>
    <w:rsid w:val="0012067A"/>
    <w:rsid w:val="001210FE"/>
    <w:rsid w:val="001218A3"/>
    <w:rsid w:val="00121C69"/>
    <w:rsid w:val="00121E7A"/>
    <w:rsid w:val="00121FCB"/>
    <w:rsid w:val="00124AD4"/>
    <w:rsid w:val="001334F0"/>
    <w:rsid w:val="00134D5B"/>
    <w:rsid w:val="001418C8"/>
    <w:rsid w:val="0014282B"/>
    <w:rsid w:val="0014554C"/>
    <w:rsid w:val="00147EE4"/>
    <w:rsid w:val="00150B5B"/>
    <w:rsid w:val="0015344F"/>
    <w:rsid w:val="00156613"/>
    <w:rsid w:val="001619FB"/>
    <w:rsid w:val="0016215F"/>
    <w:rsid w:val="001624DD"/>
    <w:rsid w:val="00164D18"/>
    <w:rsid w:val="00167E28"/>
    <w:rsid w:val="001711D1"/>
    <w:rsid w:val="00172865"/>
    <w:rsid w:val="00173B5B"/>
    <w:rsid w:val="00174762"/>
    <w:rsid w:val="00174844"/>
    <w:rsid w:val="00175550"/>
    <w:rsid w:val="00176316"/>
    <w:rsid w:val="00186A2E"/>
    <w:rsid w:val="001907C5"/>
    <w:rsid w:val="00195F5A"/>
    <w:rsid w:val="001969FD"/>
    <w:rsid w:val="001A1909"/>
    <w:rsid w:val="001A2416"/>
    <w:rsid w:val="001A3CD0"/>
    <w:rsid w:val="001A5B4E"/>
    <w:rsid w:val="001B1E94"/>
    <w:rsid w:val="001B4AE9"/>
    <w:rsid w:val="001B552C"/>
    <w:rsid w:val="001B71C8"/>
    <w:rsid w:val="001C1AD3"/>
    <w:rsid w:val="001C3EB8"/>
    <w:rsid w:val="001C4B71"/>
    <w:rsid w:val="001C73C7"/>
    <w:rsid w:val="001C7C8D"/>
    <w:rsid w:val="001D1579"/>
    <w:rsid w:val="001D42AD"/>
    <w:rsid w:val="001E0AE3"/>
    <w:rsid w:val="001E129F"/>
    <w:rsid w:val="001E283D"/>
    <w:rsid w:val="001E5C83"/>
    <w:rsid w:val="001F0B8B"/>
    <w:rsid w:val="001F0DCA"/>
    <w:rsid w:val="001F26C4"/>
    <w:rsid w:val="001F4D4A"/>
    <w:rsid w:val="001F5F45"/>
    <w:rsid w:val="00200B8A"/>
    <w:rsid w:val="00202FE7"/>
    <w:rsid w:val="0020354F"/>
    <w:rsid w:val="00203E17"/>
    <w:rsid w:val="0020745B"/>
    <w:rsid w:val="00211DD3"/>
    <w:rsid w:val="0021285D"/>
    <w:rsid w:val="0021328A"/>
    <w:rsid w:val="00213355"/>
    <w:rsid w:val="002171A9"/>
    <w:rsid w:val="0022071B"/>
    <w:rsid w:val="002213C3"/>
    <w:rsid w:val="002305F8"/>
    <w:rsid w:val="00230BA9"/>
    <w:rsid w:val="00230F9B"/>
    <w:rsid w:val="00231C7C"/>
    <w:rsid w:val="00234019"/>
    <w:rsid w:val="00235B2C"/>
    <w:rsid w:val="0023776E"/>
    <w:rsid w:val="00242BCF"/>
    <w:rsid w:val="00243F56"/>
    <w:rsid w:val="002510F7"/>
    <w:rsid w:val="00251886"/>
    <w:rsid w:val="00251B68"/>
    <w:rsid w:val="00256713"/>
    <w:rsid w:val="002606F7"/>
    <w:rsid w:val="00260A3E"/>
    <w:rsid w:val="00261DB8"/>
    <w:rsid w:val="0026225A"/>
    <w:rsid w:val="00265348"/>
    <w:rsid w:val="00265806"/>
    <w:rsid w:val="00270481"/>
    <w:rsid w:val="002709D8"/>
    <w:rsid w:val="00270CF6"/>
    <w:rsid w:val="002753F4"/>
    <w:rsid w:val="002844C7"/>
    <w:rsid w:val="00290B0D"/>
    <w:rsid w:val="002921FC"/>
    <w:rsid w:val="002938C3"/>
    <w:rsid w:val="0029446F"/>
    <w:rsid w:val="00296CD7"/>
    <w:rsid w:val="002A0C32"/>
    <w:rsid w:val="002A0F33"/>
    <w:rsid w:val="002A4208"/>
    <w:rsid w:val="002B1349"/>
    <w:rsid w:val="002B2003"/>
    <w:rsid w:val="002C7EFA"/>
    <w:rsid w:val="002E0D0F"/>
    <w:rsid w:val="002E4C52"/>
    <w:rsid w:val="002F5015"/>
    <w:rsid w:val="002F5B21"/>
    <w:rsid w:val="002F5E32"/>
    <w:rsid w:val="002F6018"/>
    <w:rsid w:val="002F7B03"/>
    <w:rsid w:val="0030083B"/>
    <w:rsid w:val="0030102C"/>
    <w:rsid w:val="0031177B"/>
    <w:rsid w:val="0031239A"/>
    <w:rsid w:val="003126D2"/>
    <w:rsid w:val="00312A74"/>
    <w:rsid w:val="00315831"/>
    <w:rsid w:val="00321945"/>
    <w:rsid w:val="00321FA0"/>
    <w:rsid w:val="00323101"/>
    <w:rsid w:val="0032751C"/>
    <w:rsid w:val="003308A9"/>
    <w:rsid w:val="00332B57"/>
    <w:rsid w:val="00332EDD"/>
    <w:rsid w:val="00334A75"/>
    <w:rsid w:val="0033519C"/>
    <w:rsid w:val="00335E38"/>
    <w:rsid w:val="0033626D"/>
    <w:rsid w:val="00341D60"/>
    <w:rsid w:val="00342564"/>
    <w:rsid w:val="00344354"/>
    <w:rsid w:val="00360F44"/>
    <w:rsid w:val="0036188B"/>
    <w:rsid w:val="00362B2C"/>
    <w:rsid w:val="00362D0E"/>
    <w:rsid w:val="003643FF"/>
    <w:rsid w:val="00364524"/>
    <w:rsid w:val="00366FA3"/>
    <w:rsid w:val="003734D7"/>
    <w:rsid w:val="00374CF6"/>
    <w:rsid w:val="0037510A"/>
    <w:rsid w:val="00377A2D"/>
    <w:rsid w:val="003855BB"/>
    <w:rsid w:val="00387B31"/>
    <w:rsid w:val="00391DDB"/>
    <w:rsid w:val="0039280B"/>
    <w:rsid w:val="00392EC1"/>
    <w:rsid w:val="00393527"/>
    <w:rsid w:val="003941A2"/>
    <w:rsid w:val="00394644"/>
    <w:rsid w:val="003960FA"/>
    <w:rsid w:val="00397B00"/>
    <w:rsid w:val="003A2557"/>
    <w:rsid w:val="003B03EB"/>
    <w:rsid w:val="003B2B32"/>
    <w:rsid w:val="003B3F30"/>
    <w:rsid w:val="003B4DBA"/>
    <w:rsid w:val="003B5E38"/>
    <w:rsid w:val="003C0351"/>
    <w:rsid w:val="003C23D8"/>
    <w:rsid w:val="003C2BB0"/>
    <w:rsid w:val="003C33E2"/>
    <w:rsid w:val="003C3B05"/>
    <w:rsid w:val="003C4EE3"/>
    <w:rsid w:val="003C5198"/>
    <w:rsid w:val="003D231A"/>
    <w:rsid w:val="003D25AE"/>
    <w:rsid w:val="003D3CC2"/>
    <w:rsid w:val="003D536E"/>
    <w:rsid w:val="003D5891"/>
    <w:rsid w:val="003E1B77"/>
    <w:rsid w:val="003E23F9"/>
    <w:rsid w:val="003E5C0D"/>
    <w:rsid w:val="003E6B85"/>
    <w:rsid w:val="003F269E"/>
    <w:rsid w:val="003F2D93"/>
    <w:rsid w:val="003F4014"/>
    <w:rsid w:val="003F46C7"/>
    <w:rsid w:val="003F6AF1"/>
    <w:rsid w:val="004014E1"/>
    <w:rsid w:val="00402202"/>
    <w:rsid w:val="0040331A"/>
    <w:rsid w:val="00411C30"/>
    <w:rsid w:val="00412BD1"/>
    <w:rsid w:val="00414A31"/>
    <w:rsid w:val="00420D37"/>
    <w:rsid w:val="00421366"/>
    <w:rsid w:val="00424818"/>
    <w:rsid w:val="00424D73"/>
    <w:rsid w:val="00425689"/>
    <w:rsid w:val="00425A6F"/>
    <w:rsid w:val="00426EBE"/>
    <w:rsid w:val="004303BB"/>
    <w:rsid w:val="00431C18"/>
    <w:rsid w:val="0043213F"/>
    <w:rsid w:val="004377E4"/>
    <w:rsid w:val="00437988"/>
    <w:rsid w:val="004419F6"/>
    <w:rsid w:val="00450BD1"/>
    <w:rsid w:val="00451D41"/>
    <w:rsid w:val="0045248C"/>
    <w:rsid w:val="0045284E"/>
    <w:rsid w:val="00455B5E"/>
    <w:rsid w:val="00456252"/>
    <w:rsid w:val="00460681"/>
    <w:rsid w:val="0046235B"/>
    <w:rsid w:val="00462ACF"/>
    <w:rsid w:val="00473493"/>
    <w:rsid w:val="004824C8"/>
    <w:rsid w:val="004830B5"/>
    <w:rsid w:val="004830FC"/>
    <w:rsid w:val="00483471"/>
    <w:rsid w:val="00486DDD"/>
    <w:rsid w:val="004940B0"/>
    <w:rsid w:val="00495342"/>
    <w:rsid w:val="0049538A"/>
    <w:rsid w:val="00497AB6"/>
    <w:rsid w:val="004A35E5"/>
    <w:rsid w:val="004A640B"/>
    <w:rsid w:val="004A6D8F"/>
    <w:rsid w:val="004A7C2B"/>
    <w:rsid w:val="004A7D4A"/>
    <w:rsid w:val="004C032B"/>
    <w:rsid w:val="004E457A"/>
    <w:rsid w:val="004E6DF6"/>
    <w:rsid w:val="004E7384"/>
    <w:rsid w:val="004F4099"/>
    <w:rsid w:val="004F7463"/>
    <w:rsid w:val="00504B9E"/>
    <w:rsid w:val="0050715B"/>
    <w:rsid w:val="00510F74"/>
    <w:rsid w:val="005120E4"/>
    <w:rsid w:val="00514F65"/>
    <w:rsid w:val="00517B69"/>
    <w:rsid w:val="00517EB0"/>
    <w:rsid w:val="00524668"/>
    <w:rsid w:val="0052694C"/>
    <w:rsid w:val="005276C8"/>
    <w:rsid w:val="0053479F"/>
    <w:rsid w:val="00537E39"/>
    <w:rsid w:val="00547801"/>
    <w:rsid w:val="00551ED9"/>
    <w:rsid w:val="005521B8"/>
    <w:rsid w:val="00557837"/>
    <w:rsid w:val="00561DB7"/>
    <w:rsid w:val="0057077E"/>
    <w:rsid w:val="00571CCE"/>
    <w:rsid w:val="0057627C"/>
    <w:rsid w:val="00581356"/>
    <w:rsid w:val="00581461"/>
    <w:rsid w:val="00584E46"/>
    <w:rsid w:val="0059568B"/>
    <w:rsid w:val="00597FEF"/>
    <w:rsid w:val="005A32E1"/>
    <w:rsid w:val="005A4537"/>
    <w:rsid w:val="005A60C3"/>
    <w:rsid w:val="005A78FD"/>
    <w:rsid w:val="005B328D"/>
    <w:rsid w:val="005B4840"/>
    <w:rsid w:val="005B6BDF"/>
    <w:rsid w:val="005B7108"/>
    <w:rsid w:val="005C3342"/>
    <w:rsid w:val="005C7ED4"/>
    <w:rsid w:val="005D067D"/>
    <w:rsid w:val="005D08BD"/>
    <w:rsid w:val="005D4A72"/>
    <w:rsid w:val="005D5D27"/>
    <w:rsid w:val="005E015A"/>
    <w:rsid w:val="005E1FCE"/>
    <w:rsid w:val="005E2FF8"/>
    <w:rsid w:val="005E313B"/>
    <w:rsid w:val="005E5625"/>
    <w:rsid w:val="005F6FCB"/>
    <w:rsid w:val="0060187E"/>
    <w:rsid w:val="00605629"/>
    <w:rsid w:val="00611E85"/>
    <w:rsid w:val="0061778F"/>
    <w:rsid w:val="00620F3D"/>
    <w:rsid w:val="00624898"/>
    <w:rsid w:val="006256CD"/>
    <w:rsid w:val="00630158"/>
    <w:rsid w:val="00630B29"/>
    <w:rsid w:val="006322CB"/>
    <w:rsid w:val="00636E45"/>
    <w:rsid w:val="00636FE1"/>
    <w:rsid w:val="00640EF3"/>
    <w:rsid w:val="00641DE7"/>
    <w:rsid w:val="00644D31"/>
    <w:rsid w:val="006471FF"/>
    <w:rsid w:val="00650415"/>
    <w:rsid w:val="0065210F"/>
    <w:rsid w:val="00654F18"/>
    <w:rsid w:val="006552BD"/>
    <w:rsid w:val="0065713E"/>
    <w:rsid w:val="006634B0"/>
    <w:rsid w:val="006641A4"/>
    <w:rsid w:val="00666C9B"/>
    <w:rsid w:val="00667EA4"/>
    <w:rsid w:val="0067104A"/>
    <w:rsid w:val="00671AA2"/>
    <w:rsid w:val="00673270"/>
    <w:rsid w:val="0067356B"/>
    <w:rsid w:val="00676DC3"/>
    <w:rsid w:val="006836D0"/>
    <w:rsid w:val="00692F44"/>
    <w:rsid w:val="00693277"/>
    <w:rsid w:val="0069534A"/>
    <w:rsid w:val="00695E58"/>
    <w:rsid w:val="006A128C"/>
    <w:rsid w:val="006A23BC"/>
    <w:rsid w:val="006A32E2"/>
    <w:rsid w:val="006A6064"/>
    <w:rsid w:val="006A772C"/>
    <w:rsid w:val="006B18BE"/>
    <w:rsid w:val="006B2C0D"/>
    <w:rsid w:val="006B6D34"/>
    <w:rsid w:val="006B7A49"/>
    <w:rsid w:val="006C4691"/>
    <w:rsid w:val="006C6187"/>
    <w:rsid w:val="006C6B50"/>
    <w:rsid w:val="006D01BD"/>
    <w:rsid w:val="006D0AB4"/>
    <w:rsid w:val="006D2003"/>
    <w:rsid w:val="006E2E17"/>
    <w:rsid w:val="006E4068"/>
    <w:rsid w:val="006E50D8"/>
    <w:rsid w:val="006E52EC"/>
    <w:rsid w:val="006E5A36"/>
    <w:rsid w:val="006F230F"/>
    <w:rsid w:val="006F489A"/>
    <w:rsid w:val="006F5CFD"/>
    <w:rsid w:val="006F6165"/>
    <w:rsid w:val="00701EB4"/>
    <w:rsid w:val="007045EF"/>
    <w:rsid w:val="00704C59"/>
    <w:rsid w:val="007067DA"/>
    <w:rsid w:val="007067F8"/>
    <w:rsid w:val="00710A3F"/>
    <w:rsid w:val="00712CFB"/>
    <w:rsid w:val="00714C03"/>
    <w:rsid w:val="00714FAC"/>
    <w:rsid w:val="007204FD"/>
    <w:rsid w:val="00722758"/>
    <w:rsid w:val="00726E95"/>
    <w:rsid w:val="0072739F"/>
    <w:rsid w:val="00734266"/>
    <w:rsid w:val="007354E1"/>
    <w:rsid w:val="00740A66"/>
    <w:rsid w:val="00740C45"/>
    <w:rsid w:val="00743C39"/>
    <w:rsid w:val="007450EF"/>
    <w:rsid w:val="00745305"/>
    <w:rsid w:val="007479E9"/>
    <w:rsid w:val="00747CD6"/>
    <w:rsid w:val="0075019B"/>
    <w:rsid w:val="00750357"/>
    <w:rsid w:val="00753057"/>
    <w:rsid w:val="00754E21"/>
    <w:rsid w:val="00763EB2"/>
    <w:rsid w:val="007645DA"/>
    <w:rsid w:val="00772EE3"/>
    <w:rsid w:val="0078197B"/>
    <w:rsid w:val="00781E9D"/>
    <w:rsid w:val="0078204E"/>
    <w:rsid w:val="00782B53"/>
    <w:rsid w:val="00784BAD"/>
    <w:rsid w:val="00785581"/>
    <w:rsid w:val="007857B1"/>
    <w:rsid w:val="0078589C"/>
    <w:rsid w:val="0079117E"/>
    <w:rsid w:val="00792318"/>
    <w:rsid w:val="00792918"/>
    <w:rsid w:val="007948FC"/>
    <w:rsid w:val="00796D79"/>
    <w:rsid w:val="007A00FA"/>
    <w:rsid w:val="007A22E5"/>
    <w:rsid w:val="007A594F"/>
    <w:rsid w:val="007A7A48"/>
    <w:rsid w:val="007B0BCD"/>
    <w:rsid w:val="007B25AA"/>
    <w:rsid w:val="007B6717"/>
    <w:rsid w:val="007B6959"/>
    <w:rsid w:val="007B71A7"/>
    <w:rsid w:val="007C5679"/>
    <w:rsid w:val="007C65D2"/>
    <w:rsid w:val="007D2E47"/>
    <w:rsid w:val="007D3FF9"/>
    <w:rsid w:val="007E1848"/>
    <w:rsid w:val="007E36C4"/>
    <w:rsid w:val="007E685F"/>
    <w:rsid w:val="007F65B1"/>
    <w:rsid w:val="00801994"/>
    <w:rsid w:val="00801F3C"/>
    <w:rsid w:val="0080218C"/>
    <w:rsid w:val="00804541"/>
    <w:rsid w:val="008059FB"/>
    <w:rsid w:val="008109CB"/>
    <w:rsid w:val="008139C4"/>
    <w:rsid w:val="008148E8"/>
    <w:rsid w:val="008152E9"/>
    <w:rsid w:val="008227C5"/>
    <w:rsid w:val="0082447F"/>
    <w:rsid w:val="008252B2"/>
    <w:rsid w:val="00827DB1"/>
    <w:rsid w:val="00831A53"/>
    <w:rsid w:val="00834CE7"/>
    <w:rsid w:val="00837BAB"/>
    <w:rsid w:val="008423D2"/>
    <w:rsid w:val="0084258B"/>
    <w:rsid w:val="008440C2"/>
    <w:rsid w:val="00847B85"/>
    <w:rsid w:val="00850AF8"/>
    <w:rsid w:val="00850E0F"/>
    <w:rsid w:val="00856860"/>
    <w:rsid w:val="008608C0"/>
    <w:rsid w:val="00862CAF"/>
    <w:rsid w:val="00873C16"/>
    <w:rsid w:val="008746CD"/>
    <w:rsid w:val="00876C9C"/>
    <w:rsid w:val="00877F0F"/>
    <w:rsid w:val="00881C9B"/>
    <w:rsid w:val="00882A48"/>
    <w:rsid w:val="008833EF"/>
    <w:rsid w:val="00885EEF"/>
    <w:rsid w:val="008873C8"/>
    <w:rsid w:val="00893E90"/>
    <w:rsid w:val="00894583"/>
    <w:rsid w:val="008A2772"/>
    <w:rsid w:val="008A35E1"/>
    <w:rsid w:val="008A436B"/>
    <w:rsid w:val="008B050C"/>
    <w:rsid w:val="008B11F7"/>
    <w:rsid w:val="008B4C9C"/>
    <w:rsid w:val="008B54D4"/>
    <w:rsid w:val="008B699D"/>
    <w:rsid w:val="008C2852"/>
    <w:rsid w:val="008C32C9"/>
    <w:rsid w:val="008C33B5"/>
    <w:rsid w:val="008C3692"/>
    <w:rsid w:val="008D0F78"/>
    <w:rsid w:val="008D17AC"/>
    <w:rsid w:val="008D5419"/>
    <w:rsid w:val="008D5797"/>
    <w:rsid w:val="008D624E"/>
    <w:rsid w:val="008D63E0"/>
    <w:rsid w:val="008E5244"/>
    <w:rsid w:val="008E6FCD"/>
    <w:rsid w:val="008F5ED1"/>
    <w:rsid w:val="009013A8"/>
    <w:rsid w:val="0090227E"/>
    <w:rsid w:val="00906CC2"/>
    <w:rsid w:val="00910D0C"/>
    <w:rsid w:val="00913A3F"/>
    <w:rsid w:val="009150E0"/>
    <w:rsid w:val="00926858"/>
    <w:rsid w:val="009278E7"/>
    <w:rsid w:val="00930117"/>
    <w:rsid w:val="00931BD6"/>
    <w:rsid w:val="00932118"/>
    <w:rsid w:val="0093453E"/>
    <w:rsid w:val="00935D80"/>
    <w:rsid w:val="00950DB1"/>
    <w:rsid w:val="00952B31"/>
    <w:rsid w:val="00956C83"/>
    <w:rsid w:val="009609E9"/>
    <w:rsid w:val="00961068"/>
    <w:rsid w:val="00961161"/>
    <w:rsid w:val="0096119D"/>
    <w:rsid w:val="0096230A"/>
    <w:rsid w:val="009746ED"/>
    <w:rsid w:val="0097488E"/>
    <w:rsid w:val="0097555B"/>
    <w:rsid w:val="00982BDC"/>
    <w:rsid w:val="00982C86"/>
    <w:rsid w:val="009838E9"/>
    <w:rsid w:val="00990978"/>
    <w:rsid w:val="00993940"/>
    <w:rsid w:val="0099429B"/>
    <w:rsid w:val="00995167"/>
    <w:rsid w:val="00995781"/>
    <w:rsid w:val="009A2BE7"/>
    <w:rsid w:val="009A37BF"/>
    <w:rsid w:val="009A47A8"/>
    <w:rsid w:val="009A4BB1"/>
    <w:rsid w:val="009A6BBE"/>
    <w:rsid w:val="009B0973"/>
    <w:rsid w:val="009B3443"/>
    <w:rsid w:val="009C1055"/>
    <w:rsid w:val="009C1548"/>
    <w:rsid w:val="009D3490"/>
    <w:rsid w:val="009D4194"/>
    <w:rsid w:val="009D665A"/>
    <w:rsid w:val="009D7435"/>
    <w:rsid w:val="009D7D12"/>
    <w:rsid w:val="009E13E5"/>
    <w:rsid w:val="009F3937"/>
    <w:rsid w:val="009F3F1D"/>
    <w:rsid w:val="009F70EF"/>
    <w:rsid w:val="00A01700"/>
    <w:rsid w:val="00A01FCB"/>
    <w:rsid w:val="00A03F81"/>
    <w:rsid w:val="00A0560C"/>
    <w:rsid w:val="00A074A0"/>
    <w:rsid w:val="00A10EAA"/>
    <w:rsid w:val="00A17F0E"/>
    <w:rsid w:val="00A20CEB"/>
    <w:rsid w:val="00A219FE"/>
    <w:rsid w:val="00A2233E"/>
    <w:rsid w:val="00A24559"/>
    <w:rsid w:val="00A260CA"/>
    <w:rsid w:val="00A2763B"/>
    <w:rsid w:val="00A32154"/>
    <w:rsid w:val="00A35FC0"/>
    <w:rsid w:val="00A36AE5"/>
    <w:rsid w:val="00A42F51"/>
    <w:rsid w:val="00A454F4"/>
    <w:rsid w:val="00A45969"/>
    <w:rsid w:val="00A52C81"/>
    <w:rsid w:val="00A57663"/>
    <w:rsid w:val="00A62102"/>
    <w:rsid w:val="00A62484"/>
    <w:rsid w:val="00A664B3"/>
    <w:rsid w:val="00A75BDA"/>
    <w:rsid w:val="00A81DAF"/>
    <w:rsid w:val="00A95E74"/>
    <w:rsid w:val="00AA074F"/>
    <w:rsid w:val="00AA3F78"/>
    <w:rsid w:val="00AA53B9"/>
    <w:rsid w:val="00AB49B7"/>
    <w:rsid w:val="00AB507F"/>
    <w:rsid w:val="00AB5774"/>
    <w:rsid w:val="00AC30B8"/>
    <w:rsid w:val="00AC392E"/>
    <w:rsid w:val="00AC3C40"/>
    <w:rsid w:val="00AC7892"/>
    <w:rsid w:val="00AD0426"/>
    <w:rsid w:val="00AD050B"/>
    <w:rsid w:val="00AD0A4F"/>
    <w:rsid w:val="00AD54A6"/>
    <w:rsid w:val="00AD6121"/>
    <w:rsid w:val="00AE07D6"/>
    <w:rsid w:val="00AE2469"/>
    <w:rsid w:val="00AE2A7C"/>
    <w:rsid w:val="00AE7BA8"/>
    <w:rsid w:val="00AF2EC5"/>
    <w:rsid w:val="00AF475C"/>
    <w:rsid w:val="00AF4DCC"/>
    <w:rsid w:val="00AF6552"/>
    <w:rsid w:val="00AF70ED"/>
    <w:rsid w:val="00B02A2B"/>
    <w:rsid w:val="00B148B7"/>
    <w:rsid w:val="00B17507"/>
    <w:rsid w:val="00B221D4"/>
    <w:rsid w:val="00B26845"/>
    <w:rsid w:val="00B268F1"/>
    <w:rsid w:val="00B3070A"/>
    <w:rsid w:val="00B32046"/>
    <w:rsid w:val="00B325BE"/>
    <w:rsid w:val="00B349B2"/>
    <w:rsid w:val="00B408F8"/>
    <w:rsid w:val="00B41041"/>
    <w:rsid w:val="00B4129E"/>
    <w:rsid w:val="00B414BD"/>
    <w:rsid w:val="00B42376"/>
    <w:rsid w:val="00B46AA1"/>
    <w:rsid w:val="00B47469"/>
    <w:rsid w:val="00B50B2D"/>
    <w:rsid w:val="00B526E5"/>
    <w:rsid w:val="00B54AC3"/>
    <w:rsid w:val="00B60F44"/>
    <w:rsid w:val="00B60F70"/>
    <w:rsid w:val="00B63693"/>
    <w:rsid w:val="00B64DC6"/>
    <w:rsid w:val="00B72AB5"/>
    <w:rsid w:val="00B74C58"/>
    <w:rsid w:val="00B819E1"/>
    <w:rsid w:val="00B82BBA"/>
    <w:rsid w:val="00B8518E"/>
    <w:rsid w:val="00B91103"/>
    <w:rsid w:val="00B93247"/>
    <w:rsid w:val="00B932CA"/>
    <w:rsid w:val="00B93848"/>
    <w:rsid w:val="00B9478B"/>
    <w:rsid w:val="00B961F0"/>
    <w:rsid w:val="00B96CCA"/>
    <w:rsid w:val="00BA07BD"/>
    <w:rsid w:val="00BA2F7E"/>
    <w:rsid w:val="00BA3AB9"/>
    <w:rsid w:val="00BA4405"/>
    <w:rsid w:val="00BB2CB0"/>
    <w:rsid w:val="00BB50C4"/>
    <w:rsid w:val="00BB5131"/>
    <w:rsid w:val="00BB597B"/>
    <w:rsid w:val="00BB6BA0"/>
    <w:rsid w:val="00BC0ABA"/>
    <w:rsid w:val="00BC24D6"/>
    <w:rsid w:val="00BC2BA8"/>
    <w:rsid w:val="00BC2F1E"/>
    <w:rsid w:val="00BC3A21"/>
    <w:rsid w:val="00BC5CA3"/>
    <w:rsid w:val="00BD148C"/>
    <w:rsid w:val="00BD278C"/>
    <w:rsid w:val="00BD3EAC"/>
    <w:rsid w:val="00BE01E6"/>
    <w:rsid w:val="00BE1DC2"/>
    <w:rsid w:val="00BE1F91"/>
    <w:rsid w:val="00BE2052"/>
    <w:rsid w:val="00BF020F"/>
    <w:rsid w:val="00BF07B7"/>
    <w:rsid w:val="00BF1231"/>
    <w:rsid w:val="00BF195A"/>
    <w:rsid w:val="00BF5428"/>
    <w:rsid w:val="00BF659E"/>
    <w:rsid w:val="00BF7A6D"/>
    <w:rsid w:val="00C0415F"/>
    <w:rsid w:val="00C0454E"/>
    <w:rsid w:val="00C0654F"/>
    <w:rsid w:val="00C071B9"/>
    <w:rsid w:val="00C10AB2"/>
    <w:rsid w:val="00C14848"/>
    <w:rsid w:val="00C165E7"/>
    <w:rsid w:val="00C17AD9"/>
    <w:rsid w:val="00C17C70"/>
    <w:rsid w:val="00C20D7B"/>
    <w:rsid w:val="00C21960"/>
    <w:rsid w:val="00C22D11"/>
    <w:rsid w:val="00C24873"/>
    <w:rsid w:val="00C25883"/>
    <w:rsid w:val="00C2673C"/>
    <w:rsid w:val="00C270BD"/>
    <w:rsid w:val="00C32C63"/>
    <w:rsid w:val="00C4123F"/>
    <w:rsid w:val="00C44154"/>
    <w:rsid w:val="00C44173"/>
    <w:rsid w:val="00C44D68"/>
    <w:rsid w:val="00C45803"/>
    <w:rsid w:val="00C46A5A"/>
    <w:rsid w:val="00C46F1E"/>
    <w:rsid w:val="00C503E5"/>
    <w:rsid w:val="00C506D9"/>
    <w:rsid w:val="00C52730"/>
    <w:rsid w:val="00C53B9E"/>
    <w:rsid w:val="00C55ABE"/>
    <w:rsid w:val="00C57177"/>
    <w:rsid w:val="00C60888"/>
    <w:rsid w:val="00C619E0"/>
    <w:rsid w:val="00C635EE"/>
    <w:rsid w:val="00C651F8"/>
    <w:rsid w:val="00C705C0"/>
    <w:rsid w:val="00C831E9"/>
    <w:rsid w:val="00C861C5"/>
    <w:rsid w:val="00C8748C"/>
    <w:rsid w:val="00CA58D5"/>
    <w:rsid w:val="00CA698D"/>
    <w:rsid w:val="00CB2F0C"/>
    <w:rsid w:val="00CB54C9"/>
    <w:rsid w:val="00CB7034"/>
    <w:rsid w:val="00CB728F"/>
    <w:rsid w:val="00CB7FC6"/>
    <w:rsid w:val="00CC3772"/>
    <w:rsid w:val="00CC7D1D"/>
    <w:rsid w:val="00CD1135"/>
    <w:rsid w:val="00CD2DA2"/>
    <w:rsid w:val="00CD6735"/>
    <w:rsid w:val="00CE014C"/>
    <w:rsid w:val="00CE1444"/>
    <w:rsid w:val="00CE1E7B"/>
    <w:rsid w:val="00CE71BF"/>
    <w:rsid w:val="00CF0558"/>
    <w:rsid w:val="00CF288F"/>
    <w:rsid w:val="00CF7675"/>
    <w:rsid w:val="00D004FE"/>
    <w:rsid w:val="00D00D89"/>
    <w:rsid w:val="00D00E33"/>
    <w:rsid w:val="00D10547"/>
    <w:rsid w:val="00D15168"/>
    <w:rsid w:val="00D1604F"/>
    <w:rsid w:val="00D221EE"/>
    <w:rsid w:val="00D22CE4"/>
    <w:rsid w:val="00D233C3"/>
    <w:rsid w:val="00D266C8"/>
    <w:rsid w:val="00D30455"/>
    <w:rsid w:val="00D30727"/>
    <w:rsid w:val="00D31E69"/>
    <w:rsid w:val="00D32BD2"/>
    <w:rsid w:val="00D33B59"/>
    <w:rsid w:val="00D342D4"/>
    <w:rsid w:val="00D36130"/>
    <w:rsid w:val="00D43D01"/>
    <w:rsid w:val="00D45297"/>
    <w:rsid w:val="00D46598"/>
    <w:rsid w:val="00D46CA2"/>
    <w:rsid w:val="00D53186"/>
    <w:rsid w:val="00D55D15"/>
    <w:rsid w:val="00D60C44"/>
    <w:rsid w:val="00D61E66"/>
    <w:rsid w:val="00D65F34"/>
    <w:rsid w:val="00D70AB2"/>
    <w:rsid w:val="00D74856"/>
    <w:rsid w:val="00D81CF7"/>
    <w:rsid w:val="00D82EEC"/>
    <w:rsid w:val="00D854B8"/>
    <w:rsid w:val="00D93A36"/>
    <w:rsid w:val="00D940C2"/>
    <w:rsid w:val="00D94CC0"/>
    <w:rsid w:val="00D96E8A"/>
    <w:rsid w:val="00D97864"/>
    <w:rsid w:val="00DA103D"/>
    <w:rsid w:val="00DA32D1"/>
    <w:rsid w:val="00DA47E8"/>
    <w:rsid w:val="00DA76FE"/>
    <w:rsid w:val="00DB1124"/>
    <w:rsid w:val="00DB38EC"/>
    <w:rsid w:val="00DB3F2D"/>
    <w:rsid w:val="00DB46AE"/>
    <w:rsid w:val="00DB481E"/>
    <w:rsid w:val="00DC1C48"/>
    <w:rsid w:val="00DC5D48"/>
    <w:rsid w:val="00DC63B4"/>
    <w:rsid w:val="00DD515B"/>
    <w:rsid w:val="00DD71E9"/>
    <w:rsid w:val="00DE0442"/>
    <w:rsid w:val="00DE411A"/>
    <w:rsid w:val="00DE666D"/>
    <w:rsid w:val="00DF66B2"/>
    <w:rsid w:val="00DF7159"/>
    <w:rsid w:val="00DF797B"/>
    <w:rsid w:val="00E02EE0"/>
    <w:rsid w:val="00E02FFC"/>
    <w:rsid w:val="00E05FA4"/>
    <w:rsid w:val="00E103FC"/>
    <w:rsid w:val="00E14768"/>
    <w:rsid w:val="00E150DD"/>
    <w:rsid w:val="00E20BF8"/>
    <w:rsid w:val="00E24B97"/>
    <w:rsid w:val="00E24C4A"/>
    <w:rsid w:val="00E25957"/>
    <w:rsid w:val="00E27C2A"/>
    <w:rsid w:val="00E349C6"/>
    <w:rsid w:val="00E37501"/>
    <w:rsid w:val="00E37B66"/>
    <w:rsid w:val="00E427D2"/>
    <w:rsid w:val="00E4344E"/>
    <w:rsid w:val="00E45156"/>
    <w:rsid w:val="00E55E60"/>
    <w:rsid w:val="00E56B5F"/>
    <w:rsid w:val="00E56BE1"/>
    <w:rsid w:val="00E62DCC"/>
    <w:rsid w:val="00E62F9C"/>
    <w:rsid w:val="00E6692B"/>
    <w:rsid w:val="00E77DDD"/>
    <w:rsid w:val="00E8184B"/>
    <w:rsid w:val="00E834F5"/>
    <w:rsid w:val="00E8367F"/>
    <w:rsid w:val="00E83DA9"/>
    <w:rsid w:val="00E86AFA"/>
    <w:rsid w:val="00E927AD"/>
    <w:rsid w:val="00E92E98"/>
    <w:rsid w:val="00E93E3E"/>
    <w:rsid w:val="00E94E8D"/>
    <w:rsid w:val="00E95E95"/>
    <w:rsid w:val="00EA18B5"/>
    <w:rsid w:val="00EA1EF0"/>
    <w:rsid w:val="00EA646E"/>
    <w:rsid w:val="00EA6828"/>
    <w:rsid w:val="00EA6DB6"/>
    <w:rsid w:val="00EB0B39"/>
    <w:rsid w:val="00EB1C9E"/>
    <w:rsid w:val="00EB4E5E"/>
    <w:rsid w:val="00EB56FA"/>
    <w:rsid w:val="00EC0E1C"/>
    <w:rsid w:val="00EC3865"/>
    <w:rsid w:val="00EC6D09"/>
    <w:rsid w:val="00EC779D"/>
    <w:rsid w:val="00ED51E5"/>
    <w:rsid w:val="00ED6692"/>
    <w:rsid w:val="00ED725B"/>
    <w:rsid w:val="00EE2299"/>
    <w:rsid w:val="00EE36D1"/>
    <w:rsid w:val="00EE37D5"/>
    <w:rsid w:val="00EE5284"/>
    <w:rsid w:val="00EF0045"/>
    <w:rsid w:val="00EF0E71"/>
    <w:rsid w:val="00EF1878"/>
    <w:rsid w:val="00EF2281"/>
    <w:rsid w:val="00EF6F7B"/>
    <w:rsid w:val="00F04891"/>
    <w:rsid w:val="00F05317"/>
    <w:rsid w:val="00F05F76"/>
    <w:rsid w:val="00F07227"/>
    <w:rsid w:val="00F110AE"/>
    <w:rsid w:val="00F16170"/>
    <w:rsid w:val="00F22D5C"/>
    <w:rsid w:val="00F26548"/>
    <w:rsid w:val="00F27BCC"/>
    <w:rsid w:val="00F3202E"/>
    <w:rsid w:val="00F32EBD"/>
    <w:rsid w:val="00F337CD"/>
    <w:rsid w:val="00F3541E"/>
    <w:rsid w:val="00F35F1C"/>
    <w:rsid w:val="00F41377"/>
    <w:rsid w:val="00F45B37"/>
    <w:rsid w:val="00F4671B"/>
    <w:rsid w:val="00F46C9F"/>
    <w:rsid w:val="00F477C1"/>
    <w:rsid w:val="00F47A1F"/>
    <w:rsid w:val="00F56087"/>
    <w:rsid w:val="00F6106B"/>
    <w:rsid w:val="00F61293"/>
    <w:rsid w:val="00F624A7"/>
    <w:rsid w:val="00F62B44"/>
    <w:rsid w:val="00F631EC"/>
    <w:rsid w:val="00F70792"/>
    <w:rsid w:val="00F71C4C"/>
    <w:rsid w:val="00F7439E"/>
    <w:rsid w:val="00F74A73"/>
    <w:rsid w:val="00F76328"/>
    <w:rsid w:val="00F76DFD"/>
    <w:rsid w:val="00F81310"/>
    <w:rsid w:val="00F84114"/>
    <w:rsid w:val="00F84B04"/>
    <w:rsid w:val="00F856F1"/>
    <w:rsid w:val="00F8624E"/>
    <w:rsid w:val="00F86831"/>
    <w:rsid w:val="00F90C26"/>
    <w:rsid w:val="00F93435"/>
    <w:rsid w:val="00F946F5"/>
    <w:rsid w:val="00F950F2"/>
    <w:rsid w:val="00FA08A5"/>
    <w:rsid w:val="00FA10CC"/>
    <w:rsid w:val="00FA5045"/>
    <w:rsid w:val="00FA53A8"/>
    <w:rsid w:val="00FB3B61"/>
    <w:rsid w:val="00FB3F4B"/>
    <w:rsid w:val="00FB3F4D"/>
    <w:rsid w:val="00FB4488"/>
    <w:rsid w:val="00FB6B5A"/>
    <w:rsid w:val="00FC00F4"/>
    <w:rsid w:val="00FC3B53"/>
    <w:rsid w:val="00FC3CA0"/>
    <w:rsid w:val="00FC60FE"/>
    <w:rsid w:val="00FC78F4"/>
    <w:rsid w:val="00FC7EA3"/>
    <w:rsid w:val="00FC7F2F"/>
    <w:rsid w:val="00FD4803"/>
    <w:rsid w:val="00FD5C2A"/>
    <w:rsid w:val="00FD629D"/>
    <w:rsid w:val="00FD700D"/>
    <w:rsid w:val="00FE0C6E"/>
    <w:rsid w:val="00FE37DE"/>
    <w:rsid w:val="00FE383D"/>
    <w:rsid w:val="00FE45B0"/>
    <w:rsid w:val="00FE63E8"/>
    <w:rsid w:val="00FF62CD"/>
    <w:rsid w:val="00FF6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FE1"/>
    <w:pPr>
      <w:spacing w:before="120" w:after="120"/>
      <w:jc w:val="both"/>
    </w:pPr>
    <w:rPr>
      <w:sz w:val="22"/>
      <w:szCs w:val="22"/>
      <w:lang w:eastAsia="en-US"/>
    </w:rPr>
  </w:style>
  <w:style w:type="paragraph" w:styleId="Titre1">
    <w:name w:val="heading 1"/>
    <w:basedOn w:val="Normal"/>
    <w:next w:val="Normal"/>
    <w:link w:val="Titre1Car"/>
    <w:qFormat/>
    <w:rsid w:val="00630158"/>
    <w:pPr>
      <w:keepNext/>
      <w:numPr>
        <w:numId w:val="13"/>
      </w:numPr>
      <w:pBdr>
        <w:top w:val="single" w:sz="4" w:space="4" w:color="auto"/>
        <w:left w:val="single" w:sz="4" w:space="4" w:color="auto"/>
        <w:bottom w:val="single" w:sz="4" w:space="1" w:color="auto"/>
        <w:right w:val="single" w:sz="4" w:space="4" w:color="auto"/>
      </w:pBdr>
      <w:shd w:val="pct10" w:color="auto" w:fill="auto"/>
      <w:tabs>
        <w:tab w:val="left" w:pos="1276"/>
      </w:tabs>
      <w:spacing w:before="360" w:after="240"/>
      <w:outlineLvl w:val="0"/>
    </w:pPr>
    <w:rPr>
      <w:rFonts w:eastAsia="Times New Roman" w:cs="Calibri"/>
      <w:b/>
      <w:bCs/>
      <w:caps/>
      <w:color w:val="002060"/>
      <w:kern w:val="32"/>
      <w:sz w:val="24"/>
      <w:szCs w:val="24"/>
      <w:lang w:eastAsia="fr-FR"/>
    </w:rPr>
  </w:style>
  <w:style w:type="paragraph" w:styleId="Titre2">
    <w:name w:val="heading 2"/>
    <w:aliases w:val="Titre 2 TMA DEV"/>
    <w:basedOn w:val="Normal"/>
    <w:next w:val="Normal"/>
    <w:link w:val="Titre2Car"/>
    <w:uiPriority w:val="9"/>
    <w:qFormat/>
    <w:rsid w:val="007A594F"/>
    <w:pPr>
      <w:keepNext/>
      <w:numPr>
        <w:ilvl w:val="1"/>
        <w:numId w:val="13"/>
      </w:numPr>
      <w:spacing w:before="240"/>
      <w:outlineLvl w:val="1"/>
    </w:pPr>
    <w:rPr>
      <w:rFonts w:asciiTheme="minorHAnsi" w:eastAsia="Times New Roman" w:hAnsiTheme="minorHAnsi" w:cstheme="minorHAnsi"/>
      <w:b/>
      <w:bCs/>
      <w:kern w:val="32"/>
      <w:sz w:val="24"/>
      <w:szCs w:val="28"/>
      <w:lang w:eastAsia="fr-FR"/>
    </w:rPr>
  </w:style>
  <w:style w:type="paragraph" w:styleId="Titre3">
    <w:name w:val="heading 3"/>
    <w:aliases w:val="Titre 3 TMA DEV"/>
    <w:basedOn w:val="Normal"/>
    <w:next w:val="Normal"/>
    <w:link w:val="Titre3Car"/>
    <w:uiPriority w:val="9"/>
    <w:qFormat/>
    <w:rsid w:val="007A594F"/>
    <w:pPr>
      <w:keepNext/>
      <w:numPr>
        <w:ilvl w:val="2"/>
        <w:numId w:val="13"/>
      </w:numPr>
      <w:spacing w:before="240"/>
      <w:outlineLvl w:val="2"/>
    </w:pPr>
    <w:rPr>
      <w:rFonts w:asciiTheme="minorHAnsi" w:eastAsia="Times New Roman" w:hAnsiTheme="minorHAnsi" w:cstheme="minorHAnsi"/>
      <w:bCs/>
      <w:i/>
      <w:kern w:val="32"/>
      <w:szCs w:val="28"/>
      <w:u w:val="single"/>
      <w:lang w:eastAsia="fr-FR"/>
    </w:rPr>
  </w:style>
  <w:style w:type="paragraph" w:styleId="Titre4">
    <w:name w:val="heading 4"/>
    <w:aliases w:val="Titre 4 TMA DEV"/>
    <w:basedOn w:val="Normal"/>
    <w:next w:val="Normal"/>
    <w:link w:val="Titre4Car"/>
    <w:uiPriority w:val="9"/>
    <w:qFormat/>
    <w:rsid w:val="007A594F"/>
    <w:pPr>
      <w:keepNext/>
      <w:numPr>
        <w:ilvl w:val="3"/>
        <w:numId w:val="13"/>
      </w:numPr>
      <w:spacing w:before="240"/>
      <w:outlineLvl w:val="3"/>
    </w:pPr>
    <w:rPr>
      <w:rFonts w:asciiTheme="minorHAnsi" w:eastAsia="Times New Roman" w:hAnsiTheme="minorHAnsi" w:cs="Book Antiqua"/>
      <w:b/>
      <w:szCs w:val="24"/>
      <w:lang w:eastAsia="fr-FR" w:bidi="en-US"/>
    </w:rPr>
  </w:style>
  <w:style w:type="paragraph" w:styleId="Titre5">
    <w:name w:val="heading 5"/>
    <w:basedOn w:val="Normal"/>
    <w:next w:val="Normal"/>
    <w:link w:val="Titre5Car"/>
    <w:qFormat/>
    <w:rsid w:val="00704C59"/>
    <w:pPr>
      <w:numPr>
        <w:ilvl w:val="4"/>
        <w:numId w:val="13"/>
      </w:numPr>
      <w:spacing w:before="240" w:after="60"/>
      <w:outlineLvl w:val="4"/>
    </w:pPr>
    <w:rPr>
      <w:rFonts w:ascii="Times New Roman" w:eastAsia="Times New Roman" w:hAnsi="Times New Roman"/>
      <w:b/>
      <w:bCs/>
      <w:i/>
      <w:iCs/>
      <w:sz w:val="26"/>
      <w:szCs w:val="26"/>
      <w:lang w:eastAsia="fr-FR"/>
    </w:rPr>
  </w:style>
  <w:style w:type="paragraph" w:styleId="Titre6">
    <w:name w:val="heading 6"/>
    <w:basedOn w:val="Normal"/>
    <w:next w:val="Normal"/>
    <w:link w:val="Titre6Car"/>
    <w:uiPriority w:val="9"/>
    <w:semiHidden/>
    <w:unhideWhenUsed/>
    <w:qFormat/>
    <w:rsid w:val="007A594F"/>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qFormat/>
    <w:rsid w:val="00704C59"/>
    <w:pPr>
      <w:keepNext/>
      <w:numPr>
        <w:ilvl w:val="6"/>
        <w:numId w:val="13"/>
      </w:numPr>
      <w:spacing w:after="0"/>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uiPriority w:val="9"/>
    <w:semiHidden/>
    <w:unhideWhenUsed/>
    <w:qFormat/>
    <w:rsid w:val="007A594F"/>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A594F"/>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30158"/>
    <w:rPr>
      <w:rFonts w:eastAsia="Times New Roman" w:cs="Calibri"/>
      <w:b/>
      <w:bCs/>
      <w:caps/>
      <w:color w:val="002060"/>
      <w:kern w:val="32"/>
      <w:sz w:val="24"/>
      <w:szCs w:val="24"/>
      <w:shd w:val="pct10" w:color="auto" w:fill="auto"/>
    </w:rPr>
  </w:style>
  <w:style w:type="character" w:customStyle="1" w:styleId="Titre2Car">
    <w:name w:val="Titre 2 Car"/>
    <w:aliases w:val="Titre 2 TMA DEV Car"/>
    <w:link w:val="Titre2"/>
    <w:uiPriority w:val="9"/>
    <w:rsid w:val="007A594F"/>
    <w:rPr>
      <w:rFonts w:asciiTheme="minorHAnsi" w:eastAsia="Times New Roman" w:hAnsiTheme="minorHAnsi" w:cstheme="minorHAnsi"/>
      <w:b/>
      <w:bCs/>
      <w:kern w:val="32"/>
      <w:sz w:val="24"/>
      <w:szCs w:val="28"/>
    </w:rPr>
  </w:style>
  <w:style w:type="character" w:customStyle="1" w:styleId="Titre3Car">
    <w:name w:val="Titre 3 Car"/>
    <w:aliases w:val="Titre 3 TMA DEV Car"/>
    <w:link w:val="Titre3"/>
    <w:uiPriority w:val="9"/>
    <w:rsid w:val="007A594F"/>
    <w:rPr>
      <w:rFonts w:asciiTheme="minorHAnsi" w:eastAsia="Times New Roman" w:hAnsiTheme="minorHAnsi" w:cstheme="minorHAnsi"/>
      <w:bCs/>
      <w:i/>
      <w:kern w:val="32"/>
      <w:sz w:val="22"/>
      <w:szCs w:val="28"/>
      <w:u w:val="single"/>
    </w:rPr>
  </w:style>
  <w:style w:type="character" w:customStyle="1" w:styleId="Titre4Car">
    <w:name w:val="Titre 4 Car"/>
    <w:aliases w:val="Titre 4 TMA DEV Car"/>
    <w:link w:val="Titre4"/>
    <w:uiPriority w:val="9"/>
    <w:rsid w:val="007A594F"/>
    <w:rPr>
      <w:rFonts w:asciiTheme="minorHAnsi" w:eastAsia="Times New Roman" w:hAnsiTheme="minorHAnsi" w:cs="Book Antiqua"/>
      <w:b/>
      <w:sz w:val="22"/>
      <w:szCs w:val="24"/>
      <w:lang w:bidi="en-US"/>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ind w:left="568" w:right="-25" w:hanging="568"/>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2"/>
      </w:numPr>
      <w:tabs>
        <w:tab w:val="clear" w:pos="360"/>
      </w:tabs>
      <w:autoSpaceDE w:val="0"/>
      <w:autoSpaceDN w:val="0"/>
      <w:spacing w:before="240"/>
      <w:ind w:left="-360" w:firstLine="0"/>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2"/>
      </w:numPr>
      <w:tabs>
        <w:tab w:val="num" w:pos="225"/>
        <w:tab w:val="num" w:pos="432"/>
      </w:tabs>
      <w:autoSpaceDE w:val="0"/>
      <w:autoSpaceDN w:val="0"/>
      <w:spacing w:before="240"/>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4"/>
      </w:numPr>
      <w:spacing w:after="0"/>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uiPriority w:val="99"/>
    <w:rsid w:val="00704C59"/>
    <w:rPr>
      <w:sz w:val="16"/>
      <w:szCs w:val="16"/>
    </w:rPr>
  </w:style>
  <w:style w:type="paragraph" w:styleId="Commentaire">
    <w:name w:val="annotation text"/>
    <w:basedOn w:val="Normal"/>
    <w:link w:val="CommentaireCar"/>
    <w:rsid w:val="00704C59"/>
    <w:pPr>
      <w:spacing w:after="0"/>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3"/>
      </w:numPr>
      <w:spacing w:after="0"/>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5"/>
      </w:numPr>
      <w:spacing w:after="0"/>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6"/>
      </w:numPr>
      <w:spacing w:after="0"/>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link w:val="ParagraphedelisteCar"/>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Pagegarde3">
    <w:name w:val="Page garde 3"/>
    <w:basedOn w:val="Normal"/>
    <w:link w:val="Pagegarde3Car"/>
    <w:qFormat/>
    <w:rsid w:val="00630158"/>
    <w:pPr>
      <w:pBdr>
        <w:top w:val="single" w:sz="4" w:space="1" w:color="auto"/>
        <w:left w:val="single" w:sz="4" w:space="4" w:color="auto"/>
        <w:bottom w:val="single" w:sz="4" w:space="12" w:color="auto"/>
        <w:right w:val="single" w:sz="4" w:space="4" w:color="auto"/>
      </w:pBdr>
      <w:shd w:val="pct15" w:color="auto" w:fill="auto"/>
      <w:jc w:val="center"/>
    </w:pPr>
    <w:rPr>
      <w:rFonts w:eastAsia="Times New Roman" w:cs="Calibri"/>
      <w:b/>
      <w:bCs/>
      <w:color w:val="333399"/>
      <w:sz w:val="28"/>
      <w:lang w:eastAsia="fr-FR"/>
    </w:rPr>
  </w:style>
  <w:style w:type="character" w:customStyle="1" w:styleId="Pagegarde3Car">
    <w:name w:val="Page garde 3 Car"/>
    <w:basedOn w:val="Policepardfaut"/>
    <w:link w:val="Pagegarde3"/>
    <w:rsid w:val="00630158"/>
    <w:rPr>
      <w:rFonts w:eastAsia="Times New Roman" w:cs="Calibri"/>
      <w:b/>
      <w:bCs/>
      <w:color w:val="333399"/>
      <w:sz w:val="28"/>
      <w:szCs w:val="22"/>
      <w:shd w:val="pct15" w:color="auto" w:fill="auto"/>
    </w:rPr>
  </w:style>
  <w:style w:type="paragraph" w:customStyle="1" w:styleId="PAgegarde2">
    <w:name w:val="PAge garde 2"/>
    <w:basedOn w:val="Normal"/>
    <w:link w:val="PAgegarde2Car"/>
    <w:qFormat/>
    <w:rsid w:val="00630158"/>
    <w:pPr>
      <w:spacing w:before="240" w:after="480"/>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630158"/>
    <w:rPr>
      <w:rFonts w:eastAsia="Times New Roman" w:cs="Calibri"/>
      <w:b/>
      <w:bCs/>
      <w:color w:val="333399"/>
      <w:sz w:val="36"/>
      <w:szCs w:val="36"/>
    </w:rPr>
  </w:style>
  <w:style w:type="paragraph" w:customStyle="1" w:styleId="Sommaire">
    <w:name w:val="Sommaire"/>
    <w:basedOn w:val="Normal"/>
    <w:link w:val="SommaireCar"/>
    <w:qFormat/>
    <w:rsid w:val="00630158"/>
    <w:pPr>
      <w:pBdr>
        <w:bottom w:val="single" w:sz="4" w:space="1" w:color="2F5496" w:themeColor="accent5" w:themeShade="BF"/>
      </w:pBdr>
      <w:spacing w:before="240" w:after="480"/>
      <w:jc w:val="center"/>
    </w:pPr>
    <w:rPr>
      <w:b/>
      <w:color w:val="2F5496" w:themeColor="accent5" w:themeShade="BF"/>
      <w:sz w:val="44"/>
      <w:szCs w:val="44"/>
    </w:rPr>
  </w:style>
  <w:style w:type="paragraph" w:customStyle="1" w:styleId="En-tete">
    <w:name w:val="En-tete"/>
    <w:basedOn w:val="En-tte"/>
    <w:link w:val="En-teteCar"/>
    <w:qFormat/>
    <w:rsid w:val="00636FE1"/>
    <w:pPr>
      <w:pBdr>
        <w:bottom w:val="single" w:sz="4" w:space="1" w:color="auto"/>
      </w:pBdr>
      <w:tabs>
        <w:tab w:val="clear" w:pos="4819"/>
        <w:tab w:val="clear" w:pos="9071"/>
        <w:tab w:val="right" w:pos="9072"/>
      </w:tabs>
      <w:spacing w:after="120"/>
    </w:pPr>
    <w:rPr>
      <w:rFonts w:asciiTheme="minorHAnsi" w:hAnsiTheme="minorHAnsi" w:cs="Calibri"/>
      <w:i/>
      <w:sz w:val="18"/>
      <w:szCs w:val="22"/>
      <w:lang w:eastAsia="en-US"/>
    </w:rPr>
  </w:style>
  <w:style w:type="character" w:customStyle="1" w:styleId="SommaireCar">
    <w:name w:val="Sommaire Car"/>
    <w:basedOn w:val="Policepardfaut"/>
    <w:link w:val="Sommaire"/>
    <w:rsid w:val="00630158"/>
    <w:rPr>
      <w:b/>
      <w:color w:val="2F5496" w:themeColor="accent5" w:themeShade="BF"/>
      <w:sz w:val="44"/>
      <w:szCs w:val="44"/>
      <w:lang w:eastAsia="en-US"/>
    </w:rPr>
  </w:style>
  <w:style w:type="character" w:customStyle="1" w:styleId="En-teteCar">
    <w:name w:val="En-tete Car"/>
    <w:basedOn w:val="En-tteCar"/>
    <w:link w:val="En-tete"/>
    <w:rsid w:val="00636FE1"/>
    <w:rPr>
      <w:rFonts w:asciiTheme="minorHAnsi" w:eastAsia="Times New Roman" w:hAnsiTheme="minorHAnsi" w:cs="Calibri"/>
      <w:i/>
      <w:sz w:val="18"/>
      <w:szCs w:val="22"/>
      <w:lang w:eastAsia="en-US"/>
    </w:rPr>
  </w:style>
  <w:style w:type="character" w:customStyle="1" w:styleId="Titre6Car">
    <w:name w:val="Titre 6 Car"/>
    <w:basedOn w:val="Policepardfaut"/>
    <w:link w:val="Titre6"/>
    <w:uiPriority w:val="9"/>
    <w:semiHidden/>
    <w:rsid w:val="007A594F"/>
    <w:rPr>
      <w:rFonts w:asciiTheme="majorHAnsi" w:eastAsiaTheme="majorEastAsia" w:hAnsiTheme="majorHAnsi" w:cstheme="majorBidi"/>
      <w:color w:val="1F4D78" w:themeColor="accent1" w:themeShade="7F"/>
      <w:sz w:val="22"/>
      <w:szCs w:val="22"/>
      <w:lang w:eastAsia="en-US"/>
    </w:rPr>
  </w:style>
  <w:style w:type="character" w:customStyle="1" w:styleId="Titre8Car">
    <w:name w:val="Titre 8 Car"/>
    <w:basedOn w:val="Policepardfaut"/>
    <w:link w:val="Titre8"/>
    <w:uiPriority w:val="9"/>
    <w:semiHidden/>
    <w:rsid w:val="007A594F"/>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7A594F"/>
    <w:rPr>
      <w:rFonts w:asciiTheme="majorHAnsi" w:eastAsiaTheme="majorEastAsia" w:hAnsiTheme="majorHAnsi" w:cstheme="majorBidi"/>
      <w:i/>
      <w:iCs/>
      <w:color w:val="272727" w:themeColor="text1" w:themeTint="D8"/>
      <w:sz w:val="21"/>
      <w:szCs w:val="21"/>
      <w:lang w:eastAsia="en-US"/>
    </w:rPr>
  </w:style>
  <w:style w:type="paragraph" w:customStyle="1" w:styleId="Puce1">
    <w:name w:val="Puce 1"/>
    <w:basedOn w:val="Paragraphedeliste"/>
    <w:link w:val="Puce1Car"/>
    <w:qFormat/>
    <w:rsid w:val="001D1579"/>
    <w:pPr>
      <w:numPr>
        <w:numId w:val="9"/>
      </w:numPr>
      <w:contextualSpacing/>
    </w:pPr>
    <w:rPr>
      <w:lang w:eastAsia="fr-FR"/>
    </w:rPr>
  </w:style>
  <w:style w:type="paragraph" w:customStyle="1" w:styleId="Puce2">
    <w:name w:val="Puce 2"/>
    <w:basedOn w:val="Paragraphedeliste"/>
    <w:link w:val="Puce2Car"/>
    <w:qFormat/>
    <w:rsid w:val="00636FE1"/>
    <w:pPr>
      <w:numPr>
        <w:ilvl w:val="1"/>
        <w:numId w:val="8"/>
      </w:numPr>
      <w:ind w:left="1134" w:hanging="283"/>
      <w:contextualSpacing/>
    </w:pPr>
    <w:rPr>
      <w:lang w:eastAsia="fr-FR"/>
    </w:rPr>
  </w:style>
  <w:style w:type="character" w:customStyle="1" w:styleId="ParagraphedelisteCar">
    <w:name w:val="Paragraphe de liste Car"/>
    <w:basedOn w:val="Policepardfaut"/>
    <w:link w:val="Paragraphedeliste"/>
    <w:uiPriority w:val="34"/>
    <w:rsid w:val="00636FE1"/>
    <w:rPr>
      <w:sz w:val="22"/>
      <w:szCs w:val="22"/>
      <w:lang w:eastAsia="en-US"/>
    </w:rPr>
  </w:style>
  <w:style w:type="character" w:customStyle="1" w:styleId="Puce1Car">
    <w:name w:val="Puce 1 Car"/>
    <w:basedOn w:val="ParagraphedelisteCar"/>
    <w:link w:val="Puce1"/>
    <w:rsid w:val="001D1579"/>
    <w:rPr>
      <w:sz w:val="22"/>
      <w:szCs w:val="22"/>
      <w:lang w:eastAsia="en-US"/>
    </w:rPr>
  </w:style>
  <w:style w:type="character" w:customStyle="1" w:styleId="Puce2Car">
    <w:name w:val="Puce 2 Car"/>
    <w:basedOn w:val="ParagraphedelisteCar"/>
    <w:link w:val="Puce2"/>
    <w:rsid w:val="00636FE1"/>
    <w:rPr>
      <w:sz w:val="22"/>
      <w:szCs w:val="22"/>
      <w:lang w:eastAsia="en-US"/>
    </w:rPr>
  </w:style>
  <w:style w:type="paragraph" w:customStyle="1" w:styleId="Normsoul">
    <w:name w:val="Norm soul"/>
    <w:basedOn w:val="Normal"/>
    <w:link w:val="NormsoulCar"/>
    <w:qFormat/>
    <w:rsid w:val="00EF6F7B"/>
    <w:rPr>
      <w:u w:val="single"/>
      <w:lang w:eastAsia="fr-FR"/>
    </w:rPr>
  </w:style>
  <w:style w:type="paragraph" w:customStyle="1" w:styleId="Pucedoigt">
    <w:name w:val="Puce doigt"/>
    <w:basedOn w:val="Paragraphedeliste"/>
    <w:link w:val="PucedoigtCar"/>
    <w:qFormat/>
    <w:rsid w:val="001A5B4E"/>
    <w:pPr>
      <w:numPr>
        <w:numId w:val="14"/>
      </w:numPr>
      <w:ind w:left="1134"/>
    </w:pPr>
    <w:rPr>
      <w:i/>
    </w:rPr>
  </w:style>
  <w:style w:type="character" w:customStyle="1" w:styleId="NormsoulCar">
    <w:name w:val="Norm soul Car"/>
    <w:basedOn w:val="Policepardfaut"/>
    <w:link w:val="Normsoul"/>
    <w:rsid w:val="00EF6F7B"/>
    <w:rPr>
      <w:sz w:val="22"/>
      <w:szCs w:val="22"/>
      <w:u w:val="single"/>
    </w:rPr>
  </w:style>
  <w:style w:type="character" w:customStyle="1" w:styleId="PucedoigtCar">
    <w:name w:val="Puce doigt Car"/>
    <w:basedOn w:val="ParagraphedelisteCar"/>
    <w:link w:val="Pucedoigt"/>
    <w:rsid w:val="00EF6F7B"/>
    <w:rPr>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1076">
      <w:bodyDiv w:val="1"/>
      <w:marLeft w:val="0"/>
      <w:marRight w:val="0"/>
      <w:marTop w:val="0"/>
      <w:marBottom w:val="0"/>
      <w:divBdr>
        <w:top w:val="none" w:sz="0" w:space="0" w:color="auto"/>
        <w:left w:val="none" w:sz="0" w:space="0" w:color="auto"/>
        <w:bottom w:val="none" w:sz="0" w:space="0" w:color="auto"/>
        <w:right w:val="none" w:sz="0" w:space="0" w:color="auto"/>
      </w:divBdr>
      <w:divsChild>
        <w:div w:id="1471703501">
          <w:marLeft w:val="0"/>
          <w:marRight w:val="0"/>
          <w:marTop w:val="0"/>
          <w:marBottom w:val="0"/>
          <w:divBdr>
            <w:top w:val="none" w:sz="0" w:space="0" w:color="auto"/>
            <w:left w:val="none" w:sz="0" w:space="0" w:color="auto"/>
            <w:bottom w:val="none" w:sz="0" w:space="0" w:color="auto"/>
            <w:right w:val="none" w:sz="0" w:space="0" w:color="auto"/>
          </w:divBdr>
        </w:div>
      </w:divsChild>
    </w:div>
    <w:div w:id="36588046">
      <w:bodyDiv w:val="1"/>
      <w:marLeft w:val="0"/>
      <w:marRight w:val="0"/>
      <w:marTop w:val="0"/>
      <w:marBottom w:val="0"/>
      <w:divBdr>
        <w:top w:val="none" w:sz="0" w:space="0" w:color="auto"/>
        <w:left w:val="none" w:sz="0" w:space="0" w:color="auto"/>
        <w:bottom w:val="none" w:sz="0" w:space="0" w:color="auto"/>
        <w:right w:val="none" w:sz="0" w:space="0" w:color="auto"/>
      </w:divBdr>
      <w:divsChild>
        <w:div w:id="713240873">
          <w:marLeft w:val="0"/>
          <w:marRight w:val="0"/>
          <w:marTop w:val="0"/>
          <w:marBottom w:val="0"/>
          <w:divBdr>
            <w:top w:val="none" w:sz="0" w:space="0" w:color="auto"/>
            <w:left w:val="none" w:sz="0" w:space="0" w:color="auto"/>
            <w:bottom w:val="none" w:sz="0" w:space="0" w:color="auto"/>
            <w:right w:val="none" w:sz="0" w:space="0" w:color="auto"/>
          </w:divBdr>
        </w:div>
      </w:divsChild>
    </w:div>
    <w:div w:id="67122788">
      <w:bodyDiv w:val="1"/>
      <w:marLeft w:val="0"/>
      <w:marRight w:val="0"/>
      <w:marTop w:val="0"/>
      <w:marBottom w:val="0"/>
      <w:divBdr>
        <w:top w:val="none" w:sz="0" w:space="0" w:color="auto"/>
        <w:left w:val="none" w:sz="0" w:space="0" w:color="auto"/>
        <w:bottom w:val="none" w:sz="0" w:space="0" w:color="auto"/>
        <w:right w:val="none" w:sz="0" w:space="0" w:color="auto"/>
      </w:divBdr>
      <w:divsChild>
        <w:div w:id="383869272">
          <w:marLeft w:val="0"/>
          <w:marRight w:val="0"/>
          <w:marTop w:val="0"/>
          <w:marBottom w:val="0"/>
          <w:divBdr>
            <w:top w:val="none" w:sz="0" w:space="0" w:color="auto"/>
            <w:left w:val="none" w:sz="0" w:space="0" w:color="auto"/>
            <w:bottom w:val="none" w:sz="0" w:space="0" w:color="auto"/>
            <w:right w:val="none" w:sz="0" w:space="0" w:color="auto"/>
          </w:divBdr>
        </w:div>
      </w:divsChild>
    </w:div>
    <w:div w:id="260459605">
      <w:bodyDiv w:val="1"/>
      <w:marLeft w:val="0"/>
      <w:marRight w:val="0"/>
      <w:marTop w:val="0"/>
      <w:marBottom w:val="0"/>
      <w:divBdr>
        <w:top w:val="none" w:sz="0" w:space="0" w:color="auto"/>
        <w:left w:val="none" w:sz="0" w:space="0" w:color="auto"/>
        <w:bottom w:val="none" w:sz="0" w:space="0" w:color="auto"/>
        <w:right w:val="none" w:sz="0" w:space="0" w:color="auto"/>
      </w:divBdr>
    </w:div>
    <w:div w:id="691223807">
      <w:bodyDiv w:val="1"/>
      <w:marLeft w:val="0"/>
      <w:marRight w:val="0"/>
      <w:marTop w:val="0"/>
      <w:marBottom w:val="0"/>
      <w:divBdr>
        <w:top w:val="none" w:sz="0" w:space="0" w:color="auto"/>
        <w:left w:val="none" w:sz="0" w:space="0" w:color="auto"/>
        <w:bottom w:val="none" w:sz="0" w:space="0" w:color="auto"/>
        <w:right w:val="none" w:sz="0" w:space="0" w:color="auto"/>
      </w:divBdr>
    </w:div>
    <w:div w:id="756555698">
      <w:bodyDiv w:val="1"/>
      <w:marLeft w:val="0"/>
      <w:marRight w:val="0"/>
      <w:marTop w:val="0"/>
      <w:marBottom w:val="0"/>
      <w:divBdr>
        <w:top w:val="none" w:sz="0" w:space="0" w:color="auto"/>
        <w:left w:val="none" w:sz="0" w:space="0" w:color="auto"/>
        <w:bottom w:val="none" w:sz="0" w:space="0" w:color="auto"/>
        <w:right w:val="none" w:sz="0" w:space="0" w:color="auto"/>
      </w:divBdr>
      <w:divsChild>
        <w:div w:id="386415047">
          <w:marLeft w:val="0"/>
          <w:marRight w:val="0"/>
          <w:marTop w:val="0"/>
          <w:marBottom w:val="0"/>
          <w:divBdr>
            <w:top w:val="none" w:sz="0" w:space="0" w:color="auto"/>
            <w:left w:val="none" w:sz="0" w:space="0" w:color="auto"/>
            <w:bottom w:val="none" w:sz="0" w:space="0" w:color="auto"/>
            <w:right w:val="none" w:sz="0" w:space="0" w:color="auto"/>
          </w:divBdr>
        </w:div>
      </w:divsChild>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897672518">
      <w:bodyDiv w:val="1"/>
      <w:marLeft w:val="0"/>
      <w:marRight w:val="0"/>
      <w:marTop w:val="0"/>
      <w:marBottom w:val="0"/>
      <w:divBdr>
        <w:top w:val="none" w:sz="0" w:space="0" w:color="auto"/>
        <w:left w:val="none" w:sz="0" w:space="0" w:color="auto"/>
        <w:bottom w:val="none" w:sz="0" w:space="0" w:color="auto"/>
        <w:right w:val="none" w:sz="0" w:space="0" w:color="auto"/>
      </w:divBdr>
      <w:divsChild>
        <w:div w:id="1649553433">
          <w:marLeft w:val="0"/>
          <w:marRight w:val="0"/>
          <w:marTop w:val="0"/>
          <w:marBottom w:val="0"/>
          <w:divBdr>
            <w:top w:val="none" w:sz="0" w:space="0" w:color="auto"/>
            <w:left w:val="none" w:sz="0" w:space="0" w:color="auto"/>
            <w:bottom w:val="none" w:sz="0" w:space="0" w:color="auto"/>
            <w:right w:val="none" w:sz="0" w:space="0" w:color="auto"/>
          </w:divBdr>
        </w:div>
      </w:divsChild>
    </w:div>
    <w:div w:id="1073621029">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258245859">
      <w:bodyDiv w:val="1"/>
      <w:marLeft w:val="0"/>
      <w:marRight w:val="0"/>
      <w:marTop w:val="0"/>
      <w:marBottom w:val="0"/>
      <w:divBdr>
        <w:top w:val="none" w:sz="0" w:space="0" w:color="auto"/>
        <w:left w:val="none" w:sz="0" w:space="0" w:color="auto"/>
        <w:bottom w:val="none" w:sz="0" w:space="0" w:color="auto"/>
        <w:right w:val="none" w:sz="0" w:space="0" w:color="auto"/>
      </w:divBdr>
    </w:div>
    <w:div w:id="1260747938">
      <w:bodyDiv w:val="1"/>
      <w:marLeft w:val="0"/>
      <w:marRight w:val="0"/>
      <w:marTop w:val="0"/>
      <w:marBottom w:val="0"/>
      <w:divBdr>
        <w:top w:val="none" w:sz="0" w:space="0" w:color="auto"/>
        <w:left w:val="none" w:sz="0" w:space="0" w:color="auto"/>
        <w:bottom w:val="none" w:sz="0" w:space="0" w:color="auto"/>
        <w:right w:val="none" w:sz="0" w:space="0" w:color="auto"/>
      </w:divBdr>
      <w:divsChild>
        <w:div w:id="38433238">
          <w:marLeft w:val="0"/>
          <w:marRight w:val="0"/>
          <w:marTop w:val="0"/>
          <w:marBottom w:val="0"/>
          <w:divBdr>
            <w:top w:val="none" w:sz="0" w:space="0" w:color="auto"/>
            <w:left w:val="none" w:sz="0" w:space="0" w:color="auto"/>
            <w:bottom w:val="none" w:sz="0" w:space="0" w:color="auto"/>
            <w:right w:val="none" w:sz="0" w:space="0" w:color="auto"/>
          </w:divBdr>
        </w:div>
      </w:divsChild>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534922724">
      <w:bodyDiv w:val="1"/>
      <w:marLeft w:val="0"/>
      <w:marRight w:val="0"/>
      <w:marTop w:val="0"/>
      <w:marBottom w:val="0"/>
      <w:divBdr>
        <w:top w:val="none" w:sz="0" w:space="0" w:color="auto"/>
        <w:left w:val="none" w:sz="0" w:space="0" w:color="auto"/>
        <w:bottom w:val="none" w:sz="0" w:space="0" w:color="auto"/>
        <w:right w:val="none" w:sz="0" w:space="0" w:color="auto"/>
      </w:divBdr>
    </w:div>
    <w:div w:id="1710568574">
      <w:bodyDiv w:val="1"/>
      <w:marLeft w:val="0"/>
      <w:marRight w:val="0"/>
      <w:marTop w:val="0"/>
      <w:marBottom w:val="0"/>
      <w:divBdr>
        <w:top w:val="none" w:sz="0" w:space="0" w:color="auto"/>
        <w:left w:val="none" w:sz="0" w:space="0" w:color="auto"/>
        <w:bottom w:val="none" w:sz="0" w:space="0" w:color="auto"/>
        <w:right w:val="none" w:sz="0" w:space="0" w:color="auto"/>
      </w:divBdr>
      <w:divsChild>
        <w:div w:id="1963686820">
          <w:marLeft w:val="0"/>
          <w:marRight w:val="0"/>
          <w:marTop w:val="0"/>
          <w:marBottom w:val="0"/>
          <w:divBdr>
            <w:top w:val="none" w:sz="0" w:space="0" w:color="auto"/>
            <w:left w:val="none" w:sz="0" w:space="0" w:color="auto"/>
            <w:bottom w:val="none" w:sz="0" w:space="0" w:color="auto"/>
            <w:right w:val="none" w:sz="0" w:space="0" w:color="auto"/>
          </w:divBdr>
        </w:div>
      </w:divsChild>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1921986004">
      <w:bodyDiv w:val="1"/>
      <w:marLeft w:val="0"/>
      <w:marRight w:val="0"/>
      <w:marTop w:val="0"/>
      <w:marBottom w:val="0"/>
      <w:divBdr>
        <w:top w:val="none" w:sz="0" w:space="0" w:color="auto"/>
        <w:left w:val="none" w:sz="0" w:space="0" w:color="auto"/>
        <w:bottom w:val="none" w:sz="0" w:space="0" w:color="auto"/>
        <w:right w:val="none" w:sz="0" w:space="0" w:color="auto"/>
      </w:divBdr>
    </w:div>
    <w:div w:id="2047483466">
      <w:bodyDiv w:val="1"/>
      <w:marLeft w:val="0"/>
      <w:marRight w:val="0"/>
      <w:marTop w:val="0"/>
      <w:marBottom w:val="0"/>
      <w:divBdr>
        <w:top w:val="none" w:sz="0" w:space="0" w:color="auto"/>
        <w:left w:val="none" w:sz="0" w:space="0" w:color="auto"/>
        <w:bottom w:val="none" w:sz="0" w:space="0" w:color="auto"/>
        <w:right w:val="none" w:sz="0" w:space="0" w:color="auto"/>
      </w:divBdr>
      <w:divsChild>
        <w:div w:id="1927415208">
          <w:marLeft w:val="0"/>
          <w:marRight w:val="0"/>
          <w:marTop w:val="0"/>
          <w:marBottom w:val="0"/>
          <w:divBdr>
            <w:top w:val="none" w:sz="0" w:space="0" w:color="auto"/>
            <w:left w:val="none" w:sz="0" w:space="0" w:color="auto"/>
            <w:bottom w:val="none" w:sz="0" w:space="0" w:color="auto"/>
            <w:right w:val="none" w:sz="0" w:space="0" w:color="auto"/>
          </w:divBdr>
        </w:div>
      </w:divsChild>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iste-mjai@assurance-maladie.fr" TargetMode="External"/><Relationship Id="rId18" Type="http://schemas.openxmlformats.org/officeDocument/2006/relationships/hyperlink" Target="http://www.impots.gouv.fr/" TargetMode="External"/><Relationship Id="rId26" Type="http://schemas.openxmlformats.org/officeDocument/2006/relationships/hyperlink" Target="https://www.ssi.gouv.fr/liste-produits-et-services-qualifies." TargetMode="External"/><Relationship Id="rId3" Type="http://schemas.openxmlformats.org/officeDocument/2006/relationships/customXml" Target="../customXml/item3.xml"/><Relationship Id="rId21" Type="http://schemas.openxmlformats.org/officeDocument/2006/relationships/hyperlink" Target="http://www.net-entreprises.fr" TargetMode="Externa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www.economie.gouv.fr/daj/formulaires-declaration-candidat" TargetMode="External"/><Relationship Id="rId25" Type="http://schemas.openxmlformats.org/officeDocument/2006/relationships/hyperlink" Target="mailto:nepasr&#233;pondre@marches-publics.gouv.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conomie.gouv.fr/daj/marches-publics" TargetMode="External"/><Relationship Id="rId20" Type="http://schemas.openxmlformats.org/officeDocument/2006/relationships/hyperlink" Target="http://www.msa-idf.fr/lfr/attestations-msa" TargetMode="External"/><Relationship Id="rId29" Type="http://schemas.openxmlformats.org/officeDocument/2006/relationships/hyperlink" Target="mailto:greffe.ta-paris@juri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tools/espd/filter?lang=fr" TargetMode="External"/><Relationship Id="rId23" Type="http://schemas.openxmlformats.org/officeDocument/2006/relationships/hyperlink" Target="https://www.marches-publics.gouv.fr" TargetMode="External"/><Relationship Id="rId28" Type="http://schemas.openxmlformats.org/officeDocument/2006/relationships/hyperlink" Target="http://www.marches-publics.gouv.fr" TargetMode="External"/><Relationship Id="rId10" Type="http://schemas.openxmlformats.org/officeDocument/2006/relationships/endnotes" Target="endnotes.xml"/><Relationship Id="rId19" Type="http://schemas.openxmlformats.org/officeDocument/2006/relationships/hyperlink" Target="https://mon.urssaf.fr/"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pasr&#233;pondre@marches-publics.gouv.fr" TargetMode="External"/><Relationship Id="rId22" Type="http://schemas.openxmlformats.org/officeDocument/2006/relationships/hyperlink" Target="https://www.marches-publics.gouv.fr" TargetMode="External"/><Relationship Id="rId27" Type="http://schemas.openxmlformats.org/officeDocument/2006/relationships/hyperlink" Target="https://esignature.ec.europa.eu/efda/tl-browser/"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C25137CBF513419E6022C96C068B95" ma:contentTypeVersion="1" ma:contentTypeDescription="Crée un document." ma:contentTypeScope="" ma:versionID="e86cb09ded1084ca0aa977387c34409b">
  <xsd:schema xmlns:xsd="http://www.w3.org/2001/XMLSchema" xmlns:xs="http://www.w3.org/2001/XMLSchema" xmlns:p="http://schemas.microsoft.com/office/2006/metadata/properties" xmlns:ns2="2681f1af-021a-4e2e-a87c-80d732b549e5" targetNamespace="http://schemas.microsoft.com/office/2006/metadata/properties" ma:root="true" ma:fieldsID="3708797cabb846e5b618ec43087f734d" ns2:_="">
    <xsd:import namespace="2681f1af-021a-4e2e-a87c-80d732b549e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1f1af-021a-4e2e-a87c-80d732b549e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3E0AD-C5EA-4E72-BA9E-160B407B9EAF}">
  <ds:schemaRef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2681f1af-021a-4e2e-a87c-80d732b549e5"/>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AF8391F-A522-4308-BDF2-CDBB1828E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1f1af-021a-4e2e-a87c-80d732b54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59ED5-0517-4FC4-A7CD-5522206ABD5B}">
  <ds:schemaRefs>
    <ds:schemaRef ds:uri="http://schemas.microsoft.com/sharepoint/v3/contenttype/forms"/>
  </ds:schemaRefs>
</ds:datastoreItem>
</file>

<file path=customXml/itemProps4.xml><?xml version="1.0" encoding="utf-8"?>
<ds:datastoreItem xmlns:ds="http://schemas.openxmlformats.org/officeDocument/2006/customXml" ds:itemID="{0D468EF9-BE5A-4DA1-BC84-BC04F68DE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9124</Words>
  <Characters>50188</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59194</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CHANDIOUX Virginie (CNAM / Paris)</cp:lastModifiedBy>
  <cp:revision>2</cp:revision>
  <cp:lastPrinted>2025-11-04T16:47:00Z</cp:lastPrinted>
  <dcterms:created xsi:type="dcterms:W3CDTF">2025-11-07T09:48:00Z</dcterms:created>
  <dcterms:modified xsi:type="dcterms:W3CDTF">2025-11-07T09:48:00Z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0x01010050C25137CBF513419E6022C96C068B95</vt:lpwstr>
  </property>
</Properties>
</file>