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7CB19" w14:textId="77777777" w:rsidR="00DD28BE" w:rsidRDefault="00DD28BE">
      <w:pPr>
        <w:spacing w:after="40" w:line="240" w:lineRule="exact"/>
      </w:pPr>
    </w:p>
    <w:p w14:paraId="058759E0" w14:textId="77777777" w:rsidR="00DD28BE" w:rsidRDefault="00DD28BE">
      <w:pPr>
        <w:ind w:left="3420" w:right="3380"/>
        <w:rPr>
          <w:sz w:val="2"/>
        </w:rPr>
      </w:pPr>
    </w:p>
    <w:p w14:paraId="348F870B" w14:textId="77777777" w:rsidR="00DD28BE" w:rsidRDefault="00DD28BE">
      <w:pPr>
        <w:spacing w:line="240" w:lineRule="exact"/>
      </w:pPr>
    </w:p>
    <w:p w14:paraId="013C9255" w14:textId="77777777" w:rsidR="00DD28BE" w:rsidRDefault="00DD28BE">
      <w:pPr>
        <w:spacing w:after="160" w:line="240" w:lineRule="exact"/>
      </w:pPr>
    </w:p>
    <w:p w14:paraId="0BC6787C" w14:textId="77777777" w:rsidR="00DD28BE" w:rsidRDefault="00DD28BE">
      <w:pPr>
        <w:spacing w:after="160" w:line="240" w:lineRule="exact"/>
      </w:pPr>
    </w:p>
    <w:p w14:paraId="5808E9F7" w14:textId="77777777" w:rsidR="00DD28BE" w:rsidRDefault="00DD28BE">
      <w:pPr>
        <w:spacing w:after="160" w:line="240" w:lineRule="exact"/>
      </w:pPr>
    </w:p>
    <w:p w14:paraId="6904818E" w14:textId="77777777" w:rsidR="00DD28BE" w:rsidRDefault="00DD28BE">
      <w:pPr>
        <w:spacing w:after="160" w:line="240" w:lineRule="exact"/>
      </w:pPr>
    </w:p>
    <w:p w14:paraId="6CEB1E6B" w14:textId="77777777" w:rsidR="00DD28BE" w:rsidRDefault="00DD28BE">
      <w:pPr>
        <w:spacing w:after="160" w:line="240" w:lineRule="exact"/>
      </w:pPr>
    </w:p>
    <w:p w14:paraId="12FAD60D" w14:textId="77777777" w:rsidR="00DD28BE" w:rsidRDefault="00DD28BE">
      <w:pPr>
        <w:spacing w:after="160" w:line="240" w:lineRule="exact"/>
      </w:pPr>
    </w:p>
    <w:tbl>
      <w:tblPr>
        <w:tblW w:w="9620" w:type="dxa"/>
        <w:tblInd w:w="20" w:type="dxa"/>
        <w:tblLayout w:type="fixed"/>
        <w:tblCellMar>
          <w:top w:w="40" w:type="dxa"/>
          <w:left w:w="0" w:type="dxa"/>
          <w:right w:w="0" w:type="dxa"/>
        </w:tblCellMar>
        <w:tblLook w:val="04A0" w:firstRow="1" w:lastRow="0" w:firstColumn="1" w:lastColumn="0" w:noHBand="0" w:noVBand="1"/>
      </w:tblPr>
      <w:tblGrid>
        <w:gridCol w:w="9620"/>
      </w:tblGrid>
      <w:tr w:rsidR="00DD28BE" w14:paraId="5DAD022E" w14:textId="77777777">
        <w:tc>
          <w:tcPr>
            <w:tcW w:w="9620" w:type="dxa"/>
            <w:shd w:val="clear" w:color="666553" w:fill="666553"/>
            <w:vAlign w:val="center"/>
          </w:tcPr>
          <w:p w14:paraId="3BF268D8" w14:textId="77777777" w:rsidR="00DD28BE" w:rsidRDefault="009442F4">
            <w:pPr>
              <w:widowControl w:val="0"/>
              <w:jc w:val="center"/>
              <w:rPr>
                <w:rFonts w:ascii="Arial" w:eastAsia="Arial" w:hAnsi="Arial" w:cs="Arial"/>
                <w:b/>
                <w:color w:val="FFFFFF"/>
                <w:sz w:val="28"/>
              </w:rPr>
            </w:pPr>
            <w:r>
              <w:rPr>
                <w:rFonts w:ascii="Arial" w:eastAsia="Arial" w:hAnsi="Arial" w:cs="Arial"/>
                <w:b/>
                <w:color w:val="FFFFFF"/>
                <w:sz w:val="28"/>
              </w:rPr>
              <w:t>RÈGLEMENT DE LA CONSULTATION</w:t>
            </w:r>
          </w:p>
        </w:tc>
      </w:tr>
    </w:tbl>
    <w:p w14:paraId="51398523" w14:textId="77777777" w:rsidR="00DD28BE" w:rsidRDefault="009442F4">
      <w:pPr>
        <w:spacing w:line="240" w:lineRule="exact"/>
      </w:pPr>
      <w:r>
        <w:t xml:space="preserve"> </w:t>
      </w:r>
    </w:p>
    <w:p w14:paraId="26B5752B" w14:textId="77777777" w:rsidR="00DD28BE" w:rsidRDefault="00DD28BE">
      <w:pPr>
        <w:spacing w:after="220" w:line="240" w:lineRule="exact"/>
      </w:pPr>
    </w:p>
    <w:p w14:paraId="1A5CCA37" w14:textId="77777777" w:rsidR="00DD28BE" w:rsidRDefault="009442F4">
      <w:pPr>
        <w:spacing w:before="40"/>
        <w:ind w:left="20" w:right="20"/>
        <w:jc w:val="center"/>
        <w:rPr>
          <w:rFonts w:ascii="Arial" w:eastAsia="Arial" w:hAnsi="Arial" w:cs="Arial"/>
          <w:b/>
          <w:color w:val="000000"/>
          <w:sz w:val="28"/>
        </w:rPr>
      </w:pPr>
      <w:r>
        <w:rPr>
          <w:rFonts w:ascii="Arial" w:eastAsia="Arial" w:hAnsi="Arial" w:cs="Arial"/>
          <w:b/>
          <w:color w:val="000000"/>
          <w:sz w:val="28"/>
        </w:rPr>
        <w:t>MARCHÉ PUBLIC DE FOURNITURES COURANTES ET DE SERVICES</w:t>
      </w:r>
    </w:p>
    <w:p w14:paraId="74C6606A" w14:textId="77777777" w:rsidR="00DD28BE" w:rsidRDefault="00DD28BE">
      <w:pPr>
        <w:spacing w:line="240" w:lineRule="exact"/>
      </w:pPr>
    </w:p>
    <w:p w14:paraId="796DCACD" w14:textId="77777777" w:rsidR="00DD28BE" w:rsidRDefault="00DD28BE">
      <w:pPr>
        <w:spacing w:line="240" w:lineRule="exact"/>
      </w:pPr>
    </w:p>
    <w:p w14:paraId="040A03E7" w14:textId="77777777" w:rsidR="00DD28BE" w:rsidRDefault="00DD28BE">
      <w:pPr>
        <w:spacing w:line="240" w:lineRule="exact"/>
      </w:pPr>
    </w:p>
    <w:p w14:paraId="0F4457EA" w14:textId="77777777" w:rsidR="00DD28BE" w:rsidRDefault="00DD28BE">
      <w:pPr>
        <w:spacing w:line="240" w:lineRule="exact"/>
      </w:pPr>
    </w:p>
    <w:p w14:paraId="59778FEA" w14:textId="77777777" w:rsidR="003B70A1" w:rsidRDefault="003B70A1" w:rsidP="003B70A1">
      <w:pPr>
        <w:pStyle w:val="Titre10"/>
      </w:pPr>
      <w:proofErr w:type="spellStart"/>
      <w:r>
        <w:rPr>
          <w:rFonts w:ascii="Arial" w:eastAsia="Arial" w:hAnsi="Arial" w:cs="Arial"/>
          <w:b/>
        </w:rPr>
        <w:t>Ref</w:t>
      </w:r>
      <w:proofErr w:type="spellEnd"/>
      <w:r>
        <w:rPr>
          <w:rFonts w:ascii="Arial" w:eastAsia="Arial" w:hAnsi="Arial" w:cs="Arial"/>
          <w:b/>
        </w:rPr>
        <w:t xml:space="preserve">. </w:t>
      </w:r>
      <w:proofErr w:type="gramStart"/>
      <w:r>
        <w:rPr>
          <w:rFonts w:ascii="Arial" w:eastAsia="Arial" w:hAnsi="Arial" w:cs="Arial"/>
          <w:b/>
        </w:rPr>
        <w:t>de</w:t>
      </w:r>
      <w:proofErr w:type="gramEnd"/>
      <w:r>
        <w:rPr>
          <w:rFonts w:ascii="Arial" w:eastAsia="Arial" w:hAnsi="Arial" w:cs="Arial"/>
          <w:b/>
        </w:rPr>
        <w:t xml:space="preserve"> la consultation : </w:t>
      </w:r>
      <w:r>
        <w:rPr>
          <w:b/>
        </w:rPr>
        <w:t>2025-LABSTICC-SPACETECH-DRONETECH</w:t>
      </w:r>
    </w:p>
    <w:p w14:paraId="4BED58D1" w14:textId="77777777" w:rsidR="00DD28BE" w:rsidRDefault="00DD28BE">
      <w:pPr>
        <w:spacing w:line="240" w:lineRule="exact"/>
      </w:pPr>
    </w:p>
    <w:p w14:paraId="6B75153A" w14:textId="77777777" w:rsidR="00DD28BE" w:rsidRDefault="00DD28BE">
      <w:pPr>
        <w:spacing w:after="180" w:line="240" w:lineRule="exact"/>
      </w:pPr>
    </w:p>
    <w:tbl>
      <w:tblPr>
        <w:tblW w:w="8787" w:type="dxa"/>
        <w:jc w:val="center"/>
        <w:tblLayout w:type="fixed"/>
        <w:tblCellMar>
          <w:top w:w="400" w:type="dxa"/>
          <w:left w:w="0" w:type="dxa"/>
          <w:bottom w:w="400" w:type="dxa"/>
          <w:right w:w="0" w:type="dxa"/>
        </w:tblCellMar>
        <w:tblLook w:val="04A0" w:firstRow="1" w:lastRow="0" w:firstColumn="1" w:lastColumn="0" w:noHBand="0" w:noVBand="1"/>
      </w:tblPr>
      <w:tblGrid>
        <w:gridCol w:w="8787"/>
      </w:tblGrid>
      <w:tr w:rsidR="00DD28BE" w14:paraId="14CB4D9C" w14:textId="77777777">
        <w:trPr>
          <w:jc w:val="center"/>
        </w:trPr>
        <w:tc>
          <w:tcPr>
            <w:tcW w:w="8787" w:type="dxa"/>
            <w:tcBorders>
              <w:top w:val="single" w:sz="4" w:space="0" w:color="000000"/>
              <w:bottom w:val="single" w:sz="4" w:space="0" w:color="000000"/>
            </w:tcBorders>
            <w:vAlign w:val="center"/>
          </w:tcPr>
          <w:p w14:paraId="483C520B" w14:textId="77777777" w:rsidR="003B70A1" w:rsidRDefault="003B70A1" w:rsidP="003B70A1">
            <w:pPr>
              <w:widowControl w:val="0"/>
              <w:spacing w:line="322" w:lineRule="exact"/>
              <w:ind w:left="-433" w:right="-838"/>
              <w:jc w:val="center"/>
              <w:rPr>
                <w:rFonts w:ascii="Segoe UI" w:eastAsia="Arial" w:hAnsi="Segoe UI" w:cs="Segoe UI"/>
                <w:b/>
                <w:lang w:eastAsia="zh-CN" w:bidi="hi-IN"/>
              </w:rPr>
            </w:pPr>
            <w:bookmarkStart w:id="0" w:name="_Hlk137022192"/>
            <w:r>
              <w:rPr>
                <w:rFonts w:ascii="Segoe UI" w:eastAsia="Arial" w:hAnsi="Segoe UI" w:cs="Segoe UI"/>
                <w:b/>
                <w:lang w:eastAsia="zh-CN" w:bidi="hi-IN"/>
              </w:rPr>
              <w:t xml:space="preserve">Fourniture et livraison </w:t>
            </w:r>
            <w:bookmarkEnd w:id="0"/>
            <w:r>
              <w:rPr>
                <w:rFonts w:ascii="Segoe UI" w:eastAsia="Arial" w:hAnsi="Segoe UI" w:cs="Segoe UI"/>
                <w:b/>
                <w:lang w:eastAsia="zh-CN" w:bidi="hi-IN"/>
              </w:rPr>
              <w:t xml:space="preserve">de moyens optiques et </w:t>
            </w:r>
            <w:proofErr w:type="spellStart"/>
            <w:r>
              <w:rPr>
                <w:rFonts w:ascii="Segoe UI" w:eastAsia="Arial" w:hAnsi="Segoe UI" w:cs="Segoe UI"/>
                <w:b/>
                <w:lang w:eastAsia="zh-CN" w:bidi="hi-IN"/>
              </w:rPr>
              <w:t>électricques</w:t>
            </w:r>
            <w:proofErr w:type="spellEnd"/>
          </w:p>
          <w:p w14:paraId="4D244D95" w14:textId="77777777" w:rsidR="003B70A1" w:rsidRDefault="003B70A1" w:rsidP="003B70A1">
            <w:pPr>
              <w:widowControl w:val="0"/>
              <w:spacing w:line="322" w:lineRule="exact"/>
              <w:ind w:left="-433" w:right="-838"/>
              <w:jc w:val="center"/>
              <w:rPr>
                <w:rFonts w:ascii="Segoe UI" w:eastAsia="Arial" w:hAnsi="Segoe UI" w:cs="Segoe UI"/>
                <w:b/>
                <w:lang w:eastAsia="zh-CN" w:bidi="hi-IN"/>
              </w:rPr>
            </w:pPr>
            <w:proofErr w:type="spellStart"/>
            <w:proofErr w:type="gramStart"/>
            <w:r>
              <w:rPr>
                <w:rFonts w:ascii="Segoe UI" w:eastAsia="Arial" w:hAnsi="Segoe UI" w:cs="Segoe UI"/>
                <w:b/>
                <w:lang w:eastAsia="zh-CN" w:bidi="hi-IN"/>
              </w:rPr>
              <w:t>opto</w:t>
            </w:r>
            <w:proofErr w:type="spellEnd"/>
            <w:proofErr w:type="gramEnd"/>
            <w:r>
              <w:rPr>
                <w:rFonts w:ascii="Segoe UI" w:eastAsia="Arial" w:hAnsi="Segoe UI" w:cs="Segoe UI"/>
                <w:b/>
                <w:lang w:eastAsia="zh-CN" w:bidi="hi-IN"/>
              </w:rPr>
              <w:t xml:space="preserve">-hyper(1 lot) et d’un système de </w:t>
            </w:r>
            <w:proofErr w:type="spellStart"/>
            <w:r>
              <w:rPr>
                <w:rFonts w:ascii="Segoe UI" w:eastAsia="Arial" w:hAnsi="Segoe UI" w:cs="Segoe UI"/>
                <w:b/>
                <w:lang w:eastAsia="zh-CN" w:bidi="hi-IN"/>
              </w:rPr>
              <w:t>contrôl</w:t>
            </w:r>
            <w:proofErr w:type="spellEnd"/>
            <w:r>
              <w:rPr>
                <w:rFonts w:ascii="Segoe UI" w:eastAsia="Arial" w:hAnsi="Segoe UI" w:cs="Segoe UI"/>
                <w:b/>
                <w:lang w:eastAsia="zh-CN" w:bidi="hi-IN"/>
              </w:rPr>
              <w:t xml:space="preserve"> immersif(</w:t>
            </w:r>
            <w:proofErr w:type="spellStart"/>
            <w:r>
              <w:rPr>
                <w:rFonts w:ascii="Segoe UI" w:eastAsia="Arial" w:hAnsi="Segoe UI" w:cs="Segoe UI"/>
                <w:b/>
                <w:lang w:eastAsia="zh-CN" w:bidi="hi-IN"/>
              </w:rPr>
              <w:t>controlroom</w:t>
            </w:r>
            <w:proofErr w:type="spellEnd"/>
            <w:r>
              <w:rPr>
                <w:rFonts w:ascii="Segoe UI" w:eastAsia="Arial" w:hAnsi="Segoe UI" w:cs="Segoe UI"/>
                <w:b/>
                <w:lang w:eastAsia="zh-CN" w:bidi="hi-IN"/>
              </w:rPr>
              <w:t>)</w:t>
            </w:r>
          </w:p>
          <w:p w14:paraId="6696C44D" w14:textId="04C121F4" w:rsidR="00190F57" w:rsidRDefault="003B70A1" w:rsidP="003B70A1">
            <w:pPr>
              <w:widowControl w:val="0"/>
              <w:spacing w:line="240" w:lineRule="exact"/>
              <w:jc w:val="center"/>
              <w:rPr>
                <w:rFonts w:ascii="Arial" w:hAnsi="Arial" w:cs="Arial"/>
                <w:b/>
                <w:bCs/>
              </w:rPr>
            </w:pPr>
            <w:r>
              <w:rPr>
                <w:rFonts w:ascii="Segoe UI" w:eastAsia="Arial" w:hAnsi="Segoe UI" w:cs="Segoe UI"/>
                <w:b/>
                <w:lang w:eastAsia="zh-CN" w:bidi="hi-IN"/>
              </w:rPr>
              <w:t>(3 lots)</w:t>
            </w:r>
          </w:p>
          <w:p w14:paraId="30F72821" w14:textId="77777777" w:rsidR="00DD28BE" w:rsidRDefault="00DD28BE">
            <w:pPr>
              <w:widowControl w:val="0"/>
              <w:spacing w:line="240" w:lineRule="exact"/>
              <w:jc w:val="center"/>
              <w:rPr>
                <w:rFonts w:ascii="Arial" w:hAnsi="Arial" w:cs="Arial"/>
              </w:rPr>
            </w:pPr>
          </w:p>
        </w:tc>
      </w:tr>
    </w:tbl>
    <w:p w14:paraId="566D286C" w14:textId="77777777" w:rsidR="00DD28BE" w:rsidRDefault="009442F4">
      <w:pPr>
        <w:spacing w:line="240" w:lineRule="exact"/>
      </w:pPr>
      <w:r>
        <w:t xml:space="preserve"> </w:t>
      </w:r>
    </w:p>
    <w:p w14:paraId="34B48D67" w14:textId="77777777" w:rsidR="00DD28BE" w:rsidRDefault="00DD28BE">
      <w:pPr>
        <w:spacing w:after="140" w:line="240" w:lineRule="exact"/>
      </w:pPr>
    </w:p>
    <w:p w14:paraId="0DA17DEA" w14:textId="77777777" w:rsidR="00DD28BE" w:rsidRDefault="009442F4">
      <w:pPr>
        <w:spacing w:before="80" w:after="20"/>
        <w:ind w:left="20" w:right="20"/>
        <w:jc w:val="center"/>
        <w:rPr>
          <w:rFonts w:ascii="Arial" w:eastAsia="Arial" w:hAnsi="Arial" w:cs="Arial"/>
          <w:color w:val="000000"/>
        </w:rPr>
      </w:pPr>
      <w:r>
        <w:rPr>
          <w:rFonts w:ascii="Arial" w:eastAsia="Arial" w:hAnsi="Arial" w:cs="Arial"/>
          <w:color w:val="000000"/>
        </w:rPr>
        <w:t>Date et heure limites de réception des offres :</w:t>
      </w:r>
    </w:p>
    <w:p w14:paraId="07683727" w14:textId="6431B49C" w:rsidR="00DD28BE" w:rsidRPr="00233ECF" w:rsidRDefault="00233ECF">
      <w:pPr>
        <w:spacing w:before="80" w:after="20"/>
        <w:ind w:left="20" w:right="20"/>
        <w:jc w:val="center"/>
        <w:rPr>
          <w:rFonts w:ascii="Arial" w:eastAsia="Arial" w:hAnsi="Arial" w:cs="Arial"/>
          <w:b/>
          <w:bCs/>
          <w:color w:val="000000"/>
          <w:u w:val="single"/>
        </w:rPr>
      </w:pPr>
      <w:r w:rsidRPr="00233ECF">
        <w:rPr>
          <w:rFonts w:ascii="Arial" w:eastAsia="Arial" w:hAnsi="Arial" w:cs="Arial"/>
          <w:b/>
          <w:bCs/>
          <w:color w:val="000000"/>
          <w:u w:val="single"/>
        </w:rPr>
        <w:t xml:space="preserve">Le </w:t>
      </w:r>
      <w:r w:rsidR="003B70A1">
        <w:rPr>
          <w:rFonts w:ascii="Arial" w:eastAsia="Arial" w:hAnsi="Arial" w:cs="Arial"/>
          <w:b/>
          <w:bCs/>
          <w:color w:val="000000"/>
          <w:u w:val="single"/>
        </w:rPr>
        <w:t>3 novembre 2025 à 16 heures</w:t>
      </w:r>
    </w:p>
    <w:p w14:paraId="44188F09" w14:textId="77777777" w:rsidR="00DD28BE" w:rsidRDefault="00DD28BE">
      <w:pPr>
        <w:spacing w:line="240" w:lineRule="exact"/>
      </w:pPr>
    </w:p>
    <w:p w14:paraId="7D342B20" w14:textId="77777777" w:rsidR="00DD28BE" w:rsidRDefault="00DD28BE">
      <w:pPr>
        <w:spacing w:line="240" w:lineRule="exact"/>
      </w:pPr>
    </w:p>
    <w:p w14:paraId="5567692E" w14:textId="77777777" w:rsidR="00DD28BE" w:rsidRDefault="00DD28BE">
      <w:pPr>
        <w:spacing w:line="240" w:lineRule="exact"/>
      </w:pPr>
    </w:p>
    <w:p w14:paraId="7B3ADB9B" w14:textId="38E5DD12" w:rsidR="00DD28BE" w:rsidRDefault="003B70A1" w:rsidP="003B70A1">
      <w:pPr>
        <w:spacing w:line="276" w:lineRule="exact"/>
        <w:ind w:left="20" w:right="20"/>
        <w:jc w:val="center"/>
      </w:pPr>
      <w:r>
        <w:rPr>
          <w:rFonts w:ascii="Arial" w:eastAsia="Arial" w:hAnsi="Arial" w:cs="Arial"/>
          <w:b/>
          <w:color w:val="000000"/>
        </w:rPr>
        <w:t>Bretagne INP</w:t>
      </w:r>
    </w:p>
    <w:p w14:paraId="6F1B772B" w14:textId="77777777" w:rsidR="00DD28BE" w:rsidRDefault="009442F4">
      <w:pPr>
        <w:spacing w:line="276" w:lineRule="exact"/>
        <w:ind w:left="20" w:right="20"/>
        <w:jc w:val="center"/>
        <w:rPr>
          <w:rFonts w:ascii="Arial" w:eastAsia="Arial" w:hAnsi="Arial" w:cs="Arial"/>
          <w:color w:val="000000"/>
        </w:rPr>
      </w:pPr>
      <w:r>
        <w:rPr>
          <w:rFonts w:ascii="Arial" w:eastAsia="Arial" w:hAnsi="Arial" w:cs="Arial"/>
          <w:color w:val="000000"/>
        </w:rPr>
        <w:t>Technopôle Brest Iroise</w:t>
      </w:r>
    </w:p>
    <w:p w14:paraId="0BB79FDD" w14:textId="77777777" w:rsidR="00DD28BE" w:rsidRDefault="009442F4">
      <w:pPr>
        <w:spacing w:line="276" w:lineRule="exact"/>
        <w:ind w:left="20" w:right="20"/>
        <w:jc w:val="center"/>
        <w:rPr>
          <w:rFonts w:ascii="Arial" w:eastAsia="Arial" w:hAnsi="Arial" w:cs="Arial"/>
          <w:color w:val="000000"/>
        </w:rPr>
      </w:pPr>
      <w:r>
        <w:rPr>
          <w:rFonts w:ascii="Arial" w:eastAsia="Arial" w:hAnsi="Arial" w:cs="Arial"/>
          <w:color w:val="000000"/>
        </w:rPr>
        <w:t>945 Avenue du technopôle</w:t>
      </w:r>
    </w:p>
    <w:p w14:paraId="1E7CA2DA" w14:textId="77777777" w:rsidR="00DD28BE" w:rsidRDefault="009442F4">
      <w:pPr>
        <w:spacing w:line="276" w:lineRule="exact"/>
        <w:ind w:left="20" w:right="20"/>
        <w:jc w:val="center"/>
        <w:rPr>
          <w:rFonts w:ascii="Arial" w:eastAsia="Arial" w:hAnsi="Arial" w:cs="Arial"/>
          <w:color w:val="000000"/>
        </w:rPr>
        <w:sectPr w:rsidR="00DD28BE">
          <w:headerReference w:type="default" r:id="rId7"/>
          <w:headerReference w:type="first" r:id="rId8"/>
          <w:footerReference w:type="first" r:id="rId9"/>
          <w:pgSz w:w="11906" w:h="16838"/>
          <w:pgMar w:top="1191" w:right="1134" w:bottom="1191" w:left="1134" w:header="1134" w:footer="1134" w:gutter="0"/>
          <w:cols w:space="1701"/>
        </w:sectPr>
      </w:pPr>
      <w:r>
        <w:rPr>
          <w:rFonts w:ascii="Arial" w:eastAsia="Arial" w:hAnsi="Arial" w:cs="Arial"/>
          <w:color w:val="000000"/>
        </w:rPr>
        <w:t>29280 PLOUZANE</w:t>
      </w:r>
    </w:p>
    <w:p w14:paraId="2E803633" w14:textId="77777777" w:rsidR="00DD28BE" w:rsidRDefault="00DD28BE">
      <w:pPr>
        <w:spacing w:line="20" w:lineRule="exact"/>
        <w:rPr>
          <w:sz w:val="2"/>
        </w:rPr>
      </w:pPr>
    </w:p>
    <w:p w14:paraId="6294E182" w14:textId="77777777" w:rsidR="008D6414" w:rsidRDefault="008D6414">
      <w:pPr>
        <w:spacing w:after="120"/>
        <w:ind w:left="20" w:right="20"/>
        <w:jc w:val="center"/>
        <w:rPr>
          <w:rFonts w:ascii="Arial" w:eastAsia="Arial" w:hAnsi="Arial" w:cs="Arial"/>
          <w:b/>
          <w:color w:val="000000"/>
        </w:rPr>
      </w:pPr>
    </w:p>
    <w:p w14:paraId="745F3179" w14:textId="77777777" w:rsidR="008D6414" w:rsidRDefault="008D6414">
      <w:pPr>
        <w:spacing w:after="120"/>
        <w:ind w:left="20" w:right="20"/>
        <w:jc w:val="center"/>
        <w:rPr>
          <w:rFonts w:ascii="Arial" w:eastAsia="Arial" w:hAnsi="Arial" w:cs="Arial"/>
          <w:b/>
          <w:color w:val="000000"/>
        </w:rPr>
      </w:pPr>
    </w:p>
    <w:p w14:paraId="45EC1129" w14:textId="77777777" w:rsidR="008D6414" w:rsidRDefault="008D6414">
      <w:pPr>
        <w:spacing w:after="120"/>
        <w:ind w:left="20" w:right="20"/>
        <w:jc w:val="center"/>
        <w:rPr>
          <w:rFonts w:ascii="Arial" w:eastAsia="Arial" w:hAnsi="Arial" w:cs="Arial"/>
          <w:b/>
          <w:color w:val="000000"/>
        </w:rPr>
      </w:pPr>
    </w:p>
    <w:p w14:paraId="07AC146D" w14:textId="02F9D84F" w:rsidR="00DD28BE" w:rsidRDefault="009442F4">
      <w:pPr>
        <w:spacing w:after="120"/>
        <w:ind w:left="20" w:right="20"/>
        <w:jc w:val="center"/>
        <w:rPr>
          <w:rFonts w:ascii="Arial" w:eastAsia="Arial" w:hAnsi="Arial" w:cs="Arial"/>
          <w:b/>
          <w:color w:val="000000"/>
        </w:rPr>
      </w:pPr>
      <w:r>
        <w:rPr>
          <w:rFonts w:ascii="Arial" w:eastAsia="Arial" w:hAnsi="Arial" w:cs="Arial"/>
          <w:b/>
          <w:color w:val="000000"/>
        </w:rPr>
        <w:t>SOMMAIRE</w:t>
      </w:r>
    </w:p>
    <w:p w14:paraId="6F986187" w14:textId="77777777" w:rsidR="00DD28BE" w:rsidRDefault="00DD28BE">
      <w:pPr>
        <w:spacing w:after="80" w:line="240" w:lineRule="exact"/>
      </w:pPr>
    </w:p>
    <w:sdt>
      <w:sdtPr>
        <w:id w:val="-847173085"/>
        <w:docPartObj>
          <w:docPartGallery w:val="Table of Contents"/>
          <w:docPartUnique/>
        </w:docPartObj>
      </w:sdtPr>
      <w:sdtEndPr/>
      <w:sdtContent>
        <w:p w14:paraId="43E26045" w14:textId="77777777" w:rsidR="00DD28BE" w:rsidRDefault="009442F4">
          <w:pPr>
            <w:pStyle w:val="TM1"/>
            <w:tabs>
              <w:tab w:val="right" w:leader="dot" w:pos="9622"/>
            </w:tabs>
            <w:rPr>
              <w:rFonts w:ascii="Calibri" w:hAnsi="Calibri"/>
              <w:sz w:val="22"/>
            </w:rPr>
          </w:pPr>
          <w:r>
            <w:fldChar w:fldCharType="begin"/>
          </w:r>
          <w:r>
            <w:rPr>
              <w:rFonts w:eastAsia="Arial"/>
              <w:color w:val="000000"/>
            </w:rPr>
            <w:instrText xml:space="preserve"> TOC \o "1-9" \h</w:instrText>
          </w:r>
          <w:r>
            <w:rPr>
              <w:rFonts w:eastAsia="Arial"/>
              <w:color w:val="000000"/>
            </w:rPr>
            <w:fldChar w:fldCharType="separate"/>
          </w:r>
          <w:r>
            <w:rPr>
              <w:rFonts w:eastAsia="Arial"/>
              <w:color w:val="000000"/>
            </w:rPr>
            <w:t>1 - Objet et étendue de la consultation</w:t>
          </w:r>
          <w:r>
            <w:tab/>
            <w:t>3</w:t>
          </w:r>
        </w:p>
        <w:p w14:paraId="5E940404" w14:textId="77777777" w:rsidR="00DD28BE" w:rsidRDefault="009442F4">
          <w:pPr>
            <w:pStyle w:val="TM2"/>
            <w:tabs>
              <w:tab w:val="right" w:leader="dot" w:pos="9622"/>
            </w:tabs>
            <w:rPr>
              <w:rFonts w:ascii="Calibri" w:hAnsi="Calibri"/>
              <w:sz w:val="22"/>
            </w:rPr>
          </w:pPr>
          <w:r>
            <w:rPr>
              <w:rFonts w:eastAsia="Arial"/>
              <w:color w:val="000000"/>
            </w:rPr>
            <w:t>1.1 - Objet</w:t>
          </w:r>
          <w:r>
            <w:tab/>
            <w:t>3</w:t>
          </w:r>
        </w:p>
        <w:p w14:paraId="6F6AFC32" w14:textId="77777777" w:rsidR="00DD28BE" w:rsidRDefault="009442F4">
          <w:pPr>
            <w:pStyle w:val="TM2"/>
            <w:tabs>
              <w:tab w:val="right" w:leader="dot" w:pos="9622"/>
            </w:tabs>
            <w:rPr>
              <w:rFonts w:ascii="Calibri" w:hAnsi="Calibri"/>
              <w:sz w:val="22"/>
            </w:rPr>
          </w:pPr>
          <w:r>
            <w:rPr>
              <w:rFonts w:eastAsia="Arial"/>
              <w:color w:val="000000"/>
            </w:rPr>
            <w:t>1.2 - Mode de passation</w:t>
          </w:r>
          <w:r>
            <w:tab/>
            <w:t>3</w:t>
          </w:r>
        </w:p>
        <w:p w14:paraId="7659F5D5" w14:textId="77777777" w:rsidR="00DD28BE" w:rsidRDefault="009442F4">
          <w:pPr>
            <w:pStyle w:val="TM2"/>
            <w:tabs>
              <w:tab w:val="right" w:leader="dot" w:pos="9622"/>
            </w:tabs>
            <w:rPr>
              <w:rFonts w:ascii="Calibri" w:hAnsi="Calibri"/>
              <w:sz w:val="22"/>
            </w:rPr>
          </w:pPr>
          <w:r>
            <w:rPr>
              <w:rFonts w:eastAsia="Arial"/>
              <w:color w:val="000000"/>
            </w:rPr>
            <w:t>1.3 - Type et forme de contrat</w:t>
          </w:r>
          <w:r>
            <w:tab/>
            <w:t>3</w:t>
          </w:r>
        </w:p>
        <w:p w14:paraId="7438ED54" w14:textId="77777777" w:rsidR="00DD28BE" w:rsidRDefault="009442F4">
          <w:pPr>
            <w:pStyle w:val="TM2"/>
            <w:tabs>
              <w:tab w:val="right" w:leader="dot" w:pos="9622"/>
            </w:tabs>
            <w:rPr>
              <w:rFonts w:ascii="Calibri" w:hAnsi="Calibri"/>
              <w:sz w:val="22"/>
            </w:rPr>
          </w:pPr>
          <w:r>
            <w:rPr>
              <w:rFonts w:eastAsia="Arial"/>
              <w:color w:val="000000"/>
            </w:rPr>
            <w:t>1.4 - Décomposition de la consultation</w:t>
          </w:r>
          <w:r>
            <w:tab/>
            <w:t>3</w:t>
          </w:r>
        </w:p>
        <w:p w14:paraId="46F5A095" w14:textId="77777777" w:rsidR="00DD28BE" w:rsidRDefault="009442F4">
          <w:pPr>
            <w:pStyle w:val="TM2"/>
            <w:tabs>
              <w:tab w:val="right" w:leader="dot" w:pos="9622"/>
            </w:tabs>
            <w:rPr>
              <w:rFonts w:ascii="Calibri" w:hAnsi="Calibri"/>
              <w:sz w:val="22"/>
            </w:rPr>
          </w:pPr>
          <w:r>
            <w:rPr>
              <w:rFonts w:eastAsia="Arial"/>
              <w:color w:val="000000"/>
            </w:rPr>
            <w:t>1.5 - Nomenclature</w:t>
          </w:r>
          <w:r>
            <w:tab/>
            <w:t>3</w:t>
          </w:r>
        </w:p>
        <w:p w14:paraId="581E51B7" w14:textId="77777777" w:rsidR="00DD28BE" w:rsidRDefault="009442F4">
          <w:pPr>
            <w:pStyle w:val="TM1"/>
            <w:tabs>
              <w:tab w:val="right" w:leader="dot" w:pos="9622"/>
            </w:tabs>
            <w:rPr>
              <w:rFonts w:ascii="Calibri" w:hAnsi="Calibri"/>
              <w:sz w:val="22"/>
            </w:rPr>
          </w:pPr>
          <w:r>
            <w:rPr>
              <w:rFonts w:eastAsia="Arial"/>
              <w:color w:val="000000"/>
            </w:rPr>
            <w:t>2 - Conditions de la consultation</w:t>
          </w:r>
          <w:r>
            <w:tab/>
            <w:t>4</w:t>
          </w:r>
        </w:p>
        <w:p w14:paraId="1E31AE4D" w14:textId="77777777" w:rsidR="00DD28BE" w:rsidRDefault="009442F4">
          <w:pPr>
            <w:pStyle w:val="TM2"/>
            <w:tabs>
              <w:tab w:val="right" w:leader="dot" w:pos="9622"/>
            </w:tabs>
            <w:rPr>
              <w:rFonts w:ascii="Calibri" w:hAnsi="Calibri"/>
              <w:sz w:val="22"/>
            </w:rPr>
          </w:pPr>
          <w:r>
            <w:rPr>
              <w:rFonts w:eastAsia="Arial"/>
              <w:color w:val="000000"/>
            </w:rPr>
            <w:t>2.1 - Délai de validité des offres</w:t>
          </w:r>
          <w:r>
            <w:tab/>
            <w:t>4</w:t>
          </w:r>
        </w:p>
        <w:p w14:paraId="72F88B1F" w14:textId="77777777" w:rsidR="00DD28BE" w:rsidRDefault="009442F4">
          <w:pPr>
            <w:pStyle w:val="TM2"/>
            <w:tabs>
              <w:tab w:val="right" w:leader="dot" w:pos="9622"/>
            </w:tabs>
            <w:rPr>
              <w:rFonts w:ascii="Calibri" w:hAnsi="Calibri"/>
              <w:sz w:val="22"/>
            </w:rPr>
          </w:pPr>
          <w:r>
            <w:rPr>
              <w:rFonts w:eastAsia="Arial"/>
              <w:color w:val="000000"/>
            </w:rPr>
            <w:t>2.2 - Forme juridique du groupement</w:t>
          </w:r>
          <w:r>
            <w:tab/>
            <w:t>4</w:t>
          </w:r>
        </w:p>
        <w:p w14:paraId="43FE2B95" w14:textId="77777777" w:rsidR="00DD28BE" w:rsidRDefault="009442F4">
          <w:pPr>
            <w:pStyle w:val="TM2"/>
            <w:tabs>
              <w:tab w:val="right" w:leader="dot" w:pos="9622"/>
            </w:tabs>
            <w:rPr>
              <w:rFonts w:ascii="Calibri" w:hAnsi="Calibri"/>
              <w:sz w:val="22"/>
            </w:rPr>
          </w:pPr>
          <w:r>
            <w:rPr>
              <w:rFonts w:eastAsia="Arial"/>
              <w:color w:val="000000"/>
            </w:rPr>
            <w:t>2.3 - Variantes</w:t>
          </w:r>
          <w:r>
            <w:tab/>
            <w:t>4</w:t>
          </w:r>
        </w:p>
        <w:p w14:paraId="08DACEC5" w14:textId="77777777" w:rsidR="00DD28BE" w:rsidRDefault="009442F4">
          <w:pPr>
            <w:pStyle w:val="TM1"/>
            <w:tabs>
              <w:tab w:val="right" w:leader="dot" w:pos="9622"/>
            </w:tabs>
            <w:rPr>
              <w:rFonts w:ascii="Calibri" w:hAnsi="Calibri"/>
              <w:sz w:val="22"/>
            </w:rPr>
          </w:pPr>
          <w:r>
            <w:rPr>
              <w:rFonts w:eastAsia="Arial"/>
              <w:color w:val="000000"/>
            </w:rPr>
            <w:t>3 - Les intervenants</w:t>
          </w:r>
          <w:r>
            <w:tab/>
            <w:t>4</w:t>
          </w:r>
        </w:p>
        <w:p w14:paraId="4D3B14A9" w14:textId="77777777" w:rsidR="00DD28BE" w:rsidRDefault="009442F4">
          <w:pPr>
            <w:pStyle w:val="TM2"/>
            <w:tabs>
              <w:tab w:val="right" w:leader="dot" w:pos="9622"/>
            </w:tabs>
            <w:rPr>
              <w:rFonts w:ascii="Calibri" w:hAnsi="Calibri"/>
              <w:sz w:val="22"/>
            </w:rPr>
          </w:pPr>
          <w:r>
            <w:rPr>
              <w:rFonts w:eastAsia="Arial"/>
              <w:color w:val="000000"/>
            </w:rPr>
            <w:t>3.1 - Désignation de l'acheteur</w:t>
          </w:r>
          <w:r>
            <w:tab/>
            <w:t>4</w:t>
          </w:r>
        </w:p>
        <w:p w14:paraId="6E9480F7" w14:textId="77777777" w:rsidR="00DD28BE" w:rsidRDefault="009442F4">
          <w:pPr>
            <w:pStyle w:val="TM2"/>
            <w:tabs>
              <w:tab w:val="right" w:leader="dot" w:pos="9622"/>
            </w:tabs>
            <w:rPr>
              <w:rFonts w:ascii="Calibri" w:hAnsi="Calibri"/>
              <w:sz w:val="22"/>
            </w:rPr>
          </w:pPr>
          <w:r>
            <w:rPr>
              <w:rFonts w:eastAsia="Arial"/>
              <w:color w:val="000000"/>
            </w:rPr>
            <w:t>3.2 - Représentant de l'acheteur</w:t>
          </w:r>
          <w:r>
            <w:tab/>
            <w:t>4</w:t>
          </w:r>
        </w:p>
        <w:p w14:paraId="5224814F" w14:textId="77777777" w:rsidR="00DD28BE" w:rsidRDefault="009442F4">
          <w:pPr>
            <w:pStyle w:val="TM1"/>
            <w:tabs>
              <w:tab w:val="right" w:leader="dot" w:pos="9622"/>
            </w:tabs>
            <w:rPr>
              <w:rFonts w:ascii="Calibri" w:hAnsi="Calibri"/>
              <w:sz w:val="22"/>
            </w:rPr>
          </w:pPr>
          <w:r>
            <w:rPr>
              <w:rFonts w:eastAsia="Arial"/>
              <w:color w:val="000000"/>
            </w:rPr>
            <w:t>4 - Conditions relatives au contrat</w:t>
          </w:r>
          <w:r>
            <w:tab/>
            <w:t>4</w:t>
          </w:r>
        </w:p>
        <w:p w14:paraId="5D819E05" w14:textId="77777777" w:rsidR="00DD28BE" w:rsidRDefault="009442F4">
          <w:pPr>
            <w:pStyle w:val="TM2"/>
            <w:tabs>
              <w:tab w:val="right" w:leader="dot" w:pos="9622"/>
            </w:tabs>
            <w:rPr>
              <w:rFonts w:ascii="Calibri" w:hAnsi="Calibri"/>
              <w:sz w:val="22"/>
            </w:rPr>
          </w:pPr>
          <w:r>
            <w:rPr>
              <w:rFonts w:eastAsia="Arial"/>
              <w:color w:val="000000"/>
            </w:rPr>
            <w:t>4.1 - Durée du contrat ou délai d'exécution</w:t>
          </w:r>
          <w:r>
            <w:tab/>
            <w:t>4</w:t>
          </w:r>
        </w:p>
        <w:p w14:paraId="50981C5A" w14:textId="77777777" w:rsidR="00DD28BE" w:rsidRDefault="009442F4">
          <w:pPr>
            <w:pStyle w:val="TM2"/>
            <w:tabs>
              <w:tab w:val="right" w:leader="dot" w:pos="9622"/>
            </w:tabs>
            <w:rPr>
              <w:rFonts w:ascii="Calibri" w:hAnsi="Calibri"/>
              <w:sz w:val="22"/>
            </w:rPr>
          </w:pPr>
          <w:r>
            <w:rPr>
              <w:rFonts w:eastAsia="Arial"/>
              <w:color w:val="000000"/>
            </w:rPr>
            <w:t>4.2 - Modalités essentielles de financement et de paiement</w:t>
          </w:r>
          <w:r>
            <w:tab/>
            <w:t>4</w:t>
          </w:r>
        </w:p>
        <w:p w14:paraId="7684902B" w14:textId="77777777" w:rsidR="00DD28BE" w:rsidRDefault="009442F4">
          <w:pPr>
            <w:pStyle w:val="TM1"/>
            <w:tabs>
              <w:tab w:val="right" w:leader="dot" w:pos="9622"/>
            </w:tabs>
            <w:rPr>
              <w:rFonts w:ascii="Calibri" w:hAnsi="Calibri"/>
              <w:sz w:val="22"/>
            </w:rPr>
          </w:pPr>
          <w:r>
            <w:rPr>
              <w:rFonts w:eastAsia="Arial"/>
              <w:color w:val="000000"/>
            </w:rPr>
            <w:t>5 - Contenu du dossier de consultation</w:t>
          </w:r>
          <w:r>
            <w:tab/>
            <w:t>5</w:t>
          </w:r>
        </w:p>
        <w:p w14:paraId="569BBBE7" w14:textId="77777777" w:rsidR="00DD28BE" w:rsidRDefault="009442F4">
          <w:pPr>
            <w:pStyle w:val="TM1"/>
            <w:tabs>
              <w:tab w:val="right" w:leader="dot" w:pos="9622"/>
            </w:tabs>
            <w:rPr>
              <w:rFonts w:ascii="Calibri" w:hAnsi="Calibri"/>
              <w:sz w:val="22"/>
            </w:rPr>
          </w:pPr>
          <w:r>
            <w:rPr>
              <w:rFonts w:eastAsia="Arial"/>
              <w:color w:val="000000"/>
            </w:rPr>
            <w:t>6 - Présentation des candidatures et des offres</w:t>
          </w:r>
          <w:r>
            <w:tab/>
            <w:t>5</w:t>
          </w:r>
        </w:p>
        <w:p w14:paraId="2F84778B" w14:textId="77777777" w:rsidR="00DD28BE" w:rsidRDefault="009442F4">
          <w:pPr>
            <w:pStyle w:val="TM2"/>
            <w:tabs>
              <w:tab w:val="right" w:leader="dot" w:pos="9622"/>
            </w:tabs>
            <w:rPr>
              <w:rFonts w:ascii="Calibri" w:hAnsi="Calibri"/>
              <w:sz w:val="22"/>
            </w:rPr>
          </w:pPr>
          <w:r>
            <w:rPr>
              <w:rFonts w:eastAsia="Arial"/>
              <w:color w:val="000000"/>
            </w:rPr>
            <w:t>6.1 - Documents à produire</w:t>
          </w:r>
          <w:r>
            <w:tab/>
            <w:t>5</w:t>
          </w:r>
        </w:p>
        <w:p w14:paraId="07EAD52F" w14:textId="77777777" w:rsidR="00DD28BE" w:rsidRDefault="009442F4">
          <w:pPr>
            <w:pStyle w:val="TM2"/>
            <w:tabs>
              <w:tab w:val="right" w:leader="dot" w:pos="9622"/>
            </w:tabs>
            <w:rPr>
              <w:rFonts w:ascii="Calibri" w:hAnsi="Calibri"/>
              <w:sz w:val="22"/>
            </w:rPr>
          </w:pPr>
          <w:r>
            <w:rPr>
              <w:rFonts w:eastAsia="Arial"/>
              <w:color w:val="000000"/>
            </w:rPr>
            <w:t>6.2 - Présentation des variantes</w:t>
          </w:r>
          <w:r>
            <w:tab/>
            <w:t>6</w:t>
          </w:r>
        </w:p>
        <w:p w14:paraId="57011CB4" w14:textId="77777777" w:rsidR="00DD28BE" w:rsidRDefault="009442F4">
          <w:pPr>
            <w:pStyle w:val="TM1"/>
            <w:tabs>
              <w:tab w:val="right" w:leader="dot" w:pos="9622"/>
            </w:tabs>
            <w:rPr>
              <w:rFonts w:ascii="Calibri" w:hAnsi="Calibri"/>
              <w:sz w:val="22"/>
            </w:rPr>
          </w:pPr>
          <w:r>
            <w:rPr>
              <w:rFonts w:eastAsia="Arial"/>
              <w:color w:val="000000"/>
            </w:rPr>
            <w:t>7 - Conditions d'envoi ou de remise des plis</w:t>
          </w:r>
          <w:r>
            <w:tab/>
            <w:t>6</w:t>
          </w:r>
        </w:p>
        <w:p w14:paraId="60B6FACF" w14:textId="77777777" w:rsidR="00DD28BE" w:rsidRDefault="009442F4">
          <w:pPr>
            <w:pStyle w:val="TM2"/>
            <w:tabs>
              <w:tab w:val="right" w:leader="dot" w:pos="9622"/>
            </w:tabs>
            <w:rPr>
              <w:rFonts w:ascii="Calibri" w:hAnsi="Calibri"/>
              <w:sz w:val="22"/>
            </w:rPr>
          </w:pPr>
          <w:r>
            <w:rPr>
              <w:rFonts w:eastAsia="Arial"/>
              <w:color w:val="000000"/>
            </w:rPr>
            <w:t>7.1 - Transmission électronique</w:t>
          </w:r>
          <w:r>
            <w:tab/>
            <w:t>6</w:t>
          </w:r>
        </w:p>
        <w:p w14:paraId="66C0B3BC" w14:textId="77777777" w:rsidR="00DD28BE" w:rsidRDefault="009442F4">
          <w:pPr>
            <w:pStyle w:val="TM2"/>
            <w:tabs>
              <w:tab w:val="right" w:leader="dot" w:pos="9622"/>
            </w:tabs>
            <w:rPr>
              <w:rFonts w:ascii="Calibri" w:hAnsi="Calibri"/>
              <w:sz w:val="22"/>
            </w:rPr>
          </w:pPr>
          <w:r>
            <w:rPr>
              <w:rFonts w:eastAsia="Arial"/>
              <w:color w:val="000000"/>
            </w:rPr>
            <w:t>7.2 - Transmission sous support papier</w:t>
          </w:r>
          <w:r>
            <w:tab/>
            <w:t>7</w:t>
          </w:r>
        </w:p>
        <w:p w14:paraId="09BC19A7" w14:textId="77777777" w:rsidR="00DD28BE" w:rsidRDefault="009442F4">
          <w:pPr>
            <w:pStyle w:val="TM1"/>
            <w:tabs>
              <w:tab w:val="right" w:leader="dot" w:pos="9622"/>
            </w:tabs>
            <w:rPr>
              <w:rFonts w:ascii="Calibri" w:hAnsi="Calibri"/>
              <w:sz w:val="22"/>
            </w:rPr>
          </w:pPr>
          <w:r>
            <w:rPr>
              <w:rFonts w:eastAsia="Arial"/>
              <w:color w:val="000000"/>
            </w:rPr>
            <w:t>8 - Examen des candidatures et des offres</w:t>
          </w:r>
          <w:r>
            <w:tab/>
            <w:t>7</w:t>
          </w:r>
        </w:p>
        <w:p w14:paraId="1030D3CB" w14:textId="77777777" w:rsidR="00DD28BE" w:rsidRDefault="009442F4">
          <w:pPr>
            <w:pStyle w:val="TM2"/>
            <w:tabs>
              <w:tab w:val="right" w:leader="dot" w:pos="9622"/>
            </w:tabs>
            <w:rPr>
              <w:rFonts w:ascii="Calibri" w:hAnsi="Calibri"/>
              <w:sz w:val="22"/>
            </w:rPr>
          </w:pPr>
          <w:r>
            <w:rPr>
              <w:rFonts w:eastAsia="Arial"/>
              <w:color w:val="000000"/>
            </w:rPr>
            <w:t>8.1 - Sélection des candidatures</w:t>
          </w:r>
          <w:r>
            <w:tab/>
            <w:t>7</w:t>
          </w:r>
        </w:p>
        <w:p w14:paraId="3C39C818" w14:textId="77777777" w:rsidR="00DD28BE" w:rsidRDefault="009442F4">
          <w:pPr>
            <w:pStyle w:val="TM2"/>
            <w:tabs>
              <w:tab w:val="right" w:leader="dot" w:pos="9622"/>
            </w:tabs>
            <w:rPr>
              <w:rFonts w:ascii="Calibri" w:hAnsi="Calibri"/>
              <w:sz w:val="22"/>
            </w:rPr>
          </w:pPr>
          <w:r>
            <w:rPr>
              <w:rFonts w:eastAsia="Arial"/>
              <w:color w:val="000000"/>
            </w:rPr>
            <w:t>8.2 - Attribution des marchés</w:t>
          </w:r>
          <w:r>
            <w:tab/>
            <w:t>7</w:t>
          </w:r>
        </w:p>
        <w:p w14:paraId="0FBE2726" w14:textId="77777777" w:rsidR="00DD28BE" w:rsidRDefault="009442F4">
          <w:pPr>
            <w:pStyle w:val="TM2"/>
            <w:tabs>
              <w:tab w:val="right" w:leader="dot" w:pos="9622"/>
            </w:tabs>
            <w:rPr>
              <w:rFonts w:ascii="Calibri" w:hAnsi="Calibri"/>
              <w:sz w:val="22"/>
            </w:rPr>
          </w:pPr>
          <w:r>
            <w:rPr>
              <w:rFonts w:eastAsia="Arial"/>
              <w:color w:val="000000"/>
            </w:rPr>
            <w:t>8.3 - Suite à donner à la consultation</w:t>
          </w:r>
          <w:r>
            <w:tab/>
            <w:t>8</w:t>
          </w:r>
        </w:p>
        <w:p w14:paraId="0CF09BE6" w14:textId="77777777" w:rsidR="00DD28BE" w:rsidRDefault="009442F4">
          <w:pPr>
            <w:pStyle w:val="TM1"/>
            <w:tabs>
              <w:tab w:val="right" w:leader="dot" w:pos="9622"/>
            </w:tabs>
            <w:rPr>
              <w:rFonts w:ascii="Calibri" w:hAnsi="Calibri"/>
              <w:sz w:val="22"/>
            </w:rPr>
          </w:pPr>
          <w:r>
            <w:rPr>
              <w:rFonts w:eastAsia="Arial"/>
              <w:color w:val="000000"/>
            </w:rPr>
            <w:t>9 - Renseignements complémentaires</w:t>
          </w:r>
          <w:r>
            <w:tab/>
            <w:t>8</w:t>
          </w:r>
        </w:p>
        <w:p w14:paraId="059977C9" w14:textId="77777777" w:rsidR="00DD28BE" w:rsidRDefault="009442F4">
          <w:pPr>
            <w:pStyle w:val="TM2"/>
            <w:tabs>
              <w:tab w:val="right" w:leader="dot" w:pos="9622"/>
            </w:tabs>
            <w:rPr>
              <w:rFonts w:ascii="Calibri" w:hAnsi="Calibri"/>
              <w:sz w:val="22"/>
            </w:rPr>
          </w:pPr>
          <w:r>
            <w:rPr>
              <w:rFonts w:eastAsia="Arial"/>
              <w:color w:val="000000"/>
            </w:rPr>
            <w:t>9.1 - Adresses supplémentaires et points de contact</w:t>
          </w:r>
          <w:r>
            <w:tab/>
            <w:t>8</w:t>
          </w:r>
        </w:p>
        <w:p w14:paraId="6B951A75" w14:textId="77777777" w:rsidR="00DD28BE" w:rsidRDefault="009442F4">
          <w:pPr>
            <w:pStyle w:val="TM2"/>
            <w:tabs>
              <w:tab w:val="right" w:leader="dot" w:pos="9622"/>
            </w:tabs>
            <w:rPr>
              <w:rFonts w:ascii="Calibri" w:hAnsi="Calibri"/>
              <w:sz w:val="22"/>
            </w:rPr>
          </w:pPr>
          <w:r>
            <w:rPr>
              <w:rFonts w:eastAsia="Arial"/>
              <w:color w:val="000000"/>
            </w:rPr>
            <w:t>9.2 - Procédures de recours</w:t>
          </w:r>
          <w:r>
            <w:tab/>
            <w:t>8</w:t>
          </w:r>
          <w:r>
            <w:fldChar w:fldCharType="end"/>
          </w:r>
        </w:p>
        <w:p w14:paraId="5224DC6F" w14:textId="77777777" w:rsidR="00DD28BE" w:rsidRDefault="00FF6B97">
          <w:pPr>
            <w:sectPr w:rsidR="00DD28BE">
              <w:pgSz w:w="11906" w:h="16838"/>
              <w:pgMar w:top="1134" w:right="1134" w:bottom="1134" w:left="1134" w:header="0" w:footer="0" w:gutter="0"/>
              <w:cols w:space="1701"/>
            </w:sectPr>
          </w:pPr>
        </w:p>
      </w:sdtContent>
    </w:sdt>
    <w:p w14:paraId="6B2977BF" w14:textId="77777777" w:rsidR="00DD28BE" w:rsidRDefault="00DD28BE">
      <w:pPr>
        <w:spacing w:line="20" w:lineRule="exact"/>
        <w:rPr>
          <w:sz w:val="2"/>
        </w:rPr>
      </w:pPr>
    </w:p>
    <w:p w14:paraId="30E3CA08" w14:textId="77777777" w:rsidR="00DD28BE" w:rsidRDefault="009442F4">
      <w:pPr>
        <w:keepNext/>
        <w:spacing w:after="120"/>
        <w:outlineLvl w:val="0"/>
        <w:rPr>
          <w:rFonts w:ascii="Arial" w:eastAsia="Arial" w:hAnsi="Arial" w:cs="Arial"/>
          <w:b/>
          <w:bCs/>
          <w:color w:val="000000"/>
          <w:sz w:val="28"/>
          <w:szCs w:val="32"/>
          <w:lang w:eastAsia="fr-FR"/>
        </w:rPr>
      </w:pPr>
      <w:bookmarkStart w:id="1" w:name="_Toc518982464"/>
      <w:r>
        <w:rPr>
          <w:rFonts w:ascii="Arial" w:eastAsia="Arial" w:hAnsi="Arial" w:cs="Arial"/>
          <w:b/>
          <w:bCs/>
          <w:color w:val="000000"/>
          <w:sz w:val="28"/>
          <w:szCs w:val="32"/>
          <w:lang w:eastAsia="fr-FR"/>
        </w:rPr>
        <w:t>Préambule</w:t>
      </w:r>
      <w:bookmarkEnd w:id="1"/>
    </w:p>
    <w:p w14:paraId="2DCA6142" w14:textId="304A7BE6" w:rsidR="00DD28BE" w:rsidRDefault="009442F4">
      <w:pPr>
        <w:widowControl w:val="0"/>
        <w:jc w:val="both"/>
        <w:rPr>
          <w:rFonts w:ascii="Segoe UI" w:eastAsia="Arial Unicode MS" w:hAnsi="Segoe UI" w:cs="Segoe UI"/>
          <w:sz w:val="22"/>
          <w:szCs w:val="22"/>
          <w:lang w:eastAsia="zh-CN" w:bidi="hi-IN"/>
        </w:rPr>
      </w:pPr>
      <w:r>
        <w:rPr>
          <w:rFonts w:ascii="Segoe UI" w:eastAsia="Arial Unicode MS" w:hAnsi="Segoe UI" w:cs="Segoe UI"/>
          <w:sz w:val="22"/>
          <w:szCs w:val="22"/>
          <w:lang w:eastAsia="zh-CN" w:bidi="hi-IN"/>
        </w:rPr>
        <w:t xml:space="preserve">Cette consultation est soutenue </w:t>
      </w:r>
      <w:r w:rsidR="00505EE8">
        <w:rPr>
          <w:rFonts w:ascii="Segoe UI" w:eastAsia="Arial Unicode MS" w:hAnsi="Segoe UI" w:cs="Segoe UI"/>
          <w:sz w:val="22"/>
          <w:szCs w:val="22"/>
          <w:lang w:eastAsia="zh-CN" w:bidi="hi-IN"/>
        </w:rPr>
        <w:t>par l’Etat gérée par l’Agence Nationale de la Recherche au titre du programme Investissements d’avenir portant la référence ANR-21-ESRE-0030.</w:t>
      </w:r>
    </w:p>
    <w:p w14:paraId="4801FE56" w14:textId="77777777" w:rsidR="00DD28BE" w:rsidRDefault="00DD28BE">
      <w:pPr>
        <w:spacing w:after="200" w:line="240" w:lineRule="exact"/>
        <w:rPr>
          <w:lang w:eastAsia="fr-FR"/>
        </w:rPr>
      </w:pPr>
    </w:p>
    <w:p w14:paraId="0F870F86" w14:textId="77777777" w:rsidR="00DD28BE" w:rsidRDefault="009442F4">
      <w:pPr>
        <w:pStyle w:val="Titre1"/>
        <w:spacing w:before="20" w:after="180"/>
        <w:ind w:left="20" w:right="20"/>
        <w:rPr>
          <w:rFonts w:eastAsia="Arial"/>
          <w:color w:val="000000"/>
          <w:sz w:val="28"/>
        </w:rPr>
      </w:pPr>
      <w:bookmarkStart w:id="2" w:name="_Toc256000000"/>
      <w:r>
        <w:rPr>
          <w:rFonts w:eastAsia="Arial"/>
          <w:color w:val="000000"/>
          <w:sz w:val="28"/>
        </w:rPr>
        <w:t>1 - Objet et étendue de la consultation</w:t>
      </w:r>
      <w:bookmarkEnd w:id="2"/>
    </w:p>
    <w:p w14:paraId="4B6B38D5" w14:textId="77777777" w:rsidR="00DD28BE" w:rsidRDefault="009442F4">
      <w:pPr>
        <w:pStyle w:val="Titre2"/>
        <w:spacing w:before="20" w:after="120"/>
        <w:ind w:left="300" w:right="20"/>
        <w:rPr>
          <w:rFonts w:eastAsia="Arial"/>
          <w:i w:val="0"/>
          <w:color w:val="000000"/>
          <w:sz w:val="24"/>
        </w:rPr>
      </w:pPr>
      <w:bookmarkStart w:id="3" w:name="_Toc256000001"/>
      <w:r>
        <w:rPr>
          <w:rFonts w:eastAsia="Arial"/>
          <w:i w:val="0"/>
          <w:color w:val="000000"/>
          <w:sz w:val="24"/>
        </w:rPr>
        <w:t>1.1 - Objet</w:t>
      </w:r>
      <w:bookmarkEnd w:id="3"/>
    </w:p>
    <w:p w14:paraId="6B702336" w14:textId="347FEC17" w:rsidR="00DD28BE" w:rsidRDefault="009442F4">
      <w:pPr>
        <w:pStyle w:val="ParagrapheIndent2"/>
        <w:spacing w:line="253" w:lineRule="exact"/>
        <w:ind w:left="20" w:right="20"/>
        <w:jc w:val="both"/>
        <w:rPr>
          <w:color w:val="000000"/>
        </w:rPr>
      </w:pPr>
      <w:r>
        <w:rPr>
          <w:color w:val="000000"/>
        </w:rPr>
        <w:t>La présente consultation concerne :</w:t>
      </w:r>
    </w:p>
    <w:p w14:paraId="2A90F76A" w14:textId="77777777" w:rsidR="008D6414" w:rsidRPr="008D6414" w:rsidRDefault="008D6414" w:rsidP="008D6414"/>
    <w:p w14:paraId="61512B16" w14:textId="77777777" w:rsidR="003B70A1" w:rsidRPr="00585242" w:rsidRDefault="003B70A1" w:rsidP="003B70A1">
      <w:pPr>
        <w:widowControl w:val="0"/>
        <w:spacing w:line="322" w:lineRule="exact"/>
        <w:ind w:left="-433" w:right="-838" w:firstLine="453"/>
        <w:rPr>
          <w:rFonts w:ascii="Segoe UI" w:eastAsia="Arial" w:hAnsi="Segoe UI" w:cs="Segoe UI"/>
          <w:bCs/>
          <w:lang w:eastAsia="zh-CN" w:bidi="hi-IN"/>
        </w:rPr>
      </w:pPr>
      <w:r w:rsidRPr="00585242">
        <w:rPr>
          <w:rFonts w:ascii="Segoe UI" w:eastAsia="Arial" w:hAnsi="Segoe UI" w:cs="Segoe UI"/>
          <w:bCs/>
          <w:lang w:eastAsia="zh-CN" w:bidi="hi-IN"/>
        </w:rPr>
        <w:t xml:space="preserve">Fourniture et livraison de moyens optiques et </w:t>
      </w:r>
      <w:proofErr w:type="spellStart"/>
      <w:r w:rsidRPr="00585242">
        <w:rPr>
          <w:rFonts w:ascii="Segoe UI" w:eastAsia="Arial" w:hAnsi="Segoe UI" w:cs="Segoe UI"/>
          <w:bCs/>
          <w:lang w:eastAsia="zh-CN" w:bidi="hi-IN"/>
        </w:rPr>
        <w:t>électricques</w:t>
      </w:r>
      <w:proofErr w:type="spellEnd"/>
    </w:p>
    <w:p w14:paraId="01EED312" w14:textId="77777777" w:rsidR="003B70A1" w:rsidRPr="00585242" w:rsidRDefault="003B70A1" w:rsidP="003B70A1">
      <w:pPr>
        <w:widowControl w:val="0"/>
        <w:spacing w:line="322" w:lineRule="exact"/>
        <w:ind w:left="-433" w:right="-838" w:firstLine="433"/>
        <w:rPr>
          <w:rFonts w:ascii="Segoe UI" w:eastAsia="Arial" w:hAnsi="Segoe UI" w:cs="Segoe UI"/>
          <w:bCs/>
          <w:lang w:eastAsia="zh-CN" w:bidi="hi-IN"/>
        </w:rPr>
      </w:pPr>
      <w:proofErr w:type="spellStart"/>
      <w:proofErr w:type="gramStart"/>
      <w:r w:rsidRPr="00585242">
        <w:rPr>
          <w:rFonts w:ascii="Segoe UI" w:eastAsia="Arial" w:hAnsi="Segoe UI" w:cs="Segoe UI"/>
          <w:bCs/>
          <w:lang w:eastAsia="zh-CN" w:bidi="hi-IN"/>
        </w:rPr>
        <w:t>opto</w:t>
      </w:r>
      <w:proofErr w:type="spellEnd"/>
      <w:proofErr w:type="gramEnd"/>
      <w:r w:rsidRPr="00585242">
        <w:rPr>
          <w:rFonts w:ascii="Segoe UI" w:eastAsia="Arial" w:hAnsi="Segoe UI" w:cs="Segoe UI"/>
          <w:bCs/>
          <w:lang w:eastAsia="zh-CN" w:bidi="hi-IN"/>
        </w:rPr>
        <w:t xml:space="preserve">-hyper(1 lot) et d’un système de </w:t>
      </w:r>
      <w:proofErr w:type="spellStart"/>
      <w:r w:rsidRPr="00585242">
        <w:rPr>
          <w:rFonts w:ascii="Segoe UI" w:eastAsia="Arial" w:hAnsi="Segoe UI" w:cs="Segoe UI"/>
          <w:bCs/>
          <w:lang w:eastAsia="zh-CN" w:bidi="hi-IN"/>
        </w:rPr>
        <w:t>contrôl</w:t>
      </w:r>
      <w:proofErr w:type="spellEnd"/>
      <w:r w:rsidRPr="00585242">
        <w:rPr>
          <w:rFonts w:ascii="Segoe UI" w:eastAsia="Arial" w:hAnsi="Segoe UI" w:cs="Segoe UI"/>
          <w:bCs/>
          <w:lang w:eastAsia="zh-CN" w:bidi="hi-IN"/>
        </w:rPr>
        <w:t xml:space="preserve"> immersif(</w:t>
      </w:r>
      <w:proofErr w:type="spellStart"/>
      <w:r w:rsidRPr="00585242">
        <w:rPr>
          <w:rFonts w:ascii="Segoe UI" w:eastAsia="Arial" w:hAnsi="Segoe UI" w:cs="Segoe UI"/>
          <w:bCs/>
          <w:lang w:eastAsia="zh-CN" w:bidi="hi-IN"/>
        </w:rPr>
        <w:t>controlroom</w:t>
      </w:r>
      <w:proofErr w:type="spellEnd"/>
      <w:r w:rsidRPr="00585242">
        <w:rPr>
          <w:rFonts w:ascii="Segoe UI" w:eastAsia="Arial" w:hAnsi="Segoe UI" w:cs="Segoe UI"/>
          <w:bCs/>
          <w:lang w:eastAsia="zh-CN" w:bidi="hi-IN"/>
        </w:rPr>
        <w:t>)</w:t>
      </w:r>
    </w:p>
    <w:p w14:paraId="4224187B" w14:textId="77777777" w:rsidR="003B70A1" w:rsidRPr="00585242" w:rsidRDefault="003B70A1" w:rsidP="003B70A1">
      <w:pPr>
        <w:pStyle w:val="ParagrapheIndent2"/>
        <w:rPr>
          <w:bCs/>
        </w:rPr>
      </w:pPr>
      <w:r w:rsidRPr="00585242">
        <w:rPr>
          <w:rFonts w:ascii="Segoe UI" w:hAnsi="Segoe UI" w:cs="Segoe UI"/>
          <w:bCs/>
          <w:lang w:eastAsia="zh-CN" w:bidi="hi-IN"/>
        </w:rPr>
        <w:t>(3 lots)</w:t>
      </w:r>
    </w:p>
    <w:tbl>
      <w:tblPr>
        <w:tblW w:w="8789" w:type="dxa"/>
        <w:jc w:val="center"/>
        <w:tblLayout w:type="fixed"/>
        <w:tblCellMar>
          <w:top w:w="28" w:type="dxa"/>
          <w:left w:w="0" w:type="dxa"/>
          <w:bottom w:w="28" w:type="dxa"/>
          <w:right w:w="0" w:type="dxa"/>
        </w:tblCellMar>
        <w:tblLook w:val="0000" w:firstRow="0" w:lastRow="0" w:firstColumn="0" w:lastColumn="0" w:noHBand="0" w:noVBand="0"/>
      </w:tblPr>
      <w:tblGrid>
        <w:gridCol w:w="959"/>
        <w:gridCol w:w="7830"/>
      </w:tblGrid>
      <w:tr w:rsidR="003B70A1" w14:paraId="31670413" w14:textId="77777777" w:rsidTr="001D138F">
        <w:trPr>
          <w:jc w:val="center"/>
        </w:trPr>
        <w:tc>
          <w:tcPr>
            <w:tcW w:w="959" w:type="dxa"/>
            <w:shd w:val="clear" w:color="auto" w:fill="auto"/>
          </w:tcPr>
          <w:p w14:paraId="7DCBF056" w14:textId="77777777" w:rsidR="003B70A1" w:rsidRDefault="003B70A1" w:rsidP="001D138F">
            <w:pPr>
              <w:widowControl w:val="0"/>
              <w:rPr>
                <w:rFonts w:ascii="Segoe UI" w:eastAsia="Arial Unicode MS" w:hAnsi="Segoe UI" w:cs="Segoe UI"/>
                <w:b/>
                <w:sz w:val="22"/>
                <w:szCs w:val="22"/>
                <w:lang w:eastAsia="zh-CN" w:bidi="hi-IN"/>
              </w:rPr>
            </w:pPr>
            <w:bookmarkStart w:id="4" w:name="_Hlk208991548"/>
            <w:r>
              <w:rPr>
                <w:rFonts w:ascii="Segoe UI" w:eastAsia="Arial Unicode MS" w:hAnsi="Segoe UI" w:cs="Segoe UI"/>
                <w:b/>
                <w:sz w:val="22"/>
                <w:szCs w:val="22"/>
                <w:lang w:eastAsia="zh-CN" w:bidi="hi-IN"/>
              </w:rPr>
              <w:t>Lot 1</w:t>
            </w:r>
          </w:p>
        </w:tc>
        <w:tc>
          <w:tcPr>
            <w:tcW w:w="7830" w:type="dxa"/>
            <w:shd w:val="clear" w:color="auto" w:fill="auto"/>
            <w:tcMar>
              <w:left w:w="108" w:type="dxa"/>
              <w:right w:w="108" w:type="dxa"/>
            </w:tcMar>
            <w:vAlign w:val="center"/>
          </w:tcPr>
          <w:p w14:paraId="13D0194B" w14:textId="77777777" w:rsidR="003B70A1" w:rsidRDefault="003B70A1" w:rsidP="001D138F">
            <w:pPr>
              <w:widowControl w:val="0"/>
              <w:tabs>
                <w:tab w:val="left" w:pos="1490"/>
              </w:tabs>
              <w:ind w:left="80" w:right="80"/>
              <w:rPr>
                <w:rFonts w:ascii="Segoe UI" w:eastAsia="Arial" w:hAnsi="Segoe UI" w:cs="Segoe UI"/>
                <w:sz w:val="22"/>
                <w:lang w:eastAsia="zh-CN" w:bidi="hi-IN"/>
              </w:rPr>
            </w:pPr>
            <w:r>
              <w:rPr>
                <w:rFonts w:ascii="Segoe UI" w:eastAsia="Arial" w:hAnsi="Segoe UI" w:cs="Segoe UI"/>
                <w:sz w:val="22"/>
                <w:lang w:eastAsia="zh-CN" w:bidi="hi-IN"/>
              </w:rPr>
              <w:t>Filtre optique en amplitude et en phase</w:t>
            </w:r>
          </w:p>
        </w:tc>
      </w:tr>
      <w:tr w:rsidR="003B70A1" w14:paraId="6494FBC0" w14:textId="77777777" w:rsidTr="001D138F">
        <w:trPr>
          <w:jc w:val="center"/>
        </w:trPr>
        <w:tc>
          <w:tcPr>
            <w:tcW w:w="959" w:type="dxa"/>
            <w:shd w:val="clear" w:color="auto" w:fill="auto"/>
          </w:tcPr>
          <w:p w14:paraId="58141EB9" w14:textId="77777777" w:rsidR="003B70A1" w:rsidRDefault="003B70A1" w:rsidP="001D138F">
            <w:pPr>
              <w:widowControl w:val="0"/>
              <w:rPr>
                <w:rFonts w:ascii="Segoe UI" w:eastAsia="Arial Unicode MS" w:hAnsi="Segoe UI" w:cs="Segoe UI"/>
                <w:b/>
                <w:sz w:val="22"/>
                <w:szCs w:val="22"/>
                <w:lang w:eastAsia="zh-CN" w:bidi="hi-IN"/>
              </w:rPr>
            </w:pPr>
            <w:r>
              <w:rPr>
                <w:rFonts w:ascii="Segoe UI" w:eastAsia="Arial Unicode MS" w:hAnsi="Segoe UI" w:cs="Segoe UI"/>
                <w:b/>
                <w:sz w:val="22"/>
                <w:szCs w:val="22"/>
                <w:lang w:eastAsia="zh-CN" w:bidi="hi-IN"/>
              </w:rPr>
              <w:t xml:space="preserve">Lot 2 : </w:t>
            </w:r>
          </w:p>
        </w:tc>
        <w:tc>
          <w:tcPr>
            <w:tcW w:w="7830" w:type="dxa"/>
            <w:shd w:val="clear" w:color="auto" w:fill="auto"/>
            <w:tcMar>
              <w:left w:w="108" w:type="dxa"/>
              <w:right w:w="108" w:type="dxa"/>
            </w:tcMar>
            <w:vAlign w:val="center"/>
          </w:tcPr>
          <w:p w14:paraId="16EB8689" w14:textId="77777777" w:rsidR="003B70A1" w:rsidRDefault="003B70A1" w:rsidP="001D138F">
            <w:pPr>
              <w:widowControl w:val="0"/>
              <w:tabs>
                <w:tab w:val="left" w:pos="1490"/>
              </w:tabs>
              <w:ind w:left="80" w:right="80"/>
              <w:rPr>
                <w:rFonts w:ascii="Segoe UI" w:eastAsia="Arial" w:hAnsi="Segoe UI" w:cs="Segoe UI"/>
                <w:sz w:val="22"/>
                <w:lang w:eastAsia="zh-CN" w:bidi="hi-IN"/>
              </w:rPr>
            </w:pPr>
            <w:r>
              <w:rPr>
                <w:rFonts w:ascii="Segoe UI" w:eastAsia="Arial" w:hAnsi="Segoe UI" w:cs="Segoe UI"/>
                <w:sz w:val="22"/>
                <w:lang w:eastAsia="zh-CN" w:bidi="hi-IN"/>
              </w:rPr>
              <w:t xml:space="preserve">Système de captation d’objet </w:t>
            </w:r>
          </w:p>
        </w:tc>
      </w:tr>
      <w:tr w:rsidR="003B70A1" w14:paraId="04DD63EB" w14:textId="77777777" w:rsidTr="001D138F">
        <w:trPr>
          <w:jc w:val="center"/>
        </w:trPr>
        <w:tc>
          <w:tcPr>
            <w:tcW w:w="959" w:type="dxa"/>
            <w:shd w:val="clear" w:color="auto" w:fill="auto"/>
          </w:tcPr>
          <w:p w14:paraId="428AE79E" w14:textId="77777777" w:rsidR="003B70A1" w:rsidRDefault="003B70A1" w:rsidP="001D138F">
            <w:pPr>
              <w:widowControl w:val="0"/>
              <w:rPr>
                <w:rFonts w:ascii="Segoe UI" w:eastAsia="Arial Unicode MS" w:hAnsi="Segoe UI" w:cs="Segoe UI"/>
                <w:b/>
                <w:sz w:val="22"/>
                <w:szCs w:val="22"/>
                <w:lang w:eastAsia="zh-CN" w:bidi="hi-IN"/>
              </w:rPr>
            </w:pPr>
            <w:r>
              <w:rPr>
                <w:rFonts w:ascii="Segoe UI" w:eastAsia="Arial Unicode MS" w:hAnsi="Segoe UI" w:cs="Segoe UI"/>
                <w:b/>
                <w:sz w:val="22"/>
                <w:szCs w:val="22"/>
                <w:lang w:eastAsia="zh-CN" w:bidi="hi-IN"/>
              </w:rPr>
              <w:t xml:space="preserve">Lot 3 : </w:t>
            </w:r>
          </w:p>
        </w:tc>
        <w:tc>
          <w:tcPr>
            <w:tcW w:w="7830" w:type="dxa"/>
            <w:shd w:val="clear" w:color="auto" w:fill="auto"/>
            <w:tcMar>
              <w:left w:w="108" w:type="dxa"/>
              <w:right w:w="108" w:type="dxa"/>
            </w:tcMar>
            <w:vAlign w:val="center"/>
          </w:tcPr>
          <w:p w14:paraId="65E45D55" w14:textId="77777777" w:rsidR="003B70A1" w:rsidRDefault="003B70A1" w:rsidP="001D138F">
            <w:pPr>
              <w:widowControl w:val="0"/>
              <w:tabs>
                <w:tab w:val="left" w:pos="1490"/>
              </w:tabs>
              <w:ind w:right="80"/>
              <w:rPr>
                <w:rFonts w:ascii="Segoe UI" w:eastAsia="Arial" w:hAnsi="Segoe UI" w:cs="Segoe UI"/>
                <w:sz w:val="22"/>
                <w:lang w:eastAsia="zh-CN" w:bidi="hi-IN"/>
              </w:rPr>
            </w:pPr>
            <w:r>
              <w:rPr>
                <w:rFonts w:ascii="Segoe UI" w:eastAsia="Arial" w:hAnsi="Segoe UI" w:cs="Segoe UI"/>
                <w:sz w:val="22"/>
                <w:lang w:eastAsia="zh-CN" w:bidi="hi-IN"/>
              </w:rPr>
              <w:t xml:space="preserve">Dispositifs de réalité </w:t>
            </w:r>
            <w:proofErr w:type="spellStart"/>
            <w:r>
              <w:rPr>
                <w:rFonts w:ascii="Segoe UI" w:eastAsia="Arial" w:hAnsi="Segoe UI" w:cs="Segoe UI"/>
                <w:sz w:val="22"/>
                <w:lang w:eastAsia="zh-CN" w:bidi="hi-IN"/>
              </w:rPr>
              <w:t>augmentéé</w:t>
            </w:r>
            <w:proofErr w:type="spellEnd"/>
            <w:r>
              <w:rPr>
                <w:rFonts w:ascii="Segoe UI" w:eastAsia="Arial" w:hAnsi="Segoe UI" w:cs="Segoe UI"/>
                <w:sz w:val="22"/>
                <w:lang w:eastAsia="zh-CN" w:bidi="hi-IN"/>
              </w:rPr>
              <w:t xml:space="preserve"> de type</w:t>
            </w:r>
            <w:proofErr w:type="gramStart"/>
            <w:r>
              <w:rPr>
                <w:rFonts w:ascii="Segoe UI" w:eastAsia="Arial" w:hAnsi="Segoe UI" w:cs="Segoe UI"/>
                <w:sz w:val="22"/>
                <w:lang w:eastAsia="zh-CN" w:bidi="hi-IN"/>
              </w:rPr>
              <w:t> »</w:t>
            </w:r>
            <w:proofErr w:type="spellStart"/>
            <w:r>
              <w:rPr>
                <w:rFonts w:ascii="Segoe UI" w:eastAsia="Arial" w:hAnsi="Segoe UI" w:cs="Segoe UI"/>
                <w:sz w:val="22"/>
                <w:lang w:eastAsia="zh-CN" w:bidi="hi-IN"/>
              </w:rPr>
              <w:t>Video</w:t>
            </w:r>
            <w:proofErr w:type="spellEnd"/>
            <w:proofErr w:type="gramEnd"/>
            <w:r>
              <w:rPr>
                <w:rFonts w:ascii="Segoe UI" w:eastAsia="Arial" w:hAnsi="Segoe UI" w:cs="Segoe UI"/>
                <w:sz w:val="22"/>
                <w:lang w:eastAsia="zh-CN" w:bidi="hi-IN"/>
              </w:rPr>
              <w:t xml:space="preserve"> </w:t>
            </w:r>
            <w:proofErr w:type="spellStart"/>
            <w:r>
              <w:rPr>
                <w:rFonts w:ascii="Segoe UI" w:eastAsia="Arial" w:hAnsi="Segoe UI" w:cs="Segoe UI"/>
                <w:sz w:val="22"/>
                <w:lang w:eastAsia="zh-CN" w:bidi="hi-IN"/>
              </w:rPr>
              <w:t>See</w:t>
            </w:r>
            <w:proofErr w:type="spellEnd"/>
            <w:r>
              <w:rPr>
                <w:rFonts w:ascii="Segoe UI" w:eastAsia="Arial" w:hAnsi="Segoe UI" w:cs="Segoe UI"/>
                <w:sz w:val="22"/>
                <w:lang w:eastAsia="zh-CN" w:bidi="hi-IN"/>
              </w:rPr>
              <w:t xml:space="preserve"> </w:t>
            </w:r>
            <w:proofErr w:type="spellStart"/>
            <w:r>
              <w:rPr>
                <w:rFonts w:ascii="Segoe UI" w:eastAsia="Arial" w:hAnsi="Segoe UI" w:cs="Segoe UI"/>
                <w:sz w:val="22"/>
                <w:lang w:eastAsia="zh-CN" w:bidi="hi-IN"/>
              </w:rPr>
              <w:t>Trough</w:t>
            </w:r>
            <w:proofErr w:type="spellEnd"/>
            <w:r>
              <w:rPr>
                <w:rFonts w:ascii="Segoe UI" w:eastAsia="Arial" w:hAnsi="Segoe UI" w:cs="Segoe UI"/>
                <w:sz w:val="22"/>
                <w:lang w:eastAsia="zh-CN" w:bidi="hi-IN"/>
              </w:rPr>
              <w:t> »</w:t>
            </w:r>
          </w:p>
        </w:tc>
      </w:tr>
      <w:tr w:rsidR="003B70A1" w14:paraId="1EA1658D" w14:textId="77777777" w:rsidTr="001D138F">
        <w:trPr>
          <w:jc w:val="center"/>
        </w:trPr>
        <w:tc>
          <w:tcPr>
            <w:tcW w:w="959" w:type="dxa"/>
            <w:shd w:val="clear" w:color="auto" w:fill="auto"/>
          </w:tcPr>
          <w:p w14:paraId="3C4EE046" w14:textId="77777777" w:rsidR="003B70A1" w:rsidRDefault="003B70A1" w:rsidP="001D138F">
            <w:pPr>
              <w:widowControl w:val="0"/>
              <w:rPr>
                <w:rFonts w:ascii="Segoe UI" w:eastAsia="Arial Unicode MS" w:hAnsi="Segoe UI" w:cs="Segoe UI"/>
                <w:b/>
                <w:sz w:val="22"/>
                <w:szCs w:val="22"/>
                <w:lang w:eastAsia="zh-CN" w:bidi="hi-IN"/>
              </w:rPr>
            </w:pPr>
            <w:r>
              <w:rPr>
                <w:rFonts w:ascii="Segoe UI" w:eastAsia="Arial Unicode MS" w:hAnsi="Segoe UI" w:cs="Segoe UI"/>
                <w:b/>
                <w:sz w:val="22"/>
                <w:szCs w:val="22"/>
                <w:lang w:eastAsia="zh-CN" w:bidi="hi-IN"/>
              </w:rPr>
              <w:t xml:space="preserve">Lot 4 : </w:t>
            </w:r>
          </w:p>
        </w:tc>
        <w:tc>
          <w:tcPr>
            <w:tcW w:w="7830" w:type="dxa"/>
            <w:shd w:val="clear" w:color="auto" w:fill="auto"/>
            <w:tcMar>
              <w:left w:w="108" w:type="dxa"/>
              <w:right w:w="108" w:type="dxa"/>
            </w:tcMar>
            <w:vAlign w:val="center"/>
          </w:tcPr>
          <w:p w14:paraId="38FEB638" w14:textId="77777777" w:rsidR="003B70A1" w:rsidRDefault="003B70A1" w:rsidP="001D138F">
            <w:pPr>
              <w:widowControl w:val="0"/>
              <w:tabs>
                <w:tab w:val="left" w:pos="1490"/>
              </w:tabs>
              <w:ind w:right="80"/>
              <w:rPr>
                <w:rFonts w:ascii="Segoe UI" w:eastAsia="Arial" w:hAnsi="Segoe UI" w:cs="Segoe UI"/>
                <w:sz w:val="22"/>
                <w:lang w:eastAsia="zh-CN" w:bidi="hi-IN"/>
              </w:rPr>
            </w:pPr>
            <w:r>
              <w:rPr>
                <w:rFonts w:ascii="Segoe UI" w:eastAsia="Arial" w:hAnsi="Segoe UI" w:cs="Segoe UI"/>
                <w:sz w:val="22"/>
                <w:lang w:eastAsia="zh-CN" w:bidi="hi-IN"/>
              </w:rPr>
              <w:t xml:space="preserve">Dispositifs de réalité augmentée de type « Optical </w:t>
            </w:r>
            <w:proofErr w:type="spellStart"/>
            <w:r>
              <w:rPr>
                <w:rFonts w:ascii="Segoe UI" w:eastAsia="Arial" w:hAnsi="Segoe UI" w:cs="Segoe UI"/>
                <w:sz w:val="22"/>
                <w:lang w:eastAsia="zh-CN" w:bidi="hi-IN"/>
              </w:rPr>
              <w:t>See</w:t>
            </w:r>
            <w:proofErr w:type="spellEnd"/>
            <w:r>
              <w:rPr>
                <w:rFonts w:ascii="Segoe UI" w:eastAsia="Arial" w:hAnsi="Segoe UI" w:cs="Segoe UI"/>
                <w:sz w:val="22"/>
                <w:lang w:eastAsia="zh-CN" w:bidi="hi-IN"/>
              </w:rPr>
              <w:t xml:space="preserve"> </w:t>
            </w:r>
            <w:proofErr w:type="spellStart"/>
            <w:r>
              <w:rPr>
                <w:rFonts w:ascii="Segoe UI" w:eastAsia="Arial" w:hAnsi="Segoe UI" w:cs="Segoe UI"/>
                <w:sz w:val="22"/>
                <w:lang w:eastAsia="zh-CN" w:bidi="hi-IN"/>
              </w:rPr>
              <w:t>Through</w:t>
            </w:r>
            <w:proofErr w:type="spellEnd"/>
            <w:r>
              <w:rPr>
                <w:rFonts w:ascii="Segoe UI" w:eastAsia="Arial" w:hAnsi="Segoe UI" w:cs="Segoe UI"/>
                <w:sz w:val="22"/>
                <w:lang w:eastAsia="zh-CN" w:bidi="hi-IN"/>
              </w:rPr>
              <w:t> »</w:t>
            </w:r>
          </w:p>
        </w:tc>
      </w:tr>
      <w:bookmarkEnd w:id="4"/>
    </w:tbl>
    <w:p w14:paraId="30C19895" w14:textId="77777777" w:rsidR="003B70A1" w:rsidRDefault="003B70A1" w:rsidP="003B70A1"/>
    <w:p w14:paraId="5CD96AA9" w14:textId="77777777" w:rsidR="00DD28BE" w:rsidRDefault="00DD28BE"/>
    <w:p w14:paraId="1BDDB4C8" w14:textId="77777777" w:rsidR="00DD28BE" w:rsidRDefault="00DD28BE">
      <w:pPr>
        <w:pStyle w:val="ParagrapheIndent2"/>
        <w:spacing w:line="253" w:lineRule="exact"/>
        <w:ind w:left="20" w:right="20"/>
        <w:jc w:val="both"/>
        <w:rPr>
          <w:color w:val="000000"/>
        </w:rPr>
      </w:pPr>
    </w:p>
    <w:p w14:paraId="236D18E7" w14:textId="77777777" w:rsidR="00DD28BE" w:rsidRDefault="009442F4">
      <w:pPr>
        <w:pStyle w:val="ParagrapheIndent2"/>
        <w:spacing w:line="253" w:lineRule="exact"/>
        <w:ind w:left="20" w:right="20"/>
        <w:jc w:val="both"/>
        <w:rPr>
          <w:color w:val="000000"/>
        </w:rPr>
      </w:pPr>
      <w:r>
        <w:rPr>
          <w:color w:val="000000"/>
        </w:rPr>
        <w:t>Lieu(x) d'exécution :</w:t>
      </w:r>
    </w:p>
    <w:p w14:paraId="2B610AE5" w14:textId="2FF5F8E5" w:rsidR="00DD28BE" w:rsidRDefault="003B70A1">
      <w:r>
        <w:t>Bretagne INP</w:t>
      </w:r>
    </w:p>
    <w:p w14:paraId="44EBB6C7" w14:textId="77777777" w:rsidR="00DD28BE" w:rsidRDefault="009442F4">
      <w:pPr>
        <w:pStyle w:val="ParagrapheIndent2"/>
        <w:spacing w:after="120" w:line="253" w:lineRule="exact"/>
        <w:ind w:left="23" w:right="23"/>
        <w:rPr>
          <w:color w:val="000000"/>
        </w:rPr>
      </w:pPr>
      <w:r>
        <w:rPr>
          <w:color w:val="000000"/>
        </w:rPr>
        <w:t>945 avenue du Technopôle - 29280 PLOUZANÉ</w:t>
      </w:r>
    </w:p>
    <w:p w14:paraId="21CFC3FD" w14:textId="77777777" w:rsidR="00DD28BE" w:rsidRDefault="00DD28BE"/>
    <w:p w14:paraId="3A9E96A1" w14:textId="77777777" w:rsidR="00DD28BE" w:rsidRDefault="009442F4">
      <w:pPr>
        <w:pStyle w:val="Titre2"/>
        <w:spacing w:before="20" w:after="120"/>
        <w:ind w:left="300" w:right="20"/>
        <w:rPr>
          <w:rFonts w:eastAsia="Arial"/>
          <w:i w:val="0"/>
          <w:color w:val="000000"/>
          <w:sz w:val="24"/>
        </w:rPr>
      </w:pPr>
      <w:bookmarkStart w:id="5" w:name="_Toc256000002"/>
      <w:r>
        <w:rPr>
          <w:rFonts w:eastAsia="Arial"/>
          <w:i w:val="0"/>
          <w:color w:val="000000"/>
          <w:sz w:val="24"/>
        </w:rPr>
        <w:t>1.2 - Mode de passation</w:t>
      </w:r>
      <w:bookmarkEnd w:id="5"/>
    </w:p>
    <w:p w14:paraId="71057088" w14:textId="77777777" w:rsidR="00DD28BE" w:rsidRDefault="009442F4">
      <w:pPr>
        <w:pStyle w:val="ParagrapheIndent2"/>
        <w:spacing w:after="240" w:line="253" w:lineRule="exact"/>
        <w:ind w:left="20" w:right="20"/>
        <w:jc w:val="both"/>
        <w:rPr>
          <w:color w:val="000000"/>
        </w:rPr>
      </w:pPr>
      <w:r>
        <w:rPr>
          <w:color w:val="000000"/>
        </w:rPr>
        <w:t>La procédure de passation utilisée est : l'appel d'offres ouvert. Elle est soumise aux dispositions des articles L. 2124-2, R. 2124-2 1° et R. 2161-2 à R. 2161-5 du Code de la commande publique.</w:t>
      </w:r>
    </w:p>
    <w:p w14:paraId="78BB0DA2" w14:textId="77777777" w:rsidR="00DD28BE" w:rsidRDefault="009442F4">
      <w:pPr>
        <w:pStyle w:val="Titre2"/>
        <w:spacing w:before="20" w:after="120"/>
        <w:ind w:left="300" w:right="20"/>
        <w:rPr>
          <w:rFonts w:eastAsia="Arial"/>
          <w:i w:val="0"/>
          <w:color w:val="000000"/>
          <w:sz w:val="24"/>
        </w:rPr>
      </w:pPr>
      <w:bookmarkStart w:id="6" w:name="_Toc256000003"/>
      <w:r>
        <w:rPr>
          <w:rFonts w:eastAsia="Arial"/>
          <w:i w:val="0"/>
          <w:color w:val="000000"/>
          <w:sz w:val="24"/>
        </w:rPr>
        <w:t>1.3 - Type et forme de contrat</w:t>
      </w:r>
      <w:bookmarkEnd w:id="6"/>
    </w:p>
    <w:p w14:paraId="3B070659" w14:textId="77777777" w:rsidR="00DD28BE" w:rsidRDefault="009442F4">
      <w:pPr>
        <w:pStyle w:val="ParagrapheIndent2"/>
        <w:spacing w:after="240"/>
        <w:ind w:left="20" w:right="20"/>
        <w:jc w:val="both"/>
        <w:rPr>
          <w:color w:val="000000"/>
        </w:rPr>
      </w:pPr>
      <w:r>
        <w:rPr>
          <w:color w:val="000000"/>
        </w:rPr>
        <w:t>Il s'agit d'un marché ordinaire.</w:t>
      </w:r>
    </w:p>
    <w:p w14:paraId="178B5FF9" w14:textId="77777777" w:rsidR="00DD28BE" w:rsidRDefault="009442F4">
      <w:pPr>
        <w:pStyle w:val="Titre2"/>
        <w:spacing w:before="20" w:after="120"/>
        <w:ind w:left="300" w:right="20"/>
        <w:rPr>
          <w:rFonts w:eastAsia="Arial"/>
          <w:i w:val="0"/>
          <w:color w:val="000000"/>
          <w:sz w:val="24"/>
        </w:rPr>
      </w:pPr>
      <w:bookmarkStart w:id="7" w:name="_Toc256000004"/>
      <w:r>
        <w:rPr>
          <w:rFonts w:eastAsia="Arial"/>
          <w:i w:val="0"/>
          <w:color w:val="000000"/>
          <w:sz w:val="24"/>
        </w:rPr>
        <w:t>1.4 - Décomposition de la consultation</w:t>
      </w:r>
      <w:bookmarkEnd w:id="7"/>
    </w:p>
    <w:p w14:paraId="58ED8C8D" w14:textId="31FEEBE1" w:rsidR="00DD28BE" w:rsidRDefault="009442F4">
      <w:pPr>
        <w:pStyle w:val="ParagrapheIndent2"/>
        <w:spacing w:line="253" w:lineRule="exact"/>
        <w:ind w:left="20" w:right="20"/>
        <w:jc w:val="both"/>
        <w:rPr>
          <w:color w:val="000000"/>
        </w:rPr>
      </w:pPr>
      <w:r>
        <w:rPr>
          <w:color w:val="000000"/>
        </w:rPr>
        <w:t xml:space="preserve">Comme mentionné ci-dessus, le marché </w:t>
      </w:r>
      <w:r w:rsidR="008D6414">
        <w:rPr>
          <w:color w:val="000000"/>
        </w:rPr>
        <w:t xml:space="preserve">est </w:t>
      </w:r>
      <w:r>
        <w:rPr>
          <w:color w:val="000000"/>
        </w:rPr>
        <w:t>compos</w:t>
      </w:r>
      <w:r w:rsidR="008D6414">
        <w:rPr>
          <w:color w:val="000000"/>
        </w:rPr>
        <w:t>é</w:t>
      </w:r>
      <w:r>
        <w:rPr>
          <w:color w:val="000000"/>
        </w:rPr>
        <w:t xml:space="preserve"> </w:t>
      </w:r>
      <w:r w:rsidR="00B74228">
        <w:rPr>
          <w:color w:val="000000"/>
        </w:rPr>
        <w:t>de quatre lots</w:t>
      </w:r>
    </w:p>
    <w:p w14:paraId="2C35E6CC" w14:textId="77777777" w:rsidR="00DD28BE" w:rsidRDefault="00DD28BE">
      <w:pPr>
        <w:pStyle w:val="ParagrapheIndent2"/>
        <w:spacing w:line="253" w:lineRule="exact"/>
        <w:ind w:left="20" w:right="20"/>
        <w:jc w:val="both"/>
        <w:rPr>
          <w:color w:val="000000"/>
        </w:rPr>
      </w:pPr>
    </w:p>
    <w:p w14:paraId="2AE3F754" w14:textId="77777777" w:rsidR="00DD28BE" w:rsidRDefault="009442F4">
      <w:pPr>
        <w:pStyle w:val="Titre2"/>
        <w:spacing w:before="20" w:after="120"/>
        <w:ind w:left="300" w:right="20"/>
        <w:rPr>
          <w:rFonts w:eastAsia="Arial"/>
          <w:i w:val="0"/>
          <w:color w:val="000000"/>
          <w:sz w:val="24"/>
        </w:rPr>
      </w:pPr>
      <w:bookmarkStart w:id="8" w:name="_Toc256000005"/>
      <w:r>
        <w:rPr>
          <w:rFonts w:eastAsia="Arial"/>
          <w:i w:val="0"/>
          <w:color w:val="000000"/>
          <w:sz w:val="24"/>
        </w:rPr>
        <w:t>1.5 - Nomenclature</w:t>
      </w:r>
      <w:bookmarkEnd w:id="8"/>
    </w:p>
    <w:p w14:paraId="0694157B" w14:textId="77777777" w:rsidR="00DD28BE" w:rsidRDefault="009442F4">
      <w:pPr>
        <w:pStyle w:val="ParagrapheIndent2"/>
        <w:spacing w:line="253" w:lineRule="exact"/>
        <w:ind w:left="20" w:right="20"/>
        <w:jc w:val="both"/>
        <w:rPr>
          <w:color w:val="000000"/>
        </w:rPr>
      </w:pPr>
      <w:r>
        <w:rPr>
          <w:color w:val="000000"/>
        </w:rPr>
        <w:t>La classification conforme au vocabulaire commun des marchés européens (CPV) est :</w:t>
      </w:r>
    </w:p>
    <w:p w14:paraId="7A08B97E" w14:textId="77777777" w:rsidR="00DD28BE" w:rsidRDefault="00DD28BE">
      <w:pPr>
        <w:pStyle w:val="ParagrapheIndent2"/>
        <w:spacing w:line="253" w:lineRule="exact"/>
        <w:ind w:left="20" w:right="20"/>
        <w:jc w:val="both"/>
        <w:rPr>
          <w:color w:val="000000"/>
        </w:rPr>
      </w:pPr>
    </w:p>
    <w:tbl>
      <w:tblPr>
        <w:tblW w:w="9019" w:type="dxa"/>
        <w:jc w:val="center"/>
        <w:tblLayout w:type="fixed"/>
        <w:tblCellMar>
          <w:left w:w="2" w:type="dxa"/>
          <w:right w:w="2" w:type="dxa"/>
        </w:tblCellMar>
        <w:tblLook w:val="04A0" w:firstRow="1" w:lastRow="0" w:firstColumn="1" w:lastColumn="0" w:noHBand="0" w:noVBand="1"/>
      </w:tblPr>
      <w:tblGrid>
        <w:gridCol w:w="1397"/>
        <w:gridCol w:w="7622"/>
      </w:tblGrid>
      <w:tr w:rsidR="00DD28BE" w14:paraId="2E2A891E" w14:textId="77777777">
        <w:trPr>
          <w:trHeight w:val="520"/>
          <w:jc w:val="center"/>
        </w:trPr>
        <w:tc>
          <w:tcPr>
            <w:tcW w:w="1397" w:type="dxa"/>
            <w:tcBorders>
              <w:top w:val="single" w:sz="2" w:space="0" w:color="000000"/>
              <w:left w:val="single" w:sz="2" w:space="0" w:color="000000"/>
              <w:right w:val="single" w:sz="2" w:space="0" w:color="000000"/>
            </w:tcBorders>
            <w:shd w:val="clear" w:color="CCCCCC" w:fill="CCCCCC"/>
          </w:tcPr>
          <w:p w14:paraId="3BC0FE40" w14:textId="77777777" w:rsidR="00DD28BE" w:rsidRDefault="009442F4">
            <w:pPr>
              <w:widowControl w:val="0"/>
              <w:spacing w:line="253" w:lineRule="exact"/>
              <w:jc w:val="center"/>
              <w:rPr>
                <w:rFonts w:ascii="Arial" w:eastAsia="Arial" w:hAnsi="Arial" w:cs="Arial"/>
                <w:color w:val="000000"/>
                <w:sz w:val="22"/>
              </w:rPr>
            </w:pPr>
            <w:r>
              <w:rPr>
                <w:rFonts w:ascii="Arial" w:eastAsia="Arial" w:hAnsi="Arial" w:cs="Arial"/>
                <w:color w:val="000000"/>
                <w:sz w:val="22"/>
              </w:rPr>
              <w:t>Code principal</w:t>
            </w:r>
          </w:p>
        </w:tc>
        <w:tc>
          <w:tcPr>
            <w:tcW w:w="7621" w:type="dxa"/>
            <w:tcBorders>
              <w:top w:val="single" w:sz="2" w:space="0" w:color="000000"/>
              <w:left w:val="single" w:sz="2" w:space="0" w:color="000000"/>
              <w:right w:val="single" w:sz="2" w:space="0" w:color="000000"/>
            </w:tcBorders>
            <w:shd w:val="clear" w:color="CCCCCC" w:fill="CCCCCC"/>
          </w:tcPr>
          <w:p w14:paraId="75E6B13E" w14:textId="77777777" w:rsidR="00DD28BE" w:rsidRDefault="009442F4">
            <w:pPr>
              <w:widowControl w:val="0"/>
              <w:spacing w:before="200" w:after="60"/>
              <w:jc w:val="center"/>
              <w:rPr>
                <w:rFonts w:ascii="Arial" w:eastAsia="Arial" w:hAnsi="Arial" w:cs="Arial"/>
                <w:color w:val="000000"/>
                <w:sz w:val="22"/>
              </w:rPr>
            </w:pPr>
            <w:r>
              <w:rPr>
                <w:rFonts w:ascii="Arial" w:eastAsia="Arial" w:hAnsi="Arial" w:cs="Arial"/>
                <w:color w:val="000000"/>
                <w:sz w:val="22"/>
              </w:rPr>
              <w:t>Description</w:t>
            </w:r>
          </w:p>
        </w:tc>
      </w:tr>
      <w:tr w:rsidR="00DD28BE" w14:paraId="46B86AB2" w14:textId="77777777">
        <w:trPr>
          <w:trHeight w:val="500"/>
          <w:jc w:val="center"/>
        </w:trPr>
        <w:tc>
          <w:tcPr>
            <w:tcW w:w="1397" w:type="dxa"/>
            <w:tcBorders>
              <w:top w:val="single" w:sz="2" w:space="0" w:color="000000"/>
              <w:left w:val="single" w:sz="2" w:space="0" w:color="000000"/>
              <w:bottom w:val="single" w:sz="2" w:space="0" w:color="000000"/>
              <w:right w:val="single" w:sz="2" w:space="0" w:color="000000"/>
            </w:tcBorders>
          </w:tcPr>
          <w:p w14:paraId="30DB0576" w14:textId="0A57C0FF" w:rsidR="00DD28BE" w:rsidRDefault="00FF6B97">
            <w:pPr>
              <w:pStyle w:val="Standard"/>
              <w:rPr>
                <w:rFonts w:ascii="Segoe UI" w:hAnsi="Segoe UI" w:cs="Segoe UI"/>
              </w:rPr>
            </w:pPr>
            <w:r w:rsidRPr="00FB2911">
              <w:rPr>
                <w:rFonts w:ascii="Segoe UI" w:eastAsia="Arial" w:hAnsi="Segoe UI" w:cs="Segoe UI"/>
                <w:kern w:val="2"/>
                <w:lang w:eastAsia="zh-CN" w:bidi="hi-IN"/>
              </w:rPr>
              <w:t>38000000</w:t>
            </w:r>
          </w:p>
        </w:tc>
        <w:tc>
          <w:tcPr>
            <w:tcW w:w="7621" w:type="dxa"/>
            <w:tcBorders>
              <w:top w:val="single" w:sz="2" w:space="0" w:color="000000"/>
              <w:left w:val="single" w:sz="2" w:space="0" w:color="000000"/>
              <w:bottom w:val="single" w:sz="2" w:space="0" w:color="000000"/>
              <w:right w:val="single" w:sz="2" w:space="0" w:color="000000"/>
            </w:tcBorders>
            <w:vAlign w:val="center"/>
          </w:tcPr>
          <w:p w14:paraId="5087F57D" w14:textId="77777777" w:rsidR="00DD28BE" w:rsidRDefault="009442F4">
            <w:pPr>
              <w:pStyle w:val="Standard"/>
              <w:rPr>
                <w:rFonts w:ascii="Segoe UI" w:eastAsia="Arial" w:hAnsi="Segoe UI" w:cs="Segoe UI"/>
                <w:kern w:val="2"/>
                <w:lang w:eastAsia="zh-CN" w:bidi="hi-IN"/>
              </w:rPr>
            </w:pPr>
            <w:r>
              <w:rPr>
                <w:rFonts w:ascii="Segoe UI" w:eastAsia="Arial" w:hAnsi="Segoe UI" w:cs="Segoe UI"/>
                <w:color w:val="000000"/>
              </w:rPr>
              <w:t xml:space="preserve"> </w:t>
            </w:r>
            <w:r w:rsidR="00FF6B97" w:rsidRPr="00FB2911">
              <w:rPr>
                <w:rFonts w:ascii="Segoe UI" w:eastAsia="Arial" w:hAnsi="Segoe UI" w:cs="Segoe UI"/>
                <w:kern w:val="2"/>
                <w:lang w:eastAsia="zh-CN" w:bidi="hi-IN"/>
              </w:rPr>
              <w:t>Equipements de laboratoire, d’optique et de précision (excepté les lunettes</w:t>
            </w:r>
          </w:p>
          <w:p w14:paraId="5D6D573B" w14:textId="335149C6" w:rsidR="00FF6B97" w:rsidRDefault="00FF6B97">
            <w:pPr>
              <w:pStyle w:val="Standard"/>
              <w:rPr>
                <w:rFonts w:ascii="Segoe UI" w:hAnsi="Segoe UI" w:cs="Segoe UI"/>
              </w:rPr>
            </w:pPr>
          </w:p>
        </w:tc>
      </w:tr>
    </w:tbl>
    <w:p w14:paraId="2BE1F699" w14:textId="77777777" w:rsidR="00DD28BE" w:rsidRDefault="009442F4">
      <w:pPr>
        <w:spacing w:line="240" w:lineRule="exact"/>
        <w:sectPr w:rsidR="00DD28BE">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83" w:left="1134" w:header="0" w:footer="1126" w:gutter="0"/>
          <w:cols w:space="1701"/>
        </w:sectPr>
      </w:pPr>
      <w:r>
        <w:t xml:space="preserve"> </w:t>
      </w:r>
    </w:p>
    <w:p w14:paraId="16BE0D72" w14:textId="77777777" w:rsidR="00DD28BE" w:rsidRDefault="00DD28BE">
      <w:pPr>
        <w:spacing w:line="20" w:lineRule="exact"/>
        <w:rPr>
          <w:sz w:val="2"/>
        </w:rPr>
      </w:pPr>
    </w:p>
    <w:p w14:paraId="14169B4B" w14:textId="77777777" w:rsidR="00DD28BE" w:rsidRDefault="00DD28BE">
      <w:pPr>
        <w:spacing w:line="240" w:lineRule="exact"/>
      </w:pPr>
    </w:p>
    <w:p w14:paraId="42504DA9" w14:textId="77777777" w:rsidR="00DD28BE" w:rsidRDefault="00DD28BE">
      <w:pPr>
        <w:spacing w:after="80" w:line="240" w:lineRule="exact"/>
      </w:pPr>
    </w:p>
    <w:p w14:paraId="1DC015D4" w14:textId="77777777" w:rsidR="00DD28BE" w:rsidRDefault="009442F4">
      <w:pPr>
        <w:pStyle w:val="Titre1"/>
        <w:spacing w:before="20" w:after="180"/>
        <w:ind w:right="20"/>
        <w:rPr>
          <w:rFonts w:eastAsia="Arial"/>
          <w:sz w:val="28"/>
        </w:rPr>
      </w:pPr>
      <w:bookmarkStart w:id="9" w:name="_Toc256000006"/>
      <w:r>
        <w:rPr>
          <w:rFonts w:eastAsia="Arial"/>
          <w:sz w:val="28"/>
        </w:rPr>
        <w:t>2 - Conditions de la consultation</w:t>
      </w:r>
      <w:bookmarkEnd w:id="9"/>
    </w:p>
    <w:p w14:paraId="6D1219CA" w14:textId="77777777" w:rsidR="00DD28BE" w:rsidRDefault="009442F4">
      <w:pPr>
        <w:pStyle w:val="Titre2"/>
        <w:spacing w:before="20" w:after="120"/>
        <w:ind w:left="300" w:right="20"/>
        <w:rPr>
          <w:rFonts w:eastAsia="Arial"/>
          <w:i w:val="0"/>
          <w:color w:val="000000"/>
          <w:sz w:val="24"/>
        </w:rPr>
      </w:pPr>
      <w:bookmarkStart w:id="10" w:name="_Toc256000007"/>
      <w:r>
        <w:rPr>
          <w:rFonts w:eastAsia="Arial"/>
          <w:i w:val="0"/>
          <w:color w:val="000000"/>
          <w:sz w:val="24"/>
        </w:rPr>
        <w:t>2.1 - Délai de validité des offres</w:t>
      </w:r>
      <w:bookmarkEnd w:id="10"/>
    </w:p>
    <w:p w14:paraId="6A7447ED" w14:textId="599C78A7" w:rsidR="00DD28BE" w:rsidRDefault="009442F4">
      <w:pPr>
        <w:pStyle w:val="ParagrapheIndent2"/>
        <w:spacing w:after="240"/>
        <w:ind w:left="20" w:right="20"/>
        <w:jc w:val="both"/>
        <w:rPr>
          <w:color w:val="000000"/>
        </w:rPr>
      </w:pPr>
      <w:r>
        <w:rPr>
          <w:color w:val="000000"/>
        </w:rPr>
        <w:t xml:space="preserve">Le délai de validité des offres est fixé à </w:t>
      </w:r>
      <w:r w:rsidR="00B74228">
        <w:rPr>
          <w:color w:val="000000"/>
        </w:rPr>
        <w:t>4</w:t>
      </w:r>
      <w:r>
        <w:rPr>
          <w:color w:val="000000"/>
        </w:rPr>
        <w:t xml:space="preserve"> mois à compter de la date limite de réception des offres.</w:t>
      </w:r>
    </w:p>
    <w:p w14:paraId="09F83E85" w14:textId="77777777" w:rsidR="00DD28BE" w:rsidRDefault="009442F4">
      <w:pPr>
        <w:pStyle w:val="Titre2"/>
        <w:spacing w:before="20" w:after="120"/>
        <w:ind w:left="300" w:right="20"/>
        <w:rPr>
          <w:rFonts w:eastAsia="Arial"/>
          <w:i w:val="0"/>
          <w:color w:val="000000"/>
          <w:sz w:val="24"/>
        </w:rPr>
      </w:pPr>
      <w:bookmarkStart w:id="11" w:name="_Toc256000008"/>
      <w:r>
        <w:rPr>
          <w:rFonts w:eastAsia="Arial"/>
          <w:i w:val="0"/>
          <w:color w:val="000000"/>
          <w:sz w:val="24"/>
        </w:rPr>
        <w:t>2.2 - Forme juridique du groupement</w:t>
      </w:r>
      <w:bookmarkEnd w:id="11"/>
    </w:p>
    <w:p w14:paraId="13832B9E" w14:textId="77777777" w:rsidR="00DD28BE" w:rsidRDefault="009442F4">
      <w:pPr>
        <w:pStyle w:val="ParagrapheIndent2"/>
        <w:spacing w:after="240" w:line="253" w:lineRule="exact"/>
        <w:ind w:left="20" w:right="20"/>
        <w:jc w:val="both"/>
        <w:rPr>
          <w:color w:val="000000"/>
        </w:rPr>
      </w:pPr>
      <w:r>
        <w:rPr>
          <w:color w:val="000000"/>
        </w:rPr>
        <w:t>Le pouvoir adjudicateur ne souhaite imposer aucune forme de groupement à l'attributaire du marché.</w:t>
      </w:r>
    </w:p>
    <w:p w14:paraId="2A2D01D3" w14:textId="77777777" w:rsidR="00DD28BE" w:rsidRDefault="009442F4">
      <w:pPr>
        <w:pStyle w:val="ParagrapheIndent2"/>
        <w:spacing w:after="240" w:line="253" w:lineRule="exact"/>
        <w:ind w:left="20" w:right="20"/>
        <w:jc w:val="both"/>
        <w:rPr>
          <w:color w:val="000000"/>
        </w:rPr>
      </w:pPr>
      <w:r>
        <w:rPr>
          <w:color w:val="000000"/>
        </w:rPr>
        <w:t>Il est interdit aux candidats de présenter plusieurs offres en agissant à la fois en qualité de candidats individuels et de membres d'un ou plusieurs groupements ou en qualité de membres de plusieurs groupements.</w:t>
      </w:r>
    </w:p>
    <w:p w14:paraId="1BABC2B0" w14:textId="77777777" w:rsidR="00DD28BE" w:rsidRDefault="009442F4">
      <w:pPr>
        <w:pStyle w:val="Titre2"/>
        <w:spacing w:before="20" w:after="120"/>
        <w:ind w:left="300" w:right="20"/>
        <w:rPr>
          <w:rFonts w:eastAsia="Arial"/>
          <w:i w:val="0"/>
          <w:color w:val="000000"/>
          <w:sz w:val="24"/>
        </w:rPr>
      </w:pPr>
      <w:bookmarkStart w:id="12" w:name="_Toc256000009"/>
      <w:r>
        <w:rPr>
          <w:rFonts w:eastAsia="Arial"/>
          <w:i w:val="0"/>
          <w:color w:val="000000"/>
          <w:sz w:val="24"/>
        </w:rPr>
        <w:t>2.3 - Variantes</w:t>
      </w:r>
      <w:bookmarkEnd w:id="12"/>
    </w:p>
    <w:p w14:paraId="275894E8" w14:textId="77777777" w:rsidR="00DD28BE" w:rsidRDefault="009442F4">
      <w:pPr>
        <w:pStyle w:val="ParagrapheIndent2"/>
        <w:spacing w:line="253" w:lineRule="exact"/>
        <w:ind w:left="20" w:right="20"/>
        <w:jc w:val="both"/>
        <w:rPr>
          <w:color w:val="000000"/>
        </w:rPr>
      </w:pPr>
      <w:r>
        <w:rPr>
          <w:color w:val="000000"/>
        </w:rPr>
        <w:t>Les candidats doivent présenter une offre entièrement conforme au cahier des charges (solution de base). Ils peuvent également présenter, conformément aux articles R. 2151-8 à R. 2151-11 du Code de la commande publique, une offre comportant une variante avec extension de garantie d’un minimum de 5 ans</w:t>
      </w:r>
    </w:p>
    <w:p w14:paraId="0C556040" w14:textId="77777777" w:rsidR="00DD28BE" w:rsidRDefault="00DD28BE">
      <w:pPr>
        <w:pStyle w:val="ParagrapheIndent2"/>
        <w:spacing w:line="253" w:lineRule="exact"/>
        <w:ind w:left="20" w:right="20"/>
        <w:jc w:val="both"/>
        <w:rPr>
          <w:color w:val="000000"/>
        </w:rPr>
      </w:pPr>
    </w:p>
    <w:p w14:paraId="425A342B" w14:textId="77777777" w:rsidR="00DD28BE" w:rsidRDefault="009442F4">
      <w:pPr>
        <w:spacing w:line="240" w:lineRule="exact"/>
      </w:pPr>
      <w:r>
        <w:t xml:space="preserve"> </w:t>
      </w:r>
    </w:p>
    <w:p w14:paraId="199022F3" w14:textId="77777777" w:rsidR="00DD28BE" w:rsidRDefault="009442F4">
      <w:pPr>
        <w:pStyle w:val="Titre1"/>
        <w:spacing w:before="20" w:after="180"/>
        <w:ind w:left="20" w:right="20"/>
        <w:rPr>
          <w:rFonts w:eastAsia="Arial"/>
          <w:color w:val="000000"/>
          <w:sz w:val="28"/>
        </w:rPr>
      </w:pPr>
      <w:bookmarkStart w:id="13" w:name="_Toc256000010"/>
      <w:r>
        <w:rPr>
          <w:rFonts w:eastAsia="Arial"/>
          <w:color w:val="000000"/>
          <w:sz w:val="28"/>
        </w:rPr>
        <w:t>3 - Les intervenants</w:t>
      </w:r>
      <w:bookmarkEnd w:id="13"/>
    </w:p>
    <w:p w14:paraId="49998923" w14:textId="77777777" w:rsidR="00DD28BE" w:rsidRDefault="009442F4">
      <w:pPr>
        <w:pStyle w:val="Titre2"/>
        <w:spacing w:before="20" w:after="120"/>
        <w:ind w:left="300" w:right="20"/>
        <w:rPr>
          <w:rFonts w:eastAsia="Arial"/>
          <w:i w:val="0"/>
          <w:color w:val="000000"/>
          <w:sz w:val="24"/>
        </w:rPr>
      </w:pPr>
      <w:bookmarkStart w:id="14" w:name="_Toc256000011"/>
      <w:r>
        <w:rPr>
          <w:rFonts w:eastAsia="Arial"/>
          <w:i w:val="0"/>
          <w:color w:val="000000"/>
          <w:sz w:val="24"/>
        </w:rPr>
        <w:t>3.1 - Désignation de l'acheteur</w:t>
      </w:r>
      <w:bookmarkEnd w:id="14"/>
    </w:p>
    <w:p w14:paraId="222EDAC9" w14:textId="1A81F755" w:rsidR="00DD28BE" w:rsidRDefault="009442F4">
      <w:pPr>
        <w:pStyle w:val="ParagrapheIndent2"/>
        <w:spacing w:after="240"/>
        <w:ind w:left="20" w:right="20"/>
        <w:jc w:val="both"/>
        <w:rPr>
          <w:color w:val="000000"/>
        </w:rPr>
      </w:pPr>
      <w:r>
        <w:rPr>
          <w:color w:val="000000"/>
        </w:rPr>
        <w:t xml:space="preserve">Nom de l'organisme : </w:t>
      </w:r>
      <w:r w:rsidR="00B74228">
        <w:rPr>
          <w:color w:val="000000"/>
        </w:rPr>
        <w:t>Bretagne INP</w:t>
      </w:r>
    </w:p>
    <w:p w14:paraId="7A8C070A" w14:textId="77777777" w:rsidR="00DD28BE" w:rsidRDefault="009442F4">
      <w:pPr>
        <w:pStyle w:val="Titre2"/>
        <w:spacing w:before="20" w:after="120"/>
        <w:ind w:left="300" w:right="20"/>
        <w:rPr>
          <w:rFonts w:eastAsia="Arial"/>
          <w:i w:val="0"/>
          <w:color w:val="000000"/>
          <w:sz w:val="24"/>
        </w:rPr>
      </w:pPr>
      <w:bookmarkStart w:id="15" w:name="_Toc256000012"/>
      <w:r>
        <w:rPr>
          <w:rFonts w:eastAsia="Arial"/>
          <w:i w:val="0"/>
          <w:color w:val="000000"/>
          <w:sz w:val="24"/>
        </w:rPr>
        <w:t>3.2 - Représentant de l'acheteur</w:t>
      </w:r>
      <w:bookmarkEnd w:id="15"/>
    </w:p>
    <w:p w14:paraId="68F70969" w14:textId="7626491A" w:rsidR="00DD28BE" w:rsidRDefault="00B74228">
      <w:pPr>
        <w:pStyle w:val="ParagrapheIndent2"/>
        <w:spacing w:after="240"/>
        <w:ind w:left="20" w:right="20"/>
        <w:jc w:val="both"/>
        <w:rPr>
          <w:color w:val="000000"/>
        </w:rPr>
      </w:pPr>
      <w:r>
        <w:rPr>
          <w:color w:val="000000"/>
        </w:rPr>
        <w:t>Bretagne INP</w:t>
      </w:r>
    </w:p>
    <w:p w14:paraId="6830E7DE" w14:textId="77777777" w:rsidR="00DD28BE" w:rsidRDefault="00DD28BE"/>
    <w:p w14:paraId="373C30FA" w14:textId="77777777" w:rsidR="00DD28BE" w:rsidRDefault="009442F4">
      <w:pPr>
        <w:pStyle w:val="Titre1"/>
        <w:spacing w:before="20" w:after="180"/>
        <w:ind w:left="20" w:right="20"/>
        <w:rPr>
          <w:rFonts w:eastAsia="Arial"/>
          <w:color w:val="000000"/>
          <w:sz w:val="28"/>
        </w:rPr>
      </w:pPr>
      <w:bookmarkStart w:id="16" w:name="_Toc256000013"/>
      <w:r>
        <w:rPr>
          <w:rFonts w:eastAsia="Arial"/>
          <w:color w:val="000000"/>
          <w:sz w:val="28"/>
        </w:rPr>
        <w:t>4 - Conditions relatives au contrat</w:t>
      </w:r>
      <w:bookmarkEnd w:id="16"/>
    </w:p>
    <w:p w14:paraId="1B2FADEE" w14:textId="77777777" w:rsidR="00DD28BE" w:rsidRDefault="009442F4">
      <w:pPr>
        <w:pStyle w:val="Titre2"/>
        <w:spacing w:before="20" w:after="120"/>
        <w:ind w:left="300" w:right="20"/>
        <w:rPr>
          <w:rFonts w:eastAsia="Arial"/>
          <w:i w:val="0"/>
          <w:color w:val="000000"/>
          <w:sz w:val="24"/>
        </w:rPr>
      </w:pPr>
      <w:bookmarkStart w:id="17" w:name="_Toc256000014"/>
      <w:r>
        <w:rPr>
          <w:rFonts w:eastAsia="Arial"/>
          <w:i w:val="0"/>
          <w:color w:val="000000"/>
          <w:sz w:val="24"/>
        </w:rPr>
        <w:t>4.1 - Durée du contrat ou délai d'exécution</w:t>
      </w:r>
      <w:bookmarkEnd w:id="17"/>
    </w:p>
    <w:p w14:paraId="0F304567" w14:textId="77777777" w:rsidR="00DD28BE" w:rsidRDefault="009442F4">
      <w:pPr>
        <w:pStyle w:val="ParagrapheIndent2"/>
        <w:spacing w:after="240" w:line="253" w:lineRule="exact"/>
        <w:ind w:left="20" w:right="20"/>
        <w:jc w:val="both"/>
        <w:rPr>
          <w:color w:val="000000"/>
        </w:rPr>
      </w:pPr>
      <w:r>
        <w:rPr>
          <w:color w:val="000000"/>
        </w:rPr>
        <w:t>Le délai d'exécution des prestations est laissé à l'initiative du candidat qui devra les préciser à l'acte d'engagement, sans toutefois dépasser les délais plafonds correspondants.</w:t>
      </w:r>
    </w:p>
    <w:p w14:paraId="49E32DE6" w14:textId="77777777" w:rsidR="00DD28BE" w:rsidRDefault="009442F4">
      <w:pPr>
        <w:pStyle w:val="Titre2"/>
        <w:spacing w:before="20" w:after="120"/>
        <w:ind w:left="300" w:right="20"/>
        <w:rPr>
          <w:rFonts w:eastAsia="Arial"/>
          <w:i w:val="0"/>
          <w:color w:val="000000"/>
          <w:sz w:val="24"/>
        </w:rPr>
      </w:pPr>
      <w:bookmarkStart w:id="18" w:name="_Toc256000015"/>
      <w:r>
        <w:rPr>
          <w:rFonts w:eastAsia="Arial"/>
          <w:i w:val="0"/>
          <w:color w:val="000000"/>
          <w:sz w:val="24"/>
        </w:rPr>
        <w:t>4.2 - Modalités essentielles de financement et de paiement</w:t>
      </w:r>
      <w:bookmarkEnd w:id="18"/>
    </w:p>
    <w:p w14:paraId="2B64B436" w14:textId="77777777" w:rsidR="00DD28BE" w:rsidRDefault="009442F4">
      <w:pPr>
        <w:pStyle w:val="ParagrapheIndent2"/>
        <w:spacing w:after="240" w:line="253" w:lineRule="exact"/>
        <w:ind w:left="20" w:right="20"/>
        <w:jc w:val="both"/>
        <w:rPr>
          <w:color w:val="000000"/>
        </w:rPr>
      </w:pPr>
      <w:r>
        <w:rPr>
          <w:color w:val="000000"/>
        </w:rPr>
        <w:t>Les sommes dues au(x) titulaire(s) du marché seront payées dans un délai global de 30 jours à compter de la date de réception des factures ou des demandes de paiement équivalentes.</w:t>
      </w:r>
    </w:p>
    <w:p w14:paraId="5162456C" w14:textId="77777777" w:rsidR="00DD28BE" w:rsidRDefault="009442F4">
      <w:pPr>
        <w:pStyle w:val="ParagrapheIndent2"/>
        <w:spacing w:after="240"/>
        <w:ind w:left="20" w:right="20"/>
        <w:jc w:val="both"/>
        <w:rPr>
          <w:color w:val="000000"/>
        </w:rPr>
      </w:pPr>
      <w:r>
        <w:rPr>
          <w:color w:val="000000"/>
        </w:rPr>
        <w:t>L'attention des candidats est attirée sur le fait que s'ils veulent renoncer aux bénéfices de l'avance prévue au CCAP, ils doivent le préciser à l'acte d'engagement.</w:t>
      </w:r>
    </w:p>
    <w:p w14:paraId="420E16DA" w14:textId="77777777" w:rsidR="00DD28BE" w:rsidRDefault="00DD28BE"/>
    <w:p w14:paraId="318F8223" w14:textId="77777777" w:rsidR="00DD28BE" w:rsidRDefault="009442F4">
      <w:pPr>
        <w:pStyle w:val="Titre1"/>
        <w:spacing w:before="20" w:after="180"/>
        <w:ind w:left="20" w:right="20"/>
        <w:rPr>
          <w:rFonts w:eastAsia="Arial"/>
          <w:color w:val="000000"/>
          <w:sz w:val="28"/>
        </w:rPr>
      </w:pPr>
      <w:bookmarkStart w:id="19" w:name="_Toc256000016"/>
      <w:r>
        <w:rPr>
          <w:rFonts w:eastAsia="Arial"/>
          <w:color w:val="000000"/>
          <w:sz w:val="28"/>
        </w:rPr>
        <w:t>5 - Contenu du dossier de consultation</w:t>
      </w:r>
      <w:bookmarkEnd w:id="19"/>
    </w:p>
    <w:p w14:paraId="6980437E" w14:textId="77777777" w:rsidR="00DD28BE" w:rsidRDefault="009442F4">
      <w:pPr>
        <w:pStyle w:val="ParagrapheIndent1"/>
        <w:spacing w:line="253" w:lineRule="exact"/>
        <w:ind w:left="20" w:right="20"/>
        <w:jc w:val="both"/>
        <w:rPr>
          <w:color w:val="000000"/>
        </w:rPr>
      </w:pPr>
      <w:r>
        <w:rPr>
          <w:color w:val="000000"/>
        </w:rPr>
        <w:t>Le dossier de consultation des entreprises (DCE) contient les pièces suivantes :</w:t>
      </w:r>
    </w:p>
    <w:p w14:paraId="78AA1D40" w14:textId="77777777" w:rsidR="00DD28BE" w:rsidRDefault="00DD28BE">
      <w:pPr>
        <w:pStyle w:val="ParagrapheIndent1"/>
        <w:spacing w:line="253" w:lineRule="exact"/>
        <w:ind w:left="20" w:right="20"/>
        <w:jc w:val="both"/>
        <w:rPr>
          <w:color w:val="000000"/>
        </w:rPr>
      </w:pPr>
    </w:p>
    <w:p w14:paraId="31311058" w14:textId="77777777" w:rsidR="00DD28BE" w:rsidRDefault="009442F4">
      <w:pPr>
        <w:ind w:left="420" w:right="12"/>
        <w:rPr>
          <w:rFonts w:ascii="Arial" w:eastAsia="Arial" w:hAnsi="Arial" w:cs="Arial"/>
          <w:color w:val="000000"/>
          <w:sz w:val="22"/>
        </w:rPr>
      </w:pPr>
      <w:r>
        <w:rPr>
          <w:rFonts w:ascii="Arial" w:eastAsia="Arial" w:hAnsi="Arial" w:cs="Arial"/>
          <w:color w:val="000000"/>
          <w:sz w:val="22"/>
        </w:rPr>
        <w:t>- Le règlement de la consultation (RC)</w:t>
      </w:r>
    </w:p>
    <w:p w14:paraId="424CCF9E" w14:textId="30489CB8" w:rsidR="00DD28BE" w:rsidRDefault="009442F4">
      <w:pPr>
        <w:ind w:left="420" w:right="12"/>
        <w:rPr>
          <w:rFonts w:ascii="Arial" w:eastAsia="Arial" w:hAnsi="Arial" w:cs="Arial"/>
          <w:color w:val="000000"/>
          <w:sz w:val="22"/>
        </w:rPr>
      </w:pPr>
      <w:r>
        <w:rPr>
          <w:rFonts w:ascii="Arial" w:eastAsia="Arial" w:hAnsi="Arial" w:cs="Arial"/>
          <w:color w:val="000000"/>
          <w:sz w:val="22"/>
        </w:rPr>
        <w:t xml:space="preserve">- Les actes d'engagement (AE) et </w:t>
      </w:r>
      <w:r w:rsidR="00B74228">
        <w:rPr>
          <w:rFonts w:ascii="Arial" w:eastAsia="Arial" w:hAnsi="Arial" w:cs="Arial"/>
          <w:color w:val="000000"/>
          <w:sz w:val="22"/>
        </w:rPr>
        <w:t>ses annexes</w:t>
      </w:r>
    </w:p>
    <w:p w14:paraId="17C5BD76" w14:textId="77777777" w:rsidR="00DD28BE" w:rsidRDefault="009442F4">
      <w:pPr>
        <w:ind w:left="420" w:right="12"/>
        <w:rPr>
          <w:rFonts w:ascii="Arial" w:eastAsia="Arial" w:hAnsi="Arial" w:cs="Arial"/>
          <w:color w:val="000000"/>
          <w:sz w:val="22"/>
        </w:rPr>
      </w:pPr>
      <w:r>
        <w:rPr>
          <w:rFonts w:ascii="Arial" w:eastAsia="Arial" w:hAnsi="Arial" w:cs="Arial"/>
          <w:color w:val="000000"/>
          <w:sz w:val="22"/>
        </w:rPr>
        <w:lastRenderedPageBreak/>
        <w:t>- Le cahier des clauses administratives particulières (CCAP)</w:t>
      </w:r>
    </w:p>
    <w:p w14:paraId="18022246" w14:textId="77777777" w:rsidR="00DD28BE" w:rsidRDefault="009442F4">
      <w:pPr>
        <w:spacing w:after="100"/>
        <w:ind w:left="420" w:right="12"/>
        <w:rPr>
          <w:rFonts w:ascii="Arial" w:eastAsia="Arial" w:hAnsi="Arial" w:cs="Arial"/>
          <w:color w:val="000000"/>
          <w:sz w:val="22"/>
        </w:rPr>
      </w:pPr>
      <w:r>
        <w:rPr>
          <w:rFonts w:ascii="Arial" w:eastAsia="Arial" w:hAnsi="Arial" w:cs="Arial"/>
          <w:color w:val="000000"/>
          <w:sz w:val="22"/>
        </w:rPr>
        <w:t>- Le cahier des clauses techniques particulières (CCTP) et ses annexes</w:t>
      </w:r>
    </w:p>
    <w:p w14:paraId="24E99912" w14:textId="77777777" w:rsidR="00DD28BE" w:rsidRDefault="009442F4">
      <w:pPr>
        <w:spacing w:after="100"/>
        <w:ind w:left="420" w:right="12"/>
        <w:rPr>
          <w:rFonts w:ascii="Arial" w:eastAsia="Arial" w:hAnsi="Arial" w:cs="Arial"/>
          <w:color w:val="000000"/>
          <w:sz w:val="22"/>
        </w:rPr>
      </w:pPr>
      <w:r>
        <w:rPr>
          <w:rFonts w:ascii="Arial" w:eastAsia="Arial" w:hAnsi="Arial" w:cs="Arial"/>
          <w:color w:val="000000"/>
          <w:sz w:val="22"/>
        </w:rPr>
        <w:t>- Les documents DC1 et DC2</w:t>
      </w:r>
    </w:p>
    <w:p w14:paraId="30A1FF83" w14:textId="77777777" w:rsidR="00DD28BE" w:rsidRDefault="00DD28BE">
      <w:pPr>
        <w:spacing w:after="120" w:line="240" w:lineRule="exact"/>
      </w:pPr>
    </w:p>
    <w:p w14:paraId="51D4125D" w14:textId="77777777" w:rsidR="00DD28BE" w:rsidRDefault="009442F4">
      <w:pPr>
        <w:pStyle w:val="ParagrapheIndent1"/>
        <w:spacing w:after="240"/>
        <w:ind w:left="20" w:right="20"/>
        <w:jc w:val="both"/>
        <w:rPr>
          <w:color w:val="000000"/>
        </w:rPr>
      </w:pPr>
      <w:r>
        <w:rPr>
          <w:color w:val="000000"/>
        </w:rPr>
        <w:t>Il est remis gratuitement à chaque candidat.</w:t>
      </w:r>
    </w:p>
    <w:p w14:paraId="4FD16874" w14:textId="77777777" w:rsidR="00DD28BE" w:rsidRDefault="009442F4">
      <w:pPr>
        <w:pStyle w:val="ParagrapheIndent1"/>
        <w:spacing w:after="240"/>
        <w:ind w:left="20" w:right="20"/>
        <w:jc w:val="both"/>
        <w:rPr>
          <w:color w:val="000000"/>
        </w:rPr>
      </w:pPr>
      <w:r>
        <w:rPr>
          <w:color w:val="000000"/>
        </w:rPr>
        <w:t>Aucune demande d'envoi du DCE sur support physique électronique n'est autorisée.</w:t>
      </w:r>
    </w:p>
    <w:p w14:paraId="2FA10ED8" w14:textId="77777777" w:rsidR="00DD28BE" w:rsidRDefault="009442F4">
      <w:pPr>
        <w:pStyle w:val="ParagrapheIndent1"/>
        <w:spacing w:line="253" w:lineRule="exact"/>
        <w:ind w:left="20" w:right="20"/>
        <w:jc w:val="both"/>
        <w:rPr>
          <w:color w:val="000000"/>
        </w:rPr>
      </w:pPr>
      <w:r>
        <w:rPr>
          <w:color w:val="000000"/>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50C3531A" w14:textId="77777777" w:rsidR="00DD28BE" w:rsidRDefault="00DD28BE">
      <w:pPr>
        <w:pStyle w:val="ParagrapheIndent1"/>
        <w:spacing w:line="253" w:lineRule="exact"/>
        <w:ind w:left="20" w:right="20"/>
        <w:jc w:val="both"/>
        <w:rPr>
          <w:color w:val="000000"/>
        </w:rPr>
      </w:pPr>
    </w:p>
    <w:p w14:paraId="7057F617" w14:textId="77777777" w:rsidR="00DD28BE" w:rsidRDefault="009442F4">
      <w:pPr>
        <w:pStyle w:val="ParagrapheIndent1"/>
        <w:spacing w:after="240" w:line="253" w:lineRule="exact"/>
        <w:ind w:left="20" w:right="20"/>
        <w:jc w:val="both"/>
        <w:rPr>
          <w:color w:val="000000"/>
        </w:rPr>
      </w:pPr>
      <w:r>
        <w:rPr>
          <w:color w:val="000000"/>
        </w:rPr>
        <w:t>Si, pendant l'étude du dossier par les candidats, la date limite de réception des offres est reportée, la disposition précédente est applicable en fonction de cette nouvelle date.</w:t>
      </w:r>
    </w:p>
    <w:p w14:paraId="7988D4E7" w14:textId="77777777" w:rsidR="00DD28BE" w:rsidRDefault="00DD28BE"/>
    <w:p w14:paraId="115C8833" w14:textId="77777777" w:rsidR="00DD28BE" w:rsidRDefault="009442F4">
      <w:pPr>
        <w:pStyle w:val="Titre1"/>
        <w:spacing w:before="20" w:after="180"/>
        <w:ind w:left="20" w:right="20"/>
        <w:rPr>
          <w:rFonts w:eastAsia="Arial"/>
          <w:color w:val="000000"/>
          <w:sz w:val="28"/>
        </w:rPr>
      </w:pPr>
      <w:bookmarkStart w:id="20" w:name="_Toc256000017"/>
      <w:r>
        <w:rPr>
          <w:rFonts w:eastAsia="Arial"/>
          <w:color w:val="000000"/>
          <w:sz w:val="28"/>
        </w:rPr>
        <w:t>6 - Présentation des candidatures et des offres</w:t>
      </w:r>
      <w:bookmarkEnd w:id="20"/>
    </w:p>
    <w:p w14:paraId="25E1BDC2" w14:textId="77777777" w:rsidR="00DD28BE" w:rsidRDefault="009442F4">
      <w:pPr>
        <w:pStyle w:val="ParagrapheIndent1"/>
        <w:spacing w:after="240" w:line="253" w:lineRule="exact"/>
        <w:ind w:left="20" w:right="20"/>
        <w:jc w:val="both"/>
        <w:rPr>
          <w:color w:val="000000"/>
        </w:rPr>
      </w:pPr>
      <w:r>
        <w:rPr>
          <w:color w:val="000000"/>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60397BEA" w14:textId="77777777" w:rsidR="00DD28BE" w:rsidRDefault="009442F4">
      <w:pPr>
        <w:pStyle w:val="ParagrapheIndent1"/>
        <w:spacing w:line="253" w:lineRule="exact"/>
        <w:ind w:left="20" w:right="20"/>
        <w:jc w:val="both"/>
        <w:rPr>
          <w:color w:val="000000"/>
        </w:rPr>
      </w:pPr>
      <w:r>
        <w:rPr>
          <w:color w:val="000000"/>
        </w:rPr>
        <w:t>Les offres des candidats seront entièrement rédigées en langue française et exprimées en EURO.</w:t>
      </w:r>
    </w:p>
    <w:p w14:paraId="1853A1F1" w14:textId="77777777" w:rsidR="00DD28BE" w:rsidRDefault="009442F4">
      <w:pPr>
        <w:pStyle w:val="ParagrapheIndent1"/>
        <w:spacing w:after="240" w:line="253" w:lineRule="exact"/>
        <w:ind w:left="20" w:right="20"/>
        <w:jc w:val="both"/>
        <w:rPr>
          <w:color w:val="000000"/>
        </w:rPr>
      </w:pPr>
      <w:r>
        <w:rPr>
          <w:color w:val="000000"/>
        </w:rPr>
        <w:t>Si les offres des candidats sont rédigées dans une autre langue, elles doivent être accompagnées d'une traduction en français, cette traduction doit concerner l'ensemble des documents remis dans l'offre.</w:t>
      </w:r>
    </w:p>
    <w:p w14:paraId="5B785D89" w14:textId="77777777" w:rsidR="00DD28BE" w:rsidRDefault="009442F4">
      <w:pPr>
        <w:pStyle w:val="Titre2"/>
        <w:spacing w:before="20" w:after="120"/>
        <w:ind w:left="300" w:right="20"/>
        <w:rPr>
          <w:rFonts w:eastAsia="Arial"/>
          <w:i w:val="0"/>
          <w:color w:val="000000"/>
          <w:sz w:val="24"/>
        </w:rPr>
      </w:pPr>
      <w:bookmarkStart w:id="21" w:name="_Toc256000018"/>
      <w:r>
        <w:rPr>
          <w:rFonts w:eastAsia="Arial"/>
          <w:i w:val="0"/>
          <w:color w:val="000000"/>
          <w:sz w:val="24"/>
        </w:rPr>
        <w:t>6.1 - Documents à produire</w:t>
      </w:r>
      <w:bookmarkEnd w:id="21"/>
    </w:p>
    <w:p w14:paraId="33A93972" w14:textId="77777777" w:rsidR="00DD28BE" w:rsidRDefault="009442F4">
      <w:pPr>
        <w:pStyle w:val="ParagrapheIndent2"/>
        <w:spacing w:line="253" w:lineRule="exact"/>
        <w:ind w:left="20" w:right="20"/>
        <w:jc w:val="both"/>
        <w:rPr>
          <w:color w:val="000000"/>
        </w:rPr>
      </w:pPr>
      <w:r>
        <w:rPr>
          <w:color w:val="000000"/>
        </w:rPr>
        <w:t>Chaque candidat aura à produire un dossier complet comprenant les pièces suivantes :</w:t>
      </w:r>
    </w:p>
    <w:p w14:paraId="7E0D9ABC" w14:textId="77777777" w:rsidR="00DD28BE" w:rsidRDefault="00DD28BE">
      <w:pPr>
        <w:pStyle w:val="ParagrapheIndent2"/>
        <w:spacing w:line="253" w:lineRule="exact"/>
        <w:ind w:left="20" w:right="20"/>
        <w:jc w:val="both"/>
        <w:rPr>
          <w:color w:val="000000"/>
        </w:rPr>
      </w:pPr>
    </w:p>
    <w:p w14:paraId="6AF613B5" w14:textId="77777777" w:rsidR="00DD28BE" w:rsidRDefault="009442F4">
      <w:pPr>
        <w:pStyle w:val="ParagrapheIndent2"/>
        <w:spacing w:line="253" w:lineRule="exact"/>
        <w:ind w:left="20" w:right="20"/>
        <w:jc w:val="both"/>
        <w:rPr>
          <w:color w:val="000000"/>
        </w:rPr>
      </w:pPr>
      <w:r>
        <w:rPr>
          <w:color w:val="000000"/>
        </w:rPr>
        <w:t>Pièces de la candidature telles que prévues aux articles L. 2142-1, R. 2142-3, R. 2142-4, R. 2143-3 et R. 2143-4 du Code de la commande publique :</w:t>
      </w:r>
    </w:p>
    <w:p w14:paraId="7D5EF8DE" w14:textId="77777777" w:rsidR="00DD28BE" w:rsidRDefault="00DD28BE">
      <w:pPr>
        <w:pStyle w:val="ParagrapheIndent2"/>
        <w:spacing w:line="253" w:lineRule="exact"/>
        <w:ind w:left="20" w:right="20"/>
        <w:jc w:val="both"/>
        <w:rPr>
          <w:color w:val="000000"/>
        </w:rPr>
      </w:pPr>
    </w:p>
    <w:p w14:paraId="3F7E4F10" w14:textId="77777777" w:rsidR="00DD28BE" w:rsidRDefault="009442F4">
      <w:pPr>
        <w:pStyle w:val="ParagrapheIndent2"/>
        <w:spacing w:line="253" w:lineRule="exact"/>
        <w:ind w:left="20" w:right="20"/>
        <w:jc w:val="both"/>
        <w:rPr>
          <w:color w:val="000000"/>
        </w:rPr>
      </w:pPr>
      <w:r>
        <w:rPr>
          <w:color w:val="000000"/>
        </w:rPr>
        <w:t>Renseignements concernant la situation juridique de l'entreprise :</w:t>
      </w:r>
    </w:p>
    <w:p w14:paraId="6BAC00BC" w14:textId="77777777" w:rsidR="00DD28BE" w:rsidRDefault="00DD28BE">
      <w:pPr>
        <w:pStyle w:val="ParagrapheIndent2"/>
        <w:spacing w:line="253" w:lineRule="exact"/>
        <w:ind w:left="20" w:right="20"/>
        <w:jc w:val="both"/>
        <w:rPr>
          <w:color w:val="000000"/>
        </w:rPr>
      </w:pPr>
    </w:p>
    <w:tbl>
      <w:tblPr>
        <w:tblW w:w="9600" w:type="dxa"/>
        <w:tblInd w:w="20" w:type="dxa"/>
        <w:tblLayout w:type="fixed"/>
        <w:tblCellMar>
          <w:left w:w="2" w:type="dxa"/>
          <w:right w:w="2" w:type="dxa"/>
        </w:tblCellMar>
        <w:tblLook w:val="04A0" w:firstRow="1" w:lastRow="0" w:firstColumn="1" w:lastColumn="0" w:noHBand="0" w:noVBand="1"/>
      </w:tblPr>
      <w:tblGrid>
        <w:gridCol w:w="8401"/>
        <w:gridCol w:w="1199"/>
      </w:tblGrid>
      <w:tr w:rsidR="00DD28BE" w14:paraId="05D116BA" w14:textId="77777777">
        <w:trPr>
          <w:trHeight w:val="340"/>
        </w:trPr>
        <w:tc>
          <w:tcPr>
            <w:tcW w:w="8400" w:type="dxa"/>
            <w:tcBorders>
              <w:top w:val="single" w:sz="2" w:space="0" w:color="000000"/>
              <w:left w:val="single" w:sz="2" w:space="0" w:color="000000"/>
              <w:right w:val="single" w:sz="2" w:space="0" w:color="000000"/>
            </w:tcBorders>
            <w:shd w:val="clear" w:color="CCCCCC" w:fill="CCCCCC"/>
          </w:tcPr>
          <w:p w14:paraId="40A52A07" w14:textId="77777777" w:rsidR="00DD28BE" w:rsidRDefault="009442F4">
            <w:pPr>
              <w:widowControl w:val="0"/>
              <w:spacing w:before="60" w:after="20"/>
              <w:jc w:val="center"/>
              <w:rPr>
                <w:rFonts w:ascii="Arial" w:eastAsia="Arial" w:hAnsi="Arial" w:cs="Arial"/>
                <w:color w:val="000000"/>
                <w:sz w:val="22"/>
              </w:rPr>
            </w:pPr>
            <w:r>
              <w:rPr>
                <w:rFonts w:ascii="Arial" w:eastAsia="Arial" w:hAnsi="Arial" w:cs="Arial"/>
                <w:color w:val="000000"/>
                <w:sz w:val="22"/>
              </w:rPr>
              <w:t>Libellés</w:t>
            </w:r>
          </w:p>
        </w:tc>
        <w:tc>
          <w:tcPr>
            <w:tcW w:w="1199" w:type="dxa"/>
            <w:tcBorders>
              <w:top w:val="single" w:sz="2" w:space="0" w:color="000000"/>
              <w:left w:val="single" w:sz="2" w:space="0" w:color="000000"/>
              <w:right w:val="single" w:sz="2" w:space="0" w:color="000000"/>
            </w:tcBorders>
            <w:shd w:val="clear" w:color="CCCCCC" w:fill="CCCCCC"/>
          </w:tcPr>
          <w:p w14:paraId="1B4A2098" w14:textId="77777777" w:rsidR="00DD28BE" w:rsidRDefault="009442F4">
            <w:pPr>
              <w:widowControl w:val="0"/>
              <w:spacing w:before="60" w:after="20"/>
              <w:jc w:val="center"/>
              <w:rPr>
                <w:rFonts w:ascii="Arial" w:eastAsia="Arial" w:hAnsi="Arial" w:cs="Arial"/>
                <w:color w:val="000000"/>
                <w:sz w:val="22"/>
              </w:rPr>
            </w:pPr>
            <w:r>
              <w:rPr>
                <w:rFonts w:ascii="Arial" w:eastAsia="Arial" w:hAnsi="Arial" w:cs="Arial"/>
                <w:color w:val="000000"/>
                <w:sz w:val="22"/>
              </w:rPr>
              <w:t>Signature</w:t>
            </w:r>
          </w:p>
        </w:tc>
      </w:tr>
      <w:tr w:rsidR="00DD28BE" w14:paraId="7A073654" w14:textId="77777777">
        <w:trPr>
          <w:trHeight w:val="500"/>
        </w:trPr>
        <w:tc>
          <w:tcPr>
            <w:tcW w:w="8400" w:type="dxa"/>
            <w:tcBorders>
              <w:top w:val="single" w:sz="2" w:space="0" w:color="000000"/>
              <w:left w:val="single" w:sz="2" w:space="0" w:color="000000"/>
              <w:bottom w:val="single" w:sz="2" w:space="0" w:color="000000"/>
              <w:right w:val="single" w:sz="2" w:space="0" w:color="000000"/>
            </w:tcBorders>
          </w:tcPr>
          <w:p w14:paraId="41619731" w14:textId="77777777" w:rsidR="00DD28BE" w:rsidRDefault="009442F4">
            <w:pPr>
              <w:widowControl w:val="0"/>
              <w:spacing w:line="253" w:lineRule="exact"/>
              <w:ind w:left="80" w:right="80"/>
              <w:rPr>
                <w:rFonts w:ascii="Arial" w:eastAsia="Arial" w:hAnsi="Arial" w:cs="Arial"/>
                <w:color w:val="000000"/>
                <w:sz w:val="22"/>
              </w:rPr>
            </w:pPr>
            <w:r>
              <w:rPr>
                <w:rFonts w:ascii="Arial" w:eastAsia="Arial" w:hAnsi="Arial" w:cs="Arial"/>
                <w:color w:val="000000"/>
                <w:sz w:val="22"/>
              </w:rPr>
              <w:t>Déclaration sur l'honneur pour justifier que le candidat n'entre dans aucun des cas d'interdiction de soumissionner</w:t>
            </w:r>
          </w:p>
        </w:tc>
        <w:tc>
          <w:tcPr>
            <w:tcW w:w="1199" w:type="dxa"/>
            <w:tcBorders>
              <w:top w:val="single" w:sz="2" w:space="0" w:color="000000"/>
              <w:left w:val="single" w:sz="2" w:space="0" w:color="000000"/>
              <w:bottom w:val="single" w:sz="2" w:space="0" w:color="000000"/>
              <w:right w:val="single" w:sz="2" w:space="0" w:color="000000"/>
            </w:tcBorders>
          </w:tcPr>
          <w:p w14:paraId="57F2006D" w14:textId="77777777" w:rsidR="00DD28BE" w:rsidRDefault="009442F4">
            <w:pPr>
              <w:widowControl w:val="0"/>
              <w:spacing w:before="80" w:after="20"/>
              <w:ind w:left="80" w:right="80"/>
              <w:jc w:val="center"/>
              <w:rPr>
                <w:rFonts w:ascii="Arial" w:eastAsia="Arial" w:hAnsi="Arial" w:cs="Arial"/>
                <w:color w:val="000000"/>
                <w:sz w:val="22"/>
              </w:rPr>
            </w:pPr>
            <w:r>
              <w:rPr>
                <w:rFonts w:ascii="Arial" w:eastAsia="Arial" w:hAnsi="Arial" w:cs="Arial"/>
                <w:color w:val="000000"/>
                <w:sz w:val="22"/>
              </w:rPr>
              <w:t>Non</w:t>
            </w:r>
          </w:p>
        </w:tc>
      </w:tr>
    </w:tbl>
    <w:p w14:paraId="01BC2177" w14:textId="77777777" w:rsidR="00DD28BE" w:rsidRDefault="009442F4">
      <w:pPr>
        <w:spacing w:line="240" w:lineRule="exact"/>
      </w:pPr>
      <w:r>
        <w:t xml:space="preserve"> </w:t>
      </w:r>
    </w:p>
    <w:p w14:paraId="295C89E7" w14:textId="77777777" w:rsidR="00DD28BE" w:rsidRDefault="00DD28BE">
      <w:pPr>
        <w:spacing w:after="80" w:line="240" w:lineRule="exact"/>
      </w:pPr>
    </w:p>
    <w:p w14:paraId="5E233B2F" w14:textId="77777777" w:rsidR="00DD28BE" w:rsidRDefault="009442F4">
      <w:pPr>
        <w:pStyle w:val="ParagrapheIndent2"/>
        <w:spacing w:line="253" w:lineRule="exact"/>
        <w:ind w:left="20" w:right="20"/>
        <w:jc w:val="both"/>
        <w:rPr>
          <w:color w:val="000000"/>
        </w:rPr>
        <w:sectPr w:rsidR="00DD28BE">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83" w:left="1134" w:header="0" w:footer="1126" w:gutter="0"/>
          <w:cols w:space="1701"/>
        </w:sectPr>
      </w:pPr>
      <w:r>
        <w:rPr>
          <w:color w:val="000000"/>
        </w:rPr>
        <w:t xml:space="preserve">Pour présenter leur candidature, </w:t>
      </w:r>
      <w:r>
        <w:rPr>
          <w:b/>
          <w:color w:val="000000"/>
        </w:rPr>
        <w:t>les candidats utilisent soit les formulaires DC1 (lettre de candidature) et DC2 (déclaration du candidat).</w:t>
      </w:r>
      <w:r>
        <w:rPr>
          <w:color w:val="000000"/>
        </w:rPr>
        <w:t xml:space="preserve"> </w:t>
      </w:r>
      <w:proofErr w:type="gramStart"/>
      <w:r>
        <w:rPr>
          <w:color w:val="000000"/>
        </w:rPr>
        <w:t>disponibles</w:t>
      </w:r>
      <w:proofErr w:type="gramEnd"/>
      <w:r>
        <w:rPr>
          <w:color w:val="000000"/>
        </w:rPr>
        <w:t xml:space="preserve"> gratuitement sur le site www.economie.gouv.fr.</w:t>
      </w:r>
    </w:p>
    <w:p w14:paraId="08A269DF" w14:textId="77777777" w:rsidR="00DD28BE" w:rsidRDefault="00DD28BE">
      <w:pPr>
        <w:spacing w:line="20" w:lineRule="exact"/>
        <w:rPr>
          <w:sz w:val="2"/>
        </w:rPr>
      </w:pPr>
    </w:p>
    <w:p w14:paraId="59C443C9" w14:textId="77777777" w:rsidR="00DD28BE" w:rsidRDefault="009442F4">
      <w:pPr>
        <w:pStyle w:val="ParagrapheIndent2"/>
        <w:spacing w:after="240" w:line="253" w:lineRule="exact"/>
        <w:ind w:left="20" w:right="20"/>
        <w:jc w:val="both"/>
        <w:rPr>
          <w:color w:val="000000"/>
        </w:rPr>
      </w:pPr>
      <w:r>
        <w:rPr>
          <w:color w:val="000000"/>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59696390" w14:textId="77777777" w:rsidR="00DD28BE" w:rsidRDefault="009442F4">
      <w:pPr>
        <w:pStyle w:val="ParagrapheIndent2"/>
        <w:spacing w:line="253" w:lineRule="exact"/>
        <w:ind w:left="20" w:right="20"/>
        <w:jc w:val="both"/>
        <w:rPr>
          <w:color w:val="000000"/>
        </w:rPr>
      </w:pPr>
      <w:r>
        <w:rPr>
          <w:color w:val="000000"/>
        </w:rPr>
        <w:t>Pièces de l'offre :</w:t>
      </w:r>
    </w:p>
    <w:p w14:paraId="3B1D7A95" w14:textId="77777777" w:rsidR="00DD28BE" w:rsidRDefault="00DD28BE">
      <w:pPr>
        <w:pStyle w:val="ParagrapheIndent2"/>
        <w:spacing w:line="253" w:lineRule="exact"/>
        <w:ind w:left="20" w:right="20"/>
        <w:jc w:val="both"/>
        <w:rPr>
          <w:color w:val="000000"/>
        </w:rPr>
      </w:pPr>
    </w:p>
    <w:tbl>
      <w:tblPr>
        <w:tblW w:w="9600" w:type="dxa"/>
        <w:tblInd w:w="20" w:type="dxa"/>
        <w:tblLayout w:type="fixed"/>
        <w:tblCellMar>
          <w:left w:w="2" w:type="dxa"/>
          <w:right w:w="2" w:type="dxa"/>
        </w:tblCellMar>
        <w:tblLook w:val="04A0" w:firstRow="1" w:lastRow="0" w:firstColumn="1" w:lastColumn="0" w:noHBand="0" w:noVBand="1"/>
      </w:tblPr>
      <w:tblGrid>
        <w:gridCol w:w="8401"/>
        <w:gridCol w:w="1199"/>
      </w:tblGrid>
      <w:tr w:rsidR="00DD28BE" w14:paraId="572D476D" w14:textId="77777777">
        <w:trPr>
          <w:trHeight w:val="340"/>
        </w:trPr>
        <w:tc>
          <w:tcPr>
            <w:tcW w:w="8400" w:type="dxa"/>
            <w:tcBorders>
              <w:top w:val="single" w:sz="2" w:space="0" w:color="000000"/>
              <w:left w:val="single" w:sz="2" w:space="0" w:color="000000"/>
              <w:right w:val="single" w:sz="2" w:space="0" w:color="000000"/>
            </w:tcBorders>
            <w:shd w:val="clear" w:color="CCCCCC" w:fill="CCCCCC"/>
          </w:tcPr>
          <w:p w14:paraId="74F475DA" w14:textId="77777777" w:rsidR="00DD28BE" w:rsidRDefault="009442F4">
            <w:pPr>
              <w:widowControl w:val="0"/>
              <w:spacing w:before="60" w:after="20"/>
              <w:jc w:val="center"/>
              <w:rPr>
                <w:rFonts w:ascii="Arial" w:eastAsia="Arial" w:hAnsi="Arial" w:cs="Arial"/>
                <w:color w:val="000000"/>
                <w:sz w:val="22"/>
              </w:rPr>
            </w:pPr>
            <w:r>
              <w:rPr>
                <w:rFonts w:ascii="Arial" w:eastAsia="Arial" w:hAnsi="Arial" w:cs="Arial"/>
                <w:color w:val="000000"/>
                <w:sz w:val="22"/>
              </w:rPr>
              <w:t>Libellés</w:t>
            </w:r>
          </w:p>
        </w:tc>
        <w:tc>
          <w:tcPr>
            <w:tcW w:w="1199" w:type="dxa"/>
            <w:tcBorders>
              <w:top w:val="single" w:sz="2" w:space="0" w:color="000000"/>
              <w:left w:val="single" w:sz="2" w:space="0" w:color="000000"/>
              <w:right w:val="single" w:sz="2" w:space="0" w:color="000000"/>
            </w:tcBorders>
            <w:shd w:val="clear" w:color="CCCCCC" w:fill="CCCCCC"/>
          </w:tcPr>
          <w:p w14:paraId="615A1039" w14:textId="77777777" w:rsidR="00DD28BE" w:rsidRDefault="009442F4">
            <w:pPr>
              <w:widowControl w:val="0"/>
              <w:spacing w:before="60" w:after="20"/>
              <w:jc w:val="center"/>
              <w:rPr>
                <w:rFonts w:ascii="Arial" w:eastAsia="Arial" w:hAnsi="Arial" w:cs="Arial"/>
                <w:color w:val="000000"/>
                <w:sz w:val="22"/>
              </w:rPr>
            </w:pPr>
            <w:r>
              <w:rPr>
                <w:rFonts w:ascii="Arial" w:eastAsia="Arial" w:hAnsi="Arial" w:cs="Arial"/>
                <w:color w:val="000000"/>
                <w:sz w:val="22"/>
              </w:rPr>
              <w:t>Signature</w:t>
            </w:r>
          </w:p>
        </w:tc>
      </w:tr>
      <w:tr w:rsidR="00DD28BE" w14:paraId="799F9581" w14:textId="77777777">
        <w:trPr>
          <w:trHeight w:val="380"/>
        </w:trPr>
        <w:tc>
          <w:tcPr>
            <w:tcW w:w="8400" w:type="dxa"/>
            <w:tcBorders>
              <w:top w:val="single" w:sz="2" w:space="0" w:color="000000"/>
              <w:left w:val="single" w:sz="2" w:space="0" w:color="000000"/>
              <w:bottom w:val="single" w:sz="2" w:space="0" w:color="000000"/>
              <w:right w:val="single" w:sz="2" w:space="0" w:color="000000"/>
            </w:tcBorders>
          </w:tcPr>
          <w:p w14:paraId="7F1A0FF0" w14:textId="77777777" w:rsidR="00DD28BE" w:rsidRDefault="009442F4">
            <w:pPr>
              <w:widowControl w:val="0"/>
              <w:spacing w:before="80" w:after="20"/>
              <w:ind w:left="80" w:right="80"/>
              <w:rPr>
                <w:rFonts w:ascii="Arial" w:eastAsia="Arial" w:hAnsi="Arial" w:cs="Arial"/>
                <w:color w:val="000000"/>
                <w:sz w:val="22"/>
              </w:rPr>
            </w:pPr>
            <w:r>
              <w:rPr>
                <w:rFonts w:ascii="Arial" w:eastAsia="Arial" w:hAnsi="Arial" w:cs="Arial"/>
                <w:color w:val="000000"/>
                <w:sz w:val="22"/>
              </w:rPr>
              <w:t>L'acte d'engagement (AE) et ses annexes</w:t>
            </w:r>
          </w:p>
        </w:tc>
        <w:tc>
          <w:tcPr>
            <w:tcW w:w="1199" w:type="dxa"/>
            <w:tcBorders>
              <w:top w:val="single" w:sz="2" w:space="0" w:color="000000"/>
              <w:left w:val="single" w:sz="2" w:space="0" w:color="000000"/>
              <w:bottom w:val="single" w:sz="2" w:space="0" w:color="000000"/>
              <w:right w:val="single" w:sz="2" w:space="0" w:color="000000"/>
            </w:tcBorders>
          </w:tcPr>
          <w:p w14:paraId="25E2673F" w14:textId="77777777" w:rsidR="00DD28BE" w:rsidRDefault="009442F4">
            <w:pPr>
              <w:widowControl w:val="0"/>
              <w:spacing w:before="80" w:after="20"/>
              <w:ind w:left="80" w:right="80"/>
              <w:jc w:val="center"/>
              <w:rPr>
                <w:rFonts w:ascii="Arial" w:eastAsia="Arial" w:hAnsi="Arial" w:cs="Arial"/>
                <w:color w:val="000000"/>
                <w:sz w:val="22"/>
              </w:rPr>
            </w:pPr>
            <w:r>
              <w:rPr>
                <w:rFonts w:ascii="Arial" w:eastAsia="Arial" w:hAnsi="Arial" w:cs="Arial"/>
                <w:color w:val="000000"/>
                <w:sz w:val="22"/>
              </w:rPr>
              <w:t>Oui</w:t>
            </w:r>
          </w:p>
        </w:tc>
      </w:tr>
      <w:tr w:rsidR="00DD28BE" w14:paraId="7264611E" w14:textId="77777777">
        <w:trPr>
          <w:trHeight w:val="380"/>
        </w:trPr>
        <w:tc>
          <w:tcPr>
            <w:tcW w:w="8400" w:type="dxa"/>
            <w:tcBorders>
              <w:top w:val="single" w:sz="2" w:space="0" w:color="000000"/>
              <w:left w:val="single" w:sz="2" w:space="0" w:color="000000"/>
              <w:bottom w:val="single" w:sz="2" w:space="0" w:color="000000"/>
              <w:right w:val="single" w:sz="2" w:space="0" w:color="000000"/>
            </w:tcBorders>
          </w:tcPr>
          <w:p w14:paraId="7A3769D9" w14:textId="77777777" w:rsidR="00DD28BE" w:rsidRPr="004A2858" w:rsidRDefault="009442F4">
            <w:pPr>
              <w:widowControl w:val="0"/>
              <w:spacing w:before="80" w:after="20"/>
              <w:ind w:left="80" w:right="80"/>
              <w:rPr>
                <w:rFonts w:ascii="Arial" w:eastAsia="Arial" w:hAnsi="Arial" w:cs="Arial"/>
                <w:color w:val="000000"/>
                <w:sz w:val="22"/>
                <w:highlight w:val="yellow"/>
              </w:rPr>
            </w:pPr>
            <w:r w:rsidRPr="004A2858">
              <w:rPr>
                <w:rFonts w:ascii="Arial" w:eastAsia="Arial" w:hAnsi="Arial" w:cs="Arial"/>
                <w:color w:val="000000"/>
                <w:sz w:val="22"/>
              </w:rPr>
              <w:t>Mémoire technique correspondant aux produits et prestations</w:t>
            </w:r>
          </w:p>
        </w:tc>
        <w:tc>
          <w:tcPr>
            <w:tcW w:w="1199" w:type="dxa"/>
            <w:tcBorders>
              <w:top w:val="single" w:sz="2" w:space="0" w:color="000000"/>
              <w:left w:val="single" w:sz="2" w:space="0" w:color="000000"/>
              <w:bottom w:val="single" w:sz="2" w:space="0" w:color="000000"/>
              <w:right w:val="single" w:sz="2" w:space="0" w:color="000000"/>
            </w:tcBorders>
          </w:tcPr>
          <w:p w14:paraId="4A72FA1A" w14:textId="4ACC7EC4" w:rsidR="00DD28BE" w:rsidRPr="004A2858" w:rsidRDefault="004A2858">
            <w:pPr>
              <w:widowControl w:val="0"/>
              <w:spacing w:before="80" w:after="20"/>
              <w:ind w:left="80" w:right="80"/>
              <w:jc w:val="center"/>
              <w:rPr>
                <w:rFonts w:ascii="Arial" w:eastAsia="Arial" w:hAnsi="Arial" w:cs="Arial"/>
                <w:color w:val="000000"/>
                <w:sz w:val="22"/>
              </w:rPr>
            </w:pPr>
            <w:r w:rsidRPr="004A2858">
              <w:rPr>
                <w:rFonts w:ascii="Arial" w:eastAsia="Arial" w:hAnsi="Arial" w:cs="Arial"/>
                <w:color w:val="000000"/>
                <w:sz w:val="22"/>
              </w:rPr>
              <w:t>Non</w:t>
            </w:r>
          </w:p>
          <w:p w14:paraId="3AE4B0EE" w14:textId="0523D36F" w:rsidR="004A2858" w:rsidRPr="004A2858" w:rsidRDefault="004A2858">
            <w:pPr>
              <w:widowControl w:val="0"/>
              <w:spacing w:before="80" w:after="20"/>
              <w:ind w:left="80" w:right="80"/>
              <w:jc w:val="center"/>
              <w:rPr>
                <w:rFonts w:ascii="Arial" w:eastAsia="Arial" w:hAnsi="Arial" w:cs="Arial"/>
                <w:color w:val="000000"/>
                <w:sz w:val="22"/>
                <w:highlight w:val="yellow"/>
              </w:rPr>
            </w:pPr>
          </w:p>
        </w:tc>
      </w:tr>
    </w:tbl>
    <w:p w14:paraId="0FEEA0C1" w14:textId="77777777" w:rsidR="00DD28BE" w:rsidRDefault="009442F4">
      <w:pPr>
        <w:spacing w:line="240" w:lineRule="exact"/>
      </w:pPr>
      <w:r>
        <w:t xml:space="preserve"> </w:t>
      </w:r>
    </w:p>
    <w:p w14:paraId="5099D278" w14:textId="77777777" w:rsidR="00DD28BE" w:rsidRDefault="00DD28BE">
      <w:pPr>
        <w:spacing w:after="80" w:line="240" w:lineRule="exact"/>
      </w:pPr>
    </w:p>
    <w:p w14:paraId="382C34F0" w14:textId="77777777" w:rsidR="00DD28BE" w:rsidRDefault="009442F4">
      <w:pPr>
        <w:pStyle w:val="Titre2"/>
        <w:spacing w:before="20" w:after="120"/>
        <w:ind w:left="300" w:right="20"/>
        <w:rPr>
          <w:rFonts w:eastAsia="Arial"/>
          <w:i w:val="0"/>
          <w:color w:val="000000"/>
          <w:sz w:val="24"/>
        </w:rPr>
      </w:pPr>
      <w:bookmarkStart w:id="22" w:name="_Toc256000019"/>
      <w:r>
        <w:rPr>
          <w:rFonts w:eastAsia="Arial"/>
          <w:i w:val="0"/>
          <w:color w:val="000000"/>
          <w:sz w:val="24"/>
        </w:rPr>
        <w:t>6.2 - Présentation des variantes</w:t>
      </w:r>
      <w:bookmarkEnd w:id="22"/>
    </w:p>
    <w:p w14:paraId="12F7B1E2" w14:textId="77777777" w:rsidR="00DD28BE" w:rsidRDefault="009442F4">
      <w:pPr>
        <w:pStyle w:val="ParagrapheIndent2"/>
        <w:spacing w:after="240" w:line="253" w:lineRule="exact"/>
        <w:ind w:left="20" w:right="20"/>
        <w:jc w:val="both"/>
        <w:rPr>
          <w:color w:val="000000"/>
        </w:rPr>
      </w:pPr>
      <w:r w:rsidRPr="00B74228">
        <w:rPr>
          <w:color w:val="000000"/>
          <w:highlight w:val="yellow"/>
        </w:rPr>
        <w:t>Les candidats présenteront un dossier général " variantes " comportant un sous-dossier particulier pour chaque variante qu'ils proposent. Outre les répercussions de chaque variante sur le montant de leur offre de base, ils indiqueront les adaptations à apporter tout en respectant les exigences minimales indiquées au cahier des charges</w:t>
      </w:r>
      <w:r>
        <w:rPr>
          <w:color w:val="000000"/>
        </w:rPr>
        <w:t>.</w:t>
      </w:r>
    </w:p>
    <w:p w14:paraId="436FE4A6" w14:textId="77777777" w:rsidR="00DD28BE" w:rsidRDefault="00DD28BE"/>
    <w:p w14:paraId="36A37AF7" w14:textId="77777777" w:rsidR="00DD28BE" w:rsidRDefault="009442F4">
      <w:pPr>
        <w:pStyle w:val="Titre1"/>
        <w:spacing w:before="20" w:after="180"/>
        <w:ind w:left="20" w:right="20"/>
        <w:rPr>
          <w:rFonts w:eastAsia="Arial"/>
          <w:color w:val="000000"/>
          <w:sz w:val="28"/>
        </w:rPr>
      </w:pPr>
      <w:bookmarkStart w:id="23" w:name="_Toc256000020"/>
      <w:r>
        <w:rPr>
          <w:rFonts w:eastAsia="Arial"/>
          <w:color w:val="000000"/>
          <w:sz w:val="28"/>
        </w:rPr>
        <w:t>7 - Conditions d'envoi ou de remise des plis</w:t>
      </w:r>
      <w:bookmarkEnd w:id="23"/>
    </w:p>
    <w:p w14:paraId="38B11439" w14:textId="77777777" w:rsidR="00DD28BE" w:rsidRDefault="009442F4">
      <w:pPr>
        <w:pStyle w:val="ParagrapheIndent1"/>
        <w:spacing w:after="240" w:line="253" w:lineRule="exact"/>
        <w:ind w:left="20" w:right="20"/>
        <w:jc w:val="both"/>
        <w:rPr>
          <w:color w:val="000000"/>
        </w:rPr>
      </w:pPr>
      <w:r>
        <w:rPr>
          <w:color w:val="000000"/>
        </w:rPr>
        <w:t>Les plis devront parvenir à destination avant la date et l'heure limites de réception des offres indiquées sur la page de garde du présent document.</w:t>
      </w:r>
    </w:p>
    <w:p w14:paraId="7C6194E9" w14:textId="77777777" w:rsidR="00DD28BE" w:rsidRDefault="009442F4">
      <w:pPr>
        <w:pStyle w:val="Titre2"/>
        <w:spacing w:before="20" w:after="120"/>
        <w:ind w:left="300" w:right="20"/>
        <w:rPr>
          <w:rFonts w:eastAsia="Arial"/>
          <w:i w:val="0"/>
          <w:color w:val="000000"/>
          <w:sz w:val="24"/>
        </w:rPr>
      </w:pPr>
      <w:bookmarkStart w:id="24" w:name="_Toc256000021"/>
      <w:r>
        <w:rPr>
          <w:rFonts w:eastAsia="Arial"/>
          <w:i w:val="0"/>
          <w:color w:val="000000"/>
          <w:sz w:val="24"/>
        </w:rPr>
        <w:t>7.1 - Transmission électronique</w:t>
      </w:r>
      <w:bookmarkEnd w:id="24"/>
    </w:p>
    <w:p w14:paraId="469AB66A" w14:textId="77777777" w:rsidR="00DD28BE" w:rsidRDefault="009442F4">
      <w:pPr>
        <w:pStyle w:val="ParagrapheIndent2"/>
        <w:spacing w:line="253" w:lineRule="exact"/>
        <w:ind w:left="20" w:right="20"/>
        <w:jc w:val="both"/>
        <w:rPr>
          <w:color w:val="000000"/>
        </w:rPr>
      </w:pPr>
      <w:r>
        <w:rPr>
          <w:color w:val="000000"/>
        </w:rPr>
        <w:t>La transmission des documents par voie électronique est effectuée sur le profil d'acheteur du pouvoir adjudicateur, à l'adresse URL suivante : https://www.marches-publics.gouv.fr/.</w:t>
      </w:r>
    </w:p>
    <w:p w14:paraId="3854DF71" w14:textId="77777777" w:rsidR="00DD28BE" w:rsidRDefault="00DD28BE">
      <w:pPr>
        <w:pStyle w:val="ParagrapheIndent2"/>
        <w:spacing w:line="253" w:lineRule="exact"/>
        <w:ind w:left="20" w:right="20"/>
        <w:jc w:val="both"/>
        <w:rPr>
          <w:color w:val="000000"/>
        </w:rPr>
      </w:pPr>
    </w:p>
    <w:p w14:paraId="2B0CD136" w14:textId="77777777" w:rsidR="00DD28BE" w:rsidRDefault="00DD28BE">
      <w:pPr>
        <w:pStyle w:val="ParagrapheIndent2"/>
        <w:spacing w:line="253" w:lineRule="exact"/>
        <w:ind w:left="20" w:right="20"/>
        <w:jc w:val="both"/>
        <w:rPr>
          <w:color w:val="000000"/>
        </w:rPr>
      </w:pPr>
    </w:p>
    <w:p w14:paraId="25C2D252" w14:textId="77777777" w:rsidR="00DD28BE" w:rsidRDefault="009442F4">
      <w:pPr>
        <w:pStyle w:val="ParagrapheIndent2"/>
        <w:spacing w:after="240" w:line="253" w:lineRule="exact"/>
        <w:ind w:left="20" w:right="20"/>
        <w:jc w:val="both"/>
        <w:rPr>
          <w:color w:val="000000"/>
        </w:rPr>
      </w:pPr>
      <w:r>
        <w:rPr>
          <w:color w:val="000000"/>
        </w:rPr>
        <w:t>Le choix du mode de transmission est global et irréversible. Les candidats doivent appliquer le même mode de transmission à l'ensemble des documents transmis au pouvoir adjudicateur.</w:t>
      </w:r>
    </w:p>
    <w:p w14:paraId="3E0B5521" w14:textId="77777777" w:rsidR="00DD28BE" w:rsidRDefault="009442F4">
      <w:pPr>
        <w:pStyle w:val="ParagrapheIndent2"/>
        <w:spacing w:line="253" w:lineRule="exact"/>
        <w:ind w:left="20" w:right="20"/>
        <w:jc w:val="both"/>
        <w:rPr>
          <w:color w:val="000000"/>
        </w:rPr>
      </w:pPr>
      <w:r>
        <w:rPr>
          <w:color w:val="000000"/>
        </w:rPr>
        <w:t>Le pli doit contenir deux dossiers distincts comportant respectivement les pièces de la candidature et les pièces de l'offre définies au présent règlement de la consultation.</w:t>
      </w:r>
    </w:p>
    <w:p w14:paraId="53CD9573" w14:textId="77777777" w:rsidR="00DD28BE" w:rsidRDefault="00DD28BE">
      <w:pPr>
        <w:pStyle w:val="ParagrapheIndent2"/>
        <w:spacing w:line="253" w:lineRule="exact"/>
        <w:ind w:left="20" w:right="20"/>
        <w:jc w:val="both"/>
        <w:rPr>
          <w:color w:val="000000"/>
        </w:rPr>
      </w:pPr>
    </w:p>
    <w:p w14:paraId="10EB3B0A" w14:textId="77777777" w:rsidR="00DD28BE" w:rsidRDefault="009442F4">
      <w:pPr>
        <w:pStyle w:val="ParagrapheIndent2"/>
        <w:spacing w:line="253" w:lineRule="exact"/>
        <w:ind w:left="20" w:right="20"/>
        <w:jc w:val="both"/>
        <w:rPr>
          <w:color w:val="000000"/>
        </w:rPr>
      </w:pPr>
      <w:r>
        <w:rPr>
          <w:color w:val="000000"/>
        </w:rPr>
        <w:t>Chaque transmission fera l'objet d'une date certaine de réception et d'un accusé de réception électronique. A ce titre, le fuseau horaire de référence est celui de (GMT+</w:t>
      </w:r>
      <w:proofErr w:type="gramStart"/>
      <w:r>
        <w:rPr>
          <w:color w:val="000000"/>
        </w:rPr>
        <w:t>01:</w:t>
      </w:r>
      <w:proofErr w:type="gramEnd"/>
      <w:r>
        <w:rPr>
          <w:color w:val="000000"/>
        </w:rPr>
        <w:t>00) Paris, Bruxelles, Copenhague, Madrid. Le pli sera considéré « hors délai » si le téléchargement se termine après la date et l'heure limites de réception des offres.</w:t>
      </w:r>
    </w:p>
    <w:p w14:paraId="2B44B571" w14:textId="77777777" w:rsidR="00DD28BE" w:rsidRDefault="00DD28BE">
      <w:pPr>
        <w:pStyle w:val="ParagrapheIndent2"/>
        <w:spacing w:line="253" w:lineRule="exact"/>
        <w:ind w:left="20" w:right="20"/>
        <w:jc w:val="both"/>
        <w:rPr>
          <w:color w:val="000000"/>
        </w:rPr>
      </w:pPr>
    </w:p>
    <w:p w14:paraId="05F17C7B" w14:textId="77777777" w:rsidR="00DD28BE" w:rsidRDefault="009442F4">
      <w:pPr>
        <w:pStyle w:val="ParagrapheIndent2"/>
        <w:spacing w:after="240" w:line="253" w:lineRule="exact"/>
        <w:ind w:left="20" w:right="20"/>
        <w:jc w:val="both"/>
        <w:rPr>
          <w:color w:val="000000"/>
        </w:rPr>
      </w:pPr>
      <w:r>
        <w:rPr>
          <w:color w:val="000000"/>
        </w:rPr>
        <w:t>Si une nouvelle offre est envoyée par voie électronique par le même candidat, celle-ci annule et remplace l'offre précédente.</w:t>
      </w:r>
    </w:p>
    <w:p w14:paraId="1C4138A7" w14:textId="77777777" w:rsidR="00DD28BE" w:rsidRDefault="009442F4">
      <w:pPr>
        <w:pStyle w:val="ParagrapheIndent2"/>
        <w:spacing w:line="253" w:lineRule="exact"/>
        <w:ind w:left="20" w:right="20"/>
        <w:jc w:val="both"/>
        <w:rPr>
          <w:color w:val="000000"/>
        </w:rPr>
      </w:pPr>
      <w:r>
        <w:rPr>
          <w:color w:val="000000"/>
        </w:rPr>
        <w:t xml:space="preserve">Le pli peut être doublé d'une copie de sauvegarde transmise dans les délais impartis, sur support physique électronique (CD-ROM, DVD-ROM, clé </w:t>
      </w:r>
      <w:proofErr w:type="spellStart"/>
      <w:r>
        <w:rPr>
          <w:color w:val="000000"/>
        </w:rPr>
        <w:t>usb</w:t>
      </w:r>
      <w:proofErr w:type="spellEnd"/>
      <w:r>
        <w:rPr>
          <w:color w:val="000000"/>
        </w:rPr>
        <w:t>) ou sur support papier. Cette copie doit être placée dans un pli portant la mention « copie de sauvegarde », ainsi que le nom du candidat et l'identification de la procédure concernée. Elle est ouverte dans les cas suivants :</w:t>
      </w:r>
    </w:p>
    <w:p w14:paraId="0D271A77" w14:textId="77777777" w:rsidR="00DD28BE" w:rsidRDefault="009442F4">
      <w:pPr>
        <w:pStyle w:val="ParagrapheIndent2"/>
        <w:spacing w:line="253" w:lineRule="exact"/>
        <w:ind w:left="20" w:right="20"/>
        <w:jc w:val="both"/>
        <w:rPr>
          <w:color w:val="000000"/>
        </w:rPr>
      </w:pPr>
      <w:r>
        <w:rPr>
          <w:color w:val="000000"/>
        </w:rPr>
        <w:t>- lorsqu'un programme informatique malveillant est détecté dans le pli transmis par voie électronique ;</w:t>
      </w:r>
    </w:p>
    <w:p w14:paraId="50AB4BA3" w14:textId="77777777" w:rsidR="00DD28BE" w:rsidRDefault="009442F4">
      <w:pPr>
        <w:pStyle w:val="ParagrapheIndent2"/>
        <w:spacing w:line="253" w:lineRule="exact"/>
        <w:ind w:left="20" w:right="20"/>
        <w:jc w:val="both"/>
        <w:rPr>
          <w:color w:val="000000"/>
        </w:rPr>
      </w:pPr>
      <w:r>
        <w:rPr>
          <w:color w:val="000000"/>
        </w:rPr>
        <w:lastRenderedPageBreak/>
        <w:t>- lorsque le pli électronique est reçu de façon incomplète, hors délai ou n'a pu être ouvert, à condition que sa transmission ait commencé avant la clôture de la remise des plis.</w:t>
      </w:r>
    </w:p>
    <w:p w14:paraId="150A06CB" w14:textId="77777777" w:rsidR="00DD28BE" w:rsidRDefault="00DD28BE">
      <w:pPr>
        <w:spacing w:line="20" w:lineRule="exact"/>
        <w:rPr>
          <w:sz w:val="2"/>
        </w:rPr>
      </w:pPr>
    </w:p>
    <w:p w14:paraId="446463DD" w14:textId="6CB105F3" w:rsidR="00DD28BE" w:rsidRDefault="009442F4">
      <w:pPr>
        <w:pStyle w:val="ParagrapheIndent2"/>
        <w:spacing w:line="253" w:lineRule="exact"/>
        <w:ind w:left="20" w:right="20"/>
        <w:jc w:val="both"/>
        <w:rPr>
          <w:color w:val="000000"/>
        </w:rPr>
      </w:pPr>
      <w:r>
        <w:rPr>
          <w:color w:val="000000"/>
        </w:rPr>
        <w:t>La copie de sauvegarde peut être transmise ou déposée à l'adresse suivante :</w:t>
      </w:r>
    </w:p>
    <w:p w14:paraId="5E3E2393" w14:textId="77777777" w:rsidR="00B74228" w:rsidRPr="00B74228" w:rsidRDefault="00B74228" w:rsidP="00B74228"/>
    <w:p w14:paraId="7A9A2F00" w14:textId="77777777" w:rsidR="00DD28BE" w:rsidRDefault="009442F4">
      <w:pPr>
        <w:pStyle w:val="ParagrapheIndent2"/>
        <w:spacing w:after="240" w:line="253" w:lineRule="exact"/>
        <w:ind w:left="20" w:right="20"/>
        <w:jc w:val="both"/>
        <w:rPr>
          <w:color w:val="000000"/>
        </w:rPr>
      </w:pPr>
      <w:r>
        <w:rPr>
          <w:color w:val="000000"/>
        </w:rPr>
        <w:t>Aucun format électronique n'est préconisé pour la transmission des documents. Cependant, les fichiers devront être transmis dans des formats largement disponibles.</w:t>
      </w:r>
    </w:p>
    <w:p w14:paraId="080A0FE9" w14:textId="77777777" w:rsidR="00DD28BE" w:rsidRDefault="009442F4">
      <w:pPr>
        <w:pStyle w:val="ParagrapheIndent2"/>
        <w:spacing w:after="240"/>
        <w:ind w:left="20" w:right="20"/>
        <w:jc w:val="both"/>
        <w:rPr>
          <w:color w:val="000000"/>
        </w:rPr>
      </w:pPr>
      <w:r>
        <w:rPr>
          <w:color w:val="000000"/>
        </w:rPr>
        <w:t>La signature électronique des documents n'est pas exigée dans le cadre de cette consultation.</w:t>
      </w:r>
    </w:p>
    <w:p w14:paraId="05110955" w14:textId="77777777" w:rsidR="00DD28BE" w:rsidRDefault="009442F4">
      <w:pPr>
        <w:pStyle w:val="ParagrapheIndent2"/>
        <w:spacing w:after="240" w:line="253" w:lineRule="exact"/>
        <w:ind w:left="20" w:right="20"/>
        <w:jc w:val="both"/>
        <w:rPr>
          <w:color w:val="000000"/>
        </w:rPr>
      </w:pPr>
      <w:r>
        <w:rPr>
          <w:color w:val="000000"/>
        </w:rPr>
        <w:t>La signature électronique du contrat par l'attributaire n'est pas exigée dans le cadre de cette consultation.</w:t>
      </w:r>
    </w:p>
    <w:p w14:paraId="799FB161" w14:textId="77777777" w:rsidR="00DD28BE" w:rsidRDefault="009442F4">
      <w:pPr>
        <w:pStyle w:val="ParagrapheIndent2"/>
        <w:spacing w:after="240" w:line="253" w:lineRule="exact"/>
        <w:ind w:left="20" w:right="20"/>
        <w:jc w:val="both"/>
        <w:rPr>
          <w:color w:val="000000"/>
        </w:rPr>
      </w:pPr>
      <w:r>
        <w:rPr>
          <w:color w:val="000000"/>
        </w:rPr>
        <w:t>Après attribution, les candidats sont informés que l'offre électronique retenue sera transformée en offre papier, pour donner lieu à la signature manuscrite du marché par les parties.</w:t>
      </w:r>
    </w:p>
    <w:p w14:paraId="7E64DC95" w14:textId="77777777" w:rsidR="00DD28BE" w:rsidRDefault="009442F4">
      <w:pPr>
        <w:pStyle w:val="ParagrapheIndent2"/>
        <w:spacing w:after="240" w:line="253" w:lineRule="exact"/>
        <w:ind w:left="20" w:right="20"/>
        <w:jc w:val="both"/>
        <w:rPr>
          <w:color w:val="000000"/>
        </w:rPr>
      </w:pPr>
      <w:r>
        <w:rPr>
          <w:color w:val="000000"/>
        </w:rPr>
        <w:t>Les frais d'accès au réseau et de recours à la signature électronique sont à la charge des candidats.</w:t>
      </w:r>
    </w:p>
    <w:p w14:paraId="7E6F3430" w14:textId="77777777" w:rsidR="00DD28BE" w:rsidRDefault="00DD28BE"/>
    <w:p w14:paraId="0B322394" w14:textId="77777777" w:rsidR="00DD28BE" w:rsidRDefault="00DD28BE"/>
    <w:p w14:paraId="1D8BAE46" w14:textId="77777777" w:rsidR="00DD28BE" w:rsidRDefault="009442F4">
      <w:pPr>
        <w:pStyle w:val="Titre2"/>
        <w:spacing w:before="20" w:after="120"/>
        <w:ind w:left="300" w:right="20"/>
        <w:rPr>
          <w:rFonts w:eastAsia="Arial"/>
          <w:i w:val="0"/>
          <w:color w:val="000000"/>
          <w:sz w:val="24"/>
        </w:rPr>
      </w:pPr>
      <w:bookmarkStart w:id="25" w:name="_Toc256000022"/>
      <w:r>
        <w:rPr>
          <w:rFonts w:eastAsia="Arial"/>
          <w:i w:val="0"/>
          <w:color w:val="000000"/>
          <w:sz w:val="24"/>
        </w:rPr>
        <w:t>7.2 - Transmission sous support papier</w:t>
      </w:r>
      <w:bookmarkEnd w:id="25"/>
    </w:p>
    <w:p w14:paraId="12A96E2D" w14:textId="77777777" w:rsidR="00DD28BE" w:rsidRDefault="009442F4">
      <w:pPr>
        <w:pStyle w:val="ParagrapheIndent2"/>
        <w:spacing w:after="240" w:line="253" w:lineRule="exact"/>
        <w:ind w:left="20" w:right="20"/>
        <w:jc w:val="both"/>
        <w:rPr>
          <w:color w:val="000000"/>
        </w:rPr>
      </w:pPr>
      <w:r>
        <w:rPr>
          <w:color w:val="000000"/>
        </w:rPr>
        <w:t>La transmission des plis par voie électronique est imposée pour cette consultation. Par conséquent, la transmission par voie papier n'est pas autorisée.</w:t>
      </w:r>
    </w:p>
    <w:p w14:paraId="08F4776A" w14:textId="77777777" w:rsidR="00DD28BE" w:rsidRDefault="00DD28BE"/>
    <w:p w14:paraId="2595C06D" w14:textId="77777777" w:rsidR="00DD28BE" w:rsidRDefault="00DD28BE"/>
    <w:p w14:paraId="7D03E1CC" w14:textId="77777777" w:rsidR="00DD28BE" w:rsidRDefault="009442F4">
      <w:pPr>
        <w:pStyle w:val="Titre1"/>
        <w:spacing w:before="20" w:after="180"/>
        <w:ind w:left="20" w:right="20"/>
        <w:rPr>
          <w:rFonts w:eastAsia="Arial"/>
          <w:color w:val="000000"/>
          <w:sz w:val="28"/>
        </w:rPr>
      </w:pPr>
      <w:bookmarkStart w:id="26" w:name="_Toc256000023"/>
      <w:r>
        <w:rPr>
          <w:rFonts w:eastAsia="Arial"/>
          <w:color w:val="000000"/>
          <w:sz w:val="28"/>
        </w:rPr>
        <w:t>8 - Examen des candidatures et des offres</w:t>
      </w:r>
      <w:bookmarkEnd w:id="26"/>
    </w:p>
    <w:p w14:paraId="18FA44E6" w14:textId="77777777" w:rsidR="00DD28BE" w:rsidRDefault="00DD28BE">
      <w:pPr>
        <w:rPr>
          <w:rFonts w:eastAsia="Arial"/>
        </w:rPr>
      </w:pPr>
    </w:p>
    <w:p w14:paraId="5431F3B6" w14:textId="77777777" w:rsidR="00DD28BE" w:rsidRDefault="009442F4">
      <w:pPr>
        <w:pStyle w:val="Titre2"/>
        <w:spacing w:before="20" w:after="120"/>
        <w:ind w:left="300" w:right="20"/>
        <w:rPr>
          <w:rFonts w:eastAsia="Arial"/>
          <w:i w:val="0"/>
          <w:color w:val="000000"/>
          <w:sz w:val="24"/>
        </w:rPr>
      </w:pPr>
      <w:bookmarkStart w:id="27" w:name="_Toc256000024"/>
      <w:r>
        <w:rPr>
          <w:rFonts w:eastAsia="Arial"/>
          <w:i w:val="0"/>
          <w:color w:val="000000"/>
          <w:sz w:val="24"/>
        </w:rPr>
        <w:t>8.1 - Sélection des candidatures</w:t>
      </w:r>
      <w:bookmarkEnd w:id="27"/>
    </w:p>
    <w:p w14:paraId="1B5F63E3" w14:textId="77777777" w:rsidR="00DD28BE" w:rsidRDefault="009442F4">
      <w:pPr>
        <w:pStyle w:val="ParagrapheIndent2"/>
        <w:spacing w:after="240" w:line="253" w:lineRule="exact"/>
        <w:ind w:left="20" w:right="20"/>
        <w:jc w:val="both"/>
        <w:rPr>
          <w:color w:val="000000"/>
        </w:rPr>
      </w:pPr>
      <w:r>
        <w:rPr>
          <w:color w:val="000000"/>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3587BBFB" w14:textId="77777777" w:rsidR="00DD28BE" w:rsidRDefault="009442F4">
      <w:pPr>
        <w:pStyle w:val="ParagrapheIndent2"/>
        <w:spacing w:after="240" w:line="253" w:lineRule="exact"/>
        <w:ind w:left="20" w:right="20"/>
        <w:jc w:val="both"/>
        <w:rPr>
          <w:color w:val="000000"/>
        </w:rPr>
      </w:pPr>
      <w:r>
        <w:rPr>
          <w:color w:val="000000"/>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33434EB9" w14:textId="77777777" w:rsidR="00DD28BE" w:rsidRDefault="009442F4">
      <w:pPr>
        <w:pStyle w:val="Titre2"/>
        <w:spacing w:before="20" w:after="120"/>
        <w:ind w:left="300" w:right="20"/>
        <w:rPr>
          <w:rFonts w:eastAsia="Arial"/>
          <w:i w:val="0"/>
          <w:color w:val="000000"/>
          <w:sz w:val="24"/>
        </w:rPr>
      </w:pPr>
      <w:bookmarkStart w:id="28" w:name="_Toc256000025"/>
      <w:r>
        <w:rPr>
          <w:rFonts w:eastAsia="Arial"/>
          <w:i w:val="0"/>
          <w:color w:val="000000"/>
          <w:sz w:val="24"/>
        </w:rPr>
        <w:t>8.2 - Attribution des marchés</w:t>
      </w:r>
      <w:bookmarkEnd w:id="28"/>
    </w:p>
    <w:p w14:paraId="382FCE13" w14:textId="77777777" w:rsidR="00DD28BE" w:rsidRDefault="009442F4">
      <w:pPr>
        <w:pStyle w:val="ParagrapheIndent2"/>
        <w:spacing w:line="253" w:lineRule="exact"/>
        <w:ind w:left="20" w:right="20"/>
        <w:jc w:val="both"/>
        <w:rPr>
          <w:color w:val="000000"/>
        </w:rPr>
      </w:pPr>
      <w:r>
        <w:rPr>
          <w:color w:val="000000"/>
        </w:rPr>
        <w:t>Le jugement des offres sera effectué dans les conditions prévues aux articles L.2152-1 à L.2152-4, R. 2152-1 et R. 2152-2 du Code de la commande publique et donnera lieu à un classement des offres.</w:t>
      </w:r>
    </w:p>
    <w:p w14:paraId="1D017197" w14:textId="77777777" w:rsidR="00DD28BE" w:rsidRDefault="00DD28BE">
      <w:pPr>
        <w:pStyle w:val="ParagrapheIndent2"/>
        <w:spacing w:line="253" w:lineRule="exact"/>
        <w:ind w:left="20" w:right="20"/>
        <w:jc w:val="both"/>
        <w:rPr>
          <w:color w:val="000000"/>
        </w:rPr>
      </w:pPr>
    </w:p>
    <w:p w14:paraId="5B6F7AA8" w14:textId="77777777" w:rsidR="00DD28BE" w:rsidRDefault="009442F4">
      <w:pPr>
        <w:pStyle w:val="ParagrapheIndent2"/>
        <w:spacing w:after="240" w:line="253" w:lineRule="exact"/>
        <w:ind w:left="20" w:right="20"/>
        <w:jc w:val="both"/>
        <w:rPr>
          <w:color w:val="000000"/>
        </w:rPr>
      </w:pPr>
      <w:r>
        <w:rPr>
          <w:color w:val="000000"/>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5EC15FD6" w14:textId="77777777" w:rsidR="00DD28BE" w:rsidRDefault="00DD28BE"/>
    <w:p w14:paraId="3B8688A8" w14:textId="77777777" w:rsidR="00DD28BE" w:rsidRDefault="00DD28BE"/>
    <w:p w14:paraId="33356ECC" w14:textId="77777777" w:rsidR="00DD28BE" w:rsidRDefault="00DD28BE"/>
    <w:p w14:paraId="23E852D1" w14:textId="77777777" w:rsidR="00DD28BE" w:rsidRDefault="00DD28BE"/>
    <w:p w14:paraId="22BDD313" w14:textId="77777777" w:rsidR="00DD28BE" w:rsidRDefault="00DD28BE"/>
    <w:p w14:paraId="67574DC0" w14:textId="568199FC" w:rsidR="00DD28BE" w:rsidRDefault="00DD28BE"/>
    <w:p w14:paraId="44FD365B" w14:textId="411B2AC8" w:rsidR="004A2858" w:rsidRDefault="004A2858"/>
    <w:p w14:paraId="4A451FCF" w14:textId="77777777" w:rsidR="004A2858" w:rsidRDefault="004A2858"/>
    <w:p w14:paraId="1B4EB464" w14:textId="77777777" w:rsidR="00DD28BE" w:rsidRDefault="009442F4">
      <w:pPr>
        <w:pStyle w:val="ParagrapheIndent2"/>
        <w:spacing w:line="253" w:lineRule="exact"/>
        <w:ind w:left="20" w:right="20"/>
        <w:jc w:val="both"/>
        <w:rPr>
          <w:color w:val="000000"/>
        </w:rPr>
      </w:pPr>
      <w:r>
        <w:rPr>
          <w:color w:val="000000"/>
        </w:rPr>
        <w:t>Les critères retenus pour le jugement des offres sont pondérés de la manière suivante :</w:t>
      </w:r>
    </w:p>
    <w:p w14:paraId="356B1A8C" w14:textId="77777777" w:rsidR="00DD28BE" w:rsidRDefault="00DD28BE"/>
    <w:p w14:paraId="5EDCF3CC" w14:textId="77777777" w:rsidR="00B74228" w:rsidRDefault="00B74228" w:rsidP="00B74228">
      <w:pPr>
        <w:rPr>
          <w:b/>
          <w:bCs/>
          <w:sz w:val="32"/>
          <w:szCs w:val="32"/>
        </w:rPr>
      </w:pPr>
    </w:p>
    <w:p w14:paraId="12D49794" w14:textId="77777777" w:rsidR="00B74228" w:rsidRDefault="00B74228" w:rsidP="00B74228"/>
    <w:p w14:paraId="00C7B461" w14:textId="77777777" w:rsidR="00B74228" w:rsidRDefault="00B74228" w:rsidP="00B74228">
      <w:pPr>
        <w:rPr>
          <w:sz w:val="36"/>
          <w:szCs w:val="36"/>
        </w:rPr>
      </w:pPr>
      <w:r>
        <w:rPr>
          <w:sz w:val="36"/>
          <w:szCs w:val="36"/>
        </w:rPr>
        <w:t xml:space="preserve">Critères d’évaluation : </w:t>
      </w:r>
      <w:r>
        <w:rPr>
          <w:b/>
          <w:sz w:val="36"/>
          <w:szCs w:val="36"/>
        </w:rPr>
        <w:t>lot 1</w:t>
      </w:r>
    </w:p>
    <w:p w14:paraId="19F17F06" w14:textId="0319F0EA" w:rsidR="00B74228" w:rsidRDefault="00B74228" w:rsidP="003A2E37">
      <w:pPr>
        <w:rPr>
          <w:b/>
        </w:rPr>
      </w:pPr>
      <w:r>
        <w:tab/>
      </w:r>
    </w:p>
    <w:p w14:paraId="117F46C8" w14:textId="77777777" w:rsidR="003A2E37" w:rsidRDefault="003A2E37" w:rsidP="003A2E37">
      <w:pPr>
        <w:spacing w:line="253" w:lineRule="exact"/>
        <w:ind w:left="20" w:right="1040"/>
        <w:rPr>
          <w:rFonts w:ascii="Arial" w:eastAsia="Arial" w:hAnsi="Arial" w:cs="Arial"/>
          <w:color w:val="000000"/>
          <w:sz w:val="22"/>
        </w:rPr>
      </w:pPr>
    </w:p>
    <w:tbl>
      <w:tblPr>
        <w:tblW w:w="9639" w:type="dxa"/>
        <w:tblInd w:w="-3" w:type="dxa"/>
        <w:tblLayout w:type="fixed"/>
        <w:tblCellMar>
          <w:left w:w="2" w:type="dxa"/>
          <w:right w:w="2" w:type="dxa"/>
        </w:tblCellMar>
        <w:tblLook w:val="04A0" w:firstRow="1" w:lastRow="0" w:firstColumn="1" w:lastColumn="0" w:noHBand="0" w:noVBand="1"/>
      </w:tblPr>
      <w:tblGrid>
        <w:gridCol w:w="7938"/>
        <w:gridCol w:w="1701"/>
      </w:tblGrid>
      <w:tr w:rsidR="003A2E37" w14:paraId="19C63ABD" w14:textId="77777777" w:rsidTr="001D138F">
        <w:trPr>
          <w:trHeight w:val="340"/>
        </w:trPr>
        <w:tc>
          <w:tcPr>
            <w:tcW w:w="7938" w:type="dxa"/>
            <w:tcBorders>
              <w:top w:val="single" w:sz="2" w:space="0" w:color="000000"/>
              <w:left w:val="single" w:sz="2" w:space="0" w:color="000000"/>
              <w:right w:val="single" w:sz="2" w:space="0" w:color="000000"/>
            </w:tcBorders>
            <w:shd w:val="clear" w:color="CCCCCC" w:fill="CCCCCC"/>
          </w:tcPr>
          <w:p w14:paraId="5ACB0E5E" w14:textId="77777777" w:rsidR="003A2E37" w:rsidRDefault="003A2E37" w:rsidP="001D138F">
            <w:pPr>
              <w:widowControl w:val="0"/>
              <w:spacing w:before="60" w:after="20"/>
              <w:jc w:val="center"/>
              <w:rPr>
                <w:rFonts w:ascii="Arial" w:eastAsia="Arial" w:hAnsi="Arial" w:cs="Arial"/>
                <w:color w:val="000000"/>
                <w:sz w:val="22"/>
              </w:rPr>
            </w:pPr>
            <w:r>
              <w:rPr>
                <w:rFonts w:ascii="Arial" w:eastAsia="Arial" w:hAnsi="Arial" w:cs="Arial"/>
                <w:color w:val="000000"/>
                <w:sz w:val="22"/>
              </w:rPr>
              <w:t>Critères</w:t>
            </w:r>
          </w:p>
        </w:tc>
        <w:tc>
          <w:tcPr>
            <w:tcW w:w="1701" w:type="dxa"/>
            <w:tcBorders>
              <w:top w:val="single" w:sz="2" w:space="0" w:color="000000"/>
              <w:left w:val="single" w:sz="2" w:space="0" w:color="000000"/>
              <w:right w:val="single" w:sz="2" w:space="0" w:color="000000"/>
            </w:tcBorders>
            <w:shd w:val="clear" w:color="CCCCCC" w:fill="CCCCCC"/>
          </w:tcPr>
          <w:p w14:paraId="3AF31054" w14:textId="77777777" w:rsidR="003A2E37" w:rsidRDefault="003A2E37" w:rsidP="001D138F">
            <w:pPr>
              <w:widowControl w:val="0"/>
              <w:spacing w:before="60" w:after="20"/>
              <w:jc w:val="center"/>
              <w:rPr>
                <w:rFonts w:ascii="Arial" w:eastAsia="Arial" w:hAnsi="Arial" w:cs="Arial"/>
                <w:color w:val="000000"/>
                <w:sz w:val="22"/>
              </w:rPr>
            </w:pPr>
            <w:r>
              <w:rPr>
                <w:rFonts w:ascii="Arial" w:eastAsia="Arial" w:hAnsi="Arial" w:cs="Arial"/>
                <w:color w:val="000000"/>
                <w:sz w:val="22"/>
              </w:rPr>
              <w:t>Pondération</w:t>
            </w:r>
          </w:p>
        </w:tc>
      </w:tr>
      <w:tr w:rsidR="003A2E37" w:rsidRPr="000E72CE" w14:paraId="10F9162C"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64C81E6E"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1-Valeur technique</w:t>
            </w:r>
          </w:p>
        </w:tc>
        <w:tc>
          <w:tcPr>
            <w:tcW w:w="1701" w:type="dxa"/>
            <w:tcBorders>
              <w:top w:val="single" w:sz="2" w:space="0" w:color="000000"/>
              <w:left w:val="single" w:sz="2" w:space="0" w:color="000000"/>
              <w:bottom w:val="single" w:sz="2" w:space="0" w:color="000000"/>
              <w:right w:val="single" w:sz="2" w:space="0" w:color="000000"/>
            </w:tcBorders>
          </w:tcPr>
          <w:p w14:paraId="6C443D85" w14:textId="77777777" w:rsidR="003A2E37" w:rsidRPr="00FB2911" w:rsidRDefault="003A2E37" w:rsidP="001D138F">
            <w:pPr>
              <w:widowControl w:val="0"/>
              <w:spacing w:before="120" w:after="40"/>
              <w:ind w:left="80" w:right="80"/>
              <w:rPr>
                <w:rFonts w:ascii="Arial" w:eastAsia="Arial" w:hAnsi="Arial" w:cs="Arial"/>
                <w:color w:val="000000"/>
                <w:sz w:val="20"/>
              </w:rPr>
            </w:pPr>
            <w:r>
              <w:rPr>
                <w:rFonts w:ascii="Arial" w:eastAsia="Arial" w:hAnsi="Arial" w:cs="Arial"/>
                <w:color w:val="000000"/>
                <w:sz w:val="20"/>
              </w:rPr>
              <w:t>5</w:t>
            </w:r>
            <w:r w:rsidRPr="00FB2911">
              <w:rPr>
                <w:rFonts w:ascii="Arial" w:eastAsia="Arial" w:hAnsi="Arial" w:cs="Arial"/>
                <w:color w:val="000000"/>
                <w:sz w:val="20"/>
              </w:rPr>
              <w:t>0.0 %</w:t>
            </w:r>
          </w:p>
        </w:tc>
      </w:tr>
      <w:tr w:rsidR="003A2E37" w:rsidRPr="000E72CE" w14:paraId="16F25F71"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3ED45D64"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2-Prix des prestations</w:t>
            </w:r>
          </w:p>
        </w:tc>
        <w:tc>
          <w:tcPr>
            <w:tcW w:w="1701" w:type="dxa"/>
            <w:tcBorders>
              <w:top w:val="single" w:sz="2" w:space="0" w:color="000000"/>
              <w:left w:val="single" w:sz="2" w:space="0" w:color="000000"/>
              <w:bottom w:val="single" w:sz="2" w:space="0" w:color="000000"/>
              <w:right w:val="single" w:sz="2" w:space="0" w:color="000000"/>
            </w:tcBorders>
          </w:tcPr>
          <w:p w14:paraId="740FA323" w14:textId="77777777" w:rsidR="003A2E37" w:rsidRPr="00FB2911" w:rsidRDefault="003A2E37" w:rsidP="001D138F">
            <w:pPr>
              <w:widowControl w:val="0"/>
              <w:spacing w:before="120" w:after="40"/>
              <w:ind w:left="80" w:right="80"/>
              <w:rPr>
                <w:rFonts w:ascii="Arial" w:eastAsia="Arial" w:hAnsi="Arial" w:cs="Arial"/>
                <w:color w:val="000000"/>
                <w:sz w:val="20"/>
              </w:rPr>
            </w:pPr>
            <w:r>
              <w:rPr>
                <w:rFonts w:ascii="Arial" w:eastAsia="Arial" w:hAnsi="Arial" w:cs="Arial"/>
                <w:color w:val="000000"/>
                <w:sz w:val="20"/>
              </w:rPr>
              <w:t>4</w:t>
            </w:r>
            <w:r w:rsidRPr="00FB2911">
              <w:rPr>
                <w:rFonts w:ascii="Arial" w:eastAsia="Arial" w:hAnsi="Arial" w:cs="Arial"/>
                <w:color w:val="000000"/>
                <w:sz w:val="20"/>
              </w:rPr>
              <w:t>0.0 %</w:t>
            </w:r>
          </w:p>
        </w:tc>
      </w:tr>
      <w:tr w:rsidR="003A2E37" w14:paraId="7A928E66"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6B4430EA"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3-Service après-vente</w:t>
            </w:r>
          </w:p>
        </w:tc>
        <w:tc>
          <w:tcPr>
            <w:tcW w:w="1701" w:type="dxa"/>
            <w:tcBorders>
              <w:top w:val="single" w:sz="2" w:space="0" w:color="000000"/>
              <w:left w:val="single" w:sz="2" w:space="0" w:color="000000"/>
              <w:bottom w:val="single" w:sz="2" w:space="0" w:color="000000"/>
              <w:right w:val="single" w:sz="2" w:space="0" w:color="000000"/>
            </w:tcBorders>
          </w:tcPr>
          <w:p w14:paraId="32156A0F" w14:textId="77777777" w:rsidR="003A2E37" w:rsidRDefault="003A2E37" w:rsidP="001D138F">
            <w:pPr>
              <w:widowControl w:val="0"/>
              <w:spacing w:before="120" w:after="40"/>
              <w:ind w:left="80" w:right="80"/>
              <w:rPr>
                <w:rFonts w:ascii="Arial" w:eastAsia="Arial" w:hAnsi="Arial" w:cs="Arial"/>
                <w:color w:val="000000"/>
                <w:sz w:val="20"/>
              </w:rPr>
            </w:pPr>
            <w:r w:rsidRPr="00E67269">
              <w:rPr>
                <w:rFonts w:ascii="Arial" w:eastAsia="Arial" w:hAnsi="Arial" w:cs="Arial"/>
                <w:color w:val="000000"/>
                <w:sz w:val="20"/>
              </w:rPr>
              <w:t>10.0 %</w:t>
            </w:r>
          </w:p>
        </w:tc>
      </w:tr>
    </w:tbl>
    <w:p w14:paraId="1AA044E2" w14:textId="77777777" w:rsidR="003A2E37" w:rsidRDefault="003A2E37" w:rsidP="00B74228"/>
    <w:p w14:paraId="60A2D5C1" w14:textId="77777777" w:rsidR="00B74228" w:rsidRDefault="00B74228" w:rsidP="00B74228">
      <w:pPr>
        <w:jc w:val="both"/>
      </w:pPr>
      <w:r>
        <w:t>Les sous-critères et leurs barèmes de notation sont détaillés dans les annexes à l’Acte d’Engagement pour chaque lot. Ce sont ces sous-critères qui permettront de déterminer un score pour chaque candidature pour chaque lot. Certains sous-critères sont éliminatoires et doivent obligatoirement être validés pour que l’offre soit analysée.</w:t>
      </w:r>
    </w:p>
    <w:p w14:paraId="61EF3F61" w14:textId="77777777" w:rsidR="00B74228" w:rsidRDefault="00B74228" w:rsidP="00B74228"/>
    <w:p w14:paraId="325F4627" w14:textId="77777777" w:rsidR="00B74228" w:rsidRDefault="00B74228" w:rsidP="00B74228">
      <w:pPr>
        <w:pStyle w:val="Paragraphedeliste"/>
        <w:numPr>
          <w:ilvl w:val="0"/>
          <w:numId w:val="1"/>
        </w:numPr>
        <w:suppressAutoHyphens/>
        <w:spacing w:after="200" w:line="276" w:lineRule="auto"/>
        <w:contextualSpacing w:val="0"/>
        <w:textAlignment w:val="baseline"/>
      </w:pPr>
      <w:r>
        <w:t xml:space="preserve">Pour le lot 1, il y a possibilité d’un matériel neuf ou </w:t>
      </w:r>
      <w:r>
        <w:rPr>
          <w:u w:val="single"/>
        </w:rPr>
        <w:t>reconditionné à condition, dans ce cas, que le matériel soit âgé de moins de 3 ans</w:t>
      </w:r>
      <w:r>
        <w:t>.</w:t>
      </w:r>
    </w:p>
    <w:p w14:paraId="0C131ED0" w14:textId="77777777" w:rsidR="00B74228" w:rsidRDefault="00B74228" w:rsidP="00B74228">
      <w:pPr>
        <w:pStyle w:val="Paragraphedeliste"/>
        <w:ind w:left="405"/>
      </w:pPr>
    </w:p>
    <w:p w14:paraId="5491C077" w14:textId="77777777" w:rsidR="00B74228" w:rsidRDefault="00B74228" w:rsidP="00B74228">
      <w:pPr>
        <w:pStyle w:val="Paragraphedeliste"/>
        <w:numPr>
          <w:ilvl w:val="0"/>
          <w:numId w:val="1"/>
        </w:numPr>
        <w:suppressAutoHyphens/>
        <w:spacing w:after="200" w:line="276" w:lineRule="auto"/>
        <w:contextualSpacing w:val="0"/>
        <w:textAlignment w:val="baseline"/>
      </w:pPr>
      <w:r>
        <w:t>Pour une variante : possibilité pour un fournisseur de faire 2 propositions.</w:t>
      </w:r>
    </w:p>
    <w:p w14:paraId="76918A31" w14:textId="77777777" w:rsidR="00B74228" w:rsidRDefault="00B74228" w:rsidP="00B74228"/>
    <w:p w14:paraId="486F6865" w14:textId="77777777" w:rsidR="00B74228" w:rsidRDefault="00B74228" w:rsidP="00B74228">
      <w:pPr>
        <w:pStyle w:val="Paragraphedeliste"/>
        <w:numPr>
          <w:ilvl w:val="0"/>
          <w:numId w:val="1"/>
        </w:numPr>
        <w:suppressAutoHyphens/>
        <w:spacing w:after="200" w:line="276" w:lineRule="auto"/>
        <w:contextualSpacing w:val="0"/>
        <w:textAlignment w:val="baseline"/>
      </w:pPr>
      <w:r>
        <w:t>Obligation de répondre à la proposition de base pour répondre à la variante.</w:t>
      </w:r>
    </w:p>
    <w:p w14:paraId="7504C86C" w14:textId="77777777" w:rsidR="00B74228" w:rsidRDefault="00B74228" w:rsidP="00B74228"/>
    <w:p w14:paraId="5389E05A" w14:textId="77777777" w:rsidR="00B74228" w:rsidRDefault="00B74228" w:rsidP="00B74228">
      <w:pPr>
        <w:pStyle w:val="Paragraphedeliste"/>
        <w:numPr>
          <w:ilvl w:val="0"/>
          <w:numId w:val="1"/>
        </w:numPr>
        <w:suppressAutoHyphens/>
        <w:spacing w:after="200" w:line="276" w:lineRule="auto"/>
        <w:contextualSpacing w:val="0"/>
        <w:textAlignment w:val="baseline"/>
      </w:pPr>
      <w:r>
        <w:t>Un délai de 15 jours pour vérifier le matériel après sa réception est suffisant.</w:t>
      </w:r>
    </w:p>
    <w:p w14:paraId="6B70C61E" w14:textId="77777777" w:rsidR="00B74228" w:rsidRDefault="00B74228" w:rsidP="00B74228">
      <w:pPr>
        <w:pStyle w:val="Paragraphedeliste"/>
      </w:pPr>
    </w:p>
    <w:p w14:paraId="606D5C8A" w14:textId="77777777" w:rsidR="00B74228" w:rsidRDefault="00B74228" w:rsidP="00B74228">
      <w:pPr>
        <w:rPr>
          <w:sz w:val="36"/>
          <w:szCs w:val="36"/>
        </w:rPr>
      </w:pPr>
      <w:r>
        <w:rPr>
          <w:sz w:val="36"/>
          <w:szCs w:val="36"/>
        </w:rPr>
        <w:t xml:space="preserve">Critères d’évaluation : </w:t>
      </w:r>
      <w:r>
        <w:rPr>
          <w:b/>
          <w:sz w:val="36"/>
          <w:szCs w:val="36"/>
        </w:rPr>
        <w:t>lot 2</w:t>
      </w:r>
    </w:p>
    <w:p w14:paraId="5DA64414" w14:textId="70C337DB" w:rsidR="00B74228" w:rsidRDefault="00B74228" w:rsidP="003A2E37">
      <w:pPr>
        <w:rPr>
          <w:b/>
        </w:rPr>
      </w:pPr>
      <w:r>
        <w:rPr>
          <w:b/>
        </w:rPr>
        <w:tab/>
      </w:r>
    </w:p>
    <w:p w14:paraId="4312FDA6" w14:textId="77777777" w:rsidR="003A2E37" w:rsidRDefault="003A2E37" w:rsidP="003A2E37">
      <w:pPr>
        <w:spacing w:line="253" w:lineRule="exact"/>
        <w:ind w:left="20" w:right="1040"/>
        <w:rPr>
          <w:rFonts w:ascii="Arial" w:eastAsia="Arial" w:hAnsi="Arial" w:cs="Arial"/>
          <w:color w:val="000000"/>
          <w:sz w:val="22"/>
        </w:rPr>
      </w:pPr>
    </w:p>
    <w:tbl>
      <w:tblPr>
        <w:tblW w:w="9639" w:type="dxa"/>
        <w:tblInd w:w="-3" w:type="dxa"/>
        <w:tblLayout w:type="fixed"/>
        <w:tblCellMar>
          <w:left w:w="2" w:type="dxa"/>
          <w:right w:w="2" w:type="dxa"/>
        </w:tblCellMar>
        <w:tblLook w:val="04A0" w:firstRow="1" w:lastRow="0" w:firstColumn="1" w:lastColumn="0" w:noHBand="0" w:noVBand="1"/>
      </w:tblPr>
      <w:tblGrid>
        <w:gridCol w:w="7938"/>
        <w:gridCol w:w="1701"/>
      </w:tblGrid>
      <w:tr w:rsidR="003A2E37" w14:paraId="248C3E23" w14:textId="77777777" w:rsidTr="001D138F">
        <w:trPr>
          <w:trHeight w:val="340"/>
        </w:trPr>
        <w:tc>
          <w:tcPr>
            <w:tcW w:w="7938" w:type="dxa"/>
            <w:tcBorders>
              <w:top w:val="single" w:sz="2" w:space="0" w:color="000000"/>
              <w:left w:val="single" w:sz="2" w:space="0" w:color="000000"/>
              <w:right w:val="single" w:sz="2" w:space="0" w:color="000000"/>
            </w:tcBorders>
            <w:shd w:val="clear" w:color="CCCCCC" w:fill="CCCCCC"/>
          </w:tcPr>
          <w:p w14:paraId="4A998FD0" w14:textId="77777777" w:rsidR="003A2E37" w:rsidRDefault="003A2E37" w:rsidP="001D138F">
            <w:pPr>
              <w:widowControl w:val="0"/>
              <w:spacing w:before="60" w:after="20"/>
              <w:jc w:val="center"/>
              <w:rPr>
                <w:rFonts w:ascii="Arial" w:eastAsia="Arial" w:hAnsi="Arial" w:cs="Arial"/>
                <w:color w:val="000000"/>
                <w:sz w:val="22"/>
              </w:rPr>
            </w:pPr>
            <w:r>
              <w:rPr>
                <w:rFonts w:ascii="Arial" w:eastAsia="Arial" w:hAnsi="Arial" w:cs="Arial"/>
                <w:color w:val="000000"/>
                <w:sz w:val="22"/>
              </w:rPr>
              <w:t>Critères</w:t>
            </w:r>
          </w:p>
        </w:tc>
        <w:tc>
          <w:tcPr>
            <w:tcW w:w="1701" w:type="dxa"/>
            <w:tcBorders>
              <w:top w:val="single" w:sz="2" w:space="0" w:color="000000"/>
              <w:left w:val="single" w:sz="2" w:space="0" w:color="000000"/>
              <w:right w:val="single" w:sz="2" w:space="0" w:color="000000"/>
            </w:tcBorders>
            <w:shd w:val="clear" w:color="CCCCCC" w:fill="CCCCCC"/>
          </w:tcPr>
          <w:p w14:paraId="002EF57C" w14:textId="77777777" w:rsidR="003A2E37" w:rsidRDefault="003A2E37" w:rsidP="001D138F">
            <w:pPr>
              <w:widowControl w:val="0"/>
              <w:spacing w:before="60" w:after="20"/>
              <w:jc w:val="center"/>
              <w:rPr>
                <w:rFonts w:ascii="Arial" w:eastAsia="Arial" w:hAnsi="Arial" w:cs="Arial"/>
                <w:color w:val="000000"/>
                <w:sz w:val="22"/>
              </w:rPr>
            </w:pPr>
            <w:r>
              <w:rPr>
                <w:rFonts w:ascii="Arial" w:eastAsia="Arial" w:hAnsi="Arial" w:cs="Arial"/>
                <w:color w:val="000000"/>
                <w:sz w:val="22"/>
              </w:rPr>
              <w:t>Pondération</w:t>
            </w:r>
          </w:p>
        </w:tc>
      </w:tr>
      <w:tr w:rsidR="003A2E37" w:rsidRPr="000E72CE" w14:paraId="14A5A392"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33387F03"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1-Valeur technique</w:t>
            </w:r>
          </w:p>
        </w:tc>
        <w:tc>
          <w:tcPr>
            <w:tcW w:w="1701" w:type="dxa"/>
            <w:tcBorders>
              <w:top w:val="single" w:sz="2" w:space="0" w:color="000000"/>
              <w:left w:val="single" w:sz="2" w:space="0" w:color="000000"/>
              <w:bottom w:val="single" w:sz="2" w:space="0" w:color="000000"/>
              <w:right w:val="single" w:sz="2" w:space="0" w:color="000000"/>
            </w:tcBorders>
          </w:tcPr>
          <w:p w14:paraId="196D6418" w14:textId="39A16462" w:rsidR="003A2E37" w:rsidRPr="00FB2911" w:rsidRDefault="003A2E37" w:rsidP="001D138F">
            <w:pPr>
              <w:widowControl w:val="0"/>
              <w:spacing w:before="120" w:after="40"/>
              <w:ind w:left="80" w:right="80"/>
              <w:rPr>
                <w:rFonts w:ascii="Arial" w:eastAsia="Arial" w:hAnsi="Arial" w:cs="Arial"/>
                <w:color w:val="000000"/>
                <w:sz w:val="20"/>
              </w:rPr>
            </w:pPr>
            <w:r>
              <w:rPr>
                <w:rFonts w:ascii="Arial" w:eastAsia="Arial" w:hAnsi="Arial" w:cs="Arial"/>
                <w:color w:val="000000"/>
                <w:sz w:val="20"/>
              </w:rPr>
              <w:t>2</w:t>
            </w:r>
            <w:r w:rsidRPr="00FB2911">
              <w:rPr>
                <w:rFonts w:ascii="Arial" w:eastAsia="Arial" w:hAnsi="Arial" w:cs="Arial"/>
                <w:color w:val="000000"/>
                <w:sz w:val="20"/>
              </w:rPr>
              <w:t>0.0 %</w:t>
            </w:r>
          </w:p>
        </w:tc>
      </w:tr>
      <w:tr w:rsidR="003A2E37" w:rsidRPr="000E72CE" w14:paraId="183085B4"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3180CA04"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2-Prix des prestations</w:t>
            </w:r>
          </w:p>
        </w:tc>
        <w:tc>
          <w:tcPr>
            <w:tcW w:w="1701" w:type="dxa"/>
            <w:tcBorders>
              <w:top w:val="single" w:sz="2" w:space="0" w:color="000000"/>
              <w:left w:val="single" w:sz="2" w:space="0" w:color="000000"/>
              <w:bottom w:val="single" w:sz="2" w:space="0" w:color="000000"/>
              <w:right w:val="single" w:sz="2" w:space="0" w:color="000000"/>
            </w:tcBorders>
          </w:tcPr>
          <w:p w14:paraId="34D2DB36" w14:textId="0BE096A9" w:rsidR="003A2E37" w:rsidRPr="00FB2911" w:rsidRDefault="003A2E37" w:rsidP="001D138F">
            <w:pPr>
              <w:widowControl w:val="0"/>
              <w:spacing w:before="120" w:after="40"/>
              <w:ind w:left="80" w:right="80"/>
              <w:rPr>
                <w:rFonts w:ascii="Arial" w:eastAsia="Arial" w:hAnsi="Arial" w:cs="Arial"/>
                <w:color w:val="000000"/>
                <w:sz w:val="20"/>
              </w:rPr>
            </w:pPr>
            <w:r>
              <w:rPr>
                <w:rFonts w:ascii="Arial" w:eastAsia="Arial" w:hAnsi="Arial" w:cs="Arial"/>
                <w:color w:val="000000"/>
                <w:sz w:val="20"/>
              </w:rPr>
              <w:t>6</w:t>
            </w:r>
            <w:r w:rsidRPr="00FB2911">
              <w:rPr>
                <w:rFonts w:ascii="Arial" w:eastAsia="Arial" w:hAnsi="Arial" w:cs="Arial"/>
                <w:color w:val="000000"/>
                <w:sz w:val="20"/>
              </w:rPr>
              <w:t>0.0 %</w:t>
            </w:r>
          </w:p>
        </w:tc>
      </w:tr>
      <w:tr w:rsidR="003A2E37" w14:paraId="76C81413"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18861120"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3-Service après-vente</w:t>
            </w:r>
          </w:p>
        </w:tc>
        <w:tc>
          <w:tcPr>
            <w:tcW w:w="1701" w:type="dxa"/>
            <w:tcBorders>
              <w:top w:val="single" w:sz="2" w:space="0" w:color="000000"/>
              <w:left w:val="single" w:sz="2" w:space="0" w:color="000000"/>
              <w:bottom w:val="single" w:sz="2" w:space="0" w:color="000000"/>
              <w:right w:val="single" w:sz="2" w:space="0" w:color="000000"/>
            </w:tcBorders>
          </w:tcPr>
          <w:p w14:paraId="6A4BBE15" w14:textId="7BB52E6E" w:rsidR="003A2E37" w:rsidRDefault="003A2E37" w:rsidP="003A2E37">
            <w:pPr>
              <w:widowControl w:val="0"/>
              <w:spacing w:before="120" w:after="40"/>
              <w:ind w:left="80" w:right="80"/>
              <w:rPr>
                <w:rFonts w:ascii="Arial" w:eastAsia="Arial" w:hAnsi="Arial" w:cs="Arial"/>
                <w:color w:val="000000"/>
                <w:sz w:val="20"/>
              </w:rPr>
            </w:pPr>
            <w:r>
              <w:rPr>
                <w:rFonts w:ascii="Arial" w:eastAsia="Arial" w:hAnsi="Arial" w:cs="Arial"/>
                <w:color w:val="000000"/>
                <w:sz w:val="20"/>
              </w:rPr>
              <w:t>20.0 %</w:t>
            </w:r>
          </w:p>
        </w:tc>
      </w:tr>
    </w:tbl>
    <w:p w14:paraId="394FBD03" w14:textId="77777777" w:rsidR="003A2E37" w:rsidRDefault="003A2E37" w:rsidP="00B74228"/>
    <w:p w14:paraId="4E8E8AC8" w14:textId="77777777" w:rsidR="00B74228" w:rsidRDefault="00B74228" w:rsidP="00B74228">
      <w:pPr>
        <w:jc w:val="both"/>
      </w:pPr>
      <w:r>
        <w:t>Les sous-critères et leurs barèmes de notation sont détaillés dans les annexes à l’Acte d’Engagement pour chaque lot. Ce sont ces sous-critères qui permettront de déterminer un score pour chaque candidature pour chaque lot. Certains sous-critères sont éliminatoires et doivent obligatoirement être validés pour que l’offre soit analysée.</w:t>
      </w:r>
    </w:p>
    <w:p w14:paraId="4D6EFA7D" w14:textId="77777777" w:rsidR="00B74228" w:rsidRDefault="00B74228" w:rsidP="00B74228"/>
    <w:p w14:paraId="358C7377" w14:textId="77777777" w:rsidR="00B74228" w:rsidRDefault="00B74228" w:rsidP="00B74228">
      <w:pPr>
        <w:pStyle w:val="Paragraphedeliste"/>
        <w:numPr>
          <w:ilvl w:val="0"/>
          <w:numId w:val="1"/>
        </w:numPr>
        <w:suppressAutoHyphens/>
        <w:spacing w:after="200" w:line="276" w:lineRule="auto"/>
        <w:contextualSpacing w:val="0"/>
        <w:textAlignment w:val="baseline"/>
      </w:pPr>
      <w:r>
        <w:t>Pour le lot</w:t>
      </w:r>
      <w:bookmarkStart w:id="29" w:name="_GoBack_Copie_1"/>
      <w:bookmarkEnd w:id="29"/>
      <w:r>
        <w:t xml:space="preserve"> 2, le matériel doit obligatoirement être neuf.</w:t>
      </w:r>
    </w:p>
    <w:p w14:paraId="68365ED7" w14:textId="77777777" w:rsidR="00B74228" w:rsidRDefault="00B74228" w:rsidP="00B74228">
      <w:pPr>
        <w:pStyle w:val="Paragraphedeliste"/>
        <w:ind w:left="405"/>
      </w:pPr>
    </w:p>
    <w:p w14:paraId="08E14A4E" w14:textId="77777777" w:rsidR="00B74228" w:rsidRDefault="00B74228" w:rsidP="00B74228">
      <w:pPr>
        <w:pStyle w:val="Paragraphedeliste"/>
        <w:numPr>
          <w:ilvl w:val="0"/>
          <w:numId w:val="1"/>
        </w:numPr>
        <w:suppressAutoHyphens/>
        <w:spacing w:after="200" w:line="276" w:lineRule="auto"/>
        <w:contextualSpacing w:val="0"/>
        <w:textAlignment w:val="baseline"/>
      </w:pPr>
      <w:r>
        <w:t>Pour une variante : possibilité pour un fournisseur de faire 2 propositions.</w:t>
      </w:r>
    </w:p>
    <w:p w14:paraId="45EC50E7" w14:textId="77777777" w:rsidR="00B74228" w:rsidRDefault="00B74228" w:rsidP="00B74228"/>
    <w:p w14:paraId="15E87B19" w14:textId="77777777" w:rsidR="00B74228" w:rsidRDefault="00B74228" w:rsidP="00B74228">
      <w:pPr>
        <w:pStyle w:val="Paragraphedeliste"/>
        <w:numPr>
          <w:ilvl w:val="0"/>
          <w:numId w:val="1"/>
        </w:numPr>
        <w:suppressAutoHyphens/>
        <w:spacing w:after="200" w:line="276" w:lineRule="auto"/>
        <w:contextualSpacing w:val="0"/>
        <w:textAlignment w:val="baseline"/>
      </w:pPr>
      <w:r>
        <w:t>Obligation de répondre à la proposition de base pour répondre à la variante.</w:t>
      </w:r>
    </w:p>
    <w:p w14:paraId="12C72502" w14:textId="77777777" w:rsidR="00B74228" w:rsidRPr="00D56002" w:rsidRDefault="00B74228" w:rsidP="00B74228">
      <w:pPr>
        <w:pStyle w:val="Paragraphedeliste"/>
      </w:pPr>
    </w:p>
    <w:p w14:paraId="7CE376AB" w14:textId="77777777" w:rsidR="00B74228" w:rsidRDefault="00B74228" w:rsidP="00B74228">
      <w:pPr>
        <w:pStyle w:val="Paragraphedeliste"/>
        <w:numPr>
          <w:ilvl w:val="0"/>
          <w:numId w:val="1"/>
        </w:numPr>
        <w:suppressAutoHyphens/>
        <w:spacing w:after="200" w:line="276" w:lineRule="auto"/>
        <w:contextualSpacing w:val="0"/>
        <w:textAlignment w:val="baseline"/>
      </w:pPr>
      <w:r w:rsidRPr="00D56002">
        <w:t>Un délai de 15 jours pour vérifier le matériel après sa réception est suffisant.</w:t>
      </w:r>
    </w:p>
    <w:p w14:paraId="3D4C801F" w14:textId="77777777" w:rsidR="00B74228" w:rsidRPr="00D56002" w:rsidRDefault="00B74228" w:rsidP="00B74228"/>
    <w:p w14:paraId="3ADC04CC" w14:textId="77777777" w:rsidR="00B74228" w:rsidRDefault="00B74228" w:rsidP="00B74228">
      <w:pPr>
        <w:rPr>
          <w:sz w:val="36"/>
          <w:szCs w:val="36"/>
        </w:rPr>
      </w:pPr>
      <w:r>
        <w:rPr>
          <w:sz w:val="36"/>
          <w:szCs w:val="36"/>
        </w:rPr>
        <w:t xml:space="preserve">Critères d’évaluation : </w:t>
      </w:r>
      <w:r>
        <w:rPr>
          <w:b/>
          <w:sz w:val="36"/>
          <w:szCs w:val="36"/>
        </w:rPr>
        <w:t>lot 3</w:t>
      </w:r>
    </w:p>
    <w:p w14:paraId="50DB5684" w14:textId="37DF5158" w:rsidR="00B74228" w:rsidRDefault="00B74228" w:rsidP="003A2E37">
      <w:pPr>
        <w:rPr>
          <w:b/>
        </w:rPr>
      </w:pPr>
      <w:r>
        <w:rPr>
          <w:b/>
        </w:rPr>
        <w:tab/>
      </w:r>
    </w:p>
    <w:p w14:paraId="42BD1F98" w14:textId="77777777" w:rsidR="003A2E37" w:rsidRDefault="003A2E37" w:rsidP="003A2E37">
      <w:pPr>
        <w:spacing w:line="253" w:lineRule="exact"/>
        <w:ind w:left="20" w:right="1040"/>
        <w:rPr>
          <w:rFonts w:ascii="Arial" w:eastAsia="Arial" w:hAnsi="Arial" w:cs="Arial"/>
          <w:color w:val="000000"/>
          <w:sz w:val="22"/>
        </w:rPr>
      </w:pPr>
    </w:p>
    <w:tbl>
      <w:tblPr>
        <w:tblW w:w="9639" w:type="dxa"/>
        <w:tblInd w:w="-3" w:type="dxa"/>
        <w:tblLayout w:type="fixed"/>
        <w:tblCellMar>
          <w:left w:w="2" w:type="dxa"/>
          <w:right w:w="2" w:type="dxa"/>
        </w:tblCellMar>
        <w:tblLook w:val="04A0" w:firstRow="1" w:lastRow="0" w:firstColumn="1" w:lastColumn="0" w:noHBand="0" w:noVBand="1"/>
      </w:tblPr>
      <w:tblGrid>
        <w:gridCol w:w="7938"/>
        <w:gridCol w:w="1701"/>
      </w:tblGrid>
      <w:tr w:rsidR="003A2E37" w14:paraId="0534084C" w14:textId="77777777" w:rsidTr="001D138F">
        <w:trPr>
          <w:trHeight w:val="340"/>
        </w:trPr>
        <w:tc>
          <w:tcPr>
            <w:tcW w:w="7938" w:type="dxa"/>
            <w:tcBorders>
              <w:top w:val="single" w:sz="2" w:space="0" w:color="000000"/>
              <w:left w:val="single" w:sz="2" w:space="0" w:color="000000"/>
              <w:right w:val="single" w:sz="2" w:space="0" w:color="000000"/>
            </w:tcBorders>
            <w:shd w:val="clear" w:color="CCCCCC" w:fill="CCCCCC"/>
          </w:tcPr>
          <w:p w14:paraId="6C71D345" w14:textId="77777777" w:rsidR="003A2E37" w:rsidRDefault="003A2E37" w:rsidP="001D138F">
            <w:pPr>
              <w:widowControl w:val="0"/>
              <w:spacing w:before="60" w:after="20"/>
              <w:jc w:val="center"/>
              <w:rPr>
                <w:rFonts w:ascii="Arial" w:eastAsia="Arial" w:hAnsi="Arial" w:cs="Arial"/>
                <w:color w:val="000000"/>
                <w:sz w:val="22"/>
              </w:rPr>
            </w:pPr>
            <w:r>
              <w:rPr>
                <w:rFonts w:ascii="Arial" w:eastAsia="Arial" w:hAnsi="Arial" w:cs="Arial"/>
                <w:color w:val="000000"/>
                <w:sz w:val="22"/>
              </w:rPr>
              <w:t>Critères</w:t>
            </w:r>
          </w:p>
        </w:tc>
        <w:tc>
          <w:tcPr>
            <w:tcW w:w="1701" w:type="dxa"/>
            <w:tcBorders>
              <w:top w:val="single" w:sz="2" w:space="0" w:color="000000"/>
              <w:left w:val="single" w:sz="2" w:space="0" w:color="000000"/>
              <w:right w:val="single" w:sz="2" w:space="0" w:color="000000"/>
            </w:tcBorders>
            <w:shd w:val="clear" w:color="CCCCCC" w:fill="CCCCCC"/>
          </w:tcPr>
          <w:p w14:paraId="65C30217" w14:textId="77777777" w:rsidR="003A2E37" w:rsidRDefault="003A2E37" w:rsidP="001D138F">
            <w:pPr>
              <w:widowControl w:val="0"/>
              <w:spacing w:before="60" w:after="20"/>
              <w:jc w:val="center"/>
              <w:rPr>
                <w:rFonts w:ascii="Arial" w:eastAsia="Arial" w:hAnsi="Arial" w:cs="Arial"/>
                <w:color w:val="000000"/>
                <w:sz w:val="22"/>
              </w:rPr>
            </w:pPr>
            <w:r>
              <w:rPr>
                <w:rFonts w:ascii="Arial" w:eastAsia="Arial" w:hAnsi="Arial" w:cs="Arial"/>
                <w:color w:val="000000"/>
                <w:sz w:val="22"/>
              </w:rPr>
              <w:t>Pondération</w:t>
            </w:r>
          </w:p>
        </w:tc>
      </w:tr>
      <w:tr w:rsidR="003A2E37" w:rsidRPr="000E72CE" w14:paraId="64973041"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382EFA37"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1-Valeur technique</w:t>
            </w:r>
          </w:p>
        </w:tc>
        <w:tc>
          <w:tcPr>
            <w:tcW w:w="1701" w:type="dxa"/>
            <w:tcBorders>
              <w:top w:val="single" w:sz="2" w:space="0" w:color="000000"/>
              <w:left w:val="single" w:sz="2" w:space="0" w:color="000000"/>
              <w:bottom w:val="single" w:sz="2" w:space="0" w:color="000000"/>
              <w:right w:val="single" w:sz="2" w:space="0" w:color="000000"/>
            </w:tcBorders>
          </w:tcPr>
          <w:p w14:paraId="7D41E911" w14:textId="55DAB50D" w:rsidR="003A2E37" w:rsidRPr="00FB2911" w:rsidRDefault="003A2E37" w:rsidP="001D138F">
            <w:pPr>
              <w:widowControl w:val="0"/>
              <w:spacing w:before="120" w:after="40"/>
              <w:ind w:left="80" w:right="80"/>
              <w:rPr>
                <w:rFonts w:ascii="Arial" w:eastAsia="Arial" w:hAnsi="Arial" w:cs="Arial"/>
                <w:color w:val="000000"/>
                <w:sz w:val="20"/>
              </w:rPr>
            </w:pPr>
            <w:r>
              <w:rPr>
                <w:rFonts w:ascii="Arial" w:eastAsia="Arial" w:hAnsi="Arial" w:cs="Arial"/>
                <w:color w:val="000000"/>
                <w:sz w:val="20"/>
              </w:rPr>
              <w:t>2</w:t>
            </w:r>
            <w:r w:rsidRPr="00FB2911">
              <w:rPr>
                <w:rFonts w:ascii="Arial" w:eastAsia="Arial" w:hAnsi="Arial" w:cs="Arial"/>
                <w:color w:val="000000"/>
                <w:sz w:val="20"/>
              </w:rPr>
              <w:t>0.0 %</w:t>
            </w:r>
          </w:p>
        </w:tc>
      </w:tr>
      <w:tr w:rsidR="003A2E37" w:rsidRPr="000E72CE" w14:paraId="792F4773"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172309DA"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2-Prix des prestations</w:t>
            </w:r>
          </w:p>
        </w:tc>
        <w:tc>
          <w:tcPr>
            <w:tcW w:w="1701" w:type="dxa"/>
            <w:tcBorders>
              <w:top w:val="single" w:sz="2" w:space="0" w:color="000000"/>
              <w:left w:val="single" w:sz="2" w:space="0" w:color="000000"/>
              <w:bottom w:val="single" w:sz="2" w:space="0" w:color="000000"/>
              <w:right w:val="single" w:sz="2" w:space="0" w:color="000000"/>
            </w:tcBorders>
          </w:tcPr>
          <w:p w14:paraId="363DBAAD" w14:textId="02CB7FAB" w:rsidR="003A2E37" w:rsidRPr="00FB2911" w:rsidRDefault="003A2E37" w:rsidP="001D138F">
            <w:pPr>
              <w:widowControl w:val="0"/>
              <w:spacing w:before="120" w:after="40"/>
              <w:ind w:left="80" w:right="80"/>
              <w:rPr>
                <w:rFonts w:ascii="Arial" w:eastAsia="Arial" w:hAnsi="Arial" w:cs="Arial"/>
                <w:color w:val="000000"/>
                <w:sz w:val="20"/>
              </w:rPr>
            </w:pPr>
            <w:r>
              <w:rPr>
                <w:rFonts w:ascii="Arial" w:eastAsia="Arial" w:hAnsi="Arial" w:cs="Arial"/>
                <w:color w:val="000000"/>
                <w:sz w:val="20"/>
              </w:rPr>
              <w:t>6</w:t>
            </w:r>
            <w:r w:rsidRPr="00FB2911">
              <w:rPr>
                <w:rFonts w:ascii="Arial" w:eastAsia="Arial" w:hAnsi="Arial" w:cs="Arial"/>
                <w:color w:val="000000"/>
                <w:sz w:val="20"/>
              </w:rPr>
              <w:t>0.0 %</w:t>
            </w:r>
          </w:p>
        </w:tc>
      </w:tr>
      <w:tr w:rsidR="003A2E37" w14:paraId="13E36868"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25D5075B"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3-Service après-vente</w:t>
            </w:r>
          </w:p>
        </w:tc>
        <w:tc>
          <w:tcPr>
            <w:tcW w:w="1701" w:type="dxa"/>
            <w:tcBorders>
              <w:top w:val="single" w:sz="2" w:space="0" w:color="000000"/>
              <w:left w:val="single" w:sz="2" w:space="0" w:color="000000"/>
              <w:bottom w:val="single" w:sz="2" w:space="0" w:color="000000"/>
              <w:right w:val="single" w:sz="2" w:space="0" w:color="000000"/>
            </w:tcBorders>
          </w:tcPr>
          <w:p w14:paraId="7887FC35" w14:textId="0F2BE794" w:rsidR="003A2E37" w:rsidRDefault="003A2E37" w:rsidP="001D138F">
            <w:pPr>
              <w:widowControl w:val="0"/>
              <w:spacing w:before="120" w:after="40"/>
              <w:ind w:left="80" w:right="80"/>
              <w:rPr>
                <w:rFonts w:ascii="Arial" w:eastAsia="Arial" w:hAnsi="Arial" w:cs="Arial"/>
                <w:color w:val="000000"/>
                <w:sz w:val="20"/>
              </w:rPr>
            </w:pPr>
            <w:r>
              <w:rPr>
                <w:rFonts w:ascii="Arial" w:eastAsia="Arial" w:hAnsi="Arial" w:cs="Arial"/>
                <w:color w:val="000000"/>
                <w:sz w:val="20"/>
              </w:rPr>
              <w:t>2</w:t>
            </w:r>
            <w:r w:rsidRPr="00E67269">
              <w:rPr>
                <w:rFonts w:ascii="Arial" w:eastAsia="Arial" w:hAnsi="Arial" w:cs="Arial"/>
                <w:color w:val="000000"/>
                <w:sz w:val="20"/>
              </w:rPr>
              <w:t>0.0 %</w:t>
            </w:r>
          </w:p>
        </w:tc>
      </w:tr>
    </w:tbl>
    <w:p w14:paraId="7760417C" w14:textId="77777777" w:rsidR="003A2E37" w:rsidRDefault="003A2E37" w:rsidP="00B74228"/>
    <w:p w14:paraId="0992F8F9" w14:textId="77777777" w:rsidR="00B74228" w:rsidRDefault="00B74228" w:rsidP="00B74228">
      <w:pPr>
        <w:jc w:val="both"/>
      </w:pPr>
      <w:r>
        <w:t>Les sous-critères et leurs barèmes de notation sont détaillés dans les annexes à l’Acte d’Engagement pour chaque lot. Ce sont ces sous-critères qui permettront de déterminer un score pour chaque candidature pour chaque lot. Certains sous-critères sont éliminatoires et doivent obligatoirement être validés pour que l’offre soit analysée.</w:t>
      </w:r>
    </w:p>
    <w:p w14:paraId="666614F6" w14:textId="77777777" w:rsidR="00B74228" w:rsidRDefault="00B74228" w:rsidP="00B74228">
      <w:pPr>
        <w:pStyle w:val="Paragraphedeliste"/>
        <w:numPr>
          <w:ilvl w:val="0"/>
          <w:numId w:val="1"/>
        </w:numPr>
        <w:suppressAutoHyphens/>
        <w:spacing w:after="200" w:line="276" w:lineRule="auto"/>
        <w:contextualSpacing w:val="0"/>
        <w:textAlignment w:val="baseline"/>
      </w:pPr>
      <w:r>
        <w:t>Pour le lot</w:t>
      </w:r>
      <w:bookmarkStart w:id="30" w:name="_GoBack_Copie_1_Copie_1"/>
      <w:bookmarkEnd w:id="30"/>
      <w:r>
        <w:t xml:space="preserve"> 3, le matériel doit obligatoirement être neuf.</w:t>
      </w:r>
    </w:p>
    <w:p w14:paraId="753F1D85" w14:textId="77777777" w:rsidR="00B74228" w:rsidRDefault="00B74228" w:rsidP="00B74228">
      <w:pPr>
        <w:pStyle w:val="Paragraphedeliste"/>
        <w:ind w:left="405"/>
      </w:pPr>
    </w:p>
    <w:p w14:paraId="115C76B3" w14:textId="77777777" w:rsidR="00B74228" w:rsidRDefault="00B74228" w:rsidP="00B74228">
      <w:pPr>
        <w:pStyle w:val="Paragraphedeliste"/>
        <w:numPr>
          <w:ilvl w:val="0"/>
          <w:numId w:val="1"/>
        </w:numPr>
        <w:suppressAutoHyphens/>
        <w:spacing w:after="200" w:line="276" w:lineRule="auto"/>
        <w:contextualSpacing w:val="0"/>
        <w:textAlignment w:val="baseline"/>
      </w:pPr>
      <w:r>
        <w:t>Pour une variante : possibilité pour un fournisseur de faire 2 propositions.</w:t>
      </w:r>
    </w:p>
    <w:p w14:paraId="23425C6A" w14:textId="77777777" w:rsidR="00B74228" w:rsidRDefault="00B74228" w:rsidP="00B74228"/>
    <w:p w14:paraId="43E00881" w14:textId="77777777" w:rsidR="00B74228" w:rsidRDefault="00B74228" w:rsidP="00B74228">
      <w:pPr>
        <w:pStyle w:val="Paragraphedeliste"/>
        <w:numPr>
          <w:ilvl w:val="0"/>
          <w:numId w:val="1"/>
        </w:numPr>
        <w:suppressAutoHyphens/>
        <w:spacing w:after="200" w:line="276" w:lineRule="auto"/>
        <w:contextualSpacing w:val="0"/>
        <w:textAlignment w:val="baseline"/>
      </w:pPr>
      <w:r>
        <w:t>Obligation de répondre à la proposition de base pour répondre à la variante.</w:t>
      </w:r>
    </w:p>
    <w:p w14:paraId="04B306F9" w14:textId="77777777" w:rsidR="00B74228" w:rsidRPr="00D56002" w:rsidRDefault="00B74228" w:rsidP="00B74228">
      <w:pPr>
        <w:pStyle w:val="Paragraphedeliste"/>
      </w:pPr>
    </w:p>
    <w:p w14:paraId="631F2438" w14:textId="77777777" w:rsidR="00B74228" w:rsidRPr="00D56002" w:rsidRDefault="00B74228" w:rsidP="00B74228">
      <w:pPr>
        <w:pStyle w:val="Paragraphedeliste"/>
        <w:numPr>
          <w:ilvl w:val="0"/>
          <w:numId w:val="1"/>
        </w:numPr>
        <w:suppressAutoHyphens/>
        <w:spacing w:after="200" w:line="276" w:lineRule="auto"/>
        <w:contextualSpacing w:val="0"/>
        <w:textAlignment w:val="baseline"/>
      </w:pPr>
      <w:r w:rsidRPr="00D56002">
        <w:t>Un délai de 15 jours pour vérifier le matériel après sa réception est suffisant.</w:t>
      </w:r>
    </w:p>
    <w:p w14:paraId="3CBD672A" w14:textId="77777777" w:rsidR="00B74228" w:rsidRDefault="00B74228" w:rsidP="00B74228">
      <w:pPr>
        <w:rPr>
          <w:sz w:val="36"/>
          <w:szCs w:val="36"/>
        </w:rPr>
      </w:pPr>
      <w:r>
        <w:rPr>
          <w:sz w:val="36"/>
          <w:szCs w:val="36"/>
        </w:rPr>
        <w:t xml:space="preserve">Critères d’évaluation : </w:t>
      </w:r>
      <w:r>
        <w:rPr>
          <w:b/>
          <w:sz w:val="36"/>
          <w:szCs w:val="36"/>
        </w:rPr>
        <w:t>lot 4</w:t>
      </w:r>
    </w:p>
    <w:p w14:paraId="7A49474A" w14:textId="73986172" w:rsidR="00B74228" w:rsidRDefault="00B74228" w:rsidP="003A2E37">
      <w:pPr>
        <w:rPr>
          <w:b/>
        </w:rPr>
      </w:pPr>
      <w:r>
        <w:rPr>
          <w:b/>
        </w:rPr>
        <w:tab/>
      </w:r>
    </w:p>
    <w:p w14:paraId="53D5170C" w14:textId="77777777" w:rsidR="003A2E37" w:rsidRDefault="003A2E37" w:rsidP="003A2E37">
      <w:pPr>
        <w:spacing w:line="253" w:lineRule="exact"/>
        <w:ind w:left="20" w:right="1040"/>
        <w:rPr>
          <w:rFonts w:ascii="Arial" w:eastAsia="Arial" w:hAnsi="Arial" w:cs="Arial"/>
          <w:color w:val="000000"/>
          <w:sz w:val="22"/>
        </w:rPr>
      </w:pPr>
    </w:p>
    <w:tbl>
      <w:tblPr>
        <w:tblW w:w="9639" w:type="dxa"/>
        <w:tblInd w:w="-3" w:type="dxa"/>
        <w:tblLayout w:type="fixed"/>
        <w:tblCellMar>
          <w:left w:w="2" w:type="dxa"/>
          <w:right w:w="2" w:type="dxa"/>
        </w:tblCellMar>
        <w:tblLook w:val="04A0" w:firstRow="1" w:lastRow="0" w:firstColumn="1" w:lastColumn="0" w:noHBand="0" w:noVBand="1"/>
      </w:tblPr>
      <w:tblGrid>
        <w:gridCol w:w="7938"/>
        <w:gridCol w:w="1701"/>
      </w:tblGrid>
      <w:tr w:rsidR="003A2E37" w14:paraId="01A07D4E" w14:textId="77777777" w:rsidTr="001D138F">
        <w:trPr>
          <w:trHeight w:val="340"/>
        </w:trPr>
        <w:tc>
          <w:tcPr>
            <w:tcW w:w="7938" w:type="dxa"/>
            <w:tcBorders>
              <w:top w:val="single" w:sz="2" w:space="0" w:color="000000"/>
              <w:left w:val="single" w:sz="2" w:space="0" w:color="000000"/>
              <w:right w:val="single" w:sz="2" w:space="0" w:color="000000"/>
            </w:tcBorders>
            <w:shd w:val="clear" w:color="CCCCCC" w:fill="CCCCCC"/>
          </w:tcPr>
          <w:p w14:paraId="30E21162" w14:textId="77777777" w:rsidR="003A2E37" w:rsidRDefault="003A2E37" w:rsidP="001D138F">
            <w:pPr>
              <w:widowControl w:val="0"/>
              <w:spacing w:before="60" w:after="20"/>
              <w:jc w:val="center"/>
              <w:rPr>
                <w:rFonts w:ascii="Arial" w:eastAsia="Arial" w:hAnsi="Arial" w:cs="Arial"/>
                <w:color w:val="000000"/>
                <w:sz w:val="22"/>
              </w:rPr>
            </w:pPr>
            <w:r>
              <w:rPr>
                <w:rFonts w:ascii="Arial" w:eastAsia="Arial" w:hAnsi="Arial" w:cs="Arial"/>
                <w:color w:val="000000"/>
                <w:sz w:val="22"/>
              </w:rPr>
              <w:t>Critères</w:t>
            </w:r>
          </w:p>
        </w:tc>
        <w:tc>
          <w:tcPr>
            <w:tcW w:w="1701" w:type="dxa"/>
            <w:tcBorders>
              <w:top w:val="single" w:sz="2" w:space="0" w:color="000000"/>
              <w:left w:val="single" w:sz="2" w:space="0" w:color="000000"/>
              <w:right w:val="single" w:sz="2" w:space="0" w:color="000000"/>
            </w:tcBorders>
            <w:shd w:val="clear" w:color="CCCCCC" w:fill="CCCCCC"/>
          </w:tcPr>
          <w:p w14:paraId="6BC1B743" w14:textId="77777777" w:rsidR="003A2E37" w:rsidRDefault="003A2E37" w:rsidP="001D138F">
            <w:pPr>
              <w:widowControl w:val="0"/>
              <w:spacing w:before="60" w:after="20"/>
              <w:jc w:val="center"/>
              <w:rPr>
                <w:rFonts w:ascii="Arial" w:eastAsia="Arial" w:hAnsi="Arial" w:cs="Arial"/>
                <w:color w:val="000000"/>
                <w:sz w:val="22"/>
              </w:rPr>
            </w:pPr>
            <w:r>
              <w:rPr>
                <w:rFonts w:ascii="Arial" w:eastAsia="Arial" w:hAnsi="Arial" w:cs="Arial"/>
                <w:color w:val="000000"/>
                <w:sz w:val="22"/>
              </w:rPr>
              <w:t>Pondération</w:t>
            </w:r>
          </w:p>
        </w:tc>
      </w:tr>
      <w:tr w:rsidR="003A2E37" w:rsidRPr="000E72CE" w14:paraId="5FB16E66"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04F3C579"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1-Valeur technique</w:t>
            </w:r>
          </w:p>
        </w:tc>
        <w:tc>
          <w:tcPr>
            <w:tcW w:w="1701" w:type="dxa"/>
            <w:tcBorders>
              <w:top w:val="single" w:sz="2" w:space="0" w:color="000000"/>
              <w:left w:val="single" w:sz="2" w:space="0" w:color="000000"/>
              <w:bottom w:val="single" w:sz="2" w:space="0" w:color="000000"/>
              <w:right w:val="single" w:sz="2" w:space="0" w:color="000000"/>
            </w:tcBorders>
          </w:tcPr>
          <w:p w14:paraId="16EB65EA" w14:textId="29FE9449" w:rsidR="003A2E37" w:rsidRPr="00FB2911" w:rsidRDefault="003A2E37" w:rsidP="001D138F">
            <w:pPr>
              <w:widowControl w:val="0"/>
              <w:spacing w:before="120" w:after="40"/>
              <w:ind w:left="80" w:right="80"/>
              <w:rPr>
                <w:rFonts w:ascii="Arial" w:eastAsia="Arial" w:hAnsi="Arial" w:cs="Arial"/>
                <w:color w:val="000000"/>
                <w:sz w:val="20"/>
              </w:rPr>
            </w:pPr>
            <w:r>
              <w:rPr>
                <w:rFonts w:ascii="Arial" w:eastAsia="Arial" w:hAnsi="Arial" w:cs="Arial"/>
                <w:color w:val="000000"/>
                <w:sz w:val="20"/>
              </w:rPr>
              <w:t>2</w:t>
            </w:r>
            <w:r w:rsidRPr="00FB2911">
              <w:rPr>
                <w:rFonts w:ascii="Arial" w:eastAsia="Arial" w:hAnsi="Arial" w:cs="Arial"/>
                <w:color w:val="000000"/>
                <w:sz w:val="20"/>
              </w:rPr>
              <w:t>0.0 %</w:t>
            </w:r>
          </w:p>
        </w:tc>
      </w:tr>
      <w:tr w:rsidR="003A2E37" w:rsidRPr="000E72CE" w14:paraId="24A62570"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34E515F4"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2-Prix des prestations</w:t>
            </w:r>
          </w:p>
        </w:tc>
        <w:tc>
          <w:tcPr>
            <w:tcW w:w="1701" w:type="dxa"/>
            <w:tcBorders>
              <w:top w:val="single" w:sz="2" w:space="0" w:color="000000"/>
              <w:left w:val="single" w:sz="2" w:space="0" w:color="000000"/>
              <w:bottom w:val="single" w:sz="2" w:space="0" w:color="000000"/>
              <w:right w:val="single" w:sz="2" w:space="0" w:color="000000"/>
            </w:tcBorders>
          </w:tcPr>
          <w:p w14:paraId="538807F5" w14:textId="4DF069FF" w:rsidR="003A2E37" w:rsidRPr="00FB2911" w:rsidRDefault="003A2E37" w:rsidP="001D138F">
            <w:pPr>
              <w:widowControl w:val="0"/>
              <w:spacing w:before="120" w:after="40"/>
              <w:ind w:left="80" w:right="80"/>
              <w:rPr>
                <w:rFonts w:ascii="Arial" w:eastAsia="Arial" w:hAnsi="Arial" w:cs="Arial"/>
                <w:color w:val="000000"/>
                <w:sz w:val="20"/>
              </w:rPr>
            </w:pPr>
            <w:r>
              <w:rPr>
                <w:rFonts w:ascii="Arial" w:eastAsia="Arial" w:hAnsi="Arial" w:cs="Arial"/>
                <w:color w:val="000000"/>
                <w:sz w:val="20"/>
              </w:rPr>
              <w:t>6</w:t>
            </w:r>
            <w:r w:rsidRPr="00FB2911">
              <w:rPr>
                <w:rFonts w:ascii="Arial" w:eastAsia="Arial" w:hAnsi="Arial" w:cs="Arial"/>
                <w:color w:val="000000"/>
                <w:sz w:val="20"/>
              </w:rPr>
              <w:t>0.0 %</w:t>
            </w:r>
          </w:p>
        </w:tc>
      </w:tr>
      <w:tr w:rsidR="003A2E37" w14:paraId="0C5CA0C7" w14:textId="77777777" w:rsidTr="001D138F">
        <w:trPr>
          <w:trHeight w:val="400"/>
        </w:trPr>
        <w:tc>
          <w:tcPr>
            <w:tcW w:w="7938" w:type="dxa"/>
            <w:tcBorders>
              <w:top w:val="single" w:sz="2" w:space="0" w:color="000000"/>
              <w:left w:val="single" w:sz="2" w:space="0" w:color="000000"/>
              <w:bottom w:val="single" w:sz="2" w:space="0" w:color="000000"/>
              <w:right w:val="single" w:sz="2" w:space="0" w:color="000000"/>
            </w:tcBorders>
          </w:tcPr>
          <w:p w14:paraId="14F6EE97" w14:textId="77777777" w:rsidR="003A2E37" w:rsidRPr="000E72CE" w:rsidRDefault="003A2E37" w:rsidP="001D138F">
            <w:pPr>
              <w:widowControl w:val="0"/>
              <w:spacing w:before="120" w:after="40"/>
              <w:ind w:left="80" w:right="80"/>
              <w:rPr>
                <w:rFonts w:ascii="Arial" w:eastAsia="Arial" w:hAnsi="Arial" w:cs="Arial"/>
                <w:color w:val="000000"/>
                <w:sz w:val="20"/>
              </w:rPr>
            </w:pPr>
            <w:r w:rsidRPr="000E72CE">
              <w:rPr>
                <w:rFonts w:ascii="Arial" w:eastAsia="Arial" w:hAnsi="Arial" w:cs="Arial"/>
                <w:color w:val="000000"/>
                <w:sz w:val="20"/>
              </w:rPr>
              <w:t>3-Service après-vente</w:t>
            </w:r>
          </w:p>
        </w:tc>
        <w:tc>
          <w:tcPr>
            <w:tcW w:w="1701" w:type="dxa"/>
            <w:tcBorders>
              <w:top w:val="single" w:sz="2" w:space="0" w:color="000000"/>
              <w:left w:val="single" w:sz="2" w:space="0" w:color="000000"/>
              <w:bottom w:val="single" w:sz="2" w:space="0" w:color="000000"/>
              <w:right w:val="single" w:sz="2" w:space="0" w:color="000000"/>
            </w:tcBorders>
          </w:tcPr>
          <w:p w14:paraId="602BD379" w14:textId="18C90A2F" w:rsidR="003A2E37" w:rsidRDefault="003A2E37" w:rsidP="001D138F">
            <w:pPr>
              <w:widowControl w:val="0"/>
              <w:spacing w:before="120" w:after="40"/>
              <w:ind w:left="80" w:right="80"/>
              <w:rPr>
                <w:rFonts w:ascii="Arial" w:eastAsia="Arial" w:hAnsi="Arial" w:cs="Arial"/>
                <w:color w:val="000000"/>
                <w:sz w:val="20"/>
              </w:rPr>
            </w:pPr>
            <w:r>
              <w:rPr>
                <w:rFonts w:ascii="Arial" w:eastAsia="Arial" w:hAnsi="Arial" w:cs="Arial"/>
                <w:color w:val="000000"/>
                <w:sz w:val="20"/>
              </w:rPr>
              <w:t>2</w:t>
            </w:r>
            <w:r w:rsidRPr="00E67269">
              <w:rPr>
                <w:rFonts w:ascii="Arial" w:eastAsia="Arial" w:hAnsi="Arial" w:cs="Arial"/>
                <w:color w:val="000000"/>
                <w:sz w:val="20"/>
              </w:rPr>
              <w:t>0.0 %</w:t>
            </w:r>
          </w:p>
        </w:tc>
      </w:tr>
    </w:tbl>
    <w:p w14:paraId="534D341D" w14:textId="77777777" w:rsidR="003A2E37" w:rsidRDefault="003A2E37" w:rsidP="00B74228"/>
    <w:p w14:paraId="6840DF63" w14:textId="77777777" w:rsidR="00B74228" w:rsidRDefault="00B74228" w:rsidP="00B74228">
      <w:pPr>
        <w:jc w:val="both"/>
      </w:pPr>
      <w:r>
        <w:t>Les sous-critères et leurs barèmes de notation sont détaillés dans les annexes à l’Acte d’Engagement pour chaque lot. Ce sont ces sous-critères qui permettront de déterminer un score pour chaque candidature pour chaque lot. Certains sous-critères sont éliminatoires et doivent obligatoirement être validés pour que l’offre soit analysée.</w:t>
      </w:r>
    </w:p>
    <w:p w14:paraId="1BC6BC66" w14:textId="77777777" w:rsidR="00B74228" w:rsidRDefault="00B74228" w:rsidP="00B74228"/>
    <w:p w14:paraId="323649F5" w14:textId="77777777" w:rsidR="00B74228" w:rsidRDefault="00B74228" w:rsidP="00B74228">
      <w:pPr>
        <w:pStyle w:val="Paragraphedeliste"/>
        <w:numPr>
          <w:ilvl w:val="0"/>
          <w:numId w:val="1"/>
        </w:numPr>
        <w:suppressAutoHyphens/>
        <w:spacing w:after="200" w:line="276" w:lineRule="auto"/>
        <w:contextualSpacing w:val="0"/>
        <w:textAlignment w:val="baseline"/>
      </w:pPr>
      <w:r>
        <w:t>Pour le lot</w:t>
      </w:r>
      <w:bookmarkStart w:id="31" w:name="_GoBack_Copie_1_Copie_2"/>
      <w:bookmarkEnd w:id="31"/>
      <w:r>
        <w:t xml:space="preserve"> 4, le matériel doit obligatoirement être neuf.</w:t>
      </w:r>
    </w:p>
    <w:p w14:paraId="67BFF89E" w14:textId="77777777" w:rsidR="00B74228" w:rsidRDefault="00B74228" w:rsidP="00B74228">
      <w:pPr>
        <w:pStyle w:val="Paragraphedeliste"/>
        <w:ind w:left="405"/>
      </w:pPr>
    </w:p>
    <w:p w14:paraId="4AB1C394" w14:textId="77777777" w:rsidR="00B74228" w:rsidRDefault="00B74228" w:rsidP="00B74228">
      <w:pPr>
        <w:pStyle w:val="Paragraphedeliste"/>
        <w:numPr>
          <w:ilvl w:val="0"/>
          <w:numId w:val="1"/>
        </w:numPr>
        <w:suppressAutoHyphens/>
        <w:spacing w:after="200" w:line="276" w:lineRule="auto"/>
        <w:contextualSpacing w:val="0"/>
        <w:textAlignment w:val="baseline"/>
      </w:pPr>
      <w:r>
        <w:t>Pour une variante : possibilité pour un fournisseur de faire 2 propositions.</w:t>
      </w:r>
    </w:p>
    <w:p w14:paraId="20A8DA1C" w14:textId="77777777" w:rsidR="00B74228" w:rsidRDefault="00B74228" w:rsidP="00B74228"/>
    <w:p w14:paraId="08C439BE" w14:textId="77777777" w:rsidR="00B74228" w:rsidRDefault="00B74228" w:rsidP="00B74228">
      <w:pPr>
        <w:pStyle w:val="Paragraphedeliste"/>
        <w:numPr>
          <w:ilvl w:val="0"/>
          <w:numId w:val="1"/>
        </w:numPr>
        <w:suppressAutoHyphens/>
        <w:spacing w:after="200" w:line="276" w:lineRule="auto"/>
        <w:contextualSpacing w:val="0"/>
        <w:textAlignment w:val="baseline"/>
      </w:pPr>
      <w:r>
        <w:t>Obligation de répondre à la proposition de base pour répondre à la variante.</w:t>
      </w:r>
    </w:p>
    <w:p w14:paraId="6AE7F222" w14:textId="77777777" w:rsidR="00B74228" w:rsidRPr="00D56002" w:rsidRDefault="00B74228" w:rsidP="00B74228">
      <w:pPr>
        <w:pStyle w:val="Paragraphedeliste"/>
        <w:rPr>
          <w:b/>
        </w:rPr>
      </w:pPr>
    </w:p>
    <w:p w14:paraId="5FB5D165" w14:textId="23CF47E2" w:rsidR="00DD28BE" w:rsidRPr="003A2E37" w:rsidRDefault="00B74228" w:rsidP="00E04171">
      <w:pPr>
        <w:pStyle w:val="Paragraphedeliste"/>
        <w:numPr>
          <w:ilvl w:val="0"/>
          <w:numId w:val="1"/>
        </w:numPr>
        <w:tabs>
          <w:tab w:val="left" w:pos="5388"/>
        </w:tabs>
        <w:suppressAutoHyphens/>
        <w:spacing w:after="200" w:line="253" w:lineRule="exact"/>
        <w:ind w:left="20" w:right="1040"/>
        <w:contextualSpacing w:val="0"/>
        <w:textAlignment w:val="baseline"/>
        <w:rPr>
          <w:rFonts w:ascii="Arial" w:eastAsia="Arial" w:hAnsi="Arial" w:cs="Arial"/>
          <w:color w:val="000000"/>
          <w:sz w:val="22"/>
        </w:rPr>
      </w:pPr>
      <w:r w:rsidRPr="00D56002">
        <w:t>Un délai de 15 jours pour vérifier le matériel après sa réception est suffisant.</w:t>
      </w:r>
    </w:p>
    <w:p w14:paraId="5D2EFB36" w14:textId="77777777" w:rsidR="00DD28BE" w:rsidRDefault="009442F4">
      <w:pPr>
        <w:spacing w:after="120" w:line="240" w:lineRule="exact"/>
      </w:pPr>
      <w:r>
        <w:t xml:space="preserve"> </w:t>
      </w:r>
    </w:p>
    <w:p w14:paraId="6E68398E" w14:textId="77777777" w:rsidR="00DD28BE" w:rsidRDefault="009442F4">
      <w:pPr>
        <w:pStyle w:val="ParagrapheIndent2"/>
        <w:spacing w:after="240" w:line="253" w:lineRule="exact"/>
        <w:ind w:left="20" w:right="20"/>
        <w:jc w:val="both"/>
        <w:rPr>
          <w:color w:val="000000"/>
        </w:rPr>
      </w:pPr>
      <w:r>
        <w:rPr>
          <w:color w:val="000000"/>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2F74EEDA" w14:textId="77777777" w:rsidR="00DD28BE" w:rsidRDefault="009442F4">
      <w:pPr>
        <w:pStyle w:val="Titre2"/>
        <w:spacing w:before="20" w:after="120"/>
        <w:ind w:left="300" w:right="20"/>
        <w:rPr>
          <w:rFonts w:eastAsia="Arial"/>
          <w:i w:val="0"/>
          <w:color w:val="000000"/>
          <w:sz w:val="24"/>
        </w:rPr>
      </w:pPr>
      <w:bookmarkStart w:id="32" w:name="_Toc256000026"/>
      <w:r>
        <w:rPr>
          <w:rFonts w:eastAsia="Arial"/>
          <w:i w:val="0"/>
          <w:color w:val="000000"/>
          <w:sz w:val="24"/>
        </w:rPr>
        <w:t>8.3 - Suite à donner à la consultation</w:t>
      </w:r>
      <w:bookmarkEnd w:id="32"/>
    </w:p>
    <w:p w14:paraId="33FBFB2F" w14:textId="77777777" w:rsidR="00DD28BE" w:rsidRDefault="009442F4">
      <w:pPr>
        <w:pStyle w:val="ParagrapheIndent2"/>
        <w:spacing w:after="240" w:line="253" w:lineRule="exact"/>
        <w:ind w:left="20" w:right="20"/>
        <w:jc w:val="both"/>
        <w:rPr>
          <w:color w:val="000000"/>
        </w:rPr>
      </w:pPr>
      <w:r>
        <w:rPr>
          <w:color w:val="000000"/>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64E019AE" w14:textId="77777777" w:rsidR="00DD28BE" w:rsidRDefault="009442F4">
      <w:pPr>
        <w:pStyle w:val="Titre1"/>
        <w:spacing w:before="20" w:after="180"/>
        <w:ind w:left="20" w:right="20"/>
        <w:rPr>
          <w:rFonts w:eastAsia="Arial"/>
          <w:color w:val="000000"/>
          <w:sz w:val="28"/>
        </w:rPr>
      </w:pPr>
      <w:bookmarkStart w:id="33" w:name="_Toc256000027"/>
      <w:r>
        <w:rPr>
          <w:rFonts w:eastAsia="Arial"/>
          <w:color w:val="000000"/>
          <w:sz w:val="28"/>
        </w:rPr>
        <w:t>9 - Renseignements complémentaires</w:t>
      </w:r>
      <w:bookmarkEnd w:id="33"/>
    </w:p>
    <w:p w14:paraId="04461FBA" w14:textId="77777777" w:rsidR="00DD28BE" w:rsidRDefault="009442F4">
      <w:pPr>
        <w:pStyle w:val="Titre2"/>
        <w:spacing w:before="20" w:after="120"/>
        <w:ind w:left="300" w:right="20"/>
        <w:rPr>
          <w:rFonts w:eastAsia="Arial"/>
          <w:i w:val="0"/>
          <w:color w:val="000000"/>
          <w:sz w:val="24"/>
        </w:rPr>
      </w:pPr>
      <w:bookmarkStart w:id="34" w:name="_Toc256000028"/>
      <w:r>
        <w:rPr>
          <w:rFonts w:eastAsia="Arial"/>
          <w:i w:val="0"/>
          <w:color w:val="000000"/>
          <w:sz w:val="24"/>
        </w:rPr>
        <w:t>9.1 - Adresses supplémentaires et points de contact</w:t>
      </w:r>
      <w:bookmarkEnd w:id="34"/>
    </w:p>
    <w:p w14:paraId="113BCB2F" w14:textId="77777777" w:rsidR="00DD28BE" w:rsidRDefault="009442F4">
      <w:pPr>
        <w:pStyle w:val="ParagrapheIndent2"/>
        <w:spacing w:line="253" w:lineRule="exact"/>
        <w:ind w:left="20" w:right="20"/>
        <w:jc w:val="both"/>
        <w:rPr>
          <w:color w:val="000000"/>
        </w:rPr>
      </w:pPr>
      <w:r>
        <w:rPr>
          <w:color w:val="000000"/>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3DEE8EC9" w14:textId="77777777" w:rsidR="00DD28BE" w:rsidRDefault="00DD28BE">
      <w:pPr>
        <w:pStyle w:val="ParagrapheIndent2"/>
        <w:spacing w:line="253" w:lineRule="exact"/>
        <w:ind w:left="20" w:right="20"/>
        <w:jc w:val="both"/>
        <w:rPr>
          <w:color w:val="000000"/>
        </w:rPr>
      </w:pPr>
    </w:p>
    <w:p w14:paraId="03E87E27" w14:textId="77777777" w:rsidR="00DD28BE" w:rsidRDefault="009442F4">
      <w:pPr>
        <w:pStyle w:val="ParagrapheIndent2"/>
        <w:spacing w:after="240" w:line="253" w:lineRule="exact"/>
        <w:ind w:left="20" w:right="20"/>
        <w:jc w:val="both"/>
        <w:rPr>
          <w:color w:val="000000"/>
        </w:rPr>
      </w:pPr>
      <w:r>
        <w:rPr>
          <w:color w:val="000000"/>
        </w:rPr>
        <w:t>Cette demande doit intervenir au plus tard 10 jours avant la date limite de réception des offres.</w:t>
      </w:r>
    </w:p>
    <w:p w14:paraId="093C5C70" w14:textId="77777777" w:rsidR="00DD28BE" w:rsidRDefault="009442F4">
      <w:pPr>
        <w:pStyle w:val="ParagrapheIndent2"/>
        <w:spacing w:after="240" w:line="253" w:lineRule="exact"/>
        <w:ind w:left="20" w:right="20"/>
        <w:jc w:val="both"/>
        <w:rPr>
          <w:color w:val="000000"/>
        </w:rPr>
      </w:pPr>
      <w:r>
        <w:rPr>
          <w:color w:val="000000"/>
        </w:rPr>
        <w:t>Une réponse sera alors adressée, à toutes les entreprises ayant retiré le dossier ou l'ayant téléchargé après identification, 6 jours au plus tard avant la date limite de réception des offres.</w:t>
      </w:r>
    </w:p>
    <w:p w14:paraId="6BB2E5FD" w14:textId="77777777" w:rsidR="00DD28BE" w:rsidRDefault="009442F4">
      <w:pPr>
        <w:pStyle w:val="ParagrapheIndent2"/>
        <w:spacing w:after="240" w:line="253" w:lineRule="exact"/>
        <w:ind w:left="20" w:right="20"/>
        <w:jc w:val="both"/>
        <w:rPr>
          <w:color w:val="000000"/>
        </w:rPr>
      </w:pPr>
      <w:r>
        <w:rPr>
          <w:color w:val="000000"/>
        </w:rPr>
        <w:t>Les documents de la consultation sont communiqués aux candidats dans les 6 jours qui suivent la réception de leur demande.</w:t>
      </w:r>
    </w:p>
    <w:p w14:paraId="492E08AE" w14:textId="77777777" w:rsidR="00DD28BE" w:rsidRDefault="009442F4">
      <w:pPr>
        <w:pStyle w:val="Titre2"/>
        <w:spacing w:before="20" w:after="120"/>
        <w:ind w:left="300" w:right="20"/>
        <w:rPr>
          <w:rFonts w:eastAsia="Arial"/>
          <w:i w:val="0"/>
          <w:color w:val="000000"/>
          <w:sz w:val="24"/>
        </w:rPr>
      </w:pPr>
      <w:bookmarkStart w:id="35" w:name="_Toc256000029"/>
      <w:r>
        <w:rPr>
          <w:rFonts w:eastAsia="Arial"/>
          <w:i w:val="0"/>
          <w:color w:val="000000"/>
          <w:sz w:val="24"/>
        </w:rPr>
        <w:t>9.2 - Procédures de recours</w:t>
      </w:r>
      <w:bookmarkEnd w:id="35"/>
    </w:p>
    <w:p w14:paraId="060FD91A" w14:textId="77777777" w:rsidR="00DD28BE" w:rsidRDefault="00DD28BE">
      <w:pPr>
        <w:rPr>
          <w:rFonts w:eastAsia="Arial"/>
          <w:i/>
        </w:rPr>
      </w:pPr>
    </w:p>
    <w:p w14:paraId="29085E6A" w14:textId="77777777" w:rsidR="00DD28BE" w:rsidRDefault="009442F4">
      <w:pPr>
        <w:pStyle w:val="ParagrapheIndent2"/>
        <w:spacing w:line="253" w:lineRule="exact"/>
        <w:ind w:left="20" w:right="20"/>
        <w:jc w:val="both"/>
        <w:rPr>
          <w:color w:val="000000"/>
        </w:rPr>
      </w:pPr>
      <w:r>
        <w:rPr>
          <w:color w:val="000000"/>
        </w:rPr>
        <w:t>Le tribunal territorialement compétent est :</w:t>
      </w:r>
    </w:p>
    <w:p w14:paraId="411AC32D" w14:textId="77777777" w:rsidR="00DD28BE" w:rsidRDefault="009442F4">
      <w:pPr>
        <w:pStyle w:val="ParagrapheIndent2"/>
        <w:spacing w:line="253" w:lineRule="exact"/>
        <w:ind w:left="20" w:right="20"/>
        <w:jc w:val="both"/>
        <w:rPr>
          <w:color w:val="000000"/>
        </w:rPr>
      </w:pPr>
      <w:r>
        <w:rPr>
          <w:color w:val="000000"/>
        </w:rPr>
        <w:t>TRIBUNAL ADMINISTRATIF DE RENNES</w:t>
      </w:r>
    </w:p>
    <w:p w14:paraId="3ABE77CE" w14:textId="77777777" w:rsidR="00DD28BE" w:rsidRDefault="009442F4">
      <w:pPr>
        <w:pStyle w:val="ParagrapheIndent2"/>
        <w:spacing w:line="253" w:lineRule="exact"/>
        <w:ind w:left="20" w:right="20"/>
        <w:jc w:val="both"/>
        <w:rPr>
          <w:color w:val="000000"/>
        </w:rPr>
      </w:pPr>
      <w:r>
        <w:rPr>
          <w:color w:val="000000"/>
        </w:rPr>
        <w:t>3 Contour de la Motte</w:t>
      </w:r>
    </w:p>
    <w:p w14:paraId="3806E73D" w14:textId="77777777" w:rsidR="00DD28BE" w:rsidRDefault="009442F4">
      <w:pPr>
        <w:pStyle w:val="ParagrapheIndent2"/>
        <w:spacing w:line="253" w:lineRule="exact"/>
        <w:ind w:left="20" w:right="20"/>
        <w:jc w:val="both"/>
        <w:rPr>
          <w:color w:val="000000"/>
        </w:rPr>
      </w:pPr>
      <w:r>
        <w:rPr>
          <w:color w:val="000000"/>
        </w:rPr>
        <w:t>CS 44416</w:t>
      </w:r>
    </w:p>
    <w:p w14:paraId="7BE1DAFC" w14:textId="77777777" w:rsidR="00DD28BE" w:rsidRDefault="009442F4">
      <w:pPr>
        <w:pStyle w:val="ParagrapheIndent2"/>
        <w:spacing w:after="240" w:line="253" w:lineRule="exact"/>
        <w:ind w:left="20" w:right="20"/>
        <w:jc w:val="both"/>
        <w:rPr>
          <w:color w:val="000000"/>
        </w:rPr>
      </w:pPr>
      <w:r>
        <w:rPr>
          <w:color w:val="000000"/>
        </w:rPr>
        <w:t>35000 RENNES</w:t>
      </w:r>
    </w:p>
    <w:p w14:paraId="229AEEDC" w14:textId="77777777" w:rsidR="00DD28BE" w:rsidRDefault="009442F4">
      <w:pPr>
        <w:pStyle w:val="ParagrapheIndent2"/>
        <w:spacing w:after="240" w:line="253" w:lineRule="exact"/>
        <w:ind w:left="20" w:right="20"/>
        <w:jc w:val="both"/>
        <w:rPr>
          <w:color w:val="000000"/>
        </w:rPr>
      </w:pPr>
      <w:r>
        <w:rPr>
          <w:color w:val="000000"/>
        </w:rPr>
        <w:t xml:space="preserve">Les voies de recours ouvertes aux candidats sont les suivantes : Référé </w:t>
      </w:r>
      <w:proofErr w:type="spellStart"/>
      <w:r>
        <w:rPr>
          <w:color w:val="000000"/>
        </w:rPr>
        <w:t>pré-contractuel</w:t>
      </w:r>
      <w:proofErr w:type="spellEnd"/>
      <w:r>
        <w:rPr>
          <w:color w:val="000000"/>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w:t>
      </w:r>
      <w:r>
        <w:rPr>
          <w:color w:val="000000"/>
        </w:rPr>
        <w:lastRenderedPageBreak/>
        <w:t>ouvert aux tiers justifiant d'un intérêt lésé, et pouvant être exercé dans les deux mois suivant la date à laquelle la conclusion du contrat est rendue publique.</w:t>
      </w:r>
    </w:p>
    <w:p w14:paraId="2CCA2465" w14:textId="77777777" w:rsidR="00DD28BE" w:rsidRDefault="009442F4">
      <w:pPr>
        <w:pStyle w:val="ParagrapheIndent2"/>
        <w:spacing w:line="253" w:lineRule="exact"/>
        <w:ind w:left="20" w:right="20"/>
        <w:jc w:val="both"/>
        <w:rPr>
          <w:color w:val="000000"/>
        </w:rPr>
      </w:pPr>
      <w:r>
        <w:rPr>
          <w:color w:val="000000"/>
        </w:rPr>
        <w:t>En cas de difficultés survenant lors de la procédure de passation, l'organe chargé de jouer le rôle de médiateur est :</w:t>
      </w:r>
    </w:p>
    <w:p w14:paraId="61E3128D" w14:textId="77777777" w:rsidR="00DD28BE" w:rsidRDefault="009442F4">
      <w:pPr>
        <w:pStyle w:val="ParagrapheIndent2"/>
        <w:spacing w:line="253" w:lineRule="exact"/>
        <w:ind w:left="20" w:right="20"/>
        <w:jc w:val="both"/>
        <w:rPr>
          <w:color w:val="000000"/>
        </w:rPr>
      </w:pPr>
      <w:r>
        <w:rPr>
          <w:color w:val="000000"/>
        </w:rPr>
        <w:t>Comité consultatif interrégional de règlement amiable relatif aux MP</w:t>
      </w:r>
    </w:p>
    <w:p w14:paraId="5F4B9F96" w14:textId="77777777" w:rsidR="00DD28BE" w:rsidRDefault="009442F4">
      <w:pPr>
        <w:pStyle w:val="ParagrapheIndent2"/>
        <w:spacing w:line="253" w:lineRule="exact"/>
        <w:ind w:left="20" w:right="20"/>
        <w:jc w:val="both"/>
        <w:rPr>
          <w:color w:val="000000"/>
        </w:rPr>
      </w:pPr>
      <w:r>
        <w:rPr>
          <w:color w:val="000000"/>
        </w:rPr>
        <w:t>22 Mail Pablo Picasso</w:t>
      </w:r>
    </w:p>
    <w:p w14:paraId="73361AB3" w14:textId="77777777" w:rsidR="00DD28BE" w:rsidRDefault="009442F4">
      <w:pPr>
        <w:pStyle w:val="ParagrapheIndent2"/>
        <w:spacing w:line="253" w:lineRule="exact"/>
        <w:ind w:left="20" w:right="20"/>
        <w:jc w:val="both"/>
        <w:rPr>
          <w:color w:val="000000"/>
        </w:rPr>
      </w:pPr>
      <w:r>
        <w:rPr>
          <w:color w:val="000000"/>
        </w:rPr>
        <w:t>BP 24209</w:t>
      </w:r>
    </w:p>
    <w:p w14:paraId="7DAB43BA" w14:textId="77777777" w:rsidR="00DD28BE" w:rsidRDefault="009442F4">
      <w:pPr>
        <w:pStyle w:val="ParagrapheIndent2"/>
        <w:spacing w:line="253" w:lineRule="exact"/>
        <w:ind w:left="20" w:right="20"/>
        <w:jc w:val="both"/>
        <w:rPr>
          <w:color w:val="000000"/>
        </w:rPr>
      </w:pPr>
      <w:r>
        <w:rPr>
          <w:color w:val="000000"/>
        </w:rPr>
        <w:t>44042 NANTES CEDEX 1</w:t>
      </w:r>
    </w:p>
    <w:sectPr w:rsidR="00DD28BE">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83" w:left="1134" w:header="0" w:footer="1126" w:gutter="0"/>
      <w:cols w:space="17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C4E11" w14:textId="77777777" w:rsidR="00DD28BE" w:rsidRDefault="009442F4">
      <w:r>
        <w:separator/>
      </w:r>
    </w:p>
  </w:endnote>
  <w:endnote w:type="continuationSeparator" w:id="0">
    <w:p w14:paraId="7A1B90D7" w14:textId="77777777" w:rsidR="00DD28BE" w:rsidRDefault="00944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oto Sans Devanagari">
    <w:altName w:val="Calibri"/>
    <w:panose1 w:val="00000000000000000000"/>
    <w:charset w:val="00"/>
    <w:family w:val="roman"/>
    <w:notTrueType/>
    <w:pitch w:val="default"/>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AF22A" w14:textId="77777777" w:rsidR="00DD28BE" w:rsidRDefault="009442F4">
    <w:pPr>
      <w:pStyle w:val="Pieddepage"/>
    </w:pPr>
    <w:r>
      <w:rPr>
        <w:noProof/>
      </w:rPr>
      <mc:AlternateContent>
        <mc:Choice Requires="wpg">
          <w:drawing>
            <wp:anchor distT="0" distB="0" distL="114300" distR="114300" simplePos="0" relativeHeight="251658240" behindDoc="1" locked="0" layoutInCell="0" allowOverlap="1" wp14:anchorId="1D4B4C1B" wp14:editId="6CB36E04">
              <wp:simplePos x="0" y="0"/>
              <wp:positionH relativeFrom="column">
                <wp:posOffset>4151630</wp:posOffset>
              </wp:positionH>
              <wp:positionV relativeFrom="paragraph">
                <wp:posOffset>-1009650</wp:posOffset>
              </wp:positionV>
              <wp:extent cx="2207895" cy="1593850"/>
              <wp:effectExtent l="0" t="0" r="0" b="0"/>
              <wp:wrapSquare wrapText="bothSides"/>
              <wp:docPr id="6" name="Image 3" descr="FEDERlogo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3" descr="FEDERlogoRVB"/>
                      <pic:cNvPicPr>
                        <a:picLocks noChangeAspect="1"/>
                      </pic:cNvPicPr>
                    </pic:nvPicPr>
                    <pic:blipFill>
                      <a:blip r:embed="rId1"/>
                      <a:stretch/>
                    </pic:blipFill>
                    <pic:spPr bwMode="auto">
                      <a:xfrm>
                        <a:off x="0" y="0"/>
                        <a:ext cx="2207895" cy="159385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3;o:allowoverlap:true;o:allowincell:false;mso-position-horizontal-relative:text;margin-left:326.90pt;mso-position-horizontal:absolute;mso-position-vertical-relative:text;margin-top:-79.50pt;mso-position-vertical:absolute;width:173.85pt;height:125.50pt;mso-wrap-distance-left:9.00pt;mso-wrap-distance-top:0.00pt;mso-wrap-distance-right:9.00pt;mso-wrap-distance-bottom:0.00pt;z-index:1;" stroked="false">
              <w10:wrap type="square"/>
              <v:imagedata r:id="rId2" o:title=""/>
              <o:lock v:ext="edit" rotation="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0049"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6207FCD6" w14:textId="77777777">
      <w:trPr>
        <w:trHeight w:val="260"/>
      </w:trPr>
      <w:tc>
        <w:tcPr>
          <w:tcW w:w="5219" w:type="dxa"/>
          <w:vAlign w:val="center"/>
        </w:tcPr>
        <w:p w14:paraId="71ACE601" w14:textId="77777777" w:rsidR="00DD28BE" w:rsidRDefault="00DD28BE">
          <w:pPr>
            <w:pStyle w:val="PiedDePage0"/>
            <w:widowControl w:val="0"/>
            <w:rPr>
              <w:color w:val="000000"/>
            </w:rPr>
          </w:pPr>
        </w:p>
      </w:tc>
      <w:tc>
        <w:tcPr>
          <w:tcW w:w="4400" w:type="dxa"/>
          <w:vAlign w:val="center"/>
        </w:tcPr>
        <w:p w14:paraId="1100AD60" w14:textId="77777777" w:rsidR="00DD28BE" w:rsidRDefault="009442F4">
          <w:pPr>
            <w:pStyle w:val="PiedDePage0"/>
            <w:widowControl w:val="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9</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260F0"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16D36E74" w14:textId="77777777">
      <w:trPr>
        <w:trHeight w:val="260"/>
      </w:trPr>
      <w:tc>
        <w:tcPr>
          <w:tcW w:w="5219" w:type="dxa"/>
          <w:vAlign w:val="center"/>
        </w:tcPr>
        <w:p w14:paraId="32DDA749" w14:textId="77777777" w:rsidR="00DD28BE" w:rsidRDefault="00DD28BE">
          <w:pPr>
            <w:pStyle w:val="PiedDePage0"/>
            <w:widowControl w:val="0"/>
            <w:rPr>
              <w:color w:val="000000"/>
            </w:rPr>
          </w:pPr>
        </w:p>
        <w:p w14:paraId="7C677C06" w14:textId="77777777" w:rsidR="00DD28BE" w:rsidRDefault="00DD28BE">
          <w:pPr>
            <w:widowControl w:val="0"/>
          </w:pPr>
        </w:p>
      </w:tc>
      <w:tc>
        <w:tcPr>
          <w:tcW w:w="4400" w:type="dxa"/>
          <w:vAlign w:val="center"/>
        </w:tcPr>
        <w:p w14:paraId="290DF096" w14:textId="77777777" w:rsidR="00DD28BE" w:rsidRDefault="009442F4">
          <w:pPr>
            <w:pStyle w:val="PiedDePage0"/>
            <w:widowControl w:val="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46C8B"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5A7DD798" w14:textId="77777777">
      <w:trPr>
        <w:trHeight w:val="260"/>
      </w:trPr>
      <w:tc>
        <w:tcPr>
          <w:tcW w:w="5219" w:type="dxa"/>
          <w:vAlign w:val="center"/>
        </w:tcPr>
        <w:p w14:paraId="52B4BE0D" w14:textId="77777777" w:rsidR="00DD28BE" w:rsidRDefault="00DD28BE">
          <w:pPr>
            <w:pStyle w:val="PiedDePage0"/>
            <w:widowControl w:val="0"/>
            <w:rPr>
              <w:color w:val="000000"/>
            </w:rPr>
          </w:pPr>
        </w:p>
        <w:p w14:paraId="7AEBE358" w14:textId="77777777" w:rsidR="00DD28BE" w:rsidRDefault="00DD28BE">
          <w:pPr>
            <w:widowControl w:val="0"/>
          </w:pPr>
        </w:p>
      </w:tc>
      <w:tc>
        <w:tcPr>
          <w:tcW w:w="4400" w:type="dxa"/>
          <w:vAlign w:val="center"/>
        </w:tcPr>
        <w:p w14:paraId="467D9304" w14:textId="77777777" w:rsidR="00DD28BE" w:rsidRDefault="009442F4">
          <w:pPr>
            <w:pStyle w:val="PiedDePage0"/>
            <w:widowControl w:val="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3</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969A5"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136304E0" w14:textId="77777777">
      <w:trPr>
        <w:trHeight w:val="260"/>
      </w:trPr>
      <w:tc>
        <w:tcPr>
          <w:tcW w:w="5219" w:type="dxa"/>
          <w:vAlign w:val="center"/>
        </w:tcPr>
        <w:p w14:paraId="4BC6B7CE" w14:textId="77777777" w:rsidR="00DD28BE" w:rsidRDefault="00DD28BE">
          <w:pPr>
            <w:pStyle w:val="PiedDePage0"/>
            <w:widowControl w:val="0"/>
            <w:rPr>
              <w:color w:val="000000"/>
            </w:rPr>
          </w:pPr>
        </w:p>
        <w:p w14:paraId="21864403" w14:textId="77777777" w:rsidR="00DD28BE" w:rsidRDefault="00DD28BE">
          <w:pPr>
            <w:widowControl w:val="0"/>
          </w:pPr>
        </w:p>
      </w:tc>
      <w:tc>
        <w:tcPr>
          <w:tcW w:w="4400" w:type="dxa"/>
          <w:vAlign w:val="center"/>
        </w:tcPr>
        <w:p w14:paraId="36EBE954" w14:textId="77777777" w:rsidR="00DD28BE" w:rsidRDefault="009442F4">
          <w:pPr>
            <w:pStyle w:val="PiedDePage0"/>
            <w:widowControl w:val="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3</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BEC27"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20152E93" w14:textId="77777777">
      <w:trPr>
        <w:trHeight w:val="260"/>
      </w:trPr>
      <w:tc>
        <w:tcPr>
          <w:tcW w:w="5219" w:type="dxa"/>
          <w:vAlign w:val="center"/>
        </w:tcPr>
        <w:p w14:paraId="43AF7367" w14:textId="77777777" w:rsidR="00DD28BE" w:rsidRDefault="00DD28BE">
          <w:pPr>
            <w:pStyle w:val="PiedDePage0"/>
            <w:widowControl w:val="0"/>
            <w:rPr>
              <w:color w:val="000000"/>
            </w:rPr>
          </w:pPr>
        </w:p>
      </w:tc>
      <w:tc>
        <w:tcPr>
          <w:tcW w:w="4400" w:type="dxa"/>
          <w:vAlign w:val="center"/>
        </w:tcPr>
        <w:p w14:paraId="3CEB0B16" w14:textId="77777777" w:rsidR="00DD28BE" w:rsidRDefault="009442F4">
          <w:pPr>
            <w:pStyle w:val="PiedDePage0"/>
            <w:widowControl w:val="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7EE6"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79AF741B" w14:textId="77777777">
      <w:trPr>
        <w:trHeight w:val="260"/>
      </w:trPr>
      <w:tc>
        <w:tcPr>
          <w:tcW w:w="5219" w:type="dxa"/>
          <w:vAlign w:val="center"/>
        </w:tcPr>
        <w:p w14:paraId="7FAD161E" w14:textId="77777777" w:rsidR="00DD28BE" w:rsidRDefault="00DD28BE">
          <w:pPr>
            <w:pStyle w:val="PiedDePage0"/>
            <w:widowControl w:val="0"/>
            <w:rPr>
              <w:color w:val="000000"/>
            </w:rPr>
          </w:pPr>
        </w:p>
      </w:tc>
      <w:tc>
        <w:tcPr>
          <w:tcW w:w="4400" w:type="dxa"/>
          <w:vAlign w:val="center"/>
        </w:tcPr>
        <w:p w14:paraId="2E367190" w14:textId="77777777" w:rsidR="00DD28BE" w:rsidRDefault="009442F4">
          <w:pPr>
            <w:pStyle w:val="PiedDePage0"/>
            <w:widowControl w:val="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575DA"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2D5B3BBA" w14:textId="77777777">
      <w:trPr>
        <w:trHeight w:val="260"/>
      </w:trPr>
      <w:tc>
        <w:tcPr>
          <w:tcW w:w="5219" w:type="dxa"/>
          <w:vAlign w:val="center"/>
        </w:tcPr>
        <w:p w14:paraId="69370AFA" w14:textId="77777777" w:rsidR="00DD28BE" w:rsidRDefault="00DD28BE">
          <w:pPr>
            <w:pStyle w:val="PiedDePage0"/>
            <w:widowControl w:val="0"/>
            <w:rPr>
              <w:color w:val="000000"/>
            </w:rPr>
          </w:pPr>
        </w:p>
      </w:tc>
      <w:tc>
        <w:tcPr>
          <w:tcW w:w="4400" w:type="dxa"/>
          <w:vAlign w:val="center"/>
        </w:tcPr>
        <w:p w14:paraId="7FAD1067" w14:textId="77777777" w:rsidR="00DD28BE" w:rsidRDefault="009442F4">
          <w:pPr>
            <w:pStyle w:val="PiedDePage0"/>
            <w:widowControl w:val="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5</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9F1F0"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4F89B09E" w14:textId="77777777">
      <w:trPr>
        <w:trHeight w:val="260"/>
      </w:trPr>
      <w:tc>
        <w:tcPr>
          <w:tcW w:w="5219" w:type="dxa"/>
          <w:vAlign w:val="center"/>
        </w:tcPr>
        <w:p w14:paraId="40A35A6E" w14:textId="77777777" w:rsidR="00DD28BE" w:rsidRDefault="00DD28BE">
          <w:pPr>
            <w:pStyle w:val="PiedDePage0"/>
            <w:widowControl w:val="0"/>
            <w:rPr>
              <w:color w:val="000000"/>
            </w:rPr>
          </w:pPr>
        </w:p>
      </w:tc>
      <w:tc>
        <w:tcPr>
          <w:tcW w:w="4400" w:type="dxa"/>
          <w:vAlign w:val="center"/>
        </w:tcPr>
        <w:p w14:paraId="55D10A6C" w14:textId="77777777" w:rsidR="00DD28BE" w:rsidRDefault="009442F4">
          <w:pPr>
            <w:pStyle w:val="PiedDePage0"/>
            <w:widowControl w:val="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0</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081B3" w14:textId="77777777" w:rsidR="00DD28BE" w:rsidRDefault="00DD28BE">
    <w:pPr>
      <w:spacing w:line="240" w:lineRule="exact"/>
    </w:pPr>
  </w:p>
  <w:tbl>
    <w:tblPr>
      <w:tblW w:w="9620" w:type="dxa"/>
      <w:tblInd w:w="20" w:type="dxa"/>
      <w:tblLayout w:type="fixed"/>
      <w:tblCellMar>
        <w:left w:w="0" w:type="dxa"/>
        <w:right w:w="0" w:type="dxa"/>
      </w:tblCellMar>
      <w:tblLook w:val="04A0" w:firstRow="1" w:lastRow="0" w:firstColumn="1" w:lastColumn="0" w:noHBand="0" w:noVBand="1"/>
    </w:tblPr>
    <w:tblGrid>
      <w:gridCol w:w="5220"/>
      <w:gridCol w:w="4400"/>
    </w:tblGrid>
    <w:tr w:rsidR="00DD28BE" w14:paraId="0F310A91" w14:textId="77777777">
      <w:trPr>
        <w:trHeight w:val="260"/>
      </w:trPr>
      <w:tc>
        <w:tcPr>
          <w:tcW w:w="5219" w:type="dxa"/>
          <w:vAlign w:val="center"/>
        </w:tcPr>
        <w:p w14:paraId="4A3C9A0D" w14:textId="77777777" w:rsidR="00DD28BE" w:rsidRDefault="00DD28BE">
          <w:pPr>
            <w:pStyle w:val="PiedDePage0"/>
            <w:widowControl w:val="0"/>
            <w:rPr>
              <w:color w:val="000000"/>
            </w:rPr>
          </w:pPr>
        </w:p>
      </w:tc>
      <w:tc>
        <w:tcPr>
          <w:tcW w:w="4400" w:type="dxa"/>
          <w:vAlign w:val="center"/>
        </w:tcPr>
        <w:p w14:paraId="11EEBF64" w14:textId="77777777" w:rsidR="00DD28BE" w:rsidRDefault="009442F4">
          <w:pPr>
            <w:pStyle w:val="PiedDePage0"/>
            <w:widowControl w:val="0"/>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9</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9</w:t>
          </w:r>
          <w:r>
            <w:rPr>
              <w:color w:val="00000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23CC5" w14:textId="77777777" w:rsidR="00DD28BE" w:rsidRDefault="009442F4">
      <w:r>
        <w:separator/>
      </w:r>
    </w:p>
  </w:footnote>
  <w:footnote w:type="continuationSeparator" w:id="0">
    <w:p w14:paraId="188FB376" w14:textId="77777777" w:rsidR="00DD28BE" w:rsidRDefault="00944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E0374" w14:textId="5AC50ABA" w:rsidR="008D6414" w:rsidRDefault="003B70A1" w:rsidP="00DD4261">
    <w:pPr>
      <w:pStyle w:val="NormalWeb"/>
    </w:pPr>
    <w:r>
      <w:rPr>
        <w:noProof/>
      </w:rPr>
      <w:drawing>
        <wp:anchor distT="0" distB="0" distL="114300" distR="114300" simplePos="0" relativeHeight="251664384" behindDoc="0" locked="0" layoutInCell="1" allowOverlap="1" wp14:anchorId="26ACB946" wp14:editId="663F1A8C">
          <wp:simplePos x="0" y="0"/>
          <wp:positionH relativeFrom="margin">
            <wp:align>right</wp:align>
          </wp:positionH>
          <wp:positionV relativeFrom="paragraph">
            <wp:posOffset>635</wp:posOffset>
          </wp:positionV>
          <wp:extent cx="1073150" cy="835025"/>
          <wp:effectExtent l="0" t="0" r="0" b="3175"/>
          <wp:wrapNone/>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073150" cy="835025"/>
                  </a:xfrm>
                  <a:prstGeom prst="rect">
                    <a:avLst/>
                  </a:prstGeom>
                </pic:spPr>
              </pic:pic>
            </a:graphicData>
          </a:graphic>
        </wp:anchor>
      </w:drawing>
    </w:r>
    <w:r>
      <w:rPr>
        <w:noProof/>
      </w:rPr>
      <w:drawing>
        <wp:anchor distT="0" distB="0" distL="114300" distR="114300" simplePos="0" relativeHeight="251662336" behindDoc="0" locked="0" layoutInCell="1" allowOverlap="1" wp14:anchorId="1D96328C" wp14:editId="261DF1D0">
          <wp:simplePos x="0" y="0"/>
          <wp:positionH relativeFrom="margin">
            <wp:posOffset>0</wp:posOffset>
          </wp:positionH>
          <wp:positionV relativeFrom="paragraph">
            <wp:posOffset>-635</wp:posOffset>
          </wp:positionV>
          <wp:extent cx="1123950" cy="884555"/>
          <wp:effectExtent l="0" t="0" r="0" b="0"/>
          <wp:wrapNone/>
          <wp:docPr id="280" name="Imag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ETAGNE INP  dev.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23950" cy="884555"/>
                  </a:xfrm>
                  <a:prstGeom prst="rect">
                    <a:avLst/>
                  </a:prstGeom>
                </pic:spPr>
              </pic:pic>
            </a:graphicData>
          </a:graphic>
        </wp:anchor>
      </w:drawing>
    </w:r>
  </w:p>
  <w:p w14:paraId="14879421" w14:textId="77777777" w:rsidR="008D6414" w:rsidRDefault="008D6414" w:rsidP="00DD4261">
    <w:pPr>
      <w:pStyle w:val="NormalWeb"/>
    </w:pPr>
  </w:p>
  <w:p w14:paraId="4817BAE8" w14:textId="64E78BBB" w:rsidR="00DD28BE" w:rsidRDefault="00DD28BE">
    <w:pPr>
      <w:pStyle w:val="En-tte"/>
    </w:pPr>
  </w:p>
  <w:p w14:paraId="21E860DF" w14:textId="1369BEAF" w:rsidR="003B70A1" w:rsidRDefault="003B70A1">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3A4FB" w14:textId="77777777" w:rsidR="00DD28BE" w:rsidRDefault="00DD28B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EE6A5" w14:textId="77777777" w:rsidR="00DD28BE" w:rsidRDefault="00DD28B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2A46F" w14:textId="77777777" w:rsidR="00DD28BE" w:rsidRDefault="009442F4">
    <w:pPr>
      <w:pStyle w:val="En-tte"/>
    </w:pPr>
    <w:r>
      <w:rPr>
        <w:noProof/>
      </w:rPr>
      <mc:AlternateContent>
        <mc:Choice Requires="wpg">
          <w:drawing>
            <wp:anchor distT="0" distB="0" distL="114300" distR="114300" simplePos="0" relativeHeight="251656192" behindDoc="1" locked="0" layoutInCell="0" allowOverlap="1" wp14:anchorId="4F056932" wp14:editId="1DA179DC">
              <wp:simplePos x="0" y="0"/>
              <wp:positionH relativeFrom="column">
                <wp:posOffset>5285740</wp:posOffset>
              </wp:positionH>
              <wp:positionV relativeFrom="paragraph">
                <wp:posOffset>-372110</wp:posOffset>
              </wp:positionV>
              <wp:extent cx="1073150" cy="836930"/>
              <wp:effectExtent l="0" t="0" r="0" b="0"/>
              <wp:wrapSquare wrapText="bothSides"/>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a:picLocks noChangeAspect="1"/>
                      </pic:cNvPicPr>
                    </pic:nvPicPr>
                    <pic:blipFill>
                      <a:blip r:embed="rId1"/>
                      <a:stretch/>
                    </pic:blipFill>
                    <pic:spPr bwMode="auto">
                      <a:xfrm>
                        <a:off x="0" y="0"/>
                        <a:ext cx="1073150" cy="83693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o:allowoverlap:true;o:allowincell:false;mso-position-horizontal-relative:text;margin-left:416.20pt;mso-position-horizontal:absolute;mso-position-vertical-relative:text;margin-top:-29.30pt;mso-position-vertical:absolute;width:84.50pt;height:65.90pt;mso-wrap-distance-left:9.00pt;mso-wrap-distance-top:0.00pt;mso-wrap-distance-right:9.00pt;mso-wrap-distance-bottom:0.00pt;z-index:1;" stroked="false">
              <w10:wrap type="square"/>
              <v:imagedata r:id="rId2" o:title=""/>
              <o:lock v:ext="edit" rotation="t"/>
            </v:shape>
          </w:pict>
        </mc:Fallback>
      </mc:AlternateContent>
    </w:r>
    <w:r>
      <w:rPr>
        <w:noProof/>
      </w:rPr>
      <mc:AlternateContent>
        <mc:Choice Requires="wpg">
          <w:drawing>
            <wp:anchor distT="0" distB="0" distL="114300" distR="114300" simplePos="0" relativeHeight="251660288" behindDoc="0" locked="0" layoutInCell="0" allowOverlap="1" wp14:anchorId="56CCA677" wp14:editId="041B1041">
              <wp:simplePos x="0" y="0"/>
              <wp:positionH relativeFrom="column">
                <wp:posOffset>-323850</wp:posOffset>
              </wp:positionH>
              <wp:positionV relativeFrom="paragraph">
                <wp:posOffset>-372110</wp:posOffset>
              </wp:positionV>
              <wp:extent cx="1819275" cy="828675"/>
              <wp:effectExtent l="0" t="0" r="0" b="0"/>
              <wp:wrapTight wrapText="bothSides">
                <wp:wrapPolygon edited="1">
                  <wp:start x="-71" y="0"/>
                  <wp:lineTo x="-71" y="20909"/>
                  <wp:lineTo x="21314" y="20909"/>
                  <wp:lineTo x="21314" y="0"/>
                  <wp:lineTo x="-71" y="0"/>
                </wp:wrapPolygon>
              </wp:wrapTight>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pic:cNvPicPr>
                        <a:picLocks noChangeAspect="1"/>
                      </pic:cNvPicPr>
                    </pic:nvPicPr>
                    <pic:blipFill>
                      <a:blip r:embed="rId3"/>
                      <a:stretch/>
                    </pic:blipFill>
                    <pic:spPr bwMode="auto">
                      <a:xfrm>
                        <a:off x="0" y="0"/>
                        <a:ext cx="1819275" cy="828675"/>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position:absolute;z-index:4;o:allowoverlap:true;o:allowincell:false;mso-position-horizontal-relative:text;margin-left:-25.50pt;mso-position-horizontal:absolute;mso-position-vertical-relative:text;margin-top:-29.30pt;mso-position-vertical:absolute;width:143.25pt;height:65.25pt;mso-wrap-distance-left:9.00pt;mso-wrap-distance-top:0.00pt;mso-wrap-distance-right:9.00pt;mso-wrap-distance-bottom:0.00pt;z-index:1;" wrapcoords="-328 0 -328 96801 98676 96801 98676 0 -328 0" stroked="false">
              <w10:wrap type="tight"/>
              <v:imagedata r:id="rId4" o:title=""/>
              <o:lock v:ext="edit" rotation="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3664" w14:textId="77777777" w:rsidR="00DD28BE" w:rsidRDefault="00DD28B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DD86" w14:textId="4BBC496B" w:rsidR="00DD28BE" w:rsidRDefault="004A2858">
    <w:r w:rsidRPr="004A69C0">
      <w:rPr>
        <w:noProof/>
        <w:lang w:eastAsia="fr-FR"/>
      </w:rPr>
      <w:drawing>
        <wp:anchor distT="0" distB="0" distL="114300" distR="114300" simplePos="0" relativeHeight="251668480" behindDoc="0" locked="0" layoutInCell="1" allowOverlap="1" wp14:anchorId="11597DF8" wp14:editId="31423C61">
          <wp:simplePos x="0" y="0"/>
          <wp:positionH relativeFrom="margin">
            <wp:posOffset>0</wp:posOffset>
          </wp:positionH>
          <wp:positionV relativeFrom="paragraph">
            <wp:posOffset>0</wp:posOffset>
          </wp:positionV>
          <wp:extent cx="873017" cy="690113"/>
          <wp:effectExtent l="19050" t="0" r="5284" b="0"/>
          <wp:wrapNone/>
          <wp:docPr id="5" name="Imag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ETAGNE INP  de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3017" cy="690113"/>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6CB3" w14:textId="77777777" w:rsidR="00DD28BE" w:rsidRDefault="00DD28B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68061" w14:textId="77777777" w:rsidR="00DD28BE" w:rsidRDefault="00DD28BE">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745D1" w14:textId="5EF8F912" w:rsidR="00DD28BE" w:rsidRDefault="004A2858">
    <w:r w:rsidRPr="004A69C0">
      <w:rPr>
        <w:noProof/>
        <w:lang w:eastAsia="fr-FR"/>
      </w:rPr>
      <w:drawing>
        <wp:anchor distT="0" distB="0" distL="114300" distR="114300" simplePos="0" relativeHeight="251666432" behindDoc="0" locked="0" layoutInCell="1" allowOverlap="1" wp14:anchorId="1077FE02" wp14:editId="66585DBA">
          <wp:simplePos x="0" y="0"/>
          <wp:positionH relativeFrom="margin">
            <wp:posOffset>0</wp:posOffset>
          </wp:positionH>
          <wp:positionV relativeFrom="paragraph">
            <wp:posOffset>0</wp:posOffset>
          </wp:positionV>
          <wp:extent cx="873017" cy="690113"/>
          <wp:effectExtent l="19050" t="0" r="5284" b="0"/>
          <wp:wrapNone/>
          <wp:docPr id="1" name="Imag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ETAGNE INP  de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3017" cy="690113"/>
                  </a:xfrm>
                  <a:prstGeom prst="rect">
                    <a:avLst/>
                  </a:prstGeom>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627C7" w14:textId="77777777" w:rsidR="00DD28BE" w:rsidRDefault="00DD28B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6EEE6" w14:textId="77777777" w:rsidR="00DD28BE" w:rsidRDefault="00DD28B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90314F"/>
    <w:multiLevelType w:val="multilevel"/>
    <w:tmpl w:val="E5DCAA64"/>
    <w:lvl w:ilvl="0">
      <w:numFmt w:val="bullet"/>
      <w:lvlText w:val="-"/>
      <w:lvlJc w:val="left"/>
      <w:pPr>
        <w:tabs>
          <w:tab w:val="num" w:pos="0"/>
        </w:tabs>
        <w:ind w:left="405" w:hanging="360"/>
      </w:pPr>
      <w:rPr>
        <w:rFonts w:ascii="Calibri" w:hAnsi="Calibri" w:cs="Calibri" w:hint="default"/>
      </w:rPr>
    </w:lvl>
    <w:lvl w:ilvl="1">
      <w:numFmt w:val="bullet"/>
      <w:lvlText w:val="o"/>
      <w:lvlJc w:val="left"/>
      <w:pPr>
        <w:tabs>
          <w:tab w:val="num" w:pos="0"/>
        </w:tabs>
        <w:ind w:left="1125" w:hanging="360"/>
      </w:pPr>
      <w:rPr>
        <w:rFonts w:ascii="Courier New" w:hAnsi="Courier New" w:cs="Courier New" w:hint="default"/>
      </w:rPr>
    </w:lvl>
    <w:lvl w:ilvl="2">
      <w:numFmt w:val="bullet"/>
      <w:lvlText w:val=""/>
      <w:lvlJc w:val="left"/>
      <w:pPr>
        <w:tabs>
          <w:tab w:val="num" w:pos="0"/>
        </w:tabs>
        <w:ind w:left="1845" w:hanging="360"/>
      </w:pPr>
      <w:rPr>
        <w:rFonts w:ascii="Wingdings" w:hAnsi="Wingdings" w:cs="Wingdings" w:hint="default"/>
      </w:rPr>
    </w:lvl>
    <w:lvl w:ilvl="3">
      <w:numFmt w:val="bullet"/>
      <w:lvlText w:val=""/>
      <w:lvlJc w:val="left"/>
      <w:pPr>
        <w:tabs>
          <w:tab w:val="num" w:pos="0"/>
        </w:tabs>
        <w:ind w:left="2565" w:hanging="360"/>
      </w:pPr>
      <w:rPr>
        <w:rFonts w:ascii="Symbol" w:hAnsi="Symbol" w:cs="Symbol" w:hint="default"/>
      </w:rPr>
    </w:lvl>
    <w:lvl w:ilvl="4">
      <w:numFmt w:val="bullet"/>
      <w:lvlText w:val="o"/>
      <w:lvlJc w:val="left"/>
      <w:pPr>
        <w:tabs>
          <w:tab w:val="num" w:pos="0"/>
        </w:tabs>
        <w:ind w:left="3285" w:hanging="360"/>
      </w:pPr>
      <w:rPr>
        <w:rFonts w:ascii="Courier New" w:hAnsi="Courier New" w:cs="Courier New" w:hint="default"/>
      </w:rPr>
    </w:lvl>
    <w:lvl w:ilvl="5">
      <w:numFmt w:val="bullet"/>
      <w:lvlText w:val=""/>
      <w:lvlJc w:val="left"/>
      <w:pPr>
        <w:tabs>
          <w:tab w:val="num" w:pos="0"/>
        </w:tabs>
        <w:ind w:left="4005" w:hanging="360"/>
      </w:pPr>
      <w:rPr>
        <w:rFonts w:ascii="Wingdings" w:hAnsi="Wingdings" w:cs="Wingdings" w:hint="default"/>
      </w:rPr>
    </w:lvl>
    <w:lvl w:ilvl="6">
      <w:numFmt w:val="bullet"/>
      <w:lvlText w:val=""/>
      <w:lvlJc w:val="left"/>
      <w:pPr>
        <w:tabs>
          <w:tab w:val="num" w:pos="0"/>
        </w:tabs>
        <w:ind w:left="4725" w:hanging="360"/>
      </w:pPr>
      <w:rPr>
        <w:rFonts w:ascii="Symbol" w:hAnsi="Symbol" w:cs="Symbol" w:hint="default"/>
      </w:rPr>
    </w:lvl>
    <w:lvl w:ilvl="7">
      <w:numFmt w:val="bullet"/>
      <w:lvlText w:val="o"/>
      <w:lvlJc w:val="left"/>
      <w:pPr>
        <w:tabs>
          <w:tab w:val="num" w:pos="0"/>
        </w:tabs>
        <w:ind w:left="5445" w:hanging="360"/>
      </w:pPr>
      <w:rPr>
        <w:rFonts w:ascii="Courier New" w:hAnsi="Courier New" w:cs="Courier New" w:hint="default"/>
      </w:rPr>
    </w:lvl>
    <w:lvl w:ilvl="8">
      <w:numFmt w:val="bullet"/>
      <w:lvlText w:val=""/>
      <w:lvlJc w:val="left"/>
      <w:pPr>
        <w:tabs>
          <w:tab w:val="num" w:pos="0"/>
        </w:tabs>
        <w:ind w:left="6165"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8BE"/>
    <w:rsid w:val="00190F57"/>
    <w:rsid w:val="00233ECF"/>
    <w:rsid w:val="003A2E37"/>
    <w:rsid w:val="003B70A1"/>
    <w:rsid w:val="00414298"/>
    <w:rsid w:val="004A2858"/>
    <w:rsid w:val="00505EE8"/>
    <w:rsid w:val="008D6414"/>
    <w:rsid w:val="009442F4"/>
    <w:rsid w:val="00A273F9"/>
    <w:rsid w:val="00B74228"/>
    <w:rsid w:val="00DD28BE"/>
    <w:rsid w:val="00DD4261"/>
    <w:rsid w:val="00F874D7"/>
    <w:rsid w:val="00FC3958"/>
    <w:rsid w:val="00FF6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4686DB"/>
  <w15:docId w15:val="{3913F7FB-3BAE-47EF-A319-67015B434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rPr>
  </w:style>
  <w:style w:type="paragraph" w:styleId="Titre1">
    <w:name w:val="heading 1"/>
    <w:basedOn w:val="Normal"/>
    <w:next w:val="Normal"/>
    <w:link w:val="Titre1Car"/>
    <w:qFormat/>
    <w:pPr>
      <w:keepNext/>
      <w:spacing w:before="240" w:after="60"/>
      <w:outlineLvl w:val="0"/>
    </w:pPr>
    <w:rPr>
      <w:rFonts w:ascii="Arial" w:hAnsi="Arial" w:cs="Arial"/>
      <w:b/>
      <w:bCs/>
      <w:sz w:val="32"/>
      <w:szCs w:val="32"/>
    </w:rPr>
  </w:style>
  <w:style w:type="paragraph" w:styleId="Titre2">
    <w:name w:val="heading 2"/>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Corpsdetexte"/>
    <w:link w:val="TitreCar"/>
    <w:qFormat/>
    <w:pPr>
      <w:keepNext/>
      <w:spacing w:before="240" w:after="120"/>
    </w:pPr>
    <w:rPr>
      <w:rFonts w:ascii="Liberation Sans" w:eastAsia="Microsoft YaHei" w:hAnsi="Liberation Sans" w:cs="Lucida Sans"/>
      <w:sz w:val="28"/>
      <w:szCs w:val="2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qFormat/>
    <w:pPr>
      <w:ind w:left="720"/>
      <w:contextualSpacing/>
    </w:p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PieddepageCar1">
    <w:name w:val="Pied de page Car1"/>
    <w:basedOn w:val="Policepardfaut"/>
    <w:link w:val="Pieddepage"/>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En-tteCar">
    <w:name w:val="En-tête Car"/>
    <w:basedOn w:val="Policepardfaut"/>
    <w:qFormat/>
    <w:rPr>
      <w:sz w:val="24"/>
      <w:szCs w:val="24"/>
    </w:rPr>
  </w:style>
  <w:style w:type="character" w:customStyle="1" w:styleId="PieddepageCar">
    <w:name w:val="Pied de page Car"/>
    <w:basedOn w:val="Policepardfaut"/>
    <w:qFormat/>
    <w:rPr>
      <w:sz w:val="24"/>
      <w:szCs w:val="24"/>
    </w:rPr>
  </w:style>
  <w:style w:type="character" w:customStyle="1" w:styleId="LineNumbering">
    <w:name w:val="Line Numbering"/>
    <w:qFormat/>
  </w:style>
  <w:style w:type="character" w:customStyle="1" w:styleId="CommentaireCar">
    <w:name w:val="Commentaire Car"/>
    <w:basedOn w:val="Policepardfaut"/>
    <w:link w:val="Commentaire"/>
    <w:semiHidden/>
    <w:qFormat/>
  </w:style>
  <w:style w:type="character" w:styleId="Marquedecommentaire">
    <w:name w:val="annotation reference"/>
    <w:basedOn w:val="Policepardfaut"/>
    <w:semiHidden/>
    <w:unhideWhenUsed/>
    <w:qFormat/>
    <w:rPr>
      <w:sz w:val="16"/>
      <w:szCs w:val="16"/>
    </w:rPr>
  </w:style>
  <w:style w:type="paragraph" w:styleId="Corpsdetexte">
    <w:name w:val="Body Text"/>
    <w:basedOn w:val="Normal"/>
    <w:pPr>
      <w:spacing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customStyle="1" w:styleId="Titre10">
    <w:name w:val="Titre1"/>
    <w:basedOn w:val="Normal"/>
    <w:next w:val="Normal"/>
    <w:qFormat/>
    <w:pPr>
      <w:keepNext/>
      <w:spacing w:before="240" w:after="120"/>
      <w:jc w:val="both"/>
    </w:pPr>
    <w:rPr>
      <w:rFonts w:ascii="Liberation Sans" w:eastAsia="Noto Sans CJK SC" w:hAnsi="Liberation Sans" w:cs="Lohit Devanagari"/>
      <w:sz w:val="28"/>
      <w:szCs w:val="28"/>
      <w:lang w:eastAsia="zh-CN" w:bidi="hi-IN"/>
    </w:rPr>
  </w:style>
  <w:style w:type="paragraph" w:customStyle="1" w:styleId="table">
    <w:name w:val="table"/>
    <w:qFormat/>
  </w:style>
  <w:style w:type="paragraph" w:customStyle="1" w:styleId="tableGroupe">
    <w:name w:val="tableGroupe"/>
    <w:qFormat/>
  </w:style>
  <w:style w:type="paragraph" w:customStyle="1" w:styleId="PiedDePage0">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style>
  <w:style w:type="paragraph" w:styleId="TM2">
    <w:name w:val="toc 2"/>
    <w:basedOn w:val="Normal"/>
    <w:next w:val="Normal"/>
    <w:pPr>
      <w:ind w:left="240"/>
    </w:p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1"/>
    <w:unhideWhenUsed/>
    <w:pPr>
      <w:tabs>
        <w:tab w:val="center" w:pos="4536"/>
        <w:tab w:val="right" w:pos="9072"/>
      </w:tabs>
    </w:pPr>
  </w:style>
  <w:style w:type="paragraph" w:styleId="Pieddepage">
    <w:name w:val="footer"/>
    <w:basedOn w:val="Normal"/>
    <w:link w:val="PieddepageCar1"/>
    <w:unhideWhenUsed/>
    <w:pPr>
      <w:tabs>
        <w:tab w:val="center" w:pos="4536"/>
        <w:tab w:val="right" w:pos="9072"/>
      </w:tabs>
    </w:pPr>
  </w:style>
  <w:style w:type="paragraph" w:styleId="Commentaire">
    <w:name w:val="annotation text"/>
    <w:basedOn w:val="Normal"/>
    <w:link w:val="CommentaireCar"/>
    <w:semiHidden/>
    <w:unhideWhenUsed/>
    <w:rPr>
      <w:sz w:val="20"/>
      <w:szCs w:val="20"/>
    </w:rPr>
  </w:style>
  <w:style w:type="paragraph" w:customStyle="1" w:styleId="Standard">
    <w:name w:val="Standard"/>
    <w:qFormat/>
    <w:pPr>
      <w:widowControl w:val="0"/>
    </w:pPr>
    <w:rPr>
      <w:rFonts w:eastAsia="Arial Unicode MS" w:cs="Arial Unicode MS"/>
      <w:lang w:val="fr-FR"/>
    </w:rPr>
  </w:style>
  <w:style w:type="numbering" w:customStyle="1" w:styleId="Pasdeliste">
    <w:name w:val="Pas de liste"/>
    <w:uiPriority w:val="99"/>
    <w:semiHidden/>
    <w:unhideWhenUsed/>
    <w:qFormat/>
  </w:style>
  <w:style w:type="paragraph" w:styleId="NormalWeb">
    <w:name w:val="Normal (Web)"/>
    <w:basedOn w:val="Normal"/>
    <w:uiPriority w:val="99"/>
    <w:semiHidden/>
    <w:unhideWhenUsed/>
    <w:rsid w:val="00DD4261"/>
    <w:pPr>
      <w:spacing w:before="100" w:beforeAutospacing="1" w:after="100" w:afterAutospacing="1"/>
    </w:pPr>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78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10.xml"/></Relationships>
</file>

<file path=word/_rels/footer1.xml.rels><?xml version="1.0" encoding="UTF-8" standalone="yes"?>
<Relationships xmlns="http://schemas.openxmlformats.org/package/2006/relationships"><Relationship Id="rId2" Type="http://schemas.openxmlformats.org/officeDocument/2006/relationships/image" Target="media/image30.jp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0.jpg"/><Relationship Id="rId1" Type="http://schemas.openxmlformats.org/officeDocument/2006/relationships/image" Target="media/image3.jpg"/><Relationship Id="rId4" Type="http://schemas.openxmlformats.org/officeDocument/2006/relationships/image" Target="media/image20.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2771</Words>
  <Characters>15243</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Guerenne</dc:creator>
  <dc:description/>
  <cp:lastModifiedBy>Anne KERRIEN</cp:lastModifiedBy>
  <cp:revision>2</cp:revision>
  <dcterms:created xsi:type="dcterms:W3CDTF">2025-09-17T12:18:00Z</dcterms:created>
  <dcterms:modified xsi:type="dcterms:W3CDTF">2025-09-17T12:18:00Z</dcterms:modified>
  <dc:language>fr-FR</dc:language>
</cp:coreProperties>
</file>