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6044F" w14:textId="26857542" w:rsidR="00504EF6" w:rsidRDefault="00584561" w:rsidP="00504EF6">
      <w:pPr>
        <w:pStyle w:val="En-tte"/>
        <w:tabs>
          <w:tab w:val="clear" w:pos="4536"/>
          <w:tab w:val="clear" w:pos="9072"/>
          <w:tab w:val="center" w:pos="4535"/>
        </w:tabs>
      </w:pPr>
      <w:r>
        <w:rPr>
          <w:noProof/>
          <w:lang w:eastAsia="fr-FR"/>
        </w:rPr>
        <w:drawing>
          <wp:anchor distT="0" distB="0" distL="114300" distR="114300" simplePos="0" relativeHeight="251660288" behindDoc="0" locked="0" layoutInCell="1" allowOverlap="1" wp14:anchorId="4BFAF30F" wp14:editId="49AF822D">
            <wp:simplePos x="0" y="0"/>
            <wp:positionH relativeFrom="margin">
              <wp:align>left</wp:align>
            </wp:positionH>
            <wp:positionV relativeFrom="paragraph">
              <wp:posOffset>-305435</wp:posOffset>
            </wp:positionV>
            <wp:extent cx="1123950" cy="884555"/>
            <wp:effectExtent l="0" t="0" r="0" b="0"/>
            <wp:wrapNone/>
            <wp:docPr id="280" name="Imag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ETAGNE INP  dev.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23950" cy="884555"/>
                    </a:xfrm>
                    <a:prstGeom prst="rect">
                      <a:avLst/>
                    </a:prstGeom>
                  </pic:spPr>
                </pic:pic>
              </a:graphicData>
            </a:graphic>
          </wp:anchor>
        </w:drawing>
      </w:r>
      <w:r w:rsidR="00504EF6">
        <w:rPr>
          <w:noProof/>
        </w:rPr>
        <w:drawing>
          <wp:anchor distT="0" distB="0" distL="114300" distR="114300" simplePos="0" relativeHeight="251661312" behindDoc="0" locked="0" layoutInCell="1" allowOverlap="1" wp14:anchorId="4E8AD167" wp14:editId="1397E7CC">
            <wp:simplePos x="0" y="0"/>
            <wp:positionH relativeFrom="column">
              <wp:posOffset>5429250</wp:posOffset>
            </wp:positionH>
            <wp:positionV relativeFrom="paragraph">
              <wp:posOffset>-445770</wp:posOffset>
            </wp:positionV>
            <wp:extent cx="1073150" cy="835025"/>
            <wp:effectExtent l="0" t="0" r="0" b="3175"/>
            <wp:wrapNone/>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4"/>
                    <pic:cNvPicPr>
                      <a:picLocks noChangeAspect="1"/>
                    </pic:cNvPicPr>
                  </pic:nvPicPr>
                  <pic:blipFill>
                    <a:blip r:embed="rId9">
                      <a:extLst>
                        <a:ext uri="{28A0092B-C50C-407E-A947-70E740481C1C}">
                          <a14:useLocalDpi xmlns:a14="http://schemas.microsoft.com/office/drawing/2010/main" val="0"/>
                        </a:ext>
                      </a:extLst>
                    </a:blip>
                    <a:stretch/>
                  </pic:blipFill>
                  <pic:spPr bwMode="auto">
                    <a:xfrm>
                      <a:off x="0" y="0"/>
                      <a:ext cx="1073150" cy="835025"/>
                    </a:xfrm>
                    <a:prstGeom prst="rect">
                      <a:avLst/>
                    </a:prstGeom>
                  </pic:spPr>
                </pic:pic>
              </a:graphicData>
            </a:graphic>
          </wp:anchor>
        </w:drawing>
      </w:r>
      <w:r w:rsidR="00504EF6">
        <w:tab/>
      </w:r>
    </w:p>
    <w:p w14:paraId="69CD6A9D" w14:textId="5FED1D2F" w:rsidR="00DD28BE" w:rsidRDefault="00DD28BE">
      <w:pPr>
        <w:spacing w:after="40" w:line="240" w:lineRule="exact"/>
      </w:pPr>
    </w:p>
    <w:p w14:paraId="087FE98C" w14:textId="5BCA06D3" w:rsidR="00DD28BE" w:rsidRDefault="00DB4C95">
      <w:pPr>
        <w:ind w:right="-1"/>
        <w:rPr>
          <w:sz w:val="2"/>
        </w:rPr>
      </w:pPr>
      <w:r>
        <w:rPr>
          <w:sz w:val="2"/>
        </w:rPr>
        <w:tab/>
      </w:r>
      <w:r>
        <w:rPr>
          <w:sz w:val="2"/>
        </w:rPr>
        <w:tab/>
      </w:r>
      <w:r>
        <w:rPr>
          <w:sz w:val="2"/>
        </w:rPr>
        <w:tab/>
      </w:r>
      <w:r>
        <w:rPr>
          <w:sz w:val="2"/>
        </w:rPr>
        <w:tab/>
      </w:r>
      <w:r>
        <w:rPr>
          <w:sz w:val="2"/>
        </w:rPr>
        <w:tab/>
      </w:r>
      <w:r>
        <w:rPr>
          <w:sz w:val="2"/>
        </w:rPr>
        <w:tab/>
      </w:r>
      <w:r>
        <w:rPr>
          <w:sz w:val="2"/>
        </w:rPr>
        <w:tab/>
      </w:r>
      <w:r>
        <w:rPr>
          <w:sz w:val="2"/>
        </w:rPr>
        <w:tab/>
      </w:r>
    </w:p>
    <w:p w14:paraId="2E2F518A" w14:textId="3F38B9EC" w:rsidR="00DD28BE" w:rsidRDefault="00DD28BE">
      <w:pPr>
        <w:spacing w:line="240" w:lineRule="exact"/>
      </w:pPr>
    </w:p>
    <w:p w14:paraId="6857DF04" w14:textId="121585CE" w:rsidR="00DD28BE" w:rsidRDefault="00DD28BE">
      <w:pPr>
        <w:spacing w:after="160" w:line="240" w:lineRule="exact"/>
      </w:pPr>
    </w:p>
    <w:p w14:paraId="5EBAF777" w14:textId="315F6145" w:rsidR="00504EF6" w:rsidRDefault="00504EF6">
      <w:pPr>
        <w:spacing w:after="160" w:line="240" w:lineRule="exact"/>
      </w:pPr>
    </w:p>
    <w:p w14:paraId="332373E7" w14:textId="77777777" w:rsidR="00504EF6" w:rsidRDefault="00504EF6">
      <w:pPr>
        <w:spacing w:after="160" w:line="240" w:lineRule="exact"/>
      </w:pPr>
    </w:p>
    <w:tbl>
      <w:tblPr>
        <w:tblW w:w="9620" w:type="dxa"/>
        <w:tblInd w:w="20" w:type="dxa"/>
        <w:tblLayout w:type="fixed"/>
        <w:tblCellMar>
          <w:top w:w="40" w:type="dxa"/>
          <w:left w:w="0" w:type="dxa"/>
          <w:right w:w="0" w:type="dxa"/>
        </w:tblCellMar>
        <w:tblLook w:val="04A0" w:firstRow="1" w:lastRow="0" w:firstColumn="1" w:lastColumn="0" w:noHBand="0" w:noVBand="1"/>
      </w:tblPr>
      <w:tblGrid>
        <w:gridCol w:w="9620"/>
      </w:tblGrid>
      <w:tr w:rsidR="00DD28BE" w:rsidRPr="00DB4C95" w14:paraId="1EEF876A" w14:textId="77777777">
        <w:tc>
          <w:tcPr>
            <w:tcW w:w="9620" w:type="dxa"/>
            <w:shd w:val="clear" w:color="666553" w:fill="666553"/>
            <w:vAlign w:val="center"/>
          </w:tcPr>
          <w:p w14:paraId="0E138C06" w14:textId="77777777" w:rsidR="00DD28BE" w:rsidRDefault="00DB4C95">
            <w:pPr>
              <w:widowControl w:val="0"/>
              <w:jc w:val="center"/>
              <w:rPr>
                <w:rFonts w:ascii="Arial" w:eastAsia="Arial" w:hAnsi="Arial" w:cs="Arial"/>
                <w:b/>
                <w:color w:val="FFFFFF"/>
                <w:sz w:val="28"/>
                <w:lang w:val="fr-FR"/>
              </w:rPr>
            </w:pPr>
            <w:r>
              <w:rPr>
                <w:rFonts w:ascii="Arial" w:eastAsia="Arial" w:hAnsi="Arial" w:cs="Arial"/>
                <w:b/>
                <w:color w:val="FFFFFF"/>
                <w:sz w:val="28"/>
                <w:lang w:val="fr-FR"/>
              </w:rPr>
              <w:t>CAHIER DES CLAUSES ADMINISTRATIVES PARTICULIÈRES</w:t>
            </w:r>
          </w:p>
        </w:tc>
      </w:tr>
    </w:tbl>
    <w:p w14:paraId="662AC10D" w14:textId="77777777" w:rsidR="00DD28BE" w:rsidRPr="00DB4C95" w:rsidRDefault="00DB4C95">
      <w:pPr>
        <w:spacing w:line="240" w:lineRule="exact"/>
        <w:rPr>
          <w:lang w:val="fr-FR"/>
        </w:rPr>
      </w:pPr>
      <w:r w:rsidRPr="00DB4C95">
        <w:rPr>
          <w:lang w:val="fr-FR"/>
        </w:rPr>
        <w:t xml:space="preserve"> </w:t>
      </w:r>
    </w:p>
    <w:p w14:paraId="113CFDDF" w14:textId="77777777" w:rsidR="00DD28BE" w:rsidRPr="00DB4C95" w:rsidRDefault="00DD28BE">
      <w:pPr>
        <w:spacing w:after="220" w:line="240" w:lineRule="exact"/>
        <w:rPr>
          <w:lang w:val="fr-FR"/>
        </w:rPr>
      </w:pPr>
    </w:p>
    <w:p w14:paraId="6BE407EF" w14:textId="77777777" w:rsidR="00DD28BE" w:rsidRDefault="00DB4C95">
      <w:pPr>
        <w:spacing w:before="40"/>
        <w:ind w:left="20" w:right="20"/>
        <w:jc w:val="center"/>
        <w:rPr>
          <w:rFonts w:ascii="Arial" w:eastAsia="Arial" w:hAnsi="Arial" w:cs="Arial"/>
          <w:b/>
          <w:color w:val="000000"/>
          <w:sz w:val="28"/>
          <w:lang w:val="fr-FR"/>
        </w:rPr>
      </w:pPr>
      <w:r>
        <w:rPr>
          <w:rFonts w:ascii="Arial" w:eastAsia="Arial" w:hAnsi="Arial" w:cs="Arial"/>
          <w:b/>
          <w:color w:val="000000"/>
          <w:sz w:val="28"/>
          <w:lang w:val="fr-FR"/>
        </w:rPr>
        <w:t>MARCHÉ PUBLIC DE FOURNITURES COURANTES ET DE SERVICES</w:t>
      </w:r>
    </w:p>
    <w:p w14:paraId="2611574F" w14:textId="77777777" w:rsidR="00DD28BE" w:rsidRPr="00DB4C95" w:rsidRDefault="00DD28BE">
      <w:pPr>
        <w:spacing w:line="240" w:lineRule="exact"/>
        <w:rPr>
          <w:lang w:val="fr-FR"/>
        </w:rPr>
      </w:pPr>
    </w:p>
    <w:p w14:paraId="024F325E" w14:textId="77777777" w:rsidR="00DD28BE" w:rsidRPr="00DB4C95" w:rsidRDefault="00DD28BE">
      <w:pPr>
        <w:spacing w:line="240" w:lineRule="exact"/>
        <w:rPr>
          <w:lang w:val="fr-FR"/>
        </w:rPr>
      </w:pPr>
    </w:p>
    <w:p w14:paraId="334BEA42" w14:textId="77777777" w:rsidR="00DD28BE" w:rsidRDefault="00DD28BE">
      <w:pPr>
        <w:pStyle w:val="Titre10"/>
        <w:widowControl w:val="0"/>
        <w:jc w:val="center"/>
        <w:rPr>
          <w:rFonts w:ascii="Arial" w:eastAsia="Arial" w:hAnsi="Arial" w:cs="Arial"/>
          <w:b/>
          <w:color w:val="000000"/>
        </w:rPr>
      </w:pPr>
    </w:p>
    <w:p w14:paraId="0266C2F8" w14:textId="05839533" w:rsidR="00DD28BE" w:rsidRDefault="00DB4C95">
      <w:pPr>
        <w:pStyle w:val="Titre10"/>
      </w:pPr>
      <w:proofErr w:type="spellStart"/>
      <w:r>
        <w:rPr>
          <w:rFonts w:ascii="Arial" w:eastAsia="Arial" w:hAnsi="Arial" w:cs="Arial"/>
          <w:b/>
        </w:rPr>
        <w:t>Ref</w:t>
      </w:r>
      <w:proofErr w:type="spellEnd"/>
      <w:r>
        <w:rPr>
          <w:rFonts w:ascii="Arial" w:eastAsia="Arial" w:hAnsi="Arial" w:cs="Arial"/>
          <w:b/>
        </w:rPr>
        <w:t xml:space="preserve">. </w:t>
      </w:r>
      <w:proofErr w:type="gramStart"/>
      <w:r>
        <w:rPr>
          <w:rFonts w:ascii="Arial" w:eastAsia="Arial" w:hAnsi="Arial" w:cs="Arial"/>
          <w:b/>
        </w:rPr>
        <w:t>de</w:t>
      </w:r>
      <w:proofErr w:type="gramEnd"/>
      <w:r>
        <w:rPr>
          <w:rFonts w:ascii="Arial" w:eastAsia="Arial" w:hAnsi="Arial" w:cs="Arial"/>
          <w:b/>
        </w:rPr>
        <w:t xml:space="preserve"> la consultation : </w:t>
      </w:r>
      <w:r w:rsidR="00CA13EB">
        <w:rPr>
          <w:b/>
        </w:rPr>
        <w:t>2025-LABSTICC-SPACETECH-DRONETECH</w:t>
      </w:r>
    </w:p>
    <w:p w14:paraId="3B52582B" w14:textId="77777777" w:rsidR="00DD28BE" w:rsidRDefault="00DD28BE">
      <w:pPr>
        <w:widowControl w:val="0"/>
        <w:jc w:val="center"/>
        <w:rPr>
          <w:rFonts w:ascii="Arial" w:eastAsia="Arial" w:hAnsi="Arial" w:cs="Arial"/>
          <w:b/>
          <w:color w:val="FF0000"/>
          <w:highlight w:val="yellow"/>
        </w:rPr>
      </w:pPr>
    </w:p>
    <w:p w14:paraId="610D4CAD" w14:textId="77777777" w:rsidR="00DD28BE" w:rsidRDefault="00DD28BE">
      <w:pPr>
        <w:spacing w:line="240" w:lineRule="exact"/>
        <w:rPr>
          <w:color w:val="FF0000"/>
        </w:rPr>
      </w:pPr>
    </w:p>
    <w:tbl>
      <w:tblPr>
        <w:tblW w:w="8363" w:type="dxa"/>
        <w:tblInd w:w="851" w:type="dxa"/>
        <w:tblLayout w:type="fixed"/>
        <w:tblCellMar>
          <w:top w:w="400" w:type="dxa"/>
          <w:left w:w="0" w:type="dxa"/>
          <w:bottom w:w="400" w:type="dxa"/>
          <w:right w:w="0" w:type="dxa"/>
        </w:tblCellMar>
        <w:tblLook w:val="04A0" w:firstRow="1" w:lastRow="0" w:firstColumn="1" w:lastColumn="0" w:noHBand="0" w:noVBand="1"/>
      </w:tblPr>
      <w:tblGrid>
        <w:gridCol w:w="8363"/>
      </w:tblGrid>
      <w:tr w:rsidR="00DD28BE" w:rsidRPr="00DB4C95" w14:paraId="765DFB5E" w14:textId="77777777" w:rsidTr="004E5FC5">
        <w:tc>
          <w:tcPr>
            <w:tcW w:w="8363" w:type="dxa"/>
            <w:tcBorders>
              <w:top w:val="single" w:sz="4" w:space="0" w:color="000000"/>
              <w:bottom w:val="single" w:sz="4" w:space="0" w:color="000000"/>
            </w:tcBorders>
            <w:vAlign w:val="center"/>
          </w:tcPr>
          <w:p w14:paraId="6B70F5B9" w14:textId="7377668B" w:rsidR="00CA13EB" w:rsidRDefault="00DB4C95" w:rsidP="004E5FC5">
            <w:pPr>
              <w:widowControl w:val="0"/>
              <w:spacing w:line="322" w:lineRule="exact"/>
              <w:ind w:left="-433" w:right="-838"/>
              <w:jc w:val="center"/>
              <w:rPr>
                <w:rFonts w:ascii="Segoe UI" w:eastAsia="Arial" w:hAnsi="Segoe UI" w:cs="Segoe UI"/>
                <w:b/>
                <w:lang w:val="fr-FR" w:eastAsia="zh-CN" w:bidi="hi-IN"/>
              </w:rPr>
            </w:pPr>
            <w:bookmarkStart w:id="0" w:name="_Hlk137022192"/>
            <w:r>
              <w:rPr>
                <w:rFonts w:ascii="Segoe UI" w:eastAsia="Arial" w:hAnsi="Segoe UI" w:cs="Segoe UI"/>
                <w:b/>
                <w:lang w:val="fr-FR" w:eastAsia="zh-CN" w:bidi="hi-IN"/>
              </w:rPr>
              <w:t xml:space="preserve">Fourniture et livraison </w:t>
            </w:r>
            <w:bookmarkEnd w:id="0"/>
            <w:r w:rsidR="00CA13EB">
              <w:rPr>
                <w:rFonts w:ascii="Segoe UI" w:eastAsia="Arial" w:hAnsi="Segoe UI" w:cs="Segoe UI"/>
                <w:b/>
                <w:lang w:val="fr-FR" w:eastAsia="zh-CN" w:bidi="hi-IN"/>
              </w:rPr>
              <w:t xml:space="preserve">de moyens optiques et </w:t>
            </w:r>
            <w:proofErr w:type="spellStart"/>
            <w:r w:rsidR="00CA13EB">
              <w:rPr>
                <w:rFonts w:ascii="Segoe UI" w:eastAsia="Arial" w:hAnsi="Segoe UI" w:cs="Segoe UI"/>
                <w:b/>
                <w:lang w:val="fr-FR" w:eastAsia="zh-CN" w:bidi="hi-IN"/>
              </w:rPr>
              <w:t>électricques</w:t>
            </w:r>
            <w:proofErr w:type="spellEnd"/>
          </w:p>
          <w:p w14:paraId="4F265101" w14:textId="77777777" w:rsidR="004E5FC5" w:rsidRDefault="00CA13EB" w:rsidP="004E5FC5">
            <w:pPr>
              <w:widowControl w:val="0"/>
              <w:spacing w:line="322" w:lineRule="exact"/>
              <w:ind w:left="-433" w:right="-838"/>
              <w:jc w:val="center"/>
              <w:rPr>
                <w:rFonts w:ascii="Segoe UI" w:eastAsia="Arial" w:hAnsi="Segoe UI" w:cs="Segoe UI"/>
                <w:b/>
                <w:lang w:val="fr-FR" w:eastAsia="zh-CN" w:bidi="hi-IN"/>
              </w:rPr>
            </w:pPr>
            <w:proofErr w:type="spellStart"/>
            <w:proofErr w:type="gramStart"/>
            <w:r>
              <w:rPr>
                <w:rFonts w:ascii="Segoe UI" w:eastAsia="Arial" w:hAnsi="Segoe UI" w:cs="Segoe UI"/>
                <w:b/>
                <w:lang w:val="fr-FR" w:eastAsia="zh-CN" w:bidi="hi-IN"/>
              </w:rPr>
              <w:t>opto</w:t>
            </w:r>
            <w:proofErr w:type="spellEnd"/>
            <w:proofErr w:type="gramEnd"/>
            <w:r>
              <w:rPr>
                <w:rFonts w:ascii="Segoe UI" w:eastAsia="Arial" w:hAnsi="Segoe UI" w:cs="Segoe UI"/>
                <w:b/>
                <w:lang w:val="fr-FR" w:eastAsia="zh-CN" w:bidi="hi-IN"/>
              </w:rPr>
              <w:t>-hyper</w:t>
            </w:r>
            <w:r w:rsidR="004E5FC5">
              <w:rPr>
                <w:rFonts w:ascii="Segoe UI" w:eastAsia="Arial" w:hAnsi="Segoe UI" w:cs="Segoe UI"/>
                <w:b/>
                <w:lang w:val="fr-FR" w:eastAsia="zh-CN" w:bidi="hi-IN"/>
              </w:rPr>
              <w:t>(1 lot)</w:t>
            </w:r>
            <w:r>
              <w:rPr>
                <w:rFonts w:ascii="Segoe UI" w:eastAsia="Arial" w:hAnsi="Segoe UI" w:cs="Segoe UI"/>
                <w:b/>
                <w:lang w:val="fr-FR" w:eastAsia="zh-CN" w:bidi="hi-IN"/>
              </w:rPr>
              <w:t xml:space="preserve"> et d’un </w:t>
            </w:r>
            <w:r w:rsidR="004E5FC5">
              <w:rPr>
                <w:rFonts w:ascii="Segoe UI" w:eastAsia="Arial" w:hAnsi="Segoe UI" w:cs="Segoe UI"/>
                <w:b/>
                <w:lang w:val="fr-FR" w:eastAsia="zh-CN" w:bidi="hi-IN"/>
              </w:rPr>
              <w:t>système</w:t>
            </w:r>
            <w:r>
              <w:rPr>
                <w:rFonts w:ascii="Segoe UI" w:eastAsia="Arial" w:hAnsi="Segoe UI" w:cs="Segoe UI"/>
                <w:b/>
                <w:lang w:val="fr-FR" w:eastAsia="zh-CN" w:bidi="hi-IN"/>
              </w:rPr>
              <w:t xml:space="preserve"> de </w:t>
            </w:r>
            <w:proofErr w:type="spellStart"/>
            <w:r>
              <w:rPr>
                <w:rFonts w:ascii="Segoe UI" w:eastAsia="Arial" w:hAnsi="Segoe UI" w:cs="Segoe UI"/>
                <w:b/>
                <w:lang w:val="fr-FR" w:eastAsia="zh-CN" w:bidi="hi-IN"/>
              </w:rPr>
              <w:t>contr</w:t>
            </w:r>
            <w:r w:rsidR="004E5FC5">
              <w:rPr>
                <w:rFonts w:ascii="Segoe UI" w:eastAsia="Arial" w:hAnsi="Segoe UI" w:cs="Segoe UI"/>
                <w:b/>
                <w:lang w:val="fr-FR" w:eastAsia="zh-CN" w:bidi="hi-IN"/>
              </w:rPr>
              <w:t>ôl</w:t>
            </w:r>
            <w:proofErr w:type="spellEnd"/>
            <w:r w:rsidR="004E5FC5">
              <w:rPr>
                <w:rFonts w:ascii="Segoe UI" w:eastAsia="Arial" w:hAnsi="Segoe UI" w:cs="Segoe UI"/>
                <w:b/>
                <w:lang w:val="fr-FR" w:eastAsia="zh-CN" w:bidi="hi-IN"/>
              </w:rPr>
              <w:t xml:space="preserve"> immersif(</w:t>
            </w:r>
            <w:proofErr w:type="spellStart"/>
            <w:r w:rsidR="004E5FC5">
              <w:rPr>
                <w:rFonts w:ascii="Segoe UI" w:eastAsia="Arial" w:hAnsi="Segoe UI" w:cs="Segoe UI"/>
                <w:b/>
                <w:lang w:val="fr-FR" w:eastAsia="zh-CN" w:bidi="hi-IN"/>
              </w:rPr>
              <w:t>controlroom</w:t>
            </w:r>
            <w:proofErr w:type="spellEnd"/>
            <w:r w:rsidR="004E5FC5">
              <w:rPr>
                <w:rFonts w:ascii="Segoe UI" w:eastAsia="Arial" w:hAnsi="Segoe UI" w:cs="Segoe UI"/>
                <w:b/>
                <w:lang w:val="fr-FR" w:eastAsia="zh-CN" w:bidi="hi-IN"/>
              </w:rPr>
              <w:t>)</w:t>
            </w:r>
          </w:p>
          <w:p w14:paraId="56437EA2" w14:textId="633DA66B" w:rsidR="00DD28BE" w:rsidRDefault="004E5FC5" w:rsidP="004E5FC5">
            <w:pPr>
              <w:widowControl w:val="0"/>
              <w:spacing w:line="322" w:lineRule="exact"/>
              <w:ind w:left="-433" w:right="-838"/>
              <w:jc w:val="center"/>
              <w:rPr>
                <w:rFonts w:ascii="Arial" w:eastAsia="Arial" w:hAnsi="Arial" w:cs="Arial"/>
                <w:b/>
                <w:color w:val="FF0000"/>
                <w:sz w:val="28"/>
                <w:highlight w:val="yellow"/>
                <w:lang w:val="fr-FR"/>
              </w:rPr>
            </w:pPr>
            <w:r>
              <w:rPr>
                <w:rFonts w:ascii="Segoe UI" w:eastAsia="Arial" w:hAnsi="Segoe UI" w:cs="Segoe UI"/>
                <w:b/>
                <w:lang w:val="fr-FR" w:eastAsia="zh-CN" w:bidi="hi-IN"/>
              </w:rPr>
              <w:t>(3 lots)</w:t>
            </w:r>
          </w:p>
        </w:tc>
      </w:tr>
    </w:tbl>
    <w:p w14:paraId="0E814248" w14:textId="46A5E552" w:rsidR="00DD28BE" w:rsidRPr="00DB4C95" w:rsidRDefault="00DD28BE" w:rsidP="004E5FC5">
      <w:pPr>
        <w:spacing w:line="240" w:lineRule="exact"/>
        <w:jc w:val="center"/>
        <w:rPr>
          <w:lang w:val="fr-FR"/>
        </w:rPr>
      </w:pPr>
    </w:p>
    <w:p w14:paraId="0FD884D3" w14:textId="77777777" w:rsidR="00DD28BE" w:rsidRPr="00DB4C95" w:rsidRDefault="00DD28BE">
      <w:pPr>
        <w:spacing w:line="240" w:lineRule="exact"/>
        <w:rPr>
          <w:lang w:val="fr-FR"/>
        </w:rPr>
      </w:pPr>
    </w:p>
    <w:p w14:paraId="006C3CC4" w14:textId="08FB84B4" w:rsidR="00DD28BE" w:rsidRPr="00DB4C95" w:rsidRDefault="00DB4C95">
      <w:pPr>
        <w:spacing w:line="240" w:lineRule="exact"/>
        <w:jc w:val="center"/>
        <w:rPr>
          <w:rFonts w:ascii="Arial" w:hAnsi="Arial" w:cs="Arial"/>
          <w:b/>
          <w:bCs/>
          <w:sz w:val="28"/>
          <w:szCs w:val="28"/>
          <w:u w:val="single"/>
          <w:lang w:val="fr-FR"/>
        </w:rPr>
      </w:pPr>
      <w:r w:rsidRPr="00311ECB">
        <w:rPr>
          <w:rFonts w:ascii="Arial" w:hAnsi="Arial" w:cs="Arial"/>
          <w:b/>
          <w:bCs/>
          <w:sz w:val="28"/>
          <w:szCs w:val="28"/>
          <w:u w:val="single"/>
          <w:lang w:val="fr-FR"/>
        </w:rPr>
        <w:t xml:space="preserve">Date limite de </w:t>
      </w:r>
      <w:proofErr w:type="spellStart"/>
      <w:r w:rsidRPr="00311ECB">
        <w:rPr>
          <w:rFonts w:ascii="Arial" w:hAnsi="Arial" w:cs="Arial"/>
          <w:b/>
          <w:bCs/>
          <w:sz w:val="28"/>
          <w:szCs w:val="28"/>
          <w:u w:val="single"/>
          <w:lang w:val="fr-FR"/>
        </w:rPr>
        <w:t>dépot</w:t>
      </w:r>
      <w:proofErr w:type="spellEnd"/>
      <w:r w:rsidRPr="00311ECB">
        <w:rPr>
          <w:rFonts w:ascii="Arial" w:hAnsi="Arial" w:cs="Arial"/>
          <w:b/>
          <w:bCs/>
          <w:sz w:val="28"/>
          <w:szCs w:val="28"/>
          <w:u w:val="single"/>
          <w:lang w:val="fr-FR"/>
        </w:rPr>
        <w:t xml:space="preserve"> des offres : </w:t>
      </w:r>
      <w:r w:rsidR="004E5FC5" w:rsidRPr="00E06285">
        <w:rPr>
          <w:rFonts w:ascii="Arial" w:hAnsi="Arial" w:cs="Arial"/>
          <w:b/>
          <w:bCs/>
          <w:sz w:val="28"/>
          <w:szCs w:val="28"/>
          <w:u w:val="single"/>
          <w:shd w:val="clear" w:color="auto" w:fill="FFFF00"/>
          <w:lang w:val="fr-FR"/>
        </w:rPr>
        <w:t>3 novembre 2025 à 16 heures</w:t>
      </w:r>
    </w:p>
    <w:p w14:paraId="5363E1D3" w14:textId="77777777" w:rsidR="00DD28BE" w:rsidRPr="00DB4C95" w:rsidRDefault="00DD28BE">
      <w:pPr>
        <w:spacing w:line="240" w:lineRule="exact"/>
        <w:rPr>
          <w:lang w:val="fr-FR"/>
        </w:rPr>
      </w:pPr>
    </w:p>
    <w:p w14:paraId="39DB4574" w14:textId="77777777" w:rsidR="00DD28BE" w:rsidRPr="00DB4C95" w:rsidRDefault="00DD28BE">
      <w:pPr>
        <w:spacing w:after="220" w:line="240" w:lineRule="exact"/>
        <w:rPr>
          <w:lang w:val="fr-FR"/>
        </w:rPr>
      </w:pPr>
    </w:p>
    <w:p w14:paraId="2C04445D" w14:textId="723A57BC" w:rsidR="00DD28BE" w:rsidRDefault="004E5FC5">
      <w:pPr>
        <w:spacing w:line="276" w:lineRule="exact"/>
        <w:ind w:left="20" w:right="20"/>
        <w:jc w:val="center"/>
        <w:rPr>
          <w:rFonts w:ascii="Arial" w:eastAsia="Arial" w:hAnsi="Arial" w:cs="Arial"/>
          <w:color w:val="000000"/>
          <w:lang w:val="fr-FR"/>
        </w:rPr>
      </w:pPr>
      <w:bookmarkStart w:id="1" w:name="_Hlk208991841"/>
      <w:r>
        <w:rPr>
          <w:rFonts w:ascii="Arial" w:eastAsia="Arial" w:hAnsi="Arial" w:cs="Arial"/>
          <w:b/>
          <w:color w:val="000000"/>
          <w:lang w:val="fr-FR"/>
        </w:rPr>
        <w:t>Bretagne INP</w:t>
      </w:r>
    </w:p>
    <w:p w14:paraId="3ABF79BB" w14:textId="77777777" w:rsidR="00DD28BE" w:rsidRDefault="00DB4C95">
      <w:pPr>
        <w:spacing w:line="276" w:lineRule="exact"/>
        <w:ind w:left="20" w:right="20"/>
        <w:jc w:val="center"/>
        <w:rPr>
          <w:rFonts w:ascii="Arial" w:eastAsia="Arial" w:hAnsi="Arial" w:cs="Arial"/>
          <w:color w:val="000000"/>
          <w:lang w:val="fr-FR"/>
        </w:rPr>
      </w:pPr>
      <w:r>
        <w:rPr>
          <w:rFonts w:ascii="Arial" w:eastAsia="Arial" w:hAnsi="Arial" w:cs="Arial"/>
          <w:color w:val="000000"/>
          <w:lang w:val="fr-FR"/>
        </w:rPr>
        <w:t>Technopôle Brest Iroise</w:t>
      </w:r>
    </w:p>
    <w:p w14:paraId="5EADBB85" w14:textId="77777777" w:rsidR="00DD28BE" w:rsidRDefault="00DB4C95">
      <w:pPr>
        <w:spacing w:line="276" w:lineRule="exact"/>
        <w:ind w:left="20" w:right="20"/>
        <w:jc w:val="center"/>
        <w:rPr>
          <w:rFonts w:ascii="Arial" w:eastAsia="Arial" w:hAnsi="Arial" w:cs="Arial"/>
          <w:color w:val="000000"/>
          <w:lang w:val="fr-FR"/>
        </w:rPr>
      </w:pPr>
      <w:r>
        <w:rPr>
          <w:rFonts w:ascii="Arial" w:eastAsia="Arial" w:hAnsi="Arial" w:cs="Arial"/>
          <w:color w:val="000000"/>
          <w:lang w:val="fr-FR"/>
        </w:rPr>
        <w:t>945 Avenue du technopôle</w:t>
      </w:r>
    </w:p>
    <w:p w14:paraId="49FFCD2F" w14:textId="77777777" w:rsidR="00DD28BE" w:rsidRDefault="00DB4C95">
      <w:pPr>
        <w:spacing w:line="276" w:lineRule="exact"/>
        <w:ind w:left="20" w:right="20"/>
        <w:jc w:val="center"/>
        <w:rPr>
          <w:rFonts w:ascii="Arial" w:eastAsia="Arial" w:hAnsi="Arial" w:cs="Arial"/>
          <w:color w:val="000000"/>
          <w:lang w:val="fr-FR"/>
        </w:rPr>
      </w:pPr>
      <w:r>
        <w:rPr>
          <w:rFonts w:ascii="Arial" w:eastAsia="Arial" w:hAnsi="Arial" w:cs="Arial"/>
          <w:color w:val="000000"/>
          <w:lang w:val="fr-FR"/>
        </w:rPr>
        <w:t>29280 PLOUZANE</w:t>
      </w:r>
    </w:p>
    <w:bookmarkEnd w:id="1"/>
    <w:p w14:paraId="756F652E" w14:textId="77777777" w:rsidR="00DD28BE" w:rsidRDefault="00DD28BE">
      <w:pPr>
        <w:spacing w:line="276" w:lineRule="exact"/>
        <w:ind w:left="20" w:right="20"/>
        <w:jc w:val="center"/>
        <w:rPr>
          <w:rFonts w:ascii="Arial" w:eastAsia="Arial" w:hAnsi="Arial" w:cs="Arial"/>
          <w:color w:val="000000"/>
          <w:lang w:val="fr-FR"/>
        </w:rPr>
      </w:pPr>
    </w:p>
    <w:p w14:paraId="4D897F22" w14:textId="77777777" w:rsidR="00DD28BE" w:rsidRDefault="00DD28BE">
      <w:pPr>
        <w:spacing w:line="276" w:lineRule="exact"/>
        <w:ind w:left="20" w:right="20"/>
        <w:jc w:val="right"/>
        <w:rPr>
          <w:rFonts w:ascii="Arial" w:eastAsia="Arial" w:hAnsi="Arial" w:cs="Arial"/>
          <w:color w:val="000000"/>
          <w:lang w:val="fr-FR"/>
        </w:rPr>
      </w:pPr>
    </w:p>
    <w:p w14:paraId="2EDF2B12" w14:textId="77777777" w:rsidR="00DD28BE" w:rsidRDefault="00DD28BE">
      <w:pPr>
        <w:spacing w:line="276" w:lineRule="exact"/>
        <w:ind w:left="20" w:right="20"/>
        <w:jc w:val="right"/>
        <w:rPr>
          <w:rFonts w:ascii="Arial" w:eastAsia="Arial" w:hAnsi="Arial" w:cs="Arial"/>
          <w:color w:val="000000"/>
          <w:lang w:val="fr-FR"/>
        </w:rPr>
      </w:pPr>
    </w:p>
    <w:p w14:paraId="428424B6" w14:textId="77777777" w:rsidR="00DD28BE" w:rsidRDefault="00DD28BE">
      <w:pPr>
        <w:spacing w:line="276" w:lineRule="exact"/>
        <w:ind w:left="20" w:right="20"/>
        <w:jc w:val="right"/>
        <w:rPr>
          <w:rFonts w:ascii="Arial" w:eastAsia="Arial" w:hAnsi="Arial" w:cs="Arial"/>
          <w:color w:val="000000"/>
          <w:lang w:val="fr-FR"/>
        </w:rPr>
      </w:pPr>
    </w:p>
    <w:p w14:paraId="6281256B" w14:textId="77777777" w:rsidR="00DD28BE" w:rsidRDefault="00DD28BE">
      <w:pPr>
        <w:spacing w:line="276" w:lineRule="exact"/>
        <w:ind w:left="20" w:right="20"/>
        <w:jc w:val="right"/>
        <w:rPr>
          <w:rFonts w:ascii="Arial" w:eastAsia="Arial" w:hAnsi="Arial" w:cs="Arial"/>
          <w:color w:val="000000"/>
          <w:lang w:val="fr-FR"/>
        </w:rPr>
      </w:pPr>
    </w:p>
    <w:p w14:paraId="0F8568C5" w14:textId="77777777" w:rsidR="00DD28BE" w:rsidRDefault="00DD28BE">
      <w:pPr>
        <w:spacing w:line="276" w:lineRule="exact"/>
        <w:ind w:right="20"/>
        <w:jc w:val="right"/>
        <w:rPr>
          <w:rFonts w:ascii="Arial" w:eastAsia="Arial" w:hAnsi="Arial" w:cs="Arial"/>
          <w:color w:val="000000"/>
          <w:lang w:val="fr-FR"/>
        </w:rPr>
      </w:pPr>
    </w:p>
    <w:p w14:paraId="0C10FA74" w14:textId="77777777" w:rsidR="00DD28BE" w:rsidRDefault="00DD28BE">
      <w:pPr>
        <w:spacing w:line="276" w:lineRule="exact"/>
        <w:ind w:right="20"/>
        <w:jc w:val="right"/>
        <w:rPr>
          <w:rFonts w:ascii="Arial" w:eastAsia="Arial" w:hAnsi="Arial" w:cs="Arial"/>
          <w:color w:val="000000"/>
          <w:lang w:val="fr-FR"/>
        </w:rPr>
      </w:pPr>
    </w:p>
    <w:p w14:paraId="0264E00D" w14:textId="77777777" w:rsidR="00DD28BE" w:rsidRDefault="00DD28BE">
      <w:pPr>
        <w:spacing w:line="276" w:lineRule="exact"/>
        <w:ind w:left="20" w:right="20"/>
        <w:jc w:val="right"/>
        <w:rPr>
          <w:rFonts w:ascii="Arial" w:eastAsia="Arial" w:hAnsi="Arial" w:cs="Arial"/>
          <w:color w:val="000000"/>
          <w:lang w:val="fr-FR"/>
        </w:rPr>
      </w:pPr>
    </w:p>
    <w:p w14:paraId="72F41721" w14:textId="035A24BB" w:rsidR="00DD28BE" w:rsidRDefault="004E5FC5">
      <w:pPr>
        <w:spacing w:line="276" w:lineRule="exact"/>
        <w:ind w:left="20" w:right="20"/>
        <w:jc w:val="right"/>
        <w:rPr>
          <w:rFonts w:ascii="Arial" w:eastAsia="Arial" w:hAnsi="Arial" w:cs="Arial"/>
          <w:color w:val="000000"/>
          <w:lang w:val="fr-FR"/>
        </w:rPr>
        <w:sectPr w:rsidR="00DD28BE" w:rsidSect="004E5FC5">
          <w:pgSz w:w="11906" w:h="16838"/>
          <w:pgMar w:top="1134" w:right="1274" w:bottom="1134" w:left="1134" w:header="0" w:footer="0" w:gutter="0"/>
          <w:cols w:space="1701"/>
        </w:sectPr>
      </w:pPr>
      <w:r>
        <w:rPr>
          <w:rFonts w:ascii="Arial" w:eastAsia="Arial" w:hAnsi="Arial" w:cs="Arial"/>
          <w:color w:val="000000"/>
          <w:lang w:val="fr-FR"/>
        </w:rPr>
        <w:t>Bretagne INP, Plouzané le 19 septembre 2025</w:t>
      </w:r>
    </w:p>
    <w:p w14:paraId="192846FA" w14:textId="77777777" w:rsidR="00DD28BE" w:rsidRPr="00DB4C95" w:rsidRDefault="00DD28BE">
      <w:pPr>
        <w:spacing w:line="20" w:lineRule="exact"/>
        <w:rPr>
          <w:sz w:val="2"/>
          <w:lang w:val="fr-FR"/>
        </w:rPr>
      </w:pPr>
    </w:p>
    <w:p w14:paraId="3937A449" w14:textId="77777777" w:rsidR="00DD28BE" w:rsidRDefault="00DB4C95">
      <w:pPr>
        <w:spacing w:after="120"/>
        <w:ind w:left="20" w:right="20"/>
        <w:jc w:val="center"/>
        <w:rPr>
          <w:rFonts w:ascii="Arial" w:eastAsia="Arial" w:hAnsi="Arial" w:cs="Arial"/>
          <w:b/>
          <w:color w:val="000000"/>
          <w:lang w:val="fr-FR"/>
        </w:rPr>
      </w:pPr>
      <w:r>
        <w:rPr>
          <w:rFonts w:ascii="Arial" w:eastAsia="Arial" w:hAnsi="Arial" w:cs="Arial"/>
          <w:b/>
          <w:color w:val="000000"/>
          <w:lang w:val="fr-FR"/>
        </w:rPr>
        <w:t>SOMMAIRE</w:t>
      </w:r>
    </w:p>
    <w:p w14:paraId="26A65897" w14:textId="77777777" w:rsidR="00DD28BE" w:rsidRDefault="00DD28BE">
      <w:pPr>
        <w:spacing w:after="80" w:line="240" w:lineRule="exact"/>
      </w:pPr>
    </w:p>
    <w:sdt>
      <w:sdtPr>
        <w:id w:val="-1887638691"/>
        <w:docPartObj>
          <w:docPartGallery w:val="Table of Contents"/>
          <w:docPartUnique/>
        </w:docPartObj>
      </w:sdtPr>
      <w:sdtEndPr/>
      <w:sdtContent>
        <w:p w14:paraId="56A16B0D" w14:textId="77777777" w:rsidR="00DD28BE" w:rsidRDefault="00DB4C95">
          <w:pPr>
            <w:pStyle w:val="TM1"/>
            <w:tabs>
              <w:tab w:val="right" w:leader="dot" w:pos="9622"/>
            </w:tabs>
            <w:rPr>
              <w:rFonts w:ascii="Calibri" w:hAnsi="Calibri"/>
              <w:sz w:val="22"/>
            </w:rPr>
          </w:pPr>
          <w:r>
            <w:fldChar w:fldCharType="begin"/>
          </w:r>
          <w:r>
            <w:rPr>
              <w:rFonts w:ascii="Arial" w:eastAsia="Arial" w:hAnsi="Arial" w:cs="Arial"/>
              <w:color w:val="000000"/>
              <w:lang w:val="fr-FR"/>
            </w:rPr>
            <w:instrText xml:space="preserve"> TOC \o "1-9" \h</w:instrText>
          </w:r>
          <w:r>
            <w:rPr>
              <w:rFonts w:ascii="Arial" w:eastAsia="Arial" w:hAnsi="Arial" w:cs="Arial"/>
              <w:color w:val="000000"/>
              <w:lang w:val="fr-FR"/>
            </w:rPr>
            <w:fldChar w:fldCharType="separate"/>
          </w:r>
          <w:r>
            <w:rPr>
              <w:rFonts w:ascii="Arial" w:eastAsia="Arial" w:hAnsi="Arial" w:cs="Arial"/>
              <w:color w:val="000000"/>
              <w:lang w:val="fr-FR"/>
            </w:rPr>
            <w:t>1 - Dispositions générales du contrat</w:t>
          </w:r>
          <w:r>
            <w:rPr>
              <w:rFonts w:ascii="Arial" w:eastAsia="Arial" w:hAnsi="Arial" w:cs="Arial"/>
            </w:rPr>
            <w:tab/>
            <w:t>3</w:t>
          </w:r>
        </w:p>
        <w:p w14:paraId="0994B588" w14:textId="77777777" w:rsidR="00DD28BE" w:rsidRDefault="00DB4C95">
          <w:pPr>
            <w:pStyle w:val="TM2"/>
            <w:tabs>
              <w:tab w:val="right" w:leader="dot" w:pos="9622"/>
            </w:tabs>
            <w:rPr>
              <w:rFonts w:ascii="Calibri" w:hAnsi="Calibri"/>
              <w:sz w:val="22"/>
            </w:rPr>
          </w:pPr>
          <w:r>
            <w:rPr>
              <w:rFonts w:ascii="Arial" w:eastAsia="Arial" w:hAnsi="Arial" w:cs="Arial"/>
              <w:color w:val="000000"/>
              <w:lang w:val="fr-FR"/>
            </w:rPr>
            <w:t>1.1 - Objet du contrat</w:t>
          </w:r>
          <w:r>
            <w:rPr>
              <w:rFonts w:ascii="Arial" w:eastAsia="Arial" w:hAnsi="Arial" w:cs="Arial"/>
            </w:rPr>
            <w:tab/>
            <w:t>3</w:t>
          </w:r>
        </w:p>
        <w:p w14:paraId="2904D3C9" w14:textId="77777777" w:rsidR="00DD28BE" w:rsidRDefault="00DB4C95">
          <w:pPr>
            <w:pStyle w:val="TM2"/>
            <w:tabs>
              <w:tab w:val="right" w:leader="dot" w:pos="9622"/>
            </w:tabs>
            <w:rPr>
              <w:rFonts w:ascii="Calibri" w:hAnsi="Calibri"/>
              <w:sz w:val="22"/>
            </w:rPr>
          </w:pPr>
          <w:r>
            <w:rPr>
              <w:rFonts w:ascii="Arial" w:eastAsia="Arial" w:hAnsi="Arial" w:cs="Arial"/>
              <w:color w:val="000000"/>
              <w:lang w:val="fr-FR"/>
            </w:rPr>
            <w:t>1.2 - Décomposition du contrat</w:t>
          </w:r>
          <w:r>
            <w:rPr>
              <w:rFonts w:ascii="Arial" w:eastAsia="Arial" w:hAnsi="Arial" w:cs="Arial"/>
            </w:rPr>
            <w:tab/>
            <w:t>3</w:t>
          </w:r>
        </w:p>
        <w:p w14:paraId="393D9465" w14:textId="77777777" w:rsidR="00DD28BE" w:rsidRDefault="00DB4C95">
          <w:pPr>
            <w:pStyle w:val="TM1"/>
            <w:tabs>
              <w:tab w:val="right" w:leader="dot" w:pos="9622"/>
            </w:tabs>
            <w:rPr>
              <w:rFonts w:ascii="Calibri" w:hAnsi="Calibri"/>
              <w:sz w:val="22"/>
            </w:rPr>
          </w:pPr>
          <w:r>
            <w:rPr>
              <w:rFonts w:ascii="Arial" w:eastAsia="Arial" w:hAnsi="Arial" w:cs="Arial"/>
              <w:color w:val="000000"/>
              <w:lang w:val="fr-FR"/>
            </w:rPr>
            <w:t>2 - Pièces contractuelles</w:t>
          </w:r>
          <w:r>
            <w:rPr>
              <w:rFonts w:ascii="Arial" w:eastAsia="Arial" w:hAnsi="Arial" w:cs="Arial"/>
            </w:rPr>
            <w:tab/>
            <w:t>3</w:t>
          </w:r>
        </w:p>
        <w:p w14:paraId="0A72C062" w14:textId="77777777" w:rsidR="00DD28BE" w:rsidRDefault="00DB4C95">
          <w:pPr>
            <w:pStyle w:val="TM1"/>
            <w:tabs>
              <w:tab w:val="right" w:leader="dot" w:pos="9622"/>
            </w:tabs>
            <w:rPr>
              <w:rFonts w:ascii="Calibri" w:hAnsi="Calibri"/>
              <w:sz w:val="22"/>
            </w:rPr>
          </w:pPr>
          <w:r>
            <w:rPr>
              <w:rFonts w:ascii="Arial" w:eastAsia="Arial" w:hAnsi="Arial" w:cs="Arial"/>
              <w:color w:val="000000"/>
              <w:lang w:val="fr-FR"/>
            </w:rPr>
            <w:t>3 - Intervenants</w:t>
          </w:r>
          <w:r>
            <w:rPr>
              <w:rFonts w:ascii="Arial" w:eastAsia="Arial" w:hAnsi="Arial" w:cs="Arial"/>
            </w:rPr>
            <w:tab/>
            <w:t>3</w:t>
          </w:r>
        </w:p>
        <w:p w14:paraId="6F4B3356" w14:textId="77777777" w:rsidR="00DD28BE" w:rsidRDefault="00DB4C95">
          <w:pPr>
            <w:pStyle w:val="TM2"/>
            <w:tabs>
              <w:tab w:val="right" w:leader="dot" w:pos="9622"/>
            </w:tabs>
            <w:rPr>
              <w:rFonts w:ascii="Calibri" w:hAnsi="Calibri"/>
              <w:sz w:val="22"/>
            </w:rPr>
          </w:pPr>
          <w:r>
            <w:rPr>
              <w:rFonts w:ascii="Arial" w:eastAsia="Arial" w:hAnsi="Arial" w:cs="Arial"/>
              <w:color w:val="000000"/>
              <w:lang w:val="fr-FR"/>
            </w:rPr>
            <w:t>3.1 - Désignation de l'acheteur</w:t>
          </w:r>
          <w:r>
            <w:rPr>
              <w:rFonts w:ascii="Arial" w:eastAsia="Arial" w:hAnsi="Arial" w:cs="Arial"/>
            </w:rPr>
            <w:tab/>
            <w:t>3</w:t>
          </w:r>
        </w:p>
        <w:p w14:paraId="32FD4BE0" w14:textId="77777777" w:rsidR="00DD28BE" w:rsidRDefault="00DB4C95">
          <w:pPr>
            <w:pStyle w:val="TM2"/>
            <w:tabs>
              <w:tab w:val="right" w:leader="dot" w:pos="9622"/>
            </w:tabs>
            <w:rPr>
              <w:rFonts w:ascii="Calibri" w:hAnsi="Calibri"/>
              <w:sz w:val="22"/>
            </w:rPr>
          </w:pPr>
          <w:r>
            <w:rPr>
              <w:rFonts w:ascii="Arial" w:eastAsia="Arial" w:hAnsi="Arial" w:cs="Arial"/>
              <w:color w:val="000000"/>
              <w:lang w:val="fr-FR"/>
            </w:rPr>
            <w:t>3.2 - Représentant de l'acheteur</w:t>
          </w:r>
          <w:r>
            <w:rPr>
              <w:rFonts w:ascii="Arial" w:eastAsia="Arial" w:hAnsi="Arial" w:cs="Arial"/>
            </w:rPr>
            <w:tab/>
            <w:t>3</w:t>
          </w:r>
        </w:p>
        <w:p w14:paraId="3A549DED" w14:textId="77777777" w:rsidR="00DD28BE" w:rsidRDefault="00DB4C95">
          <w:pPr>
            <w:pStyle w:val="TM1"/>
            <w:tabs>
              <w:tab w:val="right" w:leader="dot" w:pos="9622"/>
            </w:tabs>
            <w:rPr>
              <w:rFonts w:ascii="Calibri" w:hAnsi="Calibri"/>
              <w:sz w:val="22"/>
            </w:rPr>
          </w:pPr>
          <w:r>
            <w:rPr>
              <w:rFonts w:ascii="Arial" w:eastAsia="Arial" w:hAnsi="Arial" w:cs="Arial"/>
              <w:color w:val="000000"/>
              <w:lang w:val="fr-FR"/>
            </w:rPr>
            <w:t>4 - Durée et délais d'exécution</w:t>
          </w:r>
          <w:r>
            <w:rPr>
              <w:rFonts w:ascii="Arial" w:eastAsia="Arial" w:hAnsi="Arial" w:cs="Arial"/>
            </w:rPr>
            <w:tab/>
            <w:t>3</w:t>
          </w:r>
        </w:p>
        <w:p w14:paraId="5B3B66DC" w14:textId="77777777" w:rsidR="00DD28BE" w:rsidRDefault="00DB4C95">
          <w:pPr>
            <w:pStyle w:val="TM2"/>
            <w:tabs>
              <w:tab w:val="right" w:leader="dot" w:pos="9622"/>
            </w:tabs>
            <w:rPr>
              <w:rFonts w:ascii="Calibri" w:hAnsi="Calibri"/>
              <w:sz w:val="22"/>
            </w:rPr>
          </w:pPr>
          <w:r>
            <w:rPr>
              <w:rFonts w:ascii="Arial" w:eastAsia="Arial" w:hAnsi="Arial" w:cs="Arial"/>
              <w:color w:val="000000"/>
              <w:lang w:val="fr-FR"/>
            </w:rPr>
            <w:t>4.1 - Délai de livraison</w:t>
          </w:r>
          <w:r>
            <w:rPr>
              <w:rFonts w:ascii="Arial" w:eastAsia="Arial" w:hAnsi="Arial" w:cs="Arial"/>
            </w:rPr>
            <w:tab/>
            <w:t>3</w:t>
          </w:r>
        </w:p>
        <w:p w14:paraId="10E5F6FE" w14:textId="77777777" w:rsidR="00DD28BE" w:rsidRDefault="00DB4C95">
          <w:pPr>
            <w:pStyle w:val="TM1"/>
            <w:tabs>
              <w:tab w:val="right" w:leader="dot" w:pos="9622"/>
            </w:tabs>
            <w:rPr>
              <w:rFonts w:ascii="Calibri" w:hAnsi="Calibri"/>
              <w:sz w:val="22"/>
            </w:rPr>
          </w:pPr>
          <w:r>
            <w:rPr>
              <w:rFonts w:ascii="Arial" w:eastAsia="Arial" w:hAnsi="Arial" w:cs="Arial"/>
              <w:color w:val="000000"/>
              <w:lang w:val="fr-FR"/>
            </w:rPr>
            <w:t>5 - Prix</w:t>
          </w:r>
          <w:r>
            <w:rPr>
              <w:rFonts w:ascii="Arial" w:eastAsia="Arial" w:hAnsi="Arial" w:cs="Arial"/>
            </w:rPr>
            <w:tab/>
            <w:t>4</w:t>
          </w:r>
        </w:p>
        <w:p w14:paraId="6141256B" w14:textId="77777777" w:rsidR="00DD28BE" w:rsidRDefault="00DB4C95">
          <w:pPr>
            <w:pStyle w:val="TM2"/>
            <w:tabs>
              <w:tab w:val="right" w:leader="dot" w:pos="9622"/>
            </w:tabs>
            <w:rPr>
              <w:rFonts w:ascii="Calibri" w:hAnsi="Calibri"/>
              <w:sz w:val="22"/>
            </w:rPr>
          </w:pPr>
          <w:r>
            <w:rPr>
              <w:rFonts w:ascii="Arial" w:eastAsia="Arial" w:hAnsi="Arial" w:cs="Arial"/>
              <w:color w:val="000000"/>
              <w:lang w:val="fr-FR"/>
            </w:rPr>
            <w:t>5.1 - Caractéristiques des prix pratiqués</w:t>
          </w:r>
          <w:r>
            <w:rPr>
              <w:rFonts w:ascii="Arial" w:eastAsia="Arial" w:hAnsi="Arial" w:cs="Arial"/>
            </w:rPr>
            <w:tab/>
            <w:t>4</w:t>
          </w:r>
        </w:p>
        <w:p w14:paraId="1B456E16" w14:textId="77777777" w:rsidR="00DD28BE" w:rsidRDefault="00DB4C95">
          <w:pPr>
            <w:pStyle w:val="TM2"/>
            <w:tabs>
              <w:tab w:val="right" w:leader="dot" w:pos="9622"/>
            </w:tabs>
            <w:rPr>
              <w:rFonts w:ascii="Calibri" w:hAnsi="Calibri"/>
              <w:sz w:val="22"/>
            </w:rPr>
          </w:pPr>
          <w:r>
            <w:rPr>
              <w:rFonts w:ascii="Arial" w:eastAsia="Arial" w:hAnsi="Arial" w:cs="Arial"/>
              <w:color w:val="000000"/>
              <w:lang w:val="fr-FR"/>
            </w:rPr>
            <w:t>5.2 - Modalités de variation des prix</w:t>
          </w:r>
          <w:r>
            <w:rPr>
              <w:rFonts w:ascii="Arial" w:eastAsia="Arial" w:hAnsi="Arial" w:cs="Arial"/>
            </w:rPr>
            <w:tab/>
            <w:t>4</w:t>
          </w:r>
        </w:p>
        <w:p w14:paraId="519D1144" w14:textId="77777777" w:rsidR="00DD28BE" w:rsidRDefault="00DB4C95">
          <w:pPr>
            <w:pStyle w:val="TM1"/>
            <w:tabs>
              <w:tab w:val="right" w:leader="dot" w:pos="9622"/>
            </w:tabs>
            <w:rPr>
              <w:rFonts w:ascii="Calibri" w:hAnsi="Calibri"/>
              <w:sz w:val="22"/>
            </w:rPr>
          </w:pPr>
          <w:r>
            <w:rPr>
              <w:rFonts w:ascii="Arial" w:eastAsia="Arial" w:hAnsi="Arial" w:cs="Arial"/>
              <w:color w:val="000000"/>
              <w:lang w:val="fr-FR"/>
            </w:rPr>
            <w:t>6 - Garanties Financières</w:t>
          </w:r>
          <w:r>
            <w:rPr>
              <w:rFonts w:ascii="Arial" w:eastAsia="Arial" w:hAnsi="Arial" w:cs="Arial"/>
            </w:rPr>
            <w:tab/>
            <w:t>4</w:t>
          </w:r>
        </w:p>
        <w:p w14:paraId="11AC3E4A" w14:textId="77777777" w:rsidR="00DD28BE" w:rsidRDefault="00DB4C95">
          <w:pPr>
            <w:pStyle w:val="TM1"/>
            <w:tabs>
              <w:tab w:val="right" w:leader="dot" w:pos="9622"/>
            </w:tabs>
            <w:rPr>
              <w:rFonts w:ascii="Calibri" w:hAnsi="Calibri"/>
              <w:sz w:val="22"/>
            </w:rPr>
          </w:pPr>
          <w:r>
            <w:rPr>
              <w:rFonts w:ascii="Arial" w:eastAsia="Arial" w:hAnsi="Arial" w:cs="Arial"/>
              <w:color w:val="000000"/>
              <w:lang w:val="fr-FR"/>
            </w:rPr>
            <w:t>7 - Avance</w:t>
          </w:r>
          <w:r>
            <w:rPr>
              <w:rFonts w:ascii="Arial" w:eastAsia="Arial" w:hAnsi="Arial" w:cs="Arial"/>
            </w:rPr>
            <w:tab/>
            <w:t>4</w:t>
          </w:r>
        </w:p>
        <w:p w14:paraId="17DE5588" w14:textId="77777777" w:rsidR="00DD28BE" w:rsidRDefault="00DB4C95">
          <w:pPr>
            <w:pStyle w:val="TM1"/>
            <w:tabs>
              <w:tab w:val="right" w:leader="dot" w:pos="9622"/>
            </w:tabs>
            <w:rPr>
              <w:rFonts w:ascii="Calibri" w:hAnsi="Calibri"/>
              <w:sz w:val="22"/>
            </w:rPr>
          </w:pPr>
          <w:r>
            <w:rPr>
              <w:rFonts w:ascii="Arial" w:eastAsia="Arial" w:hAnsi="Arial" w:cs="Arial"/>
              <w:color w:val="000000"/>
              <w:lang w:val="fr-FR"/>
            </w:rPr>
            <w:t>8 - Modalités de règlement des comptes</w:t>
          </w:r>
          <w:r>
            <w:rPr>
              <w:rFonts w:ascii="Arial" w:eastAsia="Arial" w:hAnsi="Arial" w:cs="Arial"/>
            </w:rPr>
            <w:tab/>
            <w:t>4</w:t>
          </w:r>
        </w:p>
        <w:p w14:paraId="4784022C" w14:textId="77777777" w:rsidR="00DD28BE" w:rsidRDefault="00DB4C95">
          <w:pPr>
            <w:pStyle w:val="TM2"/>
            <w:tabs>
              <w:tab w:val="right" w:leader="dot" w:pos="9622"/>
            </w:tabs>
            <w:rPr>
              <w:rFonts w:ascii="Calibri" w:hAnsi="Calibri"/>
              <w:sz w:val="22"/>
            </w:rPr>
          </w:pPr>
          <w:r>
            <w:rPr>
              <w:rFonts w:ascii="Arial" w:eastAsia="Arial" w:hAnsi="Arial" w:cs="Arial"/>
              <w:color w:val="000000"/>
              <w:lang w:val="fr-FR"/>
            </w:rPr>
            <w:t>8.1 - Acomptes et paiements partiels définitifs</w:t>
          </w:r>
          <w:r>
            <w:rPr>
              <w:rFonts w:ascii="Arial" w:eastAsia="Arial" w:hAnsi="Arial" w:cs="Arial"/>
            </w:rPr>
            <w:tab/>
            <w:t>4</w:t>
          </w:r>
        </w:p>
        <w:p w14:paraId="2E541B91" w14:textId="77777777" w:rsidR="00DD28BE" w:rsidRDefault="00DB4C95">
          <w:pPr>
            <w:pStyle w:val="TM2"/>
            <w:tabs>
              <w:tab w:val="right" w:leader="dot" w:pos="9622"/>
            </w:tabs>
            <w:rPr>
              <w:rFonts w:ascii="Calibri" w:hAnsi="Calibri"/>
              <w:sz w:val="22"/>
            </w:rPr>
          </w:pPr>
          <w:r>
            <w:rPr>
              <w:rFonts w:ascii="Arial" w:eastAsia="Arial" w:hAnsi="Arial" w:cs="Arial"/>
              <w:color w:val="000000"/>
              <w:lang w:val="fr-FR"/>
            </w:rPr>
            <w:t>8.2 - Présentation des demandes de paiement</w:t>
          </w:r>
          <w:r>
            <w:rPr>
              <w:rFonts w:ascii="Arial" w:eastAsia="Arial" w:hAnsi="Arial" w:cs="Arial"/>
            </w:rPr>
            <w:tab/>
            <w:t>4</w:t>
          </w:r>
        </w:p>
        <w:p w14:paraId="6BB24B63" w14:textId="77777777" w:rsidR="00DD28BE" w:rsidRDefault="00DB4C95">
          <w:pPr>
            <w:pStyle w:val="TM2"/>
            <w:tabs>
              <w:tab w:val="right" w:leader="dot" w:pos="9622"/>
            </w:tabs>
            <w:rPr>
              <w:rFonts w:ascii="Calibri" w:hAnsi="Calibri"/>
              <w:sz w:val="22"/>
            </w:rPr>
          </w:pPr>
          <w:r>
            <w:rPr>
              <w:rFonts w:ascii="Arial" w:eastAsia="Arial" w:hAnsi="Arial" w:cs="Arial"/>
              <w:color w:val="000000"/>
              <w:lang w:val="fr-FR"/>
            </w:rPr>
            <w:t>8.3 - Délai global de paiement</w:t>
          </w:r>
          <w:r>
            <w:rPr>
              <w:rFonts w:ascii="Arial" w:eastAsia="Arial" w:hAnsi="Arial" w:cs="Arial"/>
            </w:rPr>
            <w:tab/>
            <w:t>4</w:t>
          </w:r>
        </w:p>
        <w:p w14:paraId="3202FA45" w14:textId="77777777" w:rsidR="00DD28BE" w:rsidRDefault="00DB4C95">
          <w:pPr>
            <w:pStyle w:val="TM2"/>
            <w:tabs>
              <w:tab w:val="right" w:leader="dot" w:pos="9622"/>
            </w:tabs>
            <w:rPr>
              <w:rFonts w:ascii="Calibri" w:hAnsi="Calibri"/>
              <w:sz w:val="22"/>
            </w:rPr>
          </w:pPr>
          <w:r>
            <w:rPr>
              <w:rFonts w:ascii="Arial" w:eastAsia="Arial" w:hAnsi="Arial" w:cs="Arial"/>
              <w:color w:val="000000"/>
              <w:lang w:val="fr-FR"/>
            </w:rPr>
            <w:t>8.4 - Paiement des cotraitants</w:t>
          </w:r>
          <w:r>
            <w:rPr>
              <w:rFonts w:ascii="Arial" w:eastAsia="Arial" w:hAnsi="Arial" w:cs="Arial"/>
            </w:rPr>
            <w:tab/>
            <w:t>4</w:t>
          </w:r>
        </w:p>
        <w:p w14:paraId="3747F2B9" w14:textId="77777777" w:rsidR="00DD28BE" w:rsidRDefault="00DB4C95">
          <w:pPr>
            <w:pStyle w:val="TM2"/>
            <w:tabs>
              <w:tab w:val="right" w:leader="dot" w:pos="9622"/>
            </w:tabs>
            <w:rPr>
              <w:rFonts w:ascii="Calibri" w:hAnsi="Calibri"/>
              <w:sz w:val="22"/>
            </w:rPr>
          </w:pPr>
          <w:r>
            <w:rPr>
              <w:rFonts w:ascii="Arial" w:eastAsia="Arial" w:hAnsi="Arial" w:cs="Arial"/>
              <w:color w:val="000000"/>
              <w:lang w:val="fr-FR"/>
            </w:rPr>
            <w:t>8.5 - Paiement des sous-traitants</w:t>
          </w:r>
          <w:r>
            <w:rPr>
              <w:rFonts w:ascii="Arial" w:eastAsia="Arial" w:hAnsi="Arial" w:cs="Arial"/>
            </w:rPr>
            <w:tab/>
            <w:t>5</w:t>
          </w:r>
        </w:p>
        <w:p w14:paraId="5E376BE3" w14:textId="77777777" w:rsidR="00DD28BE" w:rsidRDefault="00DB4C95">
          <w:pPr>
            <w:pStyle w:val="TM1"/>
            <w:tabs>
              <w:tab w:val="right" w:leader="dot" w:pos="9622"/>
            </w:tabs>
            <w:rPr>
              <w:rFonts w:ascii="Calibri" w:hAnsi="Calibri"/>
              <w:sz w:val="22"/>
            </w:rPr>
          </w:pPr>
          <w:r>
            <w:rPr>
              <w:rFonts w:ascii="Arial" w:eastAsia="Arial" w:hAnsi="Arial" w:cs="Arial"/>
              <w:color w:val="000000"/>
              <w:lang w:val="fr-FR"/>
            </w:rPr>
            <w:t>9 - Conditions d'exécution des prestations</w:t>
          </w:r>
          <w:r>
            <w:rPr>
              <w:rFonts w:ascii="Arial" w:eastAsia="Arial" w:hAnsi="Arial" w:cs="Arial"/>
            </w:rPr>
            <w:tab/>
            <w:t>5</w:t>
          </w:r>
        </w:p>
        <w:p w14:paraId="0F32C4A6" w14:textId="77777777" w:rsidR="00DD28BE" w:rsidRDefault="00DB4C95">
          <w:pPr>
            <w:pStyle w:val="TM1"/>
            <w:tabs>
              <w:tab w:val="right" w:leader="dot" w:pos="9622"/>
            </w:tabs>
            <w:rPr>
              <w:rFonts w:ascii="Calibri" w:hAnsi="Calibri"/>
              <w:sz w:val="22"/>
            </w:rPr>
          </w:pPr>
          <w:r>
            <w:rPr>
              <w:rFonts w:ascii="Arial" w:eastAsia="Arial" w:hAnsi="Arial" w:cs="Arial"/>
              <w:color w:val="000000"/>
              <w:lang w:val="fr-FR"/>
            </w:rPr>
            <w:t>10 - Constatation de l'exécution des prestations</w:t>
          </w:r>
          <w:r>
            <w:rPr>
              <w:rFonts w:ascii="Arial" w:eastAsia="Arial" w:hAnsi="Arial" w:cs="Arial"/>
            </w:rPr>
            <w:tab/>
            <w:t>5</w:t>
          </w:r>
        </w:p>
        <w:p w14:paraId="29AEDE56" w14:textId="77777777" w:rsidR="00DD28BE" w:rsidRDefault="00DB4C95">
          <w:pPr>
            <w:pStyle w:val="TM2"/>
            <w:tabs>
              <w:tab w:val="right" w:leader="dot" w:pos="9622"/>
            </w:tabs>
            <w:rPr>
              <w:rFonts w:ascii="Calibri" w:hAnsi="Calibri"/>
              <w:sz w:val="22"/>
            </w:rPr>
          </w:pPr>
          <w:r>
            <w:rPr>
              <w:rFonts w:ascii="Arial" w:eastAsia="Arial" w:hAnsi="Arial" w:cs="Arial"/>
              <w:color w:val="000000"/>
              <w:lang w:val="fr-FR"/>
            </w:rPr>
            <w:t>10.1 - Vérifications</w:t>
          </w:r>
          <w:r>
            <w:rPr>
              <w:rFonts w:ascii="Arial" w:eastAsia="Arial" w:hAnsi="Arial" w:cs="Arial"/>
            </w:rPr>
            <w:tab/>
            <w:t>5</w:t>
          </w:r>
        </w:p>
        <w:p w14:paraId="34944E67" w14:textId="77777777" w:rsidR="00DD28BE" w:rsidRDefault="00DB4C95">
          <w:pPr>
            <w:pStyle w:val="TM2"/>
            <w:tabs>
              <w:tab w:val="right" w:leader="dot" w:pos="9622"/>
            </w:tabs>
            <w:rPr>
              <w:rFonts w:ascii="Calibri" w:hAnsi="Calibri"/>
              <w:sz w:val="22"/>
            </w:rPr>
          </w:pPr>
          <w:r>
            <w:rPr>
              <w:rFonts w:ascii="Arial" w:eastAsia="Arial" w:hAnsi="Arial" w:cs="Arial"/>
              <w:color w:val="000000"/>
              <w:lang w:val="fr-FR"/>
            </w:rPr>
            <w:t>10.2 - Décision après vérification</w:t>
          </w:r>
          <w:r>
            <w:rPr>
              <w:rFonts w:ascii="Arial" w:eastAsia="Arial" w:hAnsi="Arial" w:cs="Arial"/>
            </w:rPr>
            <w:tab/>
            <w:t>5</w:t>
          </w:r>
        </w:p>
        <w:p w14:paraId="389091FF" w14:textId="77777777" w:rsidR="00DD28BE" w:rsidRDefault="00DB4C95">
          <w:pPr>
            <w:pStyle w:val="TM1"/>
            <w:tabs>
              <w:tab w:val="right" w:leader="dot" w:pos="9622"/>
            </w:tabs>
            <w:rPr>
              <w:rFonts w:ascii="Calibri" w:hAnsi="Calibri"/>
              <w:sz w:val="22"/>
            </w:rPr>
          </w:pPr>
          <w:r>
            <w:rPr>
              <w:rFonts w:ascii="Arial" w:eastAsia="Arial" w:hAnsi="Arial" w:cs="Arial"/>
              <w:color w:val="000000"/>
              <w:lang w:val="fr-FR"/>
            </w:rPr>
            <w:t>11 - Garantie des prestations</w:t>
          </w:r>
          <w:r>
            <w:rPr>
              <w:rFonts w:ascii="Arial" w:eastAsia="Arial" w:hAnsi="Arial" w:cs="Arial"/>
            </w:rPr>
            <w:tab/>
            <w:t>5</w:t>
          </w:r>
        </w:p>
        <w:p w14:paraId="1D3DAF8B" w14:textId="77777777" w:rsidR="00DD28BE" w:rsidRDefault="00DB4C95">
          <w:pPr>
            <w:pStyle w:val="TM1"/>
            <w:tabs>
              <w:tab w:val="right" w:leader="dot" w:pos="9622"/>
            </w:tabs>
            <w:rPr>
              <w:rFonts w:ascii="Calibri" w:hAnsi="Calibri"/>
              <w:sz w:val="22"/>
            </w:rPr>
          </w:pPr>
          <w:r>
            <w:rPr>
              <w:rFonts w:ascii="Arial" w:eastAsia="Arial" w:hAnsi="Arial" w:cs="Arial"/>
              <w:color w:val="000000"/>
              <w:lang w:val="fr-FR"/>
            </w:rPr>
            <w:t>12 - Maintenance</w:t>
          </w:r>
          <w:r>
            <w:rPr>
              <w:rFonts w:ascii="Arial" w:eastAsia="Arial" w:hAnsi="Arial" w:cs="Arial"/>
            </w:rPr>
            <w:tab/>
            <w:t>6</w:t>
          </w:r>
        </w:p>
        <w:p w14:paraId="62841B0C" w14:textId="77777777" w:rsidR="00DD28BE" w:rsidRDefault="00DB4C95">
          <w:pPr>
            <w:pStyle w:val="TM1"/>
            <w:tabs>
              <w:tab w:val="right" w:leader="dot" w:pos="9622"/>
            </w:tabs>
            <w:rPr>
              <w:rFonts w:ascii="Calibri" w:hAnsi="Calibri"/>
              <w:sz w:val="22"/>
            </w:rPr>
          </w:pPr>
          <w:r>
            <w:rPr>
              <w:rFonts w:ascii="Arial" w:eastAsia="Arial" w:hAnsi="Arial" w:cs="Arial"/>
              <w:color w:val="000000"/>
              <w:lang w:val="fr-FR"/>
            </w:rPr>
            <w:t>13 - Pénalités</w:t>
          </w:r>
          <w:r>
            <w:rPr>
              <w:rFonts w:ascii="Arial" w:eastAsia="Arial" w:hAnsi="Arial" w:cs="Arial"/>
            </w:rPr>
            <w:tab/>
            <w:t>6</w:t>
          </w:r>
        </w:p>
        <w:p w14:paraId="010E7401" w14:textId="77777777" w:rsidR="00DD28BE" w:rsidRDefault="00DB4C95">
          <w:pPr>
            <w:pStyle w:val="TM2"/>
            <w:tabs>
              <w:tab w:val="right" w:leader="dot" w:pos="9622"/>
            </w:tabs>
            <w:rPr>
              <w:rFonts w:ascii="Calibri" w:hAnsi="Calibri"/>
              <w:sz w:val="22"/>
            </w:rPr>
          </w:pPr>
          <w:r>
            <w:rPr>
              <w:rFonts w:ascii="Arial" w:eastAsia="Arial" w:hAnsi="Arial" w:cs="Arial"/>
              <w:color w:val="000000"/>
              <w:lang w:val="fr-FR"/>
            </w:rPr>
            <w:t>13.1 - Pénalités de retard</w:t>
          </w:r>
          <w:r>
            <w:rPr>
              <w:rFonts w:ascii="Arial" w:eastAsia="Arial" w:hAnsi="Arial" w:cs="Arial"/>
            </w:rPr>
            <w:tab/>
            <w:t>6</w:t>
          </w:r>
        </w:p>
        <w:p w14:paraId="2284F945" w14:textId="77777777" w:rsidR="00DD28BE" w:rsidRDefault="00DB4C95">
          <w:pPr>
            <w:pStyle w:val="TM1"/>
            <w:tabs>
              <w:tab w:val="right" w:leader="dot" w:pos="9622"/>
            </w:tabs>
            <w:rPr>
              <w:rFonts w:ascii="Calibri" w:hAnsi="Calibri"/>
              <w:sz w:val="22"/>
            </w:rPr>
          </w:pPr>
          <w:r>
            <w:rPr>
              <w:rFonts w:ascii="Arial" w:eastAsia="Arial" w:hAnsi="Arial" w:cs="Arial"/>
              <w:color w:val="000000"/>
              <w:lang w:val="fr-FR"/>
            </w:rPr>
            <w:t>14 - Assurances</w:t>
          </w:r>
          <w:r>
            <w:rPr>
              <w:rFonts w:ascii="Arial" w:eastAsia="Arial" w:hAnsi="Arial" w:cs="Arial"/>
            </w:rPr>
            <w:tab/>
            <w:t>6</w:t>
          </w:r>
        </w:p>
        <w:p w14:paraId="625B9AAA" w14:textId="77777777" w:rsidR="00DD28BE" w:rsidRDefault="00DB4C95">
          <w:pPr>
            <w:pStyle w:val="TM1"/>
            <w:tabs>
              <w:tab w:val="right" w:leader="dot" w:pos="9622"/>
            </w:tabs>
            <w:rPr>
              <w:rFonts w:ascii="Calibri" w:hAnsi="Calibri"/>
              <w:sz w:val="22"/>
            </w:rPr>
          </w:pPr>
          <w:r>
            <w:rPr>
              <w:rFonts w:ascii="Arial" w:eastAsia="Arial" w:hAnsi="Arial" w:cs="Arial"/>
              <w:color w:val="000000"/>
              <w:lang w:val="fr-FR"/>
            </w:rPr>
            <w:t>15 - Résiliation du contrat</w:t>
          </w:r>
          <w:r>
            <w:rPr>
              <w:rFonts w:ascii="Arial" w:eastAsia="Arial" w:hAnsi="Arial" w:cs="Arial"/>
            </w:rPr>
            <w:tab/>
            <w:t>6</w:t>
          </w:r>
        </w:p>
        <w:p w14:paraId="6F4965DA" w14:textId="77777777" w:rsidR="00DD28BE" w:rsidRDefault="00DB4C95">
          <w:pPr>
            <w:pStyle w:val="TM2"/>
            <w:tabs>
              <w:tab w:val="right" w:leader="dot" w:pos="9622"/>
            </w:tabs>
            <w:rPr>
              <w:rFonts w:ascii="Calibri" w:hAnsi="Calibri"/>
              <w:sz w:val="22"/>
            </w:rPr>
          </w:pPr>
          <w:r>
            <w:rPr>
              <w:rFonts w:ascii="Arial" w:eastAsia="Arial" w:hAnsi="Arial" w:cs="Arial"/>
              <w:color w:val="000000"/>
              <w:lang w:val="fr-FR"/>
            </w:rPr>
            <w:t>15.1 - Conditions de résiliation</w:t>
          </w:r>
          <w:r>
            <w:rPr>
              <w:rFonts w:ascii="Arial" w:eastAsia="Arial" w:hAnsi="Arial" w:cs="Arial"/>
            </w:rPr>
            <w:tab/>
            <w:t>6</w:t>
          </w:r>
        </w:p>
        <w:p w14:paraId="6DD5488A" w14:textId="77777777" w:rsidR="00DD28BE" w:rsidRDefault="00DB4C95">
          <w:pPr>
            <w:pStyle w:val="TM2"/>
            <w:tabs>
              <w:tab w:val="right" w:leader="dot" w:pos="9622"/>
            </w:tabs>
            <w:rPr>
              <w:rFonts w:ascii="Calibri" w:hAnsi="Calibri"/>
              <w:sz w:val="22"/>
            </w:rPr>
          </w:pPr>
          <w:r>
            <w:rPr>
              <w:rFonts w:ascii="Arial" w:eastAsia="Arial" w:hAnsi="Arial" w:cs="Arial"/>
              <w:color w:val="000000"/>
              <w:lang w:val="fr-FR"/>
            </w:rPr>
            <w:t>15.2 - Redressement ou liquidation judiciaire</w:t>
          </w:r>
          <w:r>
            <w:rPr>
              <w:rFonts w:ascii="Arial" w:eastAsia="Arial" w:hAnsi="Arial" w:cs="Arial"/>
            </w:rPr>
            <w:tab/>
            <w:t>6</w:t>
          </w:r>
        </w:p>
        <w:p w14:paraId="2A4CC926" w14:textId="77777777" w:rsidR="00DD28BE" w:rsidRPr="00DB4C95" w:rsidRDefault="00DB4C95">
          <w:pPr>
            <w:pStyle w:val="TM1"/>
            <w:tabs>
              <w:tab w:val="right" w:leader="dot" w:pos="9622"/>
            </w:tabs>
            <w:rPr>
              <w:rFonts w:ascii="Calibri" w:hAnsi="Calibri"/>
              <w:sz w:val="22"/>
              <w:lang w:val="fr-FR"/>
            </w:rPr>
          </w:pPr>
          <w:r>
            <w:rPr>
              <w:rFonts w:ascii="Arial" w:eastAsia="Arial" w:hAnsi="Arial" w:cs="Arial"/>
              <w:color w:val="000000"/>
              <w:lang w:val="fr-FR"/>
            </w:rPr>
            <w:t>16 - Règlement des litiges et langues</w:t>
          </w:r>
          <w:r w:rsidRPr="00DB4C95">
            <w:rPr>
              <w:rFonts w:ascii="Arial" w:eastAsia="Arial" w:hAnsi="Arial" w:cs="Arial"/>
              <w:lang w:val="fr-FR"/>
            </w:rPr>
            <w:tab/>
            <w:t>7</w:t>
          </w:r>
          <w:r>
            <w:rPr>
              <w:rFonts w:ascii="Arial" w:eastAsia="Arial" w:hAnsi="Arial" w:cs="Arial"/>
            </w:rPr>
            <w:fldChar w:fldCharType="end"/>
          </w:r>
        </w:p>
        <w:p w14:paraId="5ECD89C0" w14:textId="77777777" w:rsidR="00DD28BE" w:rsidRDefault="00E06285">
          <w:pPr>
            <w:sectPr w:rsidR="00DD28BE">
              <w:pgSz w:w="11906" w:h="16838"/>
              <w:pgMar w:top="1134" w:right="1134" w:bottom="1134" w:left="1134" w:header="0" w:footer="0" w:gutter="0"/>
              <w:cols w:space="1701"/>
            </w:sectPr>
          </w:pPr>
        </w:p>
      </w:sdtContent>
    </w:sdt>
    <w:p w14:paraId="0E2A6784" w14:textId="77777777" w:rsidR="00DD28BE" w:rsidRDefault="00DD28BE">
      <w:pPr>
        <w:spacing w:line="20" w:lineRule="exact"/>
        <w:rPr>
          <w:sz w:val="2"/>
        </w:rPr>
      </w:pPr>
    </w:p>
    <w:p w14:paraId="0BD1E17D" w14:textId="77777777" w:rsidR="00DD28BE" w:rsidRDefault="00DB4C95">
      <w:pPr>
        <w:pStyle w:val="Titre1"/>
        <w:rPr>
          <w:rFonts w:eastAsia="Arial"/>
          <w:color w:val="000000"/>
          <w:sz w:val="28"/>
          <w:lang w:val="fr-FR"/>
        </w:rPr>
      </w:pPr>
      <w:bookmarkStart w:id="2" w:name="_Toc256000000"/>
      <w:r>
        <w:rPr>
          <w:rFonts w:eastAsia="Arial"/>
          <w:color w:val="000000"/>
          <w:sz w:val="28"/>
          <w:lang w:val="fr-FR"/>
        </w:rPr>
        <w:t>1 - Dispositions générales du contrat</w:t>
      </w:r>
      <w:bookmarkEnd w:id="2"/>
    </w:p>
    <w:p w14:paraId="0DC4242C" w14:textId="77777777" w:rsidR="00DD28BE" w:rsidRDefault="00DB4C95">
      <w:pPr>
        <w:pStyle w:val="Titre2"/>
        <w:ind w:left="300" w:right="20"/>
        <w:rPr>
          <w:rFonts w:eastAsia="Arial"/>
          <w:i w:val="0"/>
          <w:color w:val="000000"/>
          <w:sz w:val="24"/>
          <w:lang w:val="fr-FR"/>
        </w:rPr>
      </w:pPr>
      <w:bookmarkStart w:id="3" w:name="_Toc256000001"/>
      <w:r>
        <w:rPr>
          <w:rFonts w:eastAsia="Arial"/>
          <w:i w:val="0"/>
          <w:color w:val="000000"/>
          <w:sz w:val="24"/>
          <w:lang w:val="fr-FR"/>
        </w:rPr>
        <w:t>1.1 - Objet du contrat</w:t>
      </w:r>
      <w:bookmarkEnd w:id="3"/>
    </w:p>
    <w:p w14:paraId="38AC6275" w14:textId="77777777" w:rsidR="00DD28BE" w:rsidRDefault="00DB4C95">
      <w:pPr>
        <w:pStyle w:val="ParagrapheIndent2"/>
        <w:spacing w:line="253" w:lineRule="exact"/>
        <w:ind w:left="20" w:right="20"/>
        <w:jc w:val="both"/>
        <w:rPr>
          <w:color w:val="000000"/>
          <w:lang w:val="fr-FR"/>
        </w:rPr>
      </w:pPr>
      <w:r>
        <w:rPr>
          <w:color w:val="000000"/>
          <w:lang w:val="fr-FR"/>
        </w:rPr>
        <w:t>Les stipulations du présent Cahier des clauses administratives particulières (CCAP) concernent :</w:t>
      </w:r>
    </w:p>
    <w:p w14:paraId="4849FE5E" w14:textId="77777777" w:rsidR="00DD28BE" w:rsidRDefault="00DD28BE">
      <w:pPr>
        <w:pStyle w:val="ParagrapheIndent2"/>
        <w:spacing w:line="253" w:lineRule="exact"/>
        <w:ind w:left="20" w:right="20"/>
        <w:jc w:val="both"/>
        <w:rPr>
          <w:color w:val="000000"/>
          <w:lang w:val="fr-FR"/>
        </w:rPr>
      </w:pPr>
    </w:p>
    <w:p w14:paraId="665AF8FA" w14:textId="77777777" w:rsidR="00585242" w:rsidRPr="00585242" w:rsidRDefault="00585242" w:rsidP="00585242">
      <w:pPr>
        <w:widowControl w:val="0"/>
        <w:spacing w:line="322" w:lineRule="exact"/>
        <w:ind w:left="-433" w:right="-838" w:firstLine="453"/>
        <w:rPr>
          <w:rFonts w:ascii="Segoe UI" w:eastAsia="Arial" w:hAnsi="Segoe UI" w:cs="Segoe UI"/>
          <w:bCs/>
          <w:lang w:val="fr-FR" w:eastAsia="zh-CN" w:bidi="hi-IN"/>
        </w:rPr>
      </w:pPr>
      <w:r w:rsidRPr="00585242">
        <w:rPr>
          <w:rFonts w:ascii="Segoe UI" w:eastAsia="Arial" w:hAnsi="Segoe UI" w:cs="Segoe UI"/>
          <w:bCs/>
          <w:lang w:val="fr-FR" w:eastAsia="zh-CN" w:bidi="hi-IN"/>
        </w:rPr>
        <w:t xml:space="preserve">Fourniture et livraison de moyens optiques et </w:t>
      </w:r>
      <w:proofErr w:type="spellStart"/>
      <w:r w:rsidRPr="00585242">
        <w:rPr>
          <w:rFonts w:ascii="Segoe UI" w:eastAsia="Arial" w:hAnsi="Segoe UI" w:cs="Segoe UI"/>
          <w:bCs/>
          <w:lang w:val="fr-FR" w:eastAsia="zh-CN" w:bidi="hi-IN"/>
        </w:rPr>
        <w:t>électricques</w:t>
      </w:r>
      <w:proofErr w:type="spellEnd"/>
    </w:p>
    <w:p w14:paraId="4B0E7612" w14:textId="77777777" w:rsidR="00585242" w:rsidRPr="00585242" w:rsidRDefault="00585242" w:rsidP="00585242">
      <w:pPr>
        <w:widowControl w:val="0"/>
        <w:spacing w:line="322" w:lineRule="exact"/>
        <w:ind w:left="-433" w:right="-838" w:firstLine="433"/>
        <w:rPr>
          <w:rFonts w:ascii="Segoe UI" w:eastAsia="Arial" w:hAnsi="Segoe UI" w:cs="Segoe UI"/>
          <w:bCs/>
          <w:lang w:val="fr-FR" w:eastAsia="zh-CN" w:bidi="hi-IN"/>
        </w:rPr>
      </w:pPr>
      <w:proofErr w:type="spellStart"/>
      <w:proofErr w:type="gramStart"/>
      <w:r w:rsidRPr="00585242">
        <w:rPr>
          <w:rFonts w:ascii="Segoe UI" w:eastAsia="Arial" w:hAnsi="Segoe UI" w:cs="Segoe UI"/>
          <w:bCs/>
          <w:lang w:val="fr-FR" w:eastAsia="zh-CN" w:bidi="hi-IN"/>
        </w:rPr>
        <w:t>opto</w:t>
      </w:r>
      <w:proofErr w:type="spellEnd"/>
      <w:proofErr w:type="gramEnd"/>
      <w:r w:rsidRPr="00585242">
        <w:rPr>
          <w:rFonts w:ascii="Segoe UI" w:eastAsia="Arial" w:hAnsi="Segoe UI" w:cs="Segoe UI"/>
          <w:bCs/>
          <w:lang w:val="fr-FR" w:eastAsia="zh-CN" w:bidi="hi-IN"/>
        </w:rPr>
        <w:t xml:space="preserve">-hyper(1 lot) et d’un système de </w:t>
      </w:r>
      <w:proofErr w:type="spellStart"/>
      <w:r w:rsidRPr="00585242">
        <w:rPr>
          <w:rFonts w:ascii="Segoe UI" w:eastAsia="Arial" w:hAnsi="Segoe UI" w:cs="Segoe UI"/>
          <w:bCs/>
          <w:lang w:val="fr-FR" w:eastAsia="zh-CN" w:bidi="hi-IN"/>
        </w:rPr>
        <w:t>contrôl</w:t>
      </w:r>
      <w:proofErr w:type="spellEnd"/>
      <w:r w:rsidRPr="00585242">
        <w:rPr>
          <w:rFonts w:ascii="Segoe UI" w:eastAsia="Arial" w:hAnsi="Segoe UI" w:cs="Segoe UI"/>
          <w:bCs/>
          <w:lang w:val="fr-FR" w:eastAsia="zh-CN" w:bidi="hi-IN"/>
        </w:rPr>
        <w:t xml:space="preserve"> immersif(</w:t>
      </w:r>
      <w:proofErr w:type="spellStart"/>
      <w:r w:rsidRPr="00585242">
        <w:rPr>
          <w:rFonts w:ascii="Segoe UI" w:eastAsia="Arial" w:hAnsi="Segoe UI" w:cs="Segoe UI"/>
          <w:bCs/>
          <w:lang w:val="fr-FR" w:eastAsia="zh-CN" w:bidi="hi-IN"/>
        </w:rPr>
        <w:t>controlroom</w:t>
      </w:r>
      <w:proofErr w:type="spellEnd"/>
      <w:r w:rsidRPr="00585242">
        <w:rPr>
          <w:rFonts w:ascii="Segoe UI" w:eastAsia="Arial" w:hAnsi="Segoe UI" w:cs="Segoe UI"/>
          <w:bCs/>
          <w:lang w:val="fr-FR" w:eastAsia="zh-CN" w:bidi="hi-IN"/>
        </w:rPr>
        <w:t>)</w:t>
      </w:r>
    </w:p>
    <w:p w14:paraId="564DD104" w14:textId="04D475EC" w:rsidR="00DD28BE" w:rsidRPr="00585242" w:rsidRDefault="00585242" w:rsidP="00585242">
      <w:pPr>
        <w:pStyle w:val="ParagrapheIndent2"/>
        <w:rPr>
          <w:bCs/>
          <w:lang w:val="fr-FR"/>
        </w:rPr>
      </w:pPr>
      <w:r w:rsidRPr="00585242">
        <w:rPr>
          <w:rFonts w:ascii="Segoe UI" w:hAnsi="Segoe UI" w:cs="Segoe UI"/>
          <w:bCs/>
          <w:lang w:val="fr-FR" w:eastAsia="zh-CN" w:bidi="hi-IN"/>
        </w:rPr>
        <w:t>(3 lots)</w:t>
      </w:r>
    </w:p>
    <w:tbl>
      <w:tblPr>
        <w:tblW w:w="8789" w:type="dxa"/>
        <w:jc w:val="center"/>
        <w:tblLayout w:type="fixed"/>
        <w:tblCellMar>
          <w:top w:w="28" w:type="dxa"/>
          <w:left w:w="0" w:type="dxa"/>
          <w:bottom w:w="28" w:type="dxa"/>
          <w:right w:w="0" w:type="dxa"/>
        </w:tblCellMar>
        <w:tblLook w:val="0000" w:firstRow="0" w:lastRow="0" w:firstColumn="0" w:lastColumn="0" w:noHBand="0" w:noVBand="0"/>
      </w:tblPr>
      <w:tblGrid>
        <w:gridCol w:w="959"/>
        <w:gridCol w:w="7830"/>
      </w:tblGrid>
      <w:tr w:rsidR="00DD28BE" w14:paraId="0CFC8804" w14:textId="77777777" w:rsidTr="004E18D2">
        <w:trPr>
          <w:jc w:val="center"/>
        </w:trPr>
        <w:tc>
          <w:tcPr>
            <w:tcW w:w="959" w:type="dxa"/>
            <w:shd w:val="clear" w:color="auto" w:fill="auto"/>
          </w:tcPr>
          <w:p w14:paraId="02585ECC" w14:textId="77777777" w:rsidR="00DD28BE" w:rsidRDefault="00DB4C95" w:rsidP="009630F3">
            <w:pPr>
              <w:widowControl w:val="0"/>
              <w:rPr>
                <w:rFonts w:ascii="Segoe UI" w:eastAsia="Arial Unicode MS" w:hAnsi="Segoe UI" w:cs="Segoe UI"/>
                <w:b/>
                <w:sz w:val="22"/>
                <w:szCs w:val="22"/>
                <w:lang w:val="fr-FR" w:eastAsia="zh-CN" w:bidi="hi-IN"/>
              </w:rPr>
            </w:pPr>
            <w:bookmarkStart w:id="4" w:name="_Hlk208991548"/>
            <w:r>
              <w:rPr>
                <w:rFonts w:ascii="Segoe UI" w:eastAsia="Arial Unicode MS" w:hAnsi="Segoe UI" w:cs="Segoe UI"/>
                <w:b/>
                <w:sz w:val="22"/>
                <w:szCs w:val="22"/>
                <w:lang w:val="fr-FR" w:eastAsia="zh-CN" w:bidi="hi-IN"/>
              </w:rPr>
              <w:t>Lot 1</w:t>
            </w:r>
          </w:p>
        </w:tc>
        <w:tc>
          <w:tcPr>
            <w:tcW w:w="7830" w:type="dxa"/>
            <w:shd w:val="clear" w:color="auto" w:fill="auto"/>
            <w:tcMar>
              <w:left w:w="108" w:type="dxa"/>
              <w:right w:w="108" w:type="dxa"/>
            </w:tcMar>
            <w:vAlign w:val="center"/>
          </w:tcPr>
          <w:p w14:paraId="1DC440F4" w14:textId="703A75FE" w:rsidR="007038D8" w:rsidRDefault="00585242" w:rsidP="009630F3">
            <w:pPr>
              <w:widowControl w:val="0"/>
              <w:tabs>
                <w:tab w:val="left" w:pos="1490"/>
              </w:tabs>
              <w:ind w:left="80" w:right="80"/>
              <w:rPr>
                <w:rFonts w:ascii="Segoe UI" w:eastAsia="Arial" w:hAnsi="Segoe UI" w:cs="Segoe UI"/>
                <w:sz w:val="22"/>
                <w:lang w:val="fr-FR" w:eastAsia="zh-CN" w:bidi="hi-IN"/>
              </w:rPr>
            </w:pPr>
            <w:r>
              <w:rPr>
                <w:rFonts w:ascii="Segoe UI" w:eastAsia="Arial" w:hAnsi="Segoe UI" w:cs="Segoe UI"/>
                <w:sz w:val="22"/>
                <w:lang w:val="fr-FR" w:eastAsia="zh-CN" w:bidi="hi-IN"/>
              </w:rPr>
              <w:t xml:space="preserve">Filtre optique </w:t>
            </w:r>
            <w:r w:rsidR="007038D8">
              <w:rPr>
                <w:rFonts w:ascii="Segoe UI" w:eastAsia="Arial" w:hAnsi="Segoe UI" w:cs="Segoe UI"/>
                <w:sz w:val="22"/>
                <w:lang w:val="fr-FR" w:eastAsia="zh-CN" w:bidi="hi-IN"/>
              </w:rPr>
              <w:t>en amplitude et en phase</w:t>
            </w:r>
          </w:p>
        </w:tc>
      </w:tr>
      <w:tr w:rsidR="009630F3" w14:paraId="4DD083EB" w14:textId="77777777" w:rsidTr="004E18D2">
        <w:trPr>
          <w:jc w:val="center"/>
        </w:trPr>
        <w:tc>
          <w:tcPr>
            <w:tcW w:w="959" w:type="dxa"/>
            <w:shd w:val="clear" w:color="auto" w:fill="auto"/>
          </w:tcPr>
          <w:p w14:paraId="64E5B931" w14:textId="55CDC3E7" w:rsidR="009630F3" w:rsidRDefault="009630F3" w:rsidP="009630F3">
            <w:pPr>
              <w:widowControl w:val="0"/>
              <w:rPr>
                <w:rFonts w:ascii="Segoe UI" w:eastAsia="Arial Unicode MS" w:hAnsi="Segoe UI" w:cs="Segoe UI"/>
                <w:b/>
                <w:sz w:val="22"/>
                <w:szCs w:val="22"/>
                <w:lang w:val="fr-FR" w:eastAsia="zh-CN" w:bidi="hi-IN"/>
              </w:rPr>
            </w:pPr>
            <w:r>
              <w:rPr>
                <w:rFonts w:ascii="Segoe UI" w:eastAsia="Arial Unicode MS" w:hAnsi="Segoe UI" w:cs="Segoe UI"/>
                <w:b/>
                <w:sz w:val="22"/>
                <w:szCs w:val="22"/>
                <w:lang w:val="fr-FR" w:eastAsia="zh-CN" w:bidi="hi-IN"/>
              </w:rPr>
              <w:t xml:space="preserve">Lot 2 : </w:t>
            </w:r>
          </w:p>
        </w:tc>
        <w:tc>
          <w:tcPr>
            <w:tcW w:w="7830" w:type="dxa"/>
            <w:shd w:val="clear" w:color="auto" w:fill="auto"/>
            <w:tcMar>
              <w:left w:w="108" w:type="dxa"/>
              <w:right w:w="108" w:type="dxa"/>
            </w:tcMar>
            <w:vAlign w:val="center"/>
          </w:tcPr>
          <w:p w14:paraId="5BFE8210" w14:textId="34C591B1" w:rsidR="009630F3" w:rsidRDefault="009630F3" w:rsidP="009630F3">
            <w:pPr>
              <w:widowControl w:val="0"/>
              <w:tabs>
                <w:tab w:val="left" w:pos="1490"/>
              </w:tabs>
              <w:ind w:left="80" w:right="80"/>
              <w:rPr>
                <w:rFonts w:ascii="Segoe UI" w:eastAsia="Arial" w:hAnsi="Segoe UI" w:cs="Segoe UI"/>
                <w:sz w:val="22"/>
                <w:lang w:val="fr-FR" w:eastAsia="zh-CN" w:bidi="hi-IN"/>
              </w:rPr>
            </w:pPr>
            <w:r>
              <w:rPr>
                <w:rFonts w:ascii="Segoe UI" w:eastAsia="Arial" w:hAnsi="Segoe UI" w:cs="Segoe UI"/>
                <w:sz w:val="22"/>
                <w:lang w:val="fr-FR" w:eastAsia="zh-CN" w:bidi="hi-IN"/>
              </w:rPr>
              <w:t xml:space="preserve">Système de captation d’objet </w:t>
            </w:r>
          </w:p>
        </w:tc>
      </w:tr>
      <w:tr w:rsidR="009630F3" w14:paraId="42DE9EBD" w14:textId="77777777" w:rsidTr="004E18D2">
        <w:trPr>
          <w:jc w:val="center"/>
        </w:trPr>
        <w:tc>
          <w:tcPr>
            <w:tcW w:w="959" w:type="dxa"/>
            <w:shd w:val="clear" w:color="auto" w:fill="auto"/>
          </w:tcPr>
          <w:p w14:paraId="25812544" w14:textId="7E6C97EA" w:rsidR="009630F3" w:rsidRDefault="009630F3" w:rsidP="009630F3">
            <w:pPr>
              <w:widowControl w:val="0"/>
              <w:rPr>
                <w:rFonts w:ascii="Segoe UI" w:eastAsia="Arial Unicode MS" w:hAnsi="Segoe UI" w:cs="Segoe UI"/>
                <w:b/>
                <w:sz w:val="22"/>
                <w:szCs w:val="22"/>
                <w:lang w:val="fr-FR" w:eastAsia="zh-CN" w:bidi="hi-IN"/>
              </w:rPr>
            </w:pPr>
            <w:r>
              <w:rPr>
                <w:rFonts w:ascii="Segoe UI" w:eastAsia="Arial Unicode MS" w:hAnsi="Segoe UI" w:cs="Segoe UI"/>
                <w:b/>
                <w:sz w:val="22"/>
                <w:szCs w:val="22"/>
                <w:lang w:val="fr-FR" w:eastAsia="zh-CN" w:bidi="hi-IN"/>
              </w:rPr>
              <w:t xml:space="preserve">Lot 3 : </w:t>
            </w:r>
          </w:p>
        </w:tc>
        <w:tc>
          <w:tcPr>
            <w:tcW w:w="7830" w:type="dxa"/>
            <w:shd w:val="clear" w:color="auto" w:fill="auto"/>
            <w:tcMar>
              <w:left w:w="108" w:type="dxa"/>
              <w:right w:w="108" w:type="dxa"/>
            </w:tcMar>
            <w:vAlign w:val="center"/>
          </w:tcPr>
          <w:p w14:paraId="667F75FF" w14:textId="2F243652" w:rsidR="009630F3" w:rsidRDefault="009630F3" w:rsidP="009630F3">
            <w:pPr>
              <w:widowControl w:val="0"/>
              <w:tabs>
                <w:tab w:val="left" w:pos="1490"/>
              </w:tabs>
              <w:ind w:right="80"/>
              <w:rPr>
                <w:rFonts w:ascii="Segoe UI" w:eastAsia="Arial" w:hAnsi="Segoe UI" w:cs="Segoe UI"/>
                <w:sz w:val="22"/>
                <w:lang w:val="fr-FR" w:eastAsia="zh-CN" w:bidi="hi-IN"/>
              </w:rPr>
            </w:pPr>
            <w:r>
              <w:rPr>
                <w:rFonts w:ascii="Segoe UI" w:eastAsia="Arial" w:hAnsi="Segoe UI" w:cs="Segoe UI"/>
                <w:sz w:val="22"/>
                <w:lang w:val="fr-FR" w:eastAsia="zh-CN" w:bidi="hi-IN"/>
              </w:rPr>
              <w:t xml:space="preserve">Dispositifs de réalité </w:t>
            </w:r>
            <w:proofErr w:type="spellStart"/>
            <w:r>
              <w:rPr>
                <w:rFonts w:ascii="Segoe UI" w:eastAsia="Arial" w:hAnsi="Segoe UI" w:cs="Segoe UI"/>
                <w:sz w:val="22"/>
                <w:lang w:val="fr-FR" w:eastAsia="zh-CN" w:bidi="hi-IN"/>
              </w:rPr>
              <w:t>augmentéé</w:t>
            </w:r>
            <w:proofErr w:type="spellEnd"/>
            <w:r>
              <w:rPr>
                <w:rFonts w:ascii="Segoe UI" w:eastAsia="Arial" w:hAnsi="Segoe UI" w:cs="Segoe UI"/>
                <w:sz w:val="22"/>
                <w:lang w:val="fr-FR" w:eastAsia="zh-CN" w:bidi="hi-IN"/>
              </w:rPr>
              <w:t xml:space="preserve"> de type</w:t>
            </w:r>
            <w:proofErr w:type="gramStart"/>
            <w:r>
              <w:rPr>
                <w:rFonts w:ascii="Segoe UI" w:eastAsia="Arial" w:hAnsi="Segoe UI" w:cs="Segoe UI"/>
                <w:sz w:val="22"/>
                <w:lang w:val="fr-FR" w:eastAsia="zh-CN" w:bidi="hi-IN"/>
              </w:rPr>
              <w:t> »</w:t>
            </w:r>
            <w:proofErr w:type="spellStart"/>
            <w:r>
              <w:rPr>
                <w:rFonts w:ascii="Segoe UI" w:eastAsia="Arial" w:hAnsi="Segoe UI" w:cs="Segoe UI"/>
                <w:sz w:val="22"/>
                <w:lang w:val="fr-FR" w:eastAsia="zh-CN" w:bidi="hi-IN"/>
              </w:rPr>
              <w:t>Video</w:t>
            </w:r>
            <w:proofErr w:type="spellEnd"/>
            <w:proofErr w:type="gramEnd"/>
            <w:r>
              <w:rPr>
                <w:rFonts w:ascii="Segoe UI" w:eastAsia="Arial" w:hAnsi="Segoe UI" w:cs="Segoe UI"/>
                <w:sz w:val="22"/>
                <w:lang w:val="fr-FR" w:eastAsia="zh-CN" w:bidi="hi-IN"/>
              </w:rPr>
              <w:t xml:space="preserve"> </w:t>
            </w:r>
            <w:proofErr w:type="spellStart"/>
            <w:r>
              <w:rPr>
                <w:rFonts w:ascii="Segoe UI" w:eastAsia="Arial" w:hAnsi="Segoe UI" w:cs="Segoe UI"/>
                <w:sz w:val="22"/>
                <w:lang w:val="fr-FR" w:eastAsia="zh-CN" w:bidi="hi-IN"/>
              </w:rPr>
              <w:t>See</w:t>
            </w:r>
            <w:proofErr w:type="spellEnd"/>
            <w:r>
              <w:rPr>
                <w:rFonts w:ascii="Segoe UI" w:eastAsia="Arial" w:hAnsi="Segoe UI" w:cs="Segoe UI"/>
                <w:sz w:val="22"/>
                <w:lang w:val="fr-FR" w:eastAsia="zh-CN" w:bidi="hi-IN"/>
              </w:rPr>
              <w:t xml:space="preserve"> </w:t>
            </w:r>
            <w:proofErr w:type="spellStart"/>
            <w:r>
              <w:rPr>
                <w:rFonts w:ascii="Segoe UI" w:eastAsia="Arial" w:hAnsi="Segoe UI" w:cs="Segoe UI"/>
                <w:sz w:val="22"/>
                <w:lang w:val="fr-FR" w:eastAsia="zh-CN" w:bidi="hi-IN"/>
              </w:rPr>
              <w:t>Trough</w:t>
            </w:r>
            <w:proofErr w:type="spellEnd"/>
            <w:r>
              <w:rPr>
                <w:rFonts w:ascii="Segoe UI" w:eastAsia="Arial" w:hAnsi="Segoe UI" w:cs="Segoe UI"/>
                <w:sz w:val="22"/>
                <w:lang w:val="fr-FR" w:eastAsia="zh-CN" w:bidi="hi-IN"/>
              </w:rPr>
              <w:t> »</w:t>
            </w:r>
          </w:p>
        </w:tc>
      </w:tr>
      <w:tr w:rsidR="007038D8" w14:paraId="23D80A7F" w14:textId="77777777" w:rsidTr="004E18D2">
        <w:trPr>
          <w:jc w:val="center"/>
        </w:trPr>
        <w:tc>
          <w:tcPr>
            <w:tcW w:w="959" w:type="dxa"/>
            <w:shd w:val="clear" w:color="auto" w:fill="auto"/>
          </w:tcPr>
          <w:p w14:paraId="161B5ACE" w14:textId="10F4A15D" w:rsidR="007038D8" w:rsidRDefault="007038D8" w:rsidP="007038D8">
            <w:pPr>
              <w:widowControl w:val="0"/>
              <w:rPr>
                <w:rFonts w:ascii="Segoe UI" w:eastAsia="Arial Unicode MS" w:hAnsi="Segoe UI" w:cs="Segoe UI"/>
                <w:b/>
                <w:sz w:val="22"/>
                <w:szCs w:val="22"/>
                <w:lang w:val="fr-FR" w:eastAsia="zh-CN" w:bidi="hi-IN"/>
              </w:rPr>
            </w:pPr>
            <w:r>
              <w:rPr>
                <w:rFonts w:ascii="Segoe UI" w:eastAsia="Arial Unicode MS" w:hAnsi="Segoe UI" w:cs="Segoe UI"/>
                <w:b/>
                <w:sz w:val="22"/>
                <w:szCs w:val="22"/>
                <w:lang w:val="fr-FR" w:eastAsia="zh-CN" w:bidi="hi-IN"/>
              </w:rPr>
              <w:t xml:space="preserve">Lot 4 : </w:t>
            </w:r>
          </w:p>
        </w:tc>
        <w:tc>
          <w:tcPr>
            <w:tcW w:w="7830" w:type="dxa"/>
            <w:shd w:val="clear" w:color="auto" w:fill="auto"/>
            <w:tcMar>
              <w:left w:w="108" w:type="dxa"/>
              <w:right w:w="108" w:type="dxa"/>
            </w:tcMar>
            <w:vAlign w:val="center"/>
          </w:tcPr>
          <w:p w14:paraId="32773FD1" w14:textId="33641EE5" w:rsidR="007038D8" w:rsidRDefault="007038D8" w:rsidP="007038D8">
            <w:pPr>
              <w:widowControl w:val="0"/>
              <w:tabs>
                <w:tab w:val="left" w:pos="1490"/>
              </w:tabs>
              <w:ind w:right="80"/>
              <w:rPr>
                <w:rFonts w:ascii="Segoe UI" w:eastAsia="Arial" w:hAnsi="Segoe UI" w:cs="Segoe UI"/>
                <w:sz w:val="22"/>
                <w:lang w:val="fr-FR" w:eastAsia="zh-CN" w:bidi="hi-IN"/>
              </w:rPr>
            </w:pPr>
            <w:r>
              <w:rPr>
                <w:rFonts w:ascii="Segoe UI" w:eastAsia="Arial" w:hAnsi="Segoe UI" w:cs="Segoe UI"/>
                <w:sz w:val="22"/>
                <w:lang w:val="fr-FR" w:eastAsia="zh-CN" w:bidi="hi-IN"/>
              </w:rPr>
              <w:t xml:space="preserve">Dispositifs de réalité augmentée de type « Optical </w:t>
            </w:r>
            <w:proofErr w:type="spellStart"/>
            <w:r>
              <w:rPr>
                <w:rFonts w:ascii="Segoe UI" w:eastAsia="Arial" w:hAnsi="Segoe UI" w:cs="Segoe UI"/>
                <w:sz w:val="22"/>
                <w:lang w:val="fr-FR" w:eastAsia="zh-CN" w:bidi="hi-IN"/>
              </w:rPr>
              <w:t>See</w:t>
            </w:r>
            <w:proofErr w:type="spellEnd"/>
            <w:r>
              <w:rPr>
                <w:rFonts w:ascii="Segoe UI" w:eastAsia="Arial" w:hAnsi="Segoe UI" w:cs="Segoe UI"/>
                <w:sz w:val="22"/>
                <w:lang w:val="fr-FR" w:eastAsia="zh-CN" w:bidi="hi-IN"/>
              </w:rPr>
              <w:t xml:space="preserve"> </w:t>
            </w:r>
            <w:proofErr w:type="spellStart"/>
            <w:r>
              <w:rPr>
                <w:rFonts w:ascii="Segoe UI" w:eastAsia="Arial" w:hAnsi="Segoe UI" w:cs="Segoe UI"/>
                <w:sz w:val="22"/>
                <w:lang w:val="fr-FR" w:eastAsia="zh-CN" w:bidi="hi-IN"/>
              </w:rPr>
              <w:t>Through</w:t>
            </w:r>
            <w:proofErr w:type="spellEnd"/>
            <w:r>
              <w:rPr>
                <w:rFonts w:ascii="Segoe UI" w:eastAsia="Arial" w:hAnsi="Segoe UI" w:cs="Segoe UI"/>
                <w:sz w:val="22"/>
                <w:lang w:val="fr-FR" w:eastAsia="zh-CN" w:bidi="hi-IN"/>
              </w:rPr>
              <w:t> »</w:t>
            </w:r>
          </w:p>
        </w:tc>
      </w:tr>
      <w:bookmarkEnd w:id="4"/>
    </w:tbl>
    <w:p w14:paraId="4EFABDD8" w14:textId="77777777" w:rsidR="00DD28BE" w:rsidRDefault="00DD28BE">
      <w:pPr>
        <w:rPr>
          <w:lang w:val="fr-FR"/>
        </w:rPr>
      </w:pPr>
    </w:p>
    <w:p w14:paraId="0451F0BF" w14:textId="77777777" w:rsidR="00DD28BE" w:rsidRDefault="00DD28BE">
      <w:pPr>
        <w:rPr>
          <w:lang w:val="fr-FR"/>
        </w:rPr>
      </w:pPr>
    </w:p>
    <w:p w14:paraId="568D8ABB" w14:textId="77777777" w:rsidR="00DD28BE" w:rsidRDefault="00DB4C95">
      <w:pPr>
        <w:pStyle w:val="ParagrapheIndent2"/>
        <w:spacing w:line="253" w:lineRule="exact"/>
        <w:ind w:left="20" w:right="20"/>
        <w:jc w:val="both"/>
        <w:rPr>
          <w:color w:val="000000"/>
          <w:lang w:val="fr-FR"/>
        </w:rPr>
      </w:pPr>
      <w:r>
        <w:rPr>
          <w:color w:val="000000"/>
          <w:lang w:val="fr-FR"/>
        </w:rPr>
        <w:t>Lieu(x) d'exécution :</w:t>
      </w:r>
    </w:p>
    <w:p w14:paraId="0F0FFC62" w14:textId="64A40606" w:rsidR="00DD28BE" w:rsidRDefault="009630F3">
      <w:pPr>
        <w:pStyle w:val="ParagrapheIndent2"/>
        <w:spacing w:line="253" w:lineRule="exact"/>
        <w:ind w:left="20" w:right="20"/>
        <w:jc w:val="both"/>
        <w:rPr>
          <w:color w:val="000000"/>
          <w:lang w:val="fr-FR"/>
        </w:rPr>
      </w:pPr>
      <w:r>
        <w:rPr>
          <w:color w:val="000000"/>
          <w:lang w:val="fr-FR"/>
        </w:rPr>
        <w:t>Bretagne INP</w:t>
      </w:r>
    </w:p>
    <w:p w14:paraId="7351E3E9" w14:textId="77777777" w:rsidR="00DD28BE" w:rsidRDefault="00DB4C95">
      <w:pPr>
        <w:pStyle w:val="ParagrapheIndent2"/>
        <w:spacing w:line="253" w:lineRule="exact"/>
        <w:ind w:left="20" w:right="20"/>
        <w:jc w:val="both"/>
        <w:rPr>
          <w:color w:val="000000"/>
          <w:lang w:val="fr-FR"/>
        </w:rPr>
      </w:pPr>
      <w:r>
        <w:rPr>
          <w:color w:val="000000"/>
          <w:lang w:val="fr-FR"/>
        </w:rPr>
        <w:t>945 avenue du Technopôle</w:t>
      </w:r>
    </w:p>
    <w:p w14:paraId="27A15735" w14:textId="77777777" w:rsidR="00DD28BE" w:rsidRDefault="00DB4C95">
      <w:pPr>
        <w:pStyle w:val="ParagrapheIndent2"/>
        <w:spacing w:after="240" w:line="253" w:lineRule="exact"/>
        <w:ind w:left="20" w:right="20"/>
        <w:jc w:val="both"/>
        <w:rPr>
          <w:color w:val="000000"/>
          <w:lang w:val="fr-FR"/>
        </w:rPr>
      </w:pPr>
      <w:r>
        <w:rPr>
          <w:color w:val="000000"/>
          <w:lang w:val="fr-FR"/>
        </w:rPr>
        <w:t>29280 PLOUZANE</w:t>
      </w:r>
    </w:p>
    <w:p w14:paraId="739B65F1" w14:textId="77777777" w:rsidR="00DD28BE" w:rsidRDefault="00DB4C95">
      <w:pPr>
        <w:pStyle w:val="Titre2"/>
        <w:ind w:left="300" w:right="20"/>
        <w:rPr>
          <w:rFonts w:eastAsia="Arial"/>
          <w:i w:val="0"/>
          <w:color w:val="000000"/>
          <w:sz w:val="24"/>
          <w:lang w:val="fr-FR"/>
        </w:rPr>
      </w:pPr>
      <w:bookmarkStart w:id="5" w:name="_Toc256000002"/>
      <w:r>
        <w:rPr>
          <w:rFonts w:eastAsia="Arial"/>
          <w:i w:val="0"/>
          <w:color w:val="000000"/>
          <w:sz w:val="24"/>
          <w:lang w:val="fr-FR"/>
        </w:rPr>
        <w:t>1.2 - Décomposition du contrat</w:t>
      </w:r>
      <w:bookmarkEnd w:id="5"/>
    </w:p>
    <w:p w14:paraId="2BA2B8A7" w14:textId="77777777" w:rsidR="00DD28BE" w:rsidRDefault="00DD28BE">
      <w:pPr>
        <w:rPr>
          <w:rFonts w:eastAsia="Arial"/>
          <w:i/>
          <w:lang w:val="fr-FR"/>
        </w:rPr>
      </w:pPr>
    </w:p>
    <w:p w14:paraId="1C9299F0" w14:textId="1B4F2F1A" w:rsidR="00DD28BE" w:rsidRDefault="00DB4C95">
      <w:pPr>
        <w:pStyle w:val="Standard"/>
        <w:spacing w:after="240"/>
        <w:ind w:left="20" w:right="20"/>
        <w:rPr>
          <w:rFonts w:ascii="Arial" w:eastAsia="Arial" w:hAnsi="Arial" w:cs="Arial"/>
          <w:sz w:val="22"/>
          <w:lang w:eastAsia="en-US" w:bidi="ar-SA"/>
        </w:rPr>
      </w:pPr>
      <w:r>
        <w:rPr>
          <w:rFonts w:ascii="Arial" w:eastAsia="Arial" w:hAnsi="Arial" w:cs="Arial"/>
          <w:sz w:val="22"/>
          <w:lang w:eastAsia="en-US" w:bidi="ar-SA"/>
        </w:rPr>
        <w:t xml:space="preserve">Comme mentionné ci-dessus, le marché est composé </w:t>
      </w:r>
      <w:r w:rsidR="009630F3">
        <w:rPr>
          <w:rFonts w:ascii="Arial" w:eastAsia="Arial" w:hAnsi="Arial" w:cs="Arial"/>
          <w:sz w:val="22"/>
          <w:lang w:eastAsia="en-US" w:bidi="ar-SA"/>
        </w:rPr>
        <w:t xml:space="preserve">de 4 lots. Les conditions de vente des </w:t>
      </w:r>
      <w:proofErr w:type="gramStart"/>
      <w:r w:rsidR="009630F3">
        <w:rPr>
          <w:rFonts w:ascii="Arial" w:eastAsia="Arial" w:hAnsi="Arial" w:cs="Arial"/>
          <w:sz w:val="22"/>
          <w:lang w:eastAsia="en-US" w:bidi="ar-SA"/>
        </w:rPr>
        <w:t>titulaires sont pas</w:t>
      </w:r>
      <w:proofErr w:type="gramEnd"/>
      <w:r w:rsidR="009630F3">
        <w:rPr>
          <w:rFonts w:ascii="Arial" w:eastAsia="Arial" w:hAnsi="Arial" w:cs="Arial"/>
          <w:sz w:val="22"/>
          <w:lang w:eastAsia="en-US" w:bidi="ar-SA"/>
        </w:rPr>
        <w:t xml:space="preserve"> applicables pour ce qu’elles ont de contraire ou de différent par rapport aux dispositions du présent marché. Seuls les documents de ce marché font foi.</w:t>
      </w:r>
    </w:p>
    <w:p w14:paraId="410A5093" w14:textId="77777777" w:rsidR="009630F3" w:rsidRDefault="009630F3">
      <w:pPr>
        <w:pStyle w:val="Standard"/>
        <w:spacing w:after="240"/>
        <w:ind w:left="20" w:right="20"/>
        <w:rPr>
          <w:rFonts w:ascii="Arial" w:eastAsia="Arial" w:hAnsi="Arial" w:cs="Arial"/>
          <w:sz w:val="22"/>
          <w:lang w:eastAsia="en-US" w:bidi="ar-SA"/>
        </w:rPr>
      </w:pPr>
    </w:p>
    <w:p w14:paraId="3F2859AA" w14:textId="77777777" w:rsidR="00DD28BE" w:rsidRDefault="00DB4C95">
      <w:pPr>
        <w:pStyle w:val="Titre1"/>
        <w:rPr>
          <w:rFonts w:eastAsia="Arial"/>
          <w:color w:val="000000"/>
          <w:sz w:val="28"/>
          <w:lang w:val="fr-FR"/>
        </w:rPr>
      </w:pPr>
      <w:bookmarkStart w:id="6" w:name="_Toc256000003"/>
      <w:r>
        <w:rPr>
          <w:rFonts w:eastAsia="Arial"/>
          <w:color w:val="000000"/>
          <w:sz w:val="28"/>
          <w:lang w:val="fr-FR"/>
        </w:rPr>
        <w:t>2 - Pièces contractuelles</w:t>
      </w:r>
      <w:bookmarkEnd w:id="6"/>
    </w:p>
    <w:p w14:paraId="0A04A18F" w14:textId="77777777" w:rsidR="00DD28BE" w:rsidRDefault="00DB4C95">
      <w:pPr>
        <w:pStyle w:val="ParagrapheIndent1"/>
        <w:spacing w:line="253" w:lineRule="exact"/>
        <w:ind w:left="20" w:right="20"/>
        <w:jc w:val="both"/>
        <w:rPr>
          <w:color w:val="000000"/>
          <w:lang w:val="fr-FR"/>
        </w:rPr>
      </w:pPr>
      <w:r>
        <w:rPr>
          <w:color w:val="000000"/>
          <w:lang w:val="fr-FR"/>
        </w:rPr>
        <w:t>Les pièces contractuelles du marché sont les suivantes et, en cas de contradiction entre leurs stipulations, prévalent dans cet ordre de priorité :</w:t>
      </w:r>
    </w:p>
    <w:p w14:paraId="6EB69368" w14:textId="77777777" w:rsidR="00DD28BE" w:rsidRDefault="00DD28BE">
      <w:pPr>
        <w:pStyle w:val="ParagrapheIndent1"/>
        <w:spacing w:line="253" w:lineRule="exact"/>
        <w:ind w:left="20" w:right="20"/>
        <w:jc w:val="both"/>
        <w:rPr>
          <w:color w:val="000000"/>
          <w:lang w:val="fr-FR"/>
        </w:rPr>
      </w:pPr>
    </w:p>
    <w:p w14:paraId="6D420047" w14:textId="77777777" w:rsidR="00DD28BE" w:rsidRDefault="00DB4C95">
      <w:pPr>
        <w:ind w:left="420" w:right="12"/>
        <w:rPr>
          <w:rFonts w:ascii="Arial" w:eastAsia="Arial" w:hAnsi="Arial" w:cs="Arial"/>
          <w:color w:val="000000"/>
          <w:sz w:val="22"/>
          <w:lang w:val="fr-FR"/>
        </w:rPr>
      </w:pPr>
      <w:r>
        <w:rPr>
          <w:rFonts w:ascii="Arial" w:eastAsia="Arial" w:hAnsi="Arial" w:cs="Arial"/>
          <w:color w:val="000000"/>
          <w:sz w:val="22"/>
          <w:lang w:val="fr-FR"/>
        </w:rPr>
        <w:t>- L’acte d'engagement (AE) et ses annexes (Annexe pour la désignation des co-traitants et une annexe par lot).</w:t>
      </w:r>
    </w:p>
    <w:p w14:paraId="18119B9B" w14:textId="77777777" w:rsidR="00DD28BE" w:rsidRDefault="00DB4C95">
      <w:pPr>
        <w:ind w:left="420" w:right="12"/>
        <w:rPr>
          <w:rFonts w:ascii="Arial" w:eastAsia="Arial" w:hAnsi="Arial" w:cs="Arial"/>
          <w:color w:val="000000"/>
          <w:sz w:val="22"/>
          <w:lang w:val="fr-FR"/>
        </w:rPr>
      </w:pPr>
      <w:r>
        <w:rPr>
          <w:rFonts w:ascii="Arial" w:eastAsia="Arial" w:hAnsi="Arial" w:cs="Arial"/>
          <w:color w:val="000000"/>
          <w:sz w:val="22"/>
          <w:lang w:val="fr-FR"/>
        </w:rPr>
        <w:t>- Le cahier des clauses administratives particulières (CCAP)</w:t>
      </w:r>
    </w:p>
    <w:p w14:paraId="768B4DDD" w14:textId="47CEBB35" w:rsidR="00DD28BE" w:rsidRDefault="00DB4C95">
      <w:pPr>
        <w:spacing w:after="100"/>
        <w:ind w:left="420" w:right="12"/>
        <w:rPr>
          <w:rFonts w:ascii="Arial" w:eastAsia="Arial" w:hAnsi="Arial" w:cs="Arial"/>
          <w:color w:val="000000"/>
          <w:sz w:val="22"/>
          <w:lang w:val="fr-FR"/>
        </w:rPr>
      </w:pPr>
      <w:r>
        <w:rPr>
          <w:rFonts w:ascii="Arial" w:eastAsia="Arial" w:hAnsi="Arial" w:cs="Arial"/>
          <w:color w:val="000000"/>
          <w:sz w:val="22"/>
          <w:lang w:val="fr-FR"/>
        </w:rPr>
        <w:t xml:space="preserve">- Le cahier des clauses techniques particulières (CCTP) </w:t>
      </w:r>
    </w:p>
    <w:p w14:paraId="59371F34" w14:textId="77777777" w:rsidR="00DD28BE" w:rsidRDefault="00DB4C95">
      <w:pPr>
        <w:spacing w:after="100"/>
        <w:ind w:left="420" w:right="12"/>
        <w:rPr>
          <w:rFonts w:ascii="Arial" w:eastAsia="Arial" w:hAnsi="Arial" w:cs="Arial"/>
          <w:color w:val="000000"/>
          <w:sz w:val="22"/>
          <w:lang w:val="fr-FR"/>
        </w:rPr>
      </w:pPr>
      <w:r>
        <w:rPr>
          <w:rFonts w:ascii="Arial" w:eastAsia="Arial" w:hAnsi="Arial" w:cs="Arial"/>
          <w:color w:val="000000"/>
          <w:sz w:val="22"/>
          <w:lang w:val="fr-FR"/>
        </w:rPr>
        <w:t>- Le Règlement de la consultation (RC)</w:t>
      </w:r>
    </w:p>
    <w:p w14:paraId="32B4FAEA" w14:textId="60F0B406" w:rsidR="00DD28BE" w:rsidRDefault="00DB4C95">
      <w:pPr>
        <w:spacing w:after="100"/>
        <w:ind w:left="420" w:right="12"/>
        <w:rPr>
          <w:rFonts w:ascii="Arial" w:eastAsia="Arial" w:hAnsi="Arial" w:cs="Arial"/>
          <w:color w:val="000000"/>
          <w:sz w:val="22"/>
          <w:lang w:val="fr-FR"/>
        </w:rPr>
      </w:pPr>
      <w:r>
        <w:rPr>
          <w:rFonts w:ascii="Arial" w:eastAsia="Arial" w:hAnsi="Arial" w:cs="Arial"/>
          <w:color w:val="000000"/>
          <w:sz w:val="22"/>
          <w:lang w:val="fr-FR"/>
        </w:rPr>
        <w:t>- Les documents DC1 et DC2</w:t>
      </w:r>
    </w:p>
    <w:p w14:paraId="0D3726DF" w14:textId="481886D1" w:rsidR="009630F3" w:rsidRDefault="009630F3">
      <w:pPr>
        <w:spacing w:after="100"/>
        <w:ind w:left="420" w:right="12"/>
        <w:rPr>
          <w:rFonts w:ascii="Arial" w:eastAsia="Arial" w:hAnsi="Arial" w:cs="Arial"/>
          <w:color w:val="000000"/>
          <w:sz w:val="22"/>
          <w:lang w:val="fr-FR"/>
        </w:rPr>
      </w:pPr>
      <w:r>
        <w:rPr>
          <w:rFonts w:ascii="Arial" w:eastAsia="Arial" w:hAnsi="Arial" w:cs="Arial"/>
          <w:color w:val="000000"/>
          <w:sz w:val="22"/>
          <w:lang w:val="fr-FR"/>
        </w:rPr>
        <w:t xml:space="preserve">-Le CCAG-FCS applicable aux marchés publics de fournitures courants et de </w:t>
      </w:r>
      <w:r w:rsidR="00D72214">
        <w:rPr>
          <w:rFonts w:ascii="Arial" w:eastAsia="Arial" w:hAnsi="Arial" w:cs="Arial"/>
          <w:color w:val="000000"/>
          <w:sz w:val="22"/>
          <w:lang w:val="fr-FR"/>
        </w:rPr>
        <w:t>services approuvé par l’arrêté du 31 mars 2021(JO du 1</w:t>
      </w:r>
      <w:r w:rsidR="00D72214" w:rsidRPr="00D72214">
        <w:rPr>
          <w:rFonts w:ascii="Arial" w:eastAsia="Arial" w:hAnsi="Arial" w:cs="Arial"/>
          <w:color w:val="000000"/>
          <w:sz w:val="22"/>
          <w:vertAlign w:val="superscript"/>
          <w:lang w:val="fr-FR"/>
        </w:rPr>
        <w:t>er</w:t>
      </w:r>
      <w:r w:rsidR="00D72214">
        <w:rPr>
          <w:rFonts w:ascii="Arial" w:eastAsia="Arial" w:hAnsi="Arial" w:cs="Arial"/>
          <w:color w:val="000000"/>
          <w:sz w:val="22"/>
          <w:lang w:val="fr-FR"/>
        </w:rPr>
        <w:t xml:space="preserve"> avril)</w:t>
      </w:r>
    </w:p>
    <w:p w14:paraId="640AA17F" w14:textId="77777777" w:rsidR="00DD28BE" w:rsidRPr="00DB4C95" w:rsidRDefault="00DD28BE">
      <w:pPr>
        <w:spacing w:line="240" w:lineRule="exact"/>
        <w:rPr>
          <w:lang w:val="fr-FR"/>
        </w:rPr>
      </w:pPr>
    </w:p>
    <w:p w14:paraId="06E271B6" w14:textId="77777777" w:rsidR="00DD28BE" w:rsidRPr="00DB4C95" w:rsidRDefault="00DD28BE">
      <w:pPr>
        <w:spacing w:after="120" w:line="240" w:lineRule="exact"/>
        <w:rPr>
          <w:lang w:val="fr-FR"/>
        </w:rPr>
      </w:pPr>
    </w:p>
    <w:p w14:paraId="38310E29" w14:textId="77777777" w:rsidR="00DD28BE" w:rsidRDefault="00DB4C95">
      <w:pPr>
        <w:pStyle w:val="Titre1"/>
        <w:rPr>
          <w:rFonts w:eastAsia="Arial"/>
          <w:color w:val="000000"/>
          <w:sz w:val="28"/>
          <w:lang w:val="fr-FR"/>
        </w:rPr>
      </w:pPr>
      <w:bookmarkStart w:id="7" w:name="_Toc256000004"/>
      <w:r>
        <w:rPr>
          <w:rFonts w:eastAsia="Arial"/>
          <w:color w:val="000000"/>
          <w:sz w:val="28"/>
          <w:lang w:val="fr-FR"/>
        </w:rPr>
        <w:t>3 - Intervenants</w:t>
      </w:r>
      <w:bookmarkEnd w:id="7"/>
    </w:p>
    <w:p w14:paraId="4CF919D4" w14:textId="77777777" w:rsidR="00DD28BE" w:rsidRDefault="00DB4C95">
      <w:pPr>
        <w:pStyle w:val="Titre2"/>
        <w:ind w:left="300" w:right="20"/>
        <w:rPr>
          <w:rFonts w:eastAsia="Arial"/>
          <w:i w:val="0"/>
          <w:color w:val="000000"/>
          <w:sz w:val="24"/>
          <w:lang w:val="fr-FR"/>
        </w:rPr>
      </w:pPr>
      <w:bookmarkStart w:id="8" w:name="_Toc256000005"/>
      <w:r>
        <w:rPr>
          <w:rFonts w:eastAsia="Arial"/>
          <w:i w:val="0"/>
          <w:color w:val="000000"/>
          <w:sz w:val="24"/>
          <w:lang w:val="fr-FR"/>
        </w:rPr>
        <w:t>3.1 - Désignation de l'acheteur</w:t>
      </w:r>
      <w:bookmarkEnd w:id="8"/>
    </w:p>
    <w:p w14:paraId="0B60B92E" w14:textId="628EA6F3" w:rsidR="00DD28BE" w:rsidRDefault="00DB4C95">
      <w:pPr>
        <w:pStyle w:val="ParagrapheIndent2"/>
        <w:spacing w:after="240"/>
        <w:ind w:left="20" w:right="20"/>
        <w:jc w:val="both"/>
        <w:rPr>
          <w:color w:val="000000"/>
          <w:lang w:val="fr-FR"/>
        </w:rPr>
      </w:pPr>
      <w:r>
        <w:rPr>
          <w:color w:val="000000"/>
          <w:lang w:val="fr-FR"/>
        </w:rPr>
        <w:t xml:space="preserve">Nom de l'organisme : </w:t>
      </w:r>
      <w:bookmarkStart w:id="9" w:name="_Hlk208842725"/>
      <w:r w:rsidR="00392495">
        <w:rPr>
          <w:color w:val="000000"/>
          <w:lang w:val="fr-FR"/>
        </w:rPr>
        <w:t>Bretagne INP</w:t>
      </w:r>
      <w:bookmarkEnd w:id="9"/>
    </w:p>
    <w:p w14:paraId="18ACC10D" w14:textId="77777777" w:rsidR="00DD28BE" w:rsidRDefault="00DB4C95">
      <w:pPr>
        <w:pStyle w:val="Titre2"/>
        <w:ind w:left="300" w:right="20"/>
        <w:rPr>
          <w:rFonts w:eastAsia="Arial"/>
          <w:i w:val="0"/>
          <w:color w:val="000000"/>
          <w:sz w:val="24"/>
          <w:lang w:val="fr-FR"/>
        </w:rPr>
      </w:pPr>
      <w:bookmarkStart w:id="10" w:name="_Toc256000006"/>
      <w:r>
        <w:rPr>
          <w:rFonts w:eastAsia="Arial"/>
          <w:i w:val="0"/>
          <w:color w:val="000000"/>
          <w:sz w:val="24"/>
          <w:lang w:val="fr-FR"/>
        </w:rPr>
        <w:t>3.2 - Représentant de l'acheteur</w:t>
      </w:r>
      <w:bookmarkEnd w:id="10"/>
    </w:p>
    <w:p w14:paraId="073F1547" w14:textId="3149FDDB" w:rsidR="00DD28BE" w:rsidRDefault="00DB4C95">
      <w:pPr>
        <w:pStyle w:val="ParagrapheIndent2"/>
        <w:spacing w:line="253" w:lineRule="exact"/>
        <w:ind w:left="20" w:right="20"/>
        <w:jc w:val="both"/>
        <w:rPr>
          <w:color w:val="000000"/>
          <w:lang w:val="fr-FR"/>
        </w:rPr>
      </w:pPr>
      <w:r>
        <w:rPr>
          <w:color w:val="000000"/>
          <w:lang w:val="fr-FR"/>
        </w:rPr>
        <w:t xml:space="preserve">Nom de l'organisme acheteur : </w:t>
      </w:r>
      <w:r w:rsidR="00392495">
        <w:rPr>
          <w:color w:val="000000"/>
          <w:lang w:val="fr-FR"/>
        </w:rPr>
        <w:t>Bretagne INP</w:t>
      </w:r>
    </w:p>
    <w:p w14:paraId="1A1FFCB1" w14:textId="4308C7D5" w:rsidR="00DD28BE" w:rsidRDefault="00DB4C95">
      <w:pPr>
        <w:pStyle w:val="ParagrapheIndent2"/>
        <w:spacing w:after="240" w:line="253" w:lineRule="exact"/>
        <w:ind w:left="20" w:right="20"/>
        <w:jc w:val="both"/>
        <w:rPr>
          <w:color w:val="000000"/>
          <w:lang w:val="fr-FR"/>
        </w:rPr>
      </w:pPr>
      <w:r>
        <w:rPr>
          <w:color w:val="000000"/>
          <w:lang w:val="fr-FR"/>
        </w:rPr>
        <w:t xml:space="preserve">Représentant de l'organisme acheteur : Le Directeur </w:t>
      </w:r>
      <w:r w:rsidR="00392495">
        <w:rPr>
          <w:color w:val="000000"/>
          <w:lang w:val="fr-FR"/>
        </w:rPr>
        <w:t>général de Bretagne INP</w:t>
      </w:r>
    </w:p>
    <w:p w14:paraId="582DD91B" w14:textId="77777777" w:rsidR="00DD28BE" w:rsidRDefault="00DD28BE">
      <w:pPr>
        <w:rPr>
          <w:lang w:val="fr-FR"/>
        </w:rPr>
      </w:pPr>
    </w:p>
    <w:p w14:paraId="71EED399" w14:textId="77777777" w:rsidR="00DD28BE" w:rsidRDefault="00DB4C95">
      <w:pPr>
        <w:pStyle w:val="Titre1"/>
        <w:rPr>
          <w:rFonts w:eastAsia="Arial"/>
          <w:color w:val="000000"/>
          <w:sz w:val="28"/>
          <w:lang w:val="fr-FR"/>
        </w:rPr>
      </w:pPr>
      <w:bookmarkStart w:id="11" w:name="_Toc256000007"/>
      <w:r>
        <w:rPr>
          <w:rFonts w:eastAsia="Arial"/>
          <w:color w:val="000000"/>
          <w:sz w:val="28"/>
          <w:lang w:val="fr-FR"/>
        </w:rPr>
        <w:t>4 - Durée et délais d'exécution</w:t>
      </w:r>
      <w:bookmarkEnd w:id="11"/>
    </w:p>
    <w:p w14:paraId="723878E9" w14:textId="77777777" w:rsidR="00DD28BE" w:rsidRDefault="00DB4C95">
      <w:pPr>
        <w:pStyle w:val="Titre2"/>
        <w:ind w:left="300" w:right="20"/>
        <w:rPr>
          <w:rFonts w:eastAsia="Arial"/>
          <w:i w:val="0"/>
          <w:color w:val="000000"/>
          <w:sz w:val="24"/>
          <w:lang w:val="fr-FR"/>
        </w:rPr>
      </w:pPr>
      <w:bookmarkStart w:id="12" w:name="_Toc256000008"/>
      <w:r>
        <w:rPr>
          <w:rFonts w:eastAsia="Arial"/>
          <w:i w:val="0"/>
          <w:color w:val="000000"/>
          <w:sz w:val="24"/>
          <w:lang w:val="fr-FR"/>
        </w:rPr>
        <w:t>4.1 - Délai de livraison</w:t>
      </w:r>
      <w:bookmarkEnd w:id="12"/>
    </w:p>
    <w:p w14:paraId="7AC1C44E" w14:textId="6175BE45" w:rsidR="00DD28BE" w:rsidRDefault="00392495">
      <w:pPr>
        <w:pStyle w:val="ParagrapheIndent2"/>
        <w:spacing w:after="240"/>
        <w:ind w:left="20" w:right="20"/>
        <w:jc w:val="both"/>
        <w:rPr>
          <w:color w:val="000000"/>
          <w:szCs w:val="22"/>
          <w:lang w:val="fr-FR"/>
        </w:rPr>
      </w:pPr>
      <w:r>
        <w:rPr>
          <w:color w:val="000000"/>
          <w:szCs w:val="22"/>
          <w:lang w:val="fr-FR"/>
        </w:rPr>
        <w:t>Les matériels devront être livrés pour le 28 février 2026 dernier délai</w:t>
      </w:r>
      <w:r w:rsidR="00DB4C95">
        <w:rPr>
          <w:color w:val="000000"/>
          <w:szCs w:val="22"/>
          <w:lang w:val="fr-FR"/>
        </w:rPr>
        <w:t>.</w:t>
      </w:r>
    </w:p>
    <w:p w14:paraId="7694E9EE" w14:textId="6BEA0392" w:rsidR="00DD28BE" w:rsidRDefault="00DB4C95">
      <w:pPr>
        <w:pStyle w:val="ParagrapheIndent2"/>
        <w:ind w:left="20" w:right="20"/>
        <w:jc w:val="both"/>
        <w:rPr>
          <w:color w:val="000000"/>
          <w:szCs w:val="22"/>
          <w:lang w:val="fr-FR"/>
        </w:rPr>
      </w:pPr>
      <w:r>
        <w:rPr>
          <w:color w:val="000000"/>
          <w:szCs w:val="22"/>
          <w:lang w:val="fr-FR"/>
        </w:rPr>
        <w:t xml:space="preserve">L'exécution des prestations débute à compter de la date de notification du contrat prévue </w:t>
      </w:r>
      <w:r w:rsidR="00392495">
        <w:rPr>
          <w:color w:val="000000"/>
          <w:szCs w:val="22"/>
          <w:lang w:val="fr-FR"/>
        </w:rPr>
        <w:t>le 28 novembre au plus tard.</w:t>
      </w:r>
    </w:p>
    <w:p w14:paraId="163C874D" w14:textId="46764B3D" w:rsidR="00DD28BE" w:rsidRDefault="00DB4C95" w:rsidP="00311ECB">
      <w:pPr>
        <w:rPr>
          <w:rFonts w:ascii="Arial" w:eastAsia="Arial" w:hAnsi="Arial" w:cs="Arial"/>
          <w:sz w:val="22"/>
          <w:szCs w:val="22"/>
          <w:lang w:val="fr-FR"/>
        </w:rPr>
      </w:pPr>
      <w:r>
        <w:rPr>
          <w:rFonts w:ascii="Arial" w:eastAsia="Arial" w:hAnsi="Arial" w:cs="Arial"/>
          <w:color w:val="000000"/>
          <w:sz w:val="22"/>
          <w:szCs w:val="22"/>
          <w:lang w:val="fr-FR"/>
        </w:rPr>
        <w:t xml:space="preserve">La livraison finale (fabrication, livraison et installation des équipements dans les locaux de </w:t>
      </w:r>
      <w:r w:rsidR="00392495">
        <w:rPr>
          <w:rFonts w:ascii="Arial" w:eastAsia="Arial" w:hAnsi="Arial" w:cs="Arial"/>
          <w:color w:val="000000"/>
          <w:sz w:val="22"/>
          <w:szCs w:val="22"/>
          <w:lang w:val="fr-FR"/>
        </w:rPr>
        <w:t>Bretagne INP</w:t>
      </w:r>
      <w:r>
        <w:rPr>
          <w:rFonts w:ascii="Arial" w:eastAsia="Arial" w:hAnsi="Arial" w:cs="Arial"/>
          <w:color w:val="000000"/>
          <w:sz w:val="22"/>
          <w:szCs w:val="22"/>
          <w:lang w:val="fr-FR"/>
        </w:rPr>
        <w:t xml:space="preserve">) est prévue </w:t>
      </w:r>
      <w:r>
        <w:rPr>
          <w:rFonts w:ascii="Arial" w:eastAsia="Arial" w:hAnsi="Arial" w:cs="Arial"/>
          <w:sz w:val="22"/>
          <w:szCs w:val="22"/>
          <w:lang w:val="fr-FR"/>
        </w:rPr>
        <w:t xml:space="preserve">au plus </w:t>
      </w:r>
      <w:r w:rsidRPr="00392495">
        <w:rPr>
          <w:rFonts w:ascii="Arial" w:eastAsia="Arial" w:hAnsi="Arial" w:cs="Arial"/>
          <w:sz w:val="22"/>
          <w:szCs w:val="22"/>
          <w:lang w:val="fr-FR"/>
        </w:rPr>
        <w:t xml:space="preserve">tard </w:t>
      </w:r>
      <w:r w:rsidR="00311ECB">
        <w:rPr>
          <w:rFonts w:ascii="Arial" w:eastAsia="Arial" w:hAnsi="Arial" w:cs="Arial"/>
          <w:sz w:val="22"/>
          <w:szCs w:val="22"/>
          <w:lang w:val="fr-FR"/>
        </w:rPr>
        <w:t>28 février 2026</w:t>
      </w:r>
    </w:p>
    <w:p w14:paraId="4331320F" w14:textId="77777777" w:rsidR="00311ECB" w:rsidRPr="00DB4C95" w:rsidRDefault="00311ECB" w:rsidP="00311ECB">
      <w:pPr>
        <w:rPr>
          <w:sz w:val="2"/>
          <w:lang w:val="fr-FR"/>
        </w:rPr>
      </w:pPr>
    </w:p>
    <w:p w14:paraId="2B1F5AA8" w14:textId="77777777" w:rsidR="00DD28BE" w:rsidRDefault="00DB4C95">
      <w:pPr>
        <w:pStyle w:val="Titre1"/>
        <w:rPr>
          <w:rFonts w:eastAsia="Arial"/>
          <w:color w:val="000000"/>
          <w:sz w:val="28"/>
          <w:lang w:val="fr-FR"/>
        </w:rPr>
      </w:pPr>
      <w:bookmarkStart w:id="13" w:name="_Toc256000009"/>
      <w:r>
        <w:rPr>
          <w:rFonts w:eastAsia="Arial"/>
          <w:color w:val="000000"/>
          <w:sz w:val="28"/>
          <w:lang w:val="fr-FR"/>
        </w:rPr>
        <w:t>5 - Prix</w:t>
      </w:r>
      <w:bookmarkEnd w:id="13"/>
    </w:p>
    <w:p w14:paraId="6CE5B605" w14:textId="77777777" w:rsidR="00DD28BE" w:rsidRDefault="00DB4C95">
      <w:pPr>
        <w:pStyle w:val="Titre2"/>
        <w:ind w:left="300" w:right="20"/>
        <w:rPr>
          <w:rFonts w:eastAsia="Arial"/>
          <w:i w:val="0"/>
          <w:color w:val="000000"/>
          <w:sz w:val="24"/>
          <w:lang w:val="fr-FR"/>
        </w:rPr>
      </w:pPr>
      <w:bookmarkStart w:id="14" w:name="_Toc256000010"/>
      <w:r>
        <w:rPr>
          <w:rFonts w:eastAsia="Arial"/>
          <w:i w:val="0"/>
          <w:color w:val="000000"/>
          <w:sz w:val="24"/>
          <w:lang w:val="fr-FR"/>
        </w:rPr>
        <w:t>5.1 - Caractéristiques des prix pratiqués</w:t>
      </w:r>
      <w:bookmarkEnd w:id="14"/>
    </w:p>
    <w:p w14:paraId="4384D999" w14:textId="105E0DD7" w:rsidR="00DD28BE" w:rsidRDefault="00DB4C95">
      <w:pPr>
        <w:pStyle w:val="ParagrapheIndent2"/>
        <w:spacing w:after="240" w:line="253" w:lineRule="exact"/>
        <w:ind w:left="20" w:right="20"/>
        <w:jc w:val="both"/>
        <w:rPr>
          <w:color w:val="000000"/>
          <w:lang w:val="fr-FR"/>
        </w:rPr>
      </w:pPr>
      <w:r>
        <w:rPr>
          <w:color w:val="000000"/>
          <w:lang w:val="fr-FR"/>
        </w:rPr>
        <w:t xml:space="preserve">Les prestations sont réglées par un prix global forfaitaire par </w:t>
      </w:r>
      <w:proofErr w:type="gramStart"/>
      <w:r>
        <w:rPr>
          <w:color w:val="000000"/>
          <w:lang w:val="fr-FR"/>
        </w:rPr>
        <w:t xml:space="preserve">lot </w:t>
      </w:r>
      <w:r w:rsidR="00311ECB">
        <w:rPr>
          <w:color w:val="000000"/>
          <w:lang w:val="fr-FR"/>
        </w:rPr>
        <w:t>.</w:t>
      </w:r>
      <w:proofErr w:type="gramEnd"/>
    </w:p>
    <w:p w14:paraId="5A9C9F1E" w14:textId="77777777" w:rsidR="00DD28BE" w:rsidRDefault="00DB4C95">
      <w:pPr>
        <w:pStyle w:val="Titre2"/>
        <w:ind w:left="300" w:right="20"/>
        <w:rPr>
          <w:rFonts w:eastAsia="Arial"/>
          <w:i w:val="0"/>
          <w:color w:val="000000"/>
          <w:sz w:val="24"/>
          <w:lang w:val="fr-FR"/>
        </w:rPr>
      </w:pPr>
      <w:bookmarkStart w:id="15" w:name="_Toc256000011"/>
      <w:r>
        <w:rPr>
          <w:rFonts w:eastAsia="Arial"/>
          <w:i w:val="0"/>
          <w:color w:val="000000"/>
          <w:sz w:val="24"/>
          <w:lang w:val="fr-FR"/>
        </w:rPr>
        <w:t>5.2 - Modalités de variation des prix</w:t>
      </w:r>
      <w:bookmarkEnd w:id="15"/>
    </w:p>
    <w:p w14:paraId="45912840" w14:textId="77777777" w:rsidR="00DD28BE" w:rsidRDefault="00DB4C95">
      <w:pPr>
        <w:pStyle w:val="ParagrapheIndent2"/>
        <w:spacing w:after="240"/>
        <w:ind w:left="20" w:right="20"/>
        <w:jc w:val="both"/>
        <w:rPr>
          <w:color w:val="000000"/>
          <w:lang w:val="fr-FR"/>
        </w:rPr>
      </w:pPr>
      <w:r>
        <w:rPr>
          <w:color w:val="000000"/>
          <w:lang w:val="fr-FR"/>
        </w:rPr>
        <w:t>Les prix sont fermes et non actualisables.</w:t>
      </w:r>
    </w:p>
    <w:p w14:paraId="6CC1FDBB" w14:textId="77777777" w:rsidR="00DD28BE" w:rsidRDefault="00DB4C95">
      <w:pPr>
        <w:pStyle w:val="Titre1"/>
        <w:rPr>
          <w:rFonts w:eastAsia="Arial"/>
          <w:color w:val="000000"/>
          <w:sz w:val="28"/>
          <w:lang w:val="fr-FR"/>
        </w:rPr>
      </w:pPr>
      <w:bookmarkStart w:id="16" w:name="_Toc256000012"/>
      <w:r>
        <w:rPr>
          <w:rFonts w:eastAsia="Arial"/>
          <w:color w:val="000000"/>
          <w:sz w:val="28"/>
          <w:lang w:val="fr-FR"/>
        </w:rPr>
        <w:t>6 - Garanties Financières</w:t>
      </w:r>
      <w:bookmarkEnd w:id="16"/>
    </w:p>
    <w:p w14:paraId="692FF102" w14:textId="77777777" w:rsidR="00DD28BE" w:rsidRDefault="00DB4C95">
      <w:pPr>
        <w:pStyle w:val="ParagrapheIndent1"/>
        <w:spacing w:after="240"/>
        <w:ind w:left="20" w:right="20"/>
        <w:jc w:val="both"/>
        <w:rPr>
          <w:color w:val="000000"/>
          <w:lang w:val="fr-FR"/>
        </w:rPr>
      </w:pPr>
      <w:r>
        <w:rPr>
          <w:color w:val="000000"/>
          <w:lang w:val="fr-FR"/>
        </w:rPr>
        <w:t>Aucune clause de garantie financière ne sera appliquée.</w:t>
      </w:r>
    </w:p>
    <w:p w14:paraId="6F3DC027" w14:textId="77777777" w:rsidR="00DD28BE" w:rsidRDefault="00DB4C95">
      <w:pPr>
        <w:pStyle w:val="Titre1"/>
        <w:rPr>
          <w:rFonts w:eastAsia="Arial"/>
          <w:color w:val="000000"/>
          <w:sz w:val="28"/>
          <w:lang w:val="fr-FR"/>
        </w:rPr>
      </w:pPr>
      <w:bookmarkStart w:id="17" w:name="_Toc256000013"/>
      <w:r>
        <w:rPr>
          <w:rFonts w:eastAsia="Arial"/>
          <w:color w:val="000000"/>
          <w:sz w:val="28"/>
          <w:lang w:val="fr-FR"/>
        </w:rPr>
        <w:t>7 - Avance</w:t>
      </w:r>
      <w:bookmarkEnd w:id="17"/>
    </w:p>
    <w:p w14:paraId="2F017D9F" w14:textId="77777777" w:rsidR="00DD28BE" w:rsidRDefault="00DB4C95">
      <w:pPr>
        <w:pStyle w:val="Titre1"/>
        <w:rPr>
          <w:rFonts w:eastAsia="Arial"/>
          <w:b w:val="0"/>
          <w:bCs w:val="0"/>
          <w:color w:val="000000"/>
          <w:sz w:val="22"/>
          <w:szCs w:val="22"/>
          <w:lang w:val="fr-FR"/>
        </w:rPr>
      </w:pPr>
      <w:r>
        <w:rPr>
          <w:rFonts w:eastAsia="Arial"/>
          <w:b w:val="0"/>
          <w:bCs w:val="0"/>
          <w:color w:val="000000"/>
          <w:sz w:val="22"/>
          <w:szCs w:val="22"/>
          <w:lang w:val="fr-FR"/>
        </w:rPr>
        <w:t>Une avance est accordée au titulaire, sauf indication contraire dans l'acte d'engagement, pour les</w:t>
      </w:r>
    </w:p>
    <w:p w14:paraId="673D1480" w14:textId="77777777" w:rsidR="00DD28BE" w:rsidRDefault="00DB4C95">
      <w:pPr>
        <w:pStyle w:val="Titre1"/>
        <w:rPr>
          <w:rFonts w:eastAsia="Arial"/>
          <w:b w:val="0"/>
          <w:bCs w:val="0"/>
          <w:color w:val="000000"/>
          <w:sz w:val="22"/>
          <w:szCs w:val="22"/>
          <w:lang w:val="fr-FR"/>
        </w:rPr>
      </w:pPr>
      <w:proofErr w:type="gramStart"/>
      <w:r>
        <w:rPr>
          <w:rFonts w:eastAsia="Arial"/>
          <w:b w:val="0"/>
          <w:bCs w:val="0"/>
          <w:color w:val="000000"/>
          <w:sz w:val="22"/>
          <w:szCs w:val="22"/>
          <w:lang w:val="fr-FR"/>
        </w:rPr>
        <w:t>lots</w:t>
      </w:r>
      <w:proofErr w:type="gramEnd"/>
      <w:r>
        <w:rPr>
          <w:rFonts w:eastAsia="Arial"/>
          <w:b w:val="0"/>
          <w:bCs w:val="0"/>
          <w:color w:val="000000"/>
          <w:sz w:val="22"/>
          <w:szCs w:val="22"/>
          <w:lang w:val="fr-FR"/>
        </w:rPr>
        <w:t xml:space="preserve"> sélectionnés et mentionnés dans l’Acte d’Engagement.</w:t>
      </w:r>
    </w:p>
    <w:p w14:paraId="2D48673D" w14:textId="77777777" w:rsidR="00DD28BE" w:rsidRDefault="00DB4C95">
      <w:pPr>
        <w:rPr>
          <w:rFonts w:ascii="Arial" w:eastAsia="Arial" w:hAnsi="Arial" w:cs="Arial"/>
          <w:sz w:val="22"/>
          <w:szCs w:val="22"/>
          <w:lang w:val="fr-FR"/>
        </w:rPr>
      </w:pPr>
      <w:r>
        <w:rPr>
          <w:rFonts w:ascii="Arial" w:eastAsia="Arial" w:hAnsi="Arial" w:cs="Arial"/>
          <w:sz w:val="22"/>
          <w:szCs w:val="22"/>
          <w:lang w:val="fr-FR"/>
        </w:rPr>
        <w:t>Le montant de l'avance peut se situer entre 5 et 30% du montant initial, toutes taxes comprises, du lot concerné, si sa durée est inférieure ou égale à douze mois. Ce qui est le cas dans le présent marché.</w:t>
      </w:r>
    </w:p>
    <w:p w14:paraId="4DAD68D9" w14:textId="77777777" w:rsidR="00DD28BE" w:rsidRDefault="00DB4C95">
      <w:pPr>
        <w:rPr>
          <w:rFonts w:ascii="Arial" w:eastAsia="Arial" w:hAnsi="Arial" w:cs="Arial"/>
          <w:sz w:val="22"/>
          <w:szCs w:val="22"/>
          <w:lang w:val="fr-FR"/>
        </w:rPr>
      </w:pPr>
      <w:r>
        <w:rPr>
          <w:rFonts w:ascii="Arial" w:eastAsia="Arial" w:hAnsi="Arial" w:cs="Arial"/>
          <w:sz w:val="22"/>
          <w:szCs w:val="22"/>
          <w:lang w:val="fr-FR"/>
        </w:rPr>
        <w:t>Le montant de l'avance ne peut être affecté par la mise en œuvre d'une clause de variation de prix.</w:t>
      </w:r>
    </w:p>
    <w:p w14:paraId="109C36EF" w14:textId="77777777" w:rsidR="00DD28BE" w:rsidRDefault="00DB4C95">
      <w:pPr>
        <w:rPr>
          <w:rFonts w:ascii="Arial" w:eastAsia="Arial" w:hAnsi="Arial" w:cs="Arial"/>
          <w:sz w:val="22"/>
          <w:szCs w:val="22"/>
          <w:lang w:val="fr-FR"/>
        </w:rPr>
      </w:pPr>
      <w:r>
        <w:rPr>
          <w:rFonts w:ascii="Arial" w:eastAsia="Arial" w:hAnsi="Arial" w:cs="Arial"/>
          <w:sz w:val="22"/>
          <w:szCs w:val="22"/>
          <w:lang w:val="fr-FR"/>
        </w:rPr>
        <w:t>Le remboursement de l'avance commence lorsque le montant des prestations exécutées par le</w:t>
      </w:r>
    </w:p>
    <w:p w14:paraId="53F42A17" w14:textId="77777777" w:rsidR="00DD28BE" w:rsidRDefault="00DB4C95">
      <w:pPr>
        <w:rPr>
          <w:rFonts w:ascii="Arial" w:eastAsia="Arial" w:hAnsi="Arial" w:cs="Arial"/>
          <w:sz w:val="22"/>
          <w:szCs w:val="22"/>
          <w:lang w:val="fr-FR"/>
        </w:rPr>
      </w:pPr>
      <w:proofErr w:type="gramStart"/>
      <w:r>
        <w:rPr>
          <w:rFonts w:ascii="Arial" w:eastAsia="Arial" w:hAnsi="Arial" w:cs="Arial"/>
          <w:sz w:val="22"/>
          <w:szCs w:val="22"/>
          <w:lang w:val="fr-FR"/>
        </w:rPr>
        <w:t>titulaire</w:t>
      </w:r>
      <w:proofErr w:type="gramEnd"/>
      <w:r>
        <w:rPr>
          <w:rFonts w:ascii="Arial" w:eastAsia="Arial" w:hAnsi="Arial" w:cs="Arial"/>
          <w:sz w:val="22"/>
          <w:szCs w:val="22"/>
          <w:lang w:val="fr-FR"/>
        </w:rPr>
        <w:t xml:space="preserve"> atteint ou dépasse 65,0 % du montant initial du lot concerné. Il doit être terminé lorsque ledit montant atteint 80,0 %.</w:t>
      </w:r>
    </w:p>
    <w:p w14:paraId="58FFA832" w14:textId="77777777" w:rsidR="00DD28BE" w:rsidRDefault="00DD28BE">
      <w:pPr>
        <w:pStyle w:val="Titre1"/>
        <w:rPr>
          <w:rFonts w:eastAsia="Arial"/>
          <w:b w:val="0"/>
          <w:bCs w:val="0"/>
          <w:color w:val="000000"/>
          <w:sz w:val="22"/>
          <w:szCs w:val="24"/>
          <w:lang w:val="fr-FR"/>
        </w:rPr>
      </w:pPr>
    </w:p>
    <w:p w14:paraId="62E458F5" w14:textId="77777777" w:rsidR="00DD28BE" w:rsidRDefault="00DB4C95">
      <w:pPr>
        <w:pStyle w:val="Titre1"/>
        <w:rPr>
          <w:rFonts w:eastAsia="Arial"/>
          <w:color w:val="000000"/>
          <w:sz w:val="28"/>
          <w:lang w:val="fr-FR"/>
        </w:rPr>
      </w:pPr>
      <w:bookmarkStart w:id="18" w:name="_Toc256000014"/>
      <w:r>
        <w:rPr>
          <w:rFonts w:eastAsia="Arial"/>
          <w:color w:val="000000"/>
          <w:sz w:val="28"/>
          <w:lang w:val="fr-FR"/>
        </w:rPr>
        <w:t>8 - Modalités de règlement des comptes</w:t>
      </w:r>
      <w:bookmarkEnd w:id="18"/>
    </w:p>
    <w:p w14:paraId="6D35A430" w14:textId="77777777" w:rsidR="00DD28BE" w:rsidRDefault="00DB4C95">
      <w:pPr>
        <w:pStyle w:val="Titre2"/>
        <w:ind w:left="300" w:right="20"/>
        <w:rPr>
          <w:rFonts w:eastAsia="Arial"/>
          <w:i w:val="0"/>
          <w:color w:val="000000"/>
          <w:sz w:val="24"/>
          <w:lang w:val="fr-FR"/>
        </w:rPr>
      </w:pPr>
      <w:bookmarkStart w:id="19" w:name="_Toc256000015"/>
      <w:r>
        <w:rPr>
          <w:rFonts w:eastAsia="Arial"/>
          <w:i w:val="0"/>
          <w:color w:val="000000"/>
          <w:sz w:val="24"/>
          <w:lang w:val="fr-FR"/>
        </w:rPr>
        <w:t>8.1 - Acomptes et paiements partiels définitifs</w:t>
      </w:r>
      <w:bookmarkEnd w:id="19"/>
    </w:p>
    <w:p w14:paraId="3DE8C8F0" w14:textId="77777777" w:rsidR="00DD28BE" w:rsidRDefault="00DB4C95">
      <w:pPr>
        <w:pStyle w:val="ParagrapheIndent2"/>
        <w:spacing w:after="240" w:line="253" w:lineRule="exact"/>
        <w:ind w:left="20" w:right="20"/>
        <w:jc w:val="both"/>
        <w:rPr>
          <w:color w:val="000000"/>
          <w:lang w:val="fr-FR"/>
        </w:rPr>
      </w:pPr>
      <w:r>
        <w:rPr>
          <w:color w:val="000000"/>
          <w:lang w:val="fr-FR"/>
        </w:rPr>
        <w:t>Les modalités de règlement des comptes sont définies dans les conditions de l'article 11 du CCAG-FCS.</w:t>
      </w:r>
    </w:p>
    <w:p w14:paraId="267170A3" w14:textId="77777777" w:rsidR="00DD28BE" w:rsidRDefault="00DB4C95">
      <w:pPr>
        <w:pStyle w:val="Titre2"/>
        <w:ind w:left="300" w:right="20"/>
        <w:rPr>
          <w:rFonts w:eastAsia="Arial"/>
          <w:i w:val="0"/>
          <w:color w:val="000000"/>
          <w:sz w:val="24"/>
          <w:lang w:val="fr-FR"/>
        </w:rPr>
      </w:pPr>
      <w:bookmarkStart w:id="20" w:name="_Toc256000016"/>
      <w:r>
        <w:rPr>
          <w:rFonts w:eastAsia="Arial"/>
          <w:i w:val="0"/>
          <w:color w:val="000000"/>
          <w:sz w:val="24"/>
          <w:lang w:val="fr-FR"/>
        </w:rPr>
        <w:t>8.2 - Présentation des demandes de paiement</w:t>
      </w:r>
      <w:bookmarkEnd w:id="20"/>
    </w:p>
    <w:p w14:paraId="68FAE1B2" w14:textId="77777777" w:rsidR="00DD28BE" w:rsidRDefault="00DB4C95">
      <w:pPr>
        <w:pStyle w:val="ParagrapheIndent2"/>
        <w:spacing w:line="253" w:lineRule="exact"/>
        <w:ind w:left="20" w:right="20"/>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7BB16A9D" w14:textId="77777777" w:rsidR="00DD28BE" w:rsidRDefault="00DD28BE">
      <w:pPr>
        <w:pStyle w:val="ParagrapheIndent2"/>
        <w:spacing w:line="253" w:lineRule="exact"/>
        <w:ind w:left="20" w:right="20"/>
        <w:jc w:val="both"/>
        <w:rPr>
          <w:color w:val="000000"/>
          <w:lang w:val="fr-FR"/>
        </w:rPr>
      </w:pPr>
    </w:p>
    <w:p w14:paraId="6053FA06" w14:textId="77777777" w:rsidR="00DD28BE" w:rsidRDefault="00DB4C95">
      <w:pPr>
        <w:pStyle w:val="ParagrapheIndent2"/>
        <w:spacing w:after="240" w:line="253" w:lineRule="exact"/>
        <w:ind w:left="20" w:right="20"/>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10ABB517" w14:textId="77777777" w:rsidR="00DD28BE" w:rsidRDefault="00DB4C95">
      <w:pPr>
        <w:pStyle w:val="Titre2"/>
        <w:ind w:left="300" w:right="20"/>
        <w:rPr>
          <w:rFonts w:eastAsia="Arial"/>
          <w:i w:val="0"/>
          <w:color w:val="000000"/>
          <w:sz w:val="24"/>
          <w:lang w:val="fr-FR"/>
        </w:rPr>
      </w:pPr>
      <w:bookmarkStart w:id="21" w:name="_Toc256000017"/>
      <w:r>
        <w:rPr>
          <w:rFonts w:eastAsia="Arial"/>
          <w:i w:val="0"/>
          <w:color w:val="000000"/>
          <w:sz w:val="24"/>
          <w:lang w:val="fr-FR"/>
        </w:rPr>
        <w:lastRenderedPageBreak/>
        <w:t>8.3 - Délai global de paiement</w:t>
      </w:r>
      <w:bookmarkEnd w:id="21"/>
    </w:p>
    <w:p w14:paraId="264EDEF7" w14:textId="77777777" w:rsidR="00DD28BE" w:rsidRDefault="00DB4C95">
      <w:pPr>
        <w:pStyle w:val="ParagrapheIndent2"/>
        <w:spacing w:line="253" w:lineRule="exact"/>
        <w:ind w:left="20" w:right="20"/>
        <w:jc w:val="both"/>
        <w:rPr>
          <w:color w:val="000000"/>
          <w:lang w:val="fr-FR"/>
        </w:rPr>
      </w:pPr>
      <w:r>
        <w:rPr>
          <w:color w:val="000000"/>
          <w:lang w:val="fr-FR"/>
        </w:rPr>
        <w:t>Les sommes dues au(x) titulaire(s) seront payées dans un délai global de 30 jours à compter de la date de réception des demandes de paiement.</w:t>
      </w:r>
    </w:p>
    <w:p w14:paraId="3ACC78A1" w14:textId="77777777" w:rsidR="00DD28BE" w:rsidRDefault="00DD28BE">
      <w:pPr>
        <w:pStyle w:val="ParagrapheIndent2"/>
        <w:spacing w:line="253" w:lineRule="exact"/>
        <w:ind w:left="20" w:right="20"/>
        <w:jc w:val="both"/>
        <w:rPr>
          <w:color w:val="000000"/>
          <w:lang w:val="fr-FR"/>
        </w:rPr>
      </w:pPr>
    </w:p>
    <w:p w14:paraId="513C9C97" w14:textId="77777777" w:rsidR="00DD28BE" w:rsidRDefault="00DB4C95">
      <w:pPr>
        <w:pStyle w:val="ParagrapheIndent2"/>
        <w:spacing w:after="240" w:line="253" w:lineRule="exact"/>
        <w:ind w:left="20" w:right="20"/>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D504079" w14:textId="77777777" w:rsidR="00DD28BE" w:rsidRDefault="00DB4C95">
      <w:pPr>
        <w:pStyle w:val="Titre2"/>
        <w:ind w:left="300" w:right="20"/>
        <w:rPr>
          <w:rFonts w:eastAsia="Arial"/>
          <w:i w:val="0"/>
          <w:color w:val="000000"/>
          <w:sz w:val="24"/>
          <w:lang w:val="fr-FR"/>
        </w:rPr>
      </w:pPr>
      <w:bookmarkStart w:id="22" w:name="_Toc256000018"/>
      <w:r>
        <w:rPr>
          <w:rFonts w:eastAsia="Arial"/>
          <w:i w:val="0"/>
          <w:color w:val="000000"/>
          <w:sz w:val="24"/>
          <w:lang w:val="fr-FR"/>
        </w:rPr>
        <w:t>8.4 - Paiement des cotraitants</w:t>
      </w:r>
      <w:bookmarkEnd w:id="22"/>
    </w:p>
    <w:p w14:paraId="2AC61FD9" w14:textId="77777777" w:rsidR="00DD28BE" w:rsidRDefault="00DB4C95">
      <w:pPr>
        <w:pStyle w:val="ParagrapheIndent2"/>
        <w:spacing w:line="253" w:lineRule="exact"/>
        <w:ind w:left="20" w:right="20"/>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323AD2D4" w14:textId="235747D4" w:rsidR="00DD28BE" w:rsidRDefault="00DB4C95" w:rsidP="00311ECB">
      <w:pPr>
        <w:pStyle w:val="ParagrapheIndent2"/>
        <w:spacing w:line="253" w:lineRule="exact"/>
        <w:ind w:left="20" w:right="20"/>
        <w:jc w:val="both"/>
        <w:rPr>
          <w:color w:val="000000"/>
          <w:lang w:val="fr-FR"/>
        </w:rPr>
      </w:pPr>
      <w:r>
        <w:rPr>
          <w:color w:val="000000"/>
          <w:lang w:val="fr-FR"/>
        </w:rPr>
        <w:t>Les autres dispositions relatives à la cotraitance s'appliquent selon l'article 12.1 du CCAG-FCS.</w:t>
      </w:r>
    </w:p>
    <w:p w14:paraId="666B45AA" w14:textId="77777777" w:rsidR="00311ECB" w:rsidRPr="00311ECB" w:rsidRDefault="00311ECB" w:rsidP="00311ECB">
      <w:pPr>
        <w:rPr>
          <w:lang w:val="fr-FR"/>
        </w:rPr>
      </w:pPr>
    </w:p>
    <w:p w14:paraId="15B6EAF5" w14:textId="77777777" w:rsidR="00DD28BE" w:rsidRDefault="00DB4C95">
      <w:pPr>
        <w:pStyle w:val="Titre2"/>
        <w:ind w:left="300" w:right="20"/>
        <w:rPr>
          <w:rFonts w:eastAsia="Arial"/>
          <w:i w:val="0"/>
          <w:color w:val="000000"/>
          <w:sz w:val="24"/>
          <w:lang w:val="fr-FR"/>
        </w:rPr>
      </w:pPr>
      <w:bookmarkStart w:id="23" w:name="_Toc256000019"/>
      <w:r>
        <w:rPr>
          <w:rFonts w:eastAsia="Arial"/>
          <w:i w:val="0"/>
          <w:color w:val="000000"/>
          <w:sz w:val="24"/>
          <w:lang w:val="fr-FR"/>
        </w:rPr>
        <w:t>8.5 - Paiement des sous-traitants</w:t>
      </w:r>
      <w:bookmarkEnd w:id="23"/>
    </w:p>
    <w:p w14:paraId="2560679C" w14:textId="77777777" w:rsidR="00DD28BE" w:rsidRDefault="00DB4C95">
      <w:pPr>
        <w:pStyle w:val="ParagrapheIndent2"/>
        <w:spacing w:line="253" w:lineRule="exact"/>
        <w:ind w:left="20" w:right="20"/>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7E73A4C2" w14:textId="77777777" w:rsidR="00DD28BE" w:rsidRDefault="00DD28BE">
      <w:pPr>
        <w:pStyle w:val="ParagrapheIndent2"/>
        <w:spacing w:line="253" w:lineRule="exact"/>
        <w:ind w:left="20" w:right="20"/>
        <w:jc w:val="both"/>
        <w:rPr>
          <w:color w:val="000000"/>
          <w:lang w:val="fr-FR"/>
        </w:rPr>
      </w:pPr>
    </w:p>
    <w:p w14:paraId="3584A58E" w14:textId="77777777" w:rsidR="00DD28BE" w:rsidRDefault="00DB4C95">
      <w:pPr>
        <w:pStyle w:val="ParagrapheIndent2"/>
        <w:spacing w:after="240" w:line="253" w:lineRule="exact"/>
        <w:ind w:left="20" w:right="20"/>
        <w:jc w:val="both"/>
        <w:rPr>
          <w:color w:val="000000"/>
          <w:lang w:val="fr-FR"/>
        </w:rPr>
      </w:pPr>
      <w:r>
        <w:rPr>
          <w:color w:val="000000"/>
          <w:lang w:val="fr-FR"/>
        </w:rPr>
        <w:t>En cas de cotraitance, si le titulaire qui a conclu le contrat de sous-traitance n'est pas le mandataire du groupement, ce dernier doit également valider la demande de paiement.</w:t>
      </w:r>
    </w:p>
    <w:p w14:paraId="3CD014D3" w14:textId="77777777" w:rsidR="00DD28BE" w:rsidRDefault="00DB4C95">
      <w:pPr>
        <w:pStyle w:val="Titre1"/>
        <w:rPr>
          <w:rFonts w:eastAsia="Arial"/>
          <w:color w:val="000000"/>
          <w:sz w:val="28"/>
          <w:lang w:val="fr-FR"/>
        </w:rPr>
      </w:pPr>
      <w:bookmarkStart w:id="24" w:name="_Toc256000020"/>
      <w:r>
        <w:rPr>
          <w:rFonts w:eastAsia="Arial"/>
          <w:color w:val="000000"/>
          <w:sz w:val="28"/>
          <w:lang w:val="fr-FR"/>
        </w:rPr>
        <w:t>9 - Conditions d'exécution des prestations</w:t>
      </w:r>
      <w:bookmarkEnd w:id="24"/>
    </w:p>
    <w:p w14:paraId="15BBAD22" w14:textId="77777777" w:rsidR="00DD28BE" w:rsidRDefault="00DB4C95">
      <w:pPr>
        <w:pStyle w:val="ParagrapheIndent1"/>
        <w:spacing w:after="240" w:line="253" w:lineRule="exact"/>
        <w:ind w:left="20" w:right="20"/>
        <w:jc w:val="both"/>
        <w:rPr>
          <w:color w:val="000000"/>
          <w:lang w:val="fr-FR"/>
        </w:rPr>
      </w:pPr>
      <w:r>
        <w:rPr>
          <w:color w:val="000000"/>
          <w:lang w:val="fr-FR"/>
        </w:rPr>
        <w:t>Les prestations devront être conformes aux stipulations du contrat (les normes et spécifications techniques applicables étant celles en vigueur à la date du contrat).</w:t>
      </w:r>
    </w:p>
    <w:p w14:paraId="37636CEC" w14:textId="77777777" w:rsidR="00DD28BE" w:rsidRDefault="00DB4C95">
      <w:pPr>
        <w:pStyle w:val="ParagrapheIndent1"/>
        <w:spacing w:line="253" w:lineRule="exact"/>
        <w:ind w:left="20" w:right="20"/>
        <w:jc w:val="both"/>
        <w:rPr>
          <w:color w:val="000000"/>
          <w:lang w:val="fr-FR"/>
        </w:rPr>
      </w:pPr>
      <w:r>
        <w:rPr>
          <w:color w:val="000000"/>
          <w:u w:val="single"/>
          <w:lang w:val="fr-FR"/>
        </w:rPr>
        <w:t>Stockage, emballage et transport</w:t>
      </w:r>
      <w:r>
        <w:rPr>
          <w:color w:val="000000"/>
          <w:lang w:val="fr-FR"/>
        </w:rPr>
        <w:t xml:space="preserve"> :</w:t>
      </w:r>
    </w:p>
    <w:p w14:paraId="7C5669D4" w14:textId="77777777" w:rsidR="00DD28BE" w:rsidRDefault="00DD28BE">
      <w:pPr>
        <w:pStyle w:val="ParagrapheIndent1"/>
        <w:spacing w:line="253" w:lineRule="exact"/>
        <w:ind w:left="20" w:right="20"/>
        <w:jc w:val="both"/>
        <w:rPr>
          <w:color w:val="000000"/>
          <w:lang w:val="fr-FR"/>
        </w:rPr>
      </w:pPr>
    </w:p>
    <w:p w14:paraId="1A26F0E4" w14:textId="77777777" w:rsidR="00DD28BE" w:rsidRDefault="00DB4C95">
      <w:pPr>
        <w:pStyle w:val="ParagrapheIndent1"/>
        <w:spacing w:after="240" w:line="253" w:lineRule="exact"/>
        <w:ind w:left="20" w:right="20"/>
        <w:jc w:val="both"/>
        <w:rPr>
          <w:color w:val="000000"/>
          <w:lang w:val="fr-FR"/>
        </w:rPr>
      </w:pPr>
      <w:r>
        <w:rPr>
          <w:color w:val="000000"/>
          <w:lang w:val="fr-FR"/>
        </w:rPr>
        <w:t>Le stockage, l'emballage et le transport des fournitures sont effectués dans les conditions de l'article 19 du CCAG-FCS. Les emballages relèvent de la responsabilité du titulaire et restent sa propriété. Le transport s'effectue sous sa responsabilité jusqu'au lieu de livraison.</w:t>
      </w:r>
    </w:p>
    <w:p w14:paraId="62F40C81" w14:textId="77777777" w:rsidR="00DD28BE" w:rsidRDefault="00DB4C95">
      <w:pPr>
        <w:pStyle w:val="ParagrapheIndent1"/>
        <w:spacing w:line="253" w:lineRule="exact"/>
        <w:ind w:left="20" w:right="20"/>
        <w:jc w:val="both"/>
        <w:rPr>
          <w:color w:val="000000"/>
          <w:lang w:val="fr-FR"/>
        </w:rPr>
      </w:pPr>
      <w:r>
        <w:rPr>
          <w:color w:val="000000"/>
          <w:u w:val="single"/>
          <w:lang w:val="fr-FR"/>
        </w:rPr>
        <w:t>Conditions de livraison</w:t>
      </w:r>
      <w:r>
        <w:rPr>
          <w:color w:val="000000"/>
          <w:lang w:val="fr-FR"/>
        </w:rPr>
        <w:t xml:space="preserve"> :</w:t>
      </w:r>
    </w:p>
    <w:p w14:paraId="47909B1D" w14:textId="77777777" w:rsidR="00DD28BE" w:rsidRDefault="00DD28BE">
      <w:pPr>
        <w:pStyle w:val="ParagrapheIndent1"/>
        <w:spacing w:line="253" w:lineRule="exact"/>
        <w:ind w:left="20" w:right="20"/>
        <w:jc w:val="both"/>
        <w:rPr>
          <w:color w:val="000000"/>
          <w:lang w:val="fr-FR"/>
        </w:rPr>
      </w:pPr>
    </w:p>
    <w:p w14:paraId="119B70BE" w14:textId="77777777" w:rsidR="00DD28BE" w:rsidRDefault="00DB4C95">
      <w:pPr>
        <w:pStyle w:val="ParagrapheIndent1"/>
        <w:spacing w:after="240" w:line="253" w:lineRule="exact"/>
        <w:ind w:left="20" w:right="20"/>
        <w:jc w:val="both"/>
        <w:rPr>
          <w:color w:val="000000"/>
          <w:lang w:val="fr-FR"/>
        </w:rPr>
      </w:pPr>
      <w:r>
        <w:rPr>
          <w:color w:val="000000"/>
          <w:lang w:val="fr-FR"/>
        </w:rPr>
        <w:t>La livraison des fournitures s'effectuera dans les conditions de l'article 20 du CCAG-FCS.</w:t>
      </w:r>
    </w:p>
    <w:p w14:paraId="1340EE43" w14:textId="77777777" w:rsidR="00DD28BE" w:rsidRDefault="00DB4C95">
      <w:pPr>
        <w:pStyle w:val="Titre1"/>
        <w:rPr>
          <w:rFonts w:eastAsia="Arial"/>
          <w:color w:val="000000"/>
          <w:sz w:val="28"/>
          <w:lang w:val="fr-FR"/>
        </w:rPr>
      </w:pPr>
      <w:bookmarkStart w:id="25" w:name="_Toc256000021"/>
      <w:r>
        <w:rPr>
          <w:rFonts w:eastAsia="Arial"/>
          <w:color w:val="000000"/>
          <w:sz w:val="28"/>
          <w:lang w:val="fr-FR"/>
        </w:rPr>
        <w:t>10 - Constatation de l'exécution des prestations</w:t>
      </w:r>
      <w:bookmarkEnd w:id="25"/>
    </w:p>
    <w:p w14:paraId="3D012D86" w14:textId="77777777" w:rsidR="00DD28BE" w:rsidRDefault="00DB4C95">
      <w:pPr>
        <w:pStyle w:val="Titre2"/>
        <w:ind w:left="300" w:right="20"/>
        <w:rPr>
          <w:rFonts w:eastAsia="Arial"/>
          <w:i w:val="0"/>
          <w:color w:val="000000"/>
          <w:sz w:val="24"/>
          <w:lang w:val="fr-FR"/>
        </w:rPr>
      </w:pPr>
      <w:bookmarkStart w:id="26" w:name="_Toc256000022"/>
      <w:r>
        <w:rPr>
          <w:rFonts w:eastAsia="Arial"/>
          <w:i w:val="0"/>
          <w:color w:val="000000"/>
          <w:sz w:val="24"/>
          <w:lang w:val="fr-FR"/>
        </w:rPr>
        <w:t>10.1 - Vérifications</w:t>
      </w:r>
      <w:bookmarkEnd w:id="26"/>
    </w:p>
    <w:p w14:paraId="713C3575" w14:textId="77777777" w:rsidR="00DD28BE" w:rsidRDefault="00DB4C95">
      <w:pPr>
        <w:pStyle w:val="ParagrapheIndent2"/>
        <w:spacing w:after="240" w:line="253" w:lineRule="exact"/>
        <w:ind w:left="20" w:right="20"/>
        <w:jc w:val="both"/>
        <w:rPr>
          <w:color w:val="000000"/>
          <w:lang w:val="fr-FR"/>
        </w:rPr>
      </w:pPr>
      <w:r>
        <w:rPr>
          <w:color w:val="000000"/>
          <w:lang w:val="fr-FR"/>
        </w:rPr>
        <w:t>Les vérifications quantitatives et qualitatives simples seront effectuées au moment même de la livraison de la fourniture ou de l'exécution de service (examen sommaire) conformément aux articles 22 et 23.1 du CCAG-FCS.</w:t>
      </w:r>
    </w:p>
    <w:p w14:paraId="2DDBCA28" w14:textId="77777777" w:rsidR="00DD28BE" w:rsidRDefault="00DB4C95">
      <w:pPr>
        <w:pStyle w:val="Titre2"/>
        <w:ind w:left="300" w:right="20"/>
        <w:rPr>
          <w:rFonts w:eastAsia="Arial"/>
          <w:i w:val="0"/>
          <w:color w:val="000000"/>
          <w:sz w:val="24"/>
          <w:lang w:val="fr-FR"/>
        </w:rPr>
      </w:pPr>
      <w:bookmarkStart w:id="27" w:name="_Toc256000023"/>
      <w:r>
        <w:rPr>
          <w:rFonts w:eastAsia="Arial"/>
          <w:i w:val="0"/>
          <w:color w:val="000000"/>
          <w:sz w:val="24"/>
          <w:lang w:val="fr-FR"/>
        </w:rPr>
        <w:t>10.2 - Décision après vérification</w:t>
      </w:r>
      <w:bookmarkEnd w:id="27"/>
    </w:p>
    <w:p w14:paraId="63E735B9" w14:textId="77777777" w:rsidR="00DD28BE" w:rsidRDefault="00DB4C95">
      <w:pPr>
        <w:pStyle w:val="ParagrapheIndent2"/>
        <w:spacing w:after="240" w:line="253" w:lineRule="exact"/>
        <w:ind w:left="20" w:right="20"/>
        <w:jc w:val="both"/>
        <w:rPr>
          <w:color w:val="000000"/>
          <w:lang w:val="fr-FR"/>
        </w:rPr>
      </w:pPr>
      <w:r>
        <w:rPr>
          <w:color w:val="000000"/>
          <w:lang w:val="fr-FR"/>
        </w:rPr>
        <w:t>A l'issue des opérations de vérification, le pouvoir adjudicateur prendra sa décision dans les conditions prévues aux articles 24 et 25 du CCAG-FCS.</w:t>
      </w:r>
    </w:p>
    <w:p w14:paraId="3804E834" w14:textId="77777777" w:rsidR="00DD28BE" w:rsidRDefault="00DB4C95">
      <w:pPr>
        <w:pStyle w:val="Titre1"/>
        <w:rPr>
          <w:rFonts w:eastAsia="Arial"/>
          <w:color w:val="000000"/>
          <w:sz w:val="28"/>
          <w:lang w:val="fr-FR"/>
        </w:rPr>
      </w:pPr>
      <w:bookmarkStart w:id="28" w:name="_Toc256000024"/>
      <w:r>
        <w:rPr>
          <w:rFonts w:eastAsia="Arial"/>
          <w:color w:val="000000"/>
          <w:sz w:val="28"/>
          <w:lang w:val="fr-FR"/>
        </w:rPr>
        <w:lastRenderedPageBreak/>
        <w:t>11 - Garantie des prestations</w:t>
      </w:r>
      <w:bookmarkEnd w:id="28"/>
    </w:p>
    <w:p w14:paraId="04BC94A9" w14:textId="77777777" w:rsidR="00DD28BE" w:rsidRDefault="00DB4C95">
      <w:pPr>
        <w:pStyle w:val="ParagrapheIndent1"/>
        <w:spacing w:line="253" w:lineRule="exact"/>
        <w:ind w:left="20" w:right="20"/>
        <w:jc w:val="both"/>
        <w:rPr>
          <w:color w:val="000000"/>
          <w:lang w:val="fr-FR"/>
        </w:rPr>
      </w:pPr>
      <w:r>
        <w:rPr>
          <w:color w:val="000000"/>
          <w:lang w:val="fr-FR"/>
        </w:rPr>
        <w:t>Les prestations feront l'objet d'une garantie de 1 an dont le point de départ est la date de notification de la décision d'admission. Les modalités de cette garantie sont définies à l'article 28 du CCAG-FCS.</w:t>
      </w:r>
    </w:p>
    <w:p w14:paraId="78D22EB8" w14:textId="77777777" w:rsidR="00311ECB" w:rsidRDefault="00311ECB" w:rsidP="00311ECB">
      <w:pPr>
        <w:rPr>
          <w:lang w:val="fr-FR"/>
        </w:rPr>
      </w:pPr>
    </w:p>
    <w:p w14:paraId="331D2AE3" w14:textId="77777777" w:rsidR="00DD28BE" w:rsidRPr="00DB4C95" w:rsidRDefault="00DD28BE">
      <w:pPr>
        <w:spacing w:line="20" w:lineRule="exact"/>
        <w:rPr>
          <w:sz w:val="2"/>
          <w:lang w:val="fr-FR"/>
        </w:rPr>
      </w:pPr>
    </w:p>
    <w:p w14:paraId="01030662" w14:textId="77777777" w:rsidR="00DD28BE" w:rsidRDefault="00DB4C95">
      <w:pPr>
        <w:pStyle w:val="Titre1"/>
        <w:rPr>
          <w:rFonts w:eastAsia="Arial"/>
          <w:color w:val="000000"/>
          <w:sz w:val="28"/>
          <w:lang w:val="fr-FR"/>
        </w:rPr>
      </w:pPr>
      <w:bookmarkStart w:id="29" w:name="_Toc256000025"/>
      <w:r>
        <w:rPr>
          <w:rFonts w:eastAsia="Arial"/>
          <w:color w:val="000000"/>
          <w:sz w:val="28"/>
          <w:lang w:val="fr-FR"/>
        </w:rPr>
        <w:t>12 - Maintenance</w:t>
      </w:r>
      <w:bookmarkEnd w:id="29"/>
    </w:p>
    <w:p w14:paraId="6C188EC1" w14:textId="77777777" w:rsidR="00DD28BE" w:rsidRDefault="00DB4C95">
      <w:pPr>
        <w:pStyle w:val="ParagrapheIndent1"/>
        <w:spacing w:after="240" w:line="253" w:lineRule="exact"/>
        <w:ind w:left="20" w:right="20"/>
        <w:jc w:val="both"/>
        <w:rPr>
          <w:color w:val="000000"/>
          <w:lang w:val="fr-FR"/>
        </w:rPr>
      </w:pPr>
      <w:r w:rsidRPr="00E06285">
        <w:rPr>
          <w:color w:val="000000"/>
          <w:lang w:val="fr-FR"/>
        </w:rPr>
        <w:t>Les prestations feront l'objet d'une maintenance assurée par le titulaire pendant une durée de 1 an à compter de la date d'expiration du délai de garantie. Les conditions de cette maintenance sont définies à l'article 27 du CCAG-FCS.</w:t>
      </w:r>
    </w:p>
    <w:p w14:paraId="052961F4" w14:textId="77777777" w:rsidR="00DD28BE" w:rsidRDefault="00DB4C95">
      <w:pPr>
        <w:pStyle w:val="Titre1"/>
        <w:rPr>
          <w:rFonts w:eastAsia="Arial"/>
          <w:color w:val="000000"/>
          <w:sz w:val="28"/>
          <w:lang w:val="fr-FR"/>
        </w:rPr>
      </w:pPr>
      <w:bookmarkStart w:id="30" w:name="_Toc256000026"/>
      <w:r>
        <w:rPr>
          <w:rFonts w:eastAsia="Arial"/>
          <w:color w:val="000000"/>
          <w:sz w:val="28"/>
          <w:lang w:val="fr-FR"/>
        </w:rPr>
        <w:t>13 - Pénalités</w:t>
      </w:r>
      <w:bookmarkEnd w:id="30"/>
    </w:p>
    <w:p w14:paraId="1F9F7295" w14:textId="77777777" w:rsidR="00DD28BE" w:rsidRDefault="00DB4C95">
      <w:pPr>
        <w:pStyle w:val="Titre2"/>
        <w:ind w:left="300" w:right="20"/>
        <w:rPr>
          <w:rFonts w:eastAsia="Arial"/>
          <w:i w:val="0"/>
          <w:color w:val="000000"/>
          <w:sz w:val="24"/>
          <w:lang w:val="fr-FR"/>
        </w:rPr>
      </w:pPr>
      <w:bookmarkStart w:id="31" w:name="_Toc256000027"/>
      <w:r>
        <w:rPr>
          <w:rFonts w:eastAsia="Arial"/>
          <w:i w:val="0"/>
          <w:color w:val="000000"/>
          <w:sz w:val="24"/>
          <w:lang w:val="fr-FR"/>
        </w:rPr>
        <w:t>13.1 - Pénalités de retard</w:t>
      </w:r>
      <w:bookmarkEnd w:id="31"/>
    </w:p>
    <w:p w14:paraId="42FB86A9" w14:textId="77777777" w:rsidR="00DD28BE" w:rsidRDefault="00DB4C95">
      <w:pPr>
        <w:pStyle w:val="ParagrapheIndent2"/>
        <w:spacing w:after="240" w:line="253" w:lineRule="exact"/>
        <w:ind w:left="20" w:right="20"/>
        <w:jc w:val="both"/>
        <w:rPr>
          <w:color w:val="000000"/>
          <w:lang w:val="fr-FR"/>
        </w:rPr>
      </w:pPr>
      <w:r>
        <w:rPr>
          <w:color w:val="000000"/>
          <w:lang w:val="fr-FR"/>
        </w:rPr>
        <w:t>Lorsque le délai contractuel d'exécution ou de livraison est dépassé, par le fait du titulaire, celui-ci encourt, par jour de retard et sans mise en demeure préalable, une pénalité fixée à 1,0/1000, conformément aux stipulations de l'article 14.1 du CCAG-FCS.</w:t>
      </w:r>
    </w:p>
    <w:p w14:paraId="4669D4A4" w14:textId="77777777" w:rsidR="00DD28BE" w:rsidRDefault="00DB4C95">
      <w:pPr>
        <w:pStyle w:val="ParagrapheIndent2"/>
        <w:spacing w:after="240" w:line="253" w:lineRule="exact"/>
        <w:ind w:left="20" w:right="20"/>
        <w:jc w:val="both"/>
        <w:rPr>
          <w:color w:val="000000"/>
          <w:lang w:val="fr-FR"/>
        </w:rPr>
      </w:pPr>
      <w:r>
        <w:rPr>
          <w:color w:val="000000"/>
          <w:lang w:val="fr-FR"/>
        </w:rPr>
        <w:t>Le titulaire est exonéré des pénalités de retard dont le montant total ne dépasse pas 300,00 € pour l'ensemble du marché, conformément aux stipulations de l'article 14.1 du CCAG-FCS.</w:t>
      </w:r>
    </w:p>
    <w:p w14:paraId="650F69D9" w14:textId="77777777" w:rsidR="00DD28BE" w:rsidRDefault="00DB4C95">
      <w:pPr>
        <w:pStyle w:val="Titre1"/>
        <w:rPr>
          <w:rFonts w:eastAsia="Arial"/>
          <w:color w:val="000000"/>
          <w:sz w:val="28"/>
          <w:lang w:val="fr-FR"/>
        </w:rPr>
      </w:pPr>
      <w:bookmarkStart w:id="32" w:name="_Toc256000028"/>
      <w:r>
        <w:rPr>
          <w:rFonts w:eastAsia="Arial"/>
          <w:color w:val="000000"/>
          <w:sz w:val="28"/>
          <w:lang w:val="fr-FR"/>
        </w:rPr>
        <w:t>14 - Assurances</w:t>
      </w:r>
      <w:bookmarkEnd w:id="32"/>
    </w:p>
    <w:p w14:paraId="1B5C949B" w14:textId="77777777" w:rsidR="00DD28BE" w:rsidRDefault="00DB4C95">
      <w:pPr>
        <w:pStyle w:val="ParagrapheIndent1"/>
        <w:spacing w:after="240" w:line="253" w:lineRule="exact"/>
        <w:ind w:left="20" w:right="20"/>
        <w:jc w:val="both"/>
        <w:rPr>
          <w:color w:val="000000"/>
          <w:lang w:val="fr-FR"/>
        </w:r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49BDD1EE" w14:textId="77777777" w:rsidR="00DD28BE" w:rsidRDefault="00DB4C95">
      <w:pPr>
        <w:pStyle w:val="Titre1"/>
        <w:rPr>
          <w:rFonts w:eastAsia="Arial"/>
          <w:color w:val="000000"/>
          <w:sz w:val="28"/>
          <w:lang w:val="fr-FR"/>
        </w:rPr>
      </w:pPr>
      <w:bookmarkStart w:id="33" w:name="_Toc256000029"/>
      <w:r>
        <w:rPr>
          <w:rFonts w:eastAsia="Arial"/>
          <w:color w:val="000000"/>
          <w:sz w:val="28"/>
          <w:lang w:val="fr-FR"/>
        </w:rPr>
        <w:t>15 - Résiliation du contrat</w:t>
      </w:r>
      <w:bookmarkEnd w:id="33"/>
    </w:p>
    <w:p w14:paraId="122B6637" w14:textId="77777777" w:rsidR="00DD28BE" w:rsidRDefault="00DB4C95">
      <w:pPr>
        <w:pStyle w:val="Titre2"/>
        <w:ind w:left="300" w:right="20"/>
        <w:rPr>
          <w:rFonts w:eastAsia="Arial"/>
          <w:i w:val="0"/>
          <w:color w:val="000000"/>
          <w:sz w:val="24"/>
          <w:lang w:val="fr-FR"/>
        </w:rPr>
      </w:pPr>
      <w:bookmarkStart w:id="34" w:name="_Toc256000030"/>
      <w:r>
        <w:rPr>
          <w:rFonts w:eastAsia="Arial"/>
          <w:i w:val="0"/>
          <w:color w:val="000000"/>
          <w:sz w:val="24"/>
          <w:lang w:val="fr-FR"/>
        </w:rPr>
        <w:t>15.1 - Conditions de résiliation</w:t>
      </w:r>
      <w:bookmarkEnd w:id="34"/>
    </w:p>
    <w:p w14:paraId="25FCFBC9" w14:textId="77777777" w:rsidR="00DD28BE" w:rsidRDefault="00DB4C95">
      <w:pPr>
        <w:pStyle w:val="ParagrapheIndent2"/>
        <w:spacing w:after="240"/>
        <w:ind w:left="20" w:right="20"/>
        <w:jc w:val="both"/>
        <w:rPr>
          <w:color w:val="000000"/>
          <w:lang w:val="fr-FR"/>
        </w:rPr>
      </w:pPr>
      <w:r>
        <w:rPr>
          <w:color w:val="000000"/>
          <w:lang w:val="fr-FR"/>
        </w:rPr>
        <w:t>Les conditions de résiliation du marché sont définies aux articles 29 à 36 du CCAG-FCS.</w:t>
      </w:r>
    </w:p>
    <w:p w14:paraId="75542383" w14:textId="77777777" w:rsidR="00DD28BE" w:rsidRDefault="00DB4C95">
      <w:pPr>
        <w:pStyle w:val="ParagrapheIndent2"/>
        <w:spacing w:after="240" w:line="253" w:lineRule="exact"/>
        <w:ind w:left="20" w:right="20"/>
        <w:jc w:val="both"/>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5,0 %.</w:t>
      </w:r>
    </w:p>
    <w:p w14:paraId="37E33C18" w14:textId="77777777" w:rsidR="00DD28BE" w:rsidRDefault="00DB4C95">
      <w:pPr>
        <w:pStyle w:val="ParagrapheIndent2"/>
        <w:spacing w:after="240" w:line="253" w:lineRule="exact"/>
        <w:ind w:left="20" w:right="20"/>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238546F4" w14:textId="77777777" w:rsidR="00DD28BE" w:rsidRDefault="00DB4C95">
      <w:pPr>
        <w:pStyle w:val="Titre2"/>
        <w:ind w:left="300" w:right="20"/>
        <w:rPr>
          <w:rFonts w:eastAsia="Arial"/>
          <w:i w:val="0"/>
          <w:color w:val="000000"/>
          <w:sz w:val="24"/>
          <w:lang w:val="fr-FR"/>
        </w:rPr>
      </w:pPr>
      <w:bookmarkStart w:id="35" w:name="_Toc256000031"/>
      <w:r>
        <w:rPr>
          <w:rFonts w:eastAsia="Arial"/>
          <w:i w:val="0"/>
          <w:color w:val="000000"/>
          <w:sz w:val="24"/>
          <w:lang w:val="fr-FR"/>
        </w:rPr>
        <w:t>15.2 - Redressement ou liquidation judiciaire</w:t>
      </w:r>
      <w:bookmarkEnd w:id="35"/>
    </w:p>
    <w:p w14:paraId="4AFFB723" w14:textId="77777777" w:rsidR="00DD28BE" w:rsidRDefault="00DB4C95">
      <w:pPr>
        <w:pStyle w:val="ParagrapheIndent2"/>
        <w:spacing w:line="253" w:lineRule="exact"/>
        <w:ind w:left="20" w:right="20"/>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4F2191E8" w14:textId="77777777" w:rsidR="00DD28BE" w:rsidRDefault="00DD28BE">
      <w:pPr>
        <w:pStyle w:val="ParagrapheIndent2"/>
        <w:spacing w:line="253" w:lineRule="exact"/>
        <w:ind w:left="20" w:right="20"/>
        <w:jc w:val="both"/>
        <w:rPr>
          <w:color w:val="000000"/>
          <w:lang w:val="fr-FR"/>
        </w:rPr>
      </w:pPr>
    </w:p>
    <w:p w14:paraId="55E7431A" w14:textId="77777777" w:rsidR="00DD28BE" w:rsidRDefault="00DB4C95">
      <w:pPr>
        <w:pStyle w:val="ParagrapheIndent2"/>
        <w:spacing w:line="253" w:lineRule="exact"/>
        <w:ind w:left="20" w:right="20"/>
        <w:jc w:val="both"/>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240623C6" w14:textId="77777777" w:rsidR="00DD28BE" w:rsidRDefault="00DD28BE">
      <w:pPr>
        <w:pStyle w:val="ParagrapheIndent2"/>
        <w:spacing w:line="253" w:lineRule="exact"/>
        <w:ind w:left="20" w:right="20"/>
        <w:jc w:val="both"/>
        <w:rPr>
          <w:color w:val="000000"/>
          <w:lang w:val="fr-FR"/>
        </w:rPr>
      </w:pPr>
    </w:p>
    <w:p w14:paraId="34096583" w14:textId="32572E86" w:rsidR="00DD28BE" w:rsidRDefault="00DB4C95" w:rsidP="00311ECB">
      <w:pPr>
        <w:pStyle w:val="ParagrapheIndent2"/>
        <w:spacing w:after="40" w:line="253" w:lineRule="exact"/>
        <w:ind w:left="20" w:right="20"/>
        <w:jc w:val="both"/>
        <w:rPr>
          <w:color w:val="000000"/>
          <w:lang w:val="fr-FR"/>
        </w:rPr>
      </w:pPr>
      <w:r>
        <w:rPr>
          <w:color w:val="000000"/>
          <w:lang w:val="fr-FR"/>
        </w:rPr>
        <w:lastRenderedPageBreak/>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67881786" w14:textId="77777777" w:rsidR="00DD28BE" w:rsidRDefault="00DD28BE">
      <w:pPr>
        <w:pStyle w:val="ParagrapheIndent2"/>
        <w:spacing w:line="253" w:lineRule="exact"/>
        <w:ind w:left="20" w:right="20"/>
        <w:jc w:val="both"/>
        <w:rPr>
          <w:color w:val="000000"/>
          <w:lang w:val="fr-FR"/>
        </w:rPr>
      </w:pPr>
    </w:p>
    <w:p w14:paraId="6AFB4DB6" w14:textId="77777777" w:rsidR="00DD28BE" w:rsidRDefault="00DB4C95">
      <w:pPr>
        <w:pStyle w:val="ParagrapheIndent2"/>
        <w:spacing w:after="240" w:line="253" w:lineRule="exact"/>
        <w:ind w:left="20" w:right="20"/>
        <w:jc w:val="both"/>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45E13DBF" w14:textId="77777777" w:rsidR="00DD28BE" w:rsidRDefault="00DB4C95">
      <w:pPr>
        <w:pStyle w:val="Titre1"/>
        <w:rPr>
          <w:rFonts w:eastAsia="Arial"/>
          <w:color w:val="000000"/>
          <w:sz w:val="28"/>
          <w:lang w:val="fr-FR"/>
        </w:rPr>
      </w:pPr>
      <w:bookmarkStart w:id="36" w:name="_Toc256000032"/>
      <w:r>
        <w:rPr>
          <w:rFonts w:eastAsia="Arial"/>
          <w:color w:val="000000"/>
          <w:sz w:val="28"/>
          <w:lang w:val="fr-FR"/>
        </w:rPr>
        <w:t>16 - Règlement des litiges et langues</w:t>
      </w:r>
      <w:bookmarkEnd w:id="36"/>
    </w:p>
    <w:p w14:paraId="6D0AA153" w14:textId="77777777" w:rsidR="00DD28BE" w:rsidRDefault="00DB4C95">
      <w:pPr>
        <w:pStyle w:val="ParagrapheIndent1"/>
        <w:spacing w:after="240"/>
        <w:ind w:left="20" w:right="20"/>
        <w:jc w:val="both"/>
        <w:rPr>
          <w:color w:val="000000"/>
          <w:lang w:val="fr-FR"/>
        </w:rPr>
      </w:pPr>
      <w:r>
        <w:rPr>
          <w:color w:val="000000"/>
          <w:lang w:val="fr-FR"/>
        </w:rPr>
        <w:t>En cas de litige, seul le TRIBUNAL ADMINISTRATIF DE RENNES est compétent en la matière.</w:t>
      </w:r>
    </w:p>
    <w:p w14:paraId="4BDBDE4B" w14:textId="77777777" w:rsidR="00DD28BE" w:rsidRDefault="00DB4C95">
      <w:pPr>
        <w:pStyle w:val="ParagrapheIndent1"/>
        <w:spacing w:line="253" w:lineRule="exact"/>
        <w:ind w:left="20" w:right="20"/>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sectPr w:rsidR="00DD28BE">
      <w:footerReference w:type="even" r:id="rId10"/>
      <w:footerReference w:type="default" r:id="rId11"/>
      <w:footerReference w:type="first" r:id="rId12"/>
      <w:pgSz w:w="11906" w:h="16838"/>
      <w:pgMar w:top="1134" w:right="1134" w:bottom="1183" w:left="1134" w:header="0" w:footer="1126" w:gutter="0"/>
      <w:cols w:space="17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E8226" w14:textId="77777777" w:rsidR="00DD28BE" w:rsidRDefault="00DB4C95">
      <w:r>
        <w:separator/>
      </w:r>
    </w:p>
  </w:endnote>
  <w:endnote w:type="continuationSeparator" w:id="0">
    <w:p w14:paraId="39C1CBBF" w14:textId="77777777" w:rsidR="00DD28BE" w:rsidRDefault="00DB4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Noto Sans Devanagari">
    <w:altName w:val="Calibri"/>
    <w:panose1 w:val="00000000000000000000"/>
    <w:charset w:val="00"/>
    <w:family w:val="roman"/>
    <w:notTrueType/>
    <w:pitch w:val="default"/>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C4A58" w14:textId="77777777" w:rsidR="00DD28BE" w:rsidRDefault="00DD28B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7488E" w14:textId="77777777" w:rsidR="00DD28BE" w:rsidRDefault="00DD28BE">
    <w:pPr>
      <w:spacing w:line="240" w:lineRule="exact"/>
    </w:pPr>
  </w:p>
  <w:tbl>
    <w:tblPr>
      <w:tblW w:w="9620" w:type="dxa"/>
      <w:tblInd w:w="20" w:type="dxa"/>
      <w:tblLayout w:type="fixed"/>
      <w:tblCellMar>
        <w:left w:w="0" w:type="dxa"/>
        <w:right w:w="0" w:type="dxa"/>
      </w:tblCellMar>
      <w:tblLook w:val="04A0" w:firstRow="1" w:lastRow="0" w:firstColumn="1" w:lastColumn="0" w:noHBand="0" w:noVBand="1"/>
    </w:tblPr>
    <w:tblGrid>
      <w:gridCol w:w="5220"/>
      <w:gridCol w:w="4400"/>
    </w:tblGrid>
    <w:tr w:rsidR="00DD28BE" w14:paraId="59A7C2B3" w14:textId="77777777">
      <w:trPr>
        <w:trHeight w:val="260"/>
      </w:trPr>
      <w:tc>
        <w:tcPr>
          <w:tcW w:w="5219" w:type="dxa"/>
          <w:vAlign w:val="center"/>
        </w:tcPr>
        <w:p w14:paraId="34272024" w14:textId="77777777" w:rsidR="00DD28BE" w:rsidRDefault="00DD28BE">
          <w:pPr>
            <w:pStyle w:val="PiedDePage0"/>
            <w:widowControl w:val="0"/>
            <w:rPr>
              <w:color w:val="000000"/>
              <w:lang w:val="fr-FR"/>
            </w:rPr>
          </w:pPr>
        </w:p>
      </w:tc>
      <w:tc>
        <w:tcPr>
          <w:tcW w:w="4400" w:type="dxa"/>
          <w:vAlign w:val="center"/>
        </w:tcPr>
        <w:p w14:paraId="5C08D387" w14:textId="77777777" w:rsidR="00DD28BE" w:rsidRDefault="00DB4C95">
          <w:pPr>
            <w:pStyle w:val="PiedDePage0"/>
            <w:widowControl w:val="0"/>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28F5E" w14:textId="77777777" w:rsidR="00DD28BE" w:rsidRDefault="00DD28BE">
    <w:pPr>
      <w:spacing w:line="240" w:lineRule="exact"/>
    </w:pPr>
  </w:p>
  <w:tbl>
    <w:tblPr>
      <w:tblW w:w="9620" w:type="dxa"/>
      <w:tblInd w:w="20" w:type="dxa"/>
      <w:tblLayout w:type="fixed"/>
      <w:tblCellMar>
        <w:left w:w="0" w:type="dxa"/>
        <w:right w:w="0" w:type="dxa"/>
      </w:tblCellMar>
      <w:tblLook w:val="04A0" w:firstRow="1" w:lastRow="0" w:firstColumn="1" w:lastColumn="0" w:noHBand="0" w:noVBand="1"/>
    </w:tblPr>
    <w:tblGrid>
      <w:gridCol w:w="5220"/>
      <w:gridCol w:w="4400"/>
    </w:tblGrid>
    <w:tr w:rsidR="00DD28BE" w14:paraId="5D94A5B7" w14:textId="77777777">
      <w:trPr>
        <w:trHeight w:val="260"/>
      </w:trPr>
      <w:tc>
        <w:tcPr>
          <w:tcW w:w="5219" w:type="dxa"/>
          <w:vAlign w:val="center"/>
        </w:tcPr>
        <w:p w14:paraId="40A2F977" w14:textId="77777777" w:rsidR="00DD28BE" w:rsidRDefault="00DD28BE">
          <w:pPr>
            <w:pStyle w:val="PiedDePage0"/>
            <w:widowControl w:val="0"/>
            <w:rPr>
              <w:color w:val="000000"/>
              <w:lang w:val="fr-FR"/>
            </w:rPr>
          </w:pPr>
        </w:p>
      </w:tc>
      <w:tc>
        <w:tcPr>
          <w:tcW w:w="4400" w:type="dxa"/>
          <w:vAlign w:val="center"/>
        </w:tcPr>
        <w:p w14:paraId="47492EC9" w14:textId="77777777" w:rsidR="00DD28BE" w:rsidRDefault="00DB4C95">
          <w:pPr>
            <w:pStyle w:val="PiedDePage0"/>
            <w:widowControl w:val="0"/>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6ACCB" w14:textId="77777777" w:rsidR="00DD28BE" w:rsidRDefault="00DB4C95">
      <w:r>
        <w:separator/>
      </w:r>
    </w:p>
  </w:footnote>
  <w:footnote w:type="continuationSeparator" w:id="0">
    <w:p w14:paraId="389475A3" w14:textId="77777777" w:rsidR="00DD28BE" w:rsidRDefault="00DB4C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212AA"/>
    <w:multiLevelType w:val="multilevel"/>
    <w:tmpl w:val="713815D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8BE"/>
    <w:rsid w:val="00143210"/>
    <w:rsid w:val="001F1601"/>
    <w:rsid w:val="00311ECB"/>
    <w:rsid w:val="00392495"/>
    <w:rsid w:val="004E18D2"/>
    <w:rsid w:val="004E5FC5"/>
    <w:rsid w:val="00504EF6"/>
    <w:rsid w:val="00584561"/>
    <w:rsid w:val="00585242"/>
    <w:rsid w:val="007038D8"/>
    <w:rsid w:val="00772704"/>
    <w:rsid w:val="009630F3"/>
    <w:rsid w:val="00A5047B"/>
    <w:rsid w:val="00CA13EB"/>
    <w:rsid w:val="00D26085"/>
    <w:rsid w:val="00D72214"/>
    <w:rsid w:val="00DB4C95"/>
    <w:rsid w:val="00DD28BE"/>
    <w:rsid w:val="00E062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AF14B"/>
  <w15:docId w15:val="{3913F7FB-3BAE-47EF-A319-67015B434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spacing w:after="120"/>
      <w:outlineLvl w:val="0"/>
    </w:pPr>
    <w:rPr>
      <w:rFonts w:ascii="Arial" w:hAnsi="Arial" w:cs="Arial"/>
      <w:b/>
      <w:bCs/>
      <w:sz w:val="32"/>
      <w:szCs w:val="32"/>
    </w:rPr>
  </w:style>
  <w:style w:type="paragraph" w:styleId="Titre2">
    <w:name w:val="heading 2"/>
    <w:basedOn w:val="Normal"/>
    <w:next w:val="Normal"/>
    <w:link w:val="Titre2Car"/>
    <w:qFormat/>
    <w:pPr>
      <w:keepNext/>
      <w:spacing w:after="60"/>
      <w:outlineLvl w:val="1"/>
    </w:pPr>
    <w:rPr>
      <w:rFonts w:ascii="Arial" w:hAnsi="Arial" w:cs="Arial"/>
      <w:b/>
      <w:bCs/>
      <w:i/>
      <w:iCs/>
      <w:sz w:val="28"/>
      <w:szCs w:val="28"/>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lang w:val="fr-FR"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lang w:val="fr-FR"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lang w:val="fr-FR"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lang w:val="fr-FR"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lang w:val="fr-FR"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lang w:val="fr-FR"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Corpsdetexte"/>
    <w:link w:val="TitreCar"/>
    <w:qFormat/>
    <w:pPr>
      <w:keepNext/>
      <w:spacing w:before="240" w:after="120"/>
    </w:pPr>
    <w:rPr>
      <w:rFonts w:ascii="Liberation Sans" w:eastAsia="Microsoft YaHei" w:hAnsi="Liberation Sans" w:cs="Lucida Sans"/>
      <w:sz w:val="28"/>
      <w:szCs w:val="2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PieddepageCar">
    <w:name w:val="Pied de page Car"/>
    <w:basedOn w:val="Policepardfaut"/>
    <w:link w:val="Pieddepage"/>
    <w:uiPriority w:val="99"/>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LineNumbering">
    <w:name w:val="Line Numbering"/>
    <w:qFormat/>
  </w:style>
  <w:style w:type="character" w:customStyle="1" w:styleId="CommentaireCar">
    <w:name w:val="Commentaire Car"/>
    <w:basedOn w:val="Policepardfaut"/>
    <w:link w:val="Commentaire"/>
    <w:semiHidden/>
    <w:qFormat/>
  </w:style>
  <w:style w:type="character" w:styleId="Marquedecommentaire">
    <w:name w:val="annotation reference"/>
    <w:basedOn w:val="Policepardfaut"/>
    <w:semiHidden/>
    <w:unhideWhenUsed/>
    <w:qFormat/>
    <w:rPr>
      <w:sz w:val="16"/>
      <w:szCs w:val="16"/>
    </w:rPr>
  </w:style>
  <w:style w:type="character" w:customStyle="1" w:styleId="En-tteCar">
    <w:name w:val="En-tête Car"/>
    <w:basedOn w:val="Policepardfaut"/>
    <w:uiPriority w:val="99"/>
    <w:qFormat/>
    <w:rPr>
      <w:sz w:val="24"/>
      <w:szCs w:val="24"/>
    </w:rPr>
  </w:style>
  <w:style w:type="paragraph" w:styleId="Corpsdetexte">
    <w:name w:val="Body Text"/>
    <w:basedOn w:val="Normal"/>
    <w:pPr>
      <w:spacing w:after="140" w:line="276" w:lineRule="auto"/>
    </w:pPr>
  </w:style>
  <w:style w:type="paragraph" w:styleId="Liste">
    <w:name w:val="List"/>
    <w:basedOn w:val="Corpsdetexte"/>
    <w:rPr>
      <w:rFonts w:cs="Noto Sans Devanagari"/>
    </w:rPr>
  </w:style>
  <w:style w:type="paragraph" w:styleId="Lgende">
    <w:name w:val="caption"/>
    <w:basedOn w:val="Normal"/>
    <w:qFormat/>
    <w:pPr>
      <w:suppressLineNumbers/>
      <w:spacing w:before="120" w:after="120"/>
    </w:pPr>
    <w:rPr>
      <w:rFonts w:cs="Noto Sans Devanagari"/>
      <w:i/>
      <w:iCs/>
    </w:rPr>
  </w:style>
  <w:style w:type="paragraph" w:customStyle="1" w:styleId="Index">
    <w:name w:val="Index"/>
    <w:basedOn w:val="Normal"/>
    <w:qFormat/>
    <w:pPr>
      <w:suppressLineNumbers/>
    </w:pPr>
    <w:rPr>
      <w:rFonts w:cs="Noto Sans Devanagari"/>
    </w:rPr>
  </w:style>
  <w:style w:type="paragraph" w:customStyle="1" w:styleId="Titre10">
    <w:name w:val="Titre1"/>
    <w:basedOn w:val="Normal"/>
    <w:next w:val="Normal"/>
    <w:qFormat/>
    <w:pPr>
      <w:keepNext/>
      <w:spacing w:before="240" w:after="120"/>
      <w:jc w:val="both"/>
    </w:pPr>
    <w:rPr>
      <w:rFonts w:ascii="Liberation Sans" w:eastAsia="Noto Sans CJK SC" w:hAnsi="Liberation Sans" w:cs="Lohit Devanagari"/>
      <w:sz w:val="28"/>
      <w:szCs w:val="28"/>
      <w:lang w:val="fr-FR" w:eastAsia="zh-CN" w:bidi="hi-IN"/>
    </w:rPr>
  </w:style>
  <w:style w:type="paragraph" w:customStyle="1" w:styleId="PiedDePage0">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ParagrapheIndent1">
    <w:name w:val="ParagrapheIndent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styleId="TM1">
    <w:name w:val="toc 1"/>
    <w:basedOn w:val="Normal"/>
    <w:next w:val="Normal"/>
  </w:style>
  <w:style w:type="paragraph" w:styleId="TM2">
    <w:name w:val="toc 2"/>
    <w:basedOn w:val="Normal"/>
    <w:next w:val="Normal"/>
    <w:pPr>
      <w:ind w:left="240"/>
    </w:pPr>
  </w:style>
  <w:style w:type="paragraph" w:customStyle="1" w:styleId="Standard">
    <w:name w:val="Standard"/>
    <w:qFormat/>
    <w:pPr>
      <w:jc w:val="both"/>
    </w:pPr>
    <w:rPr>
      <w:rFonts w:ascii="Segoe UI" w:eastAsia="Segoe UI" w:hAnsi="Segoe UI" w:cs="Segoe UI"/>
      <w:sz w:val="24"/>
      <w:szCs w:val="24"/>
      <w:lang w:val="fr-FR" w:eastAsia="zh-CN" w:bidi="hi-IN"/>
    </w:rPr>
  </w:style>
  <w:style w:type="paragraph" w:customStyle="1" w:styleId="En-tteetpieddepage">
    <w:name w:val="En-tête et pied de page"/>
    <w:basedOn w:val="Normal"/>
    <w:qFormat/>
  </w:style>
  <w:style w:type="paragraph" w:customStyle="1" w:styleId="HeaderandFooter">
    <w:name w:val="Header and Footer"/>
    <w:basedOn w:val="Normal"/>
    <w:qFormat/>
  </w:style>
  <w:style w:type="paragraph" w:styleId="Pieddepage">
    <w:name w:val="footer"/>
    <w:basedOn w:val="En-tteetpieddepage"/>
    <w:link w:val="PieddepageCar"/>
  </w:style>
  <w:style w:type="paragraph" w:styleId="Commentaire">
    <w:name w:val="annotation text"/>
    <w:basedOn w:val="Normal"/>
    <w:link w:val="CommentaireCar"/>
    <w:semiHidden/>
    <w:unhideWhenUsed/>
    <w:rPr>
      <w:sz w:val="20"/>
      <w:szCs w:val="20"/>
    </w:rPr>
  </w:style>
  <w:style w:type="paragraph" w:styleId="En-tte">
    <w:name w:val="header"/>
    <w:basedOn w:val="Normal"/>
    <w:link w:val="En-tteCar1"/>
    <w:uiPriority w:val="99"/>
    <w:unhideWhenUsed/>
    <w:pPr>
      <w:tabs>
        <w:tab w:val="center" w:pos="4536"/>
        <w:tab w:val="right" w:pos="9072"/>
      </w:tabs>
    </w:pPr>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numbering" w:customStyle="1" w:styleId="Pasdeliste">
    <w:name w:val="Pas de liste"/>
    <w:uiPriority w:val="99"/>
    <w:semiHidden/>
    <w:unhideWhenUse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3AF86-B438-414D-AE3B-A1CAFDBE1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1922</Words>
  <Characters>10573</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Pouliquen</dc:creator>
  <dc:description/>
  <cp:lastModifiedBy>Anne KERRIEN</cp:lastModifiedBy>
  <cp:revision>2</cp:revision>
  <dcterms:created xsi:type="dcterms:W3CDTF">2025-09-19T07:49:00Z</dcterms:created>
  <dcterms:modified xsi:type="dcterms:W3CDTF">2025-09-19T07:49:00Z</dcterms:modified>
  <dc:language>fr-FR</dc:language>
</cp:coreProperties>
</file>