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40"/>
        <w:gridCol w:w="8754"/>
      </w:tblGrid>
      <w:tr w:rsidR="00C0634E" w:rsidRPr="00F03CB9" w14:paraId="43060671" w14:textId="77777777" w:rsidTr="00F03CB9">
        <w:tc>
          <w:tcPr>
            <w:tcW w:w="13994" w:type="dxa"/>
            <w:gridSpan w:val="2"/>
            <w:shd w:val="clear" w:color="auto" w:fill="D9E2F3" w:themeFill="accent1" w:themeFillTint="33"/>
          </w:tcPr>
          <w:p w14:paraId="32069EC7" w14:textId="369D7743" w:rsidR="00C0634E" w:rsidRPr="00F03CB9" w:rsidRDefault="00290840" w:rsidP="00F03CB9">
            <w:pPr>
              <w:pStyle w:val="Paragraphedeliste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bookmarkStart w:id="0" w:name="_Hlk201925581"/>
            <w:bookmarkStart w:id="1" w:name="_GoBack"/>
            <w:r>
              <w:rPr>
                <w:b/>
                <w:bCs/>
              </w:rPr>
              <w:t>CADRE DE REPONSE TECHNIQUE</w:t>
            </w:r>
            <w:bookmarkEnd w:id="1"/>
          </w:p>
        </w:tc>
      </w:tr>
      <w:tr w:rsidR="003013BB" w:rsidRPr="00C0634E" w14:paraId="726B4507" w14:textId="77777777" w:rsidTr="003013BB">
        <w:trPr>
          <w:trHeight w:val="305"/>
        </w:trPr>
        <w:tc>
          <w:tcPr>
            <w:tcW w:w="5240" w:type="dxa"/>
            <w:shd w:val="clear" w:color="auto" w:fill="F2F2F2" w:themeFill="background1" w:themeFillShade="F2"/>
          </w:tcPr>
          <w:p w14:paraId="423C25CD" w14:textId="77777777" w:rsidR="003013BB" w:rsidRPr="00C0634E" w:rsidRDefault="003013BB" w:rsidP="00333FB0">
            <w:pPr>
              <w:jc w:val="center"/>
              <w:rPr>
                <w:b/>
                <w:bCs/>
              </w:rPr>
            </w:pPr>
            <w:r w:rsidRPr="00C0634E">
              <w:rPr>
                <w:b/>
                <w:bCs/>
              </w:rPr>
              <w:t>Items</w:t>
            </w:r>
          </w:p>
        </w:tc>
        <w:tc>
          <w:tcPr>
            <w:tcW w:w="8754" w:type="dxa"/>
            <w:shd w:val="clear" w:color="auto" w:fill="F2F2F2" w:themeFill="background1" w:themeFillShade="F2"/>
          </w:tcPr>
          <w:p w14:paraId="1882F12F" w14:textId="77777777" w:rsidR="003013BB" w:rsidRPr="00C0634E" w:rsidRDefault="003013BB" w:rsidP="00333FB0">
            <w:pPr>
              <w:jc w:val="center"/>
              <w:rPr>
                <w:b/>
                <w:bCs/>
              </w:rPr>
            </w:pPr>
            <w:r w:rsidRPr="00C0634E">
              <w:rPr>
                <w:b/>
                <w:bCs/>
              </w:rPr>
              <w:t>Développer et/ou renvoyer à un autre document en précisant la page</w:t>
            </w:r>
          </w:p>
        </w:tc>
      </w:tr>
      <w:tr w:rsidR="00F03CB9" w:rsidRPr="00F03CB9" w14:paraId="7C200B80" w14:textId="77777777" w:rsidTr="00F03CB9">
        <w:tc>
          <w:tcPr>
            <w:tcW w:w="13994" w:type="dxa"/>
            <w:gridSpan w:val="2"/>
            <w:shd w:val="clear" w:color="auto" w:fill="DEEAF6" w:themeFill="accent5" w:themeFillTint="33"/>
          </w:tcPr>
          <w:p w14:paraId="48DDB2C5" w14:textId="068C1B21" w:rsidR="00F03CB9" w:rsidRPr="00F03CB9" w:rsidRDefault="00F03CB9" w:rsidP="00F03CB9">
            <w:pPr>
              <w:rPr>
                <w:b/>
                <w:bCs/>
              </w:rPr>
            </w:pPr>
            <w:bookmarkStart w:id="2" w:name="_Hlk201924888"/>
            <w:bookmarkEnd w:id="0"/>
            <w:r w:rsidRPr="00F03CB9">
              <w:rPr>
                <w:b/>
                <w:bCs/>
              </w:rPr>
              <w:t xml:space="preserve">Valeur technique – Sous-critère 1 – Moyens techniques et humains </w:t>
            </w:r>
          </w:p>
        </w:tc>
      </w:tr>
      <w:bookmarkEnd w:id="2"/>
      <w:tr w:rsidR="00851D04" w14:paraId="249748E6" w14:textId="77777777" w:rsidTr="00CF59BB">
        <w:trPr>
          <w:trHeight w:val="850"/>
        </w:trPr>
        <w:tc>
          <w:tcPr>
            <w:tcW w:w="5240" w:type="dxa"/>
            <w:vAlign w:val="center"/>
          </w:tcPr>
          <w:p w14:paraId="65DD0FF1" w14:textId="509633D1" w:rsidR="00851D04" w:rsidRDefault="00F03CB9" w:rsidP="00CF59BB">
            <w:r w:rsidRPr="00F03CB9">
              <w:t>Nombre</w:t>
            </w:r>
            <w:r w:rsidR="000E396D">
              <w:t xml:space="preserve"> et nature</w:t>
            </w:r>
            <w:r w:rsidRPr="00F03CB9">
              <w:t xml:space="preserve"> </w:t>
            </w:r>
            <w:r w:rsidR="000E396D">
              <w:t xml:space="preserve">des </w:t>
            </w:r>
            <w:r w:rsidR="000E396D" w:rsidRPr="00F03CB9">
              <w:t>effectif</w:t>
            </w:r>
            <w:r w:rsidR="000E396D">
              <w:t>s</w:t>
            </w:r>
            <w:r w:rsidR="000E396D" w:rsidRPr="00F03CB9">
              <w:t xml:space="preserve"> </w:t>
            </w:r>
            <w:r w:rsidRPr="00F03CB9">
              <w:t>dédiés au marché (conducteur de travaux ; électricien ; technicien)</w:t>
            </w:r>
          </w:p>
        </w:tc>
        <w:tc>
          <w:tcPr>
            <w:tcW w:w="8754" w:type="dxa"/>
          </w:tcPr>
          <w:p w14:paraId="6CB987AF" w14:textId="77777777" w:rsidR="00851D04" w:rsidRDefault="00851D04"/>
        </w:tc>
      </w:tr>
      <w:tr w:rsidR="00851D04" w14:paraId="50D41A6B" w14:textId="77777777" w:rsidTr="00CF59BB">
        <w:trPr>
          <w:trHeight w:val="850"/>
        </w:trPr>
        <w:tc>
          <w:tcPr>
            <w:tcW w:w="5240" w:type="dxa"/>
            <w:vAlign w:val="center"/>
          </w:tcPr>
          <w:p w14:paraId="5AD47100" w14:textId="49A892B8" w:rsidR="00851D04" w:rsidRDefault="00F03CB9" w:rsidP="00CF59BB">
            <w:r w:rsidRPr="00675E62">
              <w:t>Expériences générales dans le domaine de l</w:t>
            </w:r>
            <w:r>
              <w:t>a GTB</w:t>
            </w:r>
            <w:r w:rsidR="000E396D">
              <w:t xml:space="preserve"> – CV à l’appui</w:t>
            </w:r>
          </w:p>
        </w:tc>
        <w:tc>
          <w:tcPr>
            <w:tcW w:w="8754" w:type="dxa"/>
          </w:tcPr>
          <w:p w14:paraId="22FFF7DA" w14:textId="77777777" w:rsidR="00851D04" w:rsidRDefault="00851D04"/>
        </w:tc>
      </w:tr>
      <w:tr w:rsidR="00F03CB9" w:rsidRPr="00F03CB9" w14:paraId="50E5220E" w14:textId="77777777" w:rsidTr="00333FB0">
        <w:tc>
          <w:tcPr>
            <w:tcW w:w="13994" w:type="dxa"/>
            <w:gridSpan w:val="2"/>
            <w:shd w:val="clear" w:color="auto" w:fill="DEEAF6" w:themeFill="accent5" w:themeFillTint="33"/>
          </w:tcPr>
          <w:p w14:paraId="0B943C97" w14:textId="2B7BAC9B" w:rsidR="00F03CB9" w:rsidRPr="00F03CB9" w:rsidRDefault="00F03CB9" w:rsidP="00333FB0">
            <w:pPr>
              <w:rPr>
                <w:b/>
                <w:bCs/>
              </w:rPr>
            </w:pPr>
            <w:bookmarkStart w:id="3" w:name="_Hlk201925108"/>
            <w:r w:rsidRPr="00F03CB9">
              <w:rPr>
                <w:b/>
                <w:bCs/>
              </w:rPr>
              <w:t xml:space="preserve">Valeur technique – Sous-critère </w:t>
            </w:r>
            <w:r>
              <w:rPr>
                <w:b/>
                <w:bCs/>
              </w:rPr>
              <w:t>2</w:t>
            </w:r>
            <w:r w:rsidRPr="00F03CB9">
              <w:rPr>
                <w:b/>
                <w:bCs/>
              </w:rPr>
              <w:t xml:space="preserve"> – Modalités d'intervention de maintenance</w:t>
            </w:r>
          </w:p>
        </w:tc>
      </w:tr>
      <w:bookmarkEnd w:id="3"/>
      <w:tr w:rsidR="00851D04" w14:paraId="1DE2DB89" w14:textId="77777777" w:rsidTr="00CF59BB">
        <w:trPr>
          <w:trHeight w:val="850"/>
        </w:trPr>
        <w:tc>
          <w:tcPr>
            <w:tcW w:w="5240" w:type="dxa"/>
            <w:vAlign w:val="center"/>
          </w:tcPr>
          <w:p w14:paraId="619CC1AE" w14:textId="42F03B9D" w:rsidR="00851D04" w:rsidRDefault="00F03CB9" w:rsidP="00CF59BB">
            <w:r w:rsidRPr="004E1FBB">
              <w:t xml:space="preserve">Délais </w:t>
            </w:r>
            <w:r w:rsidR="00290840">
              <w:t>de la garantie d’intervention</w:t>
            </w:r>
          </w:p>
        </w:tc>
        <w:tc>
          <w:tcPr>
            <w:tcW w:w="8754" w:type="dxa"/>
          </w:tcPr>
          <w:p w14:paraId="55BF1058" w14:textId="77777777" w:rsidR="00851D04" w:rsidRDefault="00851D04"/>
        </w:tc>
      </w:tr>
      <w:tr w:rsidR="00851D04" w14:paraId="2B3D694F" w14:textId="77777777" w:rsidTr="00CF59BB">
        <w:trPr>
          <w:trHeight w:val="850"/>
        </w:trPr>
        <w:tc>
          <w:tcPr>
            <w:tcW w:w="5240" w:type="dxa"/>
            <w:vAlign w:val="center"/>
          </w:tcPr>
          <w:p w14:paraId="230CC8E6" w14:textId="27DB50A3" w:rsidR="00851D04" w:rsidRDefault="00F03CB9" w:rsidP="00CF59BB">
            <w:r w:rsidRPr="004E1FBB">
              <w:t xml:space="preserve">Délais </w:t>
            </w:r>
            <w:r w:rsidR="00290840">
              <w:t>de la garantie de rétablissement</w:t>
            </w:r>
            <w:r>
              <w:t xml:space="preserve"> sans </w:t>
            </w:r>
            <w:r w:rsidR="00290840">
              <w:t>remplacement de pièces détachées</w:t>
            </w:r>
          </w:p>
        </w:tc>
        <w:tc>
          <w:tcPr>
            <w:tcW w:w="8754" w:type="dxa"/>
          </w:tcPr>
          <w:p w14:paraId="3C83E6E3" w14:textId="77777777" w:rsidR="00851D04" w:rsidRDefault="00851D04"/>
        </w:tc>
      </w:tr>
      <w:tr w:rsidR="00851D04" w14:paraId="135AC117" w14:textId="77777777" w:rsidTr="00CF59BB">
        <w:trPr>
          <w:trHeight w:val="850"/>
        </w:trPr>
        <w:tc>
          <w:tcPr>
            <w:tcW w:w="5240" w:type="dxa"/>
            <w:vAlign w:val="center"/>
          </w:tcPr>
          <w:p w14:paraId="6DFDC32E" w14:textId="61749326" w:rsidR="00851D04" w:rsidRDefault="00F03CB9" w:rsidP="00CF59BB">
            <w:r w:rsidRPr="004E1FBB">
              <w:t xml:space="preserve">Délais </w:t>
            </w:r>
            <w:r w:rsidR="00290840">
              <w:t xml:space="preserve">de la garantie de rétablissement </w:t>
            </w:r>
            <w:r w:rsidR="00290840">
              <w:t xml:space="preserve">avec </w:t>
            </w:r>
            <w:r w:rsidR="00290840">
              <w:t>remplacement de pièces détachées</w:t>
            </w:r>
          </w:p>
        </w:tc>
        <w:tc>
          <w:tcPr>
            <w:tcW w:w="8754" w:type="dxa"/>
          </w:tcPr>
          <w:p w14:paraId="3B35A07D" w14:textId="77777777" w:rsidR="00851D04" w:rsidRDefault="00851D04"/>
        </w:tc>
      </w:tr>
      <w:tr w:rsidR="00F03CB9" w14:paraId="31BF417B" w14:textId="77777777" w:rsidTr="00CF59BB">
        <w:trPr>
          <w:trHeight w:val="850"/>
        </w:trPr>
        <w:tc>
          <w:tcPr>
            <w:tcW w:w="5240" w:type="dxa"/>
            <w:vAlign w:val="center"/>
          </w:tcPr>
          <w:p w14:paraId="6E2C4EF2" w14:textId="7A661922" w:rsidR="00F03CB9" w:rsidRDefault="00D15C79" w:rsidP="00CF59BB">
            <w:r>
              <w:t xml:space="preserve">Durée </w:t>
            </w:r>
            <w:r w:rsidR="00F03CB9">
              <w:t>de la garantie proposée</w:t>
            </w:r>
          </w:p>
        </w:tc>
        <w:tc>
          <w:tcPr>
            <w:tcW w:w="8754" w:type="dxa"/>
          </w:tcPr>
          <w:p w14:paraId="34DD8836" w14:textId="77777777" w:rsidR="00F03CB9" w:rsidRDefault="00F03CB9"/>
        </w:tc>
      </w:tr>
      <w:tr w:rsidR="00F03CB9" w14:paraId="5F2F3850" w14:textId="77777777" w:rsidTr="00CF59BB">
        <w:trPr>
          <w:trHeight w:val="850"/>
        </w:trPr>
        <w:tc>
          <w:tcPr>
            <w:tcW w:w="5240" w:type="dxa"/>
            <w:vAlign w:val="center"/>
          </w:tcPr>
          <w:p w14:paraId="6D472DF9" w14:textId="03BD4196" w:rsidR="00F03CB9" w:rsidRDefault="00F03CB9" w:rsidP="00CF59BB">
            <w:r>
              <w:t>Détention d’un stock permanent de pièces détachées</w:t>
            </w:r>
          </w:p>
        </w:tc>
        <w:tc>
          <w:tcPr>
            <w:tcW w:w="8754" w:type="dxa"/>
          </w:tcPr>
          <w:p w14:paraId="5EBBA17E" w14:textId="77777777" w:rsidR="00F03CB9" w:rsidRDefault="00F03CB9"/>
        </w:tc>
      </w:tr>
      <w:tr w:rsidR="00F03CB9" w:rsidRPr="00F03CB9" w14:paraId="78F81FB8" w14:textId="77777777" w:rsidTr="00333FB0">
        <w:tc>
          <w:tcPr>
            <w:tcW w:w="13994" w:type="dxa"/>
            <w:gridSpan w:val="2"/>
            <w:shd w:val="clear" w:color="auto" w:fill="DEEAF6" w:themeFill="accent5" w:themeFillTint="33"/>
          </w:tcPr>
          <w:p w14:paraId="50D79190" w14:textId="136DA1D2" w:rsidR="00F03CB9" w:rsidRPr="00F03CB9" w:rsidRDefault="00F03CB9" w:rsidP="00333FB0">
            <w:pPr>
              <w:rPr>
                <w:b/>
                <w:bCs/>
              </w:rPr>
            </w:pPr>
            <w:bookmarkStart w:id="4" w:name="_Hlk201925179"/>
            <w:r w:rsidRPr="00F03CB9">
              <w:rPr>
                <w:b/>
                <w:bCs/>
              </w:rPr>
              <w:t xml:space="preserve">Valeur technique – Sous-critère </w:t>
            </w:r>
            <w:r>
              <w:rPr>
                <w:b/>
                <w:bCs/>
              </w:rPr>
              <w:t>3</w:t>
            </w:r>
            <w:r w:rsidRPr="00F03CB9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Planning</w:t>
            </w:r>
          </w:p>
        </w:tc>
      </w:tr>
      <w:bookmarkEnd w:id="4"/>
      <w:tr w:rsidR="00F03CB9" w14:paraId="51864466" w14:textId="77777777" w:rsidTr="00CF59BB">
        <w:trPr>
          <w:trHeight w:val="850"/>
        </w:trPr>
        <w:tc>
          <w:tcPr>
            <w:tcW w:w="5240" w:type="dxa"/>
            <w:vAlign w:val="center"/>
          </w:tcPr>
          <w:p w14:paraId="3467FC6B" w14:textId="39DF1F2B" w:rsidR="00F03CB9" w:rsidRDefault="00F03CB9" w:rsidP="00CF59BB"/>
          <w:p w14:paraId="55E04EBF" w14:textId="77777777" w:rsidR="007B59BC" w:rsidRDefault="007B59BC" w:rsidP="00CF59BB">
            <w:r>
              <w:t xml:space="preserve">Modalités d’installation de la nouvelle GTB. </w:t>
            </w:r>
          </w:p>
          <w:p w14:paraId="63F58EEA" w14:textId="476DAF06" w:rsidR="007B59BC" w:rsidRDefault="007B59BC" w:rsidP="00CF59BB">
            <w:r>
              <w:lastRenderedPageBreak/>
              <w:t xml:space="preserve">Le candidat présente ici les mesures qu’il mettra en œuvre pour réduire au temps minimum le temps entre l’arrêt du système existant et la mise en marche de la novelle GTB. </w:t>
            </w:r>
          </w:p>
        </w:tc>
        <w:tc>
          <w:tcPr>
            <w:tcW w:w="8754" w:type="dxa"/>
          </w:tcPr>
          <w:p w14:paraId="5E788B56" w14:textId="77777777" w:rsidR="00F03CB9" w:rsidRDefault="00F03CB9"/>
        </w:tc>
      </w:tr>
      <w:tr w:rsidR="00F03CB9" w14:paraId="299E1924" w14:textId="77777777" w:rsidTr="00CF59BB">
        <w:trPr>
          <w:trHeight w:val="850"/>
        </w:trPr>
        <w:tc>
          <w:tcPr>
            <w:tcW w:w="5240" w:type="dxa"/>
            <w:vAlign w:val="center"/>
          </w:tcPr>
          <w:p w14:paraId="7B6D5F92" w14:textId="02899199" w:rsidR="00F03CB9" w:rsidRDefault="00F03CB9" w:rsidP="00CF59BB">
            <w:r w:rsidRPr="00027A3F">
              <w:t xml:space="preserve">Planning détaillé des différentes phases </w:t>
            </w:r>
            <w:r>
              <w:t>du marché</w:t>
            </w:r>
          </w:p>
        </w:tc>
        <w:tc>
          <w:tcPr>
            <w:tcW w:w="8754" w:type="dxa"/>
          </w:tcPr>
          <w:p w14:paraId="2DF84C91" w14:textId="77777777" w:rsidR="00F03CB9" w:rsidRDefault="00F03CB9"/>
        </w:tc>
      </w:tr>
      <w:tr w:rsidR="00F03CB9" w:rsidRPr="00F03CB9" w14:paraId="6FFB2971" w14:textId="77777777" w:rsidTr="00333FB0">
        <w:tc>
          <w:tcPr>
            <w:tcW w:w="13994" w:type="dxa"/>
            <w:gridSpan w:val="2"/>
            <w:shd w:val="clear" w:color="auto" w:fill="DEEAF6" w:themeFill="accent5" w:themeFillTint="33"/>
          </w:tcPr>
          <w:p w14:paraId="44E067CE" w14:textId="6A881439" w:rsidR="00F03CB9" w:rsidRPr="00F03CB9" w:rsidRDefault="00F03CB9" w:rsidP="00333FB0">
            <w:pPr>
              <w:rPr>
                <w:b/>
                <w:bCs/>
              </w:rPr>
            </w:pPr>
            <w:r w:rsidRPr="00F03CB9">
              <w:rPr>
                <w:b/>
                <w:bCs/>
              </w:rPr>
              <w:t xml:space="preserve">Valeur technique – Sous-critère </w:t>
            </w:r>
            <w:r>
              <w:rPr>
                <w:b/>
                <w:bCs/>
              </w:rPr>
              <w:t>4</w:t>
            </w:r>
            <w:r w:rsidRPr="00F03CB9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Développement durable</w:t>
            </w:r>
          </w:p>
        </w:tc>
      </w:tr>
      <w:tr w:rsidR="00F03CB9" w14:paraId="16D5926B" w14:textId="77777777" w:rsidTr="00CF59BB">
        <w:trPr>
          <w:trHeight w:val="850"/>
        </w:trPr>
        <w:tc>
          <w:tcPr>
            <w:tcW w:w="5240" w:type="dxa"/>
            <w:vAlign w:val="center"/>
          </w:tcPr>
          <w:p w14:paraId="6C0B2ED7" w14:textId="2C375106" w:rsidR="00F03CB9" w:rsidRDefault="00F03CB9" w:rsidP="00CF59BB">
            <w:r w:rsidRPr="004E1FBB">
              <w:t xml:space="preserve">Présentation des démarches de recyclage et de réutilisation des équipements déposés </w:t>
            </w:r>
            <w:r>
              <w:t>(D</w:t>
            </w:r>
            <w:r w:rsidRPr="004E1FBB">
              <w:t>échets d’Equipements Electriques et Electroniques (D3E)</w:t>
            </w:r>
            <w:r>
              <w:t>)</w:t>
            </w:r>
          </w:p>
        </w:tc>
        <w:tc>
          <w:tcPr>
            <w:tcW w:w="8754" w:type="dxa"/>
          </w:tcPr>
          <w:p w14:paraId="0410E2B3" w14:textId="77777777" w:rsidR="00F03CB9" w:rsidRDefault="00F03CB9"/>
        </w:tc>
      </w:tr>
      <w:tr w:rsidR="00F03CB9" w14:paraId="2B5D873B" w14:textId="77777777" w:rsidTr="00F03CB9">
        <w:tc>
          <w:tcPr>
            <w:tcW w:w="13994" w:type="dxa"/>
            <w:gridSpan w:val="2"/>
            <w:shd w:val="clear" w:color="auto" w:fill="D0CECE" w:themeFill="background2" w:themeFillShade="E6"/>
          </w:tcPr>
          <w:p w14:paraId="0E74A152" w14:textId="77777777" w:rsidR="00F03CB9" w:rsidRDefault="00F03CB9"/>
        </w:tc>
      </w:tr>
      <w:tr w:rsidR="003013BB" w:rsidRPr="00F03CB9" w14:paraId="3A16776C" w14:textId="77777777" w:rsidTr="00333FB0">
        <w:tc>
          <w:tcPr>
            <w:tcW w:w="13994" w:type="dxa"/>
            <w:gridSpan w:val="2"/>
            <w:shd w:val="clear" w:color="auto" w:fill="D9E2F3" w:themeFill="accent1" w:themeFillTint="33"/>
          </w:tcPr>
          <w:p w14:paraId="1C4FBD1B" w14:textId="503E0D3E" w:rsidR="003013BB" w:rsidRPr="003013BB" w:rsidRDefault="000E6E54" w:rsidP="003013BB">
            <w:pPr>
              <w:pStyle w:val="Paragraphedeliste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ELEMENTS </w:t>
            </w:r>
            <w:r w:rsidR="003013BB">
              <w:rPr>
                <w:b/>
                <w:bCs/>
              </w:rPr>
              <w:t xml:space="preserve">COMPLEMENTAIRES </w:t>
            </w:r>
          </w:p>
        </w:tc>
      </w:tr>
      <w:tr w:rsidR="003013BB" w:rsidRPr="003013BB" w14:paraId="68D14556" w14:textId="77777777" w:rsidTr="00E279A8">
        <w:trPr>
          <w:trHeight w:val="305"/>
        </w:trPr>
        <w:tc>
          <w:tcPr>
            <w:tcW w:w="13994" w:type="dxa"/>
            <w:gridSpan w:val="2"/>
            <w:shd w:val="clear" w:color="auto" w:fill="F2F2F2" w:themeFill="background1" w:themeFillShade="F2"/>
          </w:tcPr>
          <w:p w14:paraId="06673BF5" w14:textId="77777777" w:rsidR="003013BB" w:rsidRPr="003013BB" w:rsidRDefault="003013BB" w:rsidP="00333FB0">
            <w:pPr>
              <w:jc w:val="center"/>
            </w:pPr>
            <w:bookmarkStart w:id="5" w:name="_Hlk205291456"/>
            <w:r w:rsidRPr="003013BB">
              <w:rPr>
                <w:b/>
                <w:bCs/>
              </w:rPr>
              <w:t>Le soumissionnaire transmet le CV des professionnels qui interviendront sur le marché</w:t>
            </w:r>
            <w:r w:rsidRPr="003013BB">
              <w:t xml:space="preserve">. </w:t>
            </w:r>
          </w:p>
          <w:p w14:paraId="5D42DAD0" w14:textId="26233EA2" w:rsidR="003013BB" w:rsidRPr="003013BB" w:rsidRDefault="003013BB" w:rsidP="00333FB0">
            <w:pPr>
              <w:jc w:val="center"/>
            </w:pPr>
            <w:r w:rsidRPr="003013BB">
              <w:rPr>
                <w:i/>
                <w:iCs/>
              </w:rPr>
              <w:t>À noter : la transmission des CV des professionnels n’entrera pas dans le cadre de l’analyse technique</w:t>
            </w:r>
            <w:r w:rsidRPr="003013BB">
              <w:t>.</w:t>
            </w:r>
          </w:p>
        </w:tc>
      </w:tr>
      <w:tr w:rsidR="003013BB" w:rsidRPr="00C0634E" w14:paraId="747895FB" w14:textId="77777777" w:rsidTr="00B47ECF">
        <w:trPr>
          <w:trHeight w:val="305"/>
        </w:trPr>
        <w:tc>
          <w:tcPr>
            <w:tcW w:w="13994" w:type="dxa"/>
            <w:gridSpan w:val="2"/>
            <w:shd w:val="clear" w:color="auto" w:fill="F2F2F2" w:themeFill="background1" w:themeFillShade="F2"/>
          </w:tcPr>
          <w:p w14:paraId="3B70E11B" w14:textId="77777777" w:rsidR="003013BB" w:rsidRPr="00C0634E" w:rsidRDefault="003013BB" w:rsidP="00333FB0">
            <w:pPr>
              <w:jc w:val="center"/>
              <w:rPr>
                <w:b/>
                <w:bCs/>
              </w:rPr>
            </w:pPr>
            <w:r w:rsidRPr="00C0634E">
              <w:rPr>
                <w:b/>
                <w:bCs/>
              </w:rPr>
              <w:t>Développer et/ou renvoyer à un autre document en précisant la page</w:t>
            </w:r>
          </w:p>
        </w:tc>
      </w:tr>
      <w:tr w:rsidR="003013BB" w14:paraId="74062CA4" w14:textId="77777777" w:rsidTr="0033160B">
        <w:trPr>
          <w:trHeight w:val="850"/>
        </w:trPr>
        <w:tc>
          <w:tcPr>
            <w:tcW w:w="13994" w:type="dxa"/>
            <w:gridSpan w:val="2"/>
          </w:tcPr>
          <w:p w14:paraId="6908071F" w14:textId="77777777" w:rsidR="003013BB" w:rsidRDefault="003013BB"/>
        </w:tc>
      </w:tr>
      <w:bookmarkEnd w:id="5"/>
      <w:tr w:rsidR="000E6E54" w14:paraId="34C4A093" w14:textId="77777777" w:rsidTr="000E6E54">
        <w:trPr>
          <w:trHeight w:val="850"/>
        </w:trPr>
        <w:tc>
          <w:tcPr>
            <w:tcW w:w="13994" w:type="dxa"/>
            <w:gridSpan w:val="2"/>
            <w:shd w:val="clear" w:color="auto" w:fill="F2F2F2" w:themeFill="background1" w:themeFillShade="F2"/>
          </w:tcPr>
          <w:p w14:paraId="4BFC9A9F" w14:textId="7CE6A822" w:rsidR="000E6E54" w:rsidRDefault="000E6E54" w:rsidP="000E6E54">
            <w:pPr>
              <w:jc w:val="center"/>
            </w:pPr>
            <w:r w:rsidRPr="003013BB">
              <w:rPr>
                <w:b/>
                <w:bCs/>
              </w:rPr>
              <w:t>Le soumissionnaire transmet le</w:t>
            </w:r>
            <w:r>
              <w:rPr>
                <w:b/>
                <w:bCs/>
              </w:rPr>
              <w:t xml:space="preserve">s coordonnées </w:t>
            </w:r>
            <w:r w:rsidRPr="003013BB">
              <w:rPr>
                <w:b/>
                <w:bCs/>
              </w:rPr>
              <w:t xml:space="preserve">des </w:t>
            </w:r>
            <w:r>
              <w:rPr>
                <w:b/>
                <w:bCs/>
              </w:rPr>
              <w:t>interlocuteurs (unique et suppléant)</w:t>
            </w:r>
            <w:r w:rsidRPr="003013B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chargés des relations avec l’EFS-IDF et de l’exécution du marché</w:t>
            </w:r>
            <w:r w:rsidRPr="003013BB">
              <w:t>.</w:t>
            </w:r>
          </w:p>
        </w:tc>
      </w:tr>
      <w:tr w:rsidR="000E6E54" w14:paraId="6982BC64" w14:textId="77777777" w:rsidTr="000E6E54">
        <w:trPr>
          <w:trHeight w:val="850"/>
        </w:trPr>
        <w:tc>
          <w:tcPr>
            <w:tcW w:w="13994" w:type="dxa"/>
            <w:gridSpan w:val="2"/>
            <w:shd w:val="clear" w:color="auto" w:fill="F2F2F2" w:themeFill="background1" w:themeFillShade="F2"/>
          </w:tcPr>
          <w:p w14:paraId="1D83EF5E" w14:textId="527134EB" w:rsidR="000E6E54" w:rsidRDefault="000E6E54" w:rsidP="000E6E54">
            <w:pPr>
              <w:jc w:val="center"/>
            </w:pPr>
            <w:r w:rsidRPr="00C0634E">
              <w:rPr>
                <w:b/>
                <w:bCs/>
              </w:rPr>
              <w:t>Développer et/ou renvoyer à un autre document en précisant la page</w:t>
            </w:r>
          </w:p>
        </w:tc>
      </w:tr>
      <w:tr w:rsidR="000E6E54" w14:paraId="6E6A34A6" w14:textId="77777777" w:rsidTr="000E6E54">
        <w:trPr>
          <w:trHeight w:val="850"/>
        </w:trPr>
        <w:tc>
          <w:tcPr>
            <w:tcW w:w="13994" w:type="dxa"/>
            <w:gridSpan w:val="2"/>
            <w:shd w:val="clear" w:color="auto" w:fill="FFFFFF" w:themeFill="background1"/>
          </w:tcPr>
          <w:p w14:paraId="23722E62" w14:textId="77777777" w:rsidR="000E6E54" w:rsidRDefault="000E6E54"/>
        </w:tc>
      </w:tr>
    </w:tbl>
    <w:p w14:paraId="42BBEF03" w14:textId="77777777" w:rsidR="0015233A" w:rsidRDefault="0015233A"/>
    <w:sectPr w:rsidR="0015233A" w:rsidSect="00851D0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88457" w14:textId="77777777" w:rsidR="00851D04" w:rsidRDefault="00851D04" w:rsidP="00851D04">
      <w:pPr>
        <w:spacing w:after="0" w:line="240" w:lineRule="auto"/>
      </w:pPr>
      <w:r>
        <w:separator/>
      </w:r>
    </w:p>
  </w:endnote>
  <w:endnote w:type="continuationSeparator" w:id="0">
    <w:p w14:paraId="4D0B296A" w14:textId="77777777" w:rsidR="00851D04" w:rsidRDefault="00851D04" w:rsidP="00851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5A1B5" w14:textId="77777777" w:rsidR="00851D04" w:rsidRDefault="00851D04" w:rsidP="00851D04">
      <w:pPr>
        <w:spacing w:after="0" w:line="240" w:lineRule="auto"/>
      </w:pPr>
      <w:r>
        <w:separator/>
      </w:r>
    </w:p>
  </w:footnote>
  <w:footnote w:type="continuationSeparator" w:id="0">
    <w:p w14:paraId="7B6B931C" w14:textId="77777777" w:rsidR="00851D04" w:rsidRDefault="00851D04" w:rsidP="00851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D176E" w14:textId="77777777" w:rsidR="00851D04" w:rsidRDefault="00851D04" w:rsidP="00851D04">
    <w:pPr>
      <w:pStyle w:val="En-tte"/>
      <w:jc w:val="center"/>
      <w:rPr>
        <w:b/>
        <w:bCs/>
      </w:rPr>
    </w:pPr>
    <w:r w:rsidRPr="00261557">
      <w:rPr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C7732F" wp14:editId="4E9A9296">
              <wp:simplePos x="0" y="0"/>
              <wp:positionH relativeFrom="column">
                <wp:posOffset>-756920</wp:posOffset>
              </wp:positionH>
              <wp:positionV relativeFrom="paragraph">
                <wp:posOffset>-213448</wp:posOffset>
              </wp:positionV>
              <wp:extent cx="933450" cy="857250"/>
              <wp:effectExtent l="0" t="0" r="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3450" cy="857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551F15" w14:textId="77777777" w:rsidR="00851D04" w:rsidRDefault="00851D04" w:rsidP="00851D04">
                          <w:r>
                            <w:rPr>
                              <w:noProof/>
                              <w:sz w:val="20"/>
                              <w:szCs w:val="20"/>
                              <w:lang w:eastAsia="fr-FR"/>
                            </w:rPr>
                            <w:drawing>
                              <wp:inline distT="0" distB="0" distL="0" distR="0" wp14:anchorId="4BE79492" wp14:editId="0E3B7A3C">
                                <wp:extent cx="837757" cy="803479"/>
                                <wp:effectExtent l="0" t="0" r="635" b="0"/>
                                <wp:docPr id="1" name="Imag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3306" cy="8088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C7732F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59.6pt;margin-top:-16.8pt;width:73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" fillcolor="white [3201]" stroked="f" strokeweight=".5pt">
              <v:textbox>
                <w:txbxContent>
                  <w:p w14:paraId="5C551F15" w14:textId="77777777" w:rsidR="00851D04" w:rsidRDefault="00851D04" w:rsidP="00851D04">
                    <w:r>
                      <w:rPr>
                        <w:noProof/>
                        <w:sz w:val="20"/>
                        <w:szCs w:val="20"/>
                        <w:lang w:eastAsia="fr-FR"/>
                      </w:rPr>
                      <w:drawing>
                        <wp:inline distT="0" distB="0" distL="0" distR="0" wp14:anchorId="4BE79492" wp14:editId="0E3B7A3C">
                          <wp:extent cx="837757" cy="803479"/>
                          <wp:effectExtent l="0" t="0" r="635" b="0"/>
                          <wp:docPr id="1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3306" cy="8088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261557">
      <w:rPr>
        <w:b/>
        <w:bCs/>
        <w:noProof/>
      </w:rPr>
      <w:t>Remplacement</w:t>
    </w:r>
    <w:r>
      <w:rPr>
        <w:b/>
        <w:bCs/>
      </w:rPr>
      <w:t xml:space="preserve"> du système de gestion technique du bâtiment (GTB) </w:t>
    </w:r>
  </w:p>
  <w:p w14:paraId="4908A350" w14:textId="77777777" w:rsidR="00851D04" w:rsidRDefault="00851D04" w:rsidP="00851D04">
    <w:pPr>
      <w:pStyle w:val="En-tte"/>
      <w:jc w:val="center"/>
      <w:rPr>
        <w:b/>
        <w:bCs/>
      </w:rPr>
    </w:pPr>
    <w:r>
      <w:rPr>
        <w:b/>
        <w:bCs/>
      </w:rPr>
      <w:t>N° de consultation 2025EFSIDFR910</w:t>
    </w:r>
  </w:p>
  <w:p w14:paraId="6B6E116C" w14:textId="77777777" w:rsidR="00851D04" w:rsidRDefault="00851D04" w:rsidP="00851D04">
    <w:pPr>
      <w:pStyle w:val="En-tte"/>
      <w:jc w:val="center"/>
      <w:rPr>
        <w:b/>
        <w:bCs/>
      </w:rPr>
    </w:pPr>
  </w:p>
  <w:p w14:paraId="08E8AE6F" w14:textId="3BA7ECBD" w:rsidR="00851D04" w:rsidRDefault="00851D04" w:rsidP="00851D04">
    <w:pPr>
      <w:pStyle w:val="En-tte"/>
      <w:jc w:val="center"/>
      <w:rPr>
        <w:b/>
        <w:bCs/>
      </w:rPr>
    </w:pPr>
    <w:r>
      <w:rPr>
        <w:b/>
        <w:bCs/>
      </w:rPr>
      <w:t>Cadre de réponse technique</w:t>
    </w:r>
  </w:p>
  <w:p w14:paraId="3431F038" w14:textId="77777777" w:rsidR="000458B7" w:rsidRDefault="000458B7" w:rsidP="00851D04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E23FE"/>
    <w:multiLevelType w:val="hybridMultilevel"/>
    <w:tmpl w:val="AF1C6596"/>
    <w:lvl w:ilvl="0" w:tplc="C5A85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46A11"/>
    <w:multiLevelType w:val="hybridMultilevel"/>
    <w:tmpl w:val="AF1C6596"/>
    <w:lvl w:ilvl="0" w:tplc="C5A85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B57"/>
    <w:rsid w:val="000458B7"/>
    <w:rsid w:val="000E396D"/>
    <w:rsid w:val="000E6E54"/>
    <w:rsid w:val="0015233A"/>
    <w:rsid w:val="00290840"/>
    <w:rsid w:val="003013BB"/>
    <w:rsid w:val="00360D5F"/>
    <w:rsid w:val="00403094"/>
    <w:rsid w:val="00410F36"/>
    <w:rsid w:val="0060778E"/>
    <w:rsid w:val="007B59BC"/>
    <w:rsid w:val="0081382B"/>
    <w:rsid w:val="00851D04"/>
    <w:rsid w:val="00C0634E"/>
    <w:rsid w:val="00CC5B57"/>
    <w:rsid w:val="00CF59BB"/>
    <w:rsid w:val="00D15C79"/>
    <w:rsid w:val="00F03CB9"/>
    <w:rsid w:val="00F5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9742B"/>
  <w15:chartTrackingRefBased/>
  <w15:docId w15:val="{8F558091-6942-4713-BC3E-E7944994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D04"/>
  </w:style>
  <w:style w:type="paragraph" w:styleId="Pieddepage">
    <w:name w:val="footer"/>
    <w:basedOn w:val="Normal"/>
    <w:link w:val="PieddepageCar"/>
    <w:uiPriority w:val="99"/>
    <w:unhideWhenUsed/>
    <w:rsid w:val="0085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1D04"/>
  </w:style>
  <w:style w:type="table" w:styleId="Grilledutableau">
    <w:name w:val="Table Grid"/>
    <w:basedOn w:val="TableauNormal"/>
    <w:uiPriority w:val="39"/>
    <w:rsid w:val="00851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8B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030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30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0309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30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309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3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30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LAMBERT Mailye</dc:creator>
  <cp:keywords/>
  <dc:description/>
  <cp:lastModifiedBy>SOUMAILLE Juliette</cp:lastModifiedBy>
  <cp:revision>2</cp:revision>
  <dcterms:created xsi:type="dcterms:W3CDTF">2025-09-18T07:18:00Z</dcterms:created>
  <dcterms:modified xsi:type="dcterms:W3CDTF">2025-09-18T07:18:00Z</dcterms:modified>
</cp:coreProperties>
</file>